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2050B" w14:textId="507D1FE8" w:rsidR="0007040B" w:rsidRDefault="00870653" w:rsidP="0007040B">
      <w:pPr>
        <w:pStyle w:val="MDPI12title"/>
        <w:rPr>
          <w:rFonts w:ascii="Book Antiqua" w:hAnsi="Book Antiqua"/>
          <w:szCs w:val="36"/>
        </w:rPr>
      </w:pPr>
      <w:r>
        <w:rPr>
          <w:rFonts w:ascii="Book Antiqua" w:hAnsi="Book Antiqua"/>
          <w:szCs w:val="36"/>
        </w:rPr>
        <w:t xml:space="preserve">The dynamic progression of the </w:t>
      </w:r>
      <w:r w:rsidR="0007040B">
        <w:rPr>
          <w:rFonts w:ascii="Book Antiqua" w:hAnsi="Book Antiqua"/>
          <w:szCs w:val="36"/>
        </w:rPr>
        <w:t xml:space="preserve">redenomination and sovereign risk </w:t>
      </w:r>
      <w:r w:rsidR="0007040B" w:rsidRPr="00A20381">
        <w:rPr>
          <w:rFonts w:ascii="Book Antiqua" w:hAnsi="Book Antiqua"/>
          <w:szCs w:val="36"/>
        </w:rPr>
        <w:t>in the price discovery process of</w:t>
      </w:r>
      <w:r w:rsidR="0007040B">
        <w:rPr>
          <w:rFonts w:ascii="Book Antiqua" w:hAnsi="Book Antiqua"/>
          <w:szCs w:val="36"/>
        </w:rPr>
        <w:t xml:space="preserve"> </w:t>
      </w:r>
      <w:r w:rsidR="000046BA">
        <w:rPr>
          <w:rFonts w:ascii="Book Antiqua" w:hAnsi="Book Antiqua"/>
          <w:szCs w:val="36"/>
        </w:rPr>
        <w:t xml:space="preserve">Italian </w:t>
      </w:r>
      <w:r w:rsidR="0007040B">
        <w:rPr>
          <w:rFonts w:ascii="Book Antiqua" w:hAnsi="Book Antiqua"/>
          <w:szCs w:val="36"/>
        </w:rPr>
        <w:t>bank</w:t>
      </w:r>
      <w:r w:rsidR="00FB778B">
        <w:rPr>
          <w:rFonts w:ascii="Book Antiqua" w:hAnsi="Book Antiqua"/>
          <w:szCs w:val="36"/>
        </w:rPr>
        <w:t>s</w:t>
      </w:r>
      <w:r w:rsidR="000046BA">
        <w:rPr>
          <w:rFonts w:ascii="Book Antiqua" w:hAnsi="Book Antiqua"/>
          <w:szCs w:val="36"/>
        </w:rPr>
        <w:t>’</w:t>
      </w:r>
      <w:r w:rsidR="0007040B">
        <w:rPr>
          <w:rFonts w:ascii="Book Antiqua" w:hAnsi="Book Antiqua"/>
          <w:szCs w:val="36"/>
        </w:rPr>
        <w:t xml:space="preserve"> CDS</w:t>
      </w:r>
      <w:r w:rsidR="00B36282">
        <w:rPr>
          <w:rFonts w:ascii="Book Antiqua" w:hAnsi="Book Antiqua"/>
          <w:szCs w:val="36"/>
        </w:rPr>
        <w:t>s</w:t>
      </w:r>
      <w:bookmarkStart w:id="0" w:name="_GoBack"/>
      <w:bookmarkEnd w:id="0"/>
    </w:p>
    <w:p w14:paraId="2F5418B8" w14:textId="252DE020" w:rsidR="0007040B" w:rsidRPr="00870653" w:rsidRDefault="0007040B" w:rsidP="00870653">
      <w:pPr>
        <w:pStyle w:val="Corpotesto"/>
        <w:jc w:val="both"/>
        <w:rPr>
          <w:rFonts w:eastAsia="Times New Roman" w:cs="Times New Roman"/>
          <w:b/>
          <w:color w:val="000000"/>
          <w:szCs w:val="22"/>
          <w:lang w:val="it-IT" w:eastAsia="de-DE" w:bidi="en-US"/>
        </w:rPr>
      </w:pPr>
      <w:r>
        <w:rPr>
          <w:rFonts w:eastAsia="Times New Roman" w:cs="Times New Roman"/>
          <w:b/>
          <w:color w:val="000000"/>
          <w:szCs w:val="22"/>
          <w:lang w:val="it-IT" w:eastAsia="de-DE" w:bidi="en-US"/>
        </w:rPr>
        <w:t xml:space="preserve">Francesca </w:t>
      </w:r>
      <w:r w:rsidRPr="0007040B">
        <w:rPr>
          <w:rFonts w:eastAsia="Times New Roman" w:cs="Times New Roman"/>
          <w:b/>
          <w:color w:val="000000"/>
          <w:szCs w:val="22"/>
          <w:lang w:val="it-IT" w:eastAsia="de-DE" w:bidi="en-US"/>
        </w:rPr>
        <w:t>Cinefra</w:t>
      </w:r>
      <w:r w:rsidR="00313666">
        <w:rPr>
          <w:rFonts w:eastAsia="Times New Roman" w:cs="Times New Roman"/>
          <w:b/>
          <w:color w:val="000000"/>
          <w:szCs w:val="22"/>
          <w:vertAlign w:val="superscript"/>
          <w:lang w:val="it-IT" w:eastAsia="de-DE" w:bidi="en-US"/>
        </w:rPr>
        <w:t>1</w:t>
      </w:r>
      <w:r>
        <w:rPr>
          <w:rFonts w:eastAsia="Times New Roman" w:cs="Times New Roman"/>
          <w:b/>
          <w:color w:val="000000"/>
          <w:szCs w:val="22"/>
          <w:lang w:val="it-IT" w:eastAsia="de-DE" w:bidi="en-US"/>
        </w:rPr>
        <w:t xml:space="preserve">, </w:t>
      </w:r>
      <w:r w:rsidRPr="00A20381">
        <w:rPr>
          <w:rFonts w:eastAsia="Times New Roman" w:cs="Times New Roman"/>
          <w:b/>
          <w:color w:val="000000"/>
          <w:szCs w:val="22"/>
          <w:lang w:val="it-IT" w:eastAsia="de-DE" w:bidi="en-US"/>
        </w:rPr>
        <w:t>Michele Anelli</w:t>
      </w:r>
      <w:r>
        <w:rPr>
          <w:rFonts w:eastAsia="Times New Roman" w:cs="Times New Roman"/>
          <w:b/>
          <w:color w:val="000000"/>
          <w:szCs w:val="22"/>
          <w:vertAlign w:val="superscript"/>
          <w:lang w:val="it-IT" w:eastAsia="de-DE" w:bidi="en-US"/>
        </w:rPr>
        <w:t>2</w:t>
      </w:r>
      <w:r w:rsidRPr="00A20381">
        <w:rPr>
          <w:rFonts w:eastAsia="Times New Roman" w:cs="Times New Roman"/>
          <w:b/>
          <w:color w:val="000000"/>
          <w:szCs w:val="22"/>
          <w:lang w:val="it-IT" w:eastAsia="de-DE" w:bidi="en-US"/>
        </w:rPr>
        <w:t>, Michele Patanè</w:t>
      </w:r>
      <w:r w:rsidR="00313666">
        <w:rPr>
          <w:rFonts w:eastAsia="Times New Roman" w:cs="Times New Roman"/>
          <w:b/>
          <w:color w:val="000000"/>
          <w:szCs w:val="22"/>
          <w:vertAlign w:val="superscript"/>
          <w:lang w:val="it-IT" w:eastAsia="de-DE" w:bidi="en-US"/>
        </w:rPr>
        <w:t>1</w:t>
      </w:r>
      <w:r w:rsidR="00870653">
        <w:rPr>
          <w:rFonts w:eastAsia="Times New Roman" w:cs="Times New Roman"/>
          <w:b/>
          <w:color w:val="000000"/>
          <w:szCs w:val="22"/>
          <w:lang w:val="it-IT" w:eastAsia="de-DE" w:bidi="en-US"/>
        </w:rPr>
        <w:t>,</w:t>
      </w:r>
      <w:r w:rsidR="00870653" w:rsidRPr="00870653">
        <w:rPr>
          <w:rFonts w:eastAsia="Times New Roman" w:cs="Times New Roman"/>
          <w:b/>
          <w:color w:val="000000"/>
          <w:lang w:val="it-IT" w:eastAsia="de-DE" w:bidi="en-US"/>
        </w:rPr>
        <w:t xml:space="preserve"> </w:t>
      </w:r>
      <w:r w:rsidR="00870653" w:rsidRPr="00A20381">
        <w:rPr>
          <w:rFonts w:eastAsia="Times New Roman" w:cs="Times New Roman"/>
          <w:b/>
          <w:color w:val="000000"/>
          <w:szCs w:val="22"/>
          <w:lang w:val="it-IT" w:eastAsia="de-DE" w:bidi="en-US"/>
        </w:rPr>
        <w:t>Alessio Gioia</w:t>
      </w:r>
      <w:r w:rsidR="00870653" w:rsidRPr="00A20381">
        <w:rPr>
          <w:rFonts w:eastAsia="Times New Roman" w:cs="Times New Roman"/>
          <w:b/>
          <w:color w:val="000000"/>
          <w:szCs w:val="22"/>
          <w:vertAlign w:val="superscript"/>
          <w:lang w:val="it-IT" w:eastAsia="de-DE" w:bidi="en-US"/>
        </w:rPr>
        <w:t>3</w:t>
      </w:r>
    </w:p>
    <w:p w14:paraId="734BF7A8" w14:textId="77777777" w:rsidR="0007040B" w:rsidRPr="00A20381" w:rsidRDefault="0007040B" w:rsidP="0007040B">
      <w:pPr>
        <w:pStyle w:val="Corpotesto"/>
        <w:rPr>
          <w:rFonts w:eastAsia="Times New Roman" w:cs="Times New Roman"/>
          <w:b/>
          <w:color w:val="000000"/>
          <w:szCs w:val="22"/>
          <w:lang w:val="it-IT" w:eastAsia="de-DE" w:bidi="en-US"/>
        </w:rPr>
      </w:pPr>
    </w:p>
    <w:p w14:paraId="4468E8FC" w14:textId="55E94471" w:rsidR="0007040B" w:rsidRPr="00A20381" w:rsidRDefault="0007040B" w:rsidP="006D47C6">
      <w:pPr>
        <w:pStyle w:val="Corpotesto"/>
        <w:rPr>
          <w:rFonts w:eastAsia="Times New Roman" w:cs="Times New Roman"/>
          <w:color w:val="000000"/>
          <w:sz w:val="18"/>
          <w:szCs w:val="18"/>
          <w:lang w:eastAsia="de-DE" w:bidi="en-US"/>
        </w:rPr>
      </w:pPr>
      <w:r w:rsidRPr="00A20381">
        <w:rPr>
          <w:sz w:val="18"/>
          <w:szCs w:val="18"/>
        </w:rPr>
        <w:t>1</w:t>
      </w:r>
      <w:r w:rsidRPr="00A20381">
        <w:rPr>
          <w:sz w:val="30"/>
        </w:rPr>
        <w:t xml:space="preserve">   </w:t>
      </w:r>
      <w:r w:rsidRPr="00A20381">
        <w:rPr>
          <w:rFonts w:eastAsia="Times New Roman" w:cs="Times New Roman"/>
          <w:color w:val="000000"/>
          <w:sz w:val="18"/>
          <w:szCs w:val="18"/>
          <w:lang w:eastAsia="de-DE" w:bidi="en-US"/>
        </w:rPr>
        <w:t>Depart</w:t>
      </w:r>
      <w:r w:rsidR="00313666">
        <w:rPr>
          <w:rFonts w:eastAsia="Times New Roman" w:cs="Times New Roman"/>
          <w:color w:val="000000"/>
          <w:sz w:val="18"/>
          <w:szCs w:val="18"/>
          <w:lang w:eastAsia="de-DE" w:bidi="en-US"/>
        </w:rPr>
        <w:t>ment of Business and Law</w:t>
      </w:r>
      <w:r w:rsidRPr="00A20381">
        <w:rPr>
          <w:rFonts w:eastAsia="Times New Roman" w:cs="Times New Roman"/>
          <w:color w:val="000000"/>
          <w:sz w:val="18"/>
          <w:szCs w:val="18"/>
          <w:lang w:eastAsia="de-DE" w:bidi="en-US"/>
        </w:rPr>
        <w:t>, School of Economics and Management, University of Siena, Italy;</w:t>
      </w:r>
    </w:p>
    <w:p w14:paraId="622B9903" w14:textId="7A025ECC" w:rsidR="006D47C6" w:rsidRDefault="0007040B" w:rsidP="006D47C6">
      <w:pPr>
        <w:pStyle w:val="Corpotesto"/>
        <w:rPr>
          <w:rFonts w:eastAsia="Times New Roman" w:cs="Times New Roman"/>
          <w:color w:val="000000"/>
          <w:sz w:val="18"/>
          <w:szCs w:val="18"/>
          <w:lang w:eastAsia="de-DE" w:bidi="en-US"/>
        </w:rPr>
      </w:pPr>
      <w:r w:rsidRPr="00A20381">
        <w:rPr>
          <w:rFonts w:eastAsia="Times New Roman" w:cs="Times New Roman"/>
          <w:color w:val="000000"/>
          <w:sz w:val="18"/>
          <w:szCs w:val="18"/>
          <w:lang w:eastAsia="de-DE" w:bidi="en-US"/>
        </w:rPr>
        <w:t xml:space="preserve">  </w:t>
      </w:r>
      <w:r w:rsidR="00870653" w:rsidRPr="00870653">
        <w:rPr>
          <w:rFonts w:eastAsia="Times New Roman" w:cs="Times New Roman"/>
          <w:sz w:val="18"/>
          <w:szCs w:val="18"/>
          <w:lang w:eastAsia="de-DE" w:bidi="en-US"/>
        </w:rPr>
        <w:t>francesca.cinefra@student.unisi.it</w:t>
      </w:r>
      <w:r w:rsidR="00870653">
        <w:rPr>
          <w:rFonts w:eastAsia="Times New Roman" w:cs="Times New Roman"/>
          <w:sz w:val="18"/>
          <w:szCs w:val="18"/>
          <w:lang w:eastAsia="de-DE" w:bidi="en-US"/>
        </w:rPr>
        <w:t xml:space="preserve">, </w:t>
      </w:r>
      <w:r w:rsidR="00870653" w:rsidRPr="00A20381">
        <w:rPr>
          <w:rFonts w:eastAsia="Times New Roman" w:cs="Times New Roman"/>
          <w:color w:val="000000"/>
          <w:sz w:val="18"/>
          <w:szCs w:val="18"/>
          <w:lang w:eastAsia="de-DE" w:bidi="en-US"/>
        </w:rPr>
        <w:t>michele.patane@unisi.it</w:t>
      </w:r>
    </w:p>
    <w:p w14:paraId="54BF88FE" w14:textId="77777777" w:rsidR="006D47C6" w:rsidRPr="006D47C6" w:rsidRDefault="006D47C6" w:rsidP="006D47C6">
      <w:pPr>
        <w:pStyle w:val="Corpotesto"/>
        <w:rPr>
          <w:rFonts w:eastAsia="Times New Roman" w:cs="Times New Roman"/>
          <w:color w:val="000000"/>
          <w:sz w:val="18"/>
          <w:szCs w:val="18"/>
          <w:lang w:eastAsia="de-DE" w:bidi="en-US"/>
        </w:rPr>
      </w:pPr>
    </w:p>
    <w:p w14:paraId="3D99F2DD" w14:textId="2C9BAAC4" w:rsidR="006D47C6" w:rsidRPr="00A20381" w:rsidRDefault="006D47C6" w:rsidP="006D47C6">
      <w:pPr>
        <w:pStyle w:val="Corpotesto"/>
        <w:rPr>
          <w:rFonts w:eastAsia="Times New Roman" w:cs="Times New Roman"/>
          <w:color w:val="000000"/>
          <w:sz w:val="18"/>
          <w:szCs w:val="18"/>
          <w:lang w:eastAsia="de-DE" w:bidi="en-US"/>
        </w:rPr>
      </w:pPr>
      <w:r>
        <w:rPr>
          <w:sz w:val="18"/>
          <w:szCs w:val="18"/>
        </w:rPr>
        <w:t>2</w:t>
      </w:r>
      <w:r w:rsidRPr="00A20381">
        <w:rPr>
          <w:sz w:val="30"/>
        </w:rPr>
        <w:t xml:space="preserve">   </w:t>
      </w:r>
      <w:r w:rsidRPr="00A20381">
        <w:rPr>
          <w:rFonts w:eastAsia="Times New Roman" w:cs="Times New Roman"/>
          <w:color w:val="000000"/>
          <w:sz w:val="18"/>
          <w:szCs w:val="18"/>
          <w:lang w:eastAsia="de-DE" w:bidi="en-US"/>
        </w:rPr>
        <w:t>Department of Economics and Statistics, School of Economics and Management, University of Siena, Italy;</w:t>
      </w:r>
    </w:p>
    <w:p w14:paraId="339AA566" w14:textId="23892626" w:rsidR="006D47C6" w:rsidRDefault="006D47C6" w:rsidP="006D47C6">
      <w:pPr>
        <w:pStyle w:val="Corpotesto"/>
        <w:rPr>
          <w:rStyle w:val="Collegamentoipertestuale"/>
          <w:rFonts w:eastAsia="Times New Roman" w:cs="Times New Roman"/>
          <w:sz w:val="18"/>
          <w:szCs w:val="18"/>
          <w:lang w:eastAsia="de-DE" w:bidi="en-US"/>
        </w:rPr>
      </w:pPr>
      <w:r w:rsidRPr="00A20381">
        <w:rPr>
          <w:rFonts w:eastAsia="Times New Roman" w:cs="Times New Roman"/>
          <w:color w:val="000000"/>
          <w:sz w:val="18"/>
          <w:szCs w:val="18"/>
          <w:lang w:eastAsia="de-DE" w:bidi="en-US"/>
        </w:rPr>
        <w:t xml:space="preserve">  </w:t>
      </w:r>
      <w:r w:rsidRPr="00870653">
        <w:rPr>
          <w:rFonts w:eastAsia="Times New Roman" w:cs="Times New Roman"/>
          <w:sz w:val="18"/>
          <w:szCs w:val="18"/>
          <w:lang w:eastAsia="de-DE" w:bidi="en-US"/>
        </w:rPr>
        <w:t>anelli2@student.unisi.it</w:t>
      </w:r>
    </w:p>
    <w:p w14:paraId="3D02133C" w14:textId="77777777" w:rsidR="00870653" w:rsidRDefault="00870653" w:rsidP="006D47C6">
      <w:pPr>
        <w:pStyle w:val="Corpotesto"/>
        <w:rPr>
          <w:rStyle w:val="Collegamentoipertestuale"/>
          <w:rFonts w:eastAsia="Times New Roman" w:cs="Times New Roman"/>
          <w:sz w:val="18"/>
          <w:szCs w:val="18"/>
          <w:lang w:eastAsia="de-DE" w:bidi="en-US"/>
        </w:rPr>
      </w:pPr>
    </w:p>
    <w:p w14:paraId="15B788A6" w14:textId="7738BC01" w:rsidR="00870653" w:rsidRDefault="00870653" w:rsidP="00870653">
      <w:pPr>
        <w:pStyle w:val="Corpotesto"/>
        <w:rPr>
          <w:rFonts w:eastAsia="Times New Roman" w:cs="Times New Roman"/>
          <w:color w:val="000000"/>
          <w:sz w:val="18"/>
          <w:szCs w:val="18"/>
          <w:lang w:eastAsia="de-DE" w:bidi="en-US"/>
        </w:rPr>
      </w:pPr>
      <w:r>
        <w:rPr>
          <w:sz w:val="18"/>
          <w:szCs w:val="18"/>
        </w:rPr>
        <w:t>3</w:t>
      </w:r>
      <w:r w:rsidRPr="00A20381">
        <w:rPr>
          <w:sz w:val="30"/>
        </w:rPr>
        <w:t xml:space="preserve">   </w:t>
      </w:r>
      <w:r w:rsidRPr="00A20381">
        <w:rPr>
          <w:rFonts w:eastAsia="Times New Roman" w:cs="Times New Roman"/>
          <w:color w:val="000000"/>
          <w:sz w:val="18"/>
          <w:szCs w:val="18"/>
          <w:lang w:eastAsia="de-DE" w:bidi="en-US"/>
        </w:rPr>
        <w:t xml:space="preserve">Portfolio Manager and Financial Analyst, Mantova, Italy; </w:t>
      </w:r>
      <w:r>
        <w:rPr>
          <w:rFonts w:eastAsia="Times New Roman" w:cs="Times New Roman"/>
          <w:color w:val="000000"/>
          <w:sz w:val="18"/>
          <w:szCs w:val="18"/>
          <w:lang w:eastAsia="de-DE" w:bidi="en-US"/>
        </w:rPr>
        <w:t xml:space="preserve">agioia1971.ag@gmail.com </w:t>
      </w:r>
    </w:p>
    <w:p w14:paraId="3D633844" w14:textId="77777777" w:rsidR="00870653" w:rsidRDefault="00870653" w:rsidP="006D47C6">
      <w:pPr>
        <w:pStyle w:val="Corpotesto"/>
        <w:rPr>
          <w:rFonts w:eastAsia="Times New Roman" w:cs="Times New Roman"/>
          <w:color w:val="000000"/>
          <w:sz w:val="18"/>
          <w:szCs w:val="18"/>
          <w:lang w:eastAsia="de-DE" w:bidi="en-US"/>
        </w:rPr>
      </w:pPr>
    </w:p>
    <w:p w14:paraId="19394418" w14:textId="77777777" w:rsidR="0007040B" w:rsidRPr="0007040B" w:rsidRDefault="0007040B" w:rsidP="0007040B">
      <w:pPr>
        <w:pStyle w:val="Corpotesto"/>
        <w:rPr>
          <w:rFonts w:eastAsia="Times New Roman" w:cs="Times New Roman"/>
          <w:color w:val="000000"/>
          <w:sz w:val="18"/>
          <w:szCs w:val="18"/>
          <w:lang w:eastAsia="de-DE" w:bidi="en-US"/>
        </w:rPr>
      </w:pPr>
    </w:p>
    <w:p w14:paraId="49D7E791" w14:textId="72E7A779" w:rsidR="006A0C10" w:rsidRPr="00870653" w:rsidRDefault="0007040B" w:rsidP="006A0C10">
      <w:pPr>
        <w:spacing w:after="0" w:line="360" w:lineRule="auto"/>
        <w:jc w:val="both"/>
        <w:rPr>
          <w:rFonts w:ascii="Book Antiqua" w:hAnsi="Book Antiqua"/>
          <w:sz w:val="20"/>
          <w:szCs w:val="20"/>
          <w:lang w:val="en-US"/>
        </w:rPr>
      </w:pPr>
      <w:r w:rsidRPr="00870653">
        <w:rPr>
          <w:rFonts w:ascii="Book Antiqua" w:hAnsi="Book Antiqua"/>
          <w:b/>
          <w:bCs/>
          <w:sz w:val="20"/>
          <w:szCs w:val="20"/>
          <w:lang w:val="en-US"/>
        </w:rPr>
        <w:t>Abstract</w:t>
      </w:r>
      <w:r w:rsidRPr="00870653">
        <w:rPr>
          <w:rFonts w:ascii="Book Antiqua" w:hAnsi="Book Antiqua"/>
          <w:sz w:val="20"/>
          <w:szCs w:val="20"/>
          <w:lang w:val="en-US"/>
        </w:rPr>
        <w:t xml:space="preserve">: The recent global financial crisis and the subsequent sovereign debt crisis of the </w:t>
      </w:r>
      <w:r w:rsidR="00313666" w:rsidRPr="00870653">
        <w:rPr>
          <w:rFonts w:ascii="Book Antiqua" w:hAnsi="Book Antiqua"/>
          <w:sz w:val="20"/>
          <w:szCs w:val="20"/>
          <w:lang w:val="en-US"/>
        </w:rPr>
        <w:t xml:space="preserve">Eurozone </w:t>
      </w:r>
      <w:r w:rsidRPr="00870653">
        <w:rPr>
          <w:rFonts w:ascii="Book Antiqua" w:hAnsi="Book Antiqua"/>
          <w:sz w:val="20"/>
          <w:szCs w:val="20"/>
          <w:lang w:val="en-US"/>
        </w:rPr>
        <w:t xml:space="preserve">peripheral countries have generated historic levels of volatility and instability in the financial markets. In particular, </w:t>
      </w:r>
      <w:r w:rsidR="00313666" w:rsidRPr="00870653">
        <w:rPr>
          <w:rFonts w:ascii="Book Antiqua" w:hAnsi="Book Antiqua"/>
          <w:sz w:val="20"/>
          <w:szCs w:val="20"/>
          <w:lang w:val="en-US"/>
        </w:rPr>
        <w:t>during</w:t>
      </w:r>
      <w:r w:rsidRPr="00870653">
        <w:rPr>
          <w:rFonts w:ascii="Book Antiqua" w:hAnsi="Book Antiqua"/>
          <w:sz w:val="20"/>
          <w:szCs w:val="20"/>
          <w:lang w:val="en-US"/>
        </w:rPr>
        <w:t xml:space="preserve"> the sovereign debt crisis</w:t>
      </w:r>
      <w:r w:rsidR="00313666" w:rsidRPr="00870653">
        <w:rPr>
          <w:rFonts w:ascii="Book Antiqua" w:hAnsi="Book Antiqua"/>
          <w:sz w:val="20"/>
          <w:szCs w:val="20"/>
          <w:lang w:val="en-US"/>
        </w:rPr>
        <w:t xml:space="preserve"> </w:t>
      </w:r>
      <w:r w:rsidRPr="00870653">
        <w:rPr>
          <w:rFonts w:ascii="Book Antiqua" w:hAnsi="Book Antiqua"/>
          <w:sz w:val="20"/>
          <w:szCs w:val="20"/>
          <w:lang w:val="en-US"/>
        </w:rPr>
        <w:t>mark</w:t>
      </w:r>
      <w:r w:rsidR="00313666" w:rsidRPr="00870653">
        <w:rPr>
          <w:rFonts w:ascii="Book Antiqua" w:hAnsi="Book Antiqua"/>
          <w:sz w:val="20"/>
          <w:szCs w:val="20"/>
          <w:lang w:val="en-US"/>
        </w:rPr>
        <w:t>et operators have begun to focus on</w:t>
      </w:r>
      <w:r w:rsidRPr="00870653">
        <w:rPr>
          <w:rFonts w:ascii="Book Antiqua" w:hAnsi="Book Antiqua"/>
          <w:sz w:val="20"/>
          <w:szCs w:val="20"/>
          <w:lang w:val="en-US"/>
        </w:rPr>
        <w:t xml:space="preserve"> the </w:t>
      </w:r>
      <w:r w:rsidR="00313666" w:rsidRPr="00870653">
        <w:rPr>
          <w:rFonts w:ascii="Book Antiqua" w:hAnsi="Book Antiqua"/>
          <w:sz w:val="20"/>
          <w:szCs w:val="20"/>
          <w:lang w:val="en-US"/>
        </w:rPr>
        <w:t>so-called “redenomination risk”, that is</w:t>
      </w:r>
      <w:r w:rsidRPr="00870653">
        <w:rPr>
          <w:rFonts w:ascii="Book Antiqua" w:hAnsi="Book Antiqua"/>
          <w:sz w:val="20"/>
          <w:szCs w:val="20"/>
          <w:lang w:val="en-US"/>
        </w:rPr>
        <w:t xml:space="preserve"> t</w:t>
      </w:r>
      <w:r w:rsidR="00D560AF" w:rsidRPr="00870653">
        <w:rPr>
          <w:rFonts w:ascii="Book Antiqua" w:hAnsi="Book Antiqua"/>
          <w:sz w:val="20"/>
          <w:szCs w:val="20"/>
          <w:lang w:val="en-US"/>
        </w:rPr>
        <w:t>he hypothesis of exit from the EMU (Euro Monetary U</w:t>
      </w:r>
      <w:r w:rsidRPr="00870653">
        <w:rPr>
          <w:rFonts w:ascii="Book Antiqua" w:hAnsi="Book Antiqua"/>
          <w:sz w:val="20"/>
          <w:szCs w:val="20"/>
          <w:lang w:val="en-US"/>
        </w:rPr>
        <w:t>nion</w:t>
      </w:r>
      <w:r w:rsidR="00D560AF" w:rsidRPr="00870653">
        <w:rPr>
          <w:rFonts w:ascii="Book Antiqua" w:hAnsi="Book Antiqua"/>
          <w:sz w:val="20"/>
          <w:szCs w:val="20"/>
          <w:lang w:val="en-US"/>
        </w:rPr>
        <w:t>)</w:t>
      </w:r>
      <w:r w:rsidRPr="00870653">
        <w:rPr>
          <w:rFonts w:ascii="Book Antiqua" w:hAnsi="Book Antiqua"/>
          <w:sz w:val="20"/>
          <w:szCs w:val="20"/>
          <w:lang w:val="en-US"/>
        </w:rPr>
        <w:t xml:space="preserve"> </w:t>
      </w:r>
      <w:r w:rsidR="00313666" w:rsidRPr="00870653">
        <w:rPr>
          <w:rFonts w:ascii="Book Antiqua" w:hAnsi="Book Antiqua"/>
          <w:sz w:val="20"/>
          <w:szCs w:val="20"/>
          <w:lang w:val="en-US"/>
        </w:rPr>
        <w:t xml:space="preserve">by one or more </w:t>
      </w:r>
      <w:r w:rsidRPr="00870653">
        <w:rPr>
          <w:rFonts w:ascii="Book Antiqua" w:hAnsi="Book Antiqua"/>
          <w:sz w:val="20"/>
          <w:szCs w:val="20"/>
          <w:lang w:val="en-US"/>
        </w:rPr>
        <w:t xml:space="preserve">countries and the </w:t>
      </w:r>
      <w:r w:rsidR="00313666" w:rsidRPr="00870653">
        <w:rPr>
          <w:rFonts w:ascii="Book Antiqua" w:hAnsi="Book Antiqua"/>
          <w:sz w:val="20"/>
          <w:szCs w:val="20"/>
          <w:lang w:val="en-US"/>
        </w:rPr>
        <w:t xml:space="preserve">consequent redenomination of their debt in the past </w:t>
      </w:r>
      <w:r w:rsidRPr="00870653">
        <w:rPr>
          <w:rFonts w:ascii="Book Antiqua" w:hAnsi="Book Antiqua"/>
          <w:sz w:val="20"/>
          <w:szCs w:val="20"/>
          <w:lang w:val="en-US"/>
        </w:rPr>
        <w:t>national currency. This type of risk</w:t>
      </w:r>
      <w:r w:rsidR="00D560AF" w:rsidRPr="00870653">
        <w:rPr>
          <w:rFonts w:ascii="Book Antiqua" w:hAnsi="Book Antiqua"/>
          <w:sz w:val="20"/>
          <w:szCs w:val="20"/>
          <w:lang w:val="en-US"/>
        </w:rPr>
        <w:t xml:space="preserve"> </w:t>
      </w:r>
      <w:r w:rsidRPr="00870653">
        <w:rPr>
          <w:rFonts w:ascii="Book Antiqua" w:hAnsi="Book Antiqua"/>
          <w:sz w:val="20"/>
          <w:szCs w:val="20"/>
          <w:lang w:val="en-US"/>
        </w:rPr>
        <w:t>constitutes a form of additional credit risk premium due to ex</w:t>
      </w:r>
      <w:r w:rsidR="000046BA" w:rsidRPr="00870653">
        <w:rPr>
          <w:rFonts w:ascii="Book Antiqua" w:hAnsi="Book Antiqua"/>
          <w:sz w:val="20"/>
          <w:szCs w:val="20"/>
          <w:lang w:val="en-US"/>
        </w:rPr>
        <w:t>pected systemic failure of the E</w:t>
      </w:r>
      <w:r w:rsidRPr="00870653">
        <w:rPr>
          <w:rFonts w:ascii="Book Antiqua" w:hAnsi="Book Antiqua"/>
          <w:sz w:val="20"/>
          <w:szCs w:val="20"/>
          <w:lang w:val="en-US"/>
        </w:rPr>
        <w:t xml:space="preserve">urozone. The effects of the economic-financial crisis, the weak economic growth and the political instability that have characterized especially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system in recent </w:t>
      </w:r>
      <w:r w:rsidR="00870653" w:rsidRPr="00870653">
        <w:rPr>
          <w:rFonts w:ascii="Book Antiqua" w:hAnsi="Book Antiqua"/>
          <w:sz w:val="20"/>
          <w:szCs w:val="20"/>
          <w:lang w:val="en-US"/>
        </w:rPr>
        <w:t>years</w:t>
      </w:r>
      <w:r w:rsidRPr="00870653">
        <w:rPr>
          <w:rFonts w:ascii="Book Antiqua" w:hAnsi="Book Antiqua"/>
          <w:sz w:val="20"/>
          <w:szCs w:val="20"/>
          <w:lang w:val="en-US"/>
        </w:rPr>
        <w:t xml:space="preserve"> provide the ideal starting point to analyze the evolution of the redenomination risk</w:t>
      </w:r>
      <w:r w:rsidR="000046BA" w:rsidRPr="00870653">
        <w:rPr>
          <w:rFonts w:ascii="Book Antiqua" w:hAnsi="Book Antiqua"/>
          <w:sz w:val="20"/>
          <w:szCs w:val="20"/>
          <w:lang w:val="en-US"/>
        </w:rPr>
        <w:t xml:space="preserve"> in the pricing process of </w:t>
      </w:r>
      <w:r w:rsidRPr="00870653">
        <w:rPr>
          <w:rFonts w:ascii="Book Antiqua" w:hAnsi="Book Antiqua"/>
          <w:sz w:val="20"/>
          <w:szCs w:val="20"/>
          <w:lang w:val="en-US"/>
        </w:rPr>
        <w:t xml:space="preserve">the </w:t>
      </w:r>
      <w:r w:rsidR="00E64AF1" w:rsidRPr="00870653">
        <w:rPr>
          <w:rFonts w:ascii="Book Antiqua" w:hAnsi="Book Antiqua"/>
          <w:sz w:val="20"/>
          <w:szCs w:val="20"/>
          <w:lang w:val="en-US"/>
        </w:rPr>
        <w:t>Italian</w:t>
      </w:r>
      <w:r w:rsidR="000046BA" w:rsidRPr="00870653">
        <w:rPr>
          <w:rFonts w:ascii="Book Antiqua" w:hAnsi="Book Antiqua"/>
          <w:sz w:val="20"/>
          <w:szCs w:val="20"/>
          <w:lang w:val="en-US"/>
        </w:rPr>
        <w:t xml:space="preserve"> bank</w:t>
      </w:r>
      <w:r w:rsidRPr="00870653">
        <w:rPr>
          <w:rFonts w:ascii="Book Antiqua" w:hAnsi="Book Antiqua"/>
          <w:sz w:val="20"/>
          <w:szCs w:val="20"/>
          <w:lang w:val="en-US"/>
        </w:rPr>
        <w:t>s</w:t>
      </w:r>
      <w:r w:rsidR="000046BA" w:rsidRPr="00870653">
        <w:rPr>
          <w:rFonts w:ascii="Book Antiqua" w:hAnsi="Book Antiqua"/>
          <w:sz w:val="20"/>
          <w:szCs w:val="20"/>
          <w:lang w:val="en-US"/>
        </w:rPr>
        <w:t>’</w:t>
      </w:r>
      <w:r w:rsidRPr="00870653">
        <w:rPr>
          <w:rFonts w:ascii="Book Antiqua" w:hAnsi="Book Antiqua"/>
          <w:sz w:val="20"/>
          <w:szCs w:val="20"/>
          <w:lang w:val="en-US"/>
        </w:rPr>
        <w:t xml:space="preserve"> CDS</w:t>
      </w:r>
      <w:r w:rsidR="000046BA" w:rsidRPr="00870653">
        <w:rPr>
          <w:rFonts w:ascii="Book Antiqua" w:hAnsi="Book Antiqua"/>
          <w:sz w:val="20"/>
          <w:szCs w:val="20"/>
          <w:lang w:val="en-US"/>
        </w:rPr>
        <w:t>s</w:t>
      </w:r>
      <w:r w:rsidRPr="00870653">
        <w:rPr>
          <w:rFonts w:ascii="Book Antiqua" w:hAnsi="Book Antiqua"/>
          <w:sz w:val="20"/>
          <w:szCs w:val="20"/>
          <w:lang w:val="en-US"/>
        </w:rPr>
        <w:t xml:space="preserve"> (Credit Default Swap</w:t>
      </w:r>
      <w:r w:rsidR="000046BA" w:rsidRPr="00870653">
        <w:rPr>
          <w:rFonts w:ascii="Book Antiqua" w:hAnsi="Book Antiqua"/>
          <w:sz w:val="20"/>
          <w:szCs w:val="20"/>
          <w:lang w:val="en-US"/>
        </w:rPr>
        <w:t>s</w:t>
      </w:r>
      <w:r w:rsidRPr="00870653">
        <w:rPr>
          <w:rFonts w:ascii="Book Antiqua" w:hAnsi="Book Antiqua"/>
          <w:sz w:val="20"/>
          <w:szCs w:val="20"/>
          <w:lang w:val="en-US"/>
        </w:rPr>
        <w:t>).</w:t>
      </w:r>
    </w:p>
    <w:p w14:paraId="32EDA820" w14:textId="0F401557" w:rsidR="0007040B" w:rsidRPr="00870653" w:rsidRDefault="0007040B" w:rsidP="006A0C10">
      <w:pPr>
        <w:spacing w:line="360" w:lineRule="auto"/>
        <w:jc w:val="both"/>
        <w:rPr>
          <w:rFonts w:ascii="Book Antiqua" w:hAnsi="Book Antiqua"/>
          <w:sz w:val="20"/>
          <w:szCs w:val="20"/>
          <w:lang w:val="en-US"/>
        </w:rPr>
      </w:pPr>
      <w:r w:rsidRPr="00870653">
        <w:rPr>
          <w:rFonts w:ascii="Book Antiqua" w:hAnsi="Book Antiqua"/>
          <w:sz w:val="20"/>
          <w:szCs w:val="20"/>
          <w:lang w:val="en-US"/>
        </w:rPr>
        <w:t>The contribution of this work is to evaluate the dyn</w:t>
      </w:r>
      <w:r w:rsidR="00D560AF" w:rsidRPr="00870653">
        <w:rPr>
          <w:rFonts w:ascii="Book Antiqua" w:hAnsi="Book Antiqua"/>
          <w:sz w:val="20"/>
          <w:szCs w:val="20"/>
          <w:lang w:val="en-US"/>
        </w:rPr>
        <w:t>amic evolution of sovereign</w:t>
      </w:r>
      <w:r w:rsidRPr="00870653">
        <w:rPr>
          <w:rFonts w:ascii="Book Antiqua" w:hAnsi="Book Antiqua"/>
          <w:sz w:val="20"/>
          <w:szCs w:val="20"/>
          <w:lang w:val="en-US"/>
        </w:rPr>
        <w:t xml:space="preserve"> and redenomination risk in the price discovery process of the </w:t>
      </w:r>
      <w:r w:rsidR="00E64AF1" w:rsidRPr="00870653">
        <w:rPr>
          <w:rFonts w:ascii="Book Antiqua" w:hAnsi="Book Antiqua"/>
          <w:sz w:val="20"/>
          <w:szCs w:val="20"/>
          <w:lang w:val="en-US"/>
        </w:rPr>
        <w:t>Italian</w:t>
      </w:r>
      <w:r w:rsidR="00D560AF" w:rsidRPr="00870653">
        <w:rPr>
          <w:rFonts w:ascii="Book Antiqua" w:hAnsi="Book Antiqua"/>
          <w:sz w:val="20"/>
          <w:szCs w:val="20"/>
          <w:lang w:val="en-US"/>
        </w:rPr>
        <w:t xml:space="preserve"> bank</w:t>
      </w:r>
      <w:r w:rsidRPr="00870653">
        <w:rPr>
          <w:rFonts w:ascii="Book Antiqua" w:hAnsi="Book Antiqua"/>
          <w:sz w:val="20"/>
          <w:szCs w:val="20"/>
          <w:lang w:val="en-US"/>
        </w:rPr>
        <w:t>s</w:t>
      </w:r>
      <w:r w:rsidR="00D560AF" w:rsidRPr="00870653">
        <w:rPr>
          <w:rFonts w:ascii="Book Antiqua" w:hAnsi="Book Antiqua"/>
          <w:sz w:val="20"/>
          <w:szCs w:val="20"/>
          <w:lang w:val="en-US"/>
        </w:rPr>
        <w:t>’</w:t>
      </w:r>
      <w:r w:rsidRPr="00870653">
        <w:rPr>
          <w:rFonts w:ascii="Book Antiqua" w:hAnsi="Book Antiqua"/>
          <w:sz w:val="20"/>
          <w:szCs w:val="20"/>
          <w:lang w:val="en-US"/>
        </w:rPr>
        <w:t xml:space="preserve"> CDS spreads (or prem</w:t>
      </w:r>
      <w:r w:rsidR="000046BA" w:rsidRPr="00870653">
        <w:rPr>
          <w:rFonts w:ascii="Book Antiqua" w:hAnsi="Book Antiqua"/>
          <w:sz w:val="20"/>
          <w:szCs w:val="20"/>
          <w:lang w:val="en-US"/>
        </w:rPr>
        <w:t xml:space="preserve">ia) </w:t>
      </w:r>
      <w:r w:rsidR="00D560AF" w:rsidRPr="00870653">
        <w:rPr>
          <w:rFonts w:ascii="Book Antiqua" w:hAnsi="Book Antiqua"/>
          <w:sz w:val="20"/>
          <w:szCs w:val="20"/>
          <w:lang w:val="en-US"/>
        </w:rPr>
        <w:t xml:space="preserve">by </w:t>
      </w:r>
      <w:r w:rsidR="000046BA" w:rsidRPr="00870653">
        <w:rPr>
          <w:rFonts w:ascii="Book Antiqua" w:hAnsi="Book Antiqua"/>
          <w:sz w:val="20"/>
          <w:szCs w:val="20"/>
          <w:lang w:val="en-US"/>
        </w:rPr>
        <w:t>using rolling window regressions</w:t>
      </w:r>
      <w:r w:rsidRPr="00870653">
        <w:rPr>
          <w:rFonts w:ascii="Book Antiqua" w:hAnsi="Book Antiqua"/>
          <w:sz w:val="20"/>
          <w:szCs w:val="20"/>
          <w:lang w:val="en-US"/>
        </w:rPr>
        <w:t>. Results show that redenomination risk explain</w:t>
      </w:r>
      <w:r w:rsidR="00D560AF" w:rsidRPr="00870653">
        <w:rPr>
          <w:rFonts w:ascii="Book Antiqua" w:hAnsi="Book Antiqua"/>
          <w:sz w:val="20"/>
          <w:szCs w:val="20"/>
          <w:lang w:val="en-US"/>
        </w:rPr>
        <w:t>s</w:t>
      </w:r>
      <w:r w:rsidRPr="00870653">
        <w:rPr>
          <w:rFonts w:ascii="Book Antiqua" w:hAnsi="Book Antiqua"/>
          <w:sz w:val="20"/>
          <w:szCs w:val="20"/>
          <w:lang w:val="en-US"/>
        </w:rPr>
        <w:t xml:space="preserve"> </w:t>
      </w:r>
      <w:r w:rsidR="00D560AF" w:rsidRPr="00870653">
        <w:rPr>
          <w:rFonts w:ascii="Book Antiqua" w:hAnsi="Book Antiqua"/>
          <w:sz w:val="20"/>
          <w:szCs w:val="20"/>
          <w:lang w:val="en-US"/>
        </w:rPr>
        <w:t>a great part</w:t>
      </w:r>
      <w:r w:rsidRPr="00870653">
        <w:rPr>
          <w:rFonts w:ascii="Book Antiqua" w:hAnsi="Book Antiqua"/>
          <w:sz w:val="20"/>
          <w:szCs w:val="20"/>
          <w:lang w:val="en-US"/>
        </w:rPr>
        <w:t xml:space="preserve"> of the variance in </w:t>
      </w:r>
      <w:r w:rsidR="000046BA" w:rsidRPr="00870653">
        <w:rPr>
          <w:rFonts w:ascii="Book Antiqua" w:hAnsi="Book Antiqua"/>
          <w:sz w:val="20"/>
          <w:szCs w:val="20"/>
          <w:lang w:val="en-US"/>
        </w:rPr>
        <w:t>the CDS spreads during periods of</w:t>
      </w:r>
      <w:r w:rsidRPr="00870653">
        <w:rPr>
          <w:rFonts w:ascii="Book Antiqua" w:hAnsi="Book Antiqua"/>
          <w:sz w:val="20"/>
          <w:szCs w:val="20"/>
          <w:lang w:val="en-US"/>
        </w:rPr>
        <w:t xml:space="preserve"> financial distress. The sovereign risk component</w:t>
      </w:r>
      <w:r w:rsidR="00D560AF" w:rsidRPr="00870653">
        <w:rPr>
          <w:rFonts w:ascii="Book Antiqua" w:hAnsi="Book Antiqua"/>
          <w:sz w:val="20"/>
          <w:szCs w:val="20"/>
          <w:lang w:val="en-US"/>
        </w:rPr>
        <w:t xml:space="preserve"> </w:t>
      </w:r>
      <w:r w:rsidRPr="00870653">
        <w:rPr>
          <w:rFonts w:ascii="Book Antiqua" w:hAnsi="Book Antiqua"/>
          <w:sz w:val="20"/>
          <w:szCs w:val="20"/>
          <w:lang w:val="en-US"/>
        </w:rPr>
        <w:t>explains a large part o</w:t>
      </w:r>
      <w:r w:rsidR="000046BA" w:rsidRPr="00870653">
        <w:rPr>
          <w:rFonts w:ascii="Book Antiqua" w:hAnsi="Book Antiqua"/>
          <w:sz w:val="20"/>
          <w:szCs w:val="20"/>
          <w:lang w:val="en-US"/>
        </w:rPr>
        <w:t xml:space="preserve">f the variance </w:t>
      </w:r>
      <w:r w:rsidRPr="00870653">
        <w:rPr>
          <w:rFonts w:ascii="Book Antiqua" w:hAnsi="Book Antiqua"/>
          <w:sz w:val="20"/>
          <w:szCs w:val="20"/>
          <w:lang w:val="en-US"/>
        </w:rPr>
        <w:t>for almost the entire considered period.</w:t>
      </w:r>
    </w:p>
    <w:p w14:paraId="5768DE31" w14:textId="77777777" w:rsidR="0007040B" w:rsidRPr="00870653" w:rsidRDefault="0007040B" w:rsidP="006A0C10">
      <w:pPr>
        <w:spacing w:line="360" w:lineRule="auto"/>
        <w:jc w:val="both"/>
        <w:rPr>
          <w:rFonts w:ascii="Book Antiqua" w:hAnsi="Book Antiqua"/>
          <w:sz w:val="20"/>
          <w:szCs w:val="20"/>
          <w:lang w:val="en-US"/>
        </w:rPr>
      </w:pPr>
    </w:p>
    <w:p w14:paraId="7528A429" w14:textId="198DCADB" w:rsidR="0007040B" w:rsidRPr="00870653" w:rsidRDefault="0007040B" w:rsidP="006A0C10">
      <w:pPr>
        <w:spacing w:line="360" w:lineRule="auto"/>
        <w:jc w:val="both"/>
        <w:rPr>
          <w:rFonts w:ascii="Book Antiqua" w:hAnsi="Book Antiqua"/>
          <w:sz w:val="20"/>
          <w:szCs w:val="20"/>
          <w:lang w:val="en-US"/>
        </w:rPr>
      </w:pPr>
      <w:r w:rsidRPr="00870653">
        <w:rPr>
          <w:rFonts w:ascii="Book Antiqua" w:hAnsi="Book Antiqua"/>
          <w:b/>
          <w:bCs/>
          <w:sz w:val="20"/>
          <w:szCs w:val="20"/>
          <w:lang w:val="en-US"/>
        </w:rPr>
        <w:t>Keywords</w:t>
      </w:r>
      <w:r w:rsidRPr="00870653">
        <w:rPr>
          <w:rFonts w:ascii="Book Antiqua" w:hAnsi="Book Antiqua"/>
          <w:sz w:val="20"/>
          <w:szCs w:val="20"/>
          <w:lang w:val="en-US"/>
        </w:rPr>
        <w:t>: CDS spread</w:t>
      </w:r>
      <w:r w:rsidR="00CC30CE" w:rsidRPr="00870653">
        <w:rPr>
          <w:rFonts w:ascii="Book Antiqua" w:hAnsi="Book Antiqua"/>
          <w:sz w:val="20"/>
          <w:szCs w:val="20"/>
          <w:lang w:val="en-US"/>
        </w:rPr>
        <w:t>s</w:t>
      </w:r>
      <w:r w:rsidRPr="00870653">
        <w:rPr>
          <w:rFonts w:ascii="Book Antiqua" w:hAnsi="Book Antiqua"/>
          <w:sz w:val="20"/>
          <w:szCs w:val="20"/>
          <w:lang w:val="en-US"/>
        </w:rPr>
        <w:t>;</w:t>
      </w:r>
      <w:r w:rsidR="00CC30CE" w:rsidRPr="00870653">
        <w:rPr>
          <w:rFonts w:ascii="Book Antiqua" w:hAnsi="Book Antiqua"/>
          <w:sz w:val="20"/>
          <w:szCs w:val="20"/>
          <w:lang w:val="en-US"/>
        </w:rPr>
        <w:t xml:space="preserve"> sovereign risk</w:t>
      </w:r>
      <w:r w:rsidRPr="00870653">
        <w:rPr>
          <w:rFonts w:ascii="Book Antiqua" w:hAnsi="Book Antiqua"/>
          <w:sz w:val="20"/>
          <w:szCs w:val="20"/>
          <w:lang w:val="en-US"/>
        </w:rPr>
        <w:t xml:space="preserve">; </w:t>
      </w:r>
      <w:r w:rsidR="00CC30CE" w:rsidRPr="00870653">
        <w:rPr>
          <w:rFonts w:ascii="Book Antiqua" w:hAnsi="Book Antiqua"/>
          <w:sz w:val="20"/>
          <w:szCs w:val="20"/>
          <w:lang w:val="en-US"/>
        </w:rPr>
        <w:t>redenomination risk</w:t>
      </w:r>
      <w:r w:rsidRPr="00870653">
        <w:rPr>
          <w:rFonts w:ascii="Book Antiqua" w:hAnsi="Book Antiqua"/>
          <w:sz w:val="20"/>
          <w:szCs w:val="20"/>
          <w:lang w:val="en-US"/>
        </w:rPr>
        <w:t>; rolling window</w:t>
      </w:r>
      <w:r w:rsidR="00CC30CE" w:rsidRPr="00870653">
        <w:rPr>
          <w:rFonts w:ascii="Book Antiqua" w:hAnsi="Book Antiqua"/>
          <w:sz w:val="20"/>
          <w:szCs w:val="20"/>
          <w:lang w:val="en-US"/>
        </w:rPr>
        <w:t xml:space="preserve"> regressions</w:t>
      </w:r>
      <w:r w:rsidRPr="00870653">
        <w:rPr>
          <w:rFonts w:ascii="Book Antiqua" w:hAnsi="Book Antiqua"/>
          <w:sz w:val="20"/>
          <w:szCs w:val="20"/>
          <w:lang w:val="en-US"/>
        </w:rPr>
        <w:t>;</w:t>
      </w:r>
      <w:r w:rsidR="00591936" w:rsidRPr="00870653">
        <w:rPr>
          <w:rFonts w:ascii="Book Antiqua" w:hAnsi="Book Antiqua"/>
          <w:sz w:val="20"/>
          <w:szCs w:val="20"/>
          <w:lang w:val="en-US"/>
        </w:rPr>
        <w:t xml:space="preserve"> </w:t>
      </w:r>
      <w:r w:rsidRPr="00870653">
        <w:rPr>
          <w:rFonts w:ascii="Book Antiqua" w:hAnsi="Book Antiqua"/>
          <w:sz w:val="20"/>
          <w:szCs w:val="20"/>
          <w:lang w:val="en-US"/>
        </w:rPr>
        <w:t>ISDA</w:t>
      </w:r>
      <w:r w:rsidR="00591936" w:rsidRPr="00870653">
        <w:rPr>
          <w:rFonts w:ascii="Book Antiqua" w:hAnsi="Book Antiqua"/>
          <w:sz w:val="20"/>
          <w:szCs w:val="20"/>
          <w:lang w:val="en-US"/>
        </w:rPr>
        <w:t xml:space="preserve"> basis</w:t>
      </w:r>
    </w:p>
    <w:p w14:paraId="0F61B6E3" w14:textId="68E4D887" w:rsidR="00CC30CE" w:rsidRPr="00A20381" w:rsidRDefault="00CC30CE" w:rsidP="00CC30CE">
      <w:pPr>
        <w:pStyle w:val="MDPI18keywords"/>
        <w:spacing w:line="360" w:lineRule="auto"/>
        <w:ind w:left="0"/>
        <w:rPr>
          <w:rFonts w:ascii="Book Antiqua" w:hAnsi="Book Antiqua"/>
        </w:rPr>
      </w:pPr>
      <w:r w:rsidRPr="00A20381">
        <w:rPr>
          <w:rFonts w:ascii="Book Antiqua" w:hAnsi="Book Antiqua"/>
          <w:b/>
          <w:iCs/>
        </w:rPr>
        <w:t>JEL Classification:</w:t>
      </w:r>
      <w:r w:rsidRPr="00A20381">
        <w:rPr>
          <w:rFonts w:ascii="Book Antiqua" w:hAnsi="Book Antiqua"/>
        </w:rPr>
        <w:t xml:space="preserve"> G01;</w:t>
      </w:r>
      <w:r w:rsidR="00F542AC">
        <w:rPr>
          <w:rFonts w:ascii="Book Antiqua" w:hAnsi="Book Antiqua"/>
        </w:rPr>
        <w:t xml:space="preserve"> </w:t>
      </w:r>
      <w:r w:rsidRPr="00A20381">
        <w:rPr>
          <w:rFonts w:ascii="Book Antiqua" w:hAnsi="Book Antiqua"/>
        </w:rPr>
        <w:t>G12; G14; G20</w:t>
      </w:r>
    </w:p>
    <w:p w14:paraId="4030DB29" w14:textId="49955CAF" w:rsidR="00250340" w:rsidRPr="0007040B" w:rsidRDefault="00250340" w:rsidP="006A0C10">
      <w:pPr>
        <w:spacing w:line="360" w:lineRule="auto"/>
        <w:jc w:val="both"/>
        <w:rPr>
          <w:rFonts w:ascii="Book Antiqua" w:hAnsi="Book Antiqua"/>
          <w:sz w:val="20"/>
          <w:szCs w:val="20"/>
        </w:rPr>
      </w:pPr>
    </w:p>
    <w:p w14:paraId="06206EC1" w14:textId="3A74E7C2" w:rsidR="00591936" w:rsidRDefault="00591936" w:rsidP="006A0C10">
      <w:pPr>
        <w:spacing w:line="360" w:lineRule="auto"/>
        <w:jc w:val="both"/>
        <w:rPr>
          <w:rFonts w:ascii="Book Antiqua" w:hAnsi="Book Antiqua"/>
          <w:sz w:val="20"/>
          <w:szCs w:val="20"/>
        </w:rPr>
      </w:pPr>
    </w:p>
    <w:p w14:paraId="31EBC286" w14:textId="57708AAA" w:rsidR="00250340" w:rsidRDefault="00250340" w:rsidP="006A0C10">
      <w:pPr>
        <w:spacing w:line="360" w:lineRule="auto"/>
        <w:jc w:val="both"/>
        <w:rPr>
          <w:rFonts w:ascii="Book Antiqua" w:hAnsi="Book Antiqua"/>
          <w:sz w:val="20"/>
          <w:szCs w:val="20"/>
        </w:rPr>
      </w:pPr>
    </w:p>
    <w:p w14:paraId="13847A78" w14:textId="5C5B17D9" w:rsidR="00C21402" w:rsidRDefault="00C21402" w:rsidP="006A0C10">
      <w:pPr>
        <w:spacing w:line="360" w:lineRule="auto"/>
        <w:jc w:val="both"/>
        <w:rPr>
          <w:rFonts w:ascii="Book Antiqua" w:hAnsi="Book Antiqua"/>
          <w:sz w:val="20"/>
          <w:szCs w:val="20"/>
        </w:rPr>
      </w:pPr>
    </w:p>
    <w:p w14:paraId="2DAEB9E6" w14:textId="16D0FA4A" w:rsidR="00C21402" w:rsidRDefault="00C21402" w:rsidP="006A0C10">
      <w:pPr>
        <w:spacing w:line="360" w:lineRule="auto"/>
        <w:jc w:val="both"/>
        <w:rPr>
          <w:rFonts w:ascii="Book Antiqua" w:hAnsi="Book Antiqua"/>
          <w:sz w:val="20"/>
          <w:szCs w:val="20"/>
        </w:rPr>
      </w:pPr>
    </w:p>
    <w:p w14:paraId="6A1EB109" w14:textId="77777777" w:rsidR="00E85EE2" w:rsidRDefault="00E85EE2" w:rsidP="006A0C10">
      <w:pPr>
        <w:spacing w:line="360" w:lineRule="auto"/>
        <w:jc w:val="both"/>
        <w:rPr>
          <w:rFonts w:ascii="Book Antiqua" w:hAnsi="Book Antiqua"/>
          <w:sz w:val="20"/>
          <w:szCs w:val="20"/>
        </w:rPr>
      </w:pPr>
    </w:p>
    <w:p w14:paraId="0A973ED2" w14:textId="2E75424C" w:rsidR="00250340" w:rsidRPr="00250340" w:rsidRDefault="0007040B" w:rsidP="0016291A">
      <w:pPr>
        <w:pStyle w:val="Paragrafoelenco"/>
        <w:numPr>
          <w:ilvl w:val="0"/>
          <w:numId w:val="39"/>
        </w:numPr>
        <w:spacing w:line="360" w:lineRule="auto"/>
        <w:ind w:left="284" w:hanging="284"/>
        <w:jc w:val="both"/>
        <w:rPr>
          <w:rFonts w:ascii="Book Antiqua" w:hAnsi="Book Antiqua"/>
          <w:b/>
          <w:bCs/>
          <w:sz w:val="28"/>
          <w:szCs w:val="28"/>
        </w:rPr>
      </w:pPr>
      <w:r w:rsidRPr="0007040B">
        <w:rPr>
          <w:rFonts w:ascii="Book Antiqua" w:hAnsi="Book Antiqua"/>
          <w:b/>
          <w:bCs/>
          <w:sz w:val="28"/>
          <w:szCs w:val="28"/>
        </w:rPr>
        <w:lastRenderedPageBreak/>
        <w:t>Introduction</w:t>
      </w:r>
    </w:p>
    <w:p w14:paraId="43785BB4" w14:textId="1376BE15" w:rsidR="00C1717D" w:rsidRPr="00870653" w:rsidRDefault="00A0292F" w:rsidP="00EB6FE6">
      <w:pPr>
        <w:spacing w:after="0" w:line="360" w:lineRule="auto"/>
        <w:jc w:val="both"/>
        <w:rPr>
          <w:rFonts w:ascii="Book Antiqua" w:hAnsi="Book Antiqua"/>
          <w:sz w:val="20"/>
          <w:szCs w:val="20"/>
          <w:lang w:val="en-US"/>
        </w:rPr>
      </w:pPr>
      <w:r w:rsidRPr="00870653">
        <w:rPr>
          <w:rFonts w:ascii="Book Antiqua" w:hAnsi="Book Antiqua"/>
          <w:sz w:val="20"/>
          <w:szCs w:val="20"/>
          <w:lang w:val="en-US"/>
        </w:rPr>
        <w:t>The recent global financial crisis and the subsequent sovereign debt crisis of the peripheral co</w:t>
      </w:r>
      <w:r w:rsidR="00AE3679" w:rsidRPr="00870653">
        <w:rPr>
          <w:rFonts w:ascii="Book Antiqua" w:hAnsi="Book Antiqua"/>
          <w:sz w:val="20"/>
          <w:szCs w:val="20"/>
          <w:lang w:val="en-US"/>
        </w:rPr>
        <w:t>untries of the E</w:t>
      </w:r>
      <w:r w:rsidRPr="00870653">
        <w:rPr>
          <w:rFonts w:ascii="Book Antiqua" w:hAnsi="Book Antiqua"/>
          <w:sz w:val="20"/>
          <w:szCs w:val="20"/>
          <w:lang w:val="en-US"/>
        </w:rPr>
        <w:t>urozone</w:t>
      </w:r>
      <w:r w:rsidR="00120BDB" w:rsidRPr="00870653">
        <w:rPr>
          <w:rFonts w:ascii="Book Antiqua" w:hAnsi="Book Antiqua"/>
          <w:sz w:val="20"/>
          <w:szCs w:val="20"/>
          <w:lang w:val="en-US"/>
        </w:rPr>
        <w:t xml:space="preserve"> (the so-called “</w:t>
      </w:r>
      <w:r w:rsidR="00120BDB" w:rsidRPr="00870653">
        <w:rPr>
          <w:rFonts w:ascii="Book Antiqua" w:hAnsi="Book Antiqua"/>
          <w:i/>
          <w:iCs/>
          <w:sz w:val="20"/>
          <w:szCs w:val="20"/>
          <w:lang w:val="en-US"/>
        </w:rPr>
        <w:t>PIIGS”</w:t>
      </w:r>
      <w:r w:rsidR="00120BDB" w:rsidRPr="00870653">
        <w:rPr>
          <w:rFonts w:ascii="Book Antiqua" w:hAnsi="Book Antiqua"/>
          <w:sz w:val="20"/>
          <w:szCs w:val="20"/>
          <w:lang w:val="en-US"/>
        </w:rPr>
        <w:t xml:space="preserve">) </w:t>
      </w:r>
      <w:r w:rsidRPr="00870653">
        <w:rPr>
          <w:rFonts w:ascii="Book Antiqua" w:hAnsi="Book Antiqua"/>
          <w:sz w:val="20"/>
          <w:szCs w:val="20"/>
          <w:lang w:val="en-US"/>
        </w:rPr>
        <w:t xml:space="preserve">have generated historic levels of volatility and instability in the financial markets, putting a strain on the entire </w:t>
      </w:r>
      <w:r w:rsidR="00E64AF1" w:rsidRPr="00870653">
        <w:rPr>
          <w:rFonts w:ascii="Book Antiqua" w:hAnsi="Book Antiqua"/>
          <w:sz w:val="20"/>
          <w:szCs w:val="20"/>
          <w:lang w:val="en-US"/>
        </w:rPr>
        <w:t>European</w:t>
      </w:r>
      <w:r w:rsidRPr="00870653">
        <w:rPr>
          <w:rFonts w:ascii="Book Antiqua" w:hAnsi="Book Antiqua"/>
          <w:sz w:val="20"/>
          <w:szCs w:val="20"/>
          <w:lang w:val="en-US"/>
        </w:rPr>
        <w:t xml:space="preserve"> institutional structure. The following uncertainty</w:t>
      </w:r>
      <w:r w:rsidR="00717805" w:rsidRPr="00870653">
        <w:rPr>
          <w:rFonts w:ascii="Book Antiqua" w:hAnsi="Book Antiqua"/>
          <w:sz w:val="20"/>
          <w:szCs w:val="20"/>
          <w:lang w:val="en-US"/>
        </w:rPr>
        <w:t xml:space="preserve"> has</w:t>
      </w:r>
      <w:r w:rsidRPr="00870653">
        <w:rPr>
          <w:rFonts w:ascii="Book Antiqua" w:hAnsi="Book Antiqua"/>
          <w:sz w:val="20"/>
          <w:szCs w:val="20"/>
          <w:lang w:val="en-US"/>
        </w:rPr>
        <w:t xml:space="preserve"> made it interesting to observe the effects on the financial markets and on the national banking systems that</w:t>
      </w:r>
      <w:r w:rsidR="00717805" w:rsidRPr="00870653">
        <w:rPr>
          <w:rFonts w:ascii="Book Antiqua" w:hAnsi="Book Antiqua"/>
          <w:sz w:val="20"/>
          <w:szCs w:val="20"/>
          <w:lang w:val="en-US"/>
        </w:rPr>
        <w:t xml:space="preserve"> have been</w:t>
      </w:r>
      <w:r w:rsidRPr="00870653">
        <w:rPr>
          <w:rFonts w:ascii="Book Antiqua" w:hAnsi="Book Antiqua"/>
          <w:sz w:val="20"/>
          <w:szCs w:val="20"/>
          <w:lang w:val="en-US"/>
        </w:rPr>
        <w:t xml:space="preserve"> directly involved due to exposure to sovereign debts</w:t>
      </w:r>
      <w:r w:rsidR="00673A81" w:rsidRPr="00870653">
        <w:rPr>
          <w:rFonts w:ascii="Book Antiqua" w:hAnsi="Book Antiqua"/>
          <w:sz w:val="20"/>
          <w:szCs w:val="20"/>
          <w:lang w:val="en-US"/>
        </w:rPr>
        <w:t xml:space="preserve"> (Li and Zinna, 2014)</w:t>
      </w:r>
      <w:r w:rsidRPr="00870653">
        <w:rPr>
          <w:rFonts w:ascii="Book Antiqua" w:hAnsi="Book Antiqua"/>
          <w:sz w:val="20"/>
          <w:szCs w:val="20"/>
          <w:lang w:val="en-US"/>
        </w:rPr>
        <w:t xml:space="preserve">. The </w:t>
      </w:r>
      <w:r w:rsidR="00BD2B7D" w:rsidRPr="00870653">
        <w:rPr>
          <w:rFonts w:ascii="Book Antiqua" w:hAnsi="Book Antiqua"/>
          <w:sz w:val="20"/>
          <w:szCs w:val="20"/>
          <w:lang w:val="en-US"/>
        </w:rPr>
        <w:t xml:space="preserve">2008 global </w:t>
      </w:r>
      <w:r w:rsidRPr="00870653">
        <w:rPr>
          <w:rFonts w:ascii="Book Antiqua" w:hAnsi="Book Antiqua"/>
          <w:sz w:val="20"/>
          <w:szCs w:val="20"/>
          <w:lang w:val="en-US"/>
        </w:rPr>
        <w:t xml:space="preserve">financial crisis, in fact, </w:t>
      </w:r>
      <w:r w:rsidR="00717805" w:rsidRPr="00870653">
        <w:rPr>
          <w:rFonts w:ascii="Book Antiqua" w:hAnsi="Book Antiqua"/>
          <w:sz w:val="20"/>
          <w:szCs w:val="20"/>
          <w:lang w:val="en-US"/>
        </w:rPr>
        <w:t xml:space="preserve">has </w:t>
      </w:r>
      <w:r w:rsidRPr="00870653">
        <w:rPr>
          <w:rFonts w:ascii="Book Antiqua" w:hAnsi="Book Antiqua"/>
          <w:sz w:val="20"/>
          <w:szCs w:val="20"/>
          <w:lang w:val="en-US"/>
        </w:rPr>
        <w:t xml:space="preserve">made it necessary </w:t>
      </w:r>
      <w:r w:rsidR="0000049A" w:rsidRPr="00870653">
        <w:rPr>
          <w:rFonts w:ascii="Book Antiqua" w:hAnsi="Book Antiqua"/>
          <w:sz w:val="20"/>
          <w:szCs w:val="20"/>
          <w:lang w:val="en-US"/>
        </w:rPr>
        <w:t xml:space="preserve">the action of </w:t>
      </w:r>
      <w:r w:rsidRPr="00870653">
        <w:rPr>
          <w:rFonts w:ascii="Book Antiqua" w:hAnsi="Book Antiqua"/>
          <w:sz w:val="20"/>
          <w:szCs w:val="20"/>
          <w:lang w:val="en-US"/>
        </w:rPr>
        <w:t xml:space="preserve">many </w:t>
      </w:r>
      <w:r w:rsidR="00E64AF1" w:rsidRPr="00870653">
        <w:rPr>
          <w:rFonts w:ascii="Book Antiqua" w:hAnsi="Book Antiqua"/>
          <w:sz w:val="20"/>
          <w:szCs w:val="20"/>
          <w:lang w:val="en-US"/>
        </w:rPr>
        <w:t>European</w:t>
      </w:r>
      <w:r w:rsidRPr="00870653">
        <w:rPr>
          <w:rFonts w:ascii="Book Antiqua" w:hAnsi="Book Antiqua"/>
          <w:sz w:val="20"/>
          <w:szCs w:val="20"/>
          <w:lang w:val="en-US"/>
        </w:rPr>
        <w:t xml:space="preserve"> </w:t>
      </w:r>
      <w:r w:rsidR="00E64AF1" w:rsidRPr="00870653">
        <w:rPr>
          <w:rFonts w:ascii="Book Antiqua" w:hAnsi="Book Antiqua"/>
          <w:sz w:val="20"/>
          <w:szCs w:val="20"/>
          <w:lang w:val="en-US"/>
        </w:rPr>
        <w:t>State</w:t>
      </w:r>
      <w:r w:rsidRPr="00870653">
        <w:rPr>
          <w:rFonts w:ascii="Book Antiqua" w:hAnsi="Book Antiqua"/>
          <w:sz w:val="20"/>
          <w:szCs w:val="20"/>
          <w:lang w:val="en-US"/>
        </w:rPr>
        <w:t xml:space="preserve">s in the rescue of national banking systems. The </w:t>
      </w:r>
      <w:r w:rsidR="006F2E91" w:rsidRPr="00870653">
        <w:rPr>
          <w:rFonts w:ascii="Book Antiqua" w:hAnsi="Book Antiqua"/>
          <w:sz w:val="20"/>
          <w:szCs w:val="20"/>
          <w:lang w:val="en-US"/>
        </w:rPr>
        <w:t>bailout</w:t>
      </w:r>
      <w:r w:rsidRPr="00870653">
        <w:rPr>
          <w:rFonts w:ascii="Book Antiqua" w:hAnsi="Book Antiqua"/>
          <w:sz w:val="20"/>
          <w:szCs w:val="20"/>
          <w:lang w:val="en-US"/>
        </w:rPr>
        <w:t xml:space="preserve"> operations</w:t>
      </w:r>
      <w:r w:rsidR="00717805" w:rsidRPr="00870653">
        <w:rPr>
          <w:rFonts w:ascii="Book Antiqua" w:hAnsi="Book Antiqua"/>
          <w:sz w:val="20"/>
          <w:szCs w:val="20"/>
          <w:lang w:val="en-US"/>
        </w:rPr>
        <w:t xml:space="preserve"> have consisted of</w:t>
      </w:r>
      <w:r w:rsidRPr="00870653">
        <w:rPr>
          <w:rFonts w:ascii="Book Antiqua" w:hAnsi="Book Antiqua"/>
          <w:sz w:val="20"/>
          <w:szCs w:val="20"/>
          <w:lang w:val="en-US"/>
        </w:rPr>
        <w:t xml:space="preserve"> transform</w:t>
      </w:r>
      <w:r w:rsidR="00717805" w:rsidRPr="00870653">
        <w:rPr>
          <w:rFonts w:ascii="Book Antiqua" w:hAnsi="Book Antiqua"/>
          <w:sz w:val="20"/>
          <w:szCs w:val="20"/>
          <w:lang w:val="en-US"/>
        </w:rPr>
        <w:t>ing</w:t>
      </w:r>
      <w:r w:rsidRPr="00870653">
        <w:rPr>
          <w:rFonts w:ascii="Book Antiqua" w:hAnsi="Book Antiqua"/>
          <w:sz w:val="20"/>
          <w:szCs w:val="20"/>
          <w:lang w:val="en-US"/>
        </w:rPr>
        <w:t xml:space="preserve"> private debt into public debt, </w:t>
      </w:r>
      <w:r w:rsidR="0000049A" w:rsidRPr="00870653">
        <w:rPr>
          <w:rFonts w:ascii="Book Antiqua" w:hAnsi="Book Antiqua"/>
          <w:sz w:val="20"/>
          <w:szCs w:val="20"/>
          <w:lang w:val="en-US"/>
        </w:rPr>
        <w:t xml:space="preserve">causing a </w:t>
      </w:r>
      <w:r w:rsidRPr="00870653">
        <w:rPr>
          <w:rFonts w:ascii="Book Antiqua" w:hAnsi="Book Antiqua"/>
          <w:sz w:val="20"/>
          <w:szCs w:val="20"/>
          <w:lang w:val="en-US"/>
        </w:rPr>
        <w:t xml:space="preserve">strengthening </w:t>
      </w:r>
      <w:r w:rsidR="0000049A" w:rsidRPr="00870653">
        <w:rPr>
          <w:rFonts w:ascii="Book Antiqua" w:hAnsi="Book Antiqua"/>
          <w:sz w:val="20"/>
          <w:szCs w:val="20"/>
          <w:lang w:val="en-US"/>
        </w:rPr>
        <w:t xml:space="preserve">of </w:t>
      </w:r>
      <w:r w:rsidRPr="00870653">
        <w:rPr>
          <w:rFonts w:ascii="Book Antiqua" w:hAnsi="Book Antiqua"/>
          <w:sz w:val="20"/>
          <w:szCs w:val="20"/>
          <w:lang w:val="en-US"/>
        </w:rPr>
        <w:t>the</w:t>
      </w:r>
      <w:r w:rsidR="00BD2B7D" w:rsidRPr="00870653">
        <w:rPr>
          <w:rFonts w:ascii="Book Antiqua" w:hAnsi="Book Antiqua"/>
          <w:sz w:val="20"/>
          <w:szCs w:val="20"/>
          <w:lang w:val="en-US"/>
        </w:rPr>
        <w:t xml:space="preserve"> </w:t>
      </w:r>
      <w:r w:rsidRPr="00870653">
        <w:rPr>
          <w:rFonts w:ascii="Book Antiqua" w:hAnsi="Book Antiqua"/>
          <w:sz w:val="20"/>
          <w:szCs w:val="20"/>
          <w:lang w:val="en-US"/>
        </w:rPr>
        <w:t>link</w:t>
      </w:r>
      <w:r w:rsidR="00BD2B7D" w:rsidRPr="00870653">
        <w:rPr>
          <w:rFonts w:ascii="Book Antiqua" w:hAnsi="Book Antiqua"/>
          <w:sz w:val="20"/>
          <w:szCs w:val="20"/>
          <w:lang w:val="en-US"/>
        </w:rPr>
        <w:t xml:space="preserve"> between </w:t>
      </w:r>
      <w:r w:rsidR="00E64AF1" w:rsidRPr="00870653">
        <w:rPr>
          <w:rFonts w:ascii="Book Antiqua" w:hAnsi="Book Antiqua"/>
          <w:sz w:val="20"/>
          <w:szCs w:val="20"/>
          <w:lang w:val="en-US"/>
        </w:rPr>
        <w:t>State</w:t>
      </w:r>
      <w:r w:rsidR="00BD2B7D" w:rsidRPr="00870653">
        <w:rPr>
          <w:rFonts w:ascii="Book Antiqua" w:hAnsi="Book Antiqua"/>
          <w:sz w:val="20"/>
          <w:szCs w:val="20"/>
          <w:lang w:val="en-US"/>
        </w:rPr>
        <w:t xml:space="preserve"> and baking systems</w:t>
      </w:r>
      <w:r w:rsidRPr="00870653">
        <w:rPr>
          <w:rFonts w:ascii="Book Antiqua" w:hAnsi="Book Antiqua"/>
          <w:sz w:val="20"/>
          <w:szCs w:val="20"/>
          <w:lang w:val="en-US"/>
        </w:rPr>
        <w:t>. With the sovereign debt crisi</w:t>
      </w:r>
      <w:r w:rsidR="00BD2B7D" w:rsidRPr="00870653">
        <w:rPr>
          <w:rFonts w:ascii="Book Antiqua" w:hAnsi="Book Antiqua"/>
          <w:sz w:val="20"/>
          <w:szCs w:val="20"/>
          <w:lang w:val="en-US"/>
        </w:rPr>
        <w:t>s</w:t>
      </w:r>
      <w:r w:rsidRPr="00870653">
        <w:rPr>
          <w:rFonts w:ascii="Book Antiqua" w:hAnsi="Book Antiqua"/>
          <w:sz w:val="20"/>
          <w:szCs w:val="20"/>
          <w:lang w:val="en-US"/>
        </w:rPr>
        <w:t xml:space="preserve">, this </w:t>
      </w:r>
      <w:r w:rsidR="00BD2B7D" w:rsidRPr="00870653">
        <w:rPr>
          <w:rFonts w:ascii="Book Antiqua" w:hAnsi="Book Antiqua"/>
          <w:sz w:val="20"/>
          <w:szCs w:val="20"/>
          <w:lang w:val="en-US"/>
        </w:rPr>
        <w:t>link</w:t>
      </w:r>
      <w:r w:rsidRPr="00870653">
        <w:rPr>
          <w:rFonts w:ascii="Book Antiqua" w:hAnsi="Book Antiqua"/>
          <w:sz w:val="20"/>
          <w:szCs w:val="20"/>
          <w:lang w:val="en-US"/>
        </w:rPr>
        <w:t xml:space="preserve"> of interdependence </w:t>
      </w:r>
      <w:r w:rsidR="00717805" w:rsidRPr="00870653">
        <w:rPr>
          <w:rFonts w:ascii="Book Antiqua" w:hAnsi="Book Antiqua"/>
          <w:sz w:val="20"/>
          <w:szCs w:val="20"/>
          <w:lang w:val="en-US"/>
        </w:rPr>
        <w:t xml:space="preserve">has been </w:t>
      </w:r>
      <w:r w:rsidRPr="00870653">
        <w:rPr>
          <w:rFonts w:ascii="Book Antiqua" w:hAnsi="Book Antiqua"/>
          <w:sz w:val="20"/>
          <w:szCs w:val="20"/>
          <w:lang w:val="en-US"/>
        </w:rPr>
        <w:t>further strengthened (so-called "</w:t>
      </w:r>
      <w:r w:rsidRPr="00870653">
        <w:rPr>
          <w:rFonts w:ascii="Book Antiqua" w:hAnsi="Book Antiqua"/>
          <w:i/>
          <w:iCs/>
          <w:sz w:val="20"/>
          <w:szCs w:val="20"/>
          <w:lang w:val="en-US"/>
        </w:rPr>
        <w:t>doom loop</w:t>
      </w:r>
      <w:r w:rsidRPr="00870653">
        <w:rPr>
          <w:rFonts w:ascii="Book Antiqua" w:hAnsi="Book Antiqua"/>
          <w:sz w:val="20"/>
          <w:szCs w:val="20"/>
          <w:lang w:val="en-US"/>
        </w:rPr>
        <w:t>" or "</w:t>
      </w:r>
      <w:r w:rsidRPr="00870653">
        <w:rPr>
          <w:rFonts w:ascii="Book Antiqua" w:hAnsi="Book Antiqua"/>
          <w:i/>
          <w:iCs/>
          <w:sz w:val="20"/>
          <w:szCs w:val="20"/>
          <w:lang w:val="en-US"/>
        </w:rPr>
        <w:t>deadly embrace</w:t>
      </w:r>
      <w:r w:rsidRPr="00870653">
        <w:rPr>
          <w:rFonts w:ascii="Book Antiqua" w:hAnsi="Book Antiqua"/>
          <w:sz w:val="20"/>
          <w:szCs w:val="20"/>
          <w:lang w:val="en-US"/>
        </w:rPr>
        <w:t>")</w:t>
      </w:r>
      <w:r w:rsidR="008E1A9E" w:rsidRPr="00870653">
        <w:rPr>
          <w:rFonts w:ascii="Book Antiqua" w:hAnsi="Book Antiqua"/>
          <w:sz w:val="20"/>
          <w:szCs w:val="20"/>
          <w:lang w:val="en-US"/>
        </w:rPr>
        <w:t xml:space="preserve"> (Farhi and Tirole, 2017)</w:t>
      </w:r>
      <w:r w:rsidRPr="00870653">
        <w:rPr>
          <w:rFonts w:ascii="Book Antiqua" w:hAnsi="Book Antiqua"/>
          <w:sz w:val="20"/>
          <w:szCs w:val="20"/>
          <w:lang w:val="en-US"/>
        </w:rPr>
        <w:t xml:space="preserve"> </w:t>
      </w:r>
      <w:r w:rsidR="00BD2B7D" w:rsidRPr="00870653">
        <w:rPr>
          <w:rFonts w:ascii="Book Antiqua" w:hAnsi="Book Antiqua"/>
          <w:sz w:val="20"/>
          <w:szCs w:val="20"/>
          <w:lang w:val="en-US"/>
        </w:rPr>
        <w:t xml:space="preserve">because of </w:t>
      </w:r>
      <w:r w:rsidRPr="00870653">
        <w:rPr>
          <w:rFonts w:ascii="Book Antiqua" w:hAnsi="Book Antiqua"/>
          <w:sz w:val="20"/>
          <w:szCs w:val="20"/>
          <w:lang w:val="en-US"/>
        </w:rPr>
        <w:t xml:space="preserve">the </w:t>
      </w:r>
      <w:r w:rsidR="00BD2B7D" w:rsidRPr="00870653">
        <w:rPr>
          <w:rFonts w:ascii="Book Antiqua" w:hAnsi="Book Antiqua"/>
          <w:sz w:val="20"/>
          <w:szCs w:val="20"/>
          <w:lang w:val="en-US"/>
        </w:rPr>
        <w:t xml:space="preserve">banks’ </w:t>
      </w:r>
      <w:r w:rsidRPr="00870653">
        <w:rPr>
          <w:rFonts w:ascii="Book Antiqua" w:hAnsi="Book Antiqua"/>
          <w:sz w:val="20"/>
          <w:szCs w:val="20"/>
          <w:lang w:val="en-US"/>
        </w:rPr>
        <w:t xml:space="preserve">exposure to the </w:t>
      </w:r>
      <w:r w:rsidR="000071EF" w:rsidRPr="00870653">
        <w:rPr>
          <w:rFonts w:ascii="Book Antiqua" w:hAnsi="Book Antiqua"/>
          <w:sz w:val="20"/>
          <w:szCs w:val="20"/>
          <w:lang w:val="en-US"/>
        </w:rPr>
        <w:t>credit risk of domestic sovereigns</w:t>
      </w:r>
      <w:r w:rsidRPr="00870653">
        <w:rPr>
          <w:rFonts w:ascii="Book Antiqua" w:hAnsi="Book Antiqua"/>
          <w:sz w:val="20"/>
          <w:szCs w:val="20"/>
          <w:lang w:val="en-US"/>
        </w:rPr>
        <w:t xml:space="preserve">, especially </w:t>
      </w:r>
      <w:r w:rsidR="000071EF" w:rsidRPr="00870653">
        <w:rPr>
          <w:rFonts w:ascii="Book Antiqua" w:hAnsi="Book Antiqua"/>
          <w:sz w:val="20"/>
          <w:szCs w:val="20"/>
          <w:lang w:val="en-US"/>
        </w:rPr>
        <w:t xml:space="preserve">as for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and Spanish banks</w:t>
      </w:r>
      <w:r w:rsidR="001E567A">
        <w:rPr>
          <w:rStyle w:val="Rimandonotaapidipagina"/>
          <w:rFonts w:ascii="Book Antiqua" w:hAnsi="Book Antiqua"/>
          <w:sz w:val="20"/>
          <w:szCs w:val="20"/>
        </w:rPr>
        <w:footnoteReference w:id="1"/>
      </w:r>
      <w:r w:rsidR="008E1A9E" w:rsidRPr="00870653">
        <w:rPr>
          <w:rFonts w:ascii="Book Antiqua" w:hAnsi="Book Antiqua"/>
          <w:sz w:val="20"/>
          <w:szCs w:val="20"/>
          <w:lang w:val="en-US"/>
        </w:rPr>
        <w:t xml:space="preserve"> (Li and Zinna, 2014)</w:t>
      </w:r>
      <w:r w:rsidRPr="00870653">
        <w:rPr>
          <w:rFonts w:ascii="Book Antiqua" w:hAnsi="Book Antiqua"/>
          <w:sz w:val="20"/>
          <w:szCs w:val="20"/>
          <w:lang w:val="en-US"/>
        </w:rPr>
        <w:t>.</w:t>
      </w:r>
      <w:r w:rsidR="00DD212B" w:rsidRPr="00870653">
        <w:rPr>
          <w:rFonts w:ascii="Book Antiqua" w:hAnsi="Book Antiqua"/>
          <w:sz w:val="20"/>
          <w:szCs w:val="20"/>
          <w:lang w:val="en-US"/>
        </w:rPr>
        <w:t xml:space="preserve"> </w:t>
      </w:r>
    </w:p>
    <w:p w14:paraId="76557E5C" w14:textId="4026ACE1" w:rsidR="00120BDB" w:rsidRPr="00870653" w:rsidRDefault="005F4466" w:rsidP="00EB6FE6">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In this </w:t>
      </w:r>
      <w:r w:rsidR="00C1717D" w:rsidRPr="00870653">
        <w:rPr>
          <w:rFonts w:ascii="Book Antiqua" w:hAnsi="Book Antiqua"/>
          <w:sz w:val="20"/>
          <w:szCs w:val="20"/>
          <w:lang w:val="en-US"/>
        </w:rPr>
        <w:t>context</w:t>
      </w:r>
      <w:r w:rsidRPr="00870653">
        <w:rPr>
          <w:rFonts w:ascii="Book Antiqua" w:hAnsi="Book Antiqua"/>
          <w:sz w:val="20"/>
          <w:szCs w:val="20"/>
          <w:lang w:val="en-US"/>
        </w:rPr>
        <w:t>, the cross-border relations of national banking systems have increased exposure to non-domestic sovereign risk and strengthened the links between European sovereigns (Korte and Steffen, 2014).</w:t>
      </w:r>
      <w:r w:rsidR="00120BDB" w:rsidRPr="00870653">
        <w:rPr>
          <w:rFonts w:ascii="Book Antiqua" w:hAnsi="Book Antiqua"/>
          <w:sz w:val="20"/>
          <w:szCs w:val="20"/>
          <w:lang w:val="en-US"/>
        </w:rPr>
        <w:t>T</w:t>
      </w:r>
      <w:r w:rsidR="009129E4" w:rsidRPr="00870653">
        <w:rPr>
          <w:rFonts w:ascii="Book Antiqua" w:hAnsi="Book Antiqua"/>
          <w:sz w:val="20"/>
          <w:szCs w:val="20"/>
          <w:lang w:val="en-US"/>
        </w:rPr>
        <w:t xml:space="preserve">he </w:t>
      </w:r>
      <w:r w:rsidR="0066786F" w:rsidRPr="00870653">
        <w:rPr>
          <w:rFonts w:ascii="Book Antiqua" w:hAnsi="Book Antiqua"/>
          <w:sz w:val="20"/>
          <w:szCs w:val="20"/>
          <w:lang w:val="en-US"/>
        </w:rPr>
        <w:t xml:space="preserve">links </w:t>
      </w:r>
      <w:r w:rsidR="009129E4" w:rsidRPr="00870653">
        <w:rPr>
          <w:rFonts w:ascii="Book Antiqua" w:hAnsi="Book Antiqua"/>
          <w:sz w:val="20"/>
          <w:szCs w:val="20"/>
          <w:lang w:val="en-US"/>
        </w:rPr>
        <w:t>have become so strong that they</w:t>
      </w:r>
      <w:r w:rsidR="0066786F" w:rsidRPr="00870653">
        <w:rPr>
          <w:rFonts w:ascii="Book Antiqua" w:hAnsi="Book Antiqua"/>
          <w:sz w:val="20"/>
          <w:szCs w:val="20"/>
          <w:lang w:val="en-US"/>
        </w:rPr>
        <w:t xml:space="preserve"> have</w:t>
      </w:r>
      <w:r w:rsidR="009129E4" w:rsidRPr="00870653">
        <w:rPr>
          <w:rFonts w:ascii="Book Antiqua" w:hAnsi="Book Antiqua"/>
          <w:sz w:val="20"/>
          <w:szCs w:val="20"/>
          <w:lang w:val="en-US"/>
        </w:rPr>
        <w:t xml:space="preserve"> generate</w:t>
      </w:r>
      <w:r w:rsidR="0066786F" w:rsidRPr="00870653">
        <w:rPr>
          <w:rFonts w:ascii="Book Antiqua" w:hAnsi="Book Antiqua"/>
          <w:sz w:val="20"/>
          <w:szCs w:val="20"/>
          <w:lang w:val="en-US"/>
        </w:rPr>
        <w:t>d the</w:t>
      </w:r>
      <w:r w:rsidR="009129E4" w:rsidRPr="00870653">
        <w:rPr>
          <w:rFonts w:ascii="Book Antiqua" w:hAnsi="Book Antiqua"/>
          <w:sz w:val="20"/>
          <w:szCs w:val="20"/>
          <w:lang w:val="en-US"/>
        </w:rPr>
        <w:t xml:space="preserve"> fear that the failure of a </w:t>
      </w:r>
      <w:r w:rsidR="0066786F" w:rsidRPr="00870653">
        <w:rPr>
          <w:rFonts w:ascii="Book Antiqua" w:hAnsi="Book Antiqua"/>
          <w:sz w:val="20"/>
          <w:szCs w:val="20"/>
          <w:lang w:val="en-US"/>
        </w:rPr>
        <w:t>S</w:t>
      </w:r>
      <w:r w:rsidR="009129E4" w:rsidRPr="00870653">
        <w:rPr>
          <w:rFonts w:ascii="Book Antiqua" w:hAnsi="Book Antiqua"/>
          <w:sz w:val="20"/>
          <w:szCs w:val="20"/>
          <w:lang w:val="en-US"/>
        </w:rPr>
        <w:t xml:space="preserve">tate could cause the breakup of the </w:t>
      </w:r>
      <w:r w:rsidR="00312F4C" w:rsidRPr="00870653">
        <w:rPr>
          <w:rFonts w:ascii="Book Antiqua" w:hAnsi="Book Antiqua"/>
          <w:sz w:val="20"/>
          <w:szCs w:val="20"/>
          <w:lang w:val="en-US"/>
        </w:rPr>
        <w:t>Euro Area</w:t>
      </w:r>
      <w:r w:rsidR="009129E4" w:rsidRPr="00870653">
        <w:rPr>
          <w:rFonts w:ascii="Book Antiqua" w:hAnsi="Book Antiqua"/>
          <w:sz w:val="20"/>
          <w:szCs w:val="20"/>
          <w:lang w:val="en-US"/>
        </w:rPr>
        <w:t xml:space="preserve"> (Li and Zinna, 2014)</w:t>
      </w:r>
      <w:r w:rsidR="00A832AE" w:rsidRPr="00870653">
        <w:rPr>
          <w:rFonts w:ascii="Book Antiqua" w:hAnsi="Book Antiqua"/>
          <w:sz w:val="20"/>
          <w:szCs w:val="20"/>
          <w:lang w:val="en-US"/>
        </w:rPr>
        <w:t xml:space="preserve">. </w:t>
      </w:r>
    </w:p>
    <w:p w14:paraId="5F4708D8" w14:textId="0939AAB6" w:rsidR="00A23602" w:rsidRPr="00870653" w:rsidRDefault="00A832AE" w:rsidP="00A23602">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Speculation on the irreversibility of the </w:t>
      </w:r>
      <w:r w:rsidR="00312F4C" w:rsidRPr="00870653">
        <w:rPr>
          <w:rFonts w:ascii="Book Antiqua" w:hAnsi="Book Antiqua"/>
          <w:sz w:val="20"/>
          <w:szCs w:val="20"/>
          <w:lang w:val="en-US"/>
        </w:rPr>
        <w:t>Euro Area</w:t>
      </w:r>
      <w:r w:rsidRPr="00870653">
        <w:rPr>
          <w:rFonts w:ascii="Book Antiqua" w:hAnsi="Book Antiqua"/>
          <w:sz w:val="20"/>
          <w:szCs w:val="20"/>
          <w:lang w:val="en-US"/>
        </w:rPr>
        <w:t xml:space="preserve"> has induced market operators to </w:t>
      </w:r>
      <w:r w:rsidR="0053366B" w:rsidRPr="00870653">
        <w:rPr>
          <w:rFonts w:ascii="Book Antiqua" w:hAnsi="Book Antiqua"/>
          <w:sz w:val="20"/>
          <w:szCs w:val="20"/>
          <w:lang w:val="en-US"/>
        </w:rPr>
        <w:t>put</w:t>
      </w:r>
      <w:r w:rsidR="00DD212B" w:rsidRPr="00870653">
        <w:rPr>
          <w:rFonts w:ascii="Book Antiqua" w:hAnsi="Book Antiqua"/>
          <w:sz w:val="20"/>
          <w:szCs w:val="20"/>
          <w:lang w:val="en-US"/>
        </w:rPr>
        <w:t xml:space="preserve"> increasing attention to </w:t>
      </w:r>
      <w:r w:rsidR="00E62BE9" w:rsidRPr="00870653">
        <w:rPr>
          <w:rFonts w:ascii="Book Antiqua" w:hAnsi="Book Antiqua"/>
          <w:sz w:val="20"/>
          <w:szCs w:val="20"/>
          <w:lang w:val="en-US"/>
        </w:rPr>
        <w:t xml:space="preserve">the </w:t>
      </w:r>
      <w:r w:rsidR="00DD212B" w:rsidRPr="00870653">
        <w:rPr>
          <w:rFonts w:ascii="Book Antiqua" w:hAnsi="Book Antiqua"/>
          <w:sz w:val="20"/>
          <w:szCs w:val="20"/>
          <w:lang w:val="en-US"/>
        </w:rPr>
        <w:t>redenomination</w:t>
      </w:r>
      <w:r w:rsidR="00E62BE9" w:rsidRPr="00870653">
        <w:rPr>
          <w:rFonts w:ascii="Book Antiqua" w:hAnsi="Book Antiqua"/>
          <w:sz w:val="20"/>
          <w:szCs w:val="20"/>
          <w:lang w:val="en-US"/>
        </w:rPr>
        <w:t xml:space="preserve"> risk</w:t>
      </w:r>
      <w:r w:rsidR="00DD212B" w:rsidRPr="00870653">
        <w:rPr>
          <w:rFonts w:ascii="Book Antiqua" w:hAnsi="Book Antiqua"/>
          <w:sz w:val="20"/>
          <w:szCs w:val="20"/>
          <w:lang w:val="en-US"/>
        </w:rPr>
        <w:t>, the risk that a</w:t>
      </w:r>
      <w:r w:rsidR="00E62BE9" w:rsidRPr="00870653">
        <w:rPr>
          <w:rFonts w:ascii="Book Antiqua" w:hAnsi="Book Antiqua"/>
          <w:sz w:val="20"/>
          <w:szCs w:val="20"/>
          <w:lang w:val="en-US"/>
        </w:rPr>
        <w:t xml:space="preserve"> monetary union</w:t>
      </w:r>
      <w:r w:rsidR="00DD212B" w:rsidRPr="00870653">
        <w:rPr>
          <w:rFonts w:ascii="Book Antiqua" w:hAnsi="Book Antiqua"/>
          <w:sz w:val="20"/>
          <w:szCs w:val="20"/>
          <w:lang w:val="en-US"/>
        </w:rPr>
        <w:t xml:space="preserve"> country </w:t>
      </w:r>
      <w:r w:rsidR="007858CD" w:rsidRPr="00870653">
        <w:rPr>
          <w:rFonts w:ascii="Book Antiqua" w:hAnsi="Book Antiqua"/>
          <w:sz w:val="20"/>
          <w:szCs w:val="20"/>
          <w:lang w:val="en-US"/>
        </w:rPr>
        <w:t>could</w:t>
      </w:r>
      <w:r w:rsidR="00DD212B" w:rsidRPr="00870653">
        <w:rPr>
          <w:rFonts w:ascii="Book Antiqua" w:hAnsi="Book Antiqua"/>
          <w:sz w:val="20"/>
          <w:szCs w:val="20"/>
          <w:lang w:val="en-US"/>
        </w:rPr>
        <w:t xml:space="preserve"> redenominate its debt in the national currency.</w:t>
      </w:r>
      <w:r w:rsidR="00A23602" w:rsidRPr="00870653">
        <w:rPr>
          <w:rFonts w:ascii="Book Antiqua" w:hAnsi="Book Antiqua"/>
          <w:sz w:val="20"/>
          <w:szCs w:val="20"/>
          <w:lang w:val="en-US"/>
        </w:rPr>
        <w:t xml:space="preserve"> According to De Santis (2019), redenomination risk can be defined as: “</w:t>
      </w:r>
      <w:r w:rsidR="00A23602" w:rsidRPr="00870653">
        <w:rPr>
          <w:rFonts w:ascii="Book Antiqua" w:hAnsi="Book Antiqua"/>
          <w:i/>
          <w:iCs/>
          <w:sz w:val="20"/>
          <w:szCs w:val="20"/>
          <w:lang w:val="en-US"/>
        </w:rPr>
        <w:t>the compensation demanded by market participants for the risk that a euro asset will be redenominated into a devalued legacy currency</w:t>
      </w:r>
      <w:r w:rsidR="00A23602" w:rsidRPr="00870653">
        <w:rPr>
          <w:rFonts w:ascii="Book Antiqua" w:hAnsi="Book Antiqua"/>
          <w:sz w:val="20"/>
          <w:szCs w:val="20"/>
          <w:lang w:val="en-US"/>
        </w:rPr>
        <w:t>”.</w:t>
      </w:r>
      <w:r w:rsidR="00DD212B" w:rsidRPr="00870653">
        <w:rPr>
          <w:rFonts w:ascii="Book Antiqua" w:hAnsi="Book Antiqua"/>
          <w:sz w:val="20"/>
          <w:szCs w:val="20"/>
          <w:lang w:val="en-US"/>
        </w:rPr>
        <w:t xml:space="preserve"> </w:t>
      </w:r>
    </w:p>
    <w:p w14:paraId="53725BA4" w14:textId="258DD6E4" w:rsidR="00C1717D" w:rsidRPr="00870653" w:rsidRDefault="006540E5" w:rsidP="00CA6E75">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Although several </w:t>
      </w:r>
      <w:r w:rsidR="00DD212B" w:rsidRPr="00870653">
        <w:rPr>
          <w:rFonts w:ascii="Book Antiqua" w:hAnsi="Book Antiqua"/>
          <w:sz w:val="20"/>
          <w:szCs w:val="20"/>
          <w:lang w:val="en-US"/>
        </w:rPr>
        <w:t xml:space="preserve">bailouts that </w:t>
      </w:r>
      <w:r w:rsidR="00717805" w:rsidRPr="00870653">
        <w:rPr>
          <w:rFonts w:ascii="Book Antiqua" w:hAnsi="Book Antiqua"/>
          <w:sz w:val="20"/>
          <w:szCs w:val="20"/>
          <w:lang w:val="en-US"/>
        </w:rPr>
        <w:t xml:space="preserve">have </w:t>
      </w:r>
      <w:r w:rsidR="00DD212B" w:rsidRPr="00870653">
        <w:rPr>
          <w:rFonts w:ascii="Book Antiqua" w:hAnsi="Book Antiqua"/>
          <w:sz w:val="20"/>
          <w:szCs w:val="20"/>
          <w:lang w:val="en-US"/>
        </w:rPr>
        <w:t xml:space="preserve">avoided the bankruptcy </w:t>
      </w:r>
      <w:r w:rsidR="00E62BE9" w:rsidRPr="00870653">
        <w:rPr>
          <w:rFonts w:ascii="Book Antiqua" w:hAnsi="Book Antiqua"/>
          <w:sz w:val="20"/>
          <w:szCs w:val="20"/>
          <w:lang w:val="en-US"/>
        </w:rPr>
        <w:t>of t</w:t>
      </w:r>
      <w:r w:rsidR="00AE3679" w:rsidRPr="00870653">
        <w:rPr>
          <w:rFonts w:ascii="Book Antiqua" w:hAnsi="Book Antiqua"/>
          <w:sz w:val="20"/>
          <w:szCs w:val="20"/>
          <w:lang w:val="en-US"/>
        </w:rPr>
        <w:t>he peripheral countries of the E</w:t>
      </w:r>
      <w:r w:rsidR="00E62BE9" w:rsidRPr="00870653">
        <w:rPr>
          <w:rFonts w:ascii="Book Antiqua" w:hAnsi="Book Antiqua"/>
          <w:sz w:val="20"/>
          <w:szCs w:val="20"/>
          <w:lang w:val="en-US"/>
        </w:rPr>
        <w:t xml:space="preserve">urozone </w:t>
      </w:r>
      <w:r w:rsidR="00DD212B" w:rsidRPr="00870653">
        <w:rPr>
          <w:rFonts w:ascii="Book Antiqua" w:hAnsi="Book Antiqua"/>
          <w:sz w:val="20"/>
          <w:szCs w:val="20"/>
          <w:lang w:val="en-US"/>
        </w:rPr>
        <w:t xml:space="preserve">and </w:t>
      </w:r>
      <w:r w:rsidR="00717805" w:rsidRPr="00870653">
        <w:rPr>
          <w:rFonts w:ascii="Book Antiqua" w:hAnsi="Book Antiqua"/>
          <w:sz w:val="20"/>
          <w:szCs w:val="20"/>
          <w:lang w:val="en-US"/>
        </w:rPr>
        <w:t xml:space="preserve">have </w:t>
      </w:r>
      <w:r w:rsidR="00DD212B" w:rsidRPr="00870653">
        <w:rPr>
          <w:rFonts w:ascii="Book Antiqua" w:hAnsi="Book Antiqua"/>
          <w:sz w:val="20"/>
          <w:szCs w:val="20"/>
          <w:lang w:val="en-US"/>
        </w:rPr>
        <w:t xml:space="preserve">ensured the </w:t>
      </w:r>
      <w:r w:rsidRPr="00870653">
        <w:rPr>
          <w:rFonts w:ascii="Book Antiqua" w:hAnsi="Book Antiqua"/>
          <w:sz w:val="20"/>
          <w:szCs w:val="20"/>
          <w:lang w:val="en-US"/>
        </w:rPr>
        <w:t xml:space="preserve">solidity </w:t>
      </w:r>
      <w:r w:rsidR="00DD212B" w:rsidRPr="00870653">
        <w:rPr>
          <w:rFonts w:ascii="Book Antiqua" w:hAnsi="Book Antiqua"/>
          <w:sz w:val="20"/>
          <w:szCs w:val="20"/>
          <w:lang w:val="en-US"/>
        </w:rPr>
        <w:t>of the</w:t>
      </w:r>
      <w:r w:rsidR="00D13177" w:rsidRPr="00870653">
        <w:rPr>
          <w:rFonts w:ascii="Book Antiqua" w:hAnsi="Book Antiqua"/>
          <w:sz w:val="20"/>
          <w:szCs w:val="20"/>
          <w:lang w:val="en-US"/>
        </w:rPr>
        <w:t xml:space="preserve"> E</w:t>
      </w:r>
      <w:r w:rsidR="00E62BE9" w:rsidRPr="00870653">
        <w:rPr>
          <w:rFonts w:ascii="Book Antiqua" w:hAnsi="Book Antiqua"/>
          <w:sz w:val="20"/>
          <w:szCs w:val="20"/>
          <w:lang w:val="en-US"/>
        </w:rPr>
        <w:t>uro</w:t>
      </w:r>
      <w:r w:rsidR="006F2E91">
        <w:rPr>
          <w:rFonts w:ascii="Book Antiqua" w:hAnsi="Book Antiqua"/>
          <w:sz w:val="20"/>
          <w:szCs w:val="20"/>
          <w:lang w:val="en-US"/>
        </w:rPr>
        <w:t>. D</w:t>
      </w:r>
      <w:r w:rsidR="00900F84" w:rsidRPr="00870653">
        <w:rPr>
          <w:rFonts w:ascii="Book Antiqua" w:hAnsi="Book Antiqua"/>
          <w:sz w:val="20"/>
          <w:szCs w:val="20"/>
          <w:lang w:val="en-US"/>
        </w:rPr>
        <w:t>espite the ECB's</w:t>
      </w:r>
      <w:r w:rsidR="009007F9" w:rsidRPr="00870653">
        <w:rPr>
          <w:rFonts w:ascii="Book Antiqua" w:hAnsi="Book Antiqua"/>
          <w:sz w:val="20"/>
          <w:szCs w:val="20"/>
          <w:lang w:val="en-US"/>
        </w:rPr>
        <w:t xml:space="preserve"> (European Central Bank)</w:t>
      </w:r>
      <w:r w:rsidR="00900F84" w:rsidRPr="00870653">
        <w:rPr>
          <w:rFonts w:ascii="Book Antiqua" w:hAnsi="Book Antiqua"/>
          <w:sz w:val="20"/>
          <w:szCs w:val="20"/>
          <w:lang w:val="en-US"/>
        </w:rPr>
        <w:t xml:space="preserve"> interventions aimed at reassuring investors of the irreversibility of the single currency</w:t>
      </w:r>
      <w:r w:rsidR="00D72F93">
        <w:rPr>
          <w:rStyle w:val="Rimandonotaapidipagina"/>
          <w:rFonts w:ascii="Book Antiqua" w:hAnsi="Book Antiqua"/>
          <w:sz w:val="20"/>
          <w:szCs w:val="20"/>
        </w:rPr>
        <w:footnoteReference w:id="2"/>
      </w:r>
      <w:r w:rsidR="00900F84" w:rsidRPr="00870653">
        <w:rPr>
          <w:rFonts w:ascii="Book Antiqua" w:hAnsi="Book Antiqua"/>
          <w:sz w:val="20"/>
          <w:szCs w:val="20"/>
          <w:lang w:val="en-US"/>
        </w:rPr>
        <w:t xml:space="preserve"> (Busetti and Cova, 2013),</w:t>
      </w:r>
      <w:r w:rsidR="00DD212B" w:rsidRPr="00870653">
        <w:rPr>
          <w:rFonts w:ascii="Book Antiqua" w:hAnsi="Book Antiqua"/>
          <w:sz w:val="20"/>
          <w:szCs w:val="20"/>
          <w:lang w:val="en-US"/>
        </w:rPr>
        <w:t xml:space="preserve"> speculation on the irreversibility of </w:t>
      </w:r>
      <w:r w:rsidR="00C06589" w:rsidRPr="00870653">
        <w:rPr>
          <w:rFonts w:ascii="Book Antiqua" w:hAnsi="Book Antiqua"/>
          <w:sz w:val="20"/>
          <w:szCs w:val="20"/>
          <w:lang w:val="en-US"/>
        </w:rPr>
        <w:t>Euro</w:t>
      </w:r>
      <w:r w:rsidRPr="00870653">
        <w:rPr>
          <w:rFonts w:ascii="Book Antiqua" w:hAnsi="Book Antiqua"/>
          <w:sz w:val="20"/>
          <w:szCs w:val="20"/>
          <w:lang w:val="en-US"/>
        </w:rPr>
        <w:t>,</w:t>
      </w:r>
      <w:r w:rsidR="00DD212B" w:rsidRPr="00870653">
        <w:rPr>
          <w:rFonts w:ascii="Book Antiqua" w:hAnsi="Book Antiqua"/>
          <w:sz w:val="20"/>
          <w:szCs w:val="20"/>
          <w:lang w:val="en-US"/>
        </w:rPr>
        <w:t xml:space="preserve"> measured by the </w:t>
      </w:r>
      <w:r w:rsidRPr="00870653">
        <w:rPr>
          <w:rFonts w:ascii="Book Antiqua" w:hAnsi="Book Antiqua"/>
          <w:sz w:val="20"/>
          <w:szCs w:val="20"/>
          <w:lang w:val="en-US"/>
        </w:rPr>
        <w:t xml:space="preserve">redeomination </w:t>
      </w:r>
      <w:r w:rsidR="00DD212B" w:rsidRPr="00870653">
        <w:rPr>
          <w:rFonts w:ascii="Book Antiqua" w:hAnsi="Book Antiqua"/>
          <w:sz w:val="20"/>
          <w:szCs w:val="20"/>
          <w:lang w:val="en-US"/>
        </w:rPr>
        <w:t>risk</w:t>
      </w:r>
      <w:r w:rsidRPr="00870653">
        <w:rPr>
          <w:rFonts w:ascii="Book Antiqua" w:hAnsi="Book Antiqua"/>
          <w:sz w:val="20"/>
          <w:szCs w:val="20"/>
          <w:lang w:val="en-US"/>
        </w:rPr>
        <w:t>,</w:t>
      </w:r>
      <w:r w:rsidR="00DD212B" w:rsidRPr="00870653">
        <w:rPr>
          <w:rFonts w:ascii="Book Antiqua" w:hAnsi="Book Antiqua"/>
          <w:sz w:val="20"/>
          <w:szCs w:val="20"/>
          <w:lang w:val="en-US"/>
        </w:rPr>
        <w:t xml:space="preserve"> periodically </w:t>
      </w:r>
      <w:r w:rsidRPr="00870653">
        <w:rPr>
          <w:rFonts w:ascii="Book Antiqua" w:hAnsi="Book Antiqua"/>
          <w:sz w:val="20"/>
          <w:szCs w:val="20"/>
          <w:lang w:val="en-US"/>
        </w:rPr>
        <w:t>reveal</w:t>
      </w:r>
      <w:r w:rsidR="0053366B" w:rsidRPr="00870653">
        <w:rPr>
          <w:rFonts w:ascii="Book Antiqua" w:hAnsi="Book Antiqua"/>
          <w:sz w:val="20"/>
          <w:szCs w:val="20"/>
          <w:lang w:val="en-US"/>
        </w:rPr>
        <w:t>s</w:t>
      </w:r>
      <w:r w:rsidRPr="00870653">
        <w:rPr>
          <w:rFonts w:ascii="Book Antiqua" w:hAnsi="Book Antiqua"/>
          <w:sz w:val="20"/>
          <w:szCs w:val="20"/>
          <w:lang w:val="en-US"/>
        </w:rPr>
        <w:t xml:space="preserve"> itself </w:t>
      </w:r>
      <w:r w:rsidR="00E10716" w:rsidRPr="00870653">
        <w:rPr>
          <w:rFonts w:ascii="Book Antiqua" w:hAnsi="Book Antiqua"/>
          <w:sz w:val="20"/>
          <w:szCs w:val="20"/>
          <w:lang w:val="en-US"/>
        </w:rPr>
        <w:t>during</w:t>
      </w:r>
      <w:r w:rsidR="00DD212B" w:rsidRPr="00870653">
        <w:rPr>
          <w:rFonts w:ascii="Book Antiqua" w:hAnsi="Book Antiqua"/>
          <w:sz w:val="20"/>
          <w:szCs w:val="20"/>
          <w:lang w:val="en-US"/>
        </w:rPr>
        <w:t xml:space="preserve"> periods of greater political-economic stress.</w:t>
      </w:r>
      <w:r w:rsidR="009007F9" w:rsidRPr="00870653">
        <w:rPr>
          <w:rFonts w:ascii="Book Antiqua" w:hAnsi="Book Antiqua"/>
          <w:sz w:val="20"/>
          <w:szCs w:val="20"/>
          <w:lang w:val="en-US"/>
        </w:rPr>
        <w:t xml:space="preserve"> </w:t>
      </w:r>
    </w:p>
    <w:p w14:paraId="2961136B" w14:textId="651EF528" w:rsidR="00CA6E75" w:rsidRPr="00870653" w:rsidRDefault="009007F9" w:rsidP="00CA6E75">
      <w:pPr>
        <w:spacing w:after="0" w:line="360" w:lineRule="auto"/>
        <w:jc w:val="both"/>
        <w:rPr>
          <w:rFonts w:ascii="Book Antiqua" w:hAnsi="Book Antiqua"/>
          <w:sz w:val="20"/>
          <w:szCs w:val="20"/>
          <w:lang w:val="en-US"/>
        </w:rPr>
      </w:pPr>
      <w:r w:rsidRPr="00870653">
        <w:rPr>
          <w:rFonts w:ascii="Book Antiqua" w:hAnsi="Book Antiqua"/>
          <w:sz w:val="20"/>
          <w:szCs w:val="20"/>
          <w:lang w:val="en-US"/>
        </w:rPr>
        <w:t>The crucial point, from which our analysis starts, is that the redenomination risk has led to a rethinking of the</w:t>
      </w:r>
      <w:r w:rsidR="00C06589" w:rsidRPr="00870653">
        <w:rPr>
          <w:rFonts w:ascii="Book Antiqua" w:hAnsi="Book Antiqua"/>
          <w:sz w:val="20"/>
          <w:szCs w:val="20"/>
          <w:lang w:val="en-US"/>
        </w:rPr>
        <w:t xml:space="preserve"> CDS’s</w:t>
      </w:r>
      <w:r w:rsidRPr="00870653">
        <w:rPr>
          <w:rFonts w:ascii="Book Antiqua" w:hAnsi="Book Antiqua"/>
          <w:sz w:val="20"/>
          <w:szCs w:val="20"/>
          <w:lang w:val="en-US"/>
        </w:rPr>
        <w:t xml:space="preserve"> characterist</w:t>
      </w:r>
      <w:r w:rsidR="00C06589" w:rsidRPr="00870653">
        <w:rPr>
          <w:rFonts w:ascii="Book Antiqua" w:hAnsi="Book Antiqua"/>
          <w:sz w:val="20"/>
          <w:szCs w:val="20"/>
          <w:lang w:val="en-US"/>
        </w:rPr>
        <w:t>ics</w:t>
      </w:r>
      <w:r w:rsidRPr="00870653">
        <w:rPr>
          <w:rFonts w:ascii="Book Antiqua" w:hAnsi="Book Antiqua"/>
          <w:sz w:val="20"/>
          <w:szCs w:val="20"/>
          <w:lang w:val="en-US"/>
        </w:rPr>
        <w:t xml:space="preserve">. The 2003 definitions </w:t>
      </w:r>
      <w:r w:rsidR="006F2E91" w:rsidRPr="00870653">
        <w:rPr>
          <w:rFonts w:ascii="Book Antiqua" w:hAnsi="Book Antiqua"/>
          <w:sz w:val="20"/>
          <w:szCs w:val="20"/>
          <w:lang w:val="en-US"/>
        </w:rPr>
        <w:t>did not</w:t>
      </w:r>
      <w:r w:rsidRPr="00870653">
        <w:rPr>
          <w:rFonts w:ascii="Book Antiqua" w:hAnsi="Book Antiqua"/>
          <w:sz w:val="20"/>
          <w:szCs w:val="20"/>
          <w:lang w:val="en-US"/>
        </w:rPr>
        <w:t xml:space="preserve"> contemplate the possibility that a country could leave the </w:t>
      </w:r>
      <w:r w:rsidR="00312F4C" w:rsidRPr="00870653">
        <w:rPr>
          <w:rFonts w:ascii="Book Antiqua" w:hAnsi="Book Antiqua"/>
          <w:sz w:val="20"/>
          <w:szCs w:val="20"/>
          <w:lang w:val="en-US"/>
        </w:rPr>
        <w:t>Euro Area</w:t>
      </w:r>
      <w:r w:rsidRPr="00870653">
        <w:rPr>
          <w:rFonts w:ascii="Book Antiqua" w:hAnsi="Book Antiqua"/>
          <w:sz w:val="20"/>
          <w:szCs w:val="20"/>
          <w:lang w:val="en-US"/>
        </w:rPr>
        <w:t xml:space="preserve"> and redenominate its debt in the local currency. Precisely, the 2003 definitions defined the currencies in which the redenomination was allowed, although this </w:t>
      </w:r>
      <w:r w:rsidR="006F2E91" w:rsidRPr="00870653">
        <w:rPr>
          <w:rFonts w:ascii="Book Antiqua" w:hAnsi="Book Antiqua"/>
          <w:sz w:val="20"/>
          <w:szCs w:val="20"/>
          <w:lang w:val="en-US"/>
        </w:rPr>
        <w:t>did not</w:t>
      </w:r>
      <w:r w:rsidRPr="00870653">
        <w:rPr>
          <w:rFonts w:ascii="Book Antiqua" w:hAnsi="Book Antiqua"/>
          <w:sz w:val="20"/>
          <w:szCs w:val="20"/>
          <w:lang w:val="en-US"/>
        </w:rPr>
        <w:t xml:space="preserve"> trigger a credit event, and therefore the CDS (Kremens, 2019). However, following the Greek default, the circumstance that a country could exit from the Eurozone was no longer unthinkable and, due to investors pressure, in 2014  the ISDA (International Swaps and Derivatives Association</w:t>
      </w:r>
      <w:r w:rsidRPr="00870653">
        <w:rPr>
          <w:rFonts w:ascii="Book Antiqua" w:hAnsi="Book Antiqua"/>
          <w:i/>
          <w:iCs/>
          <w:sz w:val="20"/>
          <w:szCs w:val="20"/>
          <w:lang w:val="en-US"/>
        </w:rPr>
        <w:t>)</w:t>
      </w:r>
      <w:r w:rsidRPr="00870653">
        <w:rPr>
          <w:rFonts w:ascii="Book Antiqua" w:hAnsi="Book Antiqua"/>
          <w:sz w:val="20"/>
          <w:szCs w:val="20"/>
          <w:lang w:val="en-US"/>
        </w:rPr>
        <w:t xml:space="preserve"> introduced a series of new standards for CDS contracts in order to take into account the possibility of redenomination and the consequent losses. The 2014 definitions include the CACs (Collective Action Clauses), which establish that any sovereign debt restructuring action, including redenomination, must </w:t>
      </w:r>
      <w:r w:rsidRPr="00870653">
        <w:rPr>
          <w:rFonts w:ascii="Book Antiqua" w:hAnsi="Book Antiqua"/>
          <w:sz w:val="20"/>
          <w:szCs w:val="20"/>
          <w:lang w:val="en-US"/>
        </w:rPr>
        <w:lastRenderedPageBreak/>
        <w:t>be approved by at least 75% of investors (Cesaratto, 2015). It was precisely their activation by the Greek government that led the ISDA (International Swaps and Derivatives Association) to declare on March 9, 2012 the credit restructuring event for CDS referring to the sovereign debt of Greece (De Santis , 2019).</w:t>
      </w:r>
    </w:p>
    <w:p w14:paraId="7C997F90" w14:textId="5AF90242" w:rsidR="00EB6FE6" w:rsidRPr="00870653" w:rsidRDefault="00313F33" w:rsidP="00EB6FE6">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case offers an interesting opportunity to analyze the impact of these dynamics on the </w:t>
      </w:r>
      <w:r w:rsidR="00E64AF1" w:rsidRPr="00870653">
        <w:rPr>
          <w:rFonts w:ascii="Book Antiqua" w:hAnsi="Book Antiqua"/>
          <w:sz w:val="20"/>
          <w:szCs w:val="20"/>
          <w:lang w:val="en-US"/>
        </w:rPr>
        <w:t>Italian</w:t>
      </w:r>
      <w:r w:rsidR="00D20800" w:rsidRPr="00870653">
        <w:rPr>
          <w:rFonts w:ascii="Book Antiqua" w:hAnsi="Book Antiqua"/>
          <w:sz w:val="20"/>
          <w:szCs w:val="20"/>
          <w:lang w:val="en-US"/>
        </w:rPr>
        <w:t xml:space="preserve"> banks’ </w:t>
      </w:r>
      <w:r w:rsidRPr="00870653">
        <w:rPr>
          <w:rFonts w:ascii="Book Antiqua" w:hAnsi="Book Antiqua"/>
          <w:sz w:val="20"/>
          <w:szCs w:val="20"/>
          <w:lang w:val="en-US"/>
        </w:rPr>
        <w:t xml:space="preserve">CDS spreads. </w:t>
      </w:r>
      <w:r w:rsidR="00440EF0" w:rsidRPr="00870653">
        <w:rPr>
          <w:rFonts w:ascii="Book Antiqua" w:hAnsi="Book Antiqua"/>
          <w:sz w:val="20"/>
          <w:szCs w:val="20"/>
          <w:lang w:val="en-US"/>
        </w:rPr>
        <w:t>In fact,</w:t>
      </w:r>
      <w:r w:rsidR="00910A0A" w:rsidRPr="00870653">
        <w:rPr>
          <w:rFonts w:ascii="Book Antiqua" w:hAnsi="Book Antiqua"/>
          <w:sz w:val="20"/>
          <w:szCs w:val="20"/>
          <w:lang w:val="en-US"/>
        </w:rPr>
        <w:t xml:space="preserve"> it’s great to underline that, despite Italy is the founding country, third economy and second manufacturing in the EU</w:t>
      </w:r>
      <w:r w:rsidR="00BE5E4A" w:rsidRPr="00870653">
        <w:rPr>
          <w:rFonts w:ascii="Book Antiqua" w:hAnsi="Book Antiqua"/>
          <w:sz w:val="20"/>
          <w:szCs w:val="20"/>
          <w:lang w:val="en-US"/>
        </w:rPr>
        <w:t xml:space="preserve"> (European Union)</w:t>
      </w:r>
      <w:r w:rsidR="00910A0A" w:rsidRPr="00870653">
        <w:rPr>
          <w:rFonts w:ascii="Book Antiqua" w:hAnsi="Book Antiqua"/>
          <w:sz w:val="20"/>
          <w:szCs w:val="20"/>
          <w:lang w:val="en-US"/>
        </w:rPr>
        <w:t>,</w:t>
      </w:r>
      <w:r w:rsidR="00440EF0" w:rsidRPr="00870653">
        <w:rPr>
          <w:rFonts w:ascii="Book Antiqua" w:hAnsi="Book Antiqua"/>
          <w:sz w:val="20"/>
          <w:szCs w:val="20"/>
          <w:lang w:val="en-US"/>
        </w:rPr>
        <w:t xml:space="preserve"> </w:t>
      </w:r>
      <w:r w:rsidR="005A5B98" w:rsidRPr="00870653">
        <w:rPr>
          <w:rFonts w:ascii="Book Antiqua" w:hAnsi="Book Antiqua"/>
          <w:sz w:val="20"/>
          <w:szCs w:val="20"/>
          <w:lang w:val="en-US"/>
        </w:rPr>
        <w:t>it</w:t>
      </w:r>
      <w:r w:rsidR="00717805" w:rsidRPr="00870653">
        <w:rPr>
          <w:rFonts w:ascii="Book Antiqua" w:hAnsi="Book Antiqua"/>
          <w:sz w:val="20"/>
          <w:szCs w:val="20"/>
          <w:lang w:val="en-US"/>
        </w:rPr>
        <w:t xml:space="preserve"> has been</w:t>
      </w:r>
      <w:r w:rsidR="00910A0A" w:rsidRPr="00870653">
        <w:rPr>
          <w:rFonts w:ascii="Book Antiqua" w:hAnsi="Book Antiqua"/>
          <w:sz w:val="20"/>
          <w:szCs w:val="20"/>
          <w:lang w:val="en-US"/>
        </w:rPr>
        <w:t xml:space="preserve"> </w:t>
      </w:r>
      <w:r w:rsidR="00C32C3E" w:rsidRPr="00870653">
        <w:rPr>
          <w:rFonts w:ascii="Book Antiqua" w:hAnsi="Book Antiqua"/>
          <w:sz w:val="20"/>
          <w:szCs w:val="20"/>
          <w:lang w:val="en-US"/>
        </w:rPr>
        <w:t>hit</w:t>
      </w:r>
      <w:r w:rsidR="00EA791B" w:rsidRPr="00870653">
        <w:rPr>
          <w:rFonts w:ascii="Book Antiqua" w:hAnsi="Book Antiqua"/>
          <w:sz w:val="20"/>
          <w:szCs w:val="20"/>
          <w:lang w:val="en-US"/>
        </w:rPr>
        <w:t xml:space="preserve"> harshly</w:t>
      </w:r>
      <w:r w:rsidR="00C32C3E" w:rsidRPr="00870653">
        <w:rPr>
          <w:rFonts w:ascii="Book Antiqua" w:hAnsi="Book Antiqua"/>
          <w:sz w:val="20"/>
          <w:szCs w:val="20"/>
          <w:lang w:val="en-US"/>
        </w:rPr>
        <w:t xml:space="preserve"> by the sovereign debt crisis due to the high debt-to-GDP ratio, but</w:t>
      </w:r>
      <w:r w:rsidR="002255F0" w:rsidRPr="00870653">
        <w:rPr>
          <w:rFonts w:ascii="Book Antiqua" w:hAnsi="Book Antiqua"/>
          <w:sz w:val="20"/>
          <w:szCs w:val="20"/>
          <w:lang w:val="en-US"/>
        </w:rPr>
        <w:t xml:space="preserve"> it</w:t>
      </w:r>
      <w:r w:rsidR="00717805" w:rsidRPr="00870653">
        <w:rPr>
          <w:rFonts w:ascii="Book Antiqua" w:hAnsi="Book Antiqua"/>
          <w:sz w:val="20"/>
          <w:szCs w:val="20"/>
          <w:lang w:val="en-US"/>
        </w:rPr>
        <w:t xml:space="preserve"> has</w:t>
      </w:r>
      <w:r w:rsidR="00C32C3E" w:rsidRPr="00870653">
        <w:rPr>
          <w:rFonts w:ascii="Book Antiqua" w:hAnsi="Book Antiqua"/>
          <w:sz w:val="20"/>
          <w:szCs w:val="20"/>
          <w:lang w:val="en-US"/>
        </w:rPr>
        <w:t xml:space="preserve"> also </w:t>
      </w:r>
      <w:r w:rsidR="00717805" w:rsidRPr="00870653">
        <w:rPr>
          <w:rFonts w:ascii="Book Antiqua" w:hAnsi="Book Antiqua"/>
          <w:sz w:val="20"/>
          <w:szCs w:val="20"/>
          <w:lang w:val="en-US"/>
        </w:rPr>
        <w:t xml:space="preserve">been </w:t>
      </w:r>
      <w:r w:rsidR="00C32C3E" w:rsidRPr="00870653">
        <w:rPr>
          <w:rFonts w:ascii="Book Antiqua" w:hAnsi="Book Antiqua"/>
          <w:sz w:val="20"/>
          <w:szCs w:val="20"/>
          <w:lang w:val="en-US"/>
        </w:rPr>
        <w:t xml:space="preserve">characterized </w:t>
      </w:r>
      <w:r w:rsidR="00CB32D5" w:rsidRPr="00870653">
        <w:rPr>
          <w:rFonts w:ascii="Book Antiqua" w:hAnsi="Book Antiqua"/>
          <w:sz w:val="20"/>
          <w:szCs w:val="20"/>
          <w:lang w:val="en-US"/>
        </w:rPr>
        <w:t>by</w:t>
      </w:r>
      <w:r w:rsidR="00C32C3E" w:rsidRPr="00870653">
        <w:rPr>
          <w:rFonts w:ascii="Book Antiqua" w:hAnsi="Book Antiqua"/>
          <w:sz w:val="20"/>
          <w:szCs w:val="20"/>
          <w:lang w:val="en-US"/>
        </w:rPr>
        <w:t xml:space="preserve"> </w:t>
      </w:r>
      <w:r w:rsidR="002255F0" w:rsidRPr="00870653">
        <w:rPr>
          <w:rFonts w:ascii="Book Antiqua" w:hAnsi="Book Antiqua"/>
          <w:sz w:val="20"/>
          <w:szCs w:val="20"/>
          <w:lang w:val="en-US"/>
        </w:rPr>
        <w:t>weak</w:t>
      </w:r>
      <w:r w:rsidR="00C32C3E" w:rsidRPr="00870653">
        <w:rPr>
          <w:rFonts w:ascii="Book Antiqua" w:hAnsi="Book Antiqua"/>
          <w:sz w:val="20"/>
          <w:szCs w:val="20"/>
          <w:lang w:val="en-US"/>
        </w:rPr>
        <w:t xml:space="preserve"> economic growth and political instability in recent years.</w:t>
      </w:r>
      <w:r w:rsidR="00910A0A" w:rsidRPr="00870653">
        <w:rPr>
          <w:rFonts w:ascii="Book Antiqua" w:hAnsi="Book Antiqua"/>
          <w:sz w:val="20"/>
          <w:szCs w:val="20"/>
          <w:lang w:val="en-US"/>
        </w:rPr>
        <w:t xml:space="preserve"> In addition to that, as a member country of the Eurozone of the so-called </w:t>
      </w:r>
      <w:r w:rsidR="0074661D" w:rsidRPr="00870653">
        <w:rPr>
          <w:rFonts w:ascii="Book Antiqua" w:hAnsi="Book Antiqua"/>
          <w:sz w:val="20"/>
          <w:szCs w:val="20"/>
          <w:lang w:val="en-US"/>
        </w:rPr>
        <w:t>“</w:t>
      </w:r>
      <w:r w:rsidR="00910A0A" w:rsidRPr="00870653">
        <w:rPr>
          <w:rFonts w:ascii="Book Antiqua" w:hAnsi="Book Antiqua"/>
          <w:i/>
          <w:iCs/>
          <w:sz w:val="20"/>
          <w:szCs w:val="20"/>
          <w:lang w:val="en-US"/>
        </w:rPr>
        <w:t>PIIGS</w:t>
      </w:r>
      <w:r w:rsidR="0074661D" w:rsidRPr="00870653">
        <w:rPr>
          <w:rFonts w:ascii="Book Antiqua" w:hAnsi="Book Antiqua"/>
          <w:i/>
          <w:iCs/>
          <w:sz w:val="20"/>
          <w:szCs w:val="20"/>
          <w:lang w:val="en-US"/>
        </w:rPr>
        <w:t>”</w:t>
      </w:r>
      <w:r w:rsidR="00910A0A" w:rsidRPr="00870653">
        <w:rPr>
          <w:rFonts w:ascii="Book Antiqua" w:hAnsi="Book Antiqua"/>
          <w:sz w:val="20"/>
          <w:szCs w:val="20"/>
          <w:lang w:val="en-US"/>
        </w:rPr>
        <w:t>, it is generally exposed with greater intensity to volatility and speculation during periods of financial stress.</w:t>
      </w:r>
    </w:p>
    <w:p w14:paraId="6D6ABEE8" w14:textId="543F8E48" w:rsidR="002255F0" w:rsidRPr="00870653" w:rsidRDefault="002255F0" w:rsidP="00EB6FE6">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contribution of this work is to evaluate the dynamic evolution of sovereign risk and redenomination risk in the price discovery process of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bank’s CDS spreads for 2008-2020, using a "rolling window regressions" approach. </w:t>
      </w:r>
    </w:p>
    <w:p w14:paraId="754B6333" w14:textId="4DE7217C" w:rsidR="002255F0" w:rsidRPr="00870653" w:rsidRDefault="002255F0" w:rsidP="00EB6FE6">
      <w:pPr>
        <w:spacing w:line="360" w:lineRule="auto"/>
        <w:jc w:val="both"/>
        <w:rPr>
          <w:rFonts w:ascii="Book Antiqua" w:hAnsi="Book Antiqua"/>
          <w:sz w:val="20"/>
          <w:szCs w:val="20"/>
          <w:lang w:val="en-US"/>
        </w:rPr>
      </w:pPr>
      <w:r w:rsidRPr="00870653">
        <w:rPr>
          <w:rFonts w:ascii="Book Antiqua" w:hAnsi="Book Antiqua"/>
          <w:sz w:val="20"/>
          <w:szCs w:val="20"/>
          <w:lang w:val="en-US"/>
        </w:rPr>
        <w:t>The redenomination risk is measured by the differential between the CDS contracts</w:t>
      </w:r>
      <w:r w:rsidR="001437BE" w:rsidRPr="00870653">
        <w:rPr>
          <w:rFonts w:ascii="Book Antiqua" w:hAnsi="Book Antiqua"/>
          <w:sz w:val="20"/>
          <w:szCs w:val="20"/>
          <w:lang w:val="en-US"/>
        </w:rPr>
        <w:t xml:space="preserve"> signed under</w:t>
      </w:r>
      <w:r w:rsidRPr="00870653">
        <w:rPr>
          <w:rFonts w:ascii="Book Antiqua" w:hAnsi="Book Antiqua"/>
          <w:sz w:val="20"/>
          <w:szCs w:val="20"/>
          <w:lang w:val="en-US"/>
        </w:rPr>
        <w:t xml:space="preserve"> the 2014</w:t>
      </w:r>
      <w:r w:rsidR="001437BE" w:rsidRPr="00870653">
        <w:rPr>
          <w:rFonts w:ascii="Book Antiqua" w:hAnsi="Book Antiqua"/>
          <w:sz w:val="20"/>
          <w:szCs w:val="20"/>
          <w:lang w:val="en-US"/>
        </w:rPr>
        <w:t xml:space="preserve"> </w:t>
      </w:r>
      <w:r w:rsidR="00E64598" w:rsidRPr="00870653">
        <w:rPr>
          <w:rFonts w:ascii="Book Antiqua" w:hAnsi="Book Antiqua"/>
          <w:sz w:val="20"/>
          <w:szCs w:val="20"/>
          <w:lang w:val="en-US"/>
        </w:rPr>
        <w:t>D</w:t>
      </w:r>
      <w:r w:rsidRPr="00870653">
        <w:rPr>
          <w:rFonts w:ascii="Book Antiqua" w:hAnsi="Book Antiqua"/>
          <w:sz w:val="20"/>
          <w:szCs w:val="20"/>
          <w:lang w:val="en-US"/>
        </w:rPr>
        <w:t xml:space="preserve">efinitions and those defined according to the 2003 </w:t>
      </w:r>
      <w:r w:rsidR="00E64598" w:rsidRPr="00870653">
        <w:rPr>
          <w:rFonts w:ascii="Book Antiqua" w:hAnsi="Book Antiqua"/>
          <w:sz w:val="20"/>
          <w:szCs w:val="20"/>
          <w:lang w:val="en-US"/>
        </w:rPr>
        <w:t>D</w:t>
      </w:r>
      <w:r w:rsidR="001437BE" w:rsidRPr="00870653">
        <w:rPr>
          <w:rFonts w:ascii="Book Antiqua" w:hAnsi="Book Antiqua"/>
          <w:sz w:val="20"/>
          <w:szCs w:val="20"/>
          <w:lang w:val="en-US"/>
        </w:rPr>
        <w:t>efinitions</w:t>
      </w:r>
      <w:r w:rsidRPr="00870653">
        <w:rPr>
          <w:rFonts w:ascii="Book Antiqua" w:hAnsi="Book Antiqua"/>
          <w:sz w:val="20"/>
          <w:szCs w:val="20"/>
          <w:lang w:val="en-US"/>
        </w:rPr>
        <w:t xml:space="preserve">. The sovereign risk </w:t>
      </w:r>
      <w:r w:rsidR="001437BE" w:rsidRPr="00870653">
        <w:rPr>
          <w:rFonts w:ascii="Book Antiqua" w:hAnsi="Book Antiqua"/>
          <w:sz w:val="20"/>
          <w:szCs w:val="20"/>
          <w:lang w:val="en-US"/>
        </w:rPr>
        <w:t>is</w:t>
      </w:r>
      <w:r w:rsidRPr="00870653">
        <w:rPr>
          <w:rFonts w:ascii="Book Antiqua" w:hAnsi="Book Antiqua"/>
          <w:sz w:val="20"/>
          <w:szCs w:val="20"/>
          <w:lang w:val="en-US"/>
        </w:rPr>
        <w:t xml:space="preserve"> measured by</w:t>
      </w:r>
      <w:r w:rsidR="00467DF4" w:rsidRPr="00870653">
        <w:rPr>
          <w:rFonts w:ascii="Book Antiqua" w:hAnsi="Book Antiqua"/>
          <w:sz w:val="20"/>
          <w:szCs w:val="20"/>
          <w:lang w:val="en-US"/>
        </w:rPr>
        <w:t xml:space="preserve"> the differential between the </w:t>
      </w:r>
      <w:r w:rsidR="006F2E91" w:rsidRPr="00870653">
        <w:rPr>
          <w:rFonts w:ascii="Book Antiqua" w:hAnsi="Book Antiqua"/>
          <w:sz w:val="20"/>
          <w:szCs w:val="20"/>
          <w:lang w:val="en-US"/>
        </w:rPr>
        <w:t>ten-year</w:t>
      </w:r>
      <w:r w:rsidR="00467DF4" w:rsidRPr="00870653">
        <w:rPr>
          <w:rFonts w:ascii="Book Antiqua" w:hAnsi="Book Antiqua"/>
          <w:sz w:val="20"/>
          <w:szCs w:val="20"/>
          <w:lang w:val="en-US"/>
        </w:rPr>
        <w:t xml:space="preserve"> </w:t>
      </w:r>
      <w:r w:rsidR="00E64AF1" w:rsidRPr="00870653">
        <w:rPr>
          <w:rFonts w:ascii="Book Antiqua" w:hAnsi="Book Antiqua"/>
          <w:sz w:val="20"/>
          <w:szCs w:val="20"/>
          <w:lang w:val="en-US"/>
        </w:rPr>
        <w:t>Italian</w:t>
      </w:r>
      <w:r w:rsidR="00467DF4" w:rsidRPr="00870653">
        <w:rPr>
          <w:rFonts w:ascii="Book Antiqua" w:hAnsi="Book Antiqua"/>
          <w:sz w:val="20"/>
          <w:szCs w:val="20"/>
          <w:lang w:val="en-US"/>
        </w:rPr>
        <w:t xml:space="preserve"> government bond (BTP) yield and the respective German government bond (Bund) yield</w:t>
      </w:r>
      <w:r w:rsidRPr="00870653">
        <w:rPr>
          <w:rFonts w:ascii="Book Antiqua" w:hAnsi="Book Antiqua"/>
          <w:sz w:val="20"/>
          <w:szCs w:val="20"/>
          <w:lang w:val="en-US"/>
        </w:rPr>
        <w:t xml:space="preserve">. </w:t>
      </w:r>
      <w:r w:rsidR="001437BE" w:rsidRPr="00870653">
        <w:rPr>
          <w:rFonts w:ascii="Book Antiqua" w:hAnsi="Book Antiqua"/>
          <w:sz w:val="20"/>
          <w:szCs w:val="20"/>
          <w:lang w:val="en-US"/>
        </w:rPr>
        <w:t>R</w:t>
      </w:r>
      <w:r w:rsidRPr="00870653">
        <w:rPr>
          <w:rFonts w:ascii="Book Antiqua" w:hAnsi="Book Antiqua"/>
          <w:sz w:val="20"/>
          <w:szCs w:val="20"/>
          <w:lang w:val="en-US"/>
        </w:rPr>
        <w:t xml:space="preserve">esults </w:t>
      </w:r>
      <w:r w:rsidR="001437BE" w:rsidRPr="00870653">
        <w:rPr>
          <w:rFonts w:ascii="Book Antiqua" w:hAnsi="Book Antiqua"/>
          <w:sz w:val="20"/>
          <w:szCs w:val="20"/>
          <w:lang w:val="en-US"/>
        </w:rPr>
        <w:t xml:space="preserve">show </w:t>
      </w:r>
      <w:r w:rsidRPr="00870653">
        <w:rPr>
          <w:rFonts w:ascii="Book Antiqua" w:hAnsi="Book Antiqua"/>
          <w:sz w:val="20"/>
          <w:szCs w:val="20"/>
          <w:lang w:val="en-US"/>
        </w:rPr>
        <w:t>that</w:t>
      </w:r>
      <w:r w:rsidR="001437BE" w:rsidRPr="00870653">
        <w:rPr>
          <w:rFonts w:ascii="Book Antiqua" w:hAnsi="Book Antiqua"/>
          <w:sz w:val="20"/>
          <w:szCs w:val="20"/>
          <w:lang w:val="en-US"/>
        </w:rPr>
        <w:t xml:space="preserve"> the</w:t>
      </w:r>
      <w:r w:rsidRPr="00870653">
        <w:rPr>
          <w:rFonts w:ascii="Book Antiqua" w:hAnsi="Book Antiqua"/>
          <w:sz w:val="20"/>
          <w:szCs w:val="20"/>
          <w:lang w:val="en-US"/>
        </w:rPr>
        <w:t xml:space="preserve"> redenomination risk represents a key variable </w:t>
      </w:r>
      <w:r w:rsidR="001437BE" w:rsidRPr="00870653">
        <w:rPr>
          <w:rFonts w:ascii="Book Antiqua" w:hAnsi="Book Antiqua"/>
          <w:sz w:val="20"/>
          <w:szCs w:val="20"/>
          <w:lang w:val="en-US"/>
        </w:rPr>
        <w:t xml:space="preserve">during the most relevant </w:t>
      </w:r>
      <w:r w:rsidRPr="00870653">
        <w:rPr>
          <w:rFonts w:ascii="Book Antiqua" w:hAnsi="Book Antiqua"/>
          <w:sz w:val="20"/>
          <w:szCs w:val="20"/>
          <w:lang w:val="en-US"/>
        </w:rPr>
        <w:t>periods of political-financial stress, while sovereign risk explains much of the varia</w:t>
      </w:r>
      <w:r w:rsidR="00EB6FE6" w:rsidRPr="00870653">
        <w:rPr>
          <w:rFonts w:ascii="Book Antiqua" w:hAnsi="Book Antiqua"/>
          <w:sz w:val="20"/>
          <w:szCs w:val="20"/>
          <w:lang w:val="en-US"/>
        </w:rPr>
        <w:t>nce</w:t>
      </w:r>
      <w:r w:rsidRPr="00870653">
        <w:rPr>
          <w:rFonts w:ascii="Book Antiqua" w:hAnsi="Book Antiqua"/>
          <w:sz w:val="20"/>
          <w:szCs w:val="20"/>
          <w:lang w:val="en-US"/>
        </w:rPr>
        <w:t xml:space="preserve"> in CDS spreads for almost the entire period considered. The structure of the document is</w:t>
      </w:r>
      <w:r w:rsidR="00EB6FE6" w:rsidRPr="00870653">
        <w:rPr>
          <w:rFonts w:ascii="Book Antiqua" w:hAnsi="Book Antiqua"/>
          <w:sz w:val="20"/>
          <w:szCs w:val="20"/>
          <w:lang w:val="en-US"/>
        </w:rPr>
        <w:t xml:space="preserve"> the following</w:t>
      </w:r>
      <w:r w:rsidRPr="00870653">
        <w:rPr>
          <w:rFonts w:ascii="Book Antiqua" w:hAnsi="Book Antiqua"/>
          <w:sz w:val="20"/>
          <w:szCs w:val="20"/>
          <w:lang w:val="en-US"/>
        </w:rPr>
        <w:t>: Section 2 reports the literature</w:t>
      </w:r>
      <w:r w:rsidR="00EB6FE6" w:rsidRPr="00870653">
        <w:rPr>
          <w:rFonts w:ascii="Book Antiqua" w:hAnsi="Book Antiqua"/>
          <w:sz w:val="20"/>
          <w:szCs w:val="20"/>
          <w:lang w:val="en-US"/>
        </w:rPr>
        <w:t xml:space="preserve"> review</w:t>
      </w:r>
      <w:r w:rsidRPr="00870653">
        <w:rPr>
          <w:rFonts w:ascii="Book Antiqua" w:hAnsi="Book Antiqua"/>
          <w:sz w:val="20"/>
          <w:szCs w:val="20"/>
          <w:lang w:val="en-US"/>
        </w:rPr>
        <w:t>, Section 3 describes the model</w:t>
      </w:r>
      <w:r w:rsidR="00EB6FE6" w:rsidRPr="00870653">
        <w:rPr>
          <w:rFonts w:ascii="Book Antiqua" w:hAnsi="Book Antiqua"/>
          <w:sz w:val="20"/>
          <w:szCs w:val="20"/>
          <w:lang w:val="en-US"/>
        </w:rPr>
        <w:t xml:space="preserve"> </w:t>
      </w:r>
      <w:r w:rsidRPr="00870653">
        <w:rPr>
          <w:rFonts w:ascii="Book Antiqua" w:hAnsi="Book Antiqua"/>
          <w:sz w:val="20"/>
          <w:szCs w:val="20"/>
          <w:lang w:val="en-US"/>
        </w:rPr>
        <w:t>and</w:t>
      </w:r>
      <w:r w:rsidR="00EB6FE6" w:rsidRPr="00870653">
        <w:rPr>
          <w:rFonts w:ascii="Book Antiqua" w:hAnsi="Book Antiqua"/>
          <w:sz w:val="20"/>
          <w:szCs w:val="20"/>
          <w:lang w:val="en-US"/>
        </w:rPr>
        <w:t xml:space="preserve"> </w:t>
      </w:r>
      <w:r w:rsidRPr="00870653">
        <w:rPr>
          <w:rFonts w:ascii="Book Antiqua" w:hAnsi="Book Antiqua"/>
          <w:sz w:val="20"/>
          <w:szCs w:val="20"/>
          <w:lang w:val="en-US"/>
        </w:rPr>
        <w:t>data, Section 4 reports the results of the analysis and Section 5 reports the economic discussion and conclusions.</w:t>
      </w:r>
    </w:p>
    <w:p w14:paraId="26B6EDFA" w14:textId="7FFC8843" w:rsidR="0023795A" w:rsidRDefault="0023795A" w:rsidP="0016291A">
      <w:pPr>
        <w:pStyle w:val="Paragrafoelenco"/>
        <w:numPr>
          <w:ilvl w:val="0"/>
          <w:numId w:val="39"/>
        </w:numPr>
        <w:spacing w:line="360" w:lineRule="auto"/>
        <w:ind w:left="284" w:hanging="284"/>
        <w:jc w:val="both"/>
        <w:rPr>
          <w:rFonts w:ascii="Book Antiqua" w:hAnsi="Book Antiqua"/>
          <w:b/>
          <w:bCs/>
          <w:sz w:val="28"/>
          <w:szCs w:val="28"/>
        </w:rPr>
      </w:pPr>
      <w:r w:rsidRPr="0023795A">
        <w:rPr>
          <w:rFonts w:ascii="Book Antiqua" w:hAnsi="Book Antiqua"/>
          <w:b/>
          <w:bCs/>
          <w:sz w:val="28"/>
          <w:szCs w:val="28"/>
        </w:rPr>
        <w:t xml:space="preserve">Literature </w:t>
      </w:r>
      <w:r w:rsidR="0016291A">
        <w:rPr>
          <w:rFonts w:ascii="Book Antiqua" w:hAnsi="Book Antiqua"/>
          <w:b/>
          <w:bCs/>
          <w:sz w:val="28"/>
          <w:szCs w:val="28"/>
        </w:rPr>
        <w:t>R</w:t>
      </w:r>
      <w:r w:rsidRPr="0023795A">
        <w:rPr>
          <w:rFonts w:ascii="Book Antiqua" w:hAnsi="Book Antiqua"/>
          <w:b/>
          <w:bCs/>
          <w:sz w:val="28"/>
          <w:szCs w:val="28"/>
        </w:rPr>
        <w:t>eview</w:t>
      </w:r>
    </w:p>
    <w:p w14:paraId="7561E133" w14:textId="03357F86" w:rsidR="00091403" w:rsidRPr="00870653" w:rsidRDefault="00DC6154" w:rsidP="00883748">
      <w:pPr>
        <w:spacing w:after="0" w:line="360" w:lineRule="auto"/>
        <w:jc w:val="both"/>
        <w:rPr>
          <w:rFonts w:ascii="Book Antiqua" w:hAnsi="Book Antiqua"/>
          <w:sz w:val="20"/>
          <w:szCs w:val="20"/>
          <w:lang w:val="en-US"/>
        </w:rPr>
      </w:pPr>
      <w:r w:rsidRPr="00870653">
        <w:rPr>
          <w:rFonts w:ascii="Book Antiqua" w:hAnsi="Book Antiqua"/>
          <w:sz w:val="20"/>
          <w:szCs w:val="20"/>
          <w:lang w:val="en-US"/>
        </w:rPr>
        <w:t>In</w:t>
      </w:r>
      <w:r w:rsidR="00091403" w:rsidRPr="00870653">
        <w:rPr>
          <w:rFonts w:ascii="Book Antiqua" w:hAnsi="Book Antiqua"/>
          <w:sz w:val="20"/>
          <w:szCs w:val="20"/>
          <w:lang w:val="en-US"/>
        </w:rPr>
        <w:t xml:space="preserve"> a</w:t>
      </w:r>
      <w:r w:rsidRPr="00870653">
        <w:rPr>
          <w:rFonts w:ascii="Book Antiqua" w:hAnsi="Book Antiqua"/>
          <w:sz w:val="20"/>
          <w:szCs w:val="20"/>
          <w:lang w:val="en-US"/>
        </w:rPr>
        <w:t xml:space="preserve"> recent literature, several important papers analyze the determinants of bank</w:t>
      </w:r>
      <w:r w:rsidR="00121645" w:rsidRPr="00870653">
        <w:rPr>
          <w:rFonts w:ascii="Book Antiqua" w:hAnsi="Book Antiqua"/>
          <w:sz w:val="20"/>
          <w:szCs w:val="20"/>
          <w:lang w:val="en-US"/>
        </w:rPr>
        <w:t>s’</w:t>
      </w:r>
      <w:r w:rsidR="006F3DB3" w:rsidRPr="00870653">
        <w:rPr>
          <w:rFonts w:ascii="Book Antiqua" w:hAnsi="Book Antiqua"/>
          <w:sz w:val="20"/>
          <w:szCs w:val="20"/>
          <w:lang w:val="en-US"/>
        </w:rPr>
        <w:t xml:space="preserve"> </w:t>
      </w:r>
      <w:r w:rsidRPr="00870653">
        <w:rPr>
          <w:rFonts w:ascii="Book Antiqua" w:hAnsi="Book Antiqua"/>
          <w:sz w:val="20"/>
          <w:szCs w:val="20"/>
          <w:lang w:val="en-US"/>
        </w:rPr>
        <w:t>CDS spreads and the links with sovereign risk</w:t>
      </w:r>
      <w:r w:rsidR="00091403" w:rsidRPr="00870653">
        <w:rPr>
          <w:rFonts w:ascii="Book Antiqua" w:hAnsi="Book Antiqua"/>
          <w:sz w:val="20"/>
          <w:szCs w:val="20"/>
          <w:lang w:val="en-US"/>
        </w:rPr>
        <w:t>.</w:t>
      </w:r>
      <w:r w:rsidR="003F7FF1" w:rsidRPr="00870653">
        <w:rPr>
          <w:rFonts w:ascii="Book Antiqua" w:hAnsi="Book Antiqua"/>
          <w:sz w:val="20"/>
          <w:szCs w:val="20"/>
          <w:lang w:val="en-US"/>
        </w:rPr>
        <w:t xml:space="preserve"> Below are presented some of the important studies</w:t>
      </w:r>
      <w:r w:rsidR="001D466C" w:rsidRPr="00870653">
        <w:rPr>
          <w:rFonts w:ascii="Book Antiqua" w:hAnsi="Book Antiqua"/>
          <w:sz w:val="20"/>
          <w:szCs w:val="20"/>
          <w:lang w:val="en-US"/>
        </w:rPr>
        <w:t xml:space="preserve">. </w:t>
      </w:r>
      <w:r w:rsidR="00E4286D" w:rsidRPr="00870653">
        <w:rPr>
          <w:rFonts w:ascii="Book Antiqua" w:hAnsi="Book Antiqua"/>
          <w:sz w:val="20"/>
          <w:szCs w:val="20"/>
          <w:lang w:val="en-US"/>
        </w:rPr>
        <w:t>In particular, the first</w:t>
      </w:r>
      <w:r w:rsidR="001D466C" w:rsidRPr="00870653">
        <w:rPr>
          <w:rFonts w:ascii="Book Antiqua" w:hAnsi="Book Antiqua"/>
          <w:sz w:val="20"/>
          <w:szCs w:val="20"/>
          <w:lang w:val="en-US"/>
        </w:rPr>
        <w:t xml:space="preserve"> </w:t>
      </w:r>
      <w:r w:rsidR="00E4286D" w:rsidRPr="00870653">
        <w:rPr>
          <w:rFonts w:ascii="Book Antiqua" w:hAnsi="Book Antiqua"/>
          <w:sz w:val="20"/>
          <w:szCs w:val="20"/>
          <w:lang w:val="en-US"/>
        </w:rPr>
        <w:t xml:space="preserve">two papers </w:t>
      </w:r>
      <w:r w:rsidR="001D466C" w:rsidRPr="00870653">
        <w:rPr>
          <w:rFonts w:ascii="Book Antiqua" w:hAnsi="Book Antiqua"/>
          <w:sz w:val="20"/>
          <w:szCs w:val="20"/>
          <w:lang w:val="en-US"/>
        </w:rPr>
        <w:t>are</w:t>
      </w:r>
      <w:r w:rsidR="00E4286D" w:rsidRPr="00870653">
        <w:rPr>
          <w:rFonts w:ascii="Book Antiqua" w:hAnsi="Book Antiqua"/>
          <w:sz w:val="20"/>
          <w:szCs w:val="20"/>
          <w:lang w:val="en-US"/>
        </w:rPr>
        <w:t xml:space="preserve"> focused on the banks’ CDS premia price discovery process.</w:t>
      </w:r>
    </w:p>
    <w:p w14:paraId="24D8AF89" w14:textId="77777777" w:rsidR="00E4286D" w:rsidRPr="00870653" w:rsidRDefault="00091403" w:rsidP="000C2385">
      <w:pPr>
        <w:spacing w:after="0" w:line="360" w:lineRule="auto"/>
        <w:jc w:val="both"/>
        <w:rPr>
          <w:rFonts w:ascii="Book Antiqua" w:hAnsi="Book Antiqua"/>
          <w:sz w:val="20"/>
          <w:szCs w:val="20"/>
          <w:lang w:val="en-US"/>
        </w:rPr>
      </w:pPr>
      <w:r w:rsidRPr="00870653">
        <w:rPr>
          <w:rFonts w:ascii="Book Antiqua" w:hAnsi="Book Antiqua"/>
          <w:i/>
          <w:iCs/>
          <w:sz w:val="20"/>
          <w:szCs w:val="20"/>
          <w:lang w:val="en-US"/>
        </w:rPr>
        <w:t>Chiaramonte and Casu</w:t>
      </w:r>
      <w:r w:rsidRPr="00870653">
        <w:rPr>
          <w:rFonts w:ascii="Book Antiqua" w:hAnsi="Book Antiqua"/>
          <w:sz w:val="20"/>
          <w:szCs w:val="20"/>
          <w:lang w:val="en-US"/>
        </w:rPr>
        <w:t xml:space="preserve"> (2010) analyze the determinants of CDS spreads using specific balance sheet ratios and evaluate their possible use as proxy </w:t>
      </w:r>
      <w:r w:rsidR="004F7F3C" w:rsidRPr="00870653">
        <w:rPr>
          <w:rFonts w:ascii="Book Antiqua" w:hAnsi="Book Antiqua"/>
          <w:sz w:val="20"/>
          <w:szCs w:val="20"/>
          <w:lang w:val="en-US"/>
        </w:rPr>
        <w:t>of</w:t>
      </w:r>
      <w:r w:rsidRPr="00870653">
        <w:rPr>
          <w:rFonts w:ascii="Book Antiqua" w:hAnsi="Book Antiqua"/>
          <w:sz w:val="20"/>
          <w:szCs w:val="20"/>
          <w:lang w:val="en-US"/>
        </w:rPr>
        <w:t xml:space="preserve"> bank default risk. The analysis focuses on three sub-periods: pre-crisis (January 2005 - June 2007), crisis (July 2007 - March 2009) and low crisis (April 2009 - June 2011). The study shows that the pre-crisis phase reflects the risk measured by the balance sheet ratios, while Tier1 ratio and leverage are non-significant in all three sub-periods, and liquidity ratios are significant during the crisis period.</w:t>
      </w:r>
      <w:r w:rsidR="002D6601" w:rsidRPr="00870653">
        <w:rPr>
          <w:rFonts w:ascii="Book Antiqua" w:hAnsi="Book Antiqua"/>
          <w:sz w:val="20"/>
          <w:szCs w:val="20"/>
          <w:lang w:val="en-US"/>
        </w:rPr>
        <w:t xml:space="preserve"> </w:t>
      </w:r>
    </w:p>
    <w:p w14:paraId="6D6AF2A1" w14:textId="2A27781D" w:rsidR="000C2385" w:rsidRPr="00870653" w:rsidRDefault="002D6601" w:rsidP="000C2385">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balance sheet ratios are also used in the analysis of </w:t>
      </w:r>
      <w:r w:rsidRPr="00870653">
        <w:rPr>
          <w:rFonts w:ascii="Book Antiqua" w:hAnsi="Book Antiqua"/>
          <w:i/>
          <w:iCs/>
          <w:sz w:val="20"/>
          <w:szCs w:val="20"/>
          <w:lang w:val="en-US"/>
        </w:rPr>
        <w:t>Samaniego-Medina et al</w:t>
      </w:r>
      <w:r w:rsidRPr="00870653">
        <w:rPr>
          <w:rFonts w:ascii="Book Antiqua" w:hAnsi="Book Antiqua"/>
          <w:sz w:val="20"/>
          <w:szCs w:val="20"/>
          <w:lang w:val="en-US"/>
        </w:rPr>
        <w:t>. (2016), who investigate the determinants of CDS spreads for a sample of 45 European banks during the period 2004-2010, using</w:t>
      </w:r>
      <w:r w:rsidR="00E4286D" w:rsidRPr="00870653">
        <w:rPr>
          <w:rFonts w:ascii="Book Antiqua" w:hAnsi="Book Antiqua"/>
          <w:sz w:val="20"/>
          <w:szCs w:val="20"/>
          <w:lang w:val="en-US"/>
        </w:rPr>
        <w:t xml:space="preserve"> not only</w:t>
      </w:r>
      <w:r w:rsidRPr="00870653">
        <w:rPr>
          <w:rFonts w:ascii="Book Antiqua" w:hAnsi="Book Antiqua"/>
          <w:sz w:val="20"/>
          <w:szCs w:val="20"/>
          <w:lang w:val="en-US"/>
        </w:rPr>
        <w:t xml:space="preserve"> balance sheet </w:t>
      </w:r>
      <w:r w:rsidR="00E4286D" w:rsidRPr="00870653">
        <w:rPr>
          <w:rFonts w:ascii="Book Antiqua" w:hAnsi="Book Antiqua"/>
          <w:sz w:val="20"/>
          <w:szCs w:val="20"/>
          <w:lang w:val="en-US"/>
        </w:rPr>
        <w:t xml:space="preserve">but also </w:t>
      </w:r>
      <w:r w:rsidRPr="00870653">
        <w:rPr>
          <w:rFonts w:ascii="Book Antiqua" w:hAnsi="Book Antiqua"/>
          <w:sz w:val="20"/>
          <w:szCs w:val="20"/>
          <w:lang w:val="en-US"/>
        </w:rPr>
        <w:t xml:space="preserve">market ratios. The authors highlight that the market variables have a greater explanatory capacity during the crisis than in the pre-crisis period. </w:t>
      </w:r>
    </w:p>
    <w:p w14:paraId="3A591064" w14:textId="4D86DB49" w:rsidR="000C2385" w:rsidRPr="00870653" w:rsidRDefault="000C2385" w:rsidP="000C2385">
      <w:pPr>
        <w:spacing w:after="0" w:line="360" w:lineRule="auto"/>
        <w:jc w:val="both"/>
        <w:rPr>
          <w:lang w:val="en-US"/>
        </w:rPr>
      </w:pPr>
      <w:r w:rsidRPr="00870653">
        <w:rPr>
          <w:rFonts w:ascii="Book Antiqua" w:hAnsi="Book Antiqua"/>
          <w:sz w:val="20"/>
          <w:szCs w:val="20"/>
          <w:lang w:val="en-US"/>
        </w:rPr>
        <w:t xml:space="preserve">Unlike these two studies, the analysis of </w:t>
      </w:r>
      <w:r w:rsidRPr="00870653">
        <w:rPr>
          <w:rFonts w:ascii="Book Antiqua" w:hAnsi="Book Antiqua"/>
          <w:i/>
          <w:iCs/>
          <w:sz w:val="20"/>
          <w:szCs w:val="20"/>
          <w:lang w:val="en-US"/>
        </w:rPr>
        <w:t>Avino and Cotter</w:t>
      </w:r>
      <w:r w:rsidRPr="00870653">
        <w:rPr>
          <w:rFonts w:ascii="Book Antiqua" w:hAnsi="Book Antiqua"/>
          <w:sz w:val="20"/>
          <w:szCs w:val="20"/>
          <w:lang w:val="en-US"/>
        </w:rPr>
        <w:t xml:space="preserve"> (2014) is more focused on the interconnectedness of bank and sovereign CDS markets during the period before the financial crisis started in mid-2007. Their research shows that spreads on sovereign CDS incorporate more quickly the evolution of expectations about the default probability of European banks than corresponding bank CDS spreads in times of crisis.</w:t>
      </w:r>
    </w:p>
    <w:p w14:paraId="7D70D37B" w14:textId="4271414E" w:rsidR="00BA287C" w:rsidRPr="00870653" w:rsidRDefault="00BA287C" w:rsidP="00883748">
      <w:pPr>
        <w:spacing w:after="0" w:line="360" w:lineRule="auto"/>
        <w:jc w:val="both"/>
        <w:rPr>
          <w:rFonts w:ascii="Book Antiqua" w:hAnsi="Book Antiqua"/>
          <w:sz w:val="20"/>
          <w:szCs w:val="20"/>
          <w:lang w:val="en-US"/>
        </w:rPr>
      </w:pPr>
      <w:r w:rsidRPr="00870653">
        <w:rPr>
          <w:rFonts w:ascii="Book Antiqua" w:hAnsi="Book Antiqua"/>
          <w:sz w:val="20"/>
          <w:szCs w:val="20"/>
          <w:lang w:val="en-US"/>
        </w:rPr>
        <w:lastRenderedPageBreak/>
        <w:t xml:space="preserve">In recent years, </w:t>
      </w:r>
      <w:r w:rsidR="00494A0C" w:rsidRPr="00870653">
        <w:rPr>
          <w:rFonts w:ascii="Book Antiqua" w:hAnsi="Book Antiqua"/>
          <w:sz w:val="20"/>
          <w:szCs w:val="20"/>
          <w:lang w:val="en-US"/>
        </w:rPr>
        <w:t xml:space="preserve">due to the events that have characterized </w:t>
      </w:r>
      <w:r w:rsidRPr="00870653">
        <w:rPr>
          <w:rFonts w:ascii="Book Antiqua" w:hAnsi="Book Antiqua"/>
          <w:sz w:val="20"/>
          <w:szCs w:val="20"/>
          <w:lang w:val="en-US"/>
        </w:rPr>
        <w:t xml:space="preserve">the financial markets, the literature has begun to investigate in detail the redenomination risk. However, </w:t>
      </w:r>
      <w:r w:rsidR="0016617D" w:rsidRPr="00870653">
        <w:rPr>
          <w:rFonts w:ascii="Book Antiqua" w:hAnsi="Book Antiqua"/>
          <w:sz w:val="20"/>
          <w:szCs w:val="20"/>
          <w:lang w:val="en-US"/>
        </w:rPr>
        <w:t>we can identify two stream</w:t>
      </w:r>
      <w:r w:rsidR="0073189B" w:rsidRPr="00870653">
        <w:rPr>
          <w:rFonts w:ascii="Book Antiqua" w:hAnsi="Book Antiqua"/>
          <w:sz w:val="20"/>
          <w:szCs w:val="20"/>
          <w:lang w:val="en-US"/>
        </w:rPr>
        <w:t>s</w:t>
      </w:r>
      <w:r w:rsidR="0016617D" w:rsidRPr="00870653">
        <w:rPr>
          <w:rFonts w:ascii="Book Antiqua" w:hAnsi="Book Antiqua"/>
          <w:sz w:val="20"/>
          <w:szCs w:val="20"/>
          <w:lang w:val="en-US"/>
        </w:rPr>
        <w:t xml:space="preserve">: the first, characterized by </w:t>
      </w:r>
      <w:r w:rsidR="00313467" w:rsidRPr="00870653">
        <w:rPr>
          <w:rFonts w:ascii="Book Antiqua" w:hAnsi="Book Antiqua"/>
          <w:sz w:val="20"/>
          <w:szCs w:val="20"/>
          <w:lang w:val="en-US"/>
        </w:rPr>
        <w:t xml:space="preserve">a large part </w:t>
      </w:r>
      <w:r w:rsidRPr="00870653">
        <w:rPr>
          <w:rFonts w:ascii="Book Antiqua" w:hAnsi="Book Antiqua"/>
          <w:sz w:val="20"/>
          <w:szCs w:val="20"/>
          <w:lang w:val="en-US"/>
        </w:rPr>
        <w:t>of the papers</w:t>
      </w:r>
      <w:r w:rsidR="0016617D" w:rsidRPr="00870653">
        <w:rPr>
          <w:rFonts w:ascii="Book Antiqua" w:hAnsi="Book Antiqua"/>
          <w:sz w:val="20"/>
          <w:szCs w:val="20"/>
          <w:lang w:val="en-US"/>
        </w:rPr>
        <w:t>,</w:t>
      </w:r>
      <w:r w:rsidRPr="00870653">
        <w:rPr>
          <w:rFonts w:ascii="Book Antiqua" w:hAnsi="Book Antiqua"/>
          <w:sz w:val="20"/>
          <w:szCs w:val="20"/>
          <w:lang w:val="en-US"/>
        </w:rPr>
        <w:t xml:space="preserve"> focus</w:t>
      </w:r>
      <w:r w:rsidR="0016617D" w:rsidRPr="00870653">
        <w:rPr>
          <w:rFonts w:ascii="Book Antiqua" w:hAnsi="Book Antiqua"/>
          <w:sz w:val="20"/>
          <w:szCs w:val="20"/>
          <w:lang w:val="en-US"/>
        </w:rPr>
        <w:t>es</w:t>
      </w:r>
      <w:r w:rsidRPr="00870653">
        <w:rPr>
          <w:rFonts w:ascii="Book Antiqua" w:hAnsi="Book Antiqua"/>
          <w:sz w:val="20"/>
          <w:szCs w:val="20"/>
          <w:lang w:val="en-US"/>
        </w:rPr>
        <w:t xml:space="preserve"> on the </w:t>
      </w:r>
      <w:r w:rsidR="00313467" w:rsidRPr="00870653">
        <w:rPr>
          <w:rFonts w:ascii="Book Antiqua" w:hAnsi="Book Antiqua"/>
          <w:sz w:val="20"/>
          <w:szCs w:val="20"/>
          <w:lang w:val="en-US"/>
        </w:rPr>
        <w:t xml:space="preserve">evaluation </w:t>
      </w:r>
      <w:r w:rsidRPr="00870653">
        <w:rPr>
          <w:rFonts w:ascii="Book Antiqua" w:hAnsi="Book Antiqua"/>
          <w:sz w:val="20"/>
          <w:szCs w:val="20"/>
          <w:lang w:val="en-US"/>
        </w:rPr>
        <w:t>and</w:t>
      </w:r>
      <w:r w:rsidR="00313467" w:rsidRPr="00870653">
        <w:rPr>
          <w:rFonts w:ascii="Book Antiqua" w:hAnsi="Book Antiqua"/>
          <w:sz w:val="20"/>
          <w:szCs w:val="20"/>
          <w:lang w:val="en-US"/>
        </w:rPr>
        <w:t xml:space="preserve"> the</w:t>
      </w:r>
      <w:r w:rsidRPr="00870653">
        <w:rPr>
          <w:rFonts w:ascii="Book Antiqua" w:hAnsi="Book Antiqua"/>
          <w:sz w:val="20"/>
          <w:szCs w:val="20"/>
          <w:lang w:val="en-US"/>
        </w:rPr>
        <w:t xml:space="preserve"> measurement of redenomination risk in the </w:t>
      </w:r>
      <w:r w:rsidR="00313467" w:rsidRPr="00870653">
        <w:rPr>
          <w:rFonts w:ascii="Book Antiqua" w:hAnsi="Book Antiqua"/>
          <w:sz w:val="20"/>
          <w:szCs w:val="20"/>
          <w:lang w:val="en-US"/>
        </w:rPr>
        <w:t xml:space="preserve">price discovery </w:t>
      </w:r>
      <w:r w:rsidRPr="00870653">
        <w:rPr>
          <w:rFonts w:ascii="Book Antiqua" w:hAnsi="Book Antiqua"/>
          <w:sz w:val="20"/>
          <w:szCs w:val="20"/>
          <w:lang w:val="en-US"/>
        </w:rPr>
        <w:t>process of sovereign CDS premi</w:t>
      </w:r>
      <w:r w:rsidR="00DD4C02" w:rsidRPr="00870653">
        <w:rPr>
          <w:rFonts w:ascii="Book Antiqua" w:hAnsi="Book Antiqua"/>
          <w:sz w:val="20"/>
          <w:szCs w:val="20"/>
          <w:lang w:val="en-US"/>
        </w:rPr>
        <w:t>a</w:t>
      </w:r>
      <w:r w:rsidRPr="00870653">
        <w:rPr>
          <w:rFonts w:ascii="Book Antiqua" w:hAnsi="Book Antiqua"/>
          <w:sz w:val="20"/>
          <w:szCs w:val="20"/>
          <w:lang w:val="en-US"/>
        </w:rPr>
        <w:t xml:space="preserve">. </w:t>
      </w:r>
      <w:r w:rsidR="0073189B" w:rsidRPr="00870653">
        <w:rPr>
          <w:rFonts w:ascii="Book Antiqua" w:hAnsi="Book Antiqua"/>
          <w:sz w:val="20"/>
          <w:szCs w:val="20"/>
          <w:lang w:val="en-US"/>
        </w:rPr>
        <w:t>Instead</w:t>
      </w:r>
      <w:r w:rsidRPr="00870653">
        <w:rPr>
          <w:rFonts w:ascii="Book Antiqua" w:hAnsi="Book Antiqua"/>
          <w:sz w:val="20"/>
          <w:szCs w:val="20"/>
          <w:lang w:val="en-US"/>
        </w:rPr>
        <w:t xml:space="preserve">, </w:t>
      </w:r>
      <w:r w:rsidR="0016617D" w:rsidRPr="00870653">
        <w:rPr>
          <w:rFonts w:ascii="Book Antiqua" w:hAnsi="Book Antiqua"/>
          <w:sz w:val="20"/>
          <w:szCs w:val="20"/>
          <w:lang w:val="en-US"/>
        </w:rPr>
        <w:t xml:space="preserve">the second stream, characterized by </w:t>
      </w:r>
      <w:r w:rsidRPr="00870653">
        <w:rPr>
          <w:rFonts w:ascii="Book Antiqua" w:hAnsi="Book Antiqua"/>
          <w:sz w:val="20"/>
          <w:szCs w:val="20"/>
          <w:lang w:val="en-US"/>
        </w:rPr>
        <w:t>few works</w:t>
      </w:r>
      <w:r w:rsidR="0016617D" w:rsidRPr="00870653">
        <w:rPr>
          <w:rFonts w:ascii="Book Antiqua" w:hAnsi="Book Antiqua"/>
          <w:sz w:val="20"/>
          <w:szCs w:val="20"/>
          <w:lang w:val="en-US"/>
        </w:rPr>
        <w:t>, is aimed at</w:t>
      </w:r>
      <w:r w:rsidRPr="00870653">
        <w:rPr>
          <w:rFonts w:ascii="Book Antiqua" w:hAnsi="Book Antiqua"/>
          <w:sz w:val="20"/>
          <w:szCs w:val="20"/>
          <w:lang w:val="en-US"/>
        </w:rPr>
        <w:t xml:space="preserve"> </w:t>
      </w:r>
      <w:r w:rsidR="00B24F3C" w:rsidRPr="00870653">
        <w:rPr>
          <w:rFonts w:ascii="Book Antiqua" w:hAnsi="Book Antiqua"/>
          <w:sz w:val="20"/>
          <w:szCs w:val="20"/>
          <w:lang w:val="en-US"/>
        </w:rPr>
        <w:t>reaching the same</w:t>
      </w:r>
      <w:r w:rsidRPr="00870653">
        <w:rPr>
          <w:rFonts w:ascii="Book Antiqua" w:hAnsi="Book Antiqua"/>
          <w:sz w:val="20"/>
          <w:szCs w:val="20"/>
          <w:lang w:val="en-US"/>
        </w:rPr>
        <w:t xml:space="preserve"> objective with reference to the price discovery process of bank CDS</w:t>
      </w:r>
      <w:r w:rsidR="00494A0C" w:rsidRPr="00870653">
        <w:rPr>
          <w:rFonts w:ascii="Book Antiqua" w:hAnsi="Book Antiqua"/>
          <w:sz w:val="20"/>
          <w:szCs w:val="20"/>
          <w:lang w:val="en-US"/>
        </w:rPr>
        <w:t xml:space="preserve"> premi</w:t>
      </w:r>
      <w:r w:rsidR="00DD4C02" w:rsidRPr="00870653">
        <w:rPr>
          <w:rFonts w:ascii="Book Antiqua" w:hAnsi="Book Antiqua"/>
          <w:sz w:val="20"/>
          <w:szCs w:val="20"/>
          <w:lang w:val="en-US"/>
        </w:rPr>
        <w:t>a</w:t>
      </w:r>
      <w:r w:rsidRPr="00870653">
        <w:rPr>
          <w:rFonts w:ascii="Book Antiqua" w:hAnsi="Book Antiqua"/>
          <w:sz w:val="20"/>
          <w:szCs w:val="20"/>
          <w:lang w:val="en-US"/>
        </w:rPr>
        <w:t>.</w:t>
      </w:r>
    </w:p>
    <w:p w14:paraId="3971EBD7" w14:textId="0F309935" w:rsidR="003B5604" w:rsidRPr="00870653" w:rsidRDefault="003B5604" w:rsidP="00883748">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main </w:t>
      </w:r>
      <w:r w:rsidR="00906D19" w:rsidRPr="00870653">
        <w:rPr>
          <w:rFonts w:ascii="Book Antiqua" w:hAnsi="Book Antiqua"/>
          <w:sz w:val="20"/>
          <w:szCs w:val="20"/>
          <w:lang w:val="en-US"/>
        </w:rPr>
        <w:t xml:space="preserve">reference work of the first stream is that </w:t>
      </w:r>
      <w:r w:rsidRPr="00870653">
        <w:rPr>
          <w:rFonts w:ascii="Book Antiqua" w:hAnsi="Book Antiqua"/>
          <w:sz w:val="20"/>
          <w:szCs w:val="20"/>
          <w:lang w:val="en-US"/>
        </w:rPr>
        <w:t xml:space="preserve">of De Santis (2019). The main aim of his paper is to demonstrate how the redenomination risk shocks are able to influence sovereign yield spreads. In particular, the author uses a dynamic </w:t>
      </w:r>
      <w:r w:rsidR="006D07F1" w:rsidRPr="00870653">
        <w:rPr>
          <w:rFonts w:ascii="Book Antiqua" w:hAnsi="Book Antiqua"/>
          <w:sz w:val="20"/>
          <w:szCs w:val="20"/>
          <w:lang w:val="en-US"/>
        </w:rPr>
        <w:t xml:space="preserve">country-specific </w:t>
      </w:r>
      <w:r w:rsidRPr="00870653">
        <w:rPr>
          <w:rFonts w:ascii="Book Antiqua" w:hAnsi="Book Antiqua"/>
          <w:sz w:val="20"/>
          <w:szCs w:val="20"/>
          <w:lang w:val="en-US"/>
        </w:rPr>
        <w:t>measure of the redenomination</w:t>
      </w:r>
      <w:r w:rsidR="00D13177" w:rsidRPr="00870653">
        <w:rPr>
          <w:rFonts w:ascii="Book Antiqua" w:hAnsi="Book Antiqua"/>
          <w:sz w:val="20"/>
          <w:szCs w:val="20"/>
          <w:lang w:val="en-US"/>
        </w:rPr>
        <w:t xml:space="preserve"> risk for the countries of the </w:t>
      </w:r>
      <w:r w:rsidR="00312F4C" w:rsidRPr="00870653">
        <w:rPr>
          <w:rFonts w:ascii="Book Antiqua" w:hAnsi="Book Antiqua"/>
          <w:sz w:val="20"/>
          <w:szCs w:val="20"/>
          <w:lang w:val="en-US"/>
        </w:rPr>
        <w:t>Euro Area</w:t>
      </w:r>
      <w:r w:rsidRPr="00870653">
        <w:rPr>
          <w:rFonts w:ascii="Book Antiqua" w:hAnsi="Book Antiqua"/>
          <w:sz w:val="20"/>
          <w:szCs w:val="20"/>
          <w:lang w:val="en-US"/>
        </w:rPr>
        <w:t xml:space="preserve">, </w:t>
      </w:r>
      <w:r w:rsidR="006D07F1" w:rsidRPr="00870653">
        <w:rPr>
          <w:rFonts w:ascii="Book Antiqua" w:hAnsi="Book Antiqua"/>
          <w:sz w:val="20"/>
          <w:szCs w:val="20"/>
          <w:lang w:val="en-US"/>
        </w:rPr>
        <w:t xml:space="preserve">defined as </w:t>
      </w:r>
      <w:r w:rsidRPr="00870653">
        <w:rPr>
          <w:rFonts w:ascii="Book Antiqua" w:hAnsi="Book Antiqua"/>
          <w:sz w:val="20"/>
          <w:szCs w:val="20"/>
          <w:lang w:val="en-US"/>
        </w:rPr>
        <w:t>the "</w:t>
      </w:r>
      <w:r w:rsidR="006D07F1" w:rsidRPr="00870653">
        <w:rPr>
          <w:rFonts w:ascii="Book Antiqua" w:hAnsi="Book Antiqua"/>
          <w:sz w:val="20"/>
          <w:szCs w:val="20"/>
          <w:lang w:val="en-US"/>
        </w:rPr>
        <w:t>quanto CDS</w:t>
      </w:r>
      <w:r w:rsidRPr="00870653">
        <w:rPr>
          <w:rFonts w:ascii="Book Antiqua" w:hAnsi="Book Antiqua"/>
          <w:sz w:val="20"/>
          <w:szCs w:val="20"/>
          <w:lang w:val="en-US"/>
        </w:rPr>
        <w:t>"</w:t>
      </w:r>
      <w:r w:rsidR="00663861" w:rsidRPr="00870653">
        <w:rPr>
          <w:rFonts w:ascii="Book Antiqua" w:hAnsi="Book Antiqua"/>
          <w:sz w:val="20"/>
          <w:szCs w:val="20"/>
          <w:lang w:val="en-US"/>
        </w:rPr>
        <w:t>, calculated as the difference between the CDS spreads on bonds denomiated in US dollar and the CDS spreads on e</w:t>
      </w:r>
      <w:r w:rsidR="00D13177" w:rsidRPr="00870653">
        <w:rPr>
          <w:rFonts w:ascii="Book Antiqua" w:hAnsi="Book Antiqua"/>
          <w:sz w:val="20"/>
          <w:szCs w:val="20"/>
          <w:lang w:val="en-US"/>
        </w:rPr>
        <w:t>quivalent bonds denominated in Euro</w:t>
      </w:r>
      <w:r w:rsidR="00663861" w:rsidRPr="00870653">
        <w:rPr>
          <w:rFonts w:ascii="Book Antiqua" w:hAnsi="Book Antiqua"/>
          <w:sz w:val="20"/>
          <w:szCs w:val="20"/>
          <w:lang w:val="en-US"/>
        </w:rPr>
        <w:t xml:space="preserve">. He uses </w:t>
      </w:r>
      <w:r w:rsidRPr="00870653">
        <w:rPr>
          <w:rFonts w:ascii="Book Antiqua" w:hAnsi="Book Antiqua"/>
          <w:sz w:val="20"/>
          <w:szCs w:val="20"/>
          <w:lang w:val="en-US"/>
        </w:rPr>
        <w:t>the difference between the</w:t>
      </w:r>
      <w:r w:rsidR="006D07F1" w:rsidRPr="00870653">
        <w:rPr>
          <w:rFonts w:ascii="Book Antiqua" w:hAnsi="Book Antiqua"/>
          <w:sz w:val="20"/>
          <w:szCs w:val="20"/>
          <w:lang w:val="en-US"/>
        </w:rPr>
        <w:t xml:space="preserve"> quanto </w:t>
      </w:r>
      <w:r w:rsidR="00663861" w:rsidRPr="00870653">
        <w:rPr>
          <w:rFonts w:ascii="Book Antiqua" w:hAnsi="Book Antiqua"/>
          <w:sz w:val="20"/>
          <w:szCs w:val="20"/>
          <w:lang w:val="en-US"/>
        </w:rPr>
        <w:t xml:space="preserve">CDS </w:t>
      </w:r>
      <w:r w:rsidR="006D07F1" w:rsidRPr="00870653">
        <w:rPr>
          <w:rFonts w:ascii="Book Antiqua" w:hAnsi="Book Antiqua"/>
          <w:sz w:val="20"/>
          <w:szCs w:val="20"/>
          <w:lang w:val="en-US"/>
        </w:rPr>
        <w:t>for a</w:t>
      </w:r>
      <w:r w:rsidRPr="00870653">
        <w:rPr>
          <w:rFonts w:ascii="Book Antiqua" w:hAnsi="Book Antiqua"/>
          <w:sz w:val="20"/>
          <w:szCs w:val="20"/>
          <w:lang w:val="en-US"/>
        </w:rPr>
        <w:t xml:space="preserve"> member country</w:t>
      </w:r>
      <w:r w:rsidR="006D07F1" w:rsidRPr="00870653">
        <w:rPr>
          <w:rFonts w:ascii="Book Antiqua" w:hAnsi="Book Antiqua"/>
          <w:sz w:val="20"/>
          <w:szCs w:val="20"/>
          <w:lang w:val="en-US"/>
        </w:rPr>
        <w:t xml:space="preserve"> and for</w:t>
      </w:r>
      <w:r w:rsidRPr="00870653">
        <w:rPr>
          <w:rFonts w:ascii="Book Antiqua" w:hAnsi="Book Antiqua"/>
          <w:sz w:val="20"/>
          <w:szCs w:val="20"/>
          <w:lang w:val="en-US"/>
        </w:rPr>
        <w:t xml:space="preserve"> a benchmark country (eg Germany). By focusing on Italy, Spain and France and using </w:t>
      </w:r>
      <w:r w:rsidR="00AE3679" w:rsidRPr="00870653">
        <w:rPr>
          <w:rFonts w:ascii="Book Antiqua" w:hAnsi="Book Antiqua"/>
          <w:sz w:val="20"/>
          <w:szCs w:val="20"/>
          <w:lang w:val="en-US"/>
        </w:rPr>
        <w:t>Germany as a benchmark for the E</w:t>
      </w:r>
      <w:r w:rsidRPr="00870653">
        <w:rPr>
          <w:rFonts w:ascii="Book Antiqua" w:hAnsi="Book Antiqua"/>
          <w:sz w:val="20"/>
          <w:szCs w:val="20"/>
          <w:lang w:val="en-US"/>
        </w:rPr>
        <w:t xml:space="preserve">urozone sovereign debt market, De Santis demonstrates </w:t>
      </w:r>
      <w:r w:rsidR="00663861" w:rsidRPr="00870653">
        <w:rPr>
          <w:rFonts w:ascii="Book Antiqua" w:hAnsi="Book Antiqua"/>
          <w:sz w:val="20"/>
          <w:szCs w:val="20"/>
          <w:lang w:val="en-US"/>
        </w:rPr>
        <w:t>that</w:t>
      </w:r>
      <w:r w:rsidRPr="00870653">
        <w:rPr>
          <w:rFonts w:ascii="Book Antiqua" w:hAnsi="Book Antiqua"/>
          <w:sz w:val="20"/>
          <w:szCs w:val="20"/>
          <w:lang w:val="en-US"/>
        </w:rPr>
        <w:t xml:space="preserve"> the redenomination risk was able to influence sovereign yield spreads, especially of Italy and Spain.</w:t>
      </w:r>
    </w:p>
    <w:p w14:paraId="2B757D55" w14:textId="21C1E9EB" w:rsidR="004D6CC7" w:rsidRPr="00870653" w:rsidRDefault="00A060FD" w:rsidP="007D1A20">
      <w:pPr>
        <w:spacing w:after="0" w:line="360" w:lineRule="auto"/>
        <w:jc w:val="both"/>
        <w:rPr>
          <w:rFonts w:ascii="Book Antiqua" w:hAnsi="Book Antiqua"/>
          <w:sz w:val="20"/>
          <w:szCs w:val="20"/>
          <w:lang w:val="en-US"/>
        </w:rPr>
      </w:pPr>
      <w:r w:rsidRPr="00870653">
        <w:rPr>
          <w:rFonts w:ascii="Book Antiqua" w:hAnsi="Book Antiqua"/>
          <w:sz w:val="20"/>
          <w:szCs w:val="20"/>
          <w:lang w:val="en-US"/>
        </w:rPr>
        <w:t>In addition,</w:t>
      </w:r>
      <w:r w:rsidR="00906D19" w:rsidRPr="00870653">
        <w:rPr>
          <w:rFonts w:ascii="Book Antiqua" w:hAnsi="Book Antiqua"/>
          <w:sz w:val="20"/>
          <w:szCs w:val="20"/>
          <w:lang w:val="en-US"/>
        </w:rPr>
        <w:t xml:space="preserve"> </w:t>
      </w:r>
      <w:r w:rsidR="004D6CC7" w:rsidRPr="00870653">
        <w:rPr>
          <w:rFonts w:ascii="Book Antiqua" w:hAnsi="Book Antiqua"/>
          <w:sz w:val="20"/>
          <w:szCs w:val="20"/>
          <w:lang w:val="en-US"/>
        </w:rPr>
        <w:t>Kremens (2019</w:t>
      </w:r>
      <w:r w:rsidR="006F2E91">
        <w:rPr>
          <w:rFonts w:ascii="Book Antiqua" w:hAnsi="Book Antiqua"/>
          <w:sz w:val="20"/>
          <w:szCs w:val="20"/>
          <w:lang w:val="en-US"/>
        </w:rPr>
        <w:t>)</w:t>
      </w:r>
      <w:r w:rsidR="004D6CC7" w:rsidRPr="00870653">
        <w:rPr>
          <w:rFonts w:ascii="Book Antiqua" w:hAnsi="Book Antiqua"/>
          <w:sz w:val="20"/>
          <w:szCs w:val="20"/>
          <w:lang w:val="en-US"/>
        </w:rPr>
        <w:t xml:space="preserve"> investigates the effects of the currency redenomination risk in the price process of sovereign yields</w:t>
      </w:r>
      <w:r w:rsidR="004C37C1" w:rsidRPr="00870653">
        <w:rPr>
          <w:rFonts w:ascii="Book Antiqua" w:hAnsi="Book Antiqua"/>
          <w:sz w:val="20"/>
          <w:szCs w:val="20"/>
          <w:lang w:val="en-US"/>
        </w:rPr>
        <w:t>,</w:t>
      </w:r>
      <w:r w:rsidR="004D6CC7" w:rsidRPr="00870653">
        <w:rPr>
          <w:rFonts w:ascii="Book Antiqua" w:hAnsi="Book Antiqua"/>
          <w:sz w:val="20"/>
          <w:szCs w:val="20"/>
          <w:lang w:val="en-US"/>
        </w:rPr>
        <w:t xml:space="preserve"> </w:t>
      </w:r>
      <w:r w:rsidR="007A154A" w:rsidRPr="00870653">
        <w:rPr>
          <w:rFonts w:ascii="Book Antiqua" w:hAnsi="Book Antiqua"/>
          <w:sz w:val="20"/>
          <w:szCs w:val="20"/>
          <w:lang w:val="en-US"/>
        </w:rPr>
        <w:t>taking into consideration</w:t>
      </w:r>
      <w:r w:rsidR="004D6CC7" w:rsidRPr="00870653">
        <w:rPr>
          <w:rFonts w:ascii="Book Antiqua" w:hAnsi="Book Antiqua"/>
          <w:sz w:val="20"/>
          <w:szCs w:val="20"/>
          <w:lang w:val="en-US"/>
        </w:rPr>
        <w:t xml:space="preserve"> France, Italy and Germany. The measure of the redenomination risk</w:t>
      </w:r>
      <w:r w:rsidR="004C37C1" w:rsidRPr="00870653">
        <w:rPr>
          <w:rFonts w:ascii="Book Antiqua" w:hAnsi="Book Antiqua"/>
          <w:sz w:val="20"/>
          <w:szCs w:val="20"/>
          <w:lang w:val="en-US"/>
        </w:rPr>
        <w:t xml:space="preserve"> is</w:t>
      </w:r>
      <w:r w:rsidR="004D6CC7" w:rsidRPr="00870653">
        <w:rPr>
          <w:rFonts w:ascii="Book Antiqua" w:hAnsi="Book Antiqua"/>
          <w:sz w:val="20"/>
          <w:szCs w:val="20"/>
          <w:lang w:val="en-US"/>
        </w:rPr>
        <w:t xml:space="preserve"> constructed </w:t>
      </w:r>
      <w:r w:rsidR="004C37C1" w:rsidRPr="00870653">
        <w:rPr>
          <w:rFonts w:ascii="Book Antiqua" w:hAnsi="Book Antiqua"/>
          <w:sz w:val="20"/>
          <w:szCs w:val="20"/>
          <w:lang w:val="en-US"/>
        </w:rPr>
        <w:t xml:space="preserve">using </w:t>
      </w:r>
      <w:r w:rsidR="004D6CC7" w:rsidRPr="00870653">
        <w:rPr>
          <w:rFonts w:ascii="Book Antiqua" w:hAnsi="Book Antiqua"/>
          <w:sz w:val="20"/>
          <w:szCs w:val="20"/>
          <w:lang w:val="en-US"/>
        </w:rPr>
        <w:t>the</w:t>
      </w:r>
      <w:r w:rsidR="000427F7" w:rsidRPr="00870653">
        <w:rPr>
          <w:rFonts w:ascii="Book Antiqua" w:hAnsi="Book Antiqua"/>
          <w:sz w:val="20"/>
          <w:szCs w:val="20"/>
          <w:lang w:val="en-US"/>
        </w:rPr>
        <w:t xml:space="preserve"> pricing</w:t>
      </w:r>
      <w:r w:rsidR="004D6CC7" w:rsidRPr="00870653">
        <w:rPr>
          <w:rFonts w:ascii="Book Antiqua" w:hAnsi="Book Antiqua"/>
          <w:sz w:val="20"/>
          <w:szCs w:val="20"/>
          <w:lang w:val="en-US"/>
        </w:rPr>
        <w:t xml:space="preserve"> difference between the CDS</w:t>
      </w:r>
      <w:r w:rsidR="000427F7" w:rsidRPr="00870653">
        <w:rPr>
          <w:rFonts w:ascii="Book Antiqua" w:hAnsi="Book Antiqua"/>
          <w:sz w:val="20"/>
          <w:szCs w:val="20"/>
          <w:lang w:val="en-US"/>
        </w:rPr>
        <w:t xml:space="preserve"> contracts signed under the</w:t>
      </w:r>
      <w:r w:rsidR="004D6CC7" w:rsidRPr="00870653">
        <w:rPr>
          <w:rFonts w:ascii="Book Antiqua" w:hAnsi="Book Antiqua"/>
          <w:sz w:val="20"/>
          <w:szCs w:val="20"/>
          <w:lang w:val="en-US"/>
        </w:rPr>
        <w:t xml:space="preserve"> 2014 </w:t>
      </w:r>
      <w:r w:rsidR="00E64598" w:rsidRPr="00870653">
        <w:rPr>
          <w:rFonts w:ascii="Book Antiqua" w:hAnsi="Book Antiqua"/>
          <w:sz w:val="20"/>
          <w:szCs w:val="20"/>
          <w:lang w:val="en-US"/>
        </w:rPr>
        <w:t>D</w:t>
      </w:r>
      <w:r w:rsidR="004D6CC7" w:rsidRPr="00870653">
        <w:rPr>
          <w:rFonts w:ascii="Book Antiqua" w:hAnsi="Book Antiqua"/>
          <w:sz w:val="20"/>
          <w:szCs w:val="20"/>
          <w:lang w:val="en-US"/>
        </w:rPr>
        <w:t xml:space="preserve">efinitions and the </w:t>
      </w:r>
      <w:r w:rsidR="000427F7" w:rsidRPr="00870653">
        <w:rPr>
          <w:rFonts w:ascii="Book Antiqua" w:hAnsi="Book Antiqua"/>
          <w:sz w:val="20"/>
          <w:szCs w:val="20"/>
          <w:lang w:val="en-US"/>
        </w:rPr>
        <w:t xml:space="preserve">CDS contracts signed under </w:t>
      </w:r>
      <w:r w:rsidR="004D6CC7" w:rsidRPr="00870653">
        <w:rPr>
          <w:rFonts w:ascii="Book Antiqua" w:hAnsi="Book Antiqua"/>
          <w:sz w:val="20"/>
          <w:szCs w:val="20"/>
          <w:lang w:val="en-US"/>
        </w:rPr>
        <w:t xml:space="preserve">the 2003 </w:t>
      </w:r>
      <w:r w:rsidR="00E64598" w:rsidRPr="00870653">
        <w:rPr>
          <w:rFonts w:ascii="Book Antiqua" w:hAnsi="Book Antiqua"/>
          <w:sz w:val="20"/>
          <w:szCs w:val="20"/>
          <w:lang w:val="en-US"/>
        </w:rPr>
        <w:t>D</w:t>
      </w:r>
      <w:r w:rsidR="004D6CC7" w:rsidRPr="00870653">
        <w:rPr>
          <w:rFonts w:ascii="Book Antiqua" w:hAnsi="Book Antiqua"/>
          <w:sz w:val="20"/>
          <w:szCs w:val="20"/>
          <w:lang w:val="en-US"/>
        </w:rPr>
        <w:t>efinitions (so-called ISDA basis). The author tries to explain how the negative</w:t>
      </w:r>
      <w:r w:rsidR="004C37C1" w:rsidRPr="00870653">
        <w:rPr>
          <w:rFonts w:ascii="Book Antiqua" w:hAnsi="Book Antiqua"/>
          <w:sz w:val="20"/>
          <w:szCs w:val="20"/>
          <w:lang w:val="en-US"/>
        </w:rPr>
        <w:t xml:space="preserve"> effects</w:t>
      </w:r>
      <w:r w:rsidR="004D6CC7" w:rsidRPr="00870653">
        <w:rPr>
          <w:rFonts w:ascii="Book Antiqua" w:hAnsi="Book Antiqua"/>
          <w:sz w:val="20"/>
          <w:szCs w:val="20"/>
          <w:lang w:val="en-US"/>
        </w:rPr>
        <w:t xml:space="preserve"> </w:t>
      </w:r>
      <w:r w:rsidR="000427F7" w:rsidRPr="00870653">
        <w:rPr>
          <w:rFonts w:ascii="Book Antiqua" w:hAnsi="Book Antiqua"/>
          <w:sz w:val="20"/>
          <w:szCs w:val="20"/>
          <w:lang w:val="en-US"/>
        </w:rPr>
        <w:t>of an</w:t>
      </w:r>
      <w:r w:rsidR="004D6CC7" w:rsidRPr="00870653">
        <w:rPr>
          <w:rFonts w:ascii="Book Antiqua" w:hAnsi="Book Antiqua"/>
          <w:sz w:val="20"/>
          <w:szCs w:val="20"/>
          <w:lang w:val="en-US"/>
        </w:rPr>
        <w:t xml:space="preserve"> </w:t>
      </w:r>
      <w:r w:rsidR="00E64AF1" w:rsidRPr="00870653">
        <w:rPr>
          <w:rFonts w:ascii="Book Antiqua" w:hAnsi="Book Antiqua"/>
          <w:sz w:val="20"/>
          <w:szCs w:val="20"/>
          <w:lang w:val="en-US"/>
        </w:rPr>
        <w:t>Italian</w:t>
      </w:r>
      <w:r w:rsidR="000427F7" w:rsidRPr="00870653">
        <w:rPr>
          <w:rFonts w:ascii="Book Antiqua" w:hAnsi="Book Antiqua"/>
          <w:sz w:val="20"/>
          <w:szCs w:val="20"/>
          <w:lang w:val="en-US"/>
        </w:rPr>
        <w:t xml:space="preserve"> exit</w:t>
      </w:r>
      <w:r w:rsidR="004D6CC7" w:rsidRPr="00870653">
        <w:rPr>
          <w:rFonts w:ascii="Book Antiqua" w:hAnsi="Book Antiqua"/>
          <w:sz w:val="20"/>
          <w:szCs w:val="20"/>
          <w:lang w:val="en-US"/>
        </w:rPr>
        <w:t xml:space="preserve"> </w:t>
      </w:r>
      <w:r w:rsidR="00D13177" w:rsidRPr="00870653">
        <w:rPr>
          <w:rFonts w:ascii="Book Antiqua" w:hAnsi="Book Antiqua"/>
          <w:sz w:val="20"/>
          <w:szCs w:val="20"/>
          <w:lang w:val="en-US"/>
        </w:rPr>
        <w:t xml:space="preserve">from the </w:t>
      </w:r>
      <w:r w:rsidR="00312F4C" w:rsidRPr="00870653">
        <w:rPr>
          <w:rFonts w:ascii="Book Antiqua" w:hAnsi="Book Antiqua"/>
          <w:sz w:val="20"/>
          <w:szCs w:val="20"/>
          <w:lang w:val="en-US"/>
        </w:rPr>
        <w:t>Euro Area</w:t>
      </w:r>
      <w:r w:rsidR="004D6CC7" w:rsidRPr="00870653">
        <w:rPr>
          <w:rFonts w:ascii="Book Antiqua" w:hAnsi="Book Antiqua"/>
          <w:sz w:val="20"/>
          <w:szCs w:val="20"/>
          <w:lang w:val="en-US"/>
        </w:rPr>
        <w:t xml:space="preserve"> can be sufficiently controlled, </w:t>
      </w:r>
      <w:r w:rsidR="000427F7" w:rsidRPr="00870653">
        <w:rPr>
          <w:rFonts w:ascii="Book Antiqua" w:hAnsi="Book Antiqua"/>
          <w:sz w:val="20"/>
          <w:szCs w:val="20"/>
          <w:lang w:val="en-US"/>
        </w:rPr>
        <w:t>while a French</w:t>
      </w:r>
      <w:r w:rsidR="004D6CC7" w:rsidRPr="00870653">
        <w:rPr>
          <w:rFonts w:ascii="Book Antiqua" w:hAnsi="Book Antiqua"/>
          <w:sz w:val="20"/>
          <w:szCs w:val="20"/>
          <w:lang w:val="en-US"/>
        </w:rPr>
        <w:t xml:space="preserve"> exit from the monetary union could have a do</w:t>
      </w:r>
      <w:r w:rsidR="00AE3679" w:rsidRPr="00870653">
        <w:rPr>
          <w:rFonts w:ascii="Book Antiqua" w:hAnsi="Book Antiqua"/>
          <w:sz w:val="20"/>
          <w:szCs w:val="20"/>
          <w:lang w:val="en-US"/>
        </w:rPr>
        <w:t>mino effect on the rest of the E</w:t>
      </w:r>
      <w:r w:rsidR="004D6CC7" w:rsidRPr="00870653">
        <w:rPr>
          <w:rFonts w:ascii="Book Antiqua" w:hAnsi="Book Antiqua"/>
          <w:sz w:val="20"/>
          <w:szCs w:val="20"/>
          <w:lang w:val="en-US"/>
        </w:rPr>
        <w:t>urozone</w:t>
      </w:r>
      <w:r w:rsidR="007D1A20" w:rsidRPr="00870653">
        <w:rPr>
          <w:rFonts w:ascii="Book Antiqua" w:hAnsi="Book Antiqua"/>
          <w:sz w:val="20"/>
          <w:szCs w:val="20"/>
          <w:lang w:val="en-US"/>
        </w:rPr>
        <w:t>.</w:t>
      </w:r>
    </w:p>
    <w:p w14:paraId="73727166" w14:textId="4B4282F1" w:rsidR="00681530" w:rsidRPr="00870653" w:rsidRDefault="007D1A20" w:rsidP="00681530">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w:t>
      </w:r>
      <w:r w:rsidR="00B14FA6" w:rsidRPr="00870653">
        <w:rPr>
          <w:rFonts w:ascii="Book Antiqua" w:hAnsi="Book Antiqua"/>
          <w:sz w:val="20"/>
          <w:szCs w:val="20"/>
          <w:lang w:val="en-US"/>
        </w:rPr>
        <w:t xml:space="preserve">main reference paper of the second stream </w:t>
      </w:r>
      <w:r w:rsidR="00C7096C" w:rsidRPr="00870653">
        <w:rPr>
          <w:rFonts w:ascii="Book Antiqua" w:hAnsi="Book Antiqua"/>
          <w:sz w:val="20"/>
          <w:szCs w:val="20"/>
          <w:lang w:val="en-US"/>
        </w:rPr>
        <w:t xml:space="preserve">is </w:t>
      </w:r>
      <w:r w:rsidRPr="00870653">
        <w:rPr>
          <w:rFonts w:ascii="Book Antiqua" w:hAnsi="Book Antiqua"/>
          <w:sz w:val="20"/>
          <w:szCs w:val="20"/>
          <w:lang w:val="en-US"/>
        </w:rPr>
        <w:t xml:space="preserve">that of Anelli et al. (2020). The authors analyze the price discovery process of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banks' CDS spreads by integrating the variables of the Merton model (1974). In particular, the authors include in their model the quanto CDS as measure of the redenomination risk, as in De Santis (2019). The main aim of the paper is to evaluate the evolution of the explanatory power of the redenomination risk and the classic variables</w:t>
      </w:r>
      <w:r w:rsidR="00336F2E" w:rsidRPr="00870653">
        <w:rPr>
          <w:rFonts w:ascii="Book Antiqua" w:hAnsi="Book Antiqua"/>
          <w:sz w:val="20"/>
          <w:szCs w:val="20"/>
          <w:lang w:val="en-US"/>
        </w:rPr>
        <w:t xml:space="preserve"> of</w:t>
      </w:r>
      <w:r w:rsidRPr="00870653">
        <w:rPr>
          <w:rFonts w:ascii="Book Antiqua" w:hAnsi="Book Antiqua"/>
          <w:sz w:val="20"/>
          <w:szCs w:val="20"/>
          <w:lang w:val="en-US"/>
        </w:rPr>
        <w:t xml:space="preserve"> the Merton model in the price discovery process of the </w:t>
      </w:r>
      <w:r w:rsidR="00E64AF1" w:rsidRPr="00870653">
        <w:rPr>
          <w:rFonts w:ascii="Book Antiqua" w:hAnsi="Book Antiqua"/>
          <w:sz w:val="20"/>
          <w:szCs w:val="20"/>
          <w:lang w:val="en-US"/>
        </w:rPr>
        <w:t>Italian</w:t>
      </w:r>
      <w:r w:rsidR="00336F2E" w:rsidRPr="00870653">
        <w:rPr>
          <w:rFonts w:ascii="Book Antiqua" w:hAnsi="Book Antiqua"/>
          <w:sz w:val="20"/>
          <w:szCs w:val="20"/>
          <w:lang w:val="en-US"/>
        </w:rPr>
        <w:t xml:space="preserve"> banks’ </w:t>
      </w:r>
      <w:r w:rsidRPr="00870653">
        <w:rPr>
          <w:rFonts w:ascii="Book Antiqua" w:hAnsi="Book Antiqua"/>
          <w:sz w:val="20"/>
          <w:szCs w:val="20"/>
          <w:lang w:val="en-US"/>
        </w:rPr>
        <w:t xml:space="preserve">CDS spreads during the </w:t>
      </w:r>
      <w:r w:rsidR="00336F2E" w:rsidRPr="00870653">
        <w:rPr>
          <w:rFonts w:ascii="Book Antiqua" w:hAnsi="Book Antiqua"/>
          <w:sz w:val="20"/>
          <w:szCs w:val="20"/>
          <w:lang w:val="en-US"/>
        </w:rPr>
        <w:t xml:space="preserve">most volatile </w:t>
      </w:r>
      <w:r w:rsidRPr="00870653">
        <w:rPr>
          <w:rFonts w:ascii="Book Antiqua" w:hAnsi="Book Antiqua"/>
          <w:sz w:val="20"/>
          <w:szCs w:val="20"/>
          <w:lang w:val="en-US"/>
        </w:rPr>
        <w:t>phases</w:t>
      </w:r>
      <w:r w:rsidR="006F2E91">
        <w:rPr>
          <w:rFonts w:ascii="Book Antiqua" w:hAnsi="Book Antiqua"/>
          <w:sz w:val="20"/>
          <w:szCs w:val="20"/>
          <w:lang w:val="en-US"/>
        </w:rPr>
        <w:t xml:space="preserve"> of the recent financial crisis. In particular, the authors </w:t>
      </w:r>
      <w:r w:rsidR="00997805">
        <w:rPr>
          <w:rFonts w:ascii="Book Antiqua" w:hAnsi="Book Antiqua"/>
          <w:sz w:val="20"/>
          <w:szCs w:val="20"/>
          <w:lang w:val="en-US"/>
        </w:rPr>
        <w:t>split the analysis on three specific periods</w:t>
      </w:r>
      <w:r w:rsidRPr="00870653">
        <w:rPr>
          <w:rFonts w:ascii="Book Antiqua" w:hAnsi="Book Antiqua"/>
          <w:sz w:val="20"/>
          <w:szCs w:val="20"/>
          <w:lang w:val="en-US"/>
        </w:rPr>
        <w:t xml:space="preserve">: the financial crisis (August 2008 - October 2009), the sovereign debt crisis (October 2009 - July 2012) and the phase of confrontation between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government and the </w:t>
      </w:r>
      <w:r w:rsidR="00E64AF1" w:rsidRPr="00870653">
        <w:rPr>
          <w:rFonts w:ascii="Book Antiqua" w:hAnsi="Book Antiqua"/>
          <w:sz w:val="20"/>
          <w:szCs w:val="20"/>
          <w:lang w:val="en-US"/>
        </w:rPr>
        <w:t>European</w:t>
      </w:r>
      <w:r w:rsidRPr="00870653">
        <w:rPr>
          <w:rFonts w:ascii="Book Antiqua" w:hAnsi="Book Antiqua"/>
          <w:sz w:val="20"/>
          <w:szCs w:val="20"/>
          <w:lang w:val="en-US"/>
        </w:rPr>
        <w:t xml:space="preserve"> Union (March 2018 - September 2018). </w:t>
      </w:r>
      <w:r w:rsidR="008038B6" w:rsidRPr="00870653">
        <w:rPr>
          <w:rFonts w:ascii="Book Antiqua" w:hAnsi="Book Antiqua"/>
          <w:sz w:val="20"/>
          <w:szCs w:val="20"/>
          <w:lang w:val="en-US"/>
        </w:rPr>
        <w:t>T</w:t>
      </w:r>
      <w:r w:rsidRPr="00870653">
        <w:rPr>
          <w:rFonts w:ascii="Book Antiqua" w:hAnsi="Book Antiqua"/>
          <w:sz w:val="20"/>
          <w:szCs w:val="20"/>
          <w:lang w:val="en-US"/>
        </w:rPr>
        <w:t>he authors</w:t>
      </w:r>
      <w:r w:rsidR="008038B6" w:rsidRPr="00870653">
        <w:rPr>
          <w:rFonts w:ascii="Book Antiqua" w:hAnsi="Book Antiqua"/>
          <w:sz w:val="20"/>
          <w:szCs w:val="20"/>
          <w:lang w:val="en-US"/>
        </w:rPr>
        <w:t xml:space="preserve"> firstly</w:t>
      </w:r>
      <w:r w:rsidRPr="00870653">
        <w:rPr>
          <w:rFonts w:ascii="Book Antiqua" w:hAnsi="Book Antiqua"/>
          <w:sz w:val="20"/>
          <w:szCs w:val="20"/>
          <w:lang w:val="en-US"/>
        </w:rPr>
        <w:t xml:space="preserve"> stud</w:t>
      </w:r>
      <w:r w:rsidR="008038B6" w:rsidRPr="00870653">
        <w:rPr>
          <w:rFonts w:ascii="Book Antiqua" w:hAnsi="Book Antiqua"/>
          <w:sz w:val="20"/>
          <w:szCs w:val="20"/>
          <w:lang w:val="en-US"/>
        </w:rPr>
        <w:t>ied</w:t>
      </w:r>
      <w:r w:rsidRPr="00870653">
        <w:rPr>
          <w:rFonts w:ascii="Book Antiqua" w:hAnsi="Book Antiqua"/>
          <w:sz w:val="20"/>
          <w:szCs w:val="20"/>
          <w:lang w:val="en-US"/>
        </w:rPr>
        <w:t xml:space="preserve"> the lead-lag </w:t>
      </w:r>
      <w:r w:rsidR="008038B6" w:rsidRPr="00870653">
        <w:rPr>
          <w:rFonts w:ascii="Book Antiqua" w:hAnsi="Book Antiqua"/>
          <w:sz w:val="20"/>
          <w:szCs w:val="20"/>
          <w:lang w:val="en-US"/>
        </w:rPr>
        <w:t xml:space="preserve">structure </w:t>
      </w:r>
      <w:r w:rsidRPr="00870653">
        <w:rPr>
          <w:rFonts w:ascii="Book Antiqua" w:hAnsi="Book Antiqua"/>
          <w:sz w:val="20"/>
          <w:szCs w:val="20"/>
          <w:lang w:val="en-US"/>
        </w:rPr>
        <w:t>between the bank and sovereign CDS series,</w:t>
      </w:r>
      <w:r w:rsidR="00681530" w:rsidRPr="00870653">
        <w:rPr>
          <w:rFonts w:ascii="Book Antiqua" w:hAnsi="Book Antiqua"/>
          <w:sz w:val="20"/>
          <w:szCs w:val="20"/>
          <w:lang w:val="en-US"/>
        </w:rPr>
        <w:t xml:space="preserve"> </w:t>
      </w:r>
      <w:r w:rsidR="00997805" w:rsidRPr="00870653">
        <w:rPr>
          <w:rFonts w:ascii="Book Antiqua" w:hAnsi="Book Antiqua"/>
          <w:sz w:val="20"/>
          <w:szCs w:val="20"/>
          <w:lang w:val="en-US"/>
        </w:rPr>
        <w:t>and then</w:t>
      </w:r>
      <w:r w:rsidRPr="00870653">
        <w:rPr>
          <w:rFonts w:ascii="Book Antiqua" w:hAnsi="Book Antiqua"/>
          <w:sz w:val="20"/>
          <w:szCs w:val="20"/>
          <w:lang w:val="en-US"/>
        </w:rPr>
        <w:t xml:space="preserve"> focus</w:t>
      </w:r>
      <w:r w:rsidR="008038B6" w:rsidRPr="00870653">
        <w:rPr>
          <w:rFonts w:ascii="Book Antiqua" w:hAnsi="Book Antiqua"/>
          <w:sz w:val="20"/>
          <w:szCs w:val="20"/>
          <w:lang w:val="en-US"/>
        </w:rPr>
        <w:t>ed</w:t>
      </w:r>
      <w:r w:rsidRPr="00870653">
        <w:rPr>
          <w:rFonts w:ascii="Book Antiqua" w:hAnsi="Book Antiqua"/>
          <w:sz w:val="20"/>
          <w:szCs w:val="20"/>
          <w:lang w:val="en-US"/>
        </w:rPr>
        <w:t xml:space="preserve"> on the evaluation of the determinants of bank CDS spreads. Their work demonstrates, in line with the results of this </w:t>
      </w:r>
      <w:r w:rsidR="008038B6" w:rsidRPr="00870653">
        <w:rPr>
          <w:rFonts w:ascii="Book Antiqua" w:hAnsi="Book Antiqua"/>
          <w:sz w:val="20"/>
          <w:szCs w:val="20"/>
          <w:lang w:val="en-US"/>
        </w:rPr>
        <w:t>paper</w:t>
      </w:r>
      <w:r w:rsidRPr="00870653">
        <w:rPr>
          <w:rFonts w:ascii="Book Antiqua" w:hAnsi="Book Antiqua"/>
          <w:sz w:val="20"/>
          <w:szCs w:val="20"/>
          <w:lang w:val="en-US"/>
        </w:rPr>
        <w:t>, that the</w:t>
      </w:r>
      <w:r w:rsidR="008038B6" w:rsidRPr="00870653">
        <w:rPr>
          <w:rFonts w:ascii="Book Antiqua" w:hAnsi="Book Antiqua"/>
          <w:sz w:val="20"/>
          <w:szCs w:val="20"/>
          <w:lang w:val="en-US"/>
        </w:rPr>
        <w:t xml:space="preserve"> redenomination</w:t>
      </w:r>
      <w:r w:rsidRPr="00870653">
        <w:rPr>
          <w:rFonts w:ascii="Book Antiqua" w:hAnsi="Book Antiqua"/>
          <w:sz w:val="20"/>
          <w:szCs w:val="20"/>
          <w:lang w:val="en-US"/>
        </w:rPr>
        <w:t xml:space="preserve"> risk</w:t>
      </w:r>
      <w:r w:rsidR="008038B6" w:rsidRPr="00870653">
        <w:rPr>
          <w:rFonts w:ascii="Book Antiqua" w:hAnsi="Book Antiqua"/>
          <w:sz w:val="20"/>
          <w:szCs w:val="20"/>
          <w:lang w:val="en-US"/>
        </w:rPr>
        <w:t xml:space="preserve"> </w:t>
      </w:r>
      <w:r w:rsidRPr="00870653">
        <w:rPr>
          <w:rFonts w:ascii="Book Antiqua" w:hAnsi="Book Antiqua"/>
          <w:sz w:val="20"/>
          <w:szCs w:val="20"/>
          <w:lang w:val="en-US"/>
        </w:rPr>
        <w:t xml:space="preserve">played a decisive role in the </w:t>
      </w:r>
      <w:r w:rsidR="008038B6" w:rsidRPr="00870653">
        <w:rPr>
          <w:rFonts w:ascii="Book Antiqua" w:hAnsi="Book Antiqua"/>
          <w:sz w:val="20"/>
          <w:szCs w:val="20"/>
          <w:lang w:val="en-US"/>
        </w:rPr>
        <w:t xml:space="preserve">price </w:t>
      </w:r>
      <w:r w:rsidRPr="00870653">
        <w:rPr>
          <w:rFonts w:ascii="Book Antiqua" w:hAnsi="Book Antiqua"/>
          <w:sz w:val="20"/>
          <w:szCs w:val="20"/>
          <w:lang w:val="en-US"/>
        </w:rPr>
        <w:t xml:space="preserve">evolution of CDS spreads during the sovereign debt crisis and especially </w:t>
      </w:r>
      <w:r w:rsidR="00681530" w:rsidRPr="00870653">
        <w:rPr>
          <w:rFonts w:ascii="Book Antiqua" w:hAnsi="Book Antiqua"/>
          <w:sz w:val="20"/>
          <w:szCs w:val="20"/>
          <w:lang w:val="en-US"/>
        </w:rPr>
        <w:t>in 2018</w:t>
      </w:r>
      <w:r w:rsidRPr="00870653">
        <w:rPr>
          <w:rFonts w:ascii="Book Antiqua" w:hAnsi="Book Antiqua"/>
          <w:sz w:val="20"/>
          <w:szCs w:val="20"/>
          <w:lang w:val="en-US"/>
        </w:rPr>
        <w:t>.</w:t>
      </w:r>
    </w:p>
    <w:p w14:paraId="014CC928" w14:textId="0E5CFB02" w:rsidR="00672316" w:rsidRPr="00870653" w:rsidRDefault="002604F9" w:rsidP="00681530">
      <w:pPr>
        <w:spacing w:after="0" w:line="360" w:lineRule="auto"/>
        <w:jc w:val="both"/>
        <w:rPr>
          <w:rFonts w:ascii="Book Antiqua" w:hAnsi="Book Antiqua"/>
          <w:sz w:val="20"/>
          <w:szCs w:val="20"/>
          <w:lang w:val="en-US"/>
        </w:rPr>
      </w:pPr>
      <w:r w:rsidRPr="00870653">
        <w:rPr>
          <w:rFonts w:ascii="Book Antiqua" w:hAnsi="Book Antiqua"/>
          <w:sz w:val="20"/>
          <w:szCs w:val="20"/>
          <w:lang w:val="en-US"/>
        </w:rPr>
        <w:t>Our</w:t>
      </w:r>
      <w:r w:rsidR="00672316" w:rsidRPr="00870653">
        <w:rPr>
          <w:rFonts w:ascii="Book Antiqua" w:hAnsi="Book Antiqua"/>
          <w:sz w:val="20"/>
          <w:szCs w:val="20"/>
          <w:lang w:val="en-US"/>
        </w:rPr>
        <w:t xml:space="preserve"> paper </w:t>
      </w:r>
      <w:r w:rsidR="00B14FA6" w:rsidRPr="00870653">
        <w:rPr>
          <w:rFonts w:ascii="Book Antiqua" w:hAnsi="Book Antiqua"/>
          <w:sz w:val="20"/>
          <w:szCs w:val="20"/>
          <w:lang w:val="en-US"/>
        </w:rPr>
        <w:t xml:space="preserve">is more related to the second </w:t>
      </w:r>
      <w:r w:rsidR="00A060FD" w:rsidRPr="00870653">
        <w:rPr>
          <w:rFonts w:ascii="Book Antiqua" w:hAnsi="Book Antiqua"/>
          <w:sz w:val="20"/>
          <w:szCs w:val="20"/>
          <w:lang w:val="en-US"/>
        </w:rPr>
        <w:t>stream</w:t>
      </w:r>
      <w:r w:rsidR="00B14FA6" w:rsidRPr="00870653">
        <w:rPr>
          <w:rFonts w:ascii="Book Antiqua" w:hAnsi="Book Antiqua"/>
          <w:sz w:val="20"/>
          <w:szCs w:val="20"/>
          <w:lang w:val="en-US"/>
        </w:rPr>
        <w:t xml:space="preserve"> and in particular to the last pa</w:t>
      </w:r>
      <w:r w:rsidR="006F2E91">
        <w:rPr>
          <w:rFonts w:ascii="Book Antiqua" w:hAnsi="Book Antiqua"/>
          <w:sz w:val="20"/>
          <w:szCs w:val="20"/>
          <w:lang w:val="en-US"/>
        </w:rPr>
        <w:t>per.</w:t>
      </w:r>
      <w:r w:rsidR="00B14FA6" w:rsidRPr="00870653">
        <w:rPr>
          <w:rFonts w:ascii="Book Antiqua" w:hAnsi="Book Antiqua"/>
          <w:sz w:val="20"/>
          <w:szCs w:val="20"/>
          <w:lang w:val="en-US"/>
        </w:rPr>
        <w:t xml:space="preserve"> </w:t>
      </w:r>
      <w:r w:rsidR="006F2E91">
        <w:rPr>
          <w:rFonts w:ascii="Book Antiqua" w:hAnsi="Book Antiqua"/>
          <w:sz w:val="20"/>
          <w:szCs w:val="20"/>
          <w:lang w:val="en-US"/>
        </w:rPr>
        <w:t>This document</w:t>
      </w:r>
      <w:r w:rsidR="00B14FA6" w:rsidRPr="00870653">
        <w:rPr>
          <w:rFonts w:ascii="Book Antiqua" w:hAnsi="Book Antiqua"/>
          <w:sz w:val="20"/>
          <w:szCs w:val="20"/>
          <w:lang w:val="en-US"/>
        </w:rPr>
        <w:t xml:space="preserve"> </w:t>
      </w:r>
      <w:r w:rsidR="00672316" w:rsidRPr="00870653">
        <w:rPr>
          <w:rFonts w:ascii="Book Antiqua" w:hAnsi="Book Antiqua"/>
          <w:sz w:val="20"/>
          <w:szCs w:val="20"/>
          <w:lang w:val="en-US"/>
        </w:rPr>
        <w:t>contributes to the literature by analyzing the dynamic evolu</w:t>
      </w:r>
      <w:r w:rsidR="00997805">
        <w:rPr>
          <w:rFonts w:ascii="Book Antiqua" w:hAnsi="Book Antiqua"/>
          <w:sz w:val="20"/>
          <w:szCs w:val="20"/>
          <w:lang w:val="en-US"/>
        </w:rPr>
        <w:t>tion of the redenomination risk</w:t>
      </w:r>
      <w:r w:rsidR="00672316" w:rsidRPr="00870653">
        <w:rPr>
          <w:rFonts w:ascii="Book Antiqua" w:hAnsi="Book Antiqua"/>
          <w:sz w:val="20"/>
          <w:szCs w:val="20"/>
          <w:lang w:val="en-US"/>
        </w:rPr>
        <w:t xml:space="preserve"> </w:t>
      </w:r>
      <w:r w:rsidR="00997805">
        <w:rPr>
          <w:rFonts w:ascii="Book Antiqua" w:hAnsi="Book Antiqua"/>
          <w:sz w:val="20"/>
          <w:szCs w:val="20"/>
          <w:lang w:val="en-US"/>
        </w:rPr>
        <w:t>(</w:t>
      </w:r>
      <w:r w:rsidR="00672316" w:rsidRPr="00870653">
        <w:rPr>
          <w:rFonts w:ascii="Book Antiqua" w:hAnsi="Book Antiqua"/>
          <w:sz w:val="20"/>
          <w:szCs w:val="20"/>
          <w:lang w:val="en-US"/>
        </w:rPr>
        <w:t xml:space="preserve">measured by the differential between the CDS contracts signed under the 2014 </w:t>
      </w:r>
      <w:r w:rsidR="00970A3D" w:rsidRPr="00870653">
        <w:rPr>
          <w:rFonts w:ascii="Book Antiqua" w:hAnsi="Book Antiqua"/>
          <w:sz w:val="20"/>
          <w:szCs w:val="20"/>
          <w:lang w:val="en-US"/>
        </w:rPr>
        <w:t>d</w:t>
      </w:r>
      <w:r w:rsidR="00672316" w:rsidRPr="00870653">
        <w:rPr>
          <w:rFonts w:ascii="Book Antiqua" w:hAnsi="Book Antiqua"/>
          <w:sz w:val="20"/>
          <w:szCs w:val="20"/>
          <w:lang w:val="en-US"/>
        </w:rPr>
        <w:t xml:space="preserve">efinitions and those defined according to the 2003 </w:t>
      </w:r>
      <w:r w:rsidR="00970A3D" w:rsidRPr="00870653">
        <w:rPr>
          <w:rFonts w:ascii="Book Antiqua" w:hAnsi="Book Antiqua"/>
          <w:sz w:val="20"/>
          <w:szCs w:val="20"/>
          <w:lang w:val="en-US"/>
        </w:rPr>
        <w:t>d</w:t>
      </w:r>
      <w:r w:rsidR="00997805">
        <w:rPr>
          <w:rFonts w:ascii="Book Antiqua" w:hAnsi="Book Antiqua"/>
          <w:sz w:val="20"/>
          <w:szCs w:val="20"/>
          <w:lang w:val="en-US"/>
        </w:rPr>
        <w:t>efinitions)</w:t>
      </w:r>
      <w:r w:rsidR="00672316" w:rsidRPr="00870653">
        <w:rPr>
          <w:rFonts w:ascii="Book Antiqua" w:hAnsi="Book Antiqua"/>
          <w:sz w:val="20"/>
          <w:szCs w:val="20"/>
          <w:lang w:val="en-US"/>
        </w:rPr>
        <w:t xml:space="preserve"> and of the s</w:t>
      </w:r>
      <w:r w:rsidR="00997805">
        <w:rPr>
          <w:rFonts w:ascii="Book Antiqua" w:hAnsi="Book Antiqua"/>
          <w:sz w:val="20"/>
          <w:szCs w:val="20"/>
          <w:lang w:val="en-US"/>
        </w:rPr>
        <w:t>overeign risk (</w:t>
      </w:r>
      <w:r w:rsidR="00672316" w:rsidRPr="00870653">
        <w:rPr>
          <w:rFonts w:ascii="Book Antiqua" w:hAnsi="Book Antiqua"/>
          <w:sz w:val="20"/>
          <w:szCs w:val="20"/>
          <w:lang w:val="en-US"/>
        </w:rPr>
        <w:t>measured by</w:t>
      </w:r>
      <w:r w:rsidR="00467DF4" w:rsidRPr="00870653">
        <w:rPr>
          <w:rFonts w:ascii="Book Antiqua" w:hAnsi="Book Antiqua"/>
          <w:sz w:val="20"/>
          <w:szCs w:val="20"/>
          <w:lang w:val="en-US"/>
        </w:rPr>
        <w:t xml:space="preserve"> the differential between the ten-year </w:t>
      </w:r>
      <w:r w:rsidR="00E64AF1" w:rsidRPr="00870653">
        <w:rPr>
          <w:rFonts w:ascii="Book Antiqua" w:hAnsi="Book Antiqua"/>
          <w:sz w:val="20"/>
          <w:szCs w:val="20"/>
          <w:lang w:val="en-US"/>
        </w:rPr>
        <w:t>Italian</w:t>
      </w:r>
      <w:r w:rsidR="00467DF4" w:rsidRPr="00870653">
        <w:rPr>
          <w:rFonts w:ascii="Book Antiqua" w:hAnsi="Book Antiqua"/>
          <w:sz w:val="20"/>
          <w:szCs w:val="20"/>
          <w:lang w:val="en-US"/>
        </w:rPr>
        <w:t xml:space="preserve"> government bond (BTP) yield and the respective German government bond (Bund) yield</w:t>
      </w:r>
      <w:r w:rsidR="00997805">
        <w:rPr>
          <w:rFonts w:ascii="Book Antiqua" w:hAnsi="Book Antiqua"/>
          <w:sz w:val="20"/>
          <w:szCs w:val="20"/>
          <w:lang w:val="en-US"/>
        </w:rPr>
        <w:t>)</w:t>
      </w:r>
      <w:r w:rsidR="00672316" w:rsidRPr="00870653">
        <w:rPr>
          <w:rFonts w:ascii="Book Antiqua" w:hAnsi="Book Antiqua"/>
          <w:sz w:val="20"/>
          <w:szCs w:val="20"/>
          <w:lang w:val="en-US"/>
        </w:rPr>
        <w:t xml:space="preserve"> in the price discovery process of the </w:t>
      </w:r>
      <w:r w:rsidR="008B13A2" w:rsidRPr="00870653">
        <w:rPr>
          <w:rFonts w:ascii="Book Antiqua" w:hAnsi="Book Antiqua"/>
          <w:sz w:val="20"/>
          <w:szCs w:val="20"/>
          <w:lang w:val="en-US"/>
        </w:rPr>
        <w:t xml:space="preserve">main </w:t>
      </w:r>
      <w:r w:rsidR="00E64AF1" w:rsidRPr="00870653">
        <w:rPr>
          <w:rFonts w:ascii="Book Antiqua" w:hAnsi="Book Antiqua"/>
          <w:sz w:val="20"/>
          <w:szCs w:val="20"/>
          <w:lang w:val="en-US"/>
        </w:rPr>
        <w:t>Italian</w:t>
      </w:r>
      <w:r w:rsidR="008B13A2" w:rsidRPr="00870653">
        <w:rPr>
          <w:rFonts w:ascii="Book Antiqua" w:hAnsi="Book Antiqua"/>
          <w:sz w:val="20"/>
          <w:szCs w:val="20"/>
          <w:lang w:val="en-US"/>
        </w:rPr>
        <w:t xml:space="preserve"> banks’ </w:t>
      </w:r>
      <w:r w:rsidR="00672316" w:rsidRPr="00870653">
        <w:rPr>
          <w:rFonts w:ascii="Book Antiqua" w:hAnsi="Book Antiqua"/>
          <w:sz w:val="20"/>
          <w:szCs w:val="20"/>
          <w:lang w:val="en-US"/>
        </w:rPr>
        <w:t xml:space="preserve">CDS spreads from 2008 to 2020 using a </w:t>
      </w:r>
      <w:r w:rsidR="008B13A2" w:rsidRPr="00870653">
        <w:rPr>
          <w:rFonts w:ascii="Book Antiqua" w:hAnsi="Book Antiqua"/>
          <w:sz w:val="20"/>
          <w:szCs w:val="20"/>
          <w:lang w:val="en-US"/>
        </w:rPr>
        <w:t>“</w:t>
      </w:r>
      <w:r w:rsidR="00672316" w:rsidRPr="00870653">
        <w:rPr>
          <w:rFonts w:ascii="Book Antiqua" w:hAnsi="Book Antiqua"/>
          <w:sz w:val="20"/>
          <w:szCs w:val="20"/>
          <w:lang w:val="en-US"/>
        </w:rPr>
        <w:t>rolling window</w:t>
      </w:r>
      <w:r w:rsidR="008B13A2" w:rsidRPr="00870653">
        <w:rPr>
          <w:rFonts w:ascii="Book Antiqua" w:hAnsi="Book Antiqua"/>
          <w:sz w:val="20"/>
          <w:szCs w:val="20"/>
          <w:lang w:val="en-US"/>
        </w:rPr>
        <w:t xml:space="preserve"> </w:t>
      </w:r>
      <w:r w:rsidR="00672316" w:rsidRPr="00870653">
        <w:rPr>
          <w:rFonts w:ascii="Book Antiqua" w:hAnsi="Book Antiqua"/>
          <w:sz w:val="20"/>
          <w:szCs w:val="20"/>
          <w:lang w:val="en-US"/>
        </w:rPr>
        <w:t>regression</w:t>
      </w:r>
      <w:r w:rsidR="008B13A2" w:rsidRPr="00870653">
        <w:rPr>
          <w:rFonts w:ascii="Book Antiqua" w:hAnsi="Book Antiqua"/>
          <w:sz w:val="20"/>
          <w:szCs w:val="20"/>
          <w:lang w:val="en-US"/>
        </w:rPr>
        <w:t>s”</w:t>
      </w:r>
      <w:r w:rsidR="00672316" w:rsidRPr="00870653">
        <w:rPr>
          <w:rFonts w:ascii="Book Antiqua" w:hAnsi="Book Antiqua"/>
          <w:sz w:val="20"/>
          <w:szCs w:val="20"/>
          <w:lang w:val="en-US"/>
        </w:rPr>
        <w:t xml:space="preserve"> model</w:t>
      </w:r>
      <w:r w:rsidR="008B13A2" w:rsidRPr="00870653">
        <w:rPr>
          <w:rFonts w:ascii="Book Antiqua" w:hAnsi="Book Antiqua"/>
          <w:sz w:val="20"/>
          <w:szCs w:val="20"/>
          <w:lang w:val="en-US"/>
        </w:rPr>
        <w:t>.</w:t>
      </w:r>
    </w:p>
    <w:p w14:paraId="6590B866" w14:textId="7A329659" w:rsidR="006336D5" w:rsidRPr="00870653" w:rsidRDefault="008B13A2" w:rsidP="00364E16">
      <w:pPr>
        <w:spacing w:after="0" w:line="360" w:lineRule="auto"/>
        <w:jc w:val="both"/>
        <w:rPr>
          <w:rFonts w:ascii="Book Antiqua" w:hAnsi="Book Antiqua"/>
          <w:sz w:val="20"/>
          <w:szCs w:val="20"/>
          <w:lang w:val="en-US"/>
        </w:rPr>
      </w:pPr>
      <w:r w:rsidRPr="00870653">
        <w:rPr>
          <w:rFonts w:ascii="Book Antiqua" w:hAnsi="Book Antiqua"/>
          <w:sz w:val="20"/>
          <w:szCs w:val="20"/>
          <w:lang w:val="en-US"/>
        </w:rPr>
        <w:lastRenderedPageBreak/>
        <w:t>The case of Ita</w:t>
      </w:r>
      <w:r w:rsidR="00D13177" w:rsidRPr="00870653">
        <w:rPr>
          <w:rFonts w:ascii="Book Antiqua" w:hAnsi="Book Antiqua"/>
          <w:sz w:val="20"/>
          <w:szCs w:val="20"/>
          <w:lang w:val="en-US"/>
        </w:rPr>
        <w:t xml:space="preserve">ly is particularly interesting </w:t>
      </w:r>
      <w:r w:rsidRPr="00870653">
        <w:rPr>
          <w:rFonts w:ascii="Book Antiqua" w:hAnsi="Book Antiqua"/>
          <w:sz w:val="20"/>
          <w:szCs w:val="20"/>
          <w:lang w:val="en-US"/>
        </w:rPr>
        <w:t xml:space="preserve">for this </w:t>
      </w:r>
      <w:r w:rsidR="00A060FD" w:rsidRPr="00870653">
        <w:rPr>
          <w:rFonts w:ascii="Book Antiqua" w:hAnsi="Book Antiqua"/>
          <w:sz w:val="20"/>
          <w:szCs w:val="20"/>
          <w:lang w:val="en-US"/>
        </w:rPr>
        <w:t>analysis,</w:t>
      </w:r>
      <w:r w:rsidRPr="00870653">
        <w:rPr>
          <w:rFonts w:ascii="Book Antiqua" w:hAnsi="Book Antiqua"/>
          <w:sz w:val="20"/>
          <w:szCs w:val="20"/>
          <w:lang w:val="en-US"/>
        </w:rPr>
        <w:t xml:space="preserve"> as </w:t>
      </w:r>
      <w:r w:rsidR="00A060FD" w:rsidRPr="00870653">
        <w:rPr>
          <w:rFonts w:ascii="Book Antiqua" w:hAnsi="Book Antiqua"/>
          <w:sz w:val="20"/>
          <w:szCs w:val="20"/>
          <w:lang w:val="en-US"/>
        </w:rPr>
        <w:t>it is</w:t>
      </w:r>
      <w:r w:rsidR="00AE3679" w:rsidRPr="00870653">
        <w:rPr>
          <w:rFonts w:ascii="Book Antiqua" w:hAnsi="Book Antiqua"/>
          <w:sz w:val="20"/>
          <w:szCs w:val="20"/>
          <w:lang w:val="en-US"/>
        </w:rPr>
        <w:t xml:space="preserve"> a member country of the E</w:t>
      </w:r>
      <w:r w:rsidRPr="00870653">
        <w:rPr>
          <w:rFonts w:ascii="Book Antiqua" w:hAnsi="Book Antiqua"/>
          <w:sz w:val="20"/>
          <w:szCs w:val="20"/>
          <w:lang w:val="en-US"/>
        </w:rPr>
        <w:t xml:space="preserve">urozone </w:t>
      </w:r>
      <w:r w:rsidR="00E02923" w:rsidRPr="00870653">
        <w:rPr>
          <w:rFonts w:ascii="Book Antiqua" w:hAnsi="Book Antiqua"/>
          <w:sz w:val="20"/>
          <w:szCs w:val="20"/>
          <w:lang w:val="en-US"/>
        </w:rPr>
        <w:t xml:space="preserve">of </w:t>
      </w:r>
      <w:r w:rsidRPr="00870653">
        <w:rPr>
          <w:rFonts w:ascii="Book Antiqua" w:hAnsi="Book Antiqua"/>
          <w:sz w:val="20"/>
          <w:szCs w:val="20"/>
          <w:lang w:val="en-US"/>
        </w:rPr>
        <w:t xml:space="preserve">the so-called </w:t>
      </w:r>
      <w:r w:rsidR="00970A3D" w:rsidRPr="00870653">
        <w:rPr>
          <w:rFonts w:ascii="Book Antiqua" w:hAnsi="Book Antiqua"/>
          <w:sz w:val="20"/>
          <w:szCs w:val="20"/>
          <w:lang w:val="en-US"/>
        </w:rPr>
        <w:t>“</w:t>
      </w:r>
      <w:r w:rsidR="00270EB6" w:rsidRPr="00870653">
        <w:rPr>
          <w:rFonts w:ascii="Book Antiqua" w:hAnsi="Book Antiqua"/>
          <w:i/>
          <w:iCs/>
          <w:sz w:val="20"/>
          <w:szCs w:val="20"/>
          <w:lang w:val="en-US"/>
        </w:rPr>
        <w:t>P</w:t>
      </w:r>
      <w:r w:rsidR="00B71095" w:rsidRPr="00870653">
        <w:rPr>
          <w:rFonts w:ascii="Book Antiqua" w:hAnsi="Book Antiqua"/>
          <w:i/>
          <w:iCs/>
          <w:sz w:val="20"/>
          <w:szCs w:val="20"/>
          <w:lang w:val="en-US"/>
        </w:rPr>
        <w:t>IIGS</w:t>
      </w:r>
      <w:r w:rsidR="00970A3D" w:rsidRPr="00870653">
        <w:rPr>
          <w:rFonts w:ascii="Book Antiqua" w:hAnsi="Book Antiqua"/>
          <w:sz w:val="20"/>
          <w:szCs w:val="20"/>
          <w:lang w:val="en-US"/>
        </w:rPr>
        <w:t>”</w:t>
      </w:r>
      <w:r w:rsidR="00E02923" w:rsidRPr="00870653">
        <w:rPr>
          <w:rFonts w:ascii="Book Antiqua" w:hAnsi="Book Antiqua"/>
          <w:sz w:val="20"/>
          <w:szCs w:val="20"/>
          <w:lang w:val="en-US"/>
        </w:rPr>
        <w:t>, so it</w:t>
      </w:r>
      <w:r w:rsidRPr="00870653">
        <w:rPr>
          <w:rFonts w:ascii="Book Antiqua" w:hAnsi="Book Antiqua"/>
          <w:sz w:val="20"/>
          <w:szCs w:val="20"/>
          <w:lang w:val="en-US"/>
        </w:rPr>
        <w:t xml:space="preserve"> is generally exposed with greater intensity to volatility and speculation during periods of financial </w:t>
      </w:r>
      <w:r w:rsidR="00E02923" w:rsidRPr="00870653">
        <w:rPr>
          <w:rFonts w:ascii="Book Antiqua" w:hAnsi="Book Antiqua"/>
          <w:sz w:val="20"/>
          <w:szCs w:val="20"/>
          <w:lang w:val="en-US"/>
        </w:rPr>
        <w:t xml:space="preserve">stress. Moreover, it’s </w:t>
      </w:r>
      <w:r w:rsidRPr="00870653">
        <w:rPr>
          <w:rFonts w:ascii="Book Antiqua" w:hAnsi="Book Antiqua"/>
          <w:sz w:val="20"/>
          <w:szCs w:val="20"/>
          <w:lang w:val="en-US"/>
        </w:rPr>
        <w:t>a country characterized by a high debt-to-GDP ratio, low economic growth</w:t>
      </w:r>
      <w:r w:rsidR="00BE7D84" w:rsidRPr="00870653">
        <w:rPr>
          <w:rFonts w:ascii="Book Antiqua" w:hAnsi="Book Antiqua"/>
          <w:sz w:val="20"/>
          <w:szCs w:val="20"/>
          <w:lang w:val="en-US"/>
        </w:rPr>
        <w:t xml:space="preserve"> and </w:t>
      </w:r>
      <w:r w:rsidRPr="00870653">
        <w:rPr>
          <w:rFonts w:ascii="Book Antiqua" w:hAnsi="Book Antiqua"/>
          <w:sz w:val="20"/>
          <w:szCs w:val="20"/>
          <w:lang w:val="en-US"/>
        </w:rPr>
        <w:t>the presence of declared anti-</w:t>
      </w:r>
      <w:r w:rsidR="00E64AF1" w:rsidRPr="00870653">
        <w:rPr>
          <w:rFonts w:ascii="Book Antiqua" w:hAnsi="Book Antiqua"/>
          <w:sz w:val="20"/>
          <w:szCs w:val="20"/>
          <w:lang w:val="en-US"/>
        </w:rPr>
        <w:t>European</w:t>
      </w:r>
      <w:r w:rsidRPr="00870653">
        <w:rPr>
          <w:rFonts w:ascii="Book Antiqua" w:hAnsi="Book Antiqua"/>
          <w:sz w:val="20"/>
          <w:szCs w:val="20"/>
          <w:lang w:val="en-US"/>
        </w:rPr>
        <w:t xml:space="preserve"> political </w:t>
      </w:r>
      <w:r w:rsidR="00E02923" w:rsidRPr="00870653">
        <w:rPr>
          <w:rFonts w:ascii="Book Antiqua" w:hAnsi="Book Antiqua"/>
          <w:sz w:val="20"/>
          <w:szCs w:val="20"/>
          <w:lang w:val="en-US"/>
        </w:rPr>
        <w:t xml:space="preserve">parties </w:t>
      </w:r>
      <w:r w:rsidRPr="00870653">
        <w:rPr>
          <w:rFonts w:ascii="Book Antiqua" w:hAnsi="Book Antiqua"/>
          <w:sz w:val="20"/>
          <w:szCs w:val="20"/>
          <w:lang w:val="en-US"/>
        </w:rPr>
        <w:t xml:space="preserve">with growing electoral consensus. Unlike what Kremens (2019) suggests, the idea of this </w:t>
      </w:r>
      <w:r w:rsidR="00E02923" w:rsidRPr="00870653">
        <w:rPr>
          <w:rFonts w:ascii="Book Antiqua" w:hAnsi="Book Antiqua"/>
          <w:sz w:val="20"/>
          <w:szCs w:val="20"/>
          <w:lang w:val="en-US"/>
        </w:rPr>
        <w:t>work</w:t>
      </w:r>
      <w:r w:rsidRPr="00870653">
        <w:rPr>
          <w:rFonts w:ascii="Book Antiqua" w:hAnsi="Book Antiqua"/>
          <w:sz w:val="20"/>
          <w:szCs w:val="20"/>
          <w:lang w:val="en-US"/>
        </w:rPr>
        <w:t xml:space="preserve">, in line with the study </w:t>
      </w:r>
      <w:r w:rsidR="00E02923" w:rsidRPr="00870653">
        <w:rPr>
          <w:rFonts w:ascii="Book Antiqua" w:hAnsi="Book Antiqua"/>
          <w:sz w:val="20"/>
          <w:szCs w:val="20"/>
          <w:lang w:val="en-US"/>
        </w:rPr>
        <w:t xml:space="preserve">of </w:t>
      </w:r>
      <w:r w:rsidRPr="00870653">
        <w:rPr>
          <w:rFonts w:ascii="Book Antiqua" w:hAnsi="Book Antiqua"/>
          <w:sz w:val="20"/>
          <w:szCs w:val="20"/>
          <w:lang w:val="en-US"/>
        </w:rPr>
        <w:t>Anelli et al. (2020), is</w:t>
      </w:r>
      <w:r w:rsidR="00AE3679" w:rsidRPr="00870653">
        <w:rPr>
          <w:rFonts w:ascii="Book Antiqua" w:hAnsi="Book Antiqua"/>
          <w:sz w:val="20"/>
          <w:szCs w:val="20"/>
          <w:lang w:val="en-US"/>
        </w:rPr>
        <w:t xml:space="preserve"> that a possible exit from the </w:t>
      </w:r>
      <w:r w:rsidR="00312F4C" w:rsidRPr="00870653">
        <w:rPr>
          <w:rFonts w:ascii="Book Antiqua" w:hAnsi="Book Antiqua"/>
          <w:sz w:val="20"/>
          <w:szCs w:val="20"/>
          <w:lang w:val="en-US"/>
        </w:rPr>
        <w:t>Euro Area</w:t>
      </w:r>
      <w:r w:rsidRPr="00870653">
        <w:rPr>
          <w:rFonts w:ascii="Book Antiqua" w:hAnsi="Book Antiqua"/>
          <w:sz w:val="20"/>
          <w:szCs w:val="20"/>
          <w:lang w:val="en-US"/>
        </w:rPr>
        <w:t xml:space="preserve"> of</w:t>
      </w:r>
      <w:r w:rsidR="005C7811" w:rsidRPr="00870653">
        <w:rPr>
          <w:rFonts w:ascii="Book Antiqua" w:hAnsi="Book Antiqua"/>
          <w:sz w:val="20"/>
          <w:szCs w:val="20"/>
          <w:lang w:val="en-US"/>
        </w:rPr>
        <w:t xml:space="preserve"> </w:t>
      </w:r>
      <w:r w:rsidR="00A060FD">
        <w:rPr>
          <w:rFonts w:ascii="Book Antiqua" w:hAnsi="Book Antiqua"/>
          <w:sz w:val="20"/>
          <w:szCs w:val="20"/>
          <w:lang w:val="en-US"/>
        </w:rPr>
        <w:t xml:space="preserve">Italy, </w:t>
      </w:r>
      <w:r w:rsidRPr="00870653">
        <w:rPr>
          <w:rFonts w:ascii="Book Antiqua" w:hAnsi="Book Antiqua"/>
          <w:sz w:val="20"/>
          <w:szCs w:val="20"/>
          <w:lang w:val="en-US"/>
        </w:rPr>
        <w:t>that is the founding country, the third economy and the second manufacturing of the EU</w:t>
      </w:r>
      <w:r w:rsidR="00970A3D" w:rsidRPr="00870653">
        <w:rPr>
          <w:rFonts w:ascii="Book Antiqua" w:hAnsi="Book Antiqua"/>
          <w:sz w:val="20"/>
          <w:szCs w:val="20"/>
          <w:lang w:val="en-US"/>
        </w:rPr>
        <w:t xml:space="preserve"> (European Union)</w:t>
      </w:r>
      <w:r w:rsidRPr="00870653">
        <w:rPr>
          <w:rFonts w:ascii="Book Antiqua" w:hAnsi="Book Antiqua"/>
          <w:sz w:val="20"/>
          <w:szCs w:val="20"/>
          <w:lang w:val="en-US"/>
        </w:rPr>
        <w:t>, could deeply undermine the</w:t>
      </w:r>
      <w:r w:rsidR="002A59F2" w:rsidRPr="00870653">
        <w:rPr>
          <w:rFonts w:ascii="Book Antiqua" w:hAnsi="Book Antiqua"/>
          <w:sz w:val="20"/>
          <w:szCs w:val="20"/>
          <w:lang w:val="en-US"/>
        </w:rPr>
        <w:t xml:space="preserve"> entire </w:t>
      </w:r>
      <w:r w:rsidR="00E64AF1" w:rsidRPr="00870653">
        <w:rPr>
          <w:rFonts w:ascii="Book Antiqua" w:hAnsi="Book Antiqua"/>
          <w:sz w:val="20"/>
          <w:szCs w:val="20"/>
          <w:lang w:val="en-US"/>
        </w:rPr>
        <w:t>European</w:t>
      </w:r>
      <w:r w:rsidR="002A59F2" w:rsidRPr="00870653">
        <w:rPr>
          <w:rFonts w:ascii="Book Antiqua" w:hAnsi="Book Antiqua"/>
          <w:sz w:val="20"/>
          <w:szCs w:val="20"/>
          <w:lang w:val="en-US"/>
        </w:rPr>
        <w:t xml:space="preserve"> institutional </w:t>
      </w:r>
      <w:r w:rsidR="005C7811" w:rsidRPr="00870653">
        <w:rPr>
          <w:rFonts w:ascii="Book Antiqua" w:hAnsi="Book Antiqua"/>
          <w:sz w:val="20"/>
          <w:szCs w:val="20"/>
          <w:lang w:val="en-US"/>
        </w:rPr>
        <w:t xml:space="preserve">structure </w:t>
      </w:r>
      <w:r w:rsidRPr="00870653">
        <w:rPr>
          <w:rFonts w:ascii="Book Antiqua" w:hAnsi="Book Antiqua"/>
          <w:sz w:val="20"/>
          <w:szCs w:val="20"/>
          <w:lang w:val="en-US"/>
        </w:rPr>
        <w:t xml:space="preserve">and definitively question </w:t>
      </w:r>
      <w:r w:rsidR="002A59F2" w:rsidRPr="00870653">
        <w:rPr>
          <w:rFonts w:ascii="Book Antiqua" w:hAnsi="Book Antiqua"/>
          <w:sz w:val="20"/>
          <w:szCs w:val="20"/>
          <w:lang w:val="en-US"/>
        </w:rPr>
        <w:t xml:space="preserve">the </w:t>
      </w:r>
      <w:r w:rsidRPr="00870653">
        <w:rPr>
          <w:rFonts w:ascii="Book Antiqua" w:hAnsi="Book Antiqua"/>
          <w:sz w:val="20"/>
          <w:szCs w:val="20"/>
          <w:lang w:val="en-US"/>
        </w:rPr>
        <w:t xml:space="preserve">irreversibility of </w:t>
      </w:r>
      <w:r w:rsidR="00364E16" w:rsidRPr="00870653">
        <w:rPr>
          <w:rFonts w:ascii="Book Antiqua" w:hAnsi="Book Antiqua"/>
          <w:sz w:val="20"/>
          <w:szCs w:val="20"/>
          <w:lang w:val="en-US"/>
        </w:rPr>
        <w:t>monetary union</w:t>
      </w:r>
      <w:r w:rsidRPr="00870653">
        <w:rPr>
          <w:rFonts w:ascii="Book Antiqua" w:hAnsi="Book Antiqua"/>
          <w:sz w:val="20"/>
          <w:szCs w:val="20"/>
          <w:lang w:val="en-US"/>
        </w:rPr>
        <w:t>.</w:t>
      </w:r>
    </w:p>
    <w:p w14:paraId="2D34698C" w14:textId="77777777" w:rsidR="009D3A4E" w:rsidRPr="00870653" w:rsidRDefault="009D3A4E" w:rsidP="00364E16">
      <w:pPr>
        <w:spacing w:after="0" w:line="360" w:lineRule="auto"/>
        <w:jc w:val="both"/>
        <w:rPr>
          <w:rFonts w:ascii="Book Antiqua" w:hAnsi="Book Antiqua"/>
          <w:sz w:val="20"/>
          <w:szCs w:val="20"/>
          <w:lang w:val="en-US"/>
        </w:rPr>
      </w:pPr>
    </w:p>
    <w:p w14:paraId="0172E347" w14:textId="1DD4F9A4" w:rsidR="006336D5" w:rsidRDefault="006336D5" w:rsidP="0016291A">
      <w:pPr>
        <w:pStyle w:val="Paragrafoelenco"/>
        <w:numPr>
          <w:ilvl w:val="0"/>
          <w:numId w:val="39"/>
        </w:numPr>
        <w:spacing w:line="360" w:lineRule="auto"/>
        <w:ind w:left="284" w:hanging="284"/>
        <w:jc w:val="both"/>
        <w:rPr>
          <w:rFonts w:ascii="Book Antiqua" w:hAnsi="Book Antiqua"/>
          <w:b/>
          <w:bCs/>
          <w:sz w:val="28"/>
          <w:szCs w:val="28"/>
        </w:rPr>
      </w:pPr>
      <w:r w:rsidRPr="006336D5">
        <w:rPr>
          <w:rFonts w:ascii="Book Antiqua" w:hAnsi="Book Antiqua"/>
          <w:b/>
          <w:bCs/>
          <w:sz w:val="28"/>
          <w:szCs w:val="28"/>
        </w:rPr>
        <w:t>Model and Data Description</w:t>
      </w:r>
    </w:p>
    <w:p w14:paraId="0E79C0B4" w14:textId="7EB151F7" w:rsidR="00C255AE" w:rsidRPr="00870653" w:rsidRDefault="00C255AE" w:rsidP="00C255AE">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main objective of this paper is to evaluate the dynamic evolution of </w:t>
      </w:r>
      <w:r w:rsidR="007E0691" w:rsidRPr="00870653">
        <w:rPr>
          <w:rFonts w:ascii="Book Antiqua" w:hAnsi="Book Antiqua"/>
          <w:sz w:val="20"/>
          <w:szCs w:val="20"/>
          <w:lang w:val="en-US"/>
        </w:rPr>
        <w:t xml:space="preserve">the </w:t>
      </w:r>
      <w:r w:rsidRPr="00870653">
        <w:rPr>
          <w:rFonts w:ascii="Book Antiqua" w:hAnsi="Book Antiqua"/>
          <w:sz w:val="20"/>
          <w:szCs w:val="20"/>
          <w:lang w:val="en-US"/>
        </w:rPr>
        <w:t xml:space="preserve">sovereign and redenomination risk in the price discovery process of the major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banking groups’</w:t>
      </w:r>
      <w:r w:rsidR="00412601" w:rsidRPr="00870653">
        <w:rPr>
          <w:rFonts w:ascii="Book Antiqua" w:hAnsi="Book Antiqua"/>
          <w:sz w:val="20"/>
          <w:szCs w:val="20"/>
          <w:lang w:val="en-US"/>
        </w:rPr>
        <w:t xml:space="preserve"> </w:t>
      </w:r>
      <w:r w:rsidRPr="00870653">
        <w:rPr>
          <w:rFonts w:ascii="Book Antiqua" w:hAnsi="Book Antiqua"/>
          <w:sz w:val="20"/>
          <w:szCs w:val="20"/>
          <w:lang w:val="en-US"/>
        </w:rPr>
        <w:t>CDS</w:t>
      </w:r>
      <w:r w:rsidR="00C21402" w:rsidRPr="00870653">
        <w:rPr>
          <w:rFonts w:ascii="Book Antiqua" w:hAnsi="Book Antiqua"/>
          <w:sz w:val="20"/>
          <w:szCs w:val="20"/>
          <w:lang w:val="en-US"/>
        </w:rPr>
        <w:t xml:space="preserve"> </w:t>
      </w:r>
      <w:r w:rsidR="00B45E9F" w:rsidRPr="00870653">
        <w:rPr>
          <w:rFonts w:ascii="Book Antiqua" w:hAnsi="Book Antiqua"/>
          <w:sz w:val="20"/>
          <w:szCs w:val="20"/>
          <w:lang w:val="en-US"/>
        </w:rPr>
        <w:t xml:space="preserve">by </w:t>
      </w:r>
      <w:r w:rsidR="004F365F" w:rsidRPr="00870653">
        <w:rPr>
          <w:rFonts w:ascii="Book Antiqua" w:hAnsi="Book Antiqua"/>
          <w:sz w:val="20"/>
          <w:szCs w:val="20"/>
          <w:lang w:val="en-US"/>
        </w:rPr>
        <w:t xml:space="preserve">using rolling window </w:t>
      </w:r>
      <w:r w:rsidR="00C21402" w:rsidRPr="00870653">
        <w:rPr>
          <w:rFonts w:ascii="Book Antiqua" w:hAnsi="Book Antiqua"/>
          <w:sz w:val="20"/>
          <w:szCs w:val="20"/>
          <w:lang w:val="en-US"/>
        </w:rPr>
        <w:t>regressions</w:t>
      </w:r>
      <w:r w:rsidRPr="00870653">
        <w:rPr>
          <w:rFonts w:ascii="Book Antiqua" w:hAnsi="Book Antiqua"/>
          <w:sz w:val="20"/>
          <w:szCs w:val="20"/>
          <w:lang w:val="en-US"/>
        </w:rPr>
        <w:t xml:space="preserve"> approach. According to this approach, we t</w:t>
      </w:r>
      <w:r w:rsidR="00B45E9F" w:rsidRPr="00870653">
        <w:rPr>
          <w:rFonts w:ascii="Book Antiqua" w:hAnsi="Book Antiqua"/>
          <w:sz w:val="20"/>
          <w:szCs w:val="20"/>
          <w:lang w:val="en-US"/>
        </w:rPr>
        <w:t>ake</w:t>
      </w:r>
      <w:r w:rsidR="00412601" w:rsidRPr="00870653">
        <w:rPr>
          <w:rFonts w:ascii="Book Antiqua" w:hAnsi="Book Antiqua"/>
          <w:sz w:val="20"/>
          <w:szCs w:val="20"/>
          <w:lang w:val="en-US"/>
        </w:rPr>
        <w:t xml:space="preserve"> into account</w:t>
      </w:r>
      <w:r w:rsidRPr="00870653">
        <w:rPr>
          <w:rFonts w:ascii="Book Antiqua" w:hAnsi="Book Antiqua"/>
          <w:sz w:val="20"/>
          <w:szCs w:val="20"/>
          <w:lang w:val="en-US"/>
        </w:rPr>
        <w:t xml:space="preserve"> the size of each sliding window starting from the overall sample size. </w:t>
      </w:r>
      <w:r w:rsidR="004F365F" w:rsidRPr="00870653">
        <w:rPr>
          <w:rFonts w:ascii="Book Antiqua" w:hAnsi="Book Antiqua"/>
          <w:sz w:val="20"/>
          <w:szCs w:val="20"/>
          <w:lang w:val="en-US"/>
        </w:rPr>
        <w:t>The sliding window</w:t>
      </w:r>
      <w:r w:rsidR="007E0691" w:rsidRPr="00870653">
        <w:rPr>
          <w:rFonts w:ascii="Book Antiqua" w:hAnsi="Book Antiqua"/>
          <w:sz w:val="20"/>
          <w:szCs w:val="20"/>
          <w:lang w:val="en-US"/>
        </w:rPr>
        <w:t xml:space="preserve"> (</w:t>
      </w:r>
      <w:r w:rsidR="004F365F" w:rsidRPr="00870653">
        <w:rPr>
          <w:rFonts w:ascii="Book Antiqua" w:hAnsi="Book Antiqua"/>
          <w:sz w:val="20"/>
          <w:szCs w:val="20"/>
          <w:lang w:val="en-US"/>
        </w:rPr>
        <w:t xml:space="preserve">equal to </w:t>
      </w:r>
      <w:r w:rsidR="00997805" w:rsidRPr="00870653">
        <w:rPr>
          <w:rFonts w:ascii="Book Antiqua" w:hAnsi="Book Antiqua"/>
          <w:sz w:val="20"/>
          <w:szCs w:val="20"/>
          <w:lang w:val="en-US"/>
        </w:rPr>
        <w:t>one-year</w:t>
      </w:r>
      <w:r w:rsidR="004F365F" w:rsidRPr="00870653">
        <w:rPr>
          <w:rFonts w:ascii="Book Antiqua" w:hAnsi="Book Antiqua"/>
          <w:sz w:val="20"/>
          <w:szCs w:val="20"/>
          <w:lang w:val="en-US"/>
        </w:rPr>
        <w:t xml:space="preserve"> observations</w:t>
      </w:r>
      <w:r w:rsidR="007E0691" w:rsidRPr="00870653">
        <w:rPr>
          <w:rFonts w:ascii="Book Antiqua" w:hAnsi="Book Antiqua"/>
          <w:sz w:val="20"/>
          <w:szCs w:val="20"/>
          <w:lang w:val="en-US"/>
        </w:rPr>
        <w:t>)</w:t>
      </w:r>
      <w:r w:rsidRPr="00870653">
        <w:rPr>
          <w:rFonts w:ascii="Book Antiqua" w:hAnsi="Book Antiqua"/>
          <w:sz w:val="20"/>
          <w:szCs w:val="20"/>
          <w:lang w:val="en-US"/>
        </w:rPr>
        <w:t xml:space="preserve"> r</w:t>
      </w:r>
      <w:r w:rsidR="00D60B97" w:rsidRPr="00870653">
        <w:rPr>
          <w:rFonts w:ascii="Book Antiqua" w:hAnsi="Book Antiqua"/>
          <w:sz w:val="20"/>
          <w:szCs w:val="20"/>
          <w:lang w:val="en-US"/>
        </w:rPr>
        <w:t>epresent</w:t>
      </w:r>
      <w:r w:rsidR="004F365F" w:rsidRPr="00870653">
        <w:rPr>
          <w:rFonts w:ascii="Book Antiqua" w:hAnsi="Book Antiqua"/>
          <w:sz w:val="20"/>
          <w:szCs w:val="20"/>
          <w:lang w:val="en-US"/>
        </w:rPr>
        <w:t>s</w:t>
      </w:r>
      <w:r w:rsidR="00D60B97" w:rsidRPr="00870653">
        <w:rPr>
          <w:rFonts w:ascii="Book Antiqua" w:hAnsi="Book Antiqua"/>
          <w:sz w:val="20"/>
          <w:szCs w:val="20"/>
          <w:lang w:val="en-US"/>
        </w:rPr>
        <w:t xml:space="preserve"> the number of observations for each subsample. </w:t>
      </w:r>
      <w:r w:rsidR="00B45E9F" w:rsidRPr="00870653">
        <w:rPr>
          <w:rFonts w:ascii="Book Antiqua" w:hAnsi="Book Antiqua"/>
          <w:sz w:val="20"/>
          <w:szCs w:val="20"/>
          <w:lang w:val="en-US"/>
        </w:rPr>
        <w:t>W</w:t>
      </w:r>
      <w:r w:rsidR="00D60B97" w:rsidRPr="00870653">
        <w:rPr>
          <w:rFonts w:ascii="Book Antiqua" w:hAnsi="Book Antiqua"/>
          <w:sz w:val="20"/>
          <w:szCs w:val="20"/>
          <w:lang w:val="en-US"/>
        </w:rPr>
        <w:t xml:space="preserve">e </w:t>
      </w:r>
      <w:r w:rsidR="00B45E9F" w:rsidRPr="00870653">
        <w:rPr>
          <w:rFonts w:ascii="Book Antiqua" w:hAnsi="Book Antiqua"/>
          <w:sz w:val="20"/>
          <w:szCs w:val="20"/>
          <w:lang w:val="en-US"/>
        </w:rPr>
        <w:t>estimate</w:t>
      </w:r>
      <w:r w:rsidR="00D60B97" w:rsidRPr="00870653">
        <w:rPr>
          <w:rFonts w:ascii="Book Antiqua" w:hAnsi="Book Antiqua"/>
          <w:sz w:val="20"/>
          <w:szCs w:val="20"/>
          <w:lang w:val="en-US"/>
        </w:rPr>
        <w:t xml:space="preserve"> the </w:t>
      </w:r>
      <w:r w:rsidR="007E0691" w:rsidRPr="00870653">
        <w:rPr>
          <w:rFonts w:ascii="Book Antiqua" w:hAnsi="Book Antiqua"/>
          <w:sz w:val="20"/>
          <w:szCs w:val="20"/>
          <w:lang w:val="en-US"/>
        </w:rPr>
        <w:t xml:space="preserve">whole </w:t>
      </w:r>
      <w:r w:rsidR="00D60B97" w:rsidRPr="00870653">
        <w:rPr>
          <w:rFonts w:ascii="Book Antiqua" w:hAnsi="Book Antiqua"/>
          <w:sz w:val="20"/>
          <w:szCs w:val="20"/>
          <w:lang w:val="en-US"/>
        </w:rPr>
        <w:t>model</w:t>
      </w:r>
      <w:r w:rsidRPr="00870653">
        <w:rPr>
          <w:rFonts w:ascii="Book Antiqua" w:hAnsi="Book Antiqua"/>
          <w:sz w:val="20"/>
          <w:szCs w:val="20"/>
          <w:lang w:val="en-US"/>
        </w:rPr>
        <w:t xml:space="preserve"> using each subsample </w:t>
      </w:r>
      <w:r w:rsidR="00B45E9F" w:rsidRPr="00870653">
        <w:rPr>
          <w:rFonts w:ascii="Book Antiqua" w:hAnsi="Book Antiqua"/>
          <w:sz w:val="20"/>
          <w:szCs w:val="20"/>
          <w:lang w:val="en-US"/>
        </w:rPr>
        <w:t xml:space="preserve">from 2008 to 2020 by means of </w:t>
      </w:r>
      <w:r w:rsidR="007E0691" w:rsidRPr="00870653">
        <w:rPr>
          <w:rFonts w:ascii="Book Antiqua" w:hAnsi="Book Antiqua"/>
          <w:sz w:val="20"/>
          <w:szCs w:val="20"/>
          <w:lang w:val="en-US"/>
        </w:rPr>
        <w:t xml:space="preserve">rolling </w:t>
      </w:r>
      <w:r w:rsidR="00B45E9F" w:rsidRPr="00870653">
        <w:rPr>
          <w:rFonts w:ascii="Book Antiqua" w:hAnsi="Book Antiqua"/>
          <w:sz w:val="20"/>
          <w:szCs w:val="20"/>
          <w:lang w:val="en-US"/>
        </w:rPr>
        <w:t>OLS</w:t>
      </w:r>
      <w:r w:rsidRPr="00870653">
        <w:rPr>
          <w:rFonts w:ascii="Book Antiqua" w:hAnsi="Book Antiqua"/>
          <w:sz w:val="20"/>
          <w:szCs w:val="20"/>
          <w:lang w:val="en-US"/>
        </w:rPr>
        <w:t xml:space="preserve"> regression</w:t>
      </w:r>
      <w:r w:rsidR="00B45E9F" w:rsidRPr="00870653">
        <w:rPr>
          <w:rFonts w:ascii="Book Antiqua" w:hAnsi="Book Antiqua"/>
          <w:sz w:val="20"/>
          <w:szCs w:val="20"/>
          <w:lang w:val="en-US"/>
        </w:rPr>
        <w:t>s</w:t>
      </w:r>
      <w:r w:rsidRPr="00870653">
        <w:rPr>
          <w:rFonts w:ascii="Book Antiqua" w:hAnsi="Book Antiqua"/>
          <w:sz w:val="20"/>
          <w:szCs w:val="20"/>
          <w:lang w:val="en-US"/>
        </w:rPr>
        <w:t>.</w:t>
      </w:r>
    </w:p>
    <w:p w14:paraId="5E6E6EFB" w14:textId="4066C0E3" w:rsidR="005D3959" w:rsidRPr="00870653" w:rsidRDefault="0053164F" w:rsidP="00054AA7">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analysis is performed on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banks’ CDS spreads (</w:t>
      </w:r>
      <w:r w:rsidR="00E64AF1" w:rsidRPr="00870653">
        <w:rPr>
          <w:rFonts w:ascii="Book Antiqua" w:hAnsi="Book Antiqua"/>
          <w:i/>
          <w:iCs/>
          <w:sz w:val="20"/>
          <w:szCs w:val="20"/>
          <w:lang w:val="en-US"/>
        </w:rPr>
        <w:t>Italian</w:t>
      </w:r>
      <w:r w:rsidRPr="00870653">
        <w:rPr>
          <w:rFonts w:ascii="Book Antiqua" w:hAnsi="Book Antiqua"/>
          <w:i/>
          <w:iCs/>
          <w:sz w:val="20"/>
          <w:szCs w:val="20"/>
          <w:lang w:val="en-US"/>
        </w:rPr>
        <w:t xml:space="preserve"> banks proxy CDS SR 5y D14</w:t>
      </w:r>
      <w:r w:rsidR="00F53124" w:rsidRPr="00870653">
        <w:rPr>
          <w:rFonts w:ascii="Book Antiqua" w:hAnsi="Book Antiqua"/>
          <w:i/>
          <w:iCs/>
          <w:sz w:val="20"/>
          <w:szCs w:val="20"/>
          <w:lang w:val="en-US"/>
        </w:rPr>
        <w:t xml:space="preserve"> </w:t>
      </w:r>
      <w:r w:rsidR="00F53124" w:rsidRPr="00870653">
        <w:rPr>
          <w:rFonts w:ascii="Book Antiqua" w:hAnsi="Book Antiqua"/>
          <w:iCs/>
          <w:sz w:val="20"/>
          <w:szCs w:val="20"/>
          <w:lang w:val="en-US"/>
        </w:rPr>
        <w:t xml:space="preserve">or </w:t>
      </w:r>
      <w:r w:rsidR="00F53124" w:rsidRPr="00870653">
        <w:rPr>
          <w:rFonts w:ascii="Book Antiqua" w:hAnsi="Book Antiqua"/>
          <w:i/>
          <w:iCs/>
          <w:sz w:val="20"/>
          <w:szCs w:val="20"/>
          <w:lang w:val="en-US"/>
        </w:rPr>
        <w:t>IBP</w:t>
      </w:r>
      <w:r w:rsidRPr="00870653">
        <w:rPr>
          <w:rFonts w:ascii="Book Antiqua" w:hAnsi="Book Antiqua"/>
          <w:sz w:val="20"/>
          <w:szCs w:val="20"/>
          <w:lang w:val="en-US"/>
        </w:rPr>
        <w:t xml:space="preserve">), </w:t>
      </w:r>
      <w:r w:rsidR="001F26A1" w:rsidRPr="00870653">
        <w:rPr>
          <w:rFonts w:ascii="Book Antiqua" w:hAnsi="Book Antiqua"/>
          <w:sz w:val="20"/>
          <w:szCs w:val="20"/>
          <w:lang w:val="en-US"/>
        </w:rPr>
        <w:t xml:space="preserve">using as proxy of </w:t>
      </w:r>
      <w:r w:rsidR="00E64AF1" w:rsidRPr="00870653">
        <w:rPr>
          <w:rFonts w:ascii="Book Antiqua" w:hAnsi="Book Antiqua"/>
          <w:sz w:val="20"/>
          <w:szCs w:val="20"/>
          <w:lang w:val="en-US"/>
        </w:rPr>
        <w:t>Italian</w:t>
      </w:r>
      <w:r w:rsidR="001F26A1" w:rsidRPr="00870653">
        <w:rPr>
          <w:rFonts w:ascii="Book Antiqua" w:hAnsi="Book Antiqua"/>
          <w:sz w:val="20"/>
          <w:szCs w:val="20"/>
          <w:lang w:val="en-US"/>
        </w:rPr>
        <w:t xml:space="preserve"> banking system </w:t>
      </w:r>
      <w:r w:rsidRPr="00870653">
        <w:rPr>
          <w:rFonts w:ascii="Book Antiqua" w:hAnsi="Book Antiqua"/>
          <w:sz w:val="20"/>
          <w:szCs w:val="20"/>
          <w:lang w:val="en-US"/>
        </w:rPr>
        <w:t xml:space="preserve">the weighted average </w:t>
      </w:r>
      <w:r w:rsidR="007D6E05" w:rsidRPr="00870653">
        <w:rPr>
          <w:rFonts w:ascii="Book Antiqua" w:hAnsi="Book Antiqua"/>
          <w:sz w:val="20"/>
          <w:szCs w:val="20"/>
          <w:lang w:val="en-US"/>
        </w:rPr>
        <w:t xml:space="preserve">values </w:t>
      </w:r>
      <w:r w:rsidRPr="00870653">
        <w:rPr>
          <w:rFonts w:ascii="Book Antiqua" w:hAnsi="Book Antiqua"/>
          <w:sz w:val="20"/>
          <w:szCs w:val="20"/>
          <w:lang w:val="en-US"/>
        </w:rPr>
        <w:t xml:space="preserve">of </w:t>
      </w:r>
      <w:r w:rsidR="007D6E05" w:rsidRPr="00870653">
        <w:rPr>
          <w:rFonts w:ascii="Book Antiqua" w:hAnsi="Book Antiqua"/>
          <w:sz w:val="20"/>
          <w:szCs w:val="20"/>
          <w:lang w:val="en-US"/>
        </w:rPr>
        <w:t>the</w:t>
      </w:r>
      <w:r w:rsidR="00B45E9F" w:rsidRPr="00870653">
        <w:rPr>
          <w:rFonts w:ascii="Book Antiqua" w:hAnsi="Book Antiqua"/>
          <w:sz w:val="20"/>
          <w:szCs w:val="20"/>
          <w:lang w:val="en-US"/>
        </w:rPr>
        <w:t xml:space="preserve"> CDS spreads of the</w:t>
      </w:r>
      <w:r w:rsidR="007D6E05" w:rsidRPr="00870653">
        <w:rPr>
          <w:rFonts w:ascii="Book Antiqua" w:hAnsi="Book Antiqua"/>
          <w:sz w:val="20"/>
          <w:szCs w:val="20"/>
          <w:lang w:val="en-US"/>
        </w:rPr>
        <w:t xml:space="preserve"> </w:t>
      </w:r>
      <w:r w:rsidRPr="00870653">
        <w:rPr>
          <w:rFonts w:ascii="Book Antiqua" w:hAnsi="Book Antiqua"/>
          <w:sz w:val="20"/>
          <w:szCs w:val="20"/>
          <w:lang w:val="en-US"/>
        </w:rPr>
        <w:t>m</w:t>
      </w:r>
      <w:r w:rsidR="007D6E05" w:rsidRPr="00870653">
        <w:rPr>
          <w:rFonts w:ascii="Book Antiqua" w:hAnsi="Book Antiqua"/>
          <w:sz w:val="20"/>
          <w:szCs w:val="20"/>
          <w:lang w:val="en-US"/>
        </w:rPr>
        <w:t>ost</w:t>
      </w:r>
      <w:r w:rsidRPr="00870653">
        <w:rPr>
          <w:rFonts w:ascii="Book Antiqua" w:hAnsi="Book Antiqua"/>
          <w:sz w:val="20"/>
          <w:szCs w:val="20"/>
          <w:lang w:val="en-US"/>
        </w:rPr>
        <w:t xml:space="preserve"> ca</w:t>
      </w:r>
      <w:r w:rsidR="00B45E9F" w:rsidRPr="00870653">
        <w:rPr>
          <w:rFonts w:ascii="Book Antiqua" w:hAnsi="Book Antiqua"/>
          <w:sz w:val="20"/>
          <w:szCs w:val="20"/>
          <w:lang w:val="en-US"/>
        </w:rPr>
        <w:t>pitalized banking groups</w:t>
      </w:r>
      <w:r w:rsidRPr="00870653">
        <w:rPr>
          <w:rFonts w:ascii="Book Antiqua" w:hAnsi="Book Antiqua"/>
          <w:sz w:val="20"/>
          <w:szCs w:val="20"/>
          <w:lang w:val="en-US"/>
        </w:rPr>
        <w:t xml:space="preserve"> </w:t>
      </w:r>
      <w:r w:rsidR="00B45E9F" w:rsidRPr="00870653">
        <w:rPr>
          <w:rFonts w:ascii="Book Antiqua" w:hAnsi="Book Antiqua"/>
          <w:sz w:val="20"/>
          <w:szCs w:val="20"/>
          <w:lang w:val="en-US"/>
        </w:rPr>
        <w:t>(</w:t>
      </w:r>
      <w:r w:rsidRPr="00870653">
        <w:rPr>
          <w:rFonts w:ascii="Book Antiqua" w:hAnsi="Book Antiqua"/>
          <w:sz w:val="20"/>
          <w:szCs w:val="20"/>
          <w:lang w:val="en-US"/>
        </w:rPr>
        <w:t>Intesa San Paolo, Unicredit and Monte</w:t>
      </w:r>
      <w:r w:rsidR="001F26A1" w:rsidRPr="00870653">
        <w:rPr>
          <w:rFonts w:ascii="Book Antiqua" w:hAnsi="Book Antiqua"/>
          <w:sz w:val="20"/>
          <w:szCs w:val="20"/>
          <w:lang w:val="en-US"/>
        </w:rPr>
        <w:t xml:space="preserve"> </w:t>
      </w:r>
      <w:r w:rsidR="007D6E05" w:rsidRPr="00870653">
        <w:rPr>
          <w:rFonts w:ascii="Book Antiqua" w:hAnsi="Book Antiqua"/>
          <w:sz w:val="20"/>
          <w:szCs w:val="20"/>
          <w:lang w:val="en-US"/>
        </w:rPr>
        <w:t xml:space="preserve">dei </w:t>
      </w:r>
      <w:r w:rsidRPr="00870653">
        <w:rPr>
          <w:rFonts w:ascii="Book Antiqua" w:hAnsi="Book Antiqua"/>
          <w:sz w:val="20"/>
          <w:szCs w:val="20"/>
          <w:lang w:val="en-US"/>
        </w:rPr>
        <w:t>Paschi di Siena</w:t>
      </w:r>
      <w:r>
        <w:rPr>
          <w:rStyle w:val="Rimandonotaapidipagina"/>
          <w:rFonts w:ascii="Book Antiqua" w:hAnsi="Book Antiqua"/>
          <w:sz w:val="20"/>
          <w:szCs w:val="20"/>
        </w:rPr>
        <w:footnoteReference w:id="3"/>
      </w:r>
      <w:r w:rsidR="00B45E9F" w:rsidRPr="00870653">
        <w:rPr>
          <w:rFonts w:ascii="Book Antiqua" w:hAnsi="Book Antiqua"/>
          <w:sz w:val="20"/>
          <w:szCs w:val="20"/>
          <w:lang w:val="en-US"/>
        </w:rPr>
        <w:t>)</w:t>
      </w:r>
      <w:r w:rsidRPr="00870653">
        <w:rPr>
          <w:rFonts w:ascii="Book Antiqua" w:hAnsi="Book Antiqua"/>
          <w:sz w:val="20"/>
          <w:szCs w:val="20"/>
          <w:lang w:val="en-US"/>
        </w:rPr>
        <w:t>. Specifically,</w:t>
      </w:r>
      <w:r w:rsidR="00742ADC" w:rsidRPr="00870653">
        <w:rPr>
          <w:rFonts w:ascii="Book Antiqua" w:hAnsi="Book Antiqua"/>
          <w:sz w:val="20"/>
          <w:szCs w:val="20"/>
          <w:lang w:val="en-US"/>
        </w:rPr>
        <w:t xml:space="preserve"> each</w:t>
      </w:r>
      <w:r w:rsidRPr="00870653">
        <w:rPr>
          <w:rFonts w:ascii="Book Antiqua" w:hAnsi="Book Antiqua"/>
          <w:sz w:val="20"/>
          <w:szCs w:val="20"/>
          <w:lang w:val="en-US"/>
        </w:rPr>
        <w:t xml:space="preserve"> series</w:t>
      </w:r>
      <w:r w:rsidR="00742ADC" w:rsidRPr="00870653">
        <w:rPr>
          <w:rFonts w:ascii="Book Antiqua" w:hAnsi="Book Antiqua"/>
          <w:sz w:val="20"/>
          <w:szCs w:val="20"/>
          <w:lang w:val="en-US"/>
        </w:rPr>
        <w:t xml:space="preserve"> respectively</w:t>
      </w:r>
      <w:r w:rsidRPr="00870653">
        <w:rPr>
          <w:rFonts w:ascii="Book Antiqua" w:hAnsi="Book Antiqua"/>
          <w:sz w:val="20"/>
          <w:szCs w:val="20"/>
          <w:lang w:val="en-US"/>
        </w:rPr>
        <w:t xml:space="preserve"> include</w:t>
      </w:r>
      <w:r w:rsidR="00742ADC" w:rsidRPr="00870653">
        <w:rPr>
          <w:rFonts w:ascii="Book Antiqua" w:hAnsi="Book Antiqua"/>
          <w:sz w:val="20"/>
          <w:szCs w:val="20"/>
          <w:lang w:val="en-US"/>
        </w:rPr>
        <w:t>s</w:t>
      </w:r>
      <w:r w:rsidRPr="00870653">
        <w:rPr>
          <w:rFonts w:ascii="Book Antiqua" w:hAnsi="Book Antiqua"/>
          <w:sz w:val="20"/>
          <w:szCs w:val="20"/>
          <w:lang w:val="en-US"/>
        </w:rPr>
        <w:t xml:space="preserve"> the </w:t>
      </w:r>
      <w:r w:rsidR="00975937" w:rsidRPr="00870653">
        <w:rPr>
          <w:rFonts w:ascii="Book Antiqua" w:hAnsi="Book Antiqua"/>
          <w:i/>
          <w:iCs/>
          <w:sz w:val="20"/>
          <w:szCs w:val="20"/>
          <w:lang w:val="en-US"/>
        </w:rPr>
        <w:t>five-years</w:t>
      </w:r>
      <w:r w:rsidRPr="00870653">
        <w:rPr>
          <w:rFonts w:ascii="Book Antiqua" w:hAnsi="Book Antiqua"/>
          <w:i/>
          <w:iCs/>
          <w:sz w:val="20"/>
          <w:szCs w:val="20"/>
          <w:lang w:val="en-US"/>
        </w:rPr>
        <w:t xml:space="preserve"> senior (modified-modified restructuring) CDS</w:t>
      </w:r>
      <w:r w:rsidRPr="00870653">
        <w:rPr>
          <w:rFonts w:ascii="Book Antiqua" w:hAnsi="Book Antiqua"/>
          <w:sz w:val="20"/>
          <w:szCs w:val="20"/>
          <w:lang w:val="en-US"/>
        </w:rPr>
        <w:t xml:space="preserve"> contracts</w:t>
      </w:r>
      <w:r>
        <w:rPr>
          <w:rStyle w:val="Rimandonotaapidipagina"/>
          <w:rFonts w:ascii="Book Antiqua" w:hAnsi="Book Antiqua"/>
          <w:sz w:val="20"/>
          <w:szCs w:val="20"/>
        </w:rPr>
        <w:footnoteReference w:id="4"/>
      </w:r>
      <w:r w:rsidRPr="00870653">
        <w:rPr>
          <w:rFonts w:ascii="Book Antiqua" w:hAnsi="Book Antiqua"/>
          <w:sz w:val="20"/>
          <w:szCs w:val="20"/>
          <w:lang w:val="en-US"/>
        </w:rPr>
        <w:t xml:space="preserve"> of Intesa San Paolo, Unicredit and Monte dei Paschi di Siena weighted by their market capitalization</w:t>
      </w:r>
      <w:r>
        <w:rPr>
          <w:rStyle w:val="Rimandonotaapidipagina"/>
          <w:rFonts w:ascii="Book Antiqua" w:hAnsi="Book Antiqua"/>
          <w:sz w:val="20"/>
          <w:szCs w:val="20"/>
        </w:rPr>
        <w:footnoteReference w:id="5"/>
      </w:r>
      <w:r w:rsidRPr="00870653">
        <w:rPr>
          <w:rFonts w:ascii="Book Antiqua" w:hAnsi="Book Antiqua"/>
          <w:sz w:val="20"/>
          <w:szCs w:val="20"/>
          <w:lang w:val="en-US"/>
        </w:rPr>
        <w:t>, for the period</w:t>
      </w:r>
      <w:r w:rsidR="00975937" w:rsidRPr="00870653">
        <w:rPr>
          <w:rFonts w:ascii="Book Antiqua" w:hAnsi="Book Antiqua"/>
          <w:sz w:val="20"/>
          <w:szCs w:val="20"/>
          <w:lang w:val="en-US"/>
        </w:rPr>
        <w:t xml:space="preserve"> 2008-20</w:t>
      </w:r>
      <w:r w:rsidRPr="00870653">
        <w:rPr>
          <w:rFonts w:ascii="Book Antiqua" w:hAnsi="Book Antiqua"/>
          <w:sz w:val="20"/>
          <w:szCs w:val="20"/>
          <w:lang w:val="en-US"/>
        </w:rPr>
        <w:t xml:space="preserve">, using </w:t>
      </w:r>
      <w:r w:rsidR="00975937" w:rsidRPr="00870653">
        <w:rPr>
          <w:rFonts w:ascii="Book Antiqua" w:hAnsi="Book Antiqua"/>
          <w:sz w:val="20"/>
          <w:szCs w:val="20"/>
          <w:lang w:val="en-US"/>
        </w:rPr>
        <w:t>daily E</w:t>
      </w:r>
      <w:r w:rsidR="007D6E05" w:rsidRPr="00870653">
        <w:rPr>
          <w:rFonts w:ascii="Book Antiqua" w:hAnsi="Book Antiqua"/>
          <w:sz w:val="20"/>
          <w:szCs w:val="20"/>
          <w:lang w:val="en-US"/>
        </w:rPr>
        <w:t xml:space="preserve">uro </w:t>
      </w:r>
      <w:r w:rsidR="00703884" w:rsidRPr="00870653">
        <w:rPr>
          <w:rFonts w:ascii="Book Antiqua" w:hAnsi="Book Antiqua"/>
          <w:sz w:val="20"/>
          <w:szCs w:val="20"/>
          <w:lang w:val="en-US"/>
        </w:rPr>
        <w:t xml:space="preserve">denominated </w:t>
      </w:r>
      <w:r w:rsidR="007D6E05" w:rsidRPr="00870653">
        <w:rPr>
          <w:rFonts w:ascii="Book Antiqua" w:hAnsi="Book Antiqua"/>
          <w:sz w:val="20"/>
          <w:szCs w:val="20"/>
          <w:lang w:val="en-US"/>
        </w:rPr>
        <w:t xml:space="preserve">data from </w:t>
      </w:r>
      <w:r w:rsidRPr="00870653">
        <w:rPr>
          <w:rFonts w:ascii="Book Antiqua" w:hAnsi="Book Antiqua"/>
          <w:sz w:val="20"/>
          <w:szCs w:val="20"/>
          <w:lang w:val="en-US"/>
        </w:rPr>
        <w:t>Bloomberg (3132 observations).</w:t>
      </w:r>
      <w:r w:rsidR="00997805">
        <w:rPr>
          <w:rFonts w:ascii="Book Antiqua" w:hAnsi="Book Antiqua"/>
          <w:sz w:val="20"/>
          <w:szCs w:val="20"/>
          <w:lang w:val="en-US"/>
        </w:rPr>
        <w:t xml:space="preserve"> </w:t>
      </w:r>
      <w:r w:rsidR="00167AE0" w:rsidRPr="00870653">
        <w:rPr>
          <w:rFonts w:ascii="Book Antiqua" w:hAnsi="Book Antiqua"/>
          <w:sz w:val="20"/>
          <w:szCs w:val="20"/>
          <w:lang w:val="en-US"/>
        </w:rPr>
        <w:t>Figure 1</w:t>
      </w:r>
      <w:r w:rsidR="00286B9C" w:rsidRPr="00870653">
        <w:rPr>
          <w:rFonts w:ascii="Book Antiqua" w:hAnsi="Book Antiqua"/>
          <w:sz w:val="20"/>
          <w:szCs w:val="20"/>
          <w:lang w:val="en-US"/>
        </w:rPr>
        <w:t xml:space="preserve"> </w:t>
      </w:r>
      <w:r w:rsidR="00997805">
        <w:rPr>
          <w:rFonts w:ascii="Book Antiqua" w:hAnsi="Book Antiqua"/>
          <w:sz w:val="20"/>
          <w:szCs w:val="20"/>
          <w:lang w:val="en-US"/>
        </w:rPr>
        <w:t>shows</w:t>
      </w:r>
      <w:r w:rsidR="00167AE0" w:rsidRPr="00870653">
        <w:rPr>
          <w:rFonts w:ascii="Book Antiqua" w:hAnsi="Book Antiqua"/>
          <w:sz w:val="20"/>
          <w:szCs w:val="20"/>
          <w:lang w:val="en-US"/>
        </w:rPr>
        <w:t xml:space="preserve"> the overtime movements of the</w:t>
      </w:r>
      <w:r w:rsidR="00742ADC" w:rsidRPr="00870653">
        <w:rPr>
          <w:rFonts w:ascii="Book Antiqua" w:hAnsi="Book Antiqua"/>
          <w:sz w:val="20"/>
          <w:szCs w:val="20"/>
          <w:lang w:val="en-US"/>
        </w:rPr>
        <w:t xml:space="preserve"> series referring to</w:t>
      </w:r>
      <w:r w:rsidR="00167AE0" w:rsidRPr="00870653">
        <w:rPr>
          <w:rFonts w:ascii="Book Antiqua" w:hAnsi="Book Antiqua"/>
          <w:sz w:val="20"/>
          <w:szCs w:val="20"/>
          <w:lang w:val="en-US"/>
        </w:rPr>
        <w:t xml:space="preserve"> dependent</w:t>
      </w:r>
      <w:r w:rsidR="00997805">
        <w:rPr>
          <w:rFonts w:ascii="Book Antiqua" w:hAnsi="Book Antiqua"/>
          <w:sz w:val="20"/>
          <w:szCs w:val="20"/>
          <w:lang w:val="en-US"/>
        </w:rPr>
        <w:t xml:space="preserve"> variables.</w:t>
      </w:r>
    </w:p>
    <w:p w14:paraId="3742A320" w14:textId="72D2D8E7" w:rsidR="007D51B0" w:rsidRDefault="009B0830" w:rsidP="00054AA7">
      <w:pPr>
        <w:spacing w:after="0" w:line="360" w:lineRule="auto"/>
        <w:jc w:val="both"/>
        <w:rPr>
          <w:rFonts w:cs="Times New Roman"/>
        </w:rPr>
      </w:pPr>
      <w:r>
        <w:rPr>
          <w:rFonts w:cs="Times New Roman"/>
          <w:noProof/>
          <w:lang w:eastAsia="it-IT"/>
        </w:rPr>
        <w:lastRenderedPageBreak/>
        <w:drawing>
          <wp:inline distT="0" distB="0" distL="0" distR="0" wp14:anchorId="1C28465B" wp14:editId="7256D92E">
            <wp:extent cx="6287135" cy="21945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7464" cy="2226090"/>
                    </a:xfrm>
                    <a:prstGeom prst="rect">
                      <a:avLst/>
                    </a:prstGeom>
                    <a:noFill/>
                  </pic:spPr>
                </pic:pic>
              </a:graphicData>
            </a:graphic>
          </wp:inline>
        </w:drawing>
      </w:r>
    </w:p>
    <w:p w14:paraId="78E17B0B" w14:textId="5F5EB8CE" w:rsidR="009109B3" w:rsidRPr="00054AA7" w:rsidRDefault="009109B3" w:rsidP="00923F8F">
      <w:pPr>
        <w:spacing w:after="0" w:line="360" w:lineRule="auto"/>
        <w:jc w:val="center"/>
        <w:rPr>
          <w:rFonts w:ascii="Book Antiqua" w:hAnsi="Book Antiqua"/>
          <w:sz w:val="20"/>
          <w:szCs w:val="20"/>
        </w:rPr>
      </w:pPr>
    </w:p>
    <w:p w14:paraId="24158946" w14:textId="21D1C68C" w:rsidR="00923F8F" w:rsidRPr="00870653" w:rsidRDefault="00923F8F" w:rsidP="00923F8F">
      <w:pPr>
        <w:spacing w:line="360" w:lineRule="auto"/>
        <w:jc w:val="both"/>
        <w:rPr>
          <w:rFonts w:ascii="Book Antiqua" w:hAnsi="Book Antiqua"/>
          <w:sz w:val="20"/>
          <w:szCs w:val="20"/>
          <w:lang w:val="en-US"/>
        </w:rPr>
      </w:pPr>
      <w:bookmarkStart w:id="1" w:name="_Hlk50372445"/>
      <w:r w:rsidRPr="00923F8F">
        <w:rPr>
          <w:rFonts w:ascii="Book Antiqua" w:hAnsi="Book Antiqua"/>
          <w:b/>
          <w:bCs/>
          <w:sz w:val="20"/>
          <w:szCs w:val="20"/>
        </w:rPr>
        <w:t>Figur</w:t>
      </w:r>
      <w:r w:rsidR="00020D10">
        <w:rPr>
          <w:rFonts w:ascii="Book Antiqua" w:hAnsi="Book Antiqua"/>
          <w:b/>
          <w:bCs/>
          <w:sz w:val="20"/>
          <w:szCs w:val="20"/>
        </w:rPr>
        <w:t>e</w:t>
      </w:r>
      <w:r w:rsidRPr="00923F8F">
        <w:rPr>
          <w:rFonts w:ascii="Book Antiqua" w:hAnsi="Book Antiqua"/>
          <w:b/>
          <w:bCs/>
          <w:sz w:val="20"/>
          <w:szCs w:val="20"/>
        </w:rPr>
        <w:t xml:space="preserve"> </w:t>
      </w:r>
      <w:r>
        <w:rPr>
          <w:rFonts w:ascii="Book Antiqua" w:hAnsi="Book Antiqua"/>
          <w:b/>
          <w:bCs/>
          <w:sz w:val="20"/>
          <w:szCs w:val="20"/>
        </w:rPr>
        <w:t>1</w:t>
      </w:r>
      <w:r w:rsidRPr="00923F8F">
        <w:rPr>
          <w:rFonts w:ascii="Book Antiqua" w:hAnsi="Book Antiqua"/>
          <w:b/>
          <w:bCs/>
          <w:sz w:val="20"/>
          <w:szCs w:val="20"/>
        </w:rPr>
        <w:t xml:space="preserve">.  </w:t>
      </w:r>
      <w:r w:rsidRPr="00923F8F">
        <w:rPr>
          <w:rFonts w:ascii="Book Antiqua" w:hAnsi="Book Antiqua"/>
          <w:sz w:val="20"/>
          <w:szCs w:val="20"/>
        </w:rPr>
        <w:t xml:space="preserve">Intesa San Paolo CDS SR 5y D14, Unicredit CDS SR 5y D14, Monte dei Paschi CDS SR 5y D14 </w:t>
      </w:r>
      <w:r w:rsidR="00167AE0">
        <w:rPr>
          <w:rFonts w:ascii="Book Antiqua" w:hAnsi="Book Antiqua"/>
          <w:sz w:val="20"/>
          <w:szCs w:val="20"/>
        </w:rPr>
        <w:t>and</w:t>
      </w:r>
      <w:r w:rsidRPr="00923F8F">
        <w:rPr>
          <w:rFonts w:ascii="Book Antiqua" w:hAnsi="Book Antiqua"/>
          <w:sz w:val="20"/>
          <w:szCs w:val="20"/>
        </w:rPr>
        <w:t xml:space="preserve"> </w:t>
      </w:r>
      <w:r w:rsidR="00E64AF1">
        <w:rPr>
          <w:rFonts w:ascii="Book Antiqua" w:hAnsi="Book Antiqua"/>
          <w:sz w:val="20"/>
          <w:szCs w:val="20"/>
        </w:rPr>
        <w:t>Italian</w:t>
      </w:r>
      <w:r w:rsidRPr="00923F8F">
        <w:rPr>
          <w:rFonts w:ascii="Book Antiqua" w:hAnsi="Book Antiqua"/>
          <w:sz w:val="20"/>
          <w:szCs w:val="20"/>
        </w:rPr>
        <w:t xml:space="preserve"> banks proxy CDS SR 5y D14</w:t>
      </w:r>
      <w:r w:rsidR="00ED7697">
        <w:rPr>
          <w:rFonts w:ascii="Book Antiqua" w:hAnsi="Book Antiqua"/>
          <w:sz w:val="20"/>
          <w:szCs w:val="20"/>
        </w:rPr>
        <w:t xml:space="preserve"> </w:t>
      </w:r>
      <w:r w:rsidR="005D2A92">
        <w:rPr>
          <w:rFonts w:ascii="Book Antiqua" w:hAnsi="Book Antiqua"/>
          <w:sz w:val="20"/>
          <w:szCs w:val="20"/>
        </w:rPr>
        <w:t>or IBP</w:t>
      </w:r>
      <w:r>
        <w:rPr>
          <w:rFonts w:ascii="Book Antiqua" w:hAnsi="Book Antiqua"/>
          <w:sz w:val="20"/>
          <w:szCs w:val="20"/>
        </w:rPr>
        <w:t xml:space="preserve"> series</w:t>
      </w:r>
      <w:r w:rsidRPr="00923F8F">
        <w:rPr>
          <w:rFonts w:ascii="Book Antiqua" w:hAnsi="Book Antiqua"/>
          <w:sz w:val="20"/>
          <w:szCs w:val="20"/>
        </w:rPr>
        <w:t xml:space="preserve">: period 2008-2020. </w:t>
      </w:r>
      <w:bookmarkEnd w:id="1"/>
      <w:r w:rsidR="00167AE0" w:rsidRPr="00870653">
        <w:rPr>
          <w:rFonts w:ascii="Book Antiqua" w:hAnsi="Book Antiqua"/>
          <w:sz w:val="20"/>
          <w:szCs w:val="20"/>
          <w:lang w:val="en-US"/>
        </w:rPr>
        <w:t>Source</w:t>
      </w:r>
      <w:r w:rsidRPr="00870653">
        <w:rPr>
          <w:rFonts w:ascii="Book Antiqua" w:hAnsi="Book Antiqua"/>
          <w:sz w:val="20"/>
          <w:szCs w:val="20"/>
          <w:lang w:val="en-US"/>
        </w:rPr>
        <w:t xml:space="preserve">: </w:t>
      </w:r>
      <w:r w:rsidR="00167AE0" w:rsidRPr="00870653">
        <w:rPr>
          <w:rFonts w:ascii="Book Antiqua" w:hAnsi="Book Antiqua"/>
          <w:sz w:val="20"/>
          <w:szCs w:val="20"/>
          <w:lang w:val="en-US"/>
        </w:rPr>
        <w:t xml:space="preserve">authors’ calculations </w:t>
      </w:r>
      <w:r w:rsidRPr="00870653">
        <w:rPr>
          <w:rFonts w:ascii="Book Antiqua" w:hAnsi="Book Antiqua"/>
          <w:sz w:val="20"/>
          <w:szCs w:val="20"/>
          <w:lang w:val="en-US"/>
        </w:rPr>
        <w:t xml:space="preserve">in Eviews 11 </w:t>
      </w:r>
      <w:r w:rsidR="00167AE0" w:rsidRPr="00870653">
        <w:rPr>
          <w:rFonts w:ascii="Book Antiqua" w:hAnsi="Book Antiqua"/>
          <w:sz w:val="20"/>
          <w:szCs w:val="20"/>
          <w:lang w:val="en-US"/>
        </w:rPr>
        <w:t xml:space="preserve">based on </w:t>
      </w:r>
      <w:r w:rsidRPr="00870653">
        <w:rPr>
          <w:rFonts w:ascii="Book Antiqua" w:hAnsi="Book Antiqua"/>
          <w:sz w:val="20"/>
          <w:szCs w:val="20"/>
          <w:lang w:val="en-US"/>
        </w:rPr>
        <w:t>Bloomberg</w:t>
      </w:r>
      <w:r w:rsidR="00167AE0" w:rsidRPr="00870653">
        <w:rPr>
          <w:rFonts w:ascii="Book Antiqua" w:hAnsi="Book Antiqua"/>
          <w:sz w:val="20"/>
          <w:szCs w:val="20"/>
          <w:lang w:val="en-US"/>
        </w:rPr>
        <w:t xml:space="preserve"> data</w:t>
      </w:r>
      <w:r w:rsidRPr="00870653">
        <w:rPr>
          <w:rFonts w:ascii="Book Antiqua" w:hAnsi="Book Antiqua"/>
          <w:sz w:val="20"/>
          <w:szCs w:val="20"/>
          <w:lang w:val="en-US"/>
        </w:rPr>
        <w:t>.</w:t>
      </w:r>
    </w:p>
    <w:p w14:paraId="56ECB285" w14:textId="33058C9E" w:rsidR="00020D10" w:rsidRPr="00870653" w:rsidRDefault="00B45E9F" w:rsidP="005A7B19">
      <w:pPr>
        <w:spacing w:after="0" w:line="360" w:lineRule="auto"/>
        <w:jc w:val="both"/>
        <w:rPr>
          <w:rFonts w:ascii="Book Antiqua" w:hAnsi="Book Antiqua"/>
          <w:sz w:val="20"/>
          <w:szCs w:val="20"/>
          <w:lang w:val="en-US"/>
        </w:rPr>
      </w:pPr>
      <w:r w:rsidRPr="00870653">
        <w:rPr>
          <w:rFonts w:ascii="Book Antiqua" w:hAnsi="Book Antiqua"/>
          <w:sz w:val="20"/>
          <w:szCs w:val="20"/>
          <w:lang w:val="en-US"/>
        </w:rPr>
        <w:t>We consider as</w:t>
      </w:r>
      <w:r w:rsidR="00FC3A73" w:rsidRPr="00870653">
        <w:rPr>
          <w:rFonts w:ascii="Book Antiqua" w:hAnsi="Book Antiqua"/>
          <w:sz w:val="20"/>
          <w:szCs w:val="20"/>
          <w:lang w:val="en-US"/>
        </w:rPr>
        <w:t xml:space="preserve"> a measure of redenomination risk</w:t>
      </w:r>
      <w:r w:rsidRPr="00870653">
        <w:rPr>
          <w:rFonts w:ascii="Book Antiqua" w:hAnsi="Book Antiqua"/>
          <w:sz w:val="20"/>
          <w:szCs w:val="20"/>
          <w:lang w:val="en-US"/>
        </w:rPr>
        <w:t xml:space="preserve"> </w:t>
      </w:r>
      <w:r w:rsidR="007E0691" w:rsidRPr="00870653">
        <w:rPr>
          <w:rFonts w:ascii="Book Antiqua" w:hAnsi="Book Antiqua"/>
          <w:sz w:val="20"/>
          <w:szCs w:val="20"/>
          <w:lang w:val="en-US"/>
        </w:rPr>
        <w:t>(</w:t>
      </w:r>
      <w:r w:rsidR="00FC3A73" w:rsidRPr="00870653">
        <w:rPr>
          <w:rFonts w:ascii="Book Antiqua" w:hAnsi="Book Antiqua"/>
          <w:sz w:val="20"/>
          <w:szCs w:val="20"/>
          <w:lang w:val="en-US"/>
        </w:rPr>
        <w:t>name</w:t>
      </w:r>
      <w:r w:rsidRPr="00870653">
        <w:rPr>
          <w:rFonts w:ascii="Book Antiqua" w:hAnsi="Book Antiqua"/>
          <w:sz w:val="20"/>
          <w:szCs w:val="20"/>
          <w:lang w:val="en-US"/>
        </w:rPr>
        <w:t>ly</w:t>
      </w:r>
      <w:r w:rsidR="007A037B" w:rsidRPr="00870653">
        <w:rPr>
          <w:rFonts w:ascii="Book Antiqua" w:hAnsi="Book Antiqua"/>
          <w:sz w:val="20"/>
          <w:szCs w:val="20"/>
          <w:lang w:val="en-US"/>
        </w:rPr>
        <w:t xml:space="preserve"> </w:t>
      </w:r>
      <w:bookmarkStart w:id="2" w:name="_Hlk43972613"/>
      <w:r w:rsidR="007A037B" w:rsidRPr="00870653">
        <w:rPr>
          <w:rFonts w:ascii="Book Antiqua" w:hAnsi="Book Antiqua"/>
          <w:i/>
          <w:iCs/>
          <w:sz w:val="20"/>
          <w:szCs w:val="20"/>
          <w:lang w:val="en-US"/>
        </w:rPr>
        <w:t>Italy Redenomination Risk</w:t>
      </w:r>
      <w:bookmarkEnd w:id="2"/>
      <w:r w:rsidR="007E0691" w:rsidRPr="00870653">
        <w:rPr>
          <w:rFonts w:ascii="Book Antiqua" w:hAnsi="Book Antiqua"/>
          <w:iCs/>
          <w:sz w:val="20"/>
          <w:szCs w:val="20"/>
          <w:lang w:val="en-US"/>
        </w:rPr>
        <w:t>) the</w:t>
      </w:r>
      <w:r w:rsidR="00632B36" w:rsidRPr="007E0691">
        <w:rPr>
          <w:rFonts w:ascii="Book Antiqua" w:hAnsi="Book Antiqua"/>
          <w:sz w:val="20"/>
          <w:szCs w:val="20"/>
          <w:lang w:val="en-GB"/>
        </w:rPr>
        <w:t xml:space="preserve"> </w:t>
      </w:r>
      <w:r w:rsidR="007E0691" w:rsidRPr="007E0691">
        <w:rPr>
          <w:rFonts w:ascii="Book Antiqua" w:hAnsi="Book Antiqua"/>
          <w:sz w:val="20"/>
          <w:szCs w:val="20"/>
          <w:lang w:val="en-GB"/>
        </w:rPr>
        <w:t>differential</w:t>
      </w:r>
      <w:r w:rsidR="005A7B19" w:rsidRPr="00870653">
        <w:rPr>
          <w:rFonts w:ascii="Book Antiqua" w:hAnsi="Book Antiqua"/>
          <w:sz w:val="20"/>
          <w:szCs w:val="20"/>
          <w:lang w:val="en-US"/>
        </w:rPr>
        <w:t xml:space="preserve"> between the CDS spreads of five-year</w:t>
      </w:r>
      <w:r w:rsidR="007E0691" w:rsidRPr="00870653">
        <w:rPr>
          <w:rFonts w:ascii="Book Antiqua" w:hAnsi="Book Antiqua"/>
          <w:sz w:val="20"/>
          <w:szCs w:val="20"/>
          <w:lang w:val="en-US"/>
        </w:rPr>
        <w:t>s</w:t>
      </w:r>
      <w:r w:rsidR="005A7B19" w:rsidRPr="00870653">
        <w:rPr>
          <w:rFonts w:ascii="Book Antiqua" w:hAnsi="Book Antiqua"/>
          <w:sz w:val="20"/>
          <w:szCs w:val="20"/>
          <w:lang w:val="en-US"/>
        </w:rPr>
        <w:t xml:space="preserve"> </w:t>
      </w:r>
      <w:r w:rsidR="007E0691" w:rsidRPr="00870653">
        <w:rPr>
          <w:rFonts w:ascii="Book Antiqua" w:hAnsi="Book Antiqua"/>
          <w:sz w:val="20"/>
          <w:szCs w:val="20"/>
          <w:lang w:val="en-US"/>
        </w:rPr>
        <w:t xml:space="preserve">Italian government bond </w:t>
      </w:r>
      <w:r w:rsidR="005A7B19" w:rsidRPr="00870653">
        <w:rPr>
          <w:rFonts w:ascii="Book Antiqua" w:hAnsi="Book Antiqua"/>
          <w:sz w:val="20"/>
          <w:szCs w:val="20"/>
          <w:lang w:val="en-US"/>
        </w:rPr>
        <w:t xml:space="preserve">CDS contracts according to the ISDA 2014 </w:t>
      </w:r>
      <w:r w:rsidR="007E0691" w:rsidRPr="00870653">
        <w:rPr>
          <w:rFonts w:ascii="Book Antiqua" w:hAnsi="Book Antiqua"/>
          <w:sz w:val="20"/>
          <w:szCs w:val="20"/>
          <w:lang w:val="en-US"/>
        </w:rPr>
        <w:t>d</w:t>
      </w:r>
      <w:r w:rsidR="005A7B19" w:rsidRPr="00870653">
        <w:rPr>
          <w:rFonts w:ascii="Book Antiqua" w:hAnsi="Book Antiqua"/>
          <w:sz w:val="20"/>
          <w:szCs w:val="20"/>
          <w:lang w:val="en-US"/>
        </w:rPr>
        <w:t>efinitions and the CDS spreads of five-year</w:t>
      </w:r>
      <w:r w:rsidR="007E0691" w:rsidRPr="00870653">
        <w:rPr>
          <w:rFonts w:ascii="Book Antiqua" w:hAnsi="Book Antiqua"/>
          <w:sz w:val="20"/>
          <w:szCs w:val="20"/>
          <w:lang w:val="en-US"/>
        </w:rPr>
        <w:t>s</w:t>
      </w:r>
      <w:r w:rsidR="005A7B19" w:rsidRPr="00870653">
        <w:rPr>
          <w:rFonts w:ascii="Book Antiqua" w:hAnsi="Book Antiqua"/>
          <w:sz w:val="20"/>
          <w:szCs w:val="20"/>
          <w:lang w:val="en-US"/>
        </w:rPr>
        <w:t xml:space="preserve"> </w:t>
      </w:r>
      <w:r w:rsidR="007E0691" w:rsidRPr="00870653">
        <w:rPr>
          <w:rFonts w:ascii="Book Antiqua" w:hAnsi="Book Antiqua"/>
          <w:sz w:val="20"/>
          <w:szCs w:val="20"/>
          <w:lang w:val="en-US"/>
        </w:rPr>
        <w:t>Italian government bond</w:t>
      </w:r>
      <w:r w:rsidR="005A7B19" w:rsidRPr="00870653">
        <w:rPr>
          <w:rFonts w:ascii="Book Antiqua" w:hAnsi="Book Antiqua"/>
          <w:sz w:val="20"/>
          <w:szCs w:val="20"/>
          <w:lang w:val="en-US"/>
        </w:rPr>
        <w:t xml:space="preserve"> CDS </w:t>
      </w:r>
      <w:r w:rsidR="007E0691" w:rsidRPr="00870653">
        <w:rPr>
          <w:rFonts w:ascii="Book Antiqua" w:hAnsi="Book Antiqua"/>
          <w:sz w:val="20"/>
          <w:szCs w:val="20"/>
          <w:lang w:val="en-US"/>
        </w:rPr>
        <w:t xml:space="preserve">contracts </w:t>
      </w:r>
      <w:r w:rsidR="005A7B19" w:rsidRPr="00870653">
        <w:rPr>
          <w:rFonts w:ascii="Book Antiqua" w:hAnsi="Book Antiqua"/>
          <w:sz w:val="20"/>
          <w:szCs w:val="20"/>
          <w:lang w:val="en-US"/>
        </w:rPr>
        <w:t xml:space="preserve">according to the ISDA 2003 </w:t>
      </w:r>
      <w:r w:rsidR="007E0691" w:rsidRPr="00870653">
        <w:rPr>
          <w:rFonts w:ascii="Book Antiqua" w:hAnsi="Book Antiqua"/>
          <w:sz w:val="20"/>
          <w:szCs w:val="20"/>
          <w:lang w:val="en-US"/>
        </w:rPr>
        <w:t>d</w:t>
      </w:r>
      <w:r w:rsidR="005A7B19" w:rsidRPr="00870653">
        <w:rPr>
          <w:rFonts w:ascii="Book Antiqua" w:hAnsi="Book Antiqua"/>
          <w:sz w:val="20"/>
          <w:szCs w:val="20"/>
          <w:lang w:val="en-US"/>
        </w:rPr>
        <w:t>efinitions</w:t>
      </w:r>
      <w:r w:rsidR="00632B36" w:rsidRPr="00870653">
        <w:rPr>
          <w:rFonts w:ascii="Book Antiqua" w:hAnsi="Book Antiqua"/>
          <w:sz w:val="20"/>
          <w:szCs w:val="20"/>
          <w:lang w:val="en-US"/>
        </w:rPr>
        <w:t xml:space="preserve">, </w:t>
      </w:r>
      <w:bookmarkStart w:id="3" w:name="_Hlk55466561"/>
      <w:r w:rsidR="005A7B19" w:rsidRPr="00870653">
        <w:rPr>
          <w:rFonts w:ascii="Book Antiqua" w:hAnsi="Book Antiqua"/>
          <w:sz w:val="20"/>
          <w:szCs w:val="20"/>
          <w:lang w:val="en-US"/>
        </w:rPr>
        <w:t xml:space="preserve">for the </w:t>
      </w:r>
      <w:r w:rsidR="00632B36" w:rsidRPr="00870653">
        <w:rPr>
          <w:rFonts w:ascii="Book Antiqua" w:hAnsi="Book Antiqua"/>
          <w:sz w:val="20"/>
          <w:szCs w:val="20"/>
          <w:lang w:val="en-US"/>
        </w:rPr>
        <w:t xml:space="preserve">period </w:t>
      </w:r>
      <w:r w:rsidR="007E0691" w:rsidRPr="00870653">
        <w:rPr>
          <w:rFonts w:ascii="Book Antiqua" w:hAnsi="Book Antiqua"/>
          <w:sz w:val="20"/>
          <w:szCs w:val="20"/>
          <w:lang w:val="en-US"/>
        </w:rPr>
        <w:t>2008-20,</w:t>
      </w:r>
      <w:r w:rsidR="005A7B19" w:rsidRPr="00870653">
        <w:rPr>
          <w:rFonts w:ascii="Book Antiqua" w:hAnsi="Book Antiqua"/>
          <w:sz w:val="20"/>
          <w:szCs w:val="20"/>
          <w:lang w:val="en-US"/>
        </w:rPr>
        <w:t xml:space="preserve"> using daily data from Bloomberg</w:t>
      </w:r>
      <w:r w:rsidR="00632B36" w:rsidRPr="00870653">
        <w:rPr>
          <w:rFonts w:ascii="Book Antiqua" w:hAnsi="Book Antiqua"/>
          <w:sz w:val="20"/>
          <w:szCs w:val="20"/>
          <w:lang w:val="en-US"/>
        </w:rPr>
        <w:t xml:space="preserve"> (3132</w:t>
      </w:r>
      <w:r w:rsidR="005A7B19" w:rsidRPr="00870653">
        <w:rPr>
          <w:rFonts w:ascii="Book Antiqua" w:hAnsi="Book Antiqua"/>
          <w:sz w:val="20"/>
          <w:szCs w:val="20"/>
          <w:lang w:val="en-US"/>
        </w:rPr>
        <w:t xml:space="preserve"> observations</w:t>
      </w:r>
      <w:r w:rsidR="00632B36" w:rsidRPr="00870653">
        <w:rPr>
          <w:rFonts w:ascii="Book Antiqua" w:hAnsi="Book Antiqua"/>
          <w:sz w:val="20"/>
          <w:szCs w:val="20"/>
          <w:lang w:val="en-US"/>
        </w:rPr>
        <w:t>).</w:t>
      </w:r>
      <w:bookmarkEnd w:id="3"/>
    </w:p>
    <w:p w14:paraId="5A6B2053" w14:textId="66E619FB" w:rsidR="005A7B19" w:rsidRPr="00870653" w:rsidRDefault="00975937" w:rsidP="005A7B19">
      <w:pPr>
        <w:spacing w:after="0" w:line="360" w:lineRule="auto"/>
        <w:jc w:val="both"/>
        <w:rPr>
          <w:rFonts w:ascii="Book Antiqua" w:hAnsi="Book Antiqua"/>
          <w:sz w:val="20"/>
          <w:szCs w:val="20"/>
          <w:lang w:val="en-US"/>
        </w:rPr>
      </w:pPr>
      <w:r w:rsidRPr="00870653">
        <w:rPr>
          <w:rFonts w:ascii="Book Antiqua" w:hAnsi="Book Antiqua"/>
          <w:sz w:val="20"/>
          <w:szCs w:val="20"/>
          <w:lang w:val="en-US"/>
        </w:rPr>
        <w:t>In the model we also include</w:t>
      </w:r>
      <w:r w:rsidR="005A7B19" w:rsidRPr="00870653">
        <w:rPr>
          <w:rFonts w:ascii="Book Antiqua" w:hAnsi="Book Antiqua"/>
          <w:sz w:val="20"/>
          <w:szCs w:val="20"/>
          <w:lang w:val="en-US"/>
        </w:rPr>
        <w:t xml:space="preserve"> </w:t>
      </w:r>
      <w:r w:rsidRPr="00870653">
        <w:rPr>
          <w:rFonts w:ascii="Book Antiqua" w:hAnsi="Book Antiqua"/>
          <w:sz w:val="20"/>
          <w:szCs w:val="20"/>
          <w:lang w:val="en-US"/>
        </w:rPr>
        <w:t xml:space="preserve">as </w:t>
      </w:r>
      <w:r w:rsidR="005A7B19" w:rsidRPr="00870653">
        <w:rPr>
          <w:rFonts w:ascii="Book Antiqua" w:hAnsi="Book Antiqua"/>
          <w:sz w:val="20"/>
          <w:szCs w:val="20"/>
          <w:lang w:val="en-US"/>
        </w:rPr>
        <w:t>a masure of sovereign risk</w:t>
      </w:r>
      <w:r w:rsidR="00D170BD" w:rsidRPr="00870653">
        <w:rPr>
          <w:lang w:val="en-US"/>
        </w:rPr>
        <w:t xml:space="preserve"> </w:t>
      </w:r>
      <w:r w:rsidR="005A7B19" w:rsidRPr="00870653">
        <w:rPr>
          <w:rFonts w:ascii="Book Antiqua" w:hAnsi="Book Antiqua"/>
          <w:sz w:val="20"/>
          <w:szCs w:val="20"/>
          <w:lang w:val="en-US"/>
        </w:rPr>
        <w:t>for Italy</w:t>
      </w:r>
      <w:r w:rsidRPr="00870653">
        <w:rPr>
          <w:rFonts w:ascii="Book Antiqua" w:hAnsi="Book Antiqua"/>
          <w:sz w:val="20"/>
          <w:szCs w:val="20"/>
          <w:lang w:val="en-US"/>
        </w:rPr>
        <w:t xml:space="preserve"> (</w:t>
      </w:r>
      <w:r w:rsidR="005A7B19" w:rsidRPr="00870653">
        <w:rPr>
          <w:rFonts w:ascii="Book Antiqua" w:hAnsi="Book Antiqua"/>
          <w:sz w:val="20"/>
          <w:szCs w:val="20"/>
          <w:lang w:val="en-US"/>
        </w:rPr>
        <w:t>name</w:t>
      </w:r>
      <w:r w:rsidRPr="00870653">
        <w:rPr>
          <w:rFonts w:ascii="Book Antiqua" w:hAnsi="Book Antiqua"/>
          <w:sz w:val="20"/>
          <w:szCs w:val="20"/>
          <w:lang w:val="en-US"/>
        </w:rPr>
        <w:t>ly</w:t>
      </w:r>
      <w:r w:rsidR="005A7B19" w:rsidRPr="00870653">
        <w:rPr>
          <w:rFonts w:ascii="Book Antiqua" w:hAnsi="Book Antiqua"/>
          <w:sz w:val="20"/>
          <w:szCs w:val="20"/>
          <w:lang w:val="en-US"/>
        </w:rPr>
        <w:t xml:space="preserve"> </w:t>
      </w:r>
      <w:r w:rsidR="00632B36" w:rsidRPr="00870653">
        <w:rPr>
          <w:rFonts w:ascii="Book Antiqua" w:hAnsi="Book Antiqua"/>
          <w:i/>
          <w:iCs/>
          <w:sz w:val="20"/>
          <w:szCs w:val="20"/>
          <w:lang w:val="en-US"/>
        </w:rPr>
        <w:t>Spread It-Ge</w:t>
      </w:r>
      <w:r w:rsidRPr="00870653">
        <w:rPr>
          <w:rFonts w:ascii="Book Antiqua" w:hAnsi="Book Antiqua"/>
          <w:iCs/>
          <w:sz w:val="20"/>
          <w:szCs w:val="20"/>
          <w:lang w:val="en-US"/>
        </w:rPr>
        <w:t>)</w:t>
      </w:r>
      <w:r w:rsidR="00632B36" w:rsidRPr="00870653">
        <w:rPr>
          <w:rFonts w:ascii="Book Antiqua" w:hAnsi="Book Antiqua"/>
          <w:sz w:val="20"/>
          <w:szCs w:val="20"/>
          <w:lang w:val="en-US"/>
        </w:rPr>
        <w:t xml:space="preserve"> </w:t>
      </w:r>
      <w:r w:rsidR="00E61469" w:rsidRPr="00870653">
        <w:rPr>
          <w:rFonts w:ascii="Book Antiqua" w:hAnsi="Book Antiqua"/>
          <w:sz w:val="20"/>
          <w:szCs w:val="20"/>
          <w:lang w:val="en-US"/>
        </w:rPr>
        <w:t>the differential between the ten-years Italian government bond (BTP) yield and the respective German government bond (Bund) yield</w:t>
      </w:r>
      <w:r w:rsidR="005A7B19" w:rsidRPr="00870653">
        <w:rPr>
          <w:rFonts w:ascii="Book Antiqua" w:hAnsi="Book Antiqua"/>
          <w:sz w:val="20"/>
          <w:szCs w:val="20"/>
          <w:lang w:val="en-US"/>
        </w:rPr>
        <w:t>, for the</w:t>
      </w:r>
      <w:r w:rsidR="00467DF4" w:rsidRPr="00870653">
        <w:rPr>
          <w:rFonts w:ascii="Book Antiqua" w:hAnsi="Book Antiqua"/>
          <w:sz w:val="20"/>
          <w:szCs w:val="20"/>
          <w:lang w:val="en-US"/>
        </w:rPr>
        <w:t xml:space="preserve"> </w:t>
      </w:r>
      <w:r w:rsidR="005A7B19" w:rsidRPr="00870653">
        <w:rPr>
          <w:rFonts w:ascii="Book Antiqua" w:hAnsi="Book Antiqua"/>
          <w:sz w:val="20"/>
          <w:szCs w:val="20"/>
          <w:lang w:val="en-US"/>
        </w:rPr>
        <w:t>period</w:t>
      </w:r>
      <w:r w:rsidR="00632B36" w:rsidRPr="00870653">
        <w:rPr>
          <w:rFonts w:ascii="Book Antiqua" w:hAnsi="Book Antiqua"/>
          <w:sz w:val="20"/>
          <w:szCs w:val="20"/>
          <w:lang w:val="en-US"/>
        </w:rPr>
        <w:t xml:space="preserve"> </w:t>
      </w:r>
      <w:r w:rsidRPr="00870653">
        <w:rPr>
          <w:rFonts w:ascii="Book Antiqua" w:hAnsi="Book Antiqua"/>
          <w:sz w:val="20"/>
          <w:szCs w:val="20"/>
          <w:lang w:val="en-US"/>
        </w:rPr>
        <w:t>2008-20</w:t>
      </w:r>
      <w:r w:rsidR="005A7B19" w:rsidRPr="00870653">
        <w:rPr>
          <w:rFonts w:ascii="Book Antiqua" w:hAnsi="Book Antiqua"/>
          <w:sz w:val="20"/>
          <w:szCs w:val="20"/>
          <w:lang w:val="en-US"/>
        </w:rPr>
        <w:t>, using daily data from Bloomberh</w:t>
      </w:r>
      <w:r w:rsidR="00632B36" w:rsidRPr="00870653">
        <w:rPr>
          <w:rFonts w:ascii="Book Antiqua" w:hAnsi="Book Antiqua"/>
          <w:sz w:val="20"/>
          <w:szCs w:val="20"/>
          <w:lang w:val="en-US"/>
        </w:rPr>
        <w:t xml:space="preserve"> (3132</w:t>
      </w:r>
      <w:r w:rsidR="005A7B19" w:rsidRPr="00870653">
        <w:rPr>
          <w:rFonts w:ascii="Book Antiqua" w:hAnsi="Book Antiqua"/>
          <w:sz w:val="20"/>
          <w:szCs w:val="20"/>
          <w:lang w:val="en-US"/>
        </w:rPr>
        <w:t xml:space="preserve"> observations</w:t>
      </w:r>
      <w:r w:rsidR="00632B36" w:rsidRPr="00870653">
        <w:rPr>
          <w:rFonts w:ascii="Book Antiqua" w:hAnsi="Book Antiqua"/>
          <w:sz w:val="20"/>
          <w:szCs w:val="20"/>
          <w:lang w:val="en-US"/>
        </w:rPr>
        <w:t xml:space="preserve">). </w:t>
      </w:r>
      <w:r w:rsidR="00997805">
        <w:rPr>
          <w:rFonts w:ascii="Book Antiqua" w:hAnsi="Book Antiqua"/>
          <w:sz w:val="20"/>
          <w:szCs w:val="20"/>
          <w:lang w:val="en-US"/>
        </w:rPr>
        <w:t xml:space="preserve">Figure 2 shows </w:t>
      </w:r>
      <w:r w:rsidR="005A7B19" w:rsidRPr="00870653">
        <w:rPr>
          <w:rFonts w:ascii="Book Antiqua" w:hAnsi="Book Antiqua"/>
          <w:sz w:val="20"/>
          <w:szCs w:val="20"/>
          <w:lang w:val="en-US"/>
        </w:rPr>
        <w:t>the overtime movements of the</w:t>
      </w:r>
      <w:r w:rsidR="00E61469" w:rsidRPr="00870653">
        <w:rPr>
          <w:rFonts w:ascii="Book Antiqua" w:hAnsi="Book Antiqua"/>
          <w:sz w:val="20"/>
          <w:szCs w:val="20"/>
          <w:lang w:val="en-US"/>
        </w:rPr>
        <w:t xml:space="preserve"> series referring to</w:t>
      </w:r>
      <w:r w:rsidR="005A7B19" w:rsidRPr="00870653">
        <w:rPr>
          <w:rFonts w:ascii="Book Antiqua" w:hAnsi="Book Antiqua"/>
          <w:sz w:val="20"/>
          <w:szCs w:val="20"/>
          <w:lang w:val="en-US"/>
        </w:rPr>
        <w:t xml:space="preserve"> independent variables</w:t>
      </w:r>
      <w:r w:rsidR="00E61469" w:rsidRPr="00870653">
        <w:rPr>
          <w:rFonts w:ascii="Book Antiqua" w:hAnsi="Book Antiqua"/>
          <w:sz w:val="20"/>
          <w:szCs w:val="20"/>
          <w:lang w:val="en-US"/>
        </w:rPr>
        <w:t>.</w:t>
      </w:r>
    </w:p>
    <w:p w14:paraId="367E1A8A" w14:textId="5AC3F4A1" w:rsidR="00632B36" w:rsidRPr="00870653" w:rsidRDefault="00632B36" w:rsidP="00923F8F">
      <w:pPr>
        <w:spacing w:line="360" w:lineRule="auto"/>
        <w:jc w:val="both"/>
        <w:rPr>
          <w:rFonts w:ascii="Book Antiqua" w:hAnsi="Book Antiqua"/>
          <w:sz w:val="20"/>
          <w:szCs w:val="20"/>
          <w:lang w:val="en-US"/>
        </w:rPr>
      </w:pPr>
    </w:p>
    <w:p w14:paraId="693FFB99" w14:textId="1BA88471" w:rsidR="00923F8F" w:rsidRPr="00923F8F" w:rsidRDefault="00574D8E" w:rsidP="00632B36">
      <w:pPr>
        <w:spacing w:line="360" w:lineRule="auto"/>
        <w:jc w:val="center"/>
        <w:rPr>
          <w:rFonts w:ascii="Book Antiqua" w:hAnsi="Book Antiqua"/>
          <w:sz w:val="20"/>
          <w:szCs w:val="20"/>
        </w:rPr>
      </w:pPr>
      <w:r>
        <w:rPr>
          <w:noProof/>
          <w:lang w:eastAsia="it-IT"/>
        </w:rPr>
        <w:drawing>
          <wp:inline distT="0" distB="0" distL="0" distR="0" wp14:anchorId="2AEDB5D9" wp14:editId="7C6614A7">
            <wp:extent cx="3286942" cy="1927860"/>
            <wp:effectExtent l="0" t="0" r="8890" b="0"/>
            <wp:docPr id="6" name="Immagin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414528E-D332-49B7-AA79-8D03802AD561}"/>
                </a:ext>
              </a:extLst>
            </wp:docPr>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414528E-D332-49B7-AA79-8D03802AD561}"/>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942" cy="1927860"/>
                    </a:xfrm>
                    <a:prstGeom prst="rect">
                      <a:avLst/>
                    </a:prstGeom>
                    <a:noFill/>
                    <a:ln>
                      <a:noFill/>
                    </a:ln>
                  </pic:spPr>
                </pic:pic>
              </a:graphicData>
            </a:graphic>
          </wp:inline>
        </w:drawing>
      </w:r>
    </w:p>
    <w:p w14:paraId="31E3A1FB" w14:textId="1E697916" w:rsidR="005A7B19" w:rsidRDefault="00632B36" w:rsidP="005A7B19">
      <w:pPr>
        <w:spacing w:line="360" w:lineRule="auto"/>
        <w:jc w:val="both"/>
        <w:rPr>
          <w:rFonts w:ascii="Book Antiqua" w:hAnsi="Book Antiqua"/>
          <w:sz w:val="20"/>
          <w:szCs w:val="20"/>
          <w:lang w:val="en-US"/>
        </w:rPr>
      </w:pPr>
      <w:bookmarkStart w:id="4" w:name="_Hlk50372410"/>
      <w:r w:rsidRPr="00632B36">
        <w:rPr>
          <w:rFonts w:ascii="Book Antiqua" w:hAnsi="Book Antiqua"/>
          <w:b/>
          <w:bCs/>
          <w:sz w:val="20"/>
          <w:szCs w:val="20"/>
          <w:lang w:val="en-US"/>
        </w:rPr>
        <w:t>Figur</w:t>
      </w:r>
      <w:r w:rsidR="00020D10">
        <w:rPr>
          <w:rFonts w:ascii="Book Antiqua" w:hAnsi="Book Antiqua"/>
          <w:b/>
          <w:bCs/>
          <w:sz w:val="20"/>
          <w:szCs w:val="20"/>
          <w:lang w:val="en-US"/>
        </w:rPr>
        <w:t>e</w:t>
      </w:r>
      <w:r w:rsidRPr="00632B36">
        <w:rPr>
          <w:rFonts w:ascii="Book Antiqua" w:hAnsi="Book Antiqua"/>
          <w:b/>
          <w:bCs/>
          <w:sz w:val="20"/>
          <w:szCs w:val="20"/>
          <w:lang w:val="en-US"/>
        </w:rPr>
        <w:t xml:space="preserve"> </w:t>
      </w:r>
      <w:r>
        <w:rPr>
          <w:rFonts w:ascii="Book Antiqua" w:hAnsi="Book Antiqua"/>
          <w:b/>
          <w:bCs/>
          <w:sz w:val="20"/>
          <w:szCs w:val="20"/>
          <w:lang w:val="en-US"/>
        </w:rPr>
        <w:t>2</w:t>
      </w:r>
      <w:r w:rsidRPr="00632B36">
        <w:rPr>
          <w:rFonts w:ascii="Book Antiqua" w:hAnsi="Book Antiqua"/>
          <w:b/>
          <w:bCs/>
          <w:sz w:val="20"/>
          <w:szCs w:val="20"/>
          <w:lang w:val="en-US"/>
        </w:rPr>
        <w:t xml:space="preserve">. </w:t>
      </w:r>
      <w:r w:rsidRPr="00632B36">
        <w:rPr>
          <w:rFonts w:ascii="Book Antiqua" w:hAnsi="Book Antiqua"/>
          <w:sz w:val="20"/>
          <w:szCs w:val="20"/>
          <w:lang w:val="en-US"/>
        </w:rPr>
        <w:t xml:space="preserve">Italy Redenomination Risk </w:t>
      </w:r>
      <w:r w:rsidR="00E61469">
        <w:rPr>
          <w:rFonts w:ascii="Book Antiqua" w:hAnsi="Book Antiqua"/>
          <w:sz w:val="20"/>
          <w:szCs w:val="20"/>
          <w:lang w:val="en-US"/>
        </w:rPr>
        <w:t>and</w:t>
      </w:r>
      <w:r w:rsidRPr="00632B36">
        <w:rPr>
          <w:rFonts w:ascii="Book Antiqua" w:hAnsi="Book Antiqua"/>
          <w:sz w:val="20"/>
          <w:szCs w:val="20"/>
          <w:lang w:val="en-US"/>
        </w:rPr>
        <w:t xml:space="preserve"> Spread It-Ge</w:t>
      </w:r>
      <w:r>
        <w:rPr>
          <w:rFonts w:ascii="Book Antiqua" w:hAnsi="Book Antiqua"/>
          <w:sz w:val="20"/>
          <w:szCs w:val="20"/>
          <w:lang w:val="en-US"/>
        </w:rPr>
        <w:t xml:space="preserve"> series</w:t>
      </w:r>
      <w:r w:rsidRPr="00632B36">
        <w:rPr>
          <w:rFonts w:ascii="Book Antiqua" w:hAnsi="Book Antiqua"/>
          <w:sz w:val="20"/>
          <w:szCs w:val="20"/>
          <w:lang w:val="en-US"/>
        </w:rPr>
        <w:t>: period 2008-2020</w:t>
      </w:r>
      <w:bookmarkEnd w:id="4"/>
      <w:r w:rsidRPr="00632B36">
        <w:rPr>
          <w:rFonts w:ascii="Book Antiqua" w:hAnsi="Book Antiqua"/>
          <w:sz w:val="20"/>
          <w:szCs w:val="20"/>
          <w:lang w:val="en-US"/>
        </w:rPr>
        <w:t>.</w:t>
      </w:r>
      <w:r w:rsidR="005A7B19">
        <w:rPr>
          <w:rFonts w:ascii="Book Antiqua" w:hAnsi="Book Antiqua"/>
          <w:sz w:val="20"/>
          <w:szCs w:val="20"/>
          <w:lang w:val="en-US"/>
        </w:rPr>
        <w:t xml:space="preserve"> Source</w:t>
      </w:r>
      <w:r w:rsidRPr="00870653">
        <w:rPr>
          <w:rFonts w:ascii="Book Antiqua" w:hAnsi="Book Antiqua"/>
          <w:sz w:val="20"/>
          <w:szCs w:val="20"/>
          <w:lang w:val="en-US"/>
        </w:rPr>
        <w:t>:</w:t>
      </w:r>
      <w:r w:rsidR="005A7B19" w:rsidRPr="00870653">
        <w:rPr>
          <w:rFonts w:ascii="Book Antiqua" w:hAnsi="Book Antiqua"/>
          <w:sz w:val="20"/>
          <w:szCs w:val="20"/>
          <w:lang w:val="en-US"/>
        </w:rPr>
        <w:t xml:space="preserve"> authors’ calculations in Eviews 11 based on Bloomberg data.</w:t>
      </w:r>
    </w:p>
    <w:p w14:paraId="247F910B" w14:textId="77777777" w:rsidR="00997805" w:rsidRDefault="00997805" w:rsidP="005A7B19">
      <w:pPr>
        <w:spacing w:line="360" w:lineRule="auto"/>
        <w:jc w:val="both"/>
        <w:rPr>
          <w:rFonts w:ascii="Book Antiqua" w:hAnsi="Book Antiqua"/>
          <w:sz w:val="20"/>
          <w:szCs w:val="20"/>
          <w:lang w:val="en-US"/>
        </w:rPr>
      </w:pPr>
    </w:p>
    <w:p w14:paraId="4CEC2B30" w14:textId="77777777" w:rsidR="00997805" w:rsidRPr="00870653" w:rsidRDefault="00997805" w:rsidP="005A7B19">
      <w:pPr>
        <w:spacing w:line="360" w:lineRule="auto"/>
        <w:jc w:val="both"/>
        <w:rPr>
          <w:rFonts w:ascii="Book Antiqua" w:hAnsi="Book Antiqua"/>
          <w:sz w:val="20"/>
          <w:szCs w:val="20"/>
          <w:lang w:val="en-US"/>
        </w:rPr>
      </w:pPr>
    </w:p>
    <w:p w14:paraId="50831971" w14:textId="2D211DD1" w:rsidR="001B1633" w:rsidRPr="00870653" w:rsidRDefault="00D72210" w:rsidP="0007040B">
      <w:pPr>
        <w:spacing w:line="360" w:lineRule="auto"/>
        <w:jc w:val="both"/>
        <w:rPr>
          <w:rFonts w:ascii="Book Antiqua" w:hAnsi="Book Antiqua"/>
          <w:sz w:val="20"/>
          <w:szCs w:val="20"/>
          <w:lang w:val="en-US"/>
        </w:rPr>
      </w:pPr>
      <w:r w:rsidRPr="00870653">
        <w:rPr>
          <w:rFonts w:ascii="Book Antiqua" w:hAnsi="Book Antiqua"/>
          <w:sz w:val="20"/>
          <w:szCs w:val="20"/>
          <w:lang w:val="en-US"/>
        </w:rPr>
        <w:lastRenderedPageBreak/>
        <w:t xml:space="preserve">The </w:t>
      </w:r>
      <w:r w:rsidR="00F53124" w:rsidRPr="00870653">
        <w:rPr>
          <w:rFonts w:ascii="Book Antiqua" w:hAnsi="Book Antiqua"/>
          <w:sz w:val="20"/>
          <w:szCs w:val="20"/>
          <w:lang w:val="en-US"/>
        </w:rPr>
        <w:t xml:space="preserve">basic </w:t>
      </w:r>
      <w:r w:rsidR="00975937" w:rsidRPr="00870653">
        <w:rPr>
          <w:rFonts w:ascii="Book Antiqua" w:hAnsi="Book Antiqua"/>
          <w:sz w:val="20"/>
          <w:szCs w:val="20"/>
          <w:lang w:val="en-US"/>
        </w:rPr>
        <w:t xml:space="preserve">econometric </w:t>
      </w:r>
      <w:r w:rsidRPr="00870653">
        <w:rPr>
          <w:rFonts w:ascii="Book Antiqua" w:hAnsi="Book Antiqua"/>
          <w:sz w:val="20"/>
          <w:szCs w:val="20"/>
          <w:lang w:val="en-US"/>
        </w:rPr>
        <w:t xml:space="preserve">model is </w:t>
      </w:r>
      <w:r w:rsidR="00975937" w:rsidRPr="00870653">
        <w:rPr>
          <w:rFonts w:ascii="Book Antiqua" w:hAnsi="Book Antiqua"/>
          <w:sz w:val="20"/>
          <w:szCs w:val="20"/>
          <w:lang w:val="en-US"/>
        </w:rPr>
        <w:t>defined</w:t>
      </w:r>
      <w:r w:rsidRPr="00870653">
        <w:rPr>
          <w:rFonts w:ascii="Book Antiqua" w:hAnsi="Book Antiqua"/>
          <w:sz w:val="20"/>
          <w:szCs w:val="20"/>
          <w:lang w:val="en-US"/>
        </w:rPr>
        <w:t xml:space="preserve"> by the following equations</w:t>
      </w:r>
      <w:r w:rsidR="001B1633" w:rsidRPr="00870653">
        <w:rPr>
          <w:rFonts w:ascii="Book Antiqua" w:hAnsi="Book Antiqua"/>
          <w:sz w:val="20"/>
          <w:szCs w:val="20"/>
          <w:lang w:val="en-US"/>
        </w:rPr>
        <w:t>:</w:t>
      </w:r>
    </w:p>
    <w:p w14:paraId="639BE1FD" w14:textId="558822F4" w:rsidR="001B1633" w:rsidRPr="00870653" w:rsidRDefault="00E9210F" w:rsidP="0007040B">
      <w:pPr>
        <w:spacing w:line="360" w:lineRule="auto"/>
        <w:jc w:val="both"/>
        <w:rPr>
          <w:rFonts w:ascii="Book Antiqua" w:eastAsiaTheme="minorEastAsia" w:hAnsi="Book Antiqua"/>
          <w:lang w:val="en-US"/>
        </w:rPr>
      </w:pPr>
      <m:oMath>
        <m:sSub>
          <m:sSubPr>
            <m:ctrlPr>
              <w:rPr>
                <w:rFonts w:ascii="Cambria Math" w:hAnsi="Cambria Math" w:cs="Times New Roman"/>
                <w:i/>
              </w:rPr>
            </m:ctrlPr>
          </m:sSubPr>
          <m:e>
            <m:r>
              <w:rPr>
                <w:rFonts w:ascii="Cambria Math" w:hAnsi="Cambria Math" w:cs="Times New Roman"/>
              </w:rPr>
              <m:t>Intesa</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10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1</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1</m:t>
                </m:r>
                <m:r>
                  <w:rPr>
                    <w:rFonts w:ascii="Cambria Math" w:hAnsi="Cambria Math" w:cs="Times New Roman"/>
                  </w:rPr>
                  <m:t>i</m:t>
                </m:r>
              </m:sub>
            </m:sSub>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1</m:t>
            </m:r>
            <m:r>
              <w:rPr>
                <w:rFonts w:ascii="Cambria Math" w:eastAsiaTheme="minorEastAsia" w:hAnsi="Cambria Math" w:cs="Times New Roman"/>
              </w:rPr>
              <m:t>t</m:t>
            </m:r>
          </m:sub>
        </m:sSub>
      </m:oMath>
      <w:r w:rsidR="001B1633" w:rsidRPr="00870653">
        <w:rPr>
          <w:rFonts w:ascii="Book Antiqua" w:eastAsiaTheme="minorEastAsia" w:hAnsi="Book Antiqua"/>
          <w:lang w:val="en-US"/>
        </w:rPr>
        <w:t xml:space="preserve">                                        </w:t>
      </w:r>
      <w:r w:rsidR="001B1633" w:rsidRPr="00870653">
        <w:rPr>
          <w:rFonts w:ascii="Book Antiqua" w:eastAsiaTheme="minorEastAsia" w:hAnsi="Book Antiqua"/>
          <w:lang w:val="en-US"/>
        </w:rPr>
        <w:tab/>
      </w:r>
      <w:r w:rsidR="001B1633" w:rsidRPr="00870653">
        <w:rPr>
          <w:rFonts w:ascii="Book Antiqua" w:eastAsiaTheme="minorEastAsia" w:hAnsi="Book Antiqua"/>
          <w:lang w:val="en-US"/>
        </w:rPr>
        <w:tab/>
      </w:r>
      <w:r w:rsidR="001B1633" w:rsidRPr="00870653">
        <w:rPr>
          <w:rFonts w:ascii="Book Antiqua" w:eastAsiaTheme="minorEastAsia" w:hAnsi="Book Antiqua"/>
          <w:lang w:val="en-US"/>
        </w:rPr>
        <w:tab/>
      </w:r>
      <w:r w:rsidR="001B1633" w:rsidRPr="00870653">
        <w:rPr>
          <w:rFonts w:ascii="Book Antiqua" w:eastAsiaTheme="minorEastAsia" w:hAnsi="Book Antiqua"/>
          <w:lang w:val="en-US"/>
        </w:rPr>
        <w:tab/>
      </w:r>
      <w:r w:rsidR="007411EA" w:rsidRPr="00870653">
        <w:rPr>
          <w:rFonts w:ascii="Book Antiqua" w:eastAsiaTheme="minorEastAsia" w:hAnsi="Book Antiqua"/>
          <w:lang w:val="en-US"/>
        </w:rPr>
        <w:t xml:space="preserve">    </w:t>
      </w:r>
      <w:r w:rsidR="007411EA" w:rsidRPr="00870653">
        <w:rPr>
          <w:rFonts w:ascii="Book Antiqua" w:eastAsiaTheme="minorEastAsia" w:hAnsi="Book Antiqua"/>
          <w:lang w:val="en-US"/>
        </w:rPr>
        <w:tab/>
      </w:r>
      <w:r w:rsidR="007411EA" w:rsidRPr="00870653">
        <w:rPr>
          <w:rFonts w:ascii="Book Antiqua" w:eastAsiaTheme="minorEastAsia" w:hAnsi="Book Antiqua"/>
          <w:sz w:val="20"/>
          <w:szCs w:val="20"/>
          <w:lang w:val="en-US"/>
        </w:rPr>
        <w:t xml:space="preserve">      </w:t>
      </w:r>
      <w:r w:rsidR="008F7B6A" w:rsidRPr="00870653">
        <w:rPr>
          <w:rFonts w:ascii="Book Antiqua" w:eastAsiaTheme="minorEastAsia" w:hAnsi="Book Antiqua"/>
          <w:sz w:val="20"/>
          <w:szCs w:val="20"/>
          <w:lang w:val="en-US"/>
        </w:rPr>
        <w:t xml:space="preserve"> </w:t>
      </w:r>
      <w:r w:rsidR="007411EA" w:rsidRPr="00870653">
        <w:rPr>
          <w:rFonts w:ascii="Book Antiqua" w:eastAsiaTheme="minorEastAsia" w:hAnsi="Book Antiqua"/>
          <w:sz w:val="20"/>
          <w:szCs w:val="20"/>
          <w:lang w:val="en-US"/>
        </w:rPr>
        <w:t xml:space="preserve"> </w:t>
      </w:r>
      <w:r w:rsidR="001B1633" w:rsidRPr="00870653">
        <w:rPr>
          <w:rFonts w:ascii="Book Antiqua" w:eastAsiaTheme="minorEastAsia" w:hAnsi="Book Antiqua"/>
          <w:sz w:val="20"/>
          <w:szCs w:val="20"/>
          <w:lang w:val="en-US"/>
        </w:rPr>
        <w:t>(1)</w:t>
      </w:r>
    </w:p>
    <w:p w14:paraId="527F2B8D" w14:textId="7E43D01F" w:rsidR="001B1633" w:rsidRPr="00870653" w:rsidRDefault="00E9210F" w:rsidP="0007040B">
      <w:pPr>
        <w:spacing w:line="360" w:lineRule="auto"/>
        <w:jc w:val="both"/>
        <w:rPr>
          <w:rFonts w:ascii="Book Antiqua" w:eastAsiaTheme="minorEastAsia" w:hAnsi="Book Antiqua"/>
          <w:sz w:val="20"/>
          <w:szCs w:val="20"/>
          <w:lang w:val="en-US"/>
        </w:rPr>
      </w:pPr>
      <m:oMath>
        <m:sSub>
          <m:sSubPr>
            <m:ctrlPr>
              <w:rPr>
                <w:rFonts w:ascii="Cambria Math" w:hAnsi="Cambria Math" w:cs="Times New Roman"/>
                <w:i/>
              </w:rPr>
            </m:ctrlPr>
          </m:sSubPr>
          <m:e>
            <m:r>
              <w:rPr>
                <w:rFonts w:ascii="Cambria Math" w:hAnsi="Cambria Math" w:cs="Times New Roman"/>
              </w:rPr>
              <m:t>Unicredit</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20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2</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2</m:t>
                </m:r>
                <m:r>
                  <w:rPr>
                    <w:rFonts w:ascii="Cambria Math" w:hAnsi="Cambria Math" w:cs="Times New Roman"/>
                  </w:rPr>
                  <m:t>i</m:t>
                </m:r>
              </m:sub>
            </m:sSub>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2</m:t>
            </m:r>
            <m:r>
              <w:rPr>
                <w:rFonts w:ascii="Cambria Math" w:eastAsiaTheme="minorEastAsia" w:hAnsi="Cambria Math" w:cs="Times New Roman"/>
              </w:rPr>
              <m:t>t</m:t>
            </m:r>
          </m:sub>
        </m:sSub>
      </m:oMath>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sz w:val="20"/>
          <w:szCs w:val="20"/>
          <w:lang w:val="en-US"/>
        </w:rPr>
        <w:t xml:space="preserve">       </w:t>
      </w:r>
      <w:r w:rsidR="008F7B6A" w:rsidRPr="00870653">
        <w:rPr>
          <w:rFonts w:ascii="Book Antiqua" w:eastAsiaTheme="minorEastAsia" w:hAnsi="Book Antiqua"/>
          <w:sz w:val="20"/>
          <w:szCs w:val="20"/>
          <w:lang w:val="en-US"/>
        </w:rPr>
        <w:t xml:space="preserve"> </w:t>
      </w:r>
      <w:r w:rsidR="007411EA" w:rsidRPr="00870653">
        <w:rPr>
          <w:rFonts w:ascii="Book Antiqua" w:eastAsiaTheme="minorEastAsia" w:hAnsi="Book Antiqua"/>
          <w:sz w:val="20"/>
          <w:szCs w:val="20"/>
          <w:lang w:val="en-US"/>
        </w:rPr>
        <w:t>(2)</w:t>
      </w:r>
    </w:p>
    <w:p w14:paraId="36A78EEC" w14:textId="0A943492" w:rsidR="001B1633" w:rsidRPr="00870653" w:rsidRDefault="00E9210F" w:rsidP="0007040B">
      <w:pPr>
        <w:spacing w:line="360" w:lineRule="auto"/>
        <w:jc w:val="both"/>
        <w:rPr>
          <w:rFonts w:ascii="Book Antiqua" w:eastAsiaTheme="minorEastAsia" w:hAnsi="Book Antiqua"/>
          <w:sz w:val="20"/>
          <w:szCs w:val="20"/>
          <w:lang w:val="en-US"/>
        </w:rPr>
      </w:pPr>
      <m:oMath>
        <m:sSub>
          <m:sSubPr>
            <m:ctrlPr>
              <w:rPr>
                <w:rFonts w:ascii="Cambria Math" w:hAnsi="Cambria Math" w:cs="Times New Roman"/>
                <w:i/>
              </w:rPr>
            </m:ctrlPr>
          </m:sSubPr>
          <m:e>
            <m:r>
              <w:rPr>
                <w:rFonts w:ascii="Cambria Math" w:hAnsi="Cambria Math" w:cs="Times New Roman"/>
              </w:rPr>
              <m:t>Monte</m:t>
            </m:r>
            <m:r>
              <w:rPr>
                <w:rFonts w:ascii="Cambria Math" w:hAnsi="Cambria Math" w:cs="Times New Roman"/>
                <w:lang w:val="en-US"/>
              </w:rPr>
              <m:t xml:space="preserve"> </m:t>
            </m:r>
            <m:r>
              <w:rPr>
                <w:rFonts w:ascii="Cambria Math" w:hAnsi="Cambria Math" w:cs="Times New Roman"/>
              </w:rPr>
              <m:t>dei</m:t>
            </m:r>
            <m:r>
              <w:rPr>
                <w:rFonts w:ascii="Cambria Math" w:hAnsi="Cambria Math" w:cs="Times New Roman"/>
                <w:lang w:val="en-US"/>
              </w:rPr>
              <m:t xml:space="preserve"> </m:t>
            </m:r>
            <m:r>
              <w:rPr>
                <w:rFonts w:ascii="Cambria Math" w:hAnsi="Cambria Math" w:cs="Times New Roman"/>
              </w:rPr>
              <m:t>Pasc</m:t>
            </m:r>
            <m:r>
              <w:rPr>
                <w:rFonts w:ascii="Cambria Math" w:hAnsi="Cambria Math" w:cs="Times New Roman"/>
                <w:lang w:val="en-US"/>
              </w:rPr>
              <m:t>h</m:t>
            </m:r>
            <m:r>
              <w:rPr>
                <w:rFonts w:ascii="Cambria Math" w:hAnsi="Cambria Math" w:cs="Times New Roman"/>
              </w:rPr>
              <m:t>i</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30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3</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3</m:t>
                </m:r>
                <m:r>
                  <w:rPr>
                    <w:rFonts w:ascii="Cambria Math" w:hAnsi="Cambria Math" w:cs="Times New Roman"/>
                  </w:rPr>
                  <m:t>i</m:t>
                </m:r>
              </m:sub>
            </m:sSub>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3</m:t>
            </m:r>
            <m:r>
              <w:rPr>
                <w:rFonts w:ascii="Cambria Math" w:eastAsiaTheme="minorEastAsia" w:hAnsi="Cambria Math" w:cs="Times New Roman"/>
              </w:rPr>
              <m:t>t</m:t>
            </m:r>
          </m:sub>
        </m:sSub>
      </m:oMath>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lang w:val="en-US"/>
        </w:rPr>
        <w:tab/>
      </w:r>
      <w:r w:rsidR="007411EA" w:rsidRPr="00870653">
        <w:rPr>
          <w:rFonts w:ascii="Book Antiqua" w:eastAsiaTheme="minorEastAsia" w:hAnsi="Book Antiqua"/>
          <w:sz w:val="20"/>
          <w:szCs w:val="20"/>
          <w:lang w:val="en-US"/>
        </w:rPr>
        <w:t xml:space="preserve">       </w:t>
      </w:r>
      <w:r w:rsidR="008F7B6A" w:rsidRPr="00870653">
        <w:rPr>
          <w:rFonts w:ascii="Book Antiqua" w:eastAsiaTheme="minorEastAsia" w:hAnsi="Book Antiqua"/>
          <w:sz w:val="20"/>
          <w:szCs w:val="20"/>
          <w:lang w:val="en-US"/>
        </w:rPr>
        <w:t xml:space="preserve"> </w:t>
      </w:r>
      <w:r w:rsidR="007411EA" w:rsidRPr="00870653">
        <w:rPr>
          <w:rFonts w:ascii="Book Antiqua" w:eastAsiaTheme="minorEastAsia" w:hAnsi="Book Antiqua"/>
          <w:sz w:val="20"/>
          <w:szCs w:val="20"/>
          <w:lang w:val="en-US"/>
        </w:rPr>
        <w:t>(3)</w:t>
      </w:r>
    </w:p>
    <w:p w14:paraId="1B6C9DAA" w14:textId="111B8BAD" w:rsidR="001B1633" w:rsidRPr="00870653" w:rsidRDefault="00E9210F" w:rsidP="0007040B">
      <w:pPr>
        <w:spacing w:line="360" w:lineRule="auto"/>
        <w:jc w:val="both"/>
        <w:rPr>
          <w:rFonts w:ascii="Book Antiqua" w:eastAsiaTheme="minorEastAsia" w:hAnsi="Book Antiqua"/>
          <w:sz w:val="20"/>
          <w:szCs w:val="20"/>
          <w:lang w:val="en-US"/>
        </w:rPr>
      </w:pPr>
      <m:oMath>
        <m:sSub>
          <m:sSubPr>
            <m:ctrlPr>
              <w:rPr>
                <w:rFonts w:ascii="Cambria Math" w:hAnsi="Cambria Math" w:cs="Times New Roman"/>
                <w:b/>
                <w:i/>
              </w:rPr>
            </m:ctrlPr>
          </m:sSubPr>
          <m:e>
            <m:r>
              <m:rPr>
                <m:sty m:val="bi"/>
              </m:rPr>
              <w:rPr>
                <w:rFonts w:ascii="Cambria Math" w:hAnsi="Cambria Math" w:cs="Times New Roman"/>
              </w:rPr>
              <m:t>IBP</m:t>
            </m:r>
          </m:e>
          <m:sub>
            <m:r>
              <m:rPr>
                <m:sty m:val="bi"/>
              </m:rPr>
              <w:rPr>
                <w:rFonts w:ascii="Cambria Math" w:hAnsi="Cambria Math" w:cs="Times New Roman"/>
              </w:rPr>
              <m:t>t</m:t>
            </m:r>
          </m:sub>
        </m:sSub>
        <m:r>
          <m:rPr>
            <m:sty m:val="bi"/>
          </m:rPr>
          <w:rPr>
            <w:rFonts w:ascii="Cambria Math" w:hAnsi="Cambria Math" w:cs="Times New Roman"/>
            <w:lang w:val="en-US"/>
          </w:rPr>
          <m:t>=</m:t>
        </m:r>
        <m:sSub>
          <m:sSubPr>
            <m:ctrlPr>
              <w:rPr>
                <w:rFonts w:ascii="Cambria Math" w:hAnsi="Cambria Math" w:cs="Times New Roman"/>
                <w:b/>
                <w:i/>
              </w:rPr>
            </m:ctrlPr>
          </m:sSubPr>
          <m:e>
            <m:r>
              <m:rPr>
                <m:sty m:val="bi"/>
              </m:rPr>
              <w:rPr>
                <w:rFonts w:ascii="Cambria Math" w:hAnsi="Cambria Math" w:cs="Times New Roman"/>
              </w:rPr>
              <m:t>β</m:t>
            </m:r>
          </m:e>
          <m:sub>
            <m:r>
              <m:rPr>
                <m:sty m:val="bi"/>
              </m:rPr>
              <w:rPr>
                <w:rFonts w:ascii="Cambria Math" w:hAnsi="Cambria Math" w:cs="Times New Roman"/>
              </w:rPr>
              <m:t>40</m:t>
            </m:r>
          </m:sub>
        </m:sSub>
        <m:r>
          <m:rPr>
            <m:sty m:val="bi"/>
          </m:rPr>
          <w:rPr>
            <w:rFonts w:ascii="Cambria Math" w:hAnsi="Cambria Math" w:cs="Times New Roman"/>
            <w:lang w:val="en-US"/>
          </w:rPr>
          <m:t xml:space="preserve">+ </m:t>
        </m:r>
        <m:sSub>
          <m:sSubPr>
            <m:ctrlPr>
              <w:rPr>
                <w:rFonts w:ascii="Cambria Math" w:hAnsi="Cambria Math" w:cs="Times New Roman"/>
                <w:b/>
                <w:i/>
              </w:rPr>
            </m:ctrlPr>
          </m:sSubPr>
          <m:e>
            <m:r>
              <m:rPr>
                <m:sty m:val="bi"/>
              </m:rPr>
              <w:rPr>
                <w:rFonts w:ascii="Cambria Math" w:hAnsi="Cambria Math" w:cs="Times New Roman"/>
              </w:rPr>
              <m:t>β</m:t>
            </m:r>
          </m:e>
          <m:sub>
            <m:r>
              <m:rPr>
                <m:sty m:val="bi"/>
              </m:rPr>
              <w:rPr>
                <w:rFonts w:ascii="Cambria Math" w:hAnsi="Cambria Math" w:cs="Times New Roman"/>
              </w:rPr>
              <m:t>4</m:t>
            </m:r>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r>
              <m:rPr>
                <m:sty m:val="bi"/>
              </m:rPr>
              <w:rPr>
                <w:rFonts w:ascii="Cambria Math" w:hAnsi="Cambria Math" w:cs="Times New Roman"/>
              </w:rPr>
              <m:t>t</m:t>
            </m:r>
          </m:sub>
        </m:sSub>
        <m:r>
          <m:rPr>
            <m:sty m:val="bi"/>
          </m:rPr>
          <w:rPr>
            <w:rFonts w:ascii="Cambria Math" w:hAnsi="Cambria Math" w:cs="Times New Roman"/>
            <w:lang w:val="en-US"/>
          </w:rPr>
          <m:t xml:space="preserve">+ </m:t>
        </m:r>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α</m:t>
                </m:r>
              </m:e>
              <m:sub>
                <m:r>
                  <m:rPr>
                    <m:sty m:val="bi"/>
                  </m:rPr>
                  <w:rPr>
                    <w:rFonts w:ascii="Cambria Math" w:hAnsi="Cambria Math" w:cs="Times New Roman"/>
                  </w:rPr>
                  <m:t>4</m:t>
                </m:r>
                <m:r>
                  <m:rPr>
                    <m:sty m:val="bi"/>
                  </m:rPr>
                  <w:rPr>
                    <w:rFonts w:ascii="Cambria Math" w:hAnsi="Cambria Math" w:cs="Times New Roman"/>
                  </w:rPr>
                  <m:t>i</m:t>
                </m:r>
              </m:sub>
            </m:sSub>
            <m:r>
              <m:rPr>
                <m:sty m:val="bi"/>
              </m:rPr>
              <w:rPr>
                <w:rFonts w:ascii="Cambria Math" w:hAnsi="Cambria Math" w:cs="Times New Roman"/>
              </w:rPr>
              <m:t>X</m:t>
            </m:r>
          </m:e>
          <m:sub>
            <m:r>
              <m:rPr>
                <m:sty m:val="bi"/>
              </m:rPr>
              <w:rPr>
                <w:rFonts w:ascii="Cambria Math" w:hAnsi="Cambria Math" w:cs="Times New Roman"/>
              </w:rPr>
              <m:t>2</m:t>
            </m:r>
            <m:r>
              <m:rPr>
                <m:sty m:val="bi"/>
              </m:rPr>
              <w:rPr>
                <w:rFonts w:ascii="Cambria Math" w:hAnsi="Cambria Math" w:cs="Times New Roman"/>
              </w:rPr>
              <m:t>t</m:t>
            </m:r>
          </m:sub>
        </m:sSub>
        <m:r>
          <m:rPr>
            <m:sty m:val="b"/>
          </m:rPr>
          <w:rPr>
            <w:rFonts w:ascii="Cambria Math" w:eastAsiaTheme="minorEastAsia" w:hAnsi="Cambria Math" w:cs="Times New Roman"/>
            <w:lang w:val="en-US"/>
          </w:rPr>
          <m:t>+</m:t>
        </m:r>
        <m:sSub>
          <m:sSubPr>
            <m:ctrlPr>
              <w:rPr>
                <w:rFonts w:ascii="Cambria Math" w:eastAsiaTheme="minorEastAsia" w:hAnsi="Cambria Math" w:cs="Times New Roman"/>
                <w:b/>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4</m:t>
            </m:r>
            <m:r>
              <m:rPr>
                <m:sty m:val="bi"/>
              </m:rPr>
              <w:rPr>
                <w:rFonts w:ascii="Cambria Math" w:eastAsiaTheme="minorEastAsia" w:hAnsi="Cambria Math" w:cs="Times New Roman"/>
              </w:rPr>
              <m:t>t</m:t>
            </m:r>
          </m:sub>
        </m:sSub>
      </m:oMath>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lang w:val="en-US"/>
        </w:rPr>
        <w:tab/>
      </w:r>
      <w:r w:rsidR="00015718" w:rsidRPr="00870653">
        <w:rPr>
          <w:rFonts w:ascii="Book Antiqua" w:eastAsiaTheme="minorEastAsia" w:hAnsi="Book Antiqua"/>
          <w:sz w:val="20"/>
          <w:szCs w:val="20"/>
          <w:lang w:val="en-US"/>
        </w:rPr>
        <w:t xml:space="preserve">        </w:t>
      </w:r>
      <w:r w:rsidR="007411EA" w:rsidRPr="00870653">
        <w:rPr>
          <w:rFonts w:ascii="Book Antiqua" w:eastAsiaTheme="minorEastAsia" w:hAnsi="Book Antiqua"/>
          <w:sz w:val="20"/>
          <w:szCs w:val="20"/>
          <w:lang w:val="en-US"/>
        </w:rPr>
        <w:t>(4)</w:t>
      </w:r>
    </w:p>
    <w:p w14:paraId="3AD816B3" w14:textId="1EC9CA84" w:rsidR="007411EA" w:rsidRPr="00997805" w:rsidRDefault="00D72210" w:rsidP="0007040B">
      <w:pPr>
        <w:spacing w:line="360" w:lineRule="auto"/>
        <w:jc w:val="both"/>
        <w:rPr>
          <w:rFonts w:ascii="Book Antiqua" w:eastAsiaTheme="minorEastAsia" w:hAnsi="Book Antiqua"/>
          <w:sz w:val="20"/>
          <w:szCs w:val="20"/>
        </w:rPr>
      </w:pPr>
      <w:r w:rsidRPr="00997805">
        <w:rPr>
          <w:rFonts w:ascii="Book Antiqua" w:eastAsiaTheme="minorEastAsia" w:hAnsi="Book Antiqua"/>
          <w:sz w:val="20"/>
          <w:szCs w:val="20"/>
        </w:rPr>
        <w:t>where</w:t>
      </w:r>
      <w:r w:rsidR="007411EA" w:rsidRPr="00997805">
        <w:rPr>
          <w:rFonts w:ascii="Book Antiqua" w:eastAsiaTheme="minorEastAsia" w:hAnsi="Book Antiqua"/>
          <w:sz w:val="20"/>
          <w:szCs w:val="20"/>
        </w:rPr>
        <w:t>:</w:t>
      </w:r>
    </w:p>
    <w:p w14:paraId="6199E95C" w14:textId="730DCD9A" w:rsidR="007411EA" w:rsidRPr="00870653" w:rsidRDefault="007411EA" w:rsidP="007411EA">
      <w:pPr>
        <w:numPr>
          <w:ilvl w:val="0"/>
          <w:numId w:val="5"/>
        </w:numPr>
        <w:spacing w:line="360" w:lineRule="auto"/>
        <w:jc w:val="both"/>
        <w:rPr>
          <w:rFonts w:ascii="Book Antiqua" w:hAnsi="Book Antiqua"/>
          <w:sz w:val="20"/>
          <w:szCs w:val="20"/>
          <w:lang w:val="en-US"/>
        </w:rPr>
      </w:pPr>
      <m:oMath>
        <m:r>
          <w:rPr>
            <w:rFonts w:ascii="Cambria Math" w:hAnsi="Cambria Math"/>
            <w:sz w:val="20"/>
            <w:szCs w:val="20"/>
          </w:rPr>
          <m:t>t</m:t>
        </m:r>
        <m:r>
          <w:rPr>
            <w:rFonts w:ascii="Cambria Math" w:hAnsi="Cambria Math"/>
            <w:sz w:val="20"/>
            <w:szCs w:val="20"/>
            <w:lang w:val="en-US"/>
          </w:rPr>
          <m:t>=1,2,3,…,</m:t>
        </m:r>
        <m:d>
          <m:dPr>
            <m:ctrlPr>
              <w:rPr>
                <w:rFonts w:ascii="Cambria Math" w:hAnsi="Cambria Math"/>
                <w:i/>
                <w:sz w:val="20"/>
                <w:szCs w:val="20"/>
              </w:rPr>
            </m:ctrlPr>
          </m:dPr>
          <m:e>
            <m:r>
              <w:rPr>
                <w:rFonts w:ascii="Cambria Math" w:hAnsi="Cambria Math"/>
                <w:sz w:val="20"/>
                <w:szCs w:val="20"/>
              </w:rPr>
              <m:t>T</m:t>
            </m:r>
            <m:r>
              <w:rPr>
                <w:rFonts w:ascii="Cambria Math" w:hAnsi="Cambria Math"/>
                <w:sz w:val="20"/>
                <w:szCs w:val="20"/>
                <w:lang w:val="en-US"/>
              </w:rPr>
              <m:t>-1</m:t>
            </m:r>
          </m:e>
        </m:d>
        <m:r>
          <w:rPr>
            <w:rFonts w:ascii="Cambria Math" w:hAnsi="Cambria Math"/>
            <w:sz w:val="20"/>
            <w:szCs w:val="20"/>
            <w:lang w:val="en-US"/>
          </w:rPr>
          <m:t>,</m:t>
        </m:r>
        <m:r>
          <w:rPr>
            <w:rFonts w:ascii="Cambria Math" w:hAnsi="Cambria Math"/>
            <w:sz w:val="20"/>
            <w:szCs w:val="20"/>
          </w:rPr>
          <m:t>T</m:t>
        </m:r>
      </m:oMath>
      <w:r w:rsidR="00FF4D44" w:rsidRPr="00870653">
        <w:rPr>
          <w:rFonts w:ascii="Book Antiqua" w:hAnsi="Book Antiqua"/>
          <w:sz w:val="20"/>
          <w:szCs w:val="20"/>
          <w:lang w:val="en-US"/>
        </w:rPr>
        <w:t xml:space="preserve"> is the time horizon;</w:t>
      </w:r>
    </w:p>
    <w:p w14:paraId="689A65C8" w14:textId="4F5706D3" w:rsidR="007411EA" w:rsidRPr="00870653" w:rsidRDefault="007411EA" w:rsidP="007411EA">
      <w:pPr>
        <w:numPr>
          <w:ilvl w:val="0"/>
          <w:numId w:val="5"/>
        </w:numPr>
        <w:spacing w:line="360" w:lineRule="auto"/>
        <w:jc w:val="both"/>
        <w:rPr>
          <w:rFonts w:ascii="Book Antiqua" w:hAnsi="Book Antiqua"/>
          <w:sz w:val="20"/>
          <w:szCs w:val="20"/>
          <w:lang w:val="en-US"/>
        </w:rPr>
      </w:pPr>
      <m:oMath>
        <m:r>
          <w:rPr>
            <w:rFonts w:ascii="Cambria Math" w:hAnsi="Cambria Math"/>
            <w:sz w:val="20"/>
            <w:szCs w:val="20"/>
          </w:rPr>
          <m:t>i</m:t>
        </m:r>
        <m:r>
          <w:rPr>
            <w:rFonts w:ascii="Cambria Math" w:hAnsi="Cambria Math"/>
            <w:sz w:val="20"/>
            <w:szCs w:val="20"/>
            <w:lang w:val="en-US"/>
          </w:rPr>
          <m:t xml:space="preserve">=1,2,3,…, </m:t>
        </m:r>
        <m:r>
          <w:rPr>
            <w:rFonts w:ascii="Cambria Math" w:hAnsi="Cambria Math"/>
            <w:sz w:val="20"/>
            <w:szCs w:val="20"/>
          </w:rPr>
          <m:t>n</m:t>
        </m:r>
      </m:oMath>
      <w:r w:rsidR="00FF4D44" w:rsidRPr="00870653">
        <w:rPr>
          <w:rFonts w:ascii="Book Antiqua" w:hAnsi="Book Antiqua"/>
          <w:sz w:val="20"/>
          <w:szCs w:val="20"/>
          <w:lang w:val="en-US"/>
        </w:rPr>
        <w:t xml:space="preserve"> is the observations’ number</w:t>
      </w:r>
      <w:r w:rsidR="00E61469" w:rsidRPr="00870653">
        <w:rPr>
          <w:rFonts w:ascii="Book Antiqua" w:hAnsi="Book Antiqua"/>
          <w:sz w:val="20"/>
          <w:szCs w:val="20"/>
          <w:lang w:val="en-US"/>
        </w:rPr>
        <w:t>;</w:t>
      </w:r>
    </w:p>
    <w:p w14:paraId="063F9110" w14:textId="61A44F93"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Intesa</m:t>
            </m:r>
          </m:e>
          <m:sub>
            <m:r>
              <w:rPr>
                <w:rFonts w:ascii="Cambria Math" w:hAnsi="Cambria Math"/>
                <w:sz w:val="20"/>
                <w:szCs w:val="20"/>
              </w:rPr>
              <m:t>t</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Unicredit</m:t>
            </m:r>
          </m:e>
          <m:sub>
            <m:r>
              <w:rPr>
                <w:rFonts w:ascii="Cambria Math" w:hAnsi="Cambria Math"/>
                <w:sz w:val="20"/>
                <w:szCs w:val="20"/>
              </w:rPr>
              <m:t>t</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Monte</m:t>
            </m:r>
            <m:r>
              <w:rPr>
                <w:rFonts w:ascii="Cambria Math" w:hAnsi="Cambria Math"/>
                <w:sz w:val="20"/>
                <w:szCs w:val="20"/>
                <w:lang w:val="en-US"/>
              </w:rPr>
              <m:t xml:space="preserve"> </m:t>
            </m:r>
            <m:r>
              <w:rPr>
                <w:rFonts w:ascii="Cambria Math" w:hAnsi="Cambria Math"/>
                <w:sz w:val="20"/>
                <w:szCs w:val="20"/>
              </w:rPr>
              <m:t>Dei</m:t>
            </m:r>
            <m:r>
              <w:rPr>
                <w:rFonts w:ascii="Cambria Math" w:hAnsi="Cambria Math"/>
                <w:sz w:val="20"/>
                <w:szCs w:val="20"/>
                <w:lang w:val="en-US"/>
              </w:rPr>
              <m:t xml:space="preserve"> </m:t>
            </m:r>
            <m:r>
              <w:rPr>
                <w:rFonts w:ascii="Cambria Math" w:hAnsi="Cambria Math"/>
                <w:sz w:val="20"/>
                <w:szCs w:val="20"/>
              </w:rPr>
              <m:t>Pasc</m:t>
            </m:r>
            <m:r>
              <w:rPr>
                <w:rFonts w:ascii="Cambria Math" w:hAnsi="Cambria Math"/>
                <w:sz w:val="20"/>
                <w:szCs w:val="20"/>
                <w:lang w:val="en-US"/>
              </w:rPr>
              <m:t>h</m:t>
            </m:r>
            <m:r>
              <w:rPr>
                <w:rFonts w:ascii="Cambria Math" w:hAnsi="Cambria Math"/>
                <w:sz w:val="20"/>
                <w:szCs w:val="20"/>
              </w:rPr>
              <m:t>i</m:t>
            </m:r>
          </m:e>
          <m:sub>
            <m:r>
              <w:rPr>
                <w:rFonts w:ascii="Cambria Math" w:hAnsi="Cambria Math"/>
                <w:sz w:val="20"/>
                <w:szCs w:val="20"/>
              </w:rPr>
              <m:t>t</m:t>
            </m:r>
          </m:sub>
        </m:sSub>
      </m:oMath>
      <w:r w:rsidR="007411EA" w:rsidRPr="00870653">
        <w:rPr>
          <w:rFonts w:ascii="Book Antiqua" w:hAnsi="Book Antiqua"/>
          <w:sz w:val="20"/>
          <w:szCs w:val="20"/>
          <w:lang w:val="en-US"/>
        </w:rPr>
        <w:t xml:space="preserve"> </w:t>
      </w:r>
      <w:r w:rsidR="005F0096"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IBP</m:t>
            </m:r>
          </m:e>
          <m:sub>
            <m:r>
              <w:rPr>
                <w:rFonts w:ascii="Cambria Math" w:hAnsi="Cambria Math"/>
                <w:sz w:val="20"/>
                <w:szCs w:val="20"/>
              </w:rPr>
              <m:t>t</m:t>
            </m:r>
          </m:sub>
        </m:sSub>
        <m:r>
          <w:rPr>
            <w:rFonts w:ascii="Cambria Math" w:hAnsi="Cambria Math"/>
            <w:sz w:val="20"/>
            <w:szCs w:val="20"/>
            <w:lang w:val="en-US"/>
          </w:rPr>
          <m:t xml:space="preserve"> </m:t>
        </m:r>
      </m:oMath>
      <w:r w:rsidR="00FF4D44" w:rsidRPr="00870653">
        <w:rPr>
          <w:rFonts w:ascii="Book Antiqua" w:hAnsi="Book Antiqua"/>
          <w:sz w:val="20"/>
          <w:szCs w:val="20"/>
          <w:lang w:val="en-US"/>
        </w:rPr>
        <w:t>are</w:t>
      </w:r>
      <w:r w:rsidR="007411EA" w:rsidRPr="00870653">
        <w:rPr>
          <w:rFonts w:ascii="Book Antiqua" w:hAnsi="Book Antiqua"/>
          <w:sz w:val="20"/>
          <w:szCs w:val="20"/>
          <w:lang w:val="en-US"/>
        </w:rPr>
        <w:t xml:space="preserve">, </w:t>
      </w:r>
      <w:r w:rsidR="00FF4D44" w:rsidRPr="00870653">
        <w:rPr>
          <w:rFonts w:ascii="Book Antiqua" w:hAnsi="Book Antiqua"/>
          <w:sz w:val="20"/>
          <w:szCs w:val="20"/>
          <w:lang w:val="en-US"/>
        </w:rPr>
        <w:t>respectively</w:t>
      </w:r>
      <w:r w:rsidR="007411EA" w:rsidRPr="00870653">
        <w:rPr>
          <w:rFonts w:ascii="Book Antiqua" w:hAnsi="Book Antiqua"/>
          <w:sz w:val="20"/>
          <w:szCs w:val="20"/>
          <w:lang w:val="en-US"/>
        </w:rPr>
        <w:t xml:space="preserve">, </w:t>
      </w:r>
      <w:r w:rsidR="007411EA" w:rsidRPr="00870653">
        <w:rPr>
          <w:rFonts w:ascii="Book Antiqua" w:hAnsi="Book Antiqua"/>
          <w:i/>
          <w:iCs/>
          <w:sz w:val="20"/>
          <w:szCs w:val="20"/>
          <w:lang w:val="en-US"/>
        </w:rPr>
        <w:t xml:space="preserve">Intesa San Paolo CDS SR 5y D14 </w:t>
      </w:r>
      <w:r w:rsidR="00FF4D44" w:rsidRPr="00870653">
        <w:rPr>
          <w:rFonts w:ascii="Book Antiqua" w:hAnsi="Book Antiqua"/>
          <w:sz w:val="20"/>
          <w:szCs w:val="20"/>
          <w:lang w:val="en-US"/>
        </w:rPr>
        <w:t>at time</w:t>
      </w:r>
      <w:r w:rsidR="00FF4D44" w:rsidRPr="00870653">
        <w:rPr>
          <w:rFonts w:ascii="Book Antiqua" w:hAnsi="Book Antiqua"/>
          <w:i/>
          <w:iCs/>
          <w:sz w:val="20"/>
          <w:szCs w:val="20"/>
          <w:lang w:val="en-US"/>
        </w:rPr>
        <w:t xml:space="preserve"> </w:t>
      </w:r>
      <m:oMath>
        <m:r>
          <w:rPr>
            <w:rFonts w:ascii="Cambria Math" w:hAnsi="Cambria Math"/>
            <w:sz w:val="20"/>
            <w:szCs w:val="20"/>
          </w:rPr>
          <m:t>t</m:t>
        </m:r>
      </m:oMath>
      <w:r w:rsidR="007411EA" w:rsidRPr="00870653">
        <w:rPr>
          <w:rFonts w:ascii="Book Antiqua" w:hAnsi="Book Antiqua"/>
          <w:i/>
          <w:iCs/>
          <w:sz w:val="20"/>
          <w:szCs w:val="20"/>
          <w:lang w:val="en-US"/>
        </w:rPr>
        <w:t xml:space="preserve">, Unicredit CDS SR 5y D14 </w:t>
      </w:r>
      <w:r w:rsidR="00FF4D44" w:rsidRPr="00870653">
        <w:rPr>
          <w:rFonts w:ascii="Book Antiqua" w:hAnsi="Book Antiqua"/>
          <w:sz w:val="20"/>
          <w:szCs w:val="20"/>
          <w:lang w:val="en-US"/>
        </w:rPr>
        <w:t xml:space="preserve">at time </w:t>
      </w:r>
      <m:oMath>
        <m:r>
          <w:rPr>
            <w:rFonts w:ascii="Cambria Math" w:hAnsi="Cambria Math"/>
            <w:sz w:val="20"/>
            <w:szCs w:val="20"/>
          </w:rPr>
          <m:t>t</m:t>
        </m:r>
      </m:oMath>
      <w:r w:rsidR="007411EA" w:rsidRPr="00870653">
        <w:rPr>
          <w:rFonts w:ascii="Book Antiqua" w:hAnsi="Book Antiqua"/>
          <w:i/>
          <w:iCs/>
          <w:sz w:val="20"/>
          <w:szCs w:val="20"/>
          <w:lang w:val="en-US"/>
        </w:rPr>
        <w:t xml:space="preserve">, Monte dei Paschi CDS SR 5y D14 </w:t>
      </w:r>
      <w:r w:rsidR="00FF4D44" w:rsidRPr="00870653">
        <w:rPr>
          <w:rFonts w:ascii="Book Antiqua" w:hAnsi="Book Antiqua"/>
          <w:sz w:val="20"/>
          <w:szCs w:val="20"/>
          <w:lang w:val="en-US"/>
        </w:rPr>
        <w:t>at time</w:t>
      </w:r>
      <w:r w:rsidR="00FF4D44" w:rsidRPr="00870653">
        <w:rPr>
          <w:rFonts w:ascii="Book Antiqua" w:hAnsi="Book Antiqua"/>
          <w:i/>
          <w:iCs/>
          <w:sz w:val="20"/>
          <w:szCs w:val="20"/>
          <w:lang w:val="en-US"/>
        </w:rPr>
        <w:t xml:space="preserve"> </w:t>
      </w:r>
      <m:oMath>
        <m:r>
          <w:rPr>
            <w:rFonts w:ascii="Cambria Math" w:hAnsi="Cambria Math"/>
            <w:sz w:val="20"/>
            <w:szCs w:val="20"/>
          </w:rPr>
          <m:t>t</m:t>
        </m:r>
      </m:oMath>
      <w:r w:rsidR="007411EA" w:rsidRPr="00870653">
        <w:rPr>
          <w:rFonts w:ascii="Book Antiqua" w:hAnsi="Book Antiqua"/>
          <w:i/>
          <w:iCs/>
          <w:sz w:val="20"/>
          <w:szCs w:val="20"/>
          <w:lang w:val="en-US"/>
        </w:rPr>
        <w:t xml:space="preserve"> </w:t>
      </w:r>
      <w:r w:rsidR="00FF4D44"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w:r w:rsidR="00E64AF1" w:rsidRPr="00870653">
        <w:rPr>
          <w:rFonts w:ascii="Book Antiqua" w:hAnsi="Book Antiqua"/>
          <w:i/>
          <w:iCs/>
          <w:sz w:val="20"/>
          <w:szCs w:val="20"/>
          <w:lang w:val="en-US"/>
        </w:rPr>
        <w:t>Italian</w:t>
      </w:r>
      <w:r w:rsidR="007411EA" w:rsidRPr="00870653">
        <w:rPr>
          <w:rFonts w:ascii="Book Antiqua" w:hAnsi="Book Antiqua"/>
          <w:i/>
          <w:iCs/>
          <w:sz w:val="20"/>
          <w:szCs w:val="20"/>
          <w:lang w:val="en-US"/>
        </w:rPr>
        <w:t xml:space="preserve"> banks proxy CDS SR 5y D14 </w:t>
      </w:r>
      <w:r w:rsidR="00FF4D44" w:rsidRPr="00870653">
        <w:rPr>
          <w:rFonts w:ascii="Book Antiqua" w:hAnsi="Book Antiqua"/>
          <w:sz w:val="20"/>
          <w:szCs w:val="20"/>
          <w:lang w:val="en-US"/>
        </w:rPr>
        <w:t>at time</w:t>
      </w:r>
      <w:r w:rsidR="00FF4D44" w:rsidRPr="00870653">
        <w:rPr>
          <w:rFonts w:ascii="Book Antiqua" w:hAnsi="Book Antiqua"/>
          <w:i/>
          <w:iCs/>
          <w:sz w:val="20"/>
          <w:szCs w:val="20"/>
          <w:lang w:val="en-US"/>
        </w:rPr>
        <w:t xml:space="preserve"> </w:t>
      </w:r>
      <m:oMath>
        <m:r>
          <w:rPr>
            <w:rFonts w:ascii="Cambria Math" w:hAnsi="Cambria Math"/>
            <w:sz w:val="20"/>
            <w:szCs w:val="20"/>
          </w:rPr>
          <m:t>t</m:t>
        </m:r>
      </m:oMath>
      <w:r w:rsidR="007411EA" w:rsidRPr="00870653">
        <w:rPr>
          <w:rFonts w:ascii="Book Antiqua" w:hAnsi="Book Antiqua"/>
          <w:sz w:val="20"/>
          <w:szCs w:val="20"/>
          <w:lang w:val="en-US"/>
        </w:rPr>
        <w:t>;</w:t>
      </w:r>
    </w:p>
    <w:p w14:paraId="4FACB966" w14:textId="696C7D1C"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10</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20</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30</m:t>
            </m:r>
          </m:sub>
        </m:sSub>
      </m:oMath>
      <w:r w:rsidR="007411EA" w:rsidRPr="00870653">
        <w:rPr>
          <w:rFonts w:ascii="Book Antiqua" w:hAnsi="Book Antiqua"/>
          <w:sz w:val="20"/>
          <w:szCs w:val="20"/>
          <w:lang w:val="en-US"/>
        </w:rPr>
        <w:t xml:space="preserve"> </w:t>
      </w:r>
      <w:r w:rsidR="004565D3"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40</m:t>
            </m:r>
          </m:sub>
        </m:sSub>
      </m:oMath>
      <w:r w:rsidR="00FF4D44" w:rsidRPr="00870653">
        <w:rPr>
          <w:rFonts w:ascii="Book Antiqua" w:hAnsi="Book Antiqua"/>
          <w:sz w:val="20"/>
          <w:szCs w:val="20"/>
          <w:lang w:val="en-US"/>
        </w:rPr>
        <w:t xml:space="preserve"> are, respectively</w:t>
      </w:r>
      <w:r w:rsidR="007411EA" w:rsidRPr="00870653">
        <w:rPr>
          <w:rFonts w:ascii="Book Antiqua" w:hAnsi="Book Antiqua"/>
          <w:sz w:val="20"/>
          <w:szCs w:val="20"/>
          <w:lang w:val="en-US"/>
        </w:rPr>
        <w:t xml:space="preserve">, </w:t>
      </w:r>
      <w:r w:rsidR="00F97AF3" w:rsidRPr="00870653">
        <w:rPr>
          <w:rFonts w:ascii="Book Antiqua" w:hAnsi="Book Antiqua"/>
          <w:sz w:val="20"/>
          <w:szCs w:val="20"/>
          <w:lang w:val="en-US"/>
        </w:rPr>
        <w:t xml:space="preserve">the </w:t>
      </w:r>
      <w:r w:rsidR="00F97AF3" w:rsidRPr="00870653">
        <w:rPr>
          <w:rFonts w:ascii="Book Antiqua" w:hAnsi="Book Antiqua"/>
          <w:i/>
          <w:iCs/>
          <w:sz w:val="20"/>
          <w:szCs w:val="20"/>
          <w:lang w:val="en-US"/>
        </w:rPr>
        <w:t xml:space="preserve">constant terms </w:t>
      </w:r>
      <w:r w:rsidR="00F97AF3" w:rsidRPr="00870653">
        <w:rPr>
          <w:rFonts w:ascii="Book Antiqua" w:hAnsi="Book Antiqua"/>
          <w:sz w:val="20"/>
          <w:szCs w:val="20"/>
          <w:lang w:val="en-US"/>
        </w:rPr>
        <w:t>of the equation</w:t>
      </w:r>
      <w:r w:rsidR="007411EA" w:rsidRPr="00870653">
        <w:rPr>
          <w:rFonts w:ascii="Book Antiqua" w:hAnsi="Book Antiqua"/>
          <w:sz w:val="20"/>
          <w:szCs w:val="20"/>
          <w:lang w:val="en-US"/>
        </w:rPr>
        <w:t xml:space="preserve"> (1), (2), (3) </w:t>
      </w:r>
      <w:r w:rsidR="00F97AF3" w:rsidRPr="00870653">
        <w:rPr>
          <w:rFonts w:ascii="Book Antiqua" w:hAnsi="Book Antiqua"/>
          <w:sz w:val="20"/>
          <w:szCs w:val="20"/>
          <w:lang w:val="en-US"/>
        </w:rPr>
        <w:t>and</w:t>
      </w:r>
      <w:r w:rsidR="007411EA" w:rsidRPr="00870653">
        <w:rPr>
          <w:rFonts w:ascii="Book Antiqua" w:hAnsi="Book Antiqua"/>
          <w:sz w:val="20"/>
          <w:szCs w:val="20"/>
          <w:lang w:val="en-US"/>
        </w:rPr>
        <w:t xml:space="preserve"> (4);</w:t>
      </w:r>
    </w:p>
    <w:p w14:paraId="30516CCD" w14:textId="16117A44"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1</m:t>
            </m:r>
            <m:r>
              <w:rPr>
                <w:rFonts w:ascii="Cambria Math" w:hAnsi="Cambria Math"/>
                <w:sz w:val="20"/>
                <w:szCs w:val="20"/>
              </w:rPr>
              <m:t>i</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2</m:t>
            </m:r>
            <m:r>
              <w:rPr>
                <w:rFonts w:ascii="Cambria Math" w:hAnsi="Cambria Math"/>
                <w:sz w:val="20"/>
                <w:szCs w:val="20"/>
              </w:rPr>
              <m:t>i</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3</m:t>
            </m:r>
            <m:r>
              <w:rPr>
                <w:rFonts w:ascii="Cambria Math" w:hAnsi="Cambria Math"/>
                <w:sz w:val="20"/>
                <w:szCs w:val="20"/>
              </w:rPr>
              <m:t>i</m:t>
            </m:r>
          </m:sub>
        </m:sSub>
      </m:oMath>
      <w:r w:rsidR="007411EA" w:rsidRPr="00870653">
        <w:rPr>
          <w:rFonts w:ascii="Book Antiqua" w:hAnsi="Book Antiqua"/>
          <w:sz w:val="20"/>
          <w:szCs w:val="20"/>
          <w:lang w:val="en-US"/>
        </w:rPr>
        <w:t xml:space="preserve"> </w:t>
      </w:r>
      <w:r w:rsidR="004565D3"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lang w:val="en-US"/>
              </w:rPr>
              <m:t>4</m:t>
            </m:r>
            <m:r>
              <w:rPr>
                <w:rFonts w:ascii="Cambria Math" w:hAnsi="Cambria Math"/>
                <w:sz w:val="20"/>
                <w:szCs w:val="20"/>
              </w:rPr>
              <m:t>i</m:t>
            </m:r>
          </m:sub>
        </m:sSub>
      </m:oMath>
      <w:r w:rsidR="007411EA" w:rsidRPr="00870653">
        <w:rPr>
          <w:rFonts w:ascii="Book Antiqua" w:hAnsi="Book Antiqua"/>
          <w:sz w:val="20"/>
          <w:szCs w:val="20"/>
          <w:lang w:val="en-US"/>
        </w:rPr>
        <w:t xml:space="preserve"> </w:t>
      </w:r>
      <w:r w:rsidR="00F97AF3" w:rsidRPr="00870653">
        <w:rPr>
          <w:rFonts w:ascii="Book Antiqua" w:hAnsi="Book Antiqua"/>
          <w:sz w:val="20"/>
          <w:szCs w:val="20"/>
          <w:lang w:val="en-US"/>
        </w:rPr>
        <w:t>are</w:t>
      </w:r>
      <w:r w:rsidR="007411EA" w:rsidRPr="00870653">
        <w:rPr>
          <w:rFonts w:ascii="Book Antiqua" w:hAnsi="Book Antiqua"/>
          <w:sz w:val="20"/>
          <w:szCs w:val="20"/>
          <w:lang w:val="en-US"/>
        </w:rPr>
        <w:t>,</w:t>
      </w:r>
      <w:r w:rsidR="00F97AF3" w:rsidRPr="00870653">
        <w:rPr>
          <w:rFonts w:ascii="Book Antiqua" w:hAnsi="Book Antiqua"/>
          <w:sz w:val="20"/>
          <w:szCs w:val="20"/>
          <w:lang w:val="en-US"/>
        </w:rPr>
        <w:t xml:space="preserve"> respectively </w:t>
      </w:r>
      <w:r w:rsidR="007411EA" w:rsidRPr="00870653">
        <w:rPr>
          <w:rFonts w:ascii="Book Antiqua" w:hAnsi="Book Antiqua"/>
          <w:sz w:val="20"/>
          <w:szCs w:val="20"/>
          <w:lang w:val="en-US"/>
        </w:rPr>
        <w:t xml:space="preserve">, </w:t>
      </w:r>
      <w:r w:rsidR="00F97AF3" w:rsidRPr="00870653">
        <w:rPr>
          <w:rFonts w:ascii="Book Antiqua" w:hAnsi="Book Antiqua"/>
          <w:i/>
          <w:iCs/>
          <w:sz w:val="20"/>
          <w:szCs w:val="20"/>
          <w:lang w:val="en-US"/>
        </w:rPr>
        <w:t xml:space="preserve">the coefficients </w:t>
      </w:r>
      <w:r w:rsidR="00F97AF3" w:rsidRPr="00870653">
        <w:rPr>
          <w:rFonts w:ascii="Book Antiqua" w:hAnsi="Book Antiqua"/>
          <w:sz w:val="20"/>
          <w:szCs w:val="20"/>
          <w:lang w:val="en-US"/>
        </w:rPr>
        <w:t>of the first regressor of the equation</w:t>
      </w:r>
      <w:r w:rsidR="007411EA" w:rsidRPr="00870653">
        <w:rPr>
          <w:rFonts w:ascii="Book Antiqua" w:hAnsi="Book Antiqua"/>
          <w:sz w:val="20"/>
          <w:szCs w:val="20"/>
          <w:lang w:val="en-US"/>
        </w:rPr>
        <w:t xml:space="preserve"> (1), (2), (3) </w:t>
      </w:r>
      <w:r w:rsidR="00F97AF3" w:rsidRPr="00870653">
        <w:rPr>
          <w:rFonts w:ascii="Book Antiqua" w:hAnsi="Book Antiqua"/>
          <w:sz w:val="20"/>
          <w:szCs w:val="20"/>
          <w:lang w:val="en-US"/>
        </w:rPr>
        <w:t>and</w:t>
      </w:r>
      <w:r w:rsidR="007411EA" w:rsidRPr="00870653">
        <w:rPr>
          <w:rFonts w:ascii="Book Antiqua" w:hAnsi="Book Antiqua"/>
          <w:sz w:val="20"/>
          <w:szCs w:val="20"/>
          <w:lang w:val="en-US"/>
        </w:rPr>
        <w:t xml:space="preserve"> (4);</w:t>
      </w:r>
    </w:p>
    <w:p w14:paraId="3EC7B9C8" w14:textId="065A4D88"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1</m:t>
            </m:r>
            <m:r>
              <w:rPr>
                <w:rFonts w:ascii="Cambria Math" w:hAnsi="Cambria Math"/>
                <w:sz w:val="20"/>
                <w:szCs w:val="20"/>
              </w:rPr>
              <m:t>i</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2</m:t>
            </m:r>
            <m:r>
              <w:rPr>
                <w:rFonts w:ascii="Cambria Math" w:hAnsi="Cambria Math"/>
                <w:sz w:val="20"/>
                <w:szCs w:val="20"/>
              </w:rPr>
              <m:t>i</m:t>
            </m:r>
          </m:sub>
        </m:sSub>
      </m:oMath>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3</m:t>
            </m:r>
            <m:r>
              <w:rPr>
                <w:rFonts w:ascii="Cambria Math" w:hAnsi="Cambria Math"/>
                <w:sz w:val="20"/>
                <w:szCs w:val="20"/>
              </w:rPr>
              <m:t>i</m:t>
            </m:r>
          </m:sub>
        </m:sSub>
      </m:oMath>
      <w:r w:rsidR="007411EA" w:rsidRPr="00870653">
        <w:rPr>
          <w:rFonts w:ascii="Book Antiqua" w:hAnsi="Book Antiqua"/>
          <w:sz w:val="20"/>
          <w:szCs w:val="20"/>
          <w:lang w:val="en-US"/>
        </w:rPr>
        <w:t xml:space="preserve"> </w:t>
      </w:r>
      <w:r w:rsidR="004565D3"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4</m:t>
            </m:r>
            <m:r>
              <w:rPr>
                <w:rFonts w:ascii="Cambria Math" w:hAnsi="Cambria Math"/>
                <w:sz w:val="20"/>
                <w:szCs w:val="20"/>
              </w:rPr>
              <m:t>i</m:t>
            </m:r>
          </m:sub>
        </m:sSub>
      </m:oMath>
      <w:r w:rsidR="00F97AF3" w:rsidRPr="00870653">
        <w:rPr>
          <w:rFonts w:ascii="Book Antiqua" w:eastAsiaTheme="minorEastAsia" w:hAnsi="Book Antiqua"/>
          <w:sz w:val="20"/>
          <w:szCs w:val="20"/>
          <w:lang w:val="en-US"/>
        </w:rPr>
        <w:t xml:space="preserve"> </w:t>
      </w:r>
      <w:r w:rsidR="00F97AF3" w:rsidRPr="00870653">
        <w:rPr>
          <w:rFonts w:ascii="Book Antiqua" w:hAnsi="Book Antiqua"/>
          <w:sz w:val="20"/>
          <w:szCs w:val="20"/>
          <w:lang w:val="en-US"/>
        </w:rPr>
        <w:t xml:space="preserve">are, respectively , </w:t>
      </w:r>
      <w:r w:rsidR="00F97AF3" w:rsidRPr="00870653">
        <w:rPr>
          <w:rFonts w:ascii="Book Antiqua" w:hAnsi="Book Antiqua"/>
          <w:i/>
          <w:iCs/>
          <w:sz w:val="20"/>
          <w:szCs w:val="20"/>
          <w:lang w:val="en-US"/>
        </w:rPr>
        <w:t xml:space="preserve">the coefficients </w:t>
      </w:r>
      <w:r w:rsidR="00F97AF3" w:rsidRPr="00870653">
        <w:rPr>
          <w:rFonts w:ascii="Book Antiqua" w:hAnsi="Book Antiqua"/>
          <w:sz w:val="20"/>
          <w:szCs w:val="20"/>
          <w:lang w:val="en-US"/>
        </w:rPr>
        <w:t>of the second regressor of the equation (1), (2), (3) and (4);</w:t>
      </w:r>
    </w:p>
    <w:p w14:paraId="0F2F082C" w14:textId="486F6C81"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lang w:val="en-US"/>
              </w:rPr>
              <m:t>1</m:t>
            </m:r>
            <m:r>
              <w:rPr>
                <w:rFonts w:ascii="Cambria Math" w:hAnsi="Cambria Math"/>
                <w:sz w:val="20"/>
                <w:szCs w:val="20"/>
              </w:rPr>
              <m:t>t</m:t>
            </m:r>
          </m:sub>
        </m:sSub>
      </m:oMath>
      <w:r w:rsidR="007411EA" w:rsidRPr="00870653">
        <w:rPr>
          <w:rFonts w:ascii="Book Antiqua" w:hAnsi="Book Antiqua"/>
          <w:sz w:val="20"/>
          <w:szCs w:val="20"/>
          <w:lang w:val="en-US"/>
        </w:rPr>
        <w:t xml:space="preserve"> </w:t>
      </w:r>
      <w:r w:rsidR="00F97AF3" w:rsidRPr="00870653">
        <w:rPr>
          <w:rFonts w:ascii="Book Antiqua" w:hAnsi="Book Antiqua"/>
          <w:sz w:val="20"/>
          <w:szCs w:val="20"/>
          <w:lang w:val="en-US"/>
        </w:rPr>
        <w:t xml:space="preserve">is the </w:t>
      </w:r>
      <w:r w:rsidR="00F97AF3" w:rsidRPr="00870653">
        <w:rPr>
          <w:rFonts w:ascii="Book Antiqua" w:hAnsi="Book Antiqua"/>
          <w:i/>
          <w:iCs/>
          <w:sz w:val="20"/>
          <w:szCs w:val="20"/>
          <w:lang w:val="en-US"/>
        </w:rPr>
        <w:t>first regressor</w:t>
      </w:r>
      <w:r w:rsidR="00F97AF3" w:rsidRPr="00870653">
        <w:rPr>
          <w:rFonts w:ascii="Book Antiqua" w:hAnsi="Book Antiqua"/>
          <w:sz w:val="20"/>
          <w:szCs w:val="20"/>
          <w:lang w:val="en-US"/>
        </w:rPr>
        <w:t xml:space="preserve"> and represents</w:t>
      </w:r>
      <w:r w:rsidR="007411EA" w:rsidRPr="00870653">
        <w:rPr>
          <w:rFonts w:ascii="Book Antiqua" w:hAnsi="Book Antiqua"/>
          <w:sz w:val="20"/>
          <w:szCs w:val="20"/>
          <w:lang w:val="en-US"/>
        </w:rPr>
        <w:t xml:space="preserve"> </w:t>
      </w:r>
      <w:r w:rsidR="007411EA" w:rsidRPr="00870653">
        <w:rPr>
          <w:rFonts w:ascii="Book Antiqua" w:hAnsi="Book Antiqua"/>
          <w:i/>
          <w:iCs/>
          <w:sz w:val="20"/>
          <w:szCs w:val="20"/>
          <w:lang w:val="en-US"/>
        </w:rPr>
        <w:t xml:space="preserve">Italy Redenomination Risk </w:t>
      </w:r>
      <w:r w:rsidR="00F97AF3" w:rsidRPr="00870653">
        <w:rPr>
          <w:rFonts w:ascii="Book Antiqua" w:hAnsi="Book Antiqua"/>
          <w:sz w:val="20"/>
          <w:szCs w:val="20"/>
          <w:lang w:val="en-US"/>
        </w:rPr>
        <w:t xml:space="preserve">at time </w:t>
      </w:r>
      <m:oMath>
        <m:r>
          <w:rPr>
            <w:rFonts w:ascii="Cambria Math" w:hAnsi="Cambria Math"/>
            <w:sz w:val="20"/>
            <w:szCs w:val="20"/>
          </w:rPr>
          <m:t>t</m:t>
        </m:r>
      </m:oMath>
      <w:r w:rsidR="007411EA" w:rsidRPr="00870653">
        <w:rPr>
          <w:rFonts w:ascii="Book Antiqua" w:hAnsi="Book Antiqua"/>
          <w:sz w:val="20"/>
          <w:szCs w:val="20"/>
          <w:lang w:val="en-US"/>
        </w:rPr>
        <w:t>;</w:t>
      </w:r>
    </w:p>
    <w:p w14:paraId="1A5943A6" w14:textId="3588C877"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lang w:val="en-US"/>
              </w:rPr>
              <m:t>2</m:t>
            </m:r>
            <m:r>
              <w:rPr>
                <w:rFonts w:ascii="Cambria Math" w:hAnsi="Cambria Math"/>
                <w:sz w:val="20"/>
                <w:szCs w:val="20"/>
              </w:rPr>
              <m:t>t</m:t>
            </m:r>
          </m:sub>
        </m:sSub>
      </m:oMath>
      <w:r w:rsidR="007411EA" w:rsidRPr="00870653">
        <w:rPr>
          <w:rFonts w:ascii="Book Antiqua" w:hAnsi="Book Antiqua"/>
          <w:sz w:val="20"/>
          <w:szCs w:val="20"/>
          <w:lang w:val="en-US"/>
        </w:rPr>
        <w:t xml:space="preserve"> </w:t>
      </w:r>
      <w:r w:rsidR="00F97AF3" w:rsidRPr="00870653">
        <w:rPr>
          <w:rFonts w:ascii="Book Antiqua" w:hAnsi="Book Antiqua"/>
          <w:sz w:val="20"/>
          <w:szCs w:val="20"/>
          <w:lang w:val="en-US"/>
        </w:rPr>
        <w:t xml:space="preserve">is the </w:t>
      </w:r>
      <w:r w:rsidR="00F97AF3" w:rsidRPr="00870653">
        <w:rPr>
          <w:rFonts w:ascii="Book Antiqua" w:hAnsi="Book Antiqua"/>
          <w:i/>
          <w:iCs/>
          <w:sz w:val="20"/>
          <w:szCs w:val="20"/>
          <w:lang w:val="en-US"/>
        </w:rPr>
        <w:t>second regressor</w:t>
      </w:r>
      <w:r w:rsidR="00F97AF3" w:rsidRPr="00870653">
        <w:rPr>
          <w:rFonts w:ascii="Book Antiqua" w:hAnsi="Book Antiqua"/>
          <w:sz w:val="20"/>
          <w:szCs w:val="20"/>
          <w:lang w:val="en-US"/>
        </w:rPr>
        <w:t xml:space="preserve"> and represents</w:t>
      </w:r>
      <w:r w:rsidR="007411EA" w:rsidRPr="00870653">
        <w:rPr>
          <w:rFonts w:ascii="Book Antiqua" w:hAnsi="Book Antiqua"/>
          <w:sz w:val="20"/>
          <w:szCs w:val="20"/>
          <w:lang w:val="en-US"/>
        </w:rPr>
        <w:t xml:space="preserve"> </w:t>
      </w:r>
      <w:r w:rsidR="007411EA" w:rsidRPr="00870653">
        <w:rPr>
          <w:rFonts w:ascii="Book Antiqua" w:hAnsi="Book Antiqua"/>
          <w:i/>
          <w:iCs/>
          <w:sz w:val="20"/>
          <w:szCs w:val="20"/>
          <w:lang w:val="en-US"/>
        </w:rPr>
        <w:t xml:space="preserve">Spread It-Ge </w:t>
      </w:r>
      <w:r w:rsidR="00F97AF3" w:rsidRPr="00870653">
        <w:rPr>
          <w:rFonts w:ascii="Book Antiqua" w:hAnsi="Book Antiqua"/>
          <w:sz w:val="20"/>
          <w:szCs w:val="20"/>
          <w:lang w:val="en-US"/>
        </w:rPr>
        <w:t>at time</w:t>
      </w:r>
      <w:r w:rsidR="00F97AF3" w:rsidRPr="00870653">
        <w:rPr>
          <w:rFonts w:ascii="Book Antiqua" w:hAnsi="Book Antiqua"/>
          <w:i/>
          <w:iCs/>
          <w:sz w:val="20"/>
          <w:szCs w:val="20"/>
          <w:lang w:val="en-US"/>
        </w:rPr>
        <w:t xml:space="preserve"> </w:t>
      </w:r>
      <m:oMath>
        <m:r>
          <w:rPr>
            <w:rFonts w:ascii="Cambria Math" w:hAnsi="Cambria Math"/>
            <w:sz w:val="20"/>
            <w:szCs w:val="20"/>
          </w:rPr>
          <m:t>t</m:t>
        </m:r>
      </m:oMath>
      <w:r w:rsidR="007411EA" w:rsidRPr="00870653">
        <w:rPr>
          <w:rFonts w:ascii="Book Antiqua" w:hAnsi="Book Antiqua"/>
          <w:sz w:val="20"/>
          <w:szCs w:val="20"/>
          <w:lang w:val="en-US"/>
        </w:rPr>
        <w:t>;</w:t>
      </w:r>
    </w:p>
    <w:p w14:paraId="6D84EB9A" w14:textId="3A6612AD" w:rsidR="007411EA" w:rsidRPr="00870653" w:rsidRDefault="00E9210F" w:rsidP="007411EA">
      <w:pPr>
        <w:numPr>
          <w:ilvl w:val="0"/>
          <w:numId w:val="4"/>
        </w:numPr>
        <w:spacing w:line="360" w:lineRule="auto"/>
        <w:jc w:val="both"/>
        <w:rPr>
          <w:rFonts w:ascii="Book Antiqua" w:hAnsi="Book Antiqua"/>
          <w:sz w:val="20"/>
          <w:szCs w:val="20"/>
          <w:lang w:val="en-US"/>
        </w:rPr>
      </w:pPr>
      <m:oMath>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lang w:val="en-US"/>
              </w:rPr>
              <m:t>1</m:t>
            </m:r>
            <m:r>
              <w:rPr>
                <w:rFonts w:ascii="Cambria Math" w:hAnsi="Cambria Math"/>
                <w:sz w:val="20"/>
                <w:szCs w:val="20"/>
              </w:rPr>
              <m:t>t</m:t>
            </m:r>
          </m:sub>
        </m:sSub>
      </m:oMath>
      <w:r w:rsidR="007411EA" w:rsidRPr="00870653">
        <w:rPr>
          <w:rFonts w:ascii="Book Antiqua" w:hAnsi="Book Antiqua"/>
          <w:sz w:val="20"/>
          <w:szCs w:val="20"/>
          <w:lang w:val="en-US"/>
        </w:rPr>
        <w:t xml:space="preserve">, </w:t>
      </w:r>
      <m:oMath>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lang w:val="en-US"/>
              </w:rPr>
              <m:t>2</m:t>
            </m:r>
            <m:r>
              <w:rPr>
                <w:rFonts w:ascii="Cambria Math" w:hAnsi="Cambria Math"/>
                <w:sz w:val="20"/>
                <w:szCs w:val="20"/>
              </w:rPr>
              <m:t>t</m:t>
            </m:r>
          </m:sub>
        </m:sSub>
      </m:oMath>
      <w:r w:rsidR="007411EA" w:rsidRPr="00870653">
        <w:rPr>
          <w:rFonts w:ascii="Book Antiqua" w:hAnsi="Book Antiqua"/>
          <w:sz w:val="20"/>
          <w:szCs w:val="20"/>
          <w:lang w:val="en-US"/>
        </w:rPr>
        <w:t xml:space="preserve">, </w:t>
      </w:r>
      <m:oMath>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lang w:val="en-US"/>
              </w:rPr>
              <m:t>3</m:t>
            </m:r>
            <m:r>
              <w:rPr>
                <w:rFonts w:ascii="Cambria Math" w:hAnsi="Cambria Math"/>
                <w:sz w:val="20"/>
                <w:szCs w:val="20"/>
              </w:rPr>
              <m:t>t</m:t>
            </m:r>
          </m:sub>
        </m:sSub>
      </m:oMath>
      <w:r w:rsidR="007411EA" w:rsidRPr="00870653">
        <w:rPr>
          <w:rFonts w:ascii="Book Antiqua" w:hAnsi="Book Antiqua"/>
          <w:sz w:val="20"/>
          <w:szCs w:val="20"/>
          <w:lang w:val="en-US"/>
        </w:rPr>
        <w:t xml:space="preserve"> </w:t>
      </w:r>
      <w:r w:rsidR="004565D3" w:rsidRPr="00870653">
        <w:rPr>
          <w:rFonts w:ascii="Book Antiqua" w:hAnsi="Book Antiqua"/>
          <w:sz w:val="20"/>
          <w:szCs w:val="20"/>
          <w:lang w:val="en-US"/>
        </w:rPr>
        <w:t>and</w:t>
      </w:r>
      <w:r w:rsidR="007411EA" w:rsidRPr="00870653">
        <w:rPr>
          <w:rFonts w:ascii="Book Antiqua" w:hAnsi="Book Antiqua"/>
          <w:sz w:val="20"/>
          <w:szCs w:val="20"/>
          <w:lang w:val="en-US"/>
        </w:rPr>
        <w:t xml:space="preserve"> </w:t>
      </w:r>
      <m:oMath>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lang w:val="en-US"/>
              </w:rPr>
              <m:t>4</m:t>
            </m:r>
            <m:r>
              <w:rPr>
                <w:rFonts w:ascii="Cambria Math" w:hAnsi="Cambria Math"/>
                <w:sz w:val="20"/>
                <w:szCs w:val="20"/>
              </w:rPr>
              <m:t>t</m:t>
            </m:r>
          </m:sub>
        </m:sSub>
      </m:oMath>
      <w:r w:rsidR="00F97AF3" w:rsidRPr="00870653">
        <w:rPr>
          <w:rFonts w:ascii="Book Antiqua" w:eastAsiaTheme="minorEastAsia" w:hAnsi="Book Antiqua"/>
          <w:sz w:val="20"/>
          <w:szCs w:val="20"/>
          <w:lang w:val="en-US"/>
        </w:rPr>
        <w:t xml:space="preserve"> are, respectively, the </w:t>
      </w:r>
      <w:r w:rsidR="00F97AF3" w:rsidRPr="00870653">
        <w:rPr>
          <w:rFonts w:ascii="Book Antiqua" w:eastAsiaTheme="minorEastAsia" w:hAnsi="Book Antiqua"/>
          <w:i/>
          <w:iCs/>
          <w:sz w:val="20"/>
          <w:szCs w:val="20"/>
          <w:lang w:val="en-US"/>
        </w:rPr>
        <w:t xml:space="preserve">error terms </w:t>
      </w:r>
      <w:r w:rsidR="00F97AF3" w:rsidRPr="00870653">
        <w:rPr>
          <w:rFonts w:ascii="Book Antiqua" w:eastAsiaTheme="minorEastAsia" w:hAnsi="Book Antiqua"/>
          <w:sz w:val="20"/>
          <w:szCs w:val="20"/>
          <w:lang w:val="en-US"/>
        </w:rPr>
        <w:t>of the equation</w:t>
      </w:r>
      <w:r w:rsidR="007411EA" w:rsidRPr="00870653">
        <w:rPr>
          <w:rFonts w:ascii="Book Antiqua" w:hAnsi="Book Antiqua"/>
          <w:sz w:val="20"/>
          <w:szCs w:val="20"/>
          <w:lang w:val="en-US"/>
        </w:rPr>
        <w:t xml:space="preserve"> (1), (2), (3), </w:t>
      </w:r>
      <w:r w:rsidR="00F97AF3" w:rsidRPr="00870653">
        <w:rPr>
          <w:rFonts w:ascii="Book Antiqua" w:hAnsi="Book Antiqua"/>
          <w:sz w:val="20"/>
          <w:szCs w:val="20"/>
          <w:lang w:val="en-US"/>
        </w:rPr>
        <w:t>and</w:t>
      </w:r>
      <w:r w:rsidR="007411EA" w:rsidRPr="00870653">
        <w:rPr>
          <w:rFonts w:ascii="Book Antiqua" w:hAnsi="Book Antiqua"/>
          <w:sz w:val="20"/>
          <w:szCs w:val="20"/>
          <w:lang w:val="en-US"/>
        </w:rPr>
        <w:t xml:space="preserve"> (4). </w:t>
      </w:r>
    </w:p>
    <w:p w14:paraId="729A4DC2" w14:textId="174D10A6" w:rsidR="007411EA" w:rsidRPr="00870653" w:rsidRDefault="00480069" w:rsidP="0007040B">
      <w:pPr>
        <w:spacing w:line="360" w:lineRule="auto"/>
        <w:jc w:val="both"/>
        <w:rPr>
          <w:rFonts w:ascii="Book Antiqua" w:hAnsi="Book Antiqua"/>
          <w:sz w:val="20"/>
          <w:szCs w:val="20"/>
          <w:lang w:val="en-US"/>
        </w:rPr>
      </w:pPr>
      <w:r w:rsidRPr="00870653">
        <w:rPr>
          <w:rFonts w:ascii="Book Antiqua" w:hAnsi="Book Antiqua"/>
          <w:sz w:val="20"/>
          <w:szCs w:val="20"/>
          <w:lang w:val="en-US"/>
        </w:rPr>
        <w:t>The model can be also represented through a first difference tranformation</w:t>
      </w:r>
      <w:r w:rsidR="00F70FDD">
        <w:rPr>
          <w:rStyle w:val="Rimandonotaapidipagina"/>
          <w:rFonts w:ascii="Book Antiqua" w:hAnsi="Book Antiqua"/>
          <w:sz w:val="20"/>
          <w:szCs w:val="20"/>
        </w:rPr>
        <w:footnoteReference w:id="6"/>
      </w:r>
      <w:r w:rsidRPr="00870653">
        <w:rPr>
          <w:rFonts w:ascii="Book Antiqua" w:hAnsi="Book Antiqua"/>
          <w:sz w:val="20"/>
          <w:szCs w:val="20"/>
          <w:lang w:val="en-US"/>
        </w:rPr>
        <w:t>.</w:t>
      </w:r>
      <w:r w:rsidRPr="00870653">
        <w:rPr>
          <w:lang w:val="en-US"/>
        </w:rPr>
        <w:t xml:space="preserve"> </w:t>
      </w:r>
      <w:r w:rsidRPr="00870653">
        <w:rPr>
          <w:rFonts w:ascii="Book Antiqua" w:hAnsi="Book Antiqua"/>
          <w:sz w:val="20"/>
          <w:szCs w:val="20"/>
          <w:lang w:val="en-US"/>
        </w:rPr>
        <w:t>Thi</w:t>
      </w:r>
      <w:r w:rsidR="00F53124" w:rsidRPr="00870653">
        <w:rPr>
          <w:rFonts w:ascii="Book Antiqua" w:hAnsi="Book Antiqua"/>
          <w:sz w:val="20"/>
          <w:szCs w:val="20"/>
          <w:lang w:val="en-US"/>
        </w:rPr>
        <w:t>s transformation is usually made</w:t>
      </w:r>
      <w:r w:rsidRPr="00870653">
        <w:rPr>
          <w:rFonts w:ascii="Book Antiqua" w:hAnsi="Book Antiqua"/>
          <w:sz w:val="20"/>
          <w:szCs w:val="20"/>
          <w:lang w:val="en-US"/>
        </w:rPr>
        <w:t xml:space="preserve"> to solve the non-stationarity problem</w:t>
      </w:r>
      <w:r w:rsidR="00975937" w:rsidRPr="00870653">
        <w:rPr>
          <w:rFonts w:ascii="Book Antiqua" w:hAnsi="Book Antiqua"/>
          <w:sz w:val="20"/>
          <w:szCs w:val="20"/>
          <w:lang w:val="en-US"/>
        </w:rPr>
        <w:t>, typical of financial data. To overcome this</w:t>
      </w:r>
      <w:r w:rsidRPr="00870653">
        <w:rPr>
          <w:rFonts w:ascii="Book Antiqua" w:hAnsi="Book Antiqua"/>
          <w:sz w:val="20"/>
          <w:szCs w:val="20"/>
          <w:lang w:val="en-US"/>
        </w:rPr>
        <w:t xml:space="preserve"> proble</w:t>
      </w:r>
      <w:r w:rsidR="00975937" w:rsidRPr="00870653">
        <w:rPr>
          <w:rFonts w:ascii="Book Antiqua" w:hAnsi="Book Antiqua"/>
          <w:sz w:val="20"/>
          <w:szCs w:val="20"/>
          <w:lang w:val="en-US"/>
        </w:rPr>
        <w:t>m and avoid misinterpretation of</w:t>
      </w:r>
      <w:r w:rsidRPr="00870653">
        <w:rPr>
          <w:rFonts w:ascii="Book Antiqua" w:hAnsi="Book Antiqua"/>
          <w:sz w:val="20"/>
          <w:szCs w:val="20"/>
          <w:lang w:val="en-US"/>
        </w:rPr>
        <w:t xml:space="preserve"> results of the regression analysis, the dependent and independent variables </w:t>
      </w:r>
      <w:r w:rsidR="00975937" w:rsidRPr="00870653">
        <w:rPr>
          <w:rFonts w:ascii="Book Antiqua" w:hAnsi="Book Antiqua"/>
          <w:sz w:val="20"/>
          <w:szCs w:val="20"/>
          <w:lang w:val="en-US"/>
        </w:rPr>
        <w:t>have been</w:t>
      </w:r>
      <w:r w:rsidRPr="00870653">
        <w:rPr>
          <w:rFonts w:ascii="Book Antiqua" w:hAnsi="Book Antiqua"/>
          <w:sz w:val="20"/>
          <w:szCs w:val="20"/>
          <w:lang w:val="en-US"/>
        </w:rPr>
        <w:t xml:space="preserve"> transformed </w:t>
      </w:r>
      <w:r w:rsidR="00975937" w:rsidRPr="00870653">
        <w:rPr>
          <w:rFonts w:ascii="Book Antiqua" w:hAnsi="Book Antiqua"/>
          <w:sz w:val="20"/>
          <w:szCs w:val="20"/>
          <w:lang w:val="en-US"/>
        </w:rPr>
        <w:t>in</w:t>
      </w:r>
      <w:r w:rsidRPr="00870653">
        <w:rPr>
          <w:rFonts w:ascii="Book Antiqua" w:hAnsi="Book Antiqua"/>
          <w:sz w:val="20"/>
          <w:szCs w:val="20"/>
          <w:lang w:val="en-US"/>
        </w:rPr>
        <w:t xml:space="preserve"> first differences</w:t>
      </w:r>
      <w:r w:rsidR="003F6B9C" w:rsidRPr="00870653">
        <w:rPr>
          <w:rFonts w:ascii="Book Antiqua" w:hAnsi="Book Antiqua"/>
          <w:sz w:val="20"/>
          <w:szCs w:val="20"/>
          <w:lang w:val="en-US"/>
        </w:rPr>
        <w:t xml:space="preserve">. </w:t>
      </w:r>
      <w:r w:rsidRPr="00870653">
        <w:rPr>
          <w:rFonts w:ascii="Book Antiqua" w:hAnsi="Book Antiqua"/>
          <w:sz w:val="20"/>
          <w:szCs w:val="20"/>
          <w:lang w:val="en-US"/>
        </w:rPr>
        <w:t xml:space="preserve">The </w:t>
      </w:r>
      <w:r w:rsidR="00E21C52" w:rsidRPr="00870653">
        <w:rPr>
          <w:rFonts w:ascii="Book Antiqua" w:hAnsi="Book Antiqua"/>
          <w:sz w:val="20"/>
          <w:szCs w:val="20"/>
          <w:lang w:val="en-US"/>
        </w:rPr>
        <w:t>performed model, therefore, is</w:t>
      </w:r>
      <w:r w:rsidRPr="00870653">
        <w:rPr>
          <w:rFonts w:ascii="Book Antiqua" w:hAnsi="Book Antiqua"/>
          <w:sz w:val="20"/>
          <w:szCs w:val="20"/>
          <w:lang w:val="en-US"/>
        </w:rPr>
        <w:t xml:space="preserve"> the following</w:t>
      </w:r>
      <w:r w:rsidR="003F6B9C" w:rsidRPr="00870653">
        <w:rPr>
          <w:rFonts w:ascii="Book Antiqua" w:hAnsi="Book Antiqua"/>
          <w:sz w:val="20"/>
          <w:szCs w:val="20"/>
          <w:lang w:val="en-US"/>
        </w:rPr>
        <w:t>:</w:t>
      </w:r>
    </w:p>
    <w:p w14:paraId="50EEB4D5" w14:textId="0D2D111D" w:rsidR="003F6B9C" w:rsidRPr="00870653" w:rsidRDefault="00E9210F" w:rsidP="0007040B">
      <w:pPr>
        <w:spacing w:line="360" w:lineRule="auto"/>
        <w:jc w:val="both"/>
        <w:rPr>
          <w:rFonts w:ascii="Book Antiqua" w:eastAsiaTheme="minorEastAsia" w:hAnsi="Book Antiqua"/>
          <w:lang w:val="en-US"/>
        </w:rPr>
      </w:pPr>
      <m:oMath>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Intesa</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10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1</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1</m:t>
                </m:r>
                <m:r>
                  <w:rPr>
                    <w:rFonts w:ascii="Cambria Math" w:hAnsi="Cambria Math" w:cs="Times New Roman"/>
                  </w:rPr>
                  <m:t>i</m:t>
                </m:r>
              </m:sub>
            </m:sSub>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1</m:t>
            </m:r>
            <m:r>
              <w:rPr>
                <w:rFonts w:ascii="Cambria Math" w:eastAsiaTheme="minorEastAsia" w:hAnsi="Cambria Math" w:cs="Times New Roman"/>
              </w:rPr>
              <m:t>t</m:t>
            </m:r>
          </m:sub>
        </m:sSub>
      </m:oMath>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t xml:space="preserve">       </w:t>
      </w:r>
      <w:r w:rsidR="003F6B9C" w:rsidRPr="00870653">
        <w:rPr>
          <w:rFonts w:ascii="Book Antiqua" w:eastAsiaTheme="minorEastAsia" w:hAnsi="Book Antiqua"/>
          <w:sz w:val="20"/>
          <w:szCs w:val="20"/>
          <w:lang w:val="en-US"/>
        </w:rPr>
        <w:t>(5)</w:t>
      </w:r>
    </w:p>
    <w:p w14:paraId="0D896EDE" w14:textId="0D577FAD" w:rsidR="003F6B9C" w:rsidRPr="00870653" w:rsidRDefault="00E9210F" w:rsidP="0007040B">
      <w:pPr>
        <w:spacing w:line="360" w:lineRule="auto"/>
        <w:jc w:val="both"/>
        <w:rPr>
          <w:rFonts w:ascii="Book Antiqua" w:eastAsiaTheme="minorEastAsia" w:hAnsi="Book Antiqua"/>
          <w:lang w:val="en-US"/>
        </w:rPr>
      </w:pPr>
      <m:oMath>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Unicredit</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20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2</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2</m:t>
                </m:r>
                <m:r>
                  <w:rPr>
                    <w:rFonts w:ascii="Cambria Math" w:hAnsi="Cambria Math" w:cs="Times New Roman"/>
                  </w:rPr>
                  <m:t>i</m:t>
                </m:r>
              </m:sub>
            </m:sSub>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2</m:t>
            </m:r>
            <m:r>
              <w:rPr>
                <w:rFonts w:ascii="Cambria Math" w:eastAsiaTheme="minorEastAsia" w:hAnsi="Cambria Math" w:cs="Times New Roman"/>
              </w:rPr>
              <m:t>t</m:t>
            </m:r>
          </m:sub>
        </m:sSub>
      </m:oMath>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t xml:space="preserve">       </w:t>
      </w:r>
      <w:r w:rsidR="003F6B9C" w:rsidRPr="00870653">
        <w:rPr>
          <w:rFonts w:ascii="Book Antiqua" w:eastAsiaTheme="minorEastAsia" w:hAnsi="Book Antiqua"/>
          <w:sz w:val="20"/>
          <w:szCs w:val="20"/>
          <w:lang w:val="en-US"/>
        </w:rPr>
        <w:t>(6)</w:t>
      </w:r>
    </w:p>
    <w:p w14:paraId="33836085" w14:textId="51CFBEDE" w:rsidR="003F6B9C" w:rsidRPr="00870653" w:rsidRDefault="00E9210F" w:rsidP="0007040B">
      <w:pPr>
        <w:spacing w:line="360" w:lineRule="auto"/>
        <w:jc w:val="both"/>
        <w:rPr>
          <w:rFonts w:ascii="Book Antiqua" w:eastAsiaTheme="minorEastAsia" w:hAnsi="Book Antiqua"/>
          <w:lang w:val="en-US"/>
        </w:rPr>
      </w:pPr>
      <m:oMath>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Monte</m:t>
            </m:r>
            <m:r>
              <w:rPr>
                <w:rFonts w:ascii="Cambria Math" w:hAnsi="Cambria Math" w:cs="Times New Roman"/>
                <w:lang w:val="en-US"/>
              </w:rPr>
              <m:t xml:space="preserve"> </m:t>
            </m:r>
            <m:r>
              <w:rPr>
                <w:rFonts w:ascii="Cambria Math" w:hAnsi="Cambria Math" w:cs="Times New Roman"/>
              </w:rPr>
              <m:t>dei</m:t>
            </m:r>
            <m:r>
              <w:rPr>
                <w:rFonts w:ascii="Cambria Math" w:hAnsi="Cambria Math" w:cs="Times New Roman"/>
                <w:lang w:val="en-US"/>
              </w:rPr>
              <m:t xml:space="preserve"> </m:t>
            </m:r>
            <m:r>
              <w:rPr>
                <w:rFonts w:ascii="Cambria Math" w:hAnsi="Cambria Math" w:cs="Times New Roman"/>
              </w:rPr>
              <m:t>Pasc</m:t>
            </m:r>
            <m:r>
              <w:rPr>
                <w:rFonts w:ascii="Cambria Math" w:hAnsi="Cambria Math" w:cs="Times New Roman"/>
                <w:lang w:val="en-US"/>
              </w:rPr>
              <m:t>h</m:t>
            </m:r>
            <m:r>
              <w:rPr>
                <w:rFonts w:ascii="Cambria Math" w:hAnsi="Cambria Math" w:cs="Times New Roman"/>
              </w:rPr>
              <m:t>i</m:t>
            </m:r>
          </m:e>
          <m:sub>
            <m:r>
              <w:rPr>
                <w:rFonts w:ascii="Cambria Math" w:hAnsi="Cambria Math" w:cs="Times New Roman"/>
              </w:rPr>
              <m:t>t</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30</m:t>
            </m:r>
          </m:sub>
        </m:sSub>
        <m:r>
          <w:rPr>
            <w:rFonts w:ascii="Cambria Math" w:hAnsi="Cambria Math" w:cs="Times New Roman"/>
            <w:lang w:val="en-US"/>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lang w:val="en-US"/>
              </w:rPr>
              <m:t>3</m:t>
            </m:r>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1</m:t>
            </m:r>
            <m:r>
              <w:rPr>
                <w:rFonts w:ascii="Cambria Math" w:hAnsi="Cambria Math" w:cs="Times New Roman"/>
              </w:rPr>
              <m:t>t</m:t>
            </m:r>
          </m:sub>
        </m:sSub>
        <m:r>
          <w:rPr>
            <w:rFonts w:ascii="Cambria Math" w:hAnsi="Cambria Math" w:cs="Times New Roman"/>
            <w:lang w:val="en-US"/>
          </w:rPr>
          <m:t xml:space="preserve">+ </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lang w:val="en-US"/>
                  </w:rPr>
                  <m:t>3</m:t>
                </m:r>
                <m:r>
                  <w:rPr>
                    <w:rFonts w:ascii="Cambria Math" w:hAnsi="Cambria Math" w:cs="Times New Roman"/>
                  </w:rPr>
                  <m:t>i</m:t>
                </m:r>
              </m:sub>
            </m:sSub>
            <m:r>
              <w:rPr>
                <w:rFonts w:ascii="Cambria Math" w:hAnsi="Cambria Math" w:cs="Times New Roman"/>
                <w:lang w:val="en-US"/>
              </w:rPr>
              <m:t>∆</m:t>
            </m:r>
            <m:r>
              <w:rPr>
                <w:rFonts w:ascii="Cambria Math" w:hAnsi="Cambria Math" w:cs="Times New Roman"/>
              </w:rPr>
              <m:t>X</m:t>
            </m:r>
          </m:e>
          <m:sub>
            <m:r>
              <w:rPr>
                <w:rFonts w:ascii="Cambria Math" w:hAnsi="Cambria Math" w:cs="Times New Roman"/>
                <w:lang w:val="en-US"/>
              </w:rPr>
              <m:t>2</m:t>
            </m:r>
            <m:r>
              <w:rPr>
                <w:rFonts w:ascii="Cambria Math" w:hAnsi="Cambria Math" w:cs="Times New Roman"/>
              </w:rPr>
              <m:t>t</m:t>
            </m:r>
          </m:sub>
        </m:sSub>
        <m:r>
          <m:rPr>
            <m:sty m:val="p"/>
          </m:rP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Theme="minorEastAsia" w:hAnsi="Cambria Math" w:cs="Times New Roman"/>
              </w:rPr>
              <m:t>u</m:t>
            </m:r>
          </m:e>
          <m:sub>
            <m:r>
              <w:rPr>
                <w:rFonts w:ascii="Cambria Math" w:eastAsiaTheme="minorEastAsia" w:hAnsi="Cambria Math" w:cs="Times New Roman"/>
                <w:lang w:val="en-US"/>
              </w:rPr>
              <m:t>3</m:t>
            </m:r>
            <m:r>
              <w:rPr>
                <w:rFonts w:ascii="Cambria Math" w:eastAsiaTheme="minorEastAsia" w:hAnsi="Cambria Math" w:cs="Times New Roman"/>
              </w:rPr>
              <m:t>t</m:t>
            </m:r>
          </m:sub>
        </m:sSub>
      </m:oMath>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t xml:space="preserve">       </w:t>
      </w:r>
      <w:r w:rsidR="003F6B9C" w:rsidRPr="00870653">
        <w:rPr>
          <w:rFonts w:ascii="Book Antiqua" w:eastAsiaTheme="minorEastAsia" w:hAnsi="Book Antiqua"/>
          <w:sz w:val="20"/>
          <w:szCs w:val="20"/>
          <w:lang w:val="en-US"/>
        </w:rPr>
        <w:t>(7)</w:t>
      </w:r>
    </w:p>
    <w:p w14:paraId="660E9AFD" w14:textId="3F6915B6" w:rsidR="003F6B9C" w:rsidRPr="00870653" w:rsidRDefault="00E9210F" w:rsidP="0007040B">
      <w:pPr>
        <w:spacing w:line="360" w:lineRule="auto"/>
        <w:jc w:val="both"/>
        <w:rPr>
          <w:rFonts w:ascii="Book Antiqua" w:eastAsiaTheme="minorEastAsia" w:hAnsi="Book Antiqua"/>
          <w:lang w:val="en-US"/>
        </w:rPr>
      </w:pPr>
      <m:oMath>
        <m:sSub>
          <m:sSubPr>
            <m:ctrlPr>
              <w:rPr>
                <w:rFonts w:ascii="Cambria Math" w:hAnsi="Cambria Math" w:cs="Times New Roman"/>
                <w:b/>
                <w:i/>
              </w:rPr>
            </m:ctrlPr>
          </m:sSubPr>
          <m:e>
            <m:r>
              <m:rPr>
                <m:sty m:val="bi"/>
              </m:rPr>
              <w:rPr>
                <w:rFonts w:ascii="Cambria Math" w:hAnsi="Cambria Math" w:cs="Times New Roman"/>
                <w:lang w:val="en-US"/>
              </w:rPr>
              <m:t>∆</m:t>
            </m:r>
            <m:r>
              <m:rPr>
                <m:sty m:val="bi"/>
              </m:rPr>
              <w:rPr>
                <w:rFonts w:ascii="Cambria Math" w:hAnsi="Cambria Math" w:cs="Times New Roman"/>
              </w:rPr>
              <m:t>IBP</m:t>
            </m:r>
          </m:e>
          <m:sub>
            <m:r>
              <m:rPr>
                <m:sty m:val="bi"/>
              </m:rPr>
              <w:rPr>
                <w:rFonts w:ascii="Cambria Math" w:hAnsi="Cambria Math" w:cs="Times New Roman"/>
              </w:rPr>
              <m:t>t</m:t>
            </m:r>
          </m:sub>
        </m:sSub>
        <m:r>
          <m:rPr>
            <m:sty m:val="bi"/>
          </m:rPr>
          <w:rPr>
            <w:rFonts w:ascii="Cambria Math" w:hAnsi="Cambria Math" w:cs="Times New Roman"/>
            <w:lang w:val="en-US"/>
          </w:rPr>
          <m:t>=</m:t>
        </m:r>
        <m:sSub>
          <m:sSubPr>
            <m:ctrlPr>
              <w:rPr>
                <w:rFonts w:ascii="Cambria Math" w:hAnsi="Cambria Math" w:cs="Times New Roman"/>
                <w:b/>
                <w:i/>
              </w:rPr>
            </m:ctrlPr>
          </m:sSubPr>
          <m:e>
            <m:r>
              <m:rPr>
                <m:sty m:val="bi"/>
              </m:rPr>
              <w:rPr>
                <w:rFonts w:ascii="Cambria Math" w:hAnsi="Cambria Math" w:cs="Times New Roman"/>
              </w:rPr>
              <m:t>β</m:t>
            </m:r>
          </m:e>
          <m:sub>
            <m:r>
              <m:rPr>
                <m:sty m:val="bi"/>
              </m:rPr>
              <w:rPr>
                <w:rFonts w:ascii="Cambria Math" w:hAnsi="Cambria Math" w:cs="Times New Roman"/>
              </w:rPr>
              <m:t>40</m:t>
            </m:r>
          </m:sub>
        </m:sSub>
        <m:r>
          <m:rPr>
            <m:sty m:val="bi"/>
          </m:rPr>
          <w:rPr>
            <w:rFonts w:ascii="Cambria Math" w:hAnsi="Cambria Math" w:cs="Times New Roman"/>
            <w:lang w:val="en-US"/>
          </w:rPr>
          <m:t xml:space="preserve">+ </m:t>
        </m:r>
        <m:sSub>
          <m:sSubPr>
            <m:ctrlPr>
              <w:rPr>
                <w:rFonts w:ascii="Cambria Math" w:hAnsi="Cambria Math" w:cs="Times New Roman"/>
                <w:b/>
                <w:i/>
              </w:rPr>
            </m:ctrlPr>
          </m:sSubPr>
          <m:e>
            <m:r>
              <m:rPr>
                <m:sty m:val="bi"/>
              </m:rPr>
              <w:rPr>
                <w:rFonts w:ascii="Cambria Math" w:hAnsi="Cambria Math" w:cs="Times New Roman"/>
              </w:rPr>
              <m:t>β</m:t>
            </m:r>
          </m:e>
          <m:sub>
            <m:r>
              <m:rPr>
                <m:sty m:val="bi"/>
              </m:rPr>
              <w:rPr>
                <w:rFonts w:ascii="Cambria Math" w:hAnsi="Cambria Math" w:cs="Times New Roman"/>
              </w:rPr>
              <m:t>4</m:t>
            </m:r>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lang w:val="en-US"/>
              </w:rPr>
              <m:t>∆</m:t>
            </m:r>
            <m:r>
              <m:rPr>
                <m:sty m:val="bi"/>
              </m:rPr>
              <w:rPr>
                <w:rFonts w:ascii="Cambria Math" w:hAnsi="Cambria Math" w:cs="Times New Roman"/>
              </w:rPr>
              <m:t>X</m:t>
            </m:r>
          </m:e>
          <m:sub>
            <m:r>
              <m:rPr>
                <m:sty m:val="bi"/>
              </m:rPr>
              <w:rPr>
                <w:rFonts w:ascii="Cambria Math" w:hAnsi="Cambria Math" w:cs="Times New Roman"/>
              </w:rPr>
              <m:t>1</m:t>
            </m:r>
            <m:r>
              <m:rPr>
                <m:sty m:val="bi"/>
              </m:rPr>
              <w:rPr>
                <w:rFonts w:ascii="Cambria Math" w:hAnsi="Cambria Math" w:cs="Times New Roman"/>
              </w:rPr>
              <m:t>t</m:t>
            </m:r>
          </m:sub>
        </m:sSub>
        <m:r>
          <m:rPr>
            <m:sty m:val="bi"/>
          </m:rPr>
          <w:rPr>
            <w:rFonts w:ascii="Cambria Math" w:hAnsi="Cambria Math" w:cs="Times New Roman"/>
            <w:lang w:val="en-US"/>
          </w:rPr>
          <m:t xml:space="preserve">+ </m:t>
        </m:r>
        <m:sSub>
          <m:sSubPr>
            <m:ctrlPr>
              <w:rPr>
                <w:rFonts w:ascii="Cambria Math" w:hAnsi="Cambria Math" w:cs="Times New Roman"/>
                <w:b/>
                <w:i/>
              </w:rPr>
            </m:ctrlPr>
          </m:sSubPr>
          <m:e>
            <m:sSub>
              <m:sSubPr>
                <m:ctrlPr>
                  <w:rPr>
                    <w:rFonts w:ascii="Cambria Math" w:hAnsi="Cambria Math" w:cs="Times New Roman"/>
                    <w:b/>
                    <w:i/>
                  </w:rPr>
                </m:ctrlPr>
              </m:sSubPr>
              <m:e>
                <m:r>
                  <m:rPr>
                    <m:sty m:val="bi"/>
                  </m:rPr>
                  <w:rPr>
                    <w:rFonts w:ascii="Cambria Math" w:hAnsi="Cambria Math" w:cs="Times New Roman"/>
                  </w:rPr>
                  <m:t>α</m:t>
                </m:r>
              </m:e>
              <m:sub>
                <m:r>
                  <m:rPr>
                    <m:sty m:val="bi"/>
                  </m:rPr>
                  <w:rPr>
                    <w:rFonts w:ascii="Cambria Math" w:hAnsi="Cambria Math" w:cs="Times New Roman"/>
                  </w:rPr>
                  <m:t>4</m:t>
                </m:r>
                <m:r>
                  <m:rPr>
                    <m:sty m:val="bi"/>
                  </m:rPr>
                  <w:rPr>
                    <w:rFonts w:ascii="Cambria Math" w:hAnsi="Cambria Math" w:cs="Times New Roman"/>
                  </w:rPr>
                  <m:t>i</m:t>
                </m:r>
              </m:sub>
            </m:sSub>
            <m:r>
              <m:rPr>
                <m:sty m:val="bi"/>
              </m:rPr>
              <w:rPr>
                <w:rFonts w:ascii="Cambria Math" w:hAnsi="Cambria Math" w:cs="Times New Roman"/>
                <w:lang w:val="en-US"/>
              </w:rPr>
              <m:t>∆</m:t>
            </m:r>
            <m:r>
              <m:rPr>
                <m:sty m:val="bi"/>
              </m:rPr>
              <w:rPr>
                <w:rFonts w:ascii="Cambria Math" w:hAnsi="Cambria Math" w:cs="Times New Roman"/>
              </w:rPr>
              <m:t>X</m:t>
            </m:r>
          </m:e>
          <m:sub>
            <m:r>
              <m:rPr>
                <m:sty m:val="bi"/>
              </m:rPr>
              <w:rPr>
                <w:rFonts w:ascii="Cambria Math" w:hAnsi="Cambria Math" w:cs="Times New Roman"/>
              </w:rPr>
              <m:t>2</m:t>
            </m:r>
            <m:r>
              <m:rPr>
                <m:sty m:val="bi"/>
              </m:rPr>
              <w:rPr>
                <w:rFonts w:ascii="Cambria Math" w:hAnsi="Cambria Math" w:cs="Times New Roman"/>
              </w:rPr>
              <m:t>t</m:t>
            </m:r>
          </m:sub>
        </m:sSub>
        <m:r>
          <m:rPr>
            <m:sty m:val="b"/>
          </m:rPr>
          <w:rPr>
            <w:rFonts w:ascii="Cambria Math" w:eastAsiaTheme="minorEastAsia" w:hAnsi="Cambria Math" w:cs="Times New Roman"/>
            <w:lang w:val="en-US"/>
          </w:rPr>
          <m:t>+</m:t>
        </m:r>
        <m:sSub>
          <m:sSubPr>
            <m:ctrlPr>
              <w:rPr>
                <w:rFonts w:ascii="Cambria Math" w:eastAsiaTheme="minorEastAsia" w:hAnsi="Cambria Math" w:cs="Times New Roman"/>
                <w:b/>
              </w:rPr>
            </m:ctrlPr>
          </m:sSubPr>
          <m:e>
            <m:r>
              <m:rPr>
                <m:sty m:val="bi"/>
              </m:rPr>
              <w:rPr>
                <w:rFonts w:ascii="Cambria Math" w:eastAsiaTheme="minorEastAsia" w:hAnsi="Cambria Math" w:cs="Times New Roman"/>
              </w:rPr>
              <m:t>u</m:t>
            </m:r>
          </m:e>
          <m:sub>
            <m:r>
              <m:rPr>
                <m:sty m:val="bi"/>
              </m:rPr>
              <w:rPr>
                <w:rFonts w:ascii="Cambria Math" w:eastAsiaTheme="minorEastAsia" w:hAnsi="Cambria Math" w:cs="Times New Roman"/>
              </w:rPr>
              <m:t>4</m:t>
            </m:r>
            <m:r>
              <m:rPr>
                <m:sty m:val="bi"/>
              </m:rPr>
              <w:rPr>
                <w:rFonts w:ascii="Cambria Math" w:eastAsiaTheme="minorEastAsia" w:hAnsi="Cambria Math" w:cs="Times New Roman"/>
              </w:rPr>
              <m:t>t</m:t>
            </m:r>
          </m:sub>
        </m:sSub>
      </m:oMath>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r>
      <w:r w:rsidR="003F6B9C" w:rsidRPr="00870653">
        <w:rPr>
          <w:rFonts w:ascii="Book Antiqua" w:eastAsiaTheme="minorEastAsia" w:hAnsi="Book Antiqua"/>
          <w:lang w:val="en-US"/>
        </w:rPr>
        <w:tab/>
        <w:t xml:space="preserve">       </w:t>
      </w:r>
      <w:r w:rsidR="003F6B9C" w:rsidRPr="00870653">
        <w:rPr>
          <w:rFonts w:ascii="Book Antiqua" w:eastAsiaTheme="minorEastAsia" w:hAnsi="Book Antiqua"/>
          <w:sz w:val="20"/>
          <w:szCs w:val="20"/>
          <w:lang w:val="en-US"/>
        </w:rPr>
        <w:t>(8)</w:t>
      </w:r>
    </w:p>
    <w:p w14:paraId="57E85A55" w14:textId="3E02A571" w:rsidR="003F6B9C" w:rsidRPr="00997805" w:rsidRDefault="003F6B9C" w:rsidP="0007040B">
      <w:pPr>
        <w:spacing w:line="360" w:lineRule="auto"/>
        <w:jc w:val="both"/>
        <w:rPr>
          <w:rFonts w:ascii="Book Antiqua" w:eastAsiaTheme="minorEastAsia" w:hAnsi="Book Antiqua"/>
          <w:sz w:val="20"/>
          <w:szCs w:val="20"/>
        </w:rPr>
      </w:pPr>
      <w:r w:rsidRPr="00997805">
        <w:rPr>
          <w:rFonts w:ascii="Book Antiqua" w:eastAsiaTheme="minorEastAsia" w:hAnsi="Book Antiqua"/>
          <w:sz w:val="20"/>
          <w:szCs w:val="20"/>
        </w:rPr>
        <w:t>where:</w:t>
      </w:r>
    </w:p>
    <w:p w14:paraId="4A733308" w14:textId="33D32F5B" w:rsidR="003F6B9C" w:rsidRPr="00870653" w:rsidRDefault="003F6B9C" w:rsidP="003F6B9C">
      <w:pPr>
        <w:numPr>
          <w:ilvl w:val="0"/>
          <w:numId w:val="4"/>
        </w:numPr>
        <w:spacing w:line="360" w:lineRule="auto"/>
        <w:jc w:val="both"/>
        <w:rPr>
          <w:rFonts w:ascii="Book Antiqua" w:eastAsiaTheme="minorEastAsia" w:hAnsi="Book Antiqua"/>
          <w:sz w:val="20"/>
          <w:szCs w:val="20"/>
          <w:lang w:val="en-US"/>
        </w:rPr>
      </w:pPr>
      <m:oMath>
        <m:r>
          <w:rPr>
            <w:rFonts w:ascii="Cambria Math" w:eastAsiaTheme="minorEastAsia" w:hAnsi="Cambria Math"/>
            <w:sz w:val="20"/>
            <w:szCs w:val="20"/>
            <w:lang w:val="en-US"/>
          </w:rPr>
          <m:t>∆</m:t>
        </m:r>
        <m:sSub>
          <m:sSubPr>
            <m:ctrlPr>
              <w:rPr>
                <w:rFonts w:ascii="Cambria Math" w:eastAsiaTheme="minorEastAsia" w:hAnsi="Cambria Math"/>
                <w:i/>
                <w:sz w:val="20"/>
                <w:szCs w:val="20"/>
              </w:rPr>
            </m:ctrlPr>
          </m:sSubPr>
          <m:e>
            <m:r>
              <w:rPr>
                <w:rFonts w:ascii="Cambria Math" w:eastAsiaTheme="minorEastAsia" w:hAnsi="Cambria Math"/>
                <w:sz w:val="20"/>
                <w:szCs w:val="20"/>
              </w:rPr>
              <m:t>Intesa</m:t>
            </m:r>
          </m:e>
          <m:sub>
            <m:r>
              <w:rPr>
                <w:rFonts w:ascii="Cambria Math" w:eastAsiaTheme="minorEastAsia" w:hAnsi="Cambria Math"/>
                <w:sz w:val="20"/>
                <w:szCs w:val="20"/>
              </w:rPr>
              <m:t>t</m:t>
            </m:r>
          </m:sub>
        </m:sSub>
      </m:oMath>
      <w:r w:rsidRPr="00870653">
        <w:rPr>
          <w:rFonts w:ascii="Book Antiqua" w:eastAsiaTheme="minorEastAsia" w:hAnsi="Book Antiqua"/>
          <w:sz w:val="20"/>
          <w:szCs w:val="20"/>
          <w:lang w:val="en-US"/>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lang w:val="en-US"/>
              </w:rPr>
              <m:t>∆</m:t>
            </m:r>
            <m:r>
              <w:rPr>
                <w:rFonts w:ascii="Cambria Math" w:eastAsiaTheme="minorEastAsia" w:hAnsi="Cambria Math"/>
                <w:sz w:val="20"/>
                <w:szCs w:val="20"/>
              </w:rPr>
              <m:t>Unicredit</m:t>
            </m:r>
          </m:e>
          <m:sub>
            <m:r>
              <w:rPr>
                <w:rFonts w:ascii="Cambria Math" w:eastAsiaTheme="minorEastAsia" w:hAnsi="Cambria Math"/>
                <w:sz w:val="20"/>
                <w:szCs w:val="20"/>
              </w:rPr>
              <m:t>t</m:t>
            </m:r>
          </m:sub>
        </m:sSub>
      </m:oMath>
      <w:r w:rsidRPr="00870653">
        <w:rPr>
          <w:rFonts w:ascii="Book Antiqua" w:eastAsiaTheme="minorEastAsia" w:hAnsi="Book Antiqua"/>
          <w:sz w:val="20"/>
          <w:szCs w:val="20"/>
          <w:lang w:val="en-US"/>
        </w:rPr>
        <w:t xml:space="preserve">, </w:t>
      </w:r>
      <m:oMath>
        <m:r>
          <w:rPr>
            <w:rFonts w:ascii="Cambria Math" w:eastAsiaTheme="minorEastAsia" w:hAnsi="Cambria Math"/>
            <w:sz w:val="20"/>
            <w:szCs w:val="20"/>
            <w:lang w:val="en-US"/>
          </w:rPr>
          <m:t>∆</m:t>
        </m:r>
        <m:sSub>
          <m:sSubPr>
            <m:ctrlPr>
              <w:rPr>
                <w:rFonts w:ascii="Cambria Math" w:eastAsiaTheme="minorEastAsia" w:hAnsi="Cambria Math"/>
                <w:i/>
                <w:sz w:val="20"/>
                <w:szCs w:val="20"/>
              </w:rPr>
            </m:ctrlPr>
          </m:sSubPr>
          <m:e>
            <m:r>
              <w:rPr>
                <w:rFonts w:ascii="Cambria Math" w:eastAsiaTheme="minorEastAsia" w:hAnsi="Cambria Math"/>
                <w:sz w:val="20"/>
                <w:szCs w:val="20"/>
              </w:rPr>
              <m:t>Monte</m:t>
            </m:r>
            <m:r>
              <w:rPr>
                <w:rFonts w:ascii="Cambria Math" w:eastAsiaTheme="minorEastAsia" w:hAnsi="Cambria Math"/>
                <w:sz w:val="20"/>
                <w:szCs w:val="20"/>
                <w:lang w:val="en-US"/>
              </w:rPr>
              <m:t xml:space="preserve"> </m:t>
            </m:r>
            <m:r>
              <w:rPr>
                <w:rFonts w:ascii="Cambria Math" w:eastAsiaTheme="minorEastAsia" w:hAnsi="Cambria Math"/>
                <w:sz w:val="20"/>
                <w:szCs w:val="20"/>
              </w:rPr>
              <m:t>Dei</m:t>
            </m:r>
            <m:r>
              <w:rPr>
                <w:rFonts w:ascii="Cambria Math" w:eastAsiaTheme="minorEastAsia" w:hAnsi="Cambria Math"/>
                <w:sz w:val="20"/>
                <w:szCs w:val="20"/>
                <w:lang w:val="en-US"/>
              </w:rPr>
              <m:t xml:space="preserve"> </m:t>
            </m:r>
            <m:r>
              <w:rPr>
                <w:rFonts w:ascii="Cambria Math" w:eastAsiaTheme="minorEastAsia" w:hAnsi="Cambria Math"/>
                <w:sz w:val="20"/>
                <w:szCs w:val="20"/>
              </w:rPr>
              <m:t>Pasc</m:t>
            </m:r>
            <m:r>
              <w:rPr>
                <w:rFonts w:ascii="Cambria Math" w:eastAsiaTheme="minorEastAsia" w:hAnsi="Cambria Math"/>
                <w:sz w:val="20"/>
                <w:szCs w:val="20"/>
                <w:lang w:val="en-US"/>
              </w:rPr>
              <m:t>h</m:t>
            </m:r>
            <m:r>
              <w:rPr>
                <w:rFonts w:ascii="Cambria Math" w:eastAsiaTheme="minorEastAsia" w:hAnsi="Cambria Math"/>
                <w:sz w:val="20"/>
                <w:szCs w:val="20"/>
              </w:rPr>
              <m:t>i</m:t>
            </m:r>
          </m:e>
          <m:sub>
            <m:r>
              <w:rPr>
                <w:rFonts w:ascii="Cambria Math" w:eastAsiaTheme="minorEastAsia" w:hAnsi="Cambria Math"/>
                <w:sz w:val="20"/>
                <w:szCs w:val="20"/>
              </w:rPr>
              <m:t>t</m:t>
            </m:r>
          </m:sub>
        </m:sSub>
      </m:oMath>
      <w:r w:rsidRPr="00870653">
        <w:rPr>
          <w:rFonts w:ascii="Book Antiqua" w:eastAsiaTheme="minorEastAsia" w:hAnsi="Book Antiqua"/>
          <w:sz w:val="20"/>
          <w:szCs w:val="20"/>
          <w:lang w:val="en-US"/>
        </w:rPr>
        <w:t xml:space="preserve"> </w:t>
      </w:r>
      <w:r w:rsidR="005F0096" w:rsidRPr="00870653">
        <w:rPr>
          <w:rFonts w:ascii="Book Antiqua" w:eastAsiaTheme="minorEastAsia" w:hAnsi="Book Antiqua"/>
          <w:sz w:val="20"/>
          <w:szCs w:val="20"/>
          <w:lang w:val="en-US"/>
        </w:rPr>
        <w:t>and</w:t>
      </w:r>
      <w:r w:rsidRPr="00870653">
        <w:rPr>
          <w:rFonts w:ascii="Book Antiqua" w:eastAsiaTheme="minorEastAsia" w:hAnsi="Book Antiqua"/>
          <w:sz w:val="20"/>
          <w:szCs w:val="20"/>
          <w:lang w:val="en-US"/>
        </w:rPr>
        <w:t xml:space="preserve"> </w:t>
      </w:r>
      <m:oMath>
        <m:r>
          <w:rPr>
            <w:rFonts w:ascii="Cambria Math" w:eastAsiaTheme="minorEastAsia" w:hAnsi="Cambria Math"/>
            <w:sz w:val="20"/>
            <w:szCs w:val="20"/>
            <w:lang w:val="en-US"/>
          </w:rPr>
          <m:t>∆</m:t>
        </m:r>
        <m:sSub>
          <m:sSubPr>
            <m:ctrlPr>
              <w:rPr>
                <w:rFonts w:ascii="Cambria Math" w:eastAsiaTheme="minorEastAsia" w:hAnsi="Cambria Math"/>
                <w:i/>
                <w:sz w:val="20"/>
                <w:szCs w:val="20"/>
              </w:rPr>
            </m:ctrlPr>
          </m:sSubPr>
          <m:e>
            <m:r>
              <w:rPr>
                <w:rFonts w:ascii="Cambria Math" w:eastAsiaTheme="minorEastAsia" w:hAnsi="Cambria Math"/>
                <w:sz w:val="20"/>
                <w:szCs w:val="20"/>
              </w:rPr>
              <m:t>IBP</m:t>
            </m:r>
          </m:e>
          <m:sub>
            <m:r>
              <w:rPr>
                <w:rFonts w:ascii="Cambria Math" w:eastAsiaTheme="minorEastAsia" w:hAnsi="Cambria Math"/>
                <w:sz w:val="20"/>
                <w:szCs w:val="20"/>
              </w:rPr>
              <m:t>t</m:t>
            </m:r>
          </m:sub>
        </m:sSub>
        <m:r>
          <w:rPr>
            <w:rFonts w:ascii="Cambria Math" w:eastAsiaTheme="minorEastAsia" w:hAnsi="Cambria Math"/>
            <w:sz w:val="20"/>
            <w:szCs w:val="20"/>
            <w:lang w:val="en-US"/>
          </w:rPr>
          <m:t xml:space="preserve"> </m:t>
        </m:r>
      </m:oMath>
      <w:r w:rsidR="005F0096" w:rsidRPr="00870653">
        <w:rPr>
          <w:rFonts w:ascii="Book Antiqua" w:eastAsiaTheme="minorEastAsia" w:hAnsi="Book Antiqua"/>
          <w:sz w:val="20"/>
          <w:szCs w:val="20"/>
          <w:lang w:val="en-US"/>
        </w:rPr>
        <w:t xml:space="preserve">are, respectively, the </w:t>
      </w:r>
      <w:r w:rsidR="005F0096" w:rsidRPr="00870653">
        <w:rPr>
          <w:rFonts w:ascii="Book Antiqua" w:eastAsiaTheme="minorEastAsia" w:hAnsi="Book Antiqua"/>
          <w:i/>
          <w:iCs/>
          <w:sz w:val="20"/>
          <w:szCs w:val="20"/>
          <w:lang w:val="en-US"/>
        </w:rPr>
        <w:t xml:space="preserve">first difference </w:t>
      </w:r>
      <w:r w:rsidR="005F0096" w:rsidRPr="00870653">
        <w:rPr>
          <w:rFonts w:ascii="Book Antiqua" w:eastAsiaTheme="minorEastAsia" w:hAnsi="Book Antiqua"/>
          <w:sz w:val="20"/>
          <w:szCs w:val="20"/>
          <w:lang w:val="en-US"/>
        </w:rPr>
        <w:t xml:space="preserve">for </w:t>
      </w:r>
      <w:r w:rsidRPr="00870653">
        <w:rPr>
          <w:rFonts w:ascii="Book Antiqua" w:eastAsiaTheme="minorEastAsia" w:hAnsi="Book Antiqua"/>
          <w:i/>
          <w:iCs/>
          <w:sz w:val="20"/>
          <w:szCs w:val="20"/>
          <w:lang w:val="en-US"/>
        </w:rPr>
        <w:t xml:space="preserve">Intesa San Paolo CDS SR 5y D14, Unicredit CDS SR 5y D14, Monte dei Paschi CDS SR 5y D14 </w:t>
      </w:r>
      <w:r w:rsidR="005F0096" w:rsidRPr="00870653">
        <w:rPr>
          <w:rFonts w:ascii="Book Antiqua" w:eastAsiaTheme="minorEastAsia" w:hAnsi="Book Antiqua"/>
          <w:sz w:val="20"/>
          <w:szCs w:val="20"/>
          <w:lang w:val="en-US"/>
        </w:rPr>
        <w:t>and</w:t>
      </w:r>
      <w:r w:rsidRPr="00870653">
        <w:rPr>
          <w:rFonts w:ascii="Book Antiqua" w:eastAsiaTheme="minorEastAsia" w:hAnsi="Book Antiqua"/>
          <w:sz w:val="20"/>
          <w:szCs w:val="20"/>
          <w:lang w:val="en-US"/>
        </w:rPr>
        <w:t xml:space="preserve"> </w:t>
      </w:r>
      <w:r w:rsidR="00E64AF1" w:rsidRPr="00870653">
        <w:rPr>
          <w:rFonts w:ascii="Book Antiqua" w:eastAsiaTheme="minorEastAsia" w:hAnsi="Book Antiqua"/>
          <w:i/>
          <w:iCs/>
          <w:sz w:val="20"/>
          <w:szCs w:val="20"/>
          <w:lang w:val="en-US"/>
        </w:rPr>
        <w:t>Italian</w:t>
      </w:r>
      <w:r w:rsidRPr="00870653">
        <w:rPr>
          <w:rFonts w:ascii="Book Antiqua" w:eastAsiaTheme="minorEastAsia" w:hAnsi="Book Antiqua"/>
          <w:i/>
          <w:iCs/>
          <w:sz w:val="20"/>
          <w:szCs w:val="20"/>
          <w:lang w:val="en-US"/>
        </w:rPr>
        <w:t xml:space="preserve"> banks proxy CDS SR 5y D14</w:t>
      </w:r>
      <w:r w:rsidRPr="00870653">
        <w:rPr>
          <w:rFonts w:ascii="Book Antiqua" w:eastAsiaTheme="minorEastAsia" w:hAnsi="Book Antiqua"/>
          <w:sz w:val="20"/>
          <w:szCs w:val="20"/>
          <w:lang w:val="en-US"/>
        </w:rPr>
        <w:t>;</w:t>
      </w:r>
    </w:p>
    <w:p w14:paraId="3FCA6D0A" w14:textId="45BF3260" w:rsidR="003F6B9C" w:rsidRPr="00870653" w:rsidRDefault="00E9210F" w:rsidP="003F6B9C">
      <w:pPr>
        <w:numPr>
          <w:ilvl w:val="0"/>
          <w:numId w:val="4"/>
        </w:numPr>
        <w:spacing w:line="360" w:lineRule="auto"/>
        <w:jc w:val="both"/>
        <w:rPr>
          <w:rFonts w:ascii="Book Antiqua" w:eastAsiaTheme="minorEastAsia" w:hAnsi="Book Antiqua"/>
          <w:sz w:val="20"/>
          <w:szCs w:val="20"/>
          <w:lang w:val="en-US"/>
        </w:rPr>
      </w:pPr>
      <m:oMath>
        <m:sSub>
          <m:sSubPr>
            <m:ctrlPr>
              <w:rPr>
                <w:rFonts w:ascii="Cambria Math" w:eastAsiaTheme="minorEastAsia" w:hAnsi="Cambria Math"/>
                <w:i/>
                <w:sz w:val="20"/>
                <w:szCs w:val="20"/>
              </w:rPr>
            </m:ctrlPr>
          </m:sSubPr>
          <m:e>
            <m:r>
              <w:rPr>
                <w:rFonts w:ascii="Cambria Math" w:eastAsiaTheme="minorEastAsia" w:hAnsi="Cambria Math"/>
                <w:sz w:val="20"/>
                <w:szCs w:val="20"/>
                <w:lang w:val="en-US"/>
              </w:rPr>
              <m:t>∆</m:t>
            </m:r>
            <m:r>
              <w:rPr>
                <w:rFonts w:ascii="Cambria Math" w:eastAsiaTheme="minorEastAsia" w:hAnsi="Cambria Math"/>
                <w:sz w:val="20"/>
                <w:szCs w:val="20"/>
              </w:rPr>
              <m:t>X</m:t>
            </m:r>
          </m:e>
          <m:sub>
            <m:r>
              <w:rPr>
                <w:rFonts w:ascii="Cambria Math" w:eastAsiaTheme="minorEastAsia" w:hAnsi="Cambria Math"/>
                <w:sz w:val="20"/>
                <w:szCs w:val="20"/>
                <w:lang w:val="en-US"/>
              </w:rPr>
              <m:t>1</m:t>
            </m:r>
            <m:r>
              <w:rPr>
                <w:rFonts w:ascii="Cambria Math" w:eastAsiaTheme="minorEastAsia" w:hAnsi="Cambria Math"/>
                <w:sz w:val="20"/>
                <w:szCs w:val="20"/>
              </w:rPr>
              <m:t>t</m:t>
            </m:r>
          </m:sub>
        </m:sSub>
      </m:oMath>
      <w:r w:rsidR="003F6B9C" w:rsidRPr="00870653">
        <w:rPr>
          <w:rFonts w:ascii="Book Antiqua" w:eastAsiaTheme="minorEastAsia" w:hAnsi="Book Antiqua"/>
          <w:sz w:val="20"/>
          <w:szCs w:val="20"/>
          <w:lang w:val="en-US"/>
        </w:rPr>
        <w:t xml:space="preserve"> </w:t>
      </w:r>
      <w:r w:rsidR="005F0096" w:rsidRPr="00870653">
        <w:rPr>
          <w:rFonts w:ascii="Book Antiqua" w:eastAsiaTheme="minorEastAsia" w:hAnsi="Book Antiqua"/>
          <w:sz w:val="20"/>
          <w:szCs w:val="20"/>
          <w:lang w:val="en-US"/>
        </w:rPr>
        <w:t xml:space="preserve">is the </w:t>
      </w:r>
      <w:r w:rsidR="005F0096" w:rsidRPr="00870653">
        <w:rPr>
          <w:rFonts w:ascii="Book Antiqua" w:eastAsiaTheme="minorEastAsia" w:hAnsi="Book Antiqua"/>
          <w:i/>
          <w:iCs/>
          <w:sz w:val="20"/>
          <w:szCs w:val="20"/>
          <w:lang w:val="en-US"/>
        </w:rPr>
        <w:t>first difference</w:t>
      </w:r>
      <w:r w:rsidR="005F0096" w:rsidRPr="00870653">
        <w:rPr>
          <w:rFonts w:ascii="Book Antiqua" w:eastAsiaTheme="minorEastAsia" w:hAnsi="Book Antiqua"/>
          <w:sz w:val="20"/>
          <w:szCs w:val="20"/>
          <w:lang w:val="en-US"/>
        </w:rPr>
        <w:t xml:space="preserve"> for</w:t>
      </w:r>
      <w:r w:rsidR="003F6B9C" w:rsidRPr="00870653">
        <w:rPr>
          <w:rFonts w:ascii="Book Antiqua" w:eastAsiaTheme="minorEastAsia" w:hAnsi="Book Antiqua"/>
          <w:sz w:val="20"/>
          <w:szCs w:val="20"/>
          <w:lang w:val="en-US"/>
        </w:rPr>
        <w:t xml:space="preserve"> </w:t>
      </w:r>
      <w:r w:rsidR="003F6B9C" w:rsidRPr="00870653">
        <w:rPr>
          <w:rFonts w:ascii="Book Antiqua" w:eastAsiaTheme="minorEastAsia" w:hAnsi="Book Antiqua"/>
          <w:i/>
          <w:iCs/>
          <w:sz w:val="20"/>
          <w:szCs w:val="20"/>
          <w:lang w:val="en-US"/>
        </w:rPr>
        <w:t>Italy Redenomination Risk</w:t>
      </w:r>
      <w:r w:rsidR="003F6B9C" w:rsidRPr="00870653">
        <w:rPr>
          <w:rFonts w:ascii="Book Antiqua" w:eastAsiaTheme="minorEastAsia" w:hAnsi="Book Antiqua"/>
          <w:sz w:val="20"/>
          <w:szCs w:val="20"/>
          <w:lang w:val="en-US"/>
        </w:rPr>
        <w:t xml:space="preserve"> </w:t>
      </w:r>
      <w:r w:rsidR="00C83C84" w:rsidRPr="00870653">
        <w:rPr>
          <w:rFonts w:ascii="Book Antiqua" w:eastAsiaTheme="minorEastAsia" w:hAnsi="Book Antiqua"/>
          <w:sz w:val="20"/>
          <w:szCs w:val="20"/>
          <w:lang w:val="en-US"/>
        </w:rPr>
        <w:t>and</w:t>
      </w:r>
      <w:r w:rsidR="003F6B9C" w:rsidRPr="00870653">
        <w:rPr>
          <w:rFonts w:ascii="Book Antiqua" w:eastAsiaTheme="minorEastAsia" w:hAnsi="Book Antiqua"/>
          <w:sz w:val="20"/>
          <w:szCs w:val="20"/>
          <w:lang w:val="en-US"/>
        </w:rPr>
        <w:t xml:space="preserve"> </w:t>
      </w:r>
      <m:oMath>
        <m:sSub>
          <m:sSubPr>
            <m:ctrlPr>
              <w:rPr>
                <w:rFonts w:ascii="Cambria Math" w:eastAsiaTheme="minorEastAsia" w:hAnsi="Cambria Math"/>
                <w:i/>
                <w:sz w:val="20"/>
                <w:szCs w:val="20"/>
              </w:rPr>
            </m:ctrlPr>
          </m:sSubPr>
          <m:e>
            <m:r>
              <w:rPr>
                <w:rFonts w:ascii="Cambria Math" w:eastAsiaTheme="minorEastAsia" w:hAnsi="Cambria Math"/>
                <w:sz w:val="20"/>
                <w:szCs w:val="20"/>
                <w:lang w:val="en-US"/>
              </w:rPr>
              <m:t>∆</m:t>
            </m:r>
            <m:r>
              <w:rPr>
                <w:rFonts w:ascii="Cambria Math" w:eastAsiaTheme="minorEastAsia" w:hAnsi="Cambria Math"/>
                <w:sz w:val="20"/>
                <w:szCs w:val="20"/>
              </w:rPr>
              <m:t>X</m:t>
            </m:r>
          </m:e>
          <m:sub>
            <m:r>
              <w:rPr>
                <w:rFonts w:ascii="Cambria Math" w:eastAsiaTheme="minorEastAsia" w:hAnsi="Cambria Math"/>
                <w:sz w:val="20"/>
                <w:szCs w:val="20"/>
                <w:lang w:val="en-US"/>
              </w:rPr>
              <m:t>2</m:t>
            </m:r>
            <m:r>
              <w:rPr>
                <w:rFonts w:ascii="Cambria Math" w:eastAsiaTheme="minorEastAsia" w:hAnsi="Cambria Math"/>
                <w:sz w:val="20"/>
                <w:szCs w:val="20"/>
              </w:rPr>
              <m:t>t</m:t>
            </m:r>
          </m:sub>
        </m:sSub>
      </m:oMath>
      <w:r w:rsidR="005F0096" w:rsidRPr="00870653">
        <w:rPr>
          <w:rFonts w:ascii="Book Antiqua" w:eastAsiaTheme="minorEastAsia" w:hAnsi="Book Antiqua"/>
          <w:sz w:val="20"/>
          <w:szCs w:val="20"/>
          <w:lang w:val="en-US"/>
        </w:rPr>
        <w:t xml:space="preserve"> is the </w:t>
      </w:r>
      <w:r w:rsidR="005F0096" w:rsidRPr="00870653">
        <w:rPr>
          <w:rFonts w:ascii="Book Antiqua" w:eastAsiaTheme="minorEastAsia" w:hAnsi="Book Antiqua"/>
          <w:i/>
          <w:iCs/>
          <w:sz w:val="20"/>
          <w:szCs w:val="20"/>
          <w:lang w:val="en-US"/>
        </w:rPr>
        <w:t>first difference</w:t>
      </w:r>
      <w:r w:rsidR="005F0096" w:rsidRPr="00870653">
        <w:rPr>
          <w:rFonts w:ascii="Book Antiqua" w:eastAsiaTheme="minorEastAsia" w:hAnsi="Book Antiqua"/>
          <w:sz w:val="20"/>
          <w:szCs w:val="20"/>
          <w:lang w:val="en-US"/>
        </w:rPr>
        <w:t xml:space="preserve"> for</w:t>
      </w:r>
      <w:r w:rsidR="003F6B9C" w:rsidRPr="00870653">
        <w:rPr>
          <w:rFonts w:ascii="Book Antiqua" w:eastAsiaTheme="minorEastAsia" w:hAnsi="Book Antiqua"/>
          <w:sz w:val="20"/>
          <w:szCs w:val="20"/>
          <w:lang w:val="en-US"/>
        </w:rPr>
        <w:t xml:space="preserve"> </w:t>
      </w:r>
      <w:r w:rsidR="003F6B9C" w:rsidRPr="00870653">
        <w:rPr>
          <w:rFonts w:ascii="Book Antiqua" w:eastAsiaTheme="minorEastAsia" w:hAnsi="Book Antiqua"/>
          <w:i/>
          <w:iCs/>
          <w:sz w:val="20"/>
          <w:szCs w:val="20"/>
          <w:lang w:val="en-US"/>
        </w:rPr>
        <w:t>Spread It-Ge</w:t>
      </w:r>
      <w:r w:rsidR="00CD0DF6" w:rsidRPr="00870653">
        <w:rPr>
          <w:rFonts w:ascii="Book Antiqua" w:eastAsiaTheme="minorEastAsia" w:hAnsi="Book Antiqua"/>
          <w:sz w:val="20"/>
          <w:szCs w:val="20"/>
          <w:lang w:val="en-US"/>
        </w:rPr>
        <w:t>.</w:t>
      </w:r>
    </w:p>
    <w:p w14:paraId="291BD6F2" w14:textId="3F0054DD" w:rsidR="001A20AC" w:rsidRDefault="001A20AC" w:rsidP="0016291A">
      <w:pPr>
        <w:pStyle w:val="Paragrafoelenco"/>
        <w:numPr>
          <w:ilvl w:val="0"/>
          <w:numId w:val="39"/>
        </w:numPr>
        <w:spacing w:line="360" w:lineRule="auto"/>
        <w:ind w:left="284" w:hanging="284"/>
        <w:jc w:val="both"/>
        <w:rPr>
          <w:rFonts w:ascii="Book Antiqua" w:hAnsi="Book Antiqua"/>
          <w:b/>
          <w:bCs/>
          <w:sz w:val="28"/>
          <w:szCs w:val="28"/>
        </w:rPr>
      </w:pPr>
      <w:r w:rsidRPr="001A20AC">
        <w:rPr>
          <w:rFonts w:ascii="Book Antiqua" w:hAnsi="Book Antiqua"/>
          <w:b/>
          <w:bCs/>
          <w:sz w:val="28"/>
          <w:szCs w:val="28"/>
        </w:rPr>
        <w:t>Results</w:t>
      </w:r>
    </w:p>
    <w:p w14:paraId="10EC5C77" w14:textId="71EC229F" w:rsidR="00A256BA" w:rsidRPr="00870653" w:rsidRDefault="00644EB4" w:rsidP="00A06701">
      <w:pPr>
        <w:spacing w:line="360" w:lineRule="auto"/>
        <w:jc w:val="both"/>
        <w:rPr>
          <w:rFonts w:ascii="Book Antiqua" w:hAnsi="Book Antiqua"/>
          <w:i/>
          <w:iCs/>
          <w:sz w:val="20"/>
          <w:szCs w:val="20"/>
          <w:lang w:val="en-US"/>
        </w:rPr>
      </w:pPr>
      <w:r w:rsidRPr="00870653">
        <w:rPr>
          <w:rFonts w:ascii="Book Antiqua" w:hAnsi="Book Antiqua"/>
          <w:sz w:val="20"/>
          <w:szCs w:val="20"/>
          <w:lang w:val="en-US"/>
        </w:rPr>
        <w:t>This section presents th</w:t>
      </w:r>
      <w:r w:rsidR="00F53124" w:rsidRPr="00870653">
        <w:rPr>
          <w:rFonts w:ascii="Book Antiqua" w:hAnsi="Book Antiqua"/>
          <w:sz w:val="20"/>
          <w:szCs w:val="20"/>
          <w:lang w:val="en-US"/>
        </w:rPr>
        <w:t>e results of the analysis. R</w:t>
      </w:r>
      <w:r w:rsidRPr="00870653">
        <w:rPr>
          <w:rFonts w:ascii="Book Antiqua" w:hAnsi="Book Antiqua"/>
          <w:sz w:val="20"/>
          <w:szCs w:val="20"/>
          <w:lang w:val="en-US"/>
        </w:rPr>
        <w:t xml:space="preserve">esults refer to the CDS spreads of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banking system</w:t>
      </w:r>
      <w:r w:rsidR="00A256BA" w:rsidRPr="00870653">
        <w:rPr>
          <w:rFonts w:ascii="Book Antiqua" w:hAnsi="Book Antiqua"/>
          <w:sz w:val="20"/>
          <w:szCs w:val="20"/>
          <w:lang w:val="en-US"/>
        </w:rPr>
        <w:t xml:space="preserve"> proxy</w:t>
      </w:r>
      <w:r w:rsidR="00015718" w:rsidRPr="00870653">
        <w:rPr>
          <w:rFonts w:ascii="Book Antiqua" w:hAnsi="Book Antiqua"/>
          <w:sz w:val="20"/>
          <w:szCs w:val="20"/>
          <w:lang w:val="en-US"/>
        </w:rPr>
        <w:t xml:space="preserve"> (</w:t>
      </w:r>
      <m:oMath>
        <m:sSub>
          <m:sSubPr>
            <m:ctrlPr>
              <w:rPr>
                <w:rFonts w:ascii="Cambria Math" w:hAnsi="Cambria Math" w:cs="Times New Roman"/>
                <w:b/>
                <w:i/>
              </w:rPr>
            </m:ctrlPr>
          </m:sSubPr>
          <m:e>
            <m:r>
              <m:rPr>
                <m:sty m:val="bi"/>
              </m:rPr>
              <w:rPr>
                <w:rFonts w:ascii="Cambria Math" w:hAnsi="Cambria Math" w:cs="Times New Roman"/>
                <w:lang w:val="en-US"/>
              </w:rPr>
              <m:t>∆</m:t>
            </m:r>
            <m:r>
              <m:rPr>
                <m:sty m:val="bi"/>
              </m:rPr>
              <w:rPr>
                <w:rFonts w:ascii="Cambria Math" w:hAnsi="Cambria Math" w:cs="Times New Roman"/>
              </w:rPr>
              <m:t>IBP</m:t>
            </m:r>
          </m:e>
          <m:sub>
            <m:r>
              <m:rPr>
                <m:sty m:val="bi"/>
              </m:rPr>
              <w:rPr>
                <w:rFonts w:ascii="Cambria Math" w:hAnsi="Cambria Math" w:cs="Times New Roman"/>
              </w:rPr>
              <m:t>t</m:t>
            </m:r>
          </m:sub>
        </m:sSub>
      </m:oMath>
      <w:r w:rsidR="00015718" w:rsidRPr="00870653">
        <w:rPr>
          <w:rFonts w:ascii="Book Antiqua" w:hAnsi="Book Antiqua"/>
          <w:sz w:val="20"/>
          <w:szCs w:val="20"/>
          <w:lang w:val="en-US"/>
        </w:rPr>
        <w:t>)</w:t>
      </w:r>
      <w:r w:rsidRPr="00870653">
        <w:rPr>
          <w:rFonts w:ascii="Book Antiqua" w:hAnsi="Book Antiqua"/>
          <w:sz w:val="20"/>
          <w:szCs w:val="20"/>
          <w:lang w:val="en-US"/>
        </w:rPr>
        <w:t xml:space="preserve">, while the results for each </w:t>
      </w:r>
      <w:r w:rsidR="00A256BA" w:rsidRPr="00870653">
        <w:rPr>
          <w:rFonts w:ascii="Book Antiqua" w:hAnsi="Book Antiqua"/>
          <w:sz w:val="20"/>
          <w:szCs w:val="20"/>
          <w:lang w:val="en-US"/>
        </w:rPr>
        <w:t xml:space="preserve">single </w:t>
      </w:r>
      <w:r w:rsidRPr="00870653">
        <w:rPr>
          <w:rFonts w:ascii="Book Antiqua" w:hAnsi="Book Antiqua"/>
          <w:sz w:val="20"/>
          <w:szCs w:val="20"/>
          <w:lang w:val="en-US"/>
        </w:rPr>
        <w:t>bank</w:t>
      </w:r>
      <w:r w:rsidR="00A256BA" w:rsidRPr="00870653">
        <w:rPr>
          <w:rFonts w:ascii="Book Antiqua" w:hAnsi="Book Antiqua"/>
          <w:sz w:val="20"/>
          <w:szCs w:val="20"/>
          <w:lang w:val="en-US"/>
        </w:rPr>
        <w:t xml:space="preserve"> of the sample</w:t>
      </w:r>
      <w:r w:rsidR="00EE236C" w:rsidRPr="00870653">
        <w:rPr>
          <w:rFonts w:ascii="Book Antiqua" w:hAnsi="Book Antiqua"/>
          <w:sz w:val="20"/>
          <w:szCs w:val="20"/>
          <w:lang w:val="en-US"/>
        </w:rPr>
        <w:t xml:space="preserve"> are reported in Appendix A.2.</w:t>
      </w:r>
      <w:r w:rsidR="00631E3E" w:rsidRPr="00870653">
        <w:rPr>
          <w:rFonts w:ascii="Book Antiqua" w:hAnsi="Book Antiqua"/>
          <w:sz w:val="20"/>
          <w:szCs w:val="20"/>
          <w:lang w:val="en-US"/>
        </w:rPr>
        <w:t xml:space="preserve"> </w:t>
      </w:r>
      <w:r w:rsidRPr="00870653">
        <w:rPr>
          <w:rFonts w:ascii="Book Antiqua" w:hAnsi="Book Antiqua"/>
          <w:sz w:val="20"/>
          <w:szCs w:val="20"/>
          <w:lang w:val="en-US"/>
        </w:rPr>
        <w:t xml:space="preserve">The </w:t>
      </w:r>
      <w:r w:rsidR="00631E3E" w:rsidRPr="00870653">
        <w:rPr>
          <w:rFonts w:ascii="Book Antiqua" w:hAnsi="Book Antiqua"/>
          <w:sz w:val="20"/>
          <w:szCs w:val="20"/>
          <w:lang w:val="en-US"/>
        </w:rPr>
        <w:t>augmented Dickey-Fuller Test (</w:t>
      </w:r>
      <w:r w:rsidRPr="00870653">
        <w:rPr>
          <w:rFonts w:ascii="Book Antiqua" w:hAnsi="Book Antiqua"/>
          <w:sz w:val="20"/>
          <w:szCs w:val="20"/>
          <w:lang w:val="en-US"/>
        </w:rPr>
        <w:t>see</w:t>
      </w:r>
      <w:r w:rsidR="00631E3E" w:rsidRPr="00870653">
        <w:rPr>
          <w:rFonts w:ascii="Book Antiqua" w:hAnsi="Book Antiqua"/>
          <w:sz w:val="20"/>
          <w:szCs w:val="20"/>
          <w:lang w:val="en-US"/>
        </w:rPr>
        <w:t xml:space="preserve"> Appendi</w:t>
      </w:r>
      <w:r w:rsidRPr="00870653">
        <w:rPr>
          <w:rFonts w:ascii="Book Antiqua" w:hAnsi="Book Antiqua"/>
          <w:sz w:val="20"/>
          <w:szCs w:val="20"/>
          <w:lang w:val="en-US"/>
        </w:rPr>
        <w:t>x</w:t>
      </w:r>
      <w:r w:rsidR="004F365F" w:rsidRPr="00870653">
        <w:rPr>
          <w:rFonts w:ascii="Book Antiqua" w:hAnsi="Book Antiqua"/>
          <w:sz w:val="20"/>
          <w:szCs w:val="20"/>
          <w:lang w:val="en-US"/>
        </w:rPr>
        <w:t xml:space="preserve"> A.1</w:t>
      </w:r>
      <w:r w:rsidR="00631E3E" w:rsidRPr="00870653">
        <w:rPr>
          <w:rFonts w:ascii="Book Antiqua" w:hAnsi="Book Antiqua"/>
          <w:sz w:val="20"/>
          <w:szCs w:val="20"/>
          <w:lang w:val="en-US"/>
        </w:rPr>
        <w:t>)</w:t>
      </w:r>
      <w:r w:rsidRPr="00870653">
        <w:rPr>
          <w:rFonts w:ascii="Book Antiqua" w:hAnsi="Book Antiqua"/>
          <w:sz w:val="20"/>
          <w:szCs w:val="20"/>
          <w:lang w:val="en-US"/>
        </w:rPr>
        <w:t xml:space="preserve"> shows that series are stationary</w:t>
      </w:r>
      <w:r w:rsidR="00A256BA" w:rsidRPr="00870653">
        <w:rPr>
          <w:rFonts w:ascii="Book Antiqua" w:hAnsi="Book Antiqua"/>
          <w:sz w:val="20"/>
          <w:szCs w:val="20"/>
          <w:lang w:val="en-US"/>
        </w:rPr>
        <w:t xml:space="preserve"> in each rolling window</w:t>
      </w:r>
      <w:r w:rsidR="00631E3E" w:rsidRPr="00870653">
        <w:rPr>
          <w:rFonts w:ascii="Book Antiqua" w:hAnsi="Book Antiqua"/>
          <w:sz w:val="20"/>
          <w:szCs w:val="20"/>
          <w:lang w:val="en-US"/>
        </w:rPr>
        <w:t xml:space="preserve">. </w:t>
      </w:r>
      <w:r w:rsidR="00B414C6" w:rsidRPr="00870653">
        <w:rPr>
          <w:rFonts w:ascii="Book Antiqua" w:hAnsi="Book Antiqua"/>
          <w:sz w:val="20"/>
          <w:szCs w:val="20"/>
          <w:lang w:val="en-US"/>
        </w:rPr>
        <w:t xml:space="preserve">The </w:t>
      </w:r>
      <w:r w:rsidR="00B414C6" w:rsidRPr="00870653">
        <w:rPr>
          <w:rFonts w:ascii="Book Antiqua" w:hAnsi="Book Antiqua"/>
          <w:i/>
          <w:iCs/>
          <w:sz w:val="20"/>
          <w:szCs w:val="20"/>
          <w:lang w:val="en-US"/>
        </w:rPr>
        <w:t>D</w:t>
      </w:r>
      <w:r w:rsidR="00A256BA" w:rsidRPr="00870653">
        <w:rPr>
          <w:rFonts w:ascii="Book Antiqua" w:hAnsi="Book Antiqua"/>
          <w:i/>
          <w:iCs/>
          <w:sz w:val="20"/>
          <w:szCs w:val="20"/>
          <w:lang w:val="en-US"/>
        </w:rPr>
        <w:t>urbin-</w:t>
      </w:r>
      <w:r w:rsidR="00B414C6" w:rsidRPr="00870653">
        <w:rPr>
          <w:rFonts w:ascii="Book Antiqua" w:hAnsi="Book Antiqua"/>
          <w:i/>
          <w:iCs/>
          <w:sz w:val="20"/>
          <w:szCs w:val="20"/>
          <w:lang w:val="en-US"/>
        </w:rPr>
        <w:t>Watson</w:t>
      </w:r>
      <w:r w:rsidR="00B414C6" w:rsidRPr="00E932A6">
        <w:rPr>
          <w:rFonts w:ascii="Book Antiqua" w:hAnsi="Book Antiqua"/>
          <w:i/>
          <w:iCs/>
          <w:sz w:val="20"/>
          <w:szCs w:val="20"/>
          <w:vertAlign w:val="superscript"/>
        </w:rPr>
        <w:footnoteReference w:id="7"/>
      </w:r>
      <w:r w:rsidR="00B414C6" w:rsidRPr="00870653">
        <w:rPr>
          <w:rFonts w:ascii="Book Antiqua" w:hAnsi="Book Antiqua"/>
          <w:sz w:val="20"/>
          <w:szCs w:val="20"/>
          <w:lang w:val="en-US"/>
        </w:rPr>
        <w:t xml:space="preserve"> </w:t>
      </w:r>
      <w:r w:rsidR="00B414C6" w:rsidRPr="00870653">
        <w:rPr>
          <w:rFonts w:ascii="Book Antiqua" w:hAnsi="Book Antiqua"/>
          <w:i/>
          <w:iCs/>
          <w:sz w:val="20"/>
          <w:szCs w:val="20"/>
          <w:lang w:val="en-US"/>
        </w:rPr>
        <w:t>statistic</w:t>
      </w:r>
      <w:r w:rsidR="00B414C6" w:rsidRPr="00870653">
        <w:rPr>
          <w:rFonts w:ascii="Book Antiqua" w:hAnsi="Book Antiqua"/>
          <w:sz w:val="20"/>
          <w:szCs w:val="20"/>
          <w:lang w:val="en-US"/>
        </w:rPr>
        <w:t xml:space="preserve"> is shown in the results</w:t>
      </w:r>
      <w:r w:rsidR="00314FA2" w:rsidRPr="00870653">
        <w:rPr>
          <w:rFonts w:ascii="Book Antiqua" w:hAnsi="Book Antiqua"/>
          <w:sz w:val="20"/>
          <w:szCs w:val="20"/>
          <w:lang w:val="en-US"/>
        </w:rPr>
        <w:t xml:space="preserve">’ </w:t>
      </w:r>
      <w:r w:rsidR="00B414C6" w:rsidRPr="00870653">
        <w:rPr>
          <w:rFonts w:ascii="Book Antiqua" w:hAnsi="Book Antiqua"/>
          <w:sz w:val="20"/>
          <w:szCs w:val="20"/>
          <w:lang w:val="en-US"/>
        </w:rPr>
        <w:t>table (see Table 1</w:t>
      </w:r>
      <w:r w:rsidR="00A256BA" w:rsidRPr="00870653">
        <w:rPr>
          <w:rFonts w:ascii="Book Antiqua" w:hAnsi="Book Antiqua"/>
          <w:sz w:val="20"/>
          <w:szCs w:val="20"/>
          <w:lang w:val="en-US"/>
        </w:rPr>
        <w:t>)</w:t>
      </w:r>
      <w:r w:rsidR="00B414C6" w:rsidRPr="00870653">
        <w:rPr>
          <w:rFonts w:ascii="Book Antiqua" w:hAnsi="Book Antiqua"/>
          <w:sz w:val="20"/>
          <w:szCs w:val="20"/>
          <w:lang w:val="en-US"/>
        </w:rPr>
        <w:t xml:space="preserve"> and </w:t>
      </w:r>
      <w:r w:rsidR="00A256BA" w:rsidRPr="00870653">
        <w:rPr>
          <w:rFonts w:ascii="Book Antiqua" w:hAnsi="Book Antiqua"/>
          <w:sz w:val="20"/>
          <w:szCs w:val="20"/>
          <w:lang w:val="en-US"/>
        </w:rPr>
        <w:t>proves</w:t>
      </w:r>
      <w:r w:rsidR="00B414C6" w:rsidRPr="00870653">
        <w:rPr>
          <w:rFonts w:ascii="Book Antiqua" w:hAnsi="Book Antiqua"/>
          <w:sz w:val="20"/>
          <w:szCs w:val="20"/>
          <w:lang w:val="en-US"/>
        </w:rPr>
        <w:t xml:space="preserve"> the absence of </w:t>
      </w:r>
      <w:r w:rsidR="00B414C6" w:rsidRPr="00870653">
        <w:rPr>
          <w:rFonts w:ascii="Book Antiqua" w:hAnsi="Book Antiqua"/>
          <w:i/>
          <w:iCs/>
          <w:sz w:val="20"/>
          <w:szCs w:val="20"/>
          <w:lang w:val="en-US"/>
        </w:rPr>
        <w:t>serial</w:t>
      </w:r>
      <w:r w:rsidR="00B414C6" w:rsidRPr="00870653">
        <w:rPr>
          <w:rFonts w:ascii="Book Antiqua" w:hAnsi="Book Antiqua"/>
          <w:sz w:val="20"/>
          <w:szCs w:val="20"/>
          <w:lang w:val="en-US"/>
        </w:rPr>
        <w:t xml:space="preserve"> </w:t>
      </w:r>
      <w:r w:rsidR="00B414C6" w:rsidRPr="00870653">
        <w:rPr>
          <w:rFonts w:ascii="Book Antiqua" w:hAnsi="Book Antiqua"/>
          <w:i/>
          <w:iCs/>
          <w:sz w:val="20"/>
          <w:szCs w:val="20"/>
          <w:lang w:val="en-US"/>
        </w:rPr>
        <w:t xml:space="preserve">correlation. </w:t>
      </w:r>
      <w:r w:rsidR="00B414C6" w:rsidRPr="00997805">
        <w:rPr>
          <w:rFonts w:ascii="Book Antiqua" w:hAnsi="Book Antiqua"/>
          <w:sz w:val="20"/>
          <w:szCs w:val="20"/>
          <w:lang w:val="en-US"/>
        </w:rPr>
        <w:t>Table 1</w:t>
      </w:r>
      <w:r w:rsidR="00B414C6" w:rsidRPr="00870653">
        <w:rPr>
          <w:rFonts w:ascii="Book Antiqua" w:hAnsi="Book Antiqua"/>
          <w:sz w:val="20"/>
          <w:szCs w:val="20"/>
          <w:lang w:val="en-US"/>
        </w:rPr>
        <w:t xml:space="preserve"> shows the estimated </w:t>
      </w:r>
      <w:r w:rsidR="00EE236C" w:rsidRPr="00870653">
        <w:rPr>
          <w:rFonts w:ascii="Book Antiqua" w:hAnsi="Book Antiqua"/>
          <w:sz w:val="20"/>
          <w:szCs w:val="20"/>
          <w:lang w:val="en-US"/>
        </w:rPr>
        <w:t xml:space="preserve">rolling </w:t>
      </w:r>
      <w:r w:rsidR="00B414C6" w:rsidRPr="00870653">
        <w:rPr>
          <w:rFonts w:ascii="Book Antiqua" w:hAnsi="Book Antiqua"/>
          <w:sz w:val="20"/>
          <w:szCs w:val="20"/>
          <w:lang w:val="en-US"/>
        </w:rPr>
        <w:t xml:space="preserve">coefficients for the </w:t>
      </w:r>
      <w:r w:rsidR="00AB26DE" w:rsidRPr="00870653">
        <w:rPr>
          <w:rFonts w:ascii="Book Antiqua" w:hAnsi="Book Antiqua"/>
          <w:sz w:val="20"/>
          <w:szCs w:val="20"/>
          <w:lang w:val="en-US"/>
        </w:rPr>
        <w:t>January</w:t>
      </w:r>
      <w:r w:rsidR="00631E3E" w:rsidRPr="00870653">
        <w:rPr>
          <w:rFonts w:ascii="Book Antiqua" w:hAnsi="Book Antiqua"/>
          <w:sz w:val="20"/>
          <w:szCs w:val="20"/>
          <w:lang w:val="en-US"/>
        </w:rPr>
        <w:t xml:space="preserve"> 2008</w:t>
      </w:r>
      <w:r w:rsidR="00B414C6" w:rsidRPr="00870653">
        <w:rPr>
          <w:rFonts w:ascii="Book Antiqua" w:hAnsi="Book Antiqua"/>
          <w:sz w:val="20"/>
          <w:szCs w:val="20"/>
          <w:lang w:val="en-US"/>
        </w:rPr>
        <w:t xml:space="preserve"> </w:t>
      </w:r>
      <w:r w:rsidR="00631E3E" w:rsidRPr="00870653">
        <w:rPr>
          <w:rFonts w:ascii="Book Antiqua" w:hAnsi="Book Antiqua"/>
          <w:sz w:val="20"/>
          <w:szCs w:val="20"/>
          <w:lang w:val="en-US"/>
        </w:rPr>
        <w:t xml:space="preserve">- </w:t>
      </w:r>
      <w:r w:rsidR="00AB26DE" w:rsidRPr="00870653">
        <w:rPr>
          <w:rFonts w:ascii="Book Antiqua" w:hAnsi="Book Antiqua"/>
          <w:sz w:val="20"/>
          <w:szCs w:val="20"/>
          <w:lang w:val="en-US"/>
        </w:rPr>
        <w:t>January</w:t>
      </w:r>
      <w:r w:rsidR="00631E3E" w:rsidRPr="00870653">
        <w:rPr>
          <w:rFonts w:ascii="Book Antiqua" w:hAnsi="Book Antiqua"/>
          <w:sz w:val="20"/>
          <w:szCs w:val="20"/>
          <w:lang w:val="en-US"/>
        </w:rPr>
        <w:t xml:space="preserve"> 2020</w:t>
      </w:r>
      <w:r w:rsidR="00B414C6" w:rsidRPr="00870653">
        <w:rPr>
          <w:rFonts w:ascii="Book Antiqua" w:hAnsi="Book Antiqua"/>
          <w:sz w:val="20"/>
          <w:szCs w:val="20"/>
          <w:lang w:val="en-US"/>
        </w:rPr>
        <w:t xml:space="preserve"> period</w:t>
      </w:r>
      <w:r w:rsidR="00631E3E" w:rsidRPr="00870653">
        <w:rPr>
          <w:rFonts w:ascii="Book Antiqua" w:hAnsi="Book Antiqua"/>
          <w:sz w:val="20"/>
          <w:szCs w:val="20"/>
          <w:lang w:val="en-US"/>
        </w:rPr>
        <w:t>.</w:t>
      </w:r>
    </w:p>
    <w:p w14:paraId="1AF958C8" w14:textId="2CB0AD12" w:rsidR="00F70FDD" w:rsidRPr="00870653" w:rsidRDefault="00F70FDD" w:rsidP="00F70FDD">
      <w:pPr>
        <w:spacing w:line="360" w:lineRule="auto"/>
        <w:jc w:val="center"/>
        <w:rPr>
          <w:rFonts w:ascii="Book Antiqua" w:hAnsi="Book Antiqua"/>
          <w:sz w:val="20"/>
          <w:szCs w:val="20"/>
          <w:lang w:val="en-US"/>
        </w:rPr>
      </w:pPr>
      <w:r w:rsidRPr="00870653">
        <w:rPr>
          <w:rFonts w:ascii="Book Antiqua" w:hAnsi="Book Antiqua"/>
          <w:b/>
          <w:bCs/>
          <w:sz w:val="20"/>
          <w:szCs w:val="20"/>
          <w:lang w:val="en-US"/>
        </w:rPr>
        <w:t>Tab</w:t>
      </w:r>
      <w:r w:rsidR="00314FA2" w:rsidRPr="00870653">
        <w:rPr>
          <w:rFonts w:ascii="Book Antiqua" w:hAnsi="Book Antiqua"/>
          <w:b/>
          <w:bCs/>
          <w:sz w:val="20"/>
          <w:szCs w:val="20"/>
          <w:lang w:val="en-US"/>
        </w:rPr>
        <w:t>le</w:t>
      </w:r>
      <w:r w:rsidRPr="00870653">
        <w:rPr>
          <w:rFonts w:ascii="Book Antiqua" w:hAnsi="Book Antiqua"/>
          <w:b/>
          <w:bCs/>
          <w:sz w:val="20"/>
          <w:szCs w:val="20"/>
          <w:lang w:val="en-US"/>
        </w:rPr>
        <w:t xml:space="preserve"> 1.</w:t>
      </w:r>
      <w:r w:rsidR="00CB452B" w:rsidRPr="00870653">
        <w:rPr>
          <w:rFonts w:ascii="Book Antiqua" w:hAnsi="Book Antiqua"/>
          <w:b/>
          <w:bCs/>
          <w:sz w:val="20"/>
          <w:szCs w:val="20"/>
          <w:lang w:val="en-US"/>
        </w:rPr>
        <w:t xml:space="preserve"> </w:t>
      </w:r>
      <w:r w:rsidR="00CB452B" w:rsidRPr="00870653">
        <w:rPr>
          <w:rFonts w:ascii="Book Antiqua" w:hAnsi="Book Antiqua"/>
          <w:sz w:val="20"/>
          <w:szCs w:val="20"/>
          <w:lang w:val="en-US"/>
        </w:rPr>
        <w:t>OLS estimates</w:t>
      </w:r>
      <w:r w:rsidRPr="00870653">
        <w:rPr>
          <w:rFonts w:ascii="Book Antiqua" w:hAnsi="Book Antiqua"/>
          <w:sz w:val="20"/>
          <w:szCs w:val="20"/>
          <w:lang w:val="en-US"/>
        </w:rPr>
        <w:t xml:space="preserve">: </w:t>
      </w:r>
      <w:r w:rsidR="00CB452B" w:rsidRPr="00870653">
        <w:rPr>
          <w:rFonts w:ascii="Book Antiqua" w:hAnsi="Book Antiqua"/>
          <w:sz w:val="20"/>
          <w:szCs w:val="20"/>
          <w:lang w:val="en-US"/>
        </w:rPr>
        <w:t xml:space="preserve">period </w:t>
      </w:r>
      <w:r w:rsidR="00355AF8" w:rsidRPr="00870653">
        <w:rPr>
          <w:rFonts w:ascii="Book Antiqua" w:hAnsi="Book Antiqua"/>
          <w:sz w:val="20"/>
          <w:szCs w:val="20"/>
          <w:lang w:val="en-US"/>
        </w:rPr>
        <w:t>Ja</w:t>
      </w:r>
      <w:r w:rsidR="00CB452B" w:rsidRPr="00870653">
        <w:rPr>
          <w:rFonts w:ascii="Book Antiqua" w:hAnsi="Book Antiqua"/>
          <w:sz w:val="20"/>
          <w:szCs w:val="20"/>
          <w:lang w:val="en-US"/>
        </w:rPr>
        <w:t xml:space="preserve">nuary </w:t>
      </w:r>
      <w:r w:rsidRPr="00870653">
        <w:rPr>
          <w:rFonts w:ascii="Book Antiqua" w:hAnsi="Book Antiqua"/>
          <w:sz w:val="20"/>
          <w:szCs w:val="20"/>
          <w:lang w:val="en-US"/>
        </w:rPr>
        <w:t>2008 –</w:t>
      </w:r>
      <w:r w:rsidR="00355AF8" w:rsidRPr="00870653">
        <w:rPr>
          <w:rFonts w:ascii="Book Antiqua" w:hAnsi="Book Antiqua"/>
          <w:sz w:val="20"/>
          <w:szCs w:val="20"/>
          <w:lang w:val="en-US"/>
        </w:rPr>
        <w:t xml:space="preserve"> Ja</w:t>
      </w:r>
      <w:r w:rsidR="00CB452B" w:rsidRPr="00870653">
        <w:rPr>
          <w:rFonts w:ascii="Book Antiqua" w:hAnsi="Book Antiqua"/>
          <w:sz w:val="20"/>
          <w:szCs w:val="20"/>
          <w:lang w:val="en-US"/>
        </w:rPr>
        <w:t xml:space="preserve">nuary </w:t>
      </w:r>
      <w:r w:rsidRPr="00870653">
        <w:rPr>
          <w:rFonts w:ascii="Book Antiqua" w:hAnsi="Book Antiqua"/>
          <w:sz w:val="20"/>
          <w:szCs w:val="20"/>
          <w:lang w:val="en-US"/>
        </w:rPr>
        <w:t>2020 (3131</w:t>
      </w:r>
      <w:r w:rsidR="00CB452B" w:rsidRPr="00870653">
        <w:rPr>
          <w:rFonts w:ascii="Book Antiqua" w:hAnsi="Book Antiqua"/>
          <w:sz w:val="20"/>
          <w:szCs w:val="20"/>
          <w:lang w:val="en-US"/>
        </w:rPr>
        <w:t xml:space="preserve"> Obs.</w:t>
      </w:r>
      <w:r w:rsidRPr="00870653">
        <w:rPr>
          <w:rFonts w:ascii="Book Antiqua" w:hAnsi="Book Antiqua"/>
          <w:sz w:val="20"/>
          <w:szCs w:val="20"/>
          <w:lang w:val="en-US"/>
        </w:rPr>
        <w:t>)</w:t>
      </w:r>
    </w:p>
    <w:tbl>
      <w:tblPr>
        <w:tblW w:w="7320" w:type="dxa"/>
        <w:jc w:val="center"/>
        <w:tblCellMar>
          <w:left w:w="70" w:type="dxa"/>
          <w:right w:w="70" w:type="dxa"/>
        </w:tblCellMar>
        <w:tblLook w:val="04A0" w:firstRow="1" w:lastRow="0" w:firstColumn="1" w:lastColumn="0" w:noHBand="0" w:noVBand="1"/>
      </w:tblPr>
      <w:tblGrid>
        <w:gridCol w:w="2084"/>
        <w:gridCol w:w="1404"/>
        <w:gridCol w:w="1377"/>
        <w:gridCol w:w="1343"/>
        <w:gridCol w:w="1112"/>
      </w:tblGrid>
      <w:tr w:rsidR="00F70FDD" w:rsidRPr="00F70FDD" w14:paraId="781FB03D"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16E1B73" w14:textId="1FE2CA30"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2008-</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2008 (261 Obs.)</w:t>
            </w:r>
          </w:p>
        </w:tc>
      </w:tr>
      <w:tr w:rsidR="00F70FDD" w:rsidRPr="00F70FDD" w14:paraId="73CCC61B"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72B90D78" w14:textId="5E004AE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40469CF8" w14:textId="16905C34"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7000B0FB" w14:textId="412702AF"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659273AF" w14:textId="39082284"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3E6CECFF"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7D152A65"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11D8E0F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483C020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0.060827</w:t>
            </w:r>
          </w:p>
        </w:tc>
        <w:tc>
          <w:tcPr>
            <w:tcW w:w="1377" w:type="dxa"/>
            <w:tcBorders>
              <w:top w:val="nil"/>
              <w:left w:val="nil"/>
              <w:bottom w:val="single" w:sz="4" w:space="0" w:color="auto"/>
              <w:right w:val="nil"/>
            </w:tcBorders>
            <w:shd w:val="clear" w:color="auto" w:fill="auto"/>
            <w:noWrap/>
            <w:vAlign w:val="center"/>
            <w:hideMark/>
          </w:tcPr>
          <w:p w14:paraId="4126C89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0.411635</w:t>
            </w:r>
          </w:p>
        </w:tc>
        <w:tc>
          <w:tcPr>
            <w:tcW w:w="1343" w:type="dxa"/>
            <w:tcBorders>
              <w:top w:val="nil"/>
              <w:left w:val="nil"/>
              <w:bottom w:val="single" w:sz="4" w:space="0" w:color="auto"/>
              <w:right w:val="nil"/>
            </w:tcBorders>
            <w:shd w:val="clear" w:color="auto" w:fill="auto"/>
            <w:noWrap/>
            <w:vAlign w:val="center"/>
            <w:hideMark/>
          </w:tcPr>
          <w:p w14:paraId="07EB3BD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0.147769</w:t>
            </w:r>
          </w:p>
        </w:tc>
        <w:tc>
          <w:tcPr>
            <w:tcW w:w="1112" w:type="dxa"/>
            <w:tcBorders>
              <w:top w:val="nil"/>
              <w:left w:val="nil"/>
              <w:bottom w:val="single" w:sz="4" w:space="0" w:color="auto"/>
              <w:right w:val="nil"/>
            </w:tcBorders>
            <w:shd w:val="clear" w:color="auto" w:fill="auto"/>
            <w:noWrap/>
            <w:vAlign w:val="center"/>
            <w:hideMark/>
          </w:tcPr>
          <w:p w14:paraId="6662F31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0.8826</w:t>
            </w:r>
          </w:p>
        </w:tc>
      </w:tr>
      <w:tr w:rsidR="00F70FDD" w:rsidRPr="00F70FDD" w14:paraId="24FABFD3"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300871D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000000" w:fill="FFFFFF"/>
            <w:noWrap/>
            <w:vAlign w:val="center"/>
            <w:hideMark/>
          </w:tcPr>
          <w:p w14:paraId="4F04C07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-0.020212</w:t>
            </w:r>
          </w:p>
        </w:tc>
        <w:tc>
          <w:tcPr>
            <w:tcW w:w="1377" w:type="dxa"/>
            <w:tcBorders>
              <w:top w:val="nil"/>
              <w:left w:val="nil"/>
              <w:bottom w:val="single" w:sz="4" w:space="0" w:color="auto"/>
              <w:right w:val="nil"/>
            </w:tcBorders>
            <w:shd w:val="clear" w:color="auto" w:fill="auto"/>
            <w:noWrap/>
            <w:vAlign w:val="center"/>
            <w:hideMark/>
          </w:tcPr>
          <w:p w14:paraId="045964C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0.059040</w:t>
            </w:r>
          </w:p>
        </w:tc>
        <w:tc>
          <w:tcPr>
            <w:tcW w:w="1343" w:type="dxa"/>
            <w:tcBorders>
              <w:top w:val="nil"/>
              <w:left w:val="nil"/>
              <w:bottom w:val="single" w:sz="4" w:space="0" w:color="auto"/>
              <w:right w:val="nil"/>
            </w:tcBorders>
            <w:shd w:val="clear" w:color="auto" w:fill="auto"/>
            <w:noWrap/>
            <w:vAlign w:val="center"/>
            <w:hideMark/>
          </w:tcPr>
          <w:p w14:paraId="747B4F2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-0.342339</w:t>
            </w:r>
          </w:p>
        </w:tc>
        <w:tc>
          <w:tcPr>
            <w:tcW w:w="1112" w:type="dxa"/>
            <w:tcBorders>
              <w:top w:val="nil"/>
              <w:left w:val="nil"/>
              <w:bottom w:val="single" w:sz="4" w:space="0" w:color="auto"/>
              <w:right w:val="nil"/>
            </w:tcBorders>
            <w:shd w:val="clear" w:color="auto" w:fill="auto"/>
            <w:noWrap/>
            <w:vAlign w:val="center"/>
            <w:hideMark/>
          </w:tcPr>
          <w:p w14:paraId="39985B7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0.7324</w:t>
            </w:r>
          </w:p>
        </w:tc>
      </w:tr>
      <w:tr w:rsidR="00F70FDD" w:rsidRPr="00F70FDD" w14:paraId="30D82B35"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29DCD5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000000" w:fill="FFFFFF"/>
            <w:noWrap/>
            <w:vAlign w:val="center"/>
            <w:hideMark/>
          </w:tcPr>
          <w:p w14:paraId="3ADAFAE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0.571365***</w:t>
            </w:r>
          </w:p>
        </w:tc>
        <w:tc>
          <w:tcPr>
            <w:tcW w:w="1377" w:type="dxa"/>
            <w:tcBorders>
              <w:top w:val="nil"/>
              <w:left w:val="nil"/>
              <w:bottom w:val="single" w:sz="4" w:space="0" w:color="auto"/>
              <w:right w:val="nil"/>
            </w:tcBorders>
            <w:shd w:val="clear" w:color="auto" w:fill="auto"/>
            <w:noWrap/>
            <w:vAlign w:val="center"/>
            <w:hideMark/>
          </w:tcPr>
          <w:p w14:paraId="7DD7BB7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0.130568</w:t>
            </w:r>
          </w:p>
        </w:tc>
        <w:tc>
          <w:tcPr>
            <w:tcW w:w="1343" w:type="dxa"/>
            <w:tcBorders>
              <w:top w:val="nil"/>
              <w:left w:val="nil"/>
              <w:bottom w:val="single" w:sz="4" w:space="0" w:color="auto"/>
              <w:right w:val="nil"/>
            </w:tcBorders>
            <w:shd w:val="clear" w:color="auto" w:fill="auto"/>
            <w:noWrap/>
            <w:vAlign w:val="center"/>
            <w:hideMark/>
          </w:tcPr>
          <w:p w14:paraId="583FBEB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4.376001</w:t>
            </w:r>
          </w:p>
        </w:tc>
        <w:tc>
          <w:tcPr>
            <w:tcW w:w="1112" w:type="dxa"/>
            <w:tcBorders>
              <w:top w:val="nil"/>
              <w:left w:val="nil"/>
              <w:bottom w:val="single" w:sz="4" w:space="0" w:color="auto"/>
              <w:right w:val="nil"/>
            </w:tcBorders>
            <w:shd w:val="clear" w:color="auto" w:fill="auto"/>
            <w:noWrap/>
            <w:vAlign w:val="center"/>
            <w:hideMark/>
          </w:tcPr>
          <w:p w14:paraId="208531E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1F5D4E40"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FFE643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center"/>
            <w:hideMark/>
          </w:tcPr>
          <w:p w14:paraId="0D58B67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0.069282</w:t>
            </w:r>
          </w:p>
        </w:tc>
      </w:tr>
      <w:tr w:rsidR="00F70FDD" w:rsidRPr="00F70FDD" w14:paraId="06F56A86"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598F9E4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center"/>
            <w:hideMark/>
          </w:tcPr>
          <w:p w14:paraId="75B6F58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0.062067</w:t>
            </w:r>
          </w:p>
        </w:tc>
      </w:tr>
      <w:tr w:rsidR="00F70FDD" w:rsidRPr="00F70FDD" w14:paraId="6499B949"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1004588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center"/>
            <w:hideMark/>
          </w:tcPr>
          <w:p w14:paraId="11C5996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1.832221</w:t>
            </w:r>
          </w:p>
        </w:tc>
      </w:tr>
      <w:tr w:rsidR="00F70FDD" w:rsidRPr="00F70FDD" w14:paraId="7F4C7833"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866154F" w14:textId="1822FAC1"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2009-</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2009 (261 Obs.)</w:t>
            </w:r>
          </w:p>
        </w:tc>
      </w:tr>
      <w:tr w:rsidR="00F70FDD" w:rsidRPr="00F70FDD" w14:paraId="32A05CA1"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33AC2A26" w14:textId="69159630"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6ED9C3C0" w14:textId="6E030D1C"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333795AF" w14:textId="3766623E"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76763B01" w14:textId="72DE9E22"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30C28CCD"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0F8DA99C"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4D0E634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3C029B7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-0.060636</w:t>
            </w:r>
          </w:p>
        </w:tc>
        <w:tc>
          <w:tcPr>
            <w:tcW w:w="1377" w:type="dxa"/>
            <w:tcBorders>
              <w:top w:val="nil"/>
              <w:left w:val="nil"/>
              <w:bottom w:val="single" w:sz="4" w:space="0" w:color="auto"/>
              <w:right w:val="nil"/>
            </w:tcBorders>
            <w:shd w:val="clear" w:color="auto" w:fill="auto"/>
            <w:noWrap/>
            <w:vAlign w:val="center"/>
            <w:hideMark/>
          </w:tcPr>
          <w:p w14:paraId="4B13F34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0.468906</w:t>
            </w:r>
          </w:p>
        </w:tc>
        <w:tc>
          <w:tcPr>
            <w:tcW w:w="1343" w:type="dxa"/>
            <w:tcBorders>
              <w:top w:val="nil"/>
              <w:left w:val="nil"/>
              <w:bottom w:val="single" w:sz="4" w:space="0" w:color="auto"/>
              <w:right w:val="nil"/>
            </w:tcBorders>
            <w:shd w:val="clear" w:color="auto" w:fill="auto"/>
            <w:noWrap/>
            <w:vAlign w:val="center"/>
            <w:hideMark/>
          </w:tcPr>
          <w:p w14:paraId="576A02E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-0.129315</w:t>
            </w:r>
          </w:p>
        </w:tc>
        <w:tc>
          <w:tcPr>
            <w:tcW w:w="1112" w:type="dxa"/>
            <w:tcBorders>
              <w:top w:val="nil"/>
              <w:left w:val="nil"/>
              <w:bottom w:val="single" w:sz="4" w:space="0" w:color="auto"/>
              <w:right w:val="nil"/>
            </w:tcBorders>
            <w:shd w:val="clear" w:color="auto" w:fill="auto"/>
            <w:noWrap/>
            <w:vAlign w:val="center"/>
            <w:hideMark/>
          </w:tcPr>
          <w:p w14:paraId="18FF272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0.8972</w:t>
            </w:r>
          </w:p>
        </w:tc>
      </w:tr>
      <w:tr w:rsidR="00F70FDD" w:rsidRPr="00F70FDD" w14:paraId="0CAE537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8B0801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noWrap/>
            <w:vAlign w:val="center"/>
            <w:hideMark/>
          </w:tcPr>
          <w:p w14:paraId="362FCC7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0.107017</w:t>
            </w:r>
          </w:p>
        </w:tc>
        <w:tc>
          <w:tcPr>
            <w:tcW w:w="1377" w:type="dxa"/>
            <w:tcBorders>
              <w:top w:val="nil"/>
              <w:left w:val="nil"/>
              <w:bottom w:val="single" w:sz="4" w:space="0" w:color="auto"/>
              <w:right w:val="nil"/>
            </w:tcBorders>
            <w:shd w:val="clear" w:color="auto" w:fill="auto"/>
            <w:noWrap/>
            <w:vAlign w:val="center"/>
            <w:hideMark/>
          </w:tcPr>
          <w:p w14:paraId="62C3318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0.155358</w:t>
            </w:r>
          </w:p>
        </w:tc>
        <w:tc>
          <w:tcPr>
            <w:tcW w:w="1343" w:type="dxa"/>
            <w:tcBorders>
              <w:top w:val="nil"/>
              <w:left w:val="nil"/>
              <w:bottom w:val="single" w:sz="4" w:space="0" w:color="auto"/>
              <w:right w:val="nil"/>
            </w:tcBorders>
            <w:shd w:val="clear" w:color="auto" w:fill="auto"/>
            <w:noWrap/>
            <w:vAlign w:val="center"/>
            <w:hideMark/>
          </w:tcPr>
          <w:p w14:paraId="75506C3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0.688842</w:t>
            </w:r>
          </w:p>
        </w:tc>
        <w:tc>
          <w:tcPr>
            <w:tcW w:w="1112" w:type="dxa"/>
            <w:tcBorders>
              <w:top w:val="nil"/>
              <w:left w:val="nil"/>
              <w:bottom w:val="single" w:sz="4" w:space="0" w:color="auto"/>
              <w:right w:val="nil"/>
            </w:tcBorders>
            <w:shd w:val="clear" w:color="auto" w:fill="auto"/>
            <w:noWrap/>
            <w:vAlign w:val="center"/>
            <w:hideMark/>
          </w:tcPr>
          <w:p w14:paraId="2953BE0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0.4915</w:t>
            </w:r>
          </w:p>
        </w:tc>
      </w:tr>
      <w:tr w:rsidR="00F70FDD" w:rsidRPr="00F70FDD" w14:paraId="2F51925A"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6C58B5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noWrap/>
            <w:vAlign w:val="center"/>
            <w:hideMark/>
          </w:tcPr>
          <w:p w14:paraId="337EA95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0.400421***</w:t>
            </w:r>
          </w:p>
        </w:tc>
        <w:tc>
          <w:tcPr>
            <w:tcW w:w="1377" w:type="dxa"/>
            <w:tcBorders>
              <w:top w:val="nil"/>
              <w:left w:val="nil"/>
              <w:bottom w:val="single" w:sz="4" w:space="0" w:color="auto"/>
              <w:right w:val="nil"/>
            </w:tcBorders>
            <w:shd w:val="clear" w:color="auto" w:fill="auto"/>
            <w:noWrap/>
            <w:vAlign w:val="center"/>
            <w:hideMark/>
          </w:tcPr>
          <w:p w14:paraId="1D34808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0.107409</w:t>
            </w:r>
          </w:p>
        </w:tc>
        <w:tc>
          <w:tcPr>
            <w:tcW w:w="1343" w:type="dxa"/>
            <w:tcBorders>
              <w:top w:val="nil"/>
              <w:left w:val="nil"/>
              <w:bottom w:val="single" w:sz="4" w:space="0" w:color="auto"/>
              <w:right w:val="nil"/>
            </w:tcBorders>
            <w:shd w:val="clear" w:color="auto" w:fill="auto"/>
            <w:noWrap/>
            <w:vAlign w:val="center"/>
            <w:hideMark/>
          </w:tcPr>
          <w:p w14:paraId="0233547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3.728002</w:t>
            </w:r>
          </w:p>
        </w:tc>
        <w:tc>
          <w:tcPr>
            <w:tcW w:w="1112" w:type="dxa"/>
            <w:tcBorders>
              <w:top w:val="nil"/>
              <w:left w:val="nil"/>
              <w:bottom w:val="single" w:sz="4" w:space="0" w:color="auto"/>
              <w:right w:val="nil"/>
            </w:tcBorders>
            <w:shd w:val="clear" w:color="auto" w:fill="auto"/>
            <w:noWrap/>
            <w:vAlign w:val="center"/>
            <w:hideMark/>
          </w:tcPr>
          <w:p w14:paraId="063B62F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0.0002</w:t>
            </w:r>
          </w:p>
        </w:tc>
      </w:tr>
      <w:tr w:rsidR="00F70FDD" w:rsidRPr="00F70FDD" w14:paraId="552E89E9"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7685CA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bottom"/>
            <w:hideMark/>
          </w:tcPr>
          <w:p w14:paraId="29B6643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0.052986</w:t>
            </w:r>
          </w:p>
        </w:tc>
      </w:tr>
      <w:tr w:rsidR="00F70FDD" w:rsidRPr="00F70FDD" w14:paraId="6AA7D38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56D8EE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bottom"/>
            <w:hideMark/>
          </w:tcPr>
          <w:p w14:paraId="070F226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0.045645</w:t>
            </w:r>
          </w:p>
        </w:tc>
      </w:tr>
      <w:tr w:rsidR="00F70FDD" w:rsidRPr="00F70FDD" w14:paraId="565EBE78"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436A195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lastRenderedPageBreak/>
              <w:t>Durbin-Watson Stat.</w:t>
            </w:r>
          </w:p>
        </w:tc>
        <w:tc>
          <w:tcPr>
            <w:tcW w:w="5236" w:type="dxa"/>
            <w:gridSpan w:val="4"/>
            <w:tcBorders>
              <w:top w:val="nil"/>
              <w:left w:val="nil"/>
              <w:bottom w:val="single" w:sz="8" w:space="0" w:color="auto"/>
              <w:right w:val="nil"/>
            </w:tcBorders>
            <w:shd w:val="clear" w:color="auto" w:fill="auto"/>
            <w:vAlign w:val="center"/>
            <w:hideMark/>
          </w:tcPr>
          <w:p w14:paraId="585BD74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2.382439</w:t>
            </w:r>
          </w:p>
        </w:tc>
      </w:tr>
      <w:tr w:rsidR="00F70FDD" w:rsidRPr="00F70FDD" w14:paraId="108EE0DB"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BBDEF38" w14:textId="740112B9"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2010-</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2010 (261 Obs.)</w:t>
            </w:r>
          </w:p>
        </w:tc>
      </w:tr>
      <w:tr w:rsidR="00F70FDD" w:rsidRPr="00F70FDD" w14:paraId="4DEA81F4"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5454FD29" w14:textId="490AFF6F"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5B80F24C" w14:textId="4CD3CC86"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7CDC36BB" w14:textId="7009BE25"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272C9E12" w14:textId="0C02D2CA"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75B8CF02"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7A4DB078"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38883BC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5D6A9F8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0.072799</w:t>
            </w:r>
          </w:p>
        </w:tc>
        <w:tc>
          <w:tcPr>
            <w:tcW w:w="1377" w:type="dxa"/>
            <w:tcBorders>
              <w:top w:val="nil"/>
              <w:left w:val="nil"/>
              <w:bottom w:val="single" w:sz="4" w:space="0" w:color="auto"/>
              <w:right w:val="nil"/>
            </w:tcBorders>
            <w:shd w:val="clear" w:color="auto" w:fill="auto"/>
            <w:noWrap/>
            <w:vAlign w:val="center"/>
            <w:hideMark/>
          </w:tcPr>
          <w:p w14:paraId="5E76F48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0.413710</w:t>
            </w:r>
          </w:p>
        </w:tc>
        <w:tc>
          <w:tcPr>
            <w:tcW w:w="1343" w:type="dxa"/>
            <w:tcBorders>
              <w:top w:val="nil"/>
              <w:left w:val="nil"/>
              <w:bottom w:val="single" w:sz="4" w:space="0" w:color="auto"/>
              <w:right w:val="nil"/>
            </w:tcBorders>
            <w:shd w:val="clear" w:color="auto" w:fill="auto"/>
            <w:noWrap/>
            <w:vAlign w:val="center"/>
            <w:hideMark/>
          </w:tcPr>
          <w:p w14:paraId="148ED96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0.175966</w:t>
            </w:r>
          </w:p>
        </w:tc>
        <w:tc>
          <w:tcPr>
            <w:tcW w:w="1112" w:type="dxa"/>
            <w:tcBorders>
              <w:top w:val="nil"/>
              <w:left w:val="nil"/>
              <w:bottom w:val="single" w:sz="4" w:space="0" w:color="auto"/>
              <w:right w:val="nil"/>
            </w:tcBorders>
            <w:shd w:val="clear" w:color="auto" w:fill="auto"/>
            <w:noWrap/>
            <w:vAlign w:val="center"/>
            <w:hideMark/>
          </w:tcPr>
          <w:p w14:paraId="4735E98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0.8605</w:t>
            </w:r>
          </w:p>
        </w:tc>
      </w:tr>
      <w:tr w:rsidR="00F70FDD" w:rsidRPr="00F70FDD" w14:paraId="6925E300"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177DB2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3E1F9F9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0.341940***</w:t>
            </w:r>
          </w:p>
        </w:tc>
        <w:tc>
          <w:tcPr>
            <w:tcW w:w="1377" w:type="dxa"/>
            <w:tcBorders>
              <w:top w:val="nil"/>
              <w:left w:val="nil"/>
              <w:bottom w:val="single" w:sz="4" w:space="0" w:color="auto"/>
              <w:right w:val="nil"/>
            </w:tcBorders>
            <w:shd w:val="clear" w:color="auto" w:fill="auto"/>
            <w:noWrap/>
            <w:vAlign w:val="center"/>
            <w:hideMark/>
          </w:tcPr>
          <w:p w14:paraId="5E39583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0.080123</w:t>
            </w:r>
          </w:p>
        </w:tc>
        <w:tc>
          <w:tcPr>
            <w:tcW w:w="1343" w:type="dxa"/>
            <w:tcBorders>
              <w:top w:val="nil"/>
              <w:left w:val="nil"/>
              <w:bottom w:val="single" w:sz="4" w:space="0" w:color="auto"/>
              <w:right w:val="nil"/>
            </w:tcBorders>
            <w:shd w:val="clear" w:color="auto" w:fill="auto"/>
            <w:noWrap/>
            <w:vAlign w:val="center"/>
            <w:hideMark/>
          </w:tcPr>
          <w:p w14:paraId="58F9137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4.267686</w:t>
            </w:r>
          </w:p>
        </w:tc>
        <w:tc>
          <w:tcPr>
            <w:tcW w:w="1112" w:type="dxa"/>
            <w:tcBorders>
              <w:top w:val="nil"/>
              <w:left w:val="nil"/>
              <w:bottom w:val="single" w:sz="4" w:space="0" w:color="auto"/>
              <w:right w:val="nil"/>
            </w:tcBorders>
            <w:shd w:val="clear" w:color="auto" w:fill="auto"/>
            <w:noWrap/>
            <w:vAlign w:val="center"/>
            <w:hideMark/>
          </w:tcPr>
          <w:p w14:paraId="666C708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4BCCB05A"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D826FC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noWrap/>
            <w:vAlign w:val="center"/>
            <w:hideMark/>
          </w:tcPr>
          <w:p w14:paraId="4007445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0.733912***</w:t>
            </w:r>
          </w:p>
        </w:tc>
        <w:tc>
          <w:tcPr>
            <w:tcW w:w="1377" w:type="dxa"/>
            <w:tcBorders>
              <w:top w:val="nil"/>
              <w:left w:val="nil"/>
              <w:bottom w:val="single" w:sz="4" w:space="0" w:color="auto"/>
              <w:right w:val="nil"/>
            </w:tcBorders>
            <w:shd w:val="clear" w:color="auto" w:fill="auto"/>
            <w:noWrap/>
            <w:vAlign w:val="center"/>
            <w:hideMark/>
          </w:tcPr>
          <w:p w14:paraId="71D6959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0.064327</w:t>
            </w:r>
          </w:p>
        </w:tc>
        <w:tc>
          <w:tcPr>
            <w:tcW w:w="1343" w:type="dxa"/>
            <w:tcBorders>
              <w:top w:val="nil"/>
              <w:left w:val="nil"/>
              <w:bottom w:val="single" w:sz="4" w:space="0" w:color="auto"/>
              <w:right w:val="nil"/>
            </w:tcBorders>
            <w:shd w:val="clear" w:color="auto" w:fill="auto"/>
            <w:noWrap/>
            <w:vAlign w:val="center"/>
            <w:hideMark/>
          </w:tcPr>
          <w:p w14:paraId="50360B6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11.40912</w:t>
            </w:r>
          </w:p>
        </w:tc>
        <w:tc>
          <w:tcPr>
            <w:tcW w:w="1112" w:type="dxa"/>
            <w:tcBorders>
              <w:top w:val="nil"/>
              <w:left w:val="nil"/>
              <w:bottom w:val="single" w:sz="4" w:space="0" w:color="auto"/>
              <w:right w:val="nil"/>
            </w:tcBorders>
            <w:shd w:val="clear" w:color="auto" w:fill="auto"/>
            <w:noWrap/>
            <w:vAlign w:val="center"/>
            <w:hideMark/>
          </w:tcPr>
          <w:p w14:paraId="4460ACA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3B292D09"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0696483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bottom"/>
            <w:hideMark/>
          </w:tcPr>
          <w:p w14:paraId="4E5C049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0.390161</w:t>
            </w:r>
          </w:p>
        </w:tc>
      </w:tr>
      <w:tr w:rsidR="00F70FDD" w:rsidRPr="00F70FDD" w14:paraId="452F9DC7"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35B188B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bottom"/>
            <w:hideMark/>
          </w:tcPr>
          <w:p w14:paraId="76D785A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0.385434</w:t>
            </w:r>
          </w:p>
        </w:tc>
      </w:tr>
      <w:tr w:rsidR="00F70FDD" w:rsidRPr="00F70FDD" w14:paraId="12AD7824"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4EC4BF0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6CE119F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2.586532</w:t>
            </w:r>
          </w:p>
        </w:tc>
      </w:tr>
      <w:tr w:rsidR="00F70FDD" w:rsidRPr="00F70FDD" w14:paraId="63FECA08"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23E6B01B" w14:textId="4DC76F9F"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2011-</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2011 (260 Obs.)</w:t>
            </w:r>
          </w:p>
        </w:tc>
      </w:tr>
      <w:tr w:rsidR="00F70FDD" w:rsidRPr="00F70FDD" w14:paraId="3EFA6D84"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40998706" w14:textId="112FBC3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5CDDBD28" w14:textId="3FD36526"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41AE886A" w14:textId="182BE9D6"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5FB41F06" w14:textId="0D0E55C2"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1C172530"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33774683"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28483AF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760A0F2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0.470936</w:t>
            </w:r>
          </w:p>
        </w:tc>
        <w:tc>
          <w:tcPr>
            <w:tcW w:w="1377" w:type="dxa"/>
            <w:tcBorders>
              <w:top w:val="nil"/>
              <w:left w:val="nil"/>
              <w:bottom w:val="single" w:sz="4" w:space="0" w:color="auto"/>
              <w:right w:val="nil"/>
            </w:tcBorders>
            <w:shd w:val="clear" w:color="auto" w:fill="auto"/>
            <w:noWrap/>
            <w:vAlign w:val="center"/>
            <w:hideMark/>
          </w:tcPr>
          <w:p w14:paraId="7AF4690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1.143037</w:t>
            </w:r>
          </w:p>
        </w:tc>
        <w:tc>
          <w:tcPr>
            <w:tcW w:w="1343" w:type="dxa"/>
            <w:tcBorders>
              <w:top w:val="nil"/>
              <w:left w:val="nil"/>
              <w:bottom w:val="single" w:sz="4" w:space="0" w:color="auto"/>
              <w:right w:val="nil"/>
            </w:tcBorders>
            <w:shd w:val="clear" w:color="auto" w:fill="auto"/>
            <w:noWrap/>
            <w:vAlign w:val="center"/>
            <w:hideMark/>
          </w:tcPr>
          <w:p w14:paraId="0D6E9A0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0.412004</w:t>
            </w:r>
          </w:p>
        </w:tc>
        <w:tc>
          <w:tcPr>
            <w:tcW w:w="1112" w:type="dxa"/>
            <w:tcBorders>
              <w:top w:val="nil"/>
              <w:left w:val="nil"/>
              <w:bottom w:val="single" w:sz="4" w:space="0" w:color="auto"/>
              <w:right w:val="nil"/>
            </w:tcBorders>
            <w:shd w:val="clear" w:color="auto" w:fill="auto"/>
            <w:noWrap/>
            <w:vAlign w:val="center"/>
            <w:hideMark/>
          </w:tcPr>
          <w:p w14:paraId="67188A1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0.6807</w:t>
            </w:r>
          </w:p>
        </w:tc>
      </w:tr>
      <w:tr w:rsidR="00F70FDD" w:rsidRPr="00F70FDD" w14:paraId="495A657B"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01D8F07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noWrap/>
            <w:vAlign w:val="center"/>
            <w:hideMark/>
          </w:tcPr>
          <w:p w14:paraId="7A8E267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0.125658</w:t>
            </w:r>
          </w:p>
        </w:tc>
        <w:tc>
          <w:tcPr>
            <w:tcW w:w="1377" w:type="dxa"/>
            <w:tcBorders>
              <w:top w:val="nil"/>
              <w:left w:val="nil"/>
              <w:bottom w:val="single" w:sz="4" w:space="0" w:color="auto"/>
              <w:right w:val="nil"/>
            </w:tcBorders>
            <w:shd w:val="clear" w:color="auto" w:fill="auto"/>
            <w:noWrap/>
            <w:vAlign w:val="center"/>
            <w:hideMark/>
          </w:tcPr>
          <w:p w14:paraId="3A66EBF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0.154435</w:t>
            </w:r>
          </w:p>
        </w:tc>
        <w:tc>
          <w:tcPr>
            <w:tcW w:w="1343" w:type="dxa"/>
            <w:tcBorders>
              <w:top w:val="nil"/>
              <w:left w:val="nil"/>
              <w:bottom w:val="single" w:sz="4" w:space="0" w:color="auto"/>
              <w:right w:val="nil"/>
            </w:tcBorders>
            <w:shd w:val="clear" w:color="auto" w:fill="auto"/>
            <w:noWrap/>
            <w:vAlign w:val="center"/>
            <w:hideMark/>
          </w:tcPr>
          <w:p w14:paraId="197744D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0.813662</w:t>
            </w:r>
          </w:p>
        </w:tc>
        <w:tc>
          <w:tcPr>
            <w:tcW w:w="1112" w:type="dxa"/>
            <w:tcBorders>
              <w:top w:val="nil"/>
              <w:left w:val="nil"/>
              <w:bottom w:val="single" w:sz="4" w:space="0" w:color="auto"/>
              <w:right w:val="nil"/>
            </w:tcBorders>
            <w:shd w:val="clear" w:color="auto" w:fill="auto"/>
            <w:noWrap/>
            <w:vAlign w:val="center"/>
            <w:hideMark/>
          </w:tcPr>
          <w:p w14:paraId="0F97B07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0.4166</w:t>
            </w:r>
          </w:p>
        </w:tc>
      </w:tr>
      <w:tr w:rsidR="00F70FDD" w:rsidRPr="00F70FDD" w14:paraId="41CFCA0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BF3F0C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noWrap/>
            <w:vAlign w:val="center"/>
            <w:hideMark/>
          </w:tcPr>
          <w:p w14:paraId="48680A7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0.610463***</w:t>
            </w:r>
          </w:p>
        </w:tc>
        <w:tc>
          <w:tcPr>
            <w:tcW w:w="1377" w:type="dxa"/>
            <w:tcBorders>
              <w:top w:val="nil"/>
              <w:left w:val="nil"/>
              <w:bottom w:val="single" w:sz="4" w:space="0" w:color="auto"/>
              <w:right w:val="nil"/>
            </w:tcBorders>
            <w:shd w:val="clear" w:color="auto" w:fill="auto"/>
            <w:noWrap/>
            <w:vAlign w:val="center"/>
            <w:hideMark/>
          </w:tcPr>
          <w:p w14:paraId="5A66FFE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0.074083</w:t>
            </w:r>
          </w:p>
        </w:tc>
        <w:tc>
          <w:tcPr>
            <w:tcW w:w="1343" w:type="dxa"/>
            <w:tcBorders>
              <w:top w:val="nil"/>
              <w:left w:val="nil"/>
              <w:bottom w:val="single" w:sz="4" w:space="0" w:color="auto"/>
              <w:right w:val="nil"/>
            </w:tcBorders>
            <w:shd w:val="clear" w:color="auto" w:fill="auto"/>
            <w:noWrap/>
            <w:vAlign w:val="center"/>
            <w:hideMark/>
          </w:tcPr>
          <w:p w14:paraId="3C73237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8.240217</w:t>
            </w:r>
          </w:p>
        </w:tc>
        <w:tc>
          <w:tcPr>
            <w:tcW w:w="1112" w:type="dxa"/>
            <w:tcBorders>
              <w:top w:val="nil"/>
              <w:left w:val="nil"/>
              <w:bottom w:val="single" w:sz="4" w:space="0" w:color="auto"/>
              <w:right w:val="nil"/>
            </w:tcBorders>
            <w:shd w:val="clear" w:color="auto" w:fill="auto"/>
            <w:noWrap/>
            <w:vAlign w:val="center"/>
            <w:hideMark/>
          </w:tcPr>
          <w:p w14:paraId="282580E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4424BB5A"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5B85744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bottom"/>
            <w:hideMark/>
          </w:tcPr>
          <w:p w14:paraId="29C9F76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0.222804</w:t>
            </w:r>
          </w:p>
        </w:tc>
      </w:tr>
      <w:tr w:rsidR="00F70FDD" w:rsidRPr="00F70FDD" w14:paraId="27930B99"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5034477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bottom"/>
            <w:hideMark/>
          </w:tcPr>
          <w:p w14:paraId="00A7271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0.216756</w:t>
            </w:r>
          </w:p>
        </w:tc>
      </w:tr>
      <w:tr w:rsidR="00F70FDD" w:rsidRPr="00F70FDD" w14:paraId="690AF896"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4F30C48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1CF11DA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2.079.764</w:t>
            </w:r>
          </w:p>
        </w:tc>
      </w:tr>
      <w:tr w:rsidR="00F70FDD" w:rsidRPr="00F70FDD" w14:paraId="562C04B7"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4EF94CA" w14:textId="0BCFE18A"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2012-</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2012 (261 Obs.)</w:t>
            </w:r>
          </w:p>
        </w:tc>
      </w:tr>
      <w:tr w:rsidR="00F70FDD" w:rsidRPr="00F70FDD" w14:paraId="20930DDB"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71BDB991" w14:textId="32391F63"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1684EEC2" w14:textId="3B431549"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04C83E5B" w14:textId="5C0758A9"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110CCD2D" w14:textId="6F74EF97"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3327FFF4"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41720A1B"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448758B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176302E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-0.202094</w:t>
            </w:r>
          </w:p>
        </w:tc>
        <w:tc>
          <w:tcPr>
            <w:tcW w:w="1377" w:type="dxa"/>
            <w:tcBorders>
              <w:top w:val="nil"/>
              <w:left w:val="nil"/>
              <w:bottom w:val="single" w:sz="4" w:space="0" w:color="auto"/>
              <w:right w:val="nil"/>
            </w:tcBorders>
            <w:shd w:val="clear" w:color="auto" w:fill="auto"/>
            <w:noWrap/>
            <w:vAlign w:val="center"/>
            <w:hideMark/>
          </w:tcPr>
          <w:p w14:paraId="4C73280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0.738555</w:t>
            </w:r>
          </w:p>
        </w:tc>
        <w:tc>
          <w:tcPr>
            <w:tcW w:w="1343" w:type="dxa"/>
            <w:tcBorders>
              <w:top w:val="nil"/>
              <w:left w:val="nil"/>
              <w:bottom w:val="single" w:sz="4" w:space="0" w:color="auto"/>
              <w:right w:val="nil"/>
            </w:tcBorders>
            <w:shd w:val="clear" w:color="auto" w:fill="auto"/>
            <w:noWrap/>
            <w:vAlign w:val="center"/>
            <w:hideMark/>
          </w:tcPr>
          <w:p w14:paraId="78D301F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-0.273634</w:t>
            </w:r>
          </w:p>
        </w:tc>
        <w:tc>
          <w:tcPr>
            <w:tcW w:w="1112" w:type="dxa"/>
            <w:tcBorders>
              <w:top w:val="nil"/>
              <w:left w:val="nil"/>
              <w:bottom w:val="single" w:sz="4" w:space="0" w:color="auto"/>
              <w:right w:val="nil"/>
            </w:tcBorders>
            <w:shd w:val="clear" w:color="auto" w:fill="auto"/>
            <w:noWrap/>
            <w:vAlign w:val="center"/>
            <w:hideMark/>
          </w:tcPr>
          <w:p w14:paraId="51FF126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0.7846</w:t>
            </w:r>
          </w:p>
        </w:tc>
      </w:tr>
      <w:tr w:rsidR="00F70FDD" w:rsidRPr="00F70FDD" w14:paraId="5435BAC1"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EFA7DF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noWrap/>
            <w:vAlign w:val="center"/>
            <w:hideMark/>
          </w:tcPr>
          <w:p w14:paraId="7ABFEDA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-0.073379</w:t>
            </w:r>
          </w:p>
        </w:tc>
        <w:tc>
          <w:tcPr>
            <w:tcW w:w="1377" w:type="dxa"/>
            <w:tcBorders>
              <w:top w:val="nil"/>
              <w:left w:val="nil"/>
              <w:bottom w:val="single" w:sz="4" w:space="0" w:color="auto"/>
              <w:right w:val="nil"/>
            </w:tcBorders>
            <w:shd w:val="clear" w:color="auto" w:fill="auto"/>
            <w:noWrap/>
            <w:vAlign w:val="center"/>
            <w:hideMark/>
          </w:tcPr>
          <w:p w14:paraId="300D405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0.114770</w:t>
            </w:r>
          </w:p>
        </w:tc>
        <w:tc>
          <w:tcPr>
            <w:tcW w:w="1343" w:type="dxa"/>
            <w:tcBorders>
              <w:top w:val="nil"/>
              <w:left w:val="nil"/>
              <w:bottom w:val="single" w:sz="4" w:space="0" w:color="auto"/>
              <w:right w:val="nil"/>
            </w:tcBorders>
            <w:shd w:val="clear" w:color="auto" w:fill="auto"/>
            <w:noWrap/>
            <w:vAlign w:val="center"/>
            <w:hideMark/>
          </w:tcPr>
          <w:p w14:paraId="076927B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-0.639358</w:t>
            </w:r>
          </w:p>
        </w:tc>
        <w:tc>
          <w:tcPr>
            <w:tcW w:w="1112" w:type="dxa"/>
            <w:tcBorders>
              <w:top w:val="nil"/>
              <w:left w:val="nil"/>
              <w:bottom w:val="single" w:sz="4" w:space="0" w:color="auto"/>
              <w:right w:val="nil"/>
            </w:tcBorders>
            <w:shd w:val="clear" w:color="auto" w:fill="auto"/>
            <w:noWrap/>
            <w:vAlign w:val="center"/>
            <w:hideMark/>
          </w:tcPr>
          <w:p w14:paraId="6824509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0.5232</w:t>
            </w:r>
          </w:p>
        </w:tc>
      </w:tr>
      <w:tr w:rsidR="00F70FDD" w:rsidRPr="00F70FDD" w14:paraId="0310065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C4A538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noWrap/>
            <w:vAlign w:val="center"/>
            <w:hideMark/>
          </w:tcPr>
          <w:p w14:paraId="3A7364F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0.742077***</w:t>
            </w:r>
          </w:p>
        </w:tc>
        <w:tc>
          <w:tcPr>
            <w:tcW w:w="1377" w:type="dxa"/>
            <w:tcBorders>
              <w:top w:val="nil"/>
              <w:left w:val="nil"/>
              <w:bottom w:val="single" w:sz="4" w:space="0" w:color="auto"/>
              <w:right w:val="nil"/>
            </w:tcBorders>
            <w:shd w:val="clear" w:color="auto" w:fill="auto"/>
            <w:noWrap/>
            <w:vAlign w:val="center"/>
            <w:hideMark/>
          </w:tcPr>
          <w:p w14:paraId="77F457E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0.053825</w:t>
            </w:r>
          </w:p>
        </w:tc>
        <w:tc>
          <w:tcPr>
            <w:tcW w:w="1343" w:type="dxa"/>
            <w:tcBorders>
              <w:top w:val="nil"/>
              <w:left w:val="nil"/>
              <w:bottom w:val="single" w:sz="4" w:space="0" w:color="auto"/>
              <w:right w:val="nil"/>
            </w:tcBorders>
            <w:shd w:val="clear" w:color="auto" w:fill="auto"/>
            <w:noWrap/>
            <w:vAlign w:val="center"/>
            <w:hideMark/>
          </w:tcPr>
          <w:p w14:paraId="73DD176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13.78680</w:t>
            </w:r>
          </w:p>
        </w:tc>
        <w:tc>
          <w:tcPr>
            <w:tcW w:w="1112" w:type="dxa"/>
            <w:tcBorders>
              <w:top w:val="nil"/>
              <w:left w:val="nil"/>
              <w:bottom w:val="single" w:sz="4" w:space="0" w:color="auto"/>
              <w:right w:val="nil"/>
            </w:tcBorders>
            <w:shd w:val="clear" w:color="auto" w:fill="auto"/>
            <w:noWrap/>
            <w:vAlign w:val="center"/>
            <w:hideMark/>
          </w:tcPr>
          <w:p w14:paraId="03D7A63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0F5A3D6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8D0DFB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bottom"/>
            <w:hideMark/>
          </w:tcPr>
          <w:p w14:paraId="2023900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0.425705</w:t>
            </w:r>
          </w:p>
        </w:tc>
      </w:tr>
      <w:tr w:rsidR="00F70FDD" w:rsidRPr="00F70FDD" w14:paraId="78818339"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3F1995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bottom"/>
            <w:hideMark/>
          </w:tcPr>
          <w:p w14:paraId="3694760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0.421253</w:t>
            </w:r>
          </w:p>
        </w:tc>
      </w:tr>
      <w:tr w:rsidR="00F70FDD" w:rsidRPr="00F70FDD" w14:paraId="0F2875D6"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1B940BE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vAlign w:val="center"/>
            <w:hideMark/>
          </w:tcPr>
          <w:p w14:paraId="19989F6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2.241493</w:t>
            </w:r>
          </w:p>
        </w:tc>
      </w:tr>
      <w:tr w:rsidR="00F70FDD" w:rsidRPr="00F70FDD" w14:paraId="2E1DB6A4"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1E3D3B6E" w14:textId="091BD70E"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2013-</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2013 (261 Obs.)</w:t>
            </w:r>
          </w:p>
        </w:tc>
      </w:tr>
      <w:tr w:rsidR="00F70FDD" w:rsidRPr="00F70FDD" w14:paraId="07175CF8"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44F47696" w14:textId="47E5C911"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71763D7E" w14:textId="3437F679"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60220548" w14:textId="7B637DA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14317466" w14:textId="6815419C"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484B2D58"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269C526A"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26563AF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5520B0E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-0.339116</w:t>
            </w:r>
          </w:p>
        </w:tc>
        <w:tc>
          <w:tcPr>
            <w:tcW w:w="1377" w:type="dxa"/>
            <w:tcBorders>
              <w:top w:val="nil"/>
              <w:left w:val="nil"/>
              <w:bottom w:val="single" w:sz="4" w:space="0" w:color="auto"/>
              <w:right w:val="nil"/>
            </w:tcBorders>
            <w:shd w:val="clear" w:color="auto" w:fill="auto"/>
            <w:noWrap/>
            <w:vAlign w:val="center"/>
            <w:hideMark/>
          </w:tcPr>
          <w:p w14:paraId="623071D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0.557757</w:t>
            </w:r>
          </w:p>
        </w:tc>
        <w:tc>
          <w:tcPr>
            <w:tcW w:w="1343" w:type="dxa"/>
            <w:tcBorders>
              <w:top w:val="nil"/>
              <w:left w:val="nil"/>
              <w:bottom w:val="single" w:sz="4" w:space="0" w:color="auto"/>
              <w:right w:val="nil"/>
            </w:tcBorders>
            <w:shd w:val="clear" w:color="auto" w:fill="auto"/>
            <w:noWrap/>
            <w:vAlign w:val="center"/>
            <w:hideMark/>
          </w:tcPr>
          <w:p w14:paraId="778BA3E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-0.607999</w:t>
            </w:r>
          </w:p>
        </w:tc>
        <w:tc>
          <w:tcPr>
            <w:tcW w:w="1112" w:type="dxa"/>
            <w:tcBorders>
              <w:top w:val="nil"/>
              <w:left w:val="nil"/>
              <w:bottom w:val="single" w:sz="4" w:space="0" w:color="auto"/>
              <w:right w:val="nil"/>
            </w:tcBorders>
            <w:shd w:val="clear" w:color="auto" w:fill="auto"/>
            <w:noWrap/>
            <w:vAlign w:val="center"/>
            <w:hideMark/>
          </w:tcPr>
          <w:p w14:paraId="431C0FF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0.5437</w:t>
            </w:r>
          </w:p>
        </w:tc>
      </w:tr>
      <w:tr w:rsidR="00F70FDD" w:rsidRPr="00F70FDD" w14:paraId="238E7A96"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5612796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noWrap/>
            <w:vAlign w:val="center"/>
            <w:hideMark/>
          </w:tcPr>
          <w:p w14:paraId="1DC78C6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0.195840</w:t>
            </w:r>
          </w:p>
        </w:tc>
        <w:tc>
          <w:tcPr>
            <w:tcW w:w="1377" w:type="dxa"/>
            <w:tcBorders>
              <w:top w:val="nil"/>
              <w:left w:val="nil"/>
              <w:bottom w:val="single" w:sz="4" w:space="0" w:color="auto"/>
              <w:right w:val="nil"/>
            </w:tcBorders>
            <w:shd w:val="clear" w:color="auto" w:fill="auto"/>
            <w:noWrap/>
            <w:vAlign w:val="center"/>
            <w:hideMark/>
          </w:tcPr>
          <w:p w14:paraId="0B612EA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0.147629</w:t>
            </w:r>
          </w:p>
        </w:tc>
        <w:tc>
          <w:tcPr>
            <w:tcW w:w="1343" w:type="dxa"/>
            <w:tcBorders>
              <w:top w:val="nil"/>
              <w:left w:val="nil"/>
              <w:bottom w:val="single" w:sz="4" w:space="0" w:color="auto"/>
              <w:right w:val="nil"/>
            </w:tcBorders>
            <w:shd w:val="clear" w:color="auto" w:fill="auto"/>
            <w:noWrap/>
            <w:vAlign w:val="center"/>
            <w:hideMark/>
          </w:tcPr>
          <w:p w14:paraId="2A48304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1.326570</w:t>
            </w:r>
          </w:p>
        </w:tc>
        <w:tc>
          <w:tcPr>
            <w:tcW w:w="1112" w:type="dxa"/>
            <w:tcBorders>
              <w:top w:val="nil"/>
              <w:left w:val="nil"/>
              <w:bottom w:val="single" w:sz="4" w:space="0" w:color="auto"/>
              <w:right w:val="nil"/>
            </w:tcBorders>
            <w:shd w:val="clear" w:color="auto" w:fill="auto"/>
            <w:noWrap/>
            <w:vAlign w:val="center"/>
            <w:hideMark/>
          </w:tcPr>
          <w:p w14:paraId="2E70418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0.1858</w:t>
            </w:r>
          </w:p>
        </w:tc>
      </w:tr>
      <w:tr w:rsidR="00F70FDD" w:rsidRPr="00F70FDD" w14:paraId="45E21554"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C019C3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noWrap/>
            <w:vAlign w:val="center"/>
            <w:hideMark/>
          </w:tcPr>
          <w:p w14:paraId="54D2CE0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0.591549***</w:t>
            </w:r>
          </w:p>
        </w:tc>
        <w:tc>
          <w:tcPr>
            <w:tcW w:w="1377" w:type="dxa"/>
            <w:tcBorders>
              <w:top w:val="nil"/>
              <w:left w:val="nil"/>
              <w:bottom w:val="single" w:sz="4" w:space="0" w:color="auto"/>
              <w:right w:val="nil"/>
            </w:tcBorders>
            <w:shd w:val="clear" w:color="auto" w:fill="auto"/>
            <w:noWrap/>
            <w:vAlign w:val="center"/>
            <w:hideMark/>
          </w:tcPr>
          <w:p w14:paraId="36360F6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0.069344</w:t>
            </w:r>
          </w:p>
        </w:tc>
        <w:tc>
          <w:tcPr>
            <w:tcW w:w="1343" w:type="dxa"/>
            <w:tcBorders>
              <w:top w:val="nil"/>
              <w:left w:val="nil"/>
              <w:bottom w:val="single" w:sz="4" w:space="0" w:color="auto"/>
              <w:right w:val="nil"/>
            </w:tcBorders>
            <w:shd w:val="clear" w:color="auto" w:fill="auto"/>
            <w:noWrap/>
            <w:vAlign w:val="center"/>
            <w:hideMark/>
          </w:tcPr>
          <w:p w14:paraId="52F897E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8.530636</w:t>
            </w:r>
          </w:p>
        </w:tc>
        <w:tc>
          <w:tcPr>
            <w:tcW w:w="1112" w:type="dxa"/>
            <w:tcBorders>
              <w:top w:val="nil"/>
              <w:left w:val="nil"/>
              <w:bottom w:val="single" w:sz="4" w:space="0" w:color="auto"/>
              <w:right w:val="nil"/>
            </w:tcBorders>
            <w:shd w:val="clear" w:color="auto" w:fill="auto"/>
            <w:noWrap/>
            <w:vAlign w:val="center"/>
            <w:hideMark/>
          </w:tcPr>
          <w:p w14:paraId="25E7BA4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44FBE92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0D5901B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noWrap/>
            <w:vAlign w:val="bottom"/>
            <w:hideMark/>
          </w:tcPr>
          <w:p w14:paraId="2AA2DCC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0.231186</w:t>
            </w:r>
          </w:p>
        </w:tc>
      </w:tr>
      <w:tr w:rsidR="00F70FDD" w:rsidRPr="00F70FDD" w14:paraId="6CED3AC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0F2D300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noWrap/>
            <w:vAlign w:val="bottom"/>
            <w:hideMark/>
          </w:tcPr>
          <w:p w14:paraId="539742D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0.225227</w:t>
            </w:r>
          </w:p>
        </w:tc>
      </w:tr>
      <w:tr w:rsidR="00F70FDD" w:rsidRPr="00F70FDD" w14:paraId="237EDAE9"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63F5C9D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674D81F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2.424845</w:t>
            </w:r>
          </w:p>
        </w:tc>
      </w:tr>
      <w:tr w:rsidR="00F70FDD" w:rsidRPr="00F70FDD" w14:paraId="3BC11FE1"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4A0E6BF" w14:textId="3EE2D6AD"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2014-</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2014 (261 Obs.)</w:t>
            </w:r>
          </w:p>
        </w:tc>
      </w:tr>
      <w:tr w:rsidR="00F70FDD" w:rsidRPr="00F70FDD" w14:paraId="06A93C59"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7AF0C331" w14:textId="46A520A1"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017D2172" w14:textId="691FFA13"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3878C298" w14:textId="574E1C77"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0BCE1332" w14:textId="435B6E30"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7BC31929"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215FCC3B"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257CDEF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noWrap/>
            <w:vAlign w:val="center"/>
            <w:hideMark/>
          </w:tcPr>
          <w:p w14:paraId="4281E81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-0.069667</w:t>
            </w:r>
          </w:p>
        </w:tc>
        <w:tc>
          <w:tcPr>
            <w:tcW w:w="1377" w:type="dxa"/>
            <w:tcBorders>
              <w:top w:val="nil"/>
              <w:left w:val="nil"/>
              <w:bottom w:val="single" w:sz="4" w:space="0" w:color="auto"/>
              <w:right w:val="nil"/>
            </w:tcBorders>
            <w:shd w:val="clear" w:color="auto" w:fill="auto"/>
            <w:vAlign w:val="center"/>
            <w:hideMark/>
          </w:tcPr>
          <w:p w14:paraId="0CB1B61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0.310606</w:t>
            </w:r>
          </w:p>
        </w:tc>
        <w:tc>
          <w:tcPr>
            <w:tcW w:w="1343" w:type="dxa"/>
            <w:tcBorders>
              <w:top w:val="nil"/>
              <w:left w:val="nil"/>
              <w:bottom w:val="single" w:sz="4" w:space="0" w:color="auto"/>
              <w:right w:val="nil"/>
            </w:tcBorders>
            <w:shd w:val="clear" w:color="auto" w:fill="auto"/>
            <w:vAlign w:val="center"/>
            <w:hideMark/>
          </w:tcPr>
          <w:p w14:paraId="18A2596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-0.224295</w:t>
            </w:r>
          </w:p>
        </w:tc>
        <w:tc>
          <w:tcPr>
            <w:tcW w:w="1112" w:type="dxa"/>
            <w:tcBorders>
              <w:top w:val="nil"/>
              <w:left w:val="nil"/>
              <w:bottom w:val="single" w:sz="4" w:space="0" w:color="auto"/>
              <w:right w:val="nil"/>
            </w:tcBorders>
            <w:shd w:val="clear" w:color="auto" w:fill="auto"/>
            <w:vAlign w:val="center"/>
            <w:hideMark/>
          </w:tcPr>
          <w:p w14:paraId="274BC8B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0.8227</w:t>
            </w:r>
          </w:p>
        </w:tc>
      </w:tr>
      <w:tr w:rsidR="00F70FDD" w:rsidRPr="00F70FDD" w14:paraId="4D250861"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32AAC4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4721010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0.123090*</w:t>
            </w:r>
          </w:p>
        </w:tc>
        <w:tc>
          <w:tcPr>
            <w:tcW w:w="1377" w:type="dxa"/>
            <w:tcBorders>
              <w:top w:val="nil"/>
              <w:left w:val="nil"/>
              <w:bottom w:val="single" w:sz="4" w:space="0" w:color="auto"/>
              <w:right w:val="nil"/>
            </w:tcBorders>
            <w:shd w:val="clear" w:color="auto" w:fill="auto"/>
            <w:vAlign w:val="center"/>
            <w:hideMark/>
          </w:tcPr>
          <w:p w14:paraId="5830671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0.067696</w:t>
            </w:r>
          </w:p>
        </w:tc>
        <w:tc>
          <w:tcPr>
            <w:tcW w:w="1343" w:type="dxa"/>
            <w:tcBorders>
              <w:top w:val="nil"/>
              <w:left w:val="nil"/>
              <w:bottom w:val="single" w:sz="4" w:space="0" w:color="auto"/>
              <w:right w:val="nil"/>
            </w:tcBorders>
            <w:shd w:val="clear" w:color="auto" w:fill="auto"/>
            <w:vAlign w:val="center"/>
            <w:hideMark/>
          </w:tcPr>
          <w:p w14:paraId="53EFD47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1.818.293</w:t>
            </w:r>
          </w:p>
        </w:tc>
        <w:tc>
          <w:tcPr>
            <w:tcW w:w="1112" w:type="dxa"/>
            <w:tcBorders>
              <w:top w:val="nil"/>
              <w:left w:val="nil"/>
              <w:bottom w:val="single" w:sz="4" w:space="0" w:color="auto"/>
              <w:right w:val="nil"/>
            </w:tcBorders>
            <w:shd w:val="clear" w:color="auto" w:fill="auto"/>
            <w:vAlign w:val="center"/>
            <w:hideMark/>
          </w:tcPr>
          <w:p w14:paraId="32B7B84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0.0702</w:t>
            </w:r>
          </w:p>
        </w:tc>
      </w:tr>
      <w:tr w:rsidR="00F70FDD" w:rsidRPr="00F70FDD" w14:paraId="6EA425D1"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0BF5ED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vAlign w:val="center"/>
            <w:hideMark/>
          </w:tcPr>
          <w:p w14:paraId="68A6EDC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0.289545***</w:t>
            </w:r>
          </w:p>
        </w:tc>
        <w:tc>
          <w:tcPr>
            <w:tcW w:w="1377" w:type="dxa"/>
            <w:tcBorders>
              <w:top w:val="nil"/>
              <w:left w:val="nil"/>
              <w:bottom w:val="single" w:sz="4" w:space="0" w:color="auto"/>
              <w:right w:val="nil"/>
            </w:tcBorders>
            <w:shd w:val="clear" w:color="auto" w:fill="auto"/>
            <w:vAlign w:val="center"/>
            <w:hideMark/>
          </w:tcPr>
          <w:p w14:paraId="66FD76B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0.060534</w:t>
            </w:r>
          </w:p>
        </w:tc>
        <w:tc>
          <w:tcPr>
            <w:tcW w:w="1343" w:type="dxa"/>
            <w:tcBorders>
              <w:top w:val="nil"/>
              <w:left w:val="nil"/>
              <w:bottom w:val="single" w:sz="4" w:space="0" w:color="auto"/>
              <w:right w:val="nil"/>
            </w:tcBorders>
            <w:shd w:val="clear" w:color="auto" w:fill="auto"/>
            <w:vAlign w:val="center"/>
            <w:hideMark/>
          </w:tcPr>
          <w:p w14:paraId="24C0088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4.783176</w:t>
            </w:r>
          </w:p>
        </w:tc>
        <w:tc>
          <w:tcPr>
            <w:tcW w:w="1112" w:type="dxa"/>
            <w:tcBorders>
              <w:top w:val="nil"/>
              <w:left w:val="nil"/>
              <w:bottom w:val="single" w:sz="4" w:space="0" w:color="auto"/>
              <w:right w:val="nil"/>
            </w:tcBorders>
            <w:shd w:val="clear" w:color="auto" w:fill="auto"/>
            <w:vAlign w:val="center"/>
            <w:hideMark/>
          </w:tcPr>
          <w:p w14:paraId="7613BF7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70028A47"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A4BC62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single" w:sz="4" w:space="0" w:color="auto"/>
              <w:left w:val="nil"/>
              <w:bottom w:val="single" w:sz="4" w:space="0" w:color="auto"/>
              <w:right w:val="nil"/>
            </w:tcBorders>
            <w:shd w:val="clear" w:color="auto" w:fill="auto"/>
            <w:vAlign w:val="center"/>
            <w:hideMark/>
          </w:tcPr>
          <w:p w14:paraId="37FC959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0.090396</w:t>
            </w:r>
          </w:p>
        </w:tc>
      </w:tr>
      <w:tr w:rsidR="00F70FDD" w:rsidRPr="00F70FDD" w14:paraId="00D8020F"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C7FC53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single" w:sz="4" w:space="0" w:color="auto"/>
              <w:left w:val="nil"/>
              <w:bottom w:val="single" w:sz="4" w:space="0" w:color="auto"/>
              <w:right w:val="nil"/>
            </w:tcBorders>
            <w:shd w:val="clear" w:color="auto" w:fill="auto"/>
            <w:vAlign w:val="center"/>
            <w:hideMark/>
          </w:tcPr>
          <w:p w14:paraId="3CBEDAA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0.083345</w:t>
            </w:r>
          </w:p>
        </w:tc>
      </w:tr>
      <w:tr w:rsidR="00F70FDD" w:rsidRPr="00F70FDD" w14:paraId="6A01CBEC"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79D3997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single" w:sz="4" w:space="0" w:color="auto"/>
              <w:left w:val="nil"/>
              <w:bottom w:val="single" w:sz="8" w:space="0" w:color="auto"/>
              <w:right w:val="nil"/>
            </w:tcBorders>
            <w:shd w:val="clear" w:color="auto" w:fill="auto"/>
            <w:noWrap/>
            <w:vAlign w:val="bottom"/>
            <w:hideMark/>
          </w:tcPr>
          <w:p w14:paraId="45B2736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2.489532</w:t>
            </w:r>
          </w:p>
        </w:tc>
      </w:tr>
      <w:tr w:rsidR="00F70FDD" w:rsidRPr="00F70FDD" w14:paraId="27D8CE69"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1F8FB98" w14:textId="3A15787E"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2015-</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2015 (261 Obs.)</w:t>
            </w:r>
          </w:p>
        </w:tc>
      </w:tr>
      <w:tr w:rsidR="00F70FDD" w:rsidRPr="00F70FDD" w14:paraId="310E0650"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437363F7" w14:textId="3312EF66"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3CCEE20F" w14:textId="70523A8E"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67C31F6E" w14:textId="1FEC9F2B"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4399B1D3" w14:textId="62007B71"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7A47D6F2"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4CE0E52A"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0215036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7B30662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0.088744</w:t>
            </w:r>
          </w:p>
        </w:tc>
        <w:tc>
          <w:tcPr>
            <w:tcW w:w="1377" w:type="dxa"/>
            <w:tcBorders>
              <w:top w:val="nil"/>
              <w:left w:val="nil"/>
              <w:bottom w:val="single" w:sz="4" w:space="0" w:color="auto"/>
              <w:right w:val="nil"/>
            </w:tcBorders>
            <w:shd w:val="clear" w:color="auto" w:fill="auto"/>
            <w:vAlign w:val="center"/>
            <w:hideMark/>
          </w:tcPr>
          <w:p w14:paraId="0ACCAB7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0.275560</w:t>
            </w:r>
          </w:p>
        </w:tc>
        <w:tc>
          <w:tcPr>
            <w:tcW w:w="1343" w:type="dxa"/>
            <w:tcBorders>
              <w:top w:val="nil"/>
              <w:left w:val="nil"/>
              <w:bottom w:val="single" w:sz="4" w:space="0" w:color="auto"/>
              <w:right w:val="nil"/>
            </w:tcBorders>
            <w:shd w:val="clear" w:color="auto" w:fill="auto"/>
            <w:vAlign w:val="center"/>
            <w:hideMark/>
          </w:tcPr>
          <w:p w14:paraId="68D99F0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0.322048</w:t>
            </w:r>
          </w:p>
        </w:tc>
        <w:tc>
          <w:tcPr>
            <w:tcW w:w="1112" w:type="dxa"/>
            <w:tcBorders>
              <w:top w:val="nil"/>
              <w:left w:val="nil"/>
              <w:bottom w:val="single" w:sz="4" w:space="0" w:color="auto"/>
              <w:right w:val="nil"/>
            </w:tcBorders>
            <w:shd w:val="clear" w:color="auto" w:fill="auto"/>
            <w:vAlign w:val="center"/>
            <w:hideMark/>
          </w:tcPr>
          <w:p w14:paraId="7FB7E53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0.7477</w:t>
            </w:r>
          </w:p>
        </w:tc>
      </w:tr>
      <w:tr w:rsidR="00F70FDD" w:rsidRPr="00F70FDD" w14:paraId="3CAFC89E"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AC45E0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0A58810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0.126272**</w:t>
            </w:r>
          </w:p>
        </w:tc>
        <w:tc>
          <w:tcPr>
            <w:tcW w:w="1377" w:type="dxa"/>
            <w:tcBorders>
              <w:top w:val="nil"/>
              <w:left w:val="nil"/>
              <w:bottom w:val="single" w:sz="4" w:space="0" w:color="auto"/>
              <w:right w:val="nil"/>
            </w:tcBorders>
            <w:shd w:val="clear" w:color="auto" w:fill="auto"/>
            <w:vAlign w:val="center"/>
            <w:hideMark/>
          </w:tcPr>
          <w:p w14:paraId="005B73E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0.055469</w:t>
            </w:r>
          </w:p>
        </w:tc>
        <w:tc>
          <w:tcPr>
            <w:tcW w:w="1343" w:type="dxa"/>
            <w:tcBorders>
              <w:top w:val="nil"/>
              <w:left w:val="nil"/>
              <w:bottom w:val="single" w:sz="4" w:space="0" w:color="auto"/>
              <w:right w:val="nil"/>
            </w:tcBorders>
            <w:shd w:val="clear" w:color="auto" w:fill="auto"/>
            <w:vAlign w:val="center"/>
            <w:hideMark/>
          </w:tcPr>
          <w:p w14:paraId="4F7AA79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2.276465</w:t>
            </w:r>
          </w:p>
        </w:tc>
        <w:tc>
          <w:tcPr>
            <w:tcW w:w="1112" w:type="dxa"/>
            <w:tcBorders>
              <w:top w:val="nil"/>
              <w:left w:val="nil"/>
              <w:bottom w:val="single" w:sz="4" w:space="0" w:color="auto"/>
              <w:right w:val="nil"/>
            </w:tcBorders>
            <w:shd w:val="clear" w:color="auto" w:fill="auto"/>
            <w:vAlign w:val="center"/>
            <w:hideMark/>
          </w:tcPr>
          <w:p w14:paraId="2F7BD53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0.0236</w:t>
            </w:r>
          </w:p>
        </w:tc>
      </w:tr>
      <w:tr w:rsidR="00F70FDD" w:rsidRPr="00F70FDD" w14:paraId="518DD940"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3EB0383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lastRenderedPageBreak/>
              <w:t>Δ(Spread It-Ge)</w:t>
            </w:r>
          </w:p>
        </w:tc>
        <w:tc>
          <w:tcPr>
            <w:tcW w:w="1404" w:type="dxa"/>
            <w:tcBorders>
              <w:top w:val="nil"/>
              <w:left w:val="nil"/>
              <w:bottom w:val="single" w:sz="4" w:space="0" w:color="auto"/>
              <w:right w:val="nil"/>
            </w:tcBorders>
            <w:shd w:val="clear" w:color="auto" w:fill="auto"/>
            <w:vAlign w:val="center"/>
            <w:hideMark/>
          </w:tcPr>
          <w:p w14:paraId="0969F95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0.367238***</w:t>
            </w:r>
          </w:p>
        </w:tc>
        <w:tc>
          <w:tcPr>
            <w:tcW w:w="1377" w:type="dxa"/>
            <w:tcBorders>
              <w:top w:val="nil"/>
              <w:left w:val="nil"/>
              <w:bottom w:val="single" w:sz="4" w:space="0" w:color="auto"/>
              <w:right w:val="nil"/>
            </w:tcBorders>
            <w:shd w:val="clear" w:color="auto" w:fill="auto"/>
            <w:vAlign w:val="center"/>
            <w:hideMark/>
          </w:tcPr>
          <w:p w14:paraId="418E4FA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0.050609</w:t>
            </w:r>
          </w:p>
        </w:tc>
        <w:tc>
          <w:tcPr>
            <w:tcW w:w="1343" w:type="dxa"/>
            <w:tcBorders>
              <w:top w:val="nil"/>
              <w:left w:val="nil"/>
              <w:bottom w:val="single" w:sz="4" w:space="0" w:color="auto"/>
              <w:right w:val="nil"/>
            </w:tcBorders>
            <w:shd w:val="clear" w:color="auto" w:fill="auto"/>
            <w:vAlign w:val="center"/>
            <w:hideMark/>
          </w:tcPr>
          <w:p w14:paraId="0B92682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7.256380</w:t>
            </w:r>
          </w:p>
        </w:tc>
        <w:tc>
          <w:tcPr>
            <w:tcW w:w="1112" w:type="dxa"/>
            <w:tcBorders>
              <w:top w:val="nil"/>
              <w:left w:val="nil"/>
              <w:bottom w:val="single" w:sz="4" w:space="0" w:color="auto"/>
              <w:right w:val="nil"/>
            </w:tcBorders>
            <w:shd w:val="clear" w:color="auto" w:fill="auto"/>
            <w:vAlign w:val="center"/>
            <w:hideMark/>
          </w:tcPr>
          <w:p w14:paraId="0AB15EC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3D74A987"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9D447B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single" w:sz="4" w:space="0" w:color="auto"/>
              <w:left w:val="nil"/>
              <w:bottom w:val="single" w:sz="4" w:space="0" w:color="auto"/>
              <w:right w:val="nil"/>
            </w:tcBorders>
            <w:shd w:val="clear" w:color="auto" w:fill="auto"/>
            <w:vAlign w:val="center"/>
            <w:hideMark/>
          </w:tcPr>
          <w:p w14:paraId="6FD0EF2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0.231364</w:t>
            </w:r>
          </w:p>
        </w:tc>
      </w:tr>
      <w:tr w:rsidR="00F70FDD" w:rsidRPr="00F70FDD" w14:paraId="3C0BE621"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3F98769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single" w:sz="4" w:space="0" w:color="auto"/>
              <w:left w:val="nil"/>
              <w:bottom w:val="single" w:sz="4" w:space="0" w:color="auto"/>
              <w:right w:val="nil"/>
            </w:tcBorders>
            <w:shd w:val="clear" w:color="auto" w:fill="auto"/>
            <w:vAlign w:val="center"/>
            <w:hideMark/>
          </w:tcPr>
          <w:p w14:paraId="570A2A7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0.225406</w:t>
            </w:r>
          </w:p>
        </w:tc>
      </w:tr>
      <w:tr w:rsidR="00F70FDD" w:rsidRPr="00F70FDD" w14:paraId="7F0F4358"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2F88641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single" w:sz="4" w:space="0" w:color="auto"/>
              <w:left w:val="nil"/>
              <w:bottom w:val="single" w:sz="8" w:space="0" w:color="auto"/>
              <w:right w:val="nil"/>
            </w:tcBorders>
            <w:shd w:val="clear" w:color="auto" w:fill="auto"/>
            <w:noWrap/>
            <w:vAlign w:val="bottom"/>
            <w:hideMark/>
          </w:tcPr>
          <w:p w14:paraId="1E74B9F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2.579413</w:t>
            </w:r>
          </w:p>
        </w:tc>
      </w:tr>
      <w:tr w:rsidR="00F70FDD" w:rsidRPr="00F70FDD" w14:paraId="5B5D3267"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7978886" w14:textId="25FD9570"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2016-</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2016 (261 Obs.)</w:t>
            </w:r>
          </w:p>
        </w:tc>
      </w:tr>
      <w:tr w:rsidR="00F70FDD" w:rsidRPr="00F70FDD" w14:paraId="21FB8D00"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21637C53" w14:textId="047F7DFE"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00A54D01" w14:textId="35F549E0"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6087D276" w14:textId="2DA02262"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55A1F46D" w14:textId="77DC7E14"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412ACCB2"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1C76B468"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4A5D05A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6DAEAA8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-0.044992</w:t>
            </w:r>
          </w:p>
        </w:tc>
        <w:tc>
          <w:tcPr>
            <w:tcW w:w="1377" w:type="dxa"/>
            <w:tcBorders>
              <w:top w:val="nil"/>
              <w:left w:val="nil"/>
              <w:bottom w:val="single" w:sz="4" w:space="0" w:color="auto"/>
              <w:right w:val="nil"/>
            </w:tcBorders>
            <w:shd w:val="clear" w:color="auto" w:fill="auto"/>
            <w:vAlign w:val="center"/>
            <w:hideMark/>
          </w:tcPr>
          <w:p w14:paraId="60D145E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0.394257</w:t>
            </w:r>
          </w:p>
        </w:tc>
        <w:tc>
          <w:tcPr>
            <w:tcW w:w="1343" w:type="dxa"/>
            <w:tcBorders>
              <w:top w:val="nil"/>
              <w:left w:val="nil"/>
              <w:bottom w:val="single" w:sz="4" w:space="0" w:color="auto"/>
              <w:right w:val="nil"/>
            </w:tcBorders>
            <w:shd w:val="clear" w:color="auto" w:fill="auto"/>
            <w:vAlign w:val="center"/>
            <w:hideMark/>
          </w:tcPr>
          <w:p w14:paraId="57746E3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-0.114120</w:t>
            </w:r>
          </w:p>
        </w:tc>
        <w:tc>
          <w:tcPr>
            <w:tcW w:w="1112" w:type="dxa"/>
            <w:tcBorders>
              <w:top w:val="nil"/>
              <w:left w:val="nil"/>
              <w:bottom w:val="single" w:sz="4" w:space="0" w:color="auto"/>
              <w:right w:val="nil"/>
            </w:tcBorders>
            <w:shd w:val="clear" w:color="auto" w:fill="auto"/>
            <w:vAlign w:val="center"/>
            <w:hideMark/>
          </w:tcPr>
          <w:p w14:paraId="28B4002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0.9092</w:t>
            </w:r>
          </w:p>
        </w:tc>
      </w:tr>
      <w:tr w:rsidR="00F70FDD" w:rsidRPr="00F70FDD" w14:paraId="59AE0F6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0F3C44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72BD06F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0.211982***</w:t>
            </w:r>
          </w:p>
        </w:tc>
        <w:tc>
          <w:tcPr>
            <w:tcW w:w="1377" w:type="dxa"/>
            <w:tcBorders>
              <w:top w:val="nil"/>
              <w:left w:val="nil"/>
              <w:bottom w:val="single" w:sz="4" w:space="0" w:color="auto"/>
              <w:right w:val="nil"/>
            </w:tcBorders>
            <w:shd w:val="clear" w:color="auto" w:fill="auto"/>
            <w:vAlign w:val="center"/>
            <w:hideMark/>
          </w:tcPr>
          <w:p w14:paraId="58C04C2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0.072254</w:t>
            </w:r>
          </w:p>
        </w:tc>
        <w:tc>
          <w:tcPr>
            <w:tcW w:w="1343" w:type="dxa"/>
            <w:tcBorders>
              <w:top w:val="nil"/>
              <w:left w:val="nil"/>
              <w:bottom w:val="single" w:sz="4" w:space="0" w:color="auto"/>
              <w:right w:val="nil"/>
            </w:tcBorders>
            <w:shd w:val="clear" w:color="auto" w:fill="auto"/>
            <w:vAlign w:val="center"/>
            <w:hideMark/>
          </w:tcPr>
          <w:p w14:paraId="64355C2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2.933850</w:t>
            </w:r>
          </w:p>
        </w:tc>
        <w:tc>
          <w:tcPr>
            <w:tcW w:w="1112" w:type="dxa"/>
            <w:tcBorders>
              <w:top w:val="nil"/>
              <w:left w:val="nil"/>
              <w:bottom w:val="single" w:sz="4" w:space="0" w:color="auto"/>
              <w:right w:val="nil"/>
            </w:tcBorders>
            <w:shd w:val="clear" w:color="auto" w:fill="auto"/>
            <w:vAlign w:val="center"/>
            <w:hideMark/>
          </w:tcPr>
          <w:p w14:paraId="6E1C95D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0.0036</w:t>
            </w:r>
          </w:p>
        </w:tc>
      </w:tr>
      <w:tr w:rsidR="00F70FDD" w:rsidRPr="00F70FDD" w14:paraId="37BA2B33"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0591033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vAlign w:val="center"/>
            <w:hideMark/>
          </w:tcPr>
          <w:p w14:paraId="2734011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0.800585***</w:t>
            </w:r>
          </w:p>
        </w:tc>
        <w:tc>
          <w:tcPr>
            <w:tcW w:w="1377" w:type="dxa"/>
            <w:tcBorders>
              <w:top w:val="nil"/>
              <w:left w:val="nil"/>
              <w:bottom w:val="single" w:sz="4" w:space="0" w:color="auto"/>
              <w:right w:val="nil"/>
            </w:tcBorders>
            <w:shd w:val="clear" w:color="auto" w:fill="auto"/>
            <w:vAlign w:val="center"/>
            <w:hideMark/>
          </w:tcPr>
          <w:p w14:paraId="111A68C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0.088937</w:t>
            </w:r>
          </w:p>
        </w:tc>
        <w:tc>
          <w:tcPr>
            <w:tcW w:w="1343" w:type="dxa"/>
            <w:tcBorders>
              <w:top w:val="nil"/>
              <w:left w:val="nil"/>
              <w:bottom w:val="single" w:sz="4" w:space="0" w:color="auto"/>
              <w:right w:val="nil"/>
            </w:tcBorders>
            <w:shd w:val="clear" w:color="auto" w:fill="auto"/>
            <w:vAlign w:val="center"/>
            <w:hideMark/>
          </w:tcPr>
          <w:p w14:paraId="3D31A40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9.001679</w:t>
            </w:r>
          </w:p>
        </w:tc>
        <w:tc>
          <w:tcPr>
            <w:tcW w:w="1112" w:type="dxa"/>
            <w:tcBorders>
              <w:top w:val="nil"/>
              <w:left w:val="nil"/>
              <w:bottom w:val="single" w:sz="4" w:space="0" w:color="auto"/>
              <w:right w:val="nil"/>
            </w:tcBorders>
            <w:shd w:val="clear" w:color="auto" w:fill="auto"/>
            <w:vAlign w:val="center"/>
            <w:hideMark/>
          </w:tcPr>
          <w:p w14:paraId="346F952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462AA97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C180D2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vAlign w:val="center"/>
            <w:hideMark/>
          </w:tcPr>
          <w:p w14:paraId="41BE8CC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0.316871</w:t>
            </w:r>
          </w:p>
        </w:tc>
      </w:tr>
      <w:tr w:rsidR="00F70FDD" w:rsidRPr="00F70FDD" w14:paraId="397459B8"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DB3526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vAlign w:val="center"/>
            <w:hideMark/>
          </w:tcPr>
          <w:p w14:paraId="136C368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0.311576</w:t>
            </w:r>
          </w:p>
        </w:tc>
      </w:tr>
      <w:tr w:rsidR="00F70FDD" w:rsidRPr="00F70FDD" w14:paraId="54BE78B9"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3FA2B3A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5FD3A06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2.232209</w:t>
            </w:r>
          </w:p>
        </w:tc>
      </w:tr>
      <w:tr w:rsidR="00F70FDD" w:rsidRPr="00F70FDD" w14:paraId="2E048591"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2A2A261A" w14:textId="0B7FE39B"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2017-</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2017 (260 Obs.)</w:t>
            </w:r>
          </w:p>
        </w:tc>
      </w:tr>
      <w:tr w:rsidR="00F70FDD" w:rsidRPr="00F70FDD" w14:paraId="713C74DF"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7E84E882" w14:textId="6E22A81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4BD8C574" w14:textId="499A27C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561BC14A" w14:textId="70DC7F2A"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01D31F09" w14:textId="32DCCD28"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1B5A4602"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0BF277BE"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375C7E0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725CC06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-0.345190</w:t>
            </w:r>
          </w:p>
        </w:tc>
        <w:tc>
          <w:tcPr>
            <w:tcW w:w="1377" w:type="dxa"/>
            <w:tcBorders>
              <w:top w:val="nil"/>
              <w:left w:val="nil"/>
              <w:bottom w:val="single" w:sz="4" w:space="0" w:color="auto"/>
              <w:right w:val="nil"/>
            </w:tcBorders>
            <w:shd w:val="clear" w:color="auto" w:fill="auto"/>
            <w:vAlign w:val="center"/>
            <w:hideMark/>
          </w:tcPr>
          <w:p w14:paraId="6B4EA0D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0.248925</w:t>
            </w:r>
          </w:p>
        </w:tc>
        <w:tc>
          <w:tcPr>
            <w:tcW w:w="1343" w:type="dxa"/>
            <w:tcBorders>
              <w:top w:val="nil"/>
              <w:left w:val="nil"/>
              <w:bottom w:val="single" w:sz="4" w:space="0" w:color="auto"/>
              <w:right w:val="nil"/>
            </w:tcBorders>
            <w:shd w:val="clear" w:color="auto" w:fill="auto"/>
            <w:vAlign w:val="center"/>
            <w:hideMark/>
          </w:tcPr>
          <w:p w14:paraId="427D152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-1.386723</w:t>
            </w:r>
          </w:p>
        </w:tc>
        <w:tc>
          <w:tcPr>
            <w:tcW w:w="1112" w:type="dxa"/>
            <w:tcBorders>
              <w:top w:val="nil"/>
              <w:left w:val="nil"/>
              <w:bottom w:val="single" w:sz="4" w:space="0" w:color="auto"/>
              <w:right w:val="nil"/>
            </w:tcBorders>
            <w:shd w:val="clear" w:color="auto" w:fill="auto"/>
            <w:vAlign w:val="center"/>
            <w:hideMark/>
          </w:tcPr>
          <w:p w14:paraId="53A2145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0.1667</w:t>
            </w:r>
          </w:p>
        </w:tc>
      </w:tr>
      <w:tr w:rsidR="00F70FDD" w:rsidRPr="00F70FDD" w14:paraId="4BC4582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FE8615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40EBB5C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0.140806***</w:t>
            </w:r>
          </w:p>
        </w:tc>
        <w:tc>
          <w:tcPr>
            <w:tcW w:w="1377" w:type="dxa"/>
            <w:tcBorders>
              <w:top w:val="nil"/>
              <w:left w:val="nil"/>
              <w:bottom w:val="single" w:sz="4" w:space="0" w:color="auto"/>
              <w:right w:val="nil"/>
            </w:tcBorders>
            <w:shd w:val="clear" w:color="auto" w:fill="auto"/>
            <w:vAlign w:val="center"/>
            <w:hideMark/>
          </w:tcPr>
          <w:p w14:paraId="2DA9655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0.052512</w:t>
            </w:r>
          </w:p>
        </w:tc>
        <w:tc>
          <w:tcPr>
            <w:tcW w:w="1343" w:type="dxa"/>
            <w:tcBorders>
              <w:top w:val="nil"/>
              <w:left w:val="nil"/>
              <w:bottom w:val="single" w:sz="4" w:space="0" w:color="auto"/>
              <w:right w:val="nil"/>
            </w:tcBorders>
            <w:shd w:val="clear" w:color="auto" w:fill="auto"/>
            <w:vAlign w:val="center"/>
            <w:hideMark/>
          </w:tcPr>
          <w:p w14:paraId="56A1907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2.681380</w:t>
            </w:r>
          </w:p>
        </w:tc>
        <w:tc>
          <w:tcPr>
            <w:tcW w:w="1112" w:type="dxa"/>
            <w:tcBorders>
              <w:top w:val="nil"/>
              <w:left w:val="nil"/>
              <w:bottom w:val="single" w:sz="4" w:space="0" w:color="auto"/>
              <w:right w:val="nil"/>
            </w:tcBorders>
            <w:shd w:val="clear" w:color="auto" w:fill="auto"/>
            <w:vAlign w:val="center"/>
            <w:hideMark/>
          </w:tcPr>
          <w:p w14:paraId="0F3051F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0.0078</w:t>
            </w:r>
          </w:p>
        </w:tc>
      </w:tr>
      <w:tr w:rsidR="00F70FDD" w:rsidRPr="00F70FDD" w14:paraId="0B9626BB"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677971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vAlign w:val="center"/>
            <w:hideMark/>
          </w:tcPr>
          <w:p w14:paraId="74EBC73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0.137357**</w:t>
            </w:r>
          </w:p>
        </w:tc>
        <w:tc>
          <w:tcPr>
            <w:tcW w:w="1377" w:type="dxa"/>
            <w:tcBorders>
              <w:top w:val="nil"/>
              <w:left w:val="nil"/>
              <w:bottom w:val="single" w:sz="4" w:space="0" w:color="auto"/>
              <w:right w:val="nil"/>
            </w:tcBorders>
            <w:shd w:val="clear" w:color="auto" w:fill="auto"/>
            <w:vAlign w:val="center"/>
            <w:hideMark/>
          </w:tcPr>
          <w:p w14:paraId="1446408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0.060870</w:t>
            </w:r>
          </w:p>
        </w:tc>
        <w:tc>
          <w:tcPr>
            <w:tcW w:w="1343" w:type="dxa"/>
            <w:tcBorders>
              <w:top w:val="nil"/>
              <w:left w:val="nil"/>
              <w:bottom w:val="single" w:sz="4" w:space="0" w:color="auto"/>
              <w:right w:val="nil"/>
            </w:tcBorders>
            <w:shd w:val="clear" w:color="auto" w:fill="auto"/>
            <w:vAlign w:val="center"/>
            <w:hideMark/>
          </w:tcPr>
          <w:p w14:paraId="66255F4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2.256569</w:t>
            </w:r>
          </w:p>
        </w:tc>
        <w:tc>
          <w:tcPr>
            <w:tcW w:w="1112" w:type="dxa"/>
            <w:tcBorders>
              <w:top w:val="nil"/>
              <w:left w:val="nil"/>
              <w:bottom w:val="single" w:sz="4" w:space="0" w:color="auto"/>
              <w:right w:val="nil"/>
            </w:tcBorders>
            <w:shd w:val="clear" w:color="auto" w:fill="auto"/>
            <w:vAlign w:val="center"/>
            <w:hideMark/>
          </w:tcPr>
          <w:p w14:paraId="42C49BB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0.0249</w:t>
            </w:r>
          </w:p>
        </w:tc>
      </w:tr>
      <w:tr w:rsidR="00F70FDD" w:rsidRPr="00F70FDD" w14:paraId="1B5DCAEC"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1A587B5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vAlign w:val="center"/>
            <w:hideMark/>
          </w:tcPr>
          <w:p w14:paraId="4F80CDA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0.057882</w:t>
            </w:r>
          </w:p>
        </w:tc>
      </w:tr>
      <w:tr w:rsidR="00F70FDD" w:rsidRPr="00F70FDD" w14:paraId="6ED0596C"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83E780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vAlign w:val="center"/>
            <w:hideMark/>
          </w:tcPr>
          <w:p w14:paraId="0F8EA80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0.050550</w:t>
            </w:r>
          </w:p>
        </w:tc>
      </w:tr>
      <w:tr w:rsidR="00F70FDD" w:rsidRPr="00F70FDD" w14:paraId="30AB6028"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4A03785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022DC35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2.259061</w:t>
            </w:r>
          </w:p>
        </w:tc>
      </w:tr>
      <w:tr w:rsidR="00F70FDD" w:rsidRPr="00F70FDD" w14:paraId="18EDC323"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994B4ED" w14:textId="1BB6C113"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2018-</w:t>
            </w:r>
            <w:r>
              <w:rPr>
                <w:rFonts w:ascii="Book Antiqua" w:eastAsia="Times New Roman" w:hAnsi="Book Antiqua" w:cs="Times New Roman"/>
                <w:i/>
                <w:iCs/>
                <w:color w:val="000000"/>
                <w:sz w:val="20"/>
                <w:szCs w:val="20"/>
                <w:lang w:eastAsia="it-IT"/>
              </w:rPr>
              <w:t>December</w:t>
            </w:r>
            <w:r w:rsidR="00F70FDD" w:rsidRPr="00F70FDD">
              <w:rPr>
                <w:rFonts w:ascii="Book Antiqua" w:eastAsia="Times New Roman" w:hAnsi="Book Antiqua" w:cs="Times New Roman"/>
                <w:i/>
                <w:iCs/>
                <w:color w:val="000000"/>
                <w:sz w:val="20"/>
                <w:szCs w:val="20"/>
                <w:lang w:eastAsia="it-IT"/>
              </w:rPr>
              <w:t xml:space="preserve"> 2018 (261 Obs.)</w:t>
            </w:r>
          </w:p>
        </w:tc>
      </w:tr>
      <w:tr w:rsidR="00F70FDD" w:rsidRPr="00F70FDD" w14:paraId="7EE64B5B"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7463E3CA" w14:textId="6606FAFB"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3726A090" w14:textId="220527E7"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5FEA889B" w14:textId="4FA07AF3"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43878969" w14:textId="44FBFB9D"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41AF5896"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5C841A34"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63E5CC3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01D8DC1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0.408706</w:t>
            </w:r>
          </w:p>
        </w:tc>
        <w:tc>
          <w:tcPr>
            <w:tcW w:w="1377" w:type="dxa"/>
            <w:tcBorders>
              <w:top w:val="nil"/>
              <w:left w:val="nil"/>
              <w:bottom w:val="single" w:sz="4" w:space="0" w:color="auto"/>
              <w:right w:val="nil"/>
            </w:tcBorders>
            <w:shd w:val="clear" w:color="auto" w:fill="auto"/>
            <w:vAlign w:val="center"/>
            <w:hideMark/>
          </w:tcPr>
          <w:p w14:paraId="7780EE7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0.429392</w:t>
            </w:r>
          </w:p>
        </w:tc>
        <w:tc>
          <w:tcPr>
            <w:tcW w:w="1343" w:type="dxa"/>
            <w:tcBorders>
              <w:top w:val="nil"/>
              <w:left w:val="nil"/>
              <w:bottom w:val="single" w:sz="4" w:space="0" w:color="auto"/>
              <w:right w:val="nil"/>
            </w:tcBorders>
            <w:shd w:val="clear" w:color="auto" w:fill="auto"/>
            <w:vAlign w:val="center"/>
            <w:hideMark/>
          </w:tcPr>
          <w:p w14:paraId="284A4D3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0.951825</w:t>
            </w:r>
          </w:p>
        </w:tc>
        <w:tc>
          <w:tcPr>
            <w:tcW w:w="1112" w:type="dxa"/>
            <w:tcBorders>
              <w:top w:val="nil"/>
              <w:left w:val="nil"/>
              <w:bottom w:val="single" w:sz="4" w:space="0" w:color="auto"/>
              <w:right w:val="nil"/>
            </w:tcBorders>
            <w:shd w:val="clear" w:color="auto" w:fill="auto"/>
            <w:vAlign w:val="center"/>
            <w:hideMark/>
          </w:tcPr>
          <w:p w14:paraId="45800D1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0.3421</w:t>
            </w:r>
          </w:p>
        </w:tc>
      </w:tr>
      <w:tr w:rsidR="00F70FDD" w:rsidRPr="00F70FDD" w14:paraId="2A7C2528"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52EE22B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14B6C0E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0.039496</w:t>
            </w:r>
          </w:p>
        </w:tc>
        <w:tc>
          <w:tcPr>
            <w:tcW w:w="1377" w:type="dxa"/>
            <w:tcBorders>
              <w:top w:val="nil"/>
              <w:left w:val="nil"/>
              <w:bottom w:val="single" w:sz="4" w:space="0" w:color="auto"/>
              <w:right w:val="nil"/>
            </w:tcBorders>
            <w:shd w:val="clear" w:color="auto" w:fill="auto"/>
            <w:vAlign w:val="center"/>
            <w:hideMark/>
          </w:tcPr>
          <w:p w14:paraId="4213A33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0.052791</w:t>
            </w:r>
          </w:p>
        </w:tc>
        <w:tc>
          <w:tcPr>
            <w:tcW w:w="1343" w:type="dxa"/>
            <w:tcBorders>
              <w:top w:val="nil"/>
              <w:left w:val="nil"/>
              <w:bottom w:val="single" w:sz="4" w:space="0" w:color="auto"/>
              <w:right w:val="nil"/>
            </w:tcBorders>
            <w:shd w:val="clear" w:color="auto" w:fill="auto"/>
            <w:vAlign w:val="center"/>
            <w:hideMark/>
          </w:tcPr>
          <w:p w14:paraId="0668E5B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0.748147</w:t>
            </w:r>
          </w:p>
        </w:tc>
        <w:tc>
          <w:tcPr>
            <w:tcW w:w="1112" w:type="dxa"/>
            <w:tcBorders>
              <w:top w:val="nil"/>
              <w:left w:val="nil"/>
              <w:bottom w:val="single" w:sz="4" w:space="0" w:color="auto"/>
              <w:right w:val="nil"/>
            </w:tcBorders>
            <w:shd w:val="clear" w:color="auto" w:fill="auto"/>
            <w:vAlign w:val="center"/>
            <w:hideMark/>
          </w:tcPr>
          <w:p w14:paraId="0140B56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0.4551</w:t>
            </w:r>
          </w:p>
        </w:tc>
      </w:tr>
      <w:tr w:rsidR="00F70FDD" w:rsidRPr="00F70FDD" w14:paraId="5BC06B6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7AA493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vAlign w:val="center"/>
            <w:hideMark/>
          </w:tcPr>
          <w:p w14:paraId="5AC7DEF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0.082891</w:t>
            </w:r>
          </w:p>
        </w:tc>
        <w:tc>
          <w:tcPr>
            <w:tcW w:w="1377" w:type="dxa"/>
            <w:tcBorders>
              <w:top w:val="nil"/>
              <w:left w:val="nil"/>
              <w:bottom w:val="single" w:sz="4" w:space="0" w:color="auto"/>
              <w:right w:val="nil"/>
            </w:tcBorders>
            <w:shd w:val="clear" w:color="auto" w:fill="auto"/>
            <w:vAlign w:val="center"/>
            <w:hideMark/>
          </w:tcPr>
          <w:p w14:paraId="40C0B3D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0.051592</w:t>
            </w:r>
          </w:p>
        </w:tc>
        <w:tc>
          <w:tcPr>
            <w:tcW w:w="1343" w:type="dxa"/>
            <w:tcBorders>
              <w:top w:val="nil"/>
              <w:left w:val="nil"/>
              <w:bottom w:val="single" w:sz="4" w:space="0" w:color="auto"/>
              <w:right w:val="nil"/>
            </w:tcBorders>
            <w:shd w:val="clear" w:color="auto" w:fill="auto"/>
            <w:vAlign w:val="center"/>
            <w:hideMark/>
          </w:tcPr>
          <w:p w14:paraId="3BC1303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1.606647</w:t>
            </w:r>
          </w:p>
        </w:tc>
        <w:tc>
          <w:tcPr>
            <w:tcW w:w="1112" w:type="dxa"/>
            <w:tcBorders>
              <w:top w:val="nil"/>
              <w:left w:val="nil"/>
              <w:bottom w:val="single" w:sz="4" w:space="0" w:color="auto"/>
              <w:right w:val="nil"/>
            </w:tcBorders>
            <w:shd w:val="clear" w:color="auto" w:fill="auto"/>
            <w:vAlign w:val="center"/>
            <w:hideMark/>
          </w:tcPr>
          <w:p w14:paraId="7D630B9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0.1094</w:t>
            </w:r>
          </w:p>
        </w:tc>
      </w:tr>
      <w:tr w:rsidR="00F70FDD" w:rsidRPr="00F70FDD" w14:paraId="2FC8D580"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FE46C0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vAlign w:val="center"/>
            <w:hideMark/>
          </w:tcPr>
          <w:p w14:paraId="7911828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0.019704</w:t>
            </w:r>
          </w:p>
        </w:tc>
      </w:tr>
      <w:tr w:rsidR="00F70FDD" w:rsidRPr="00F70FDD" w14:paraId="365D376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46B3575B"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vAlign w:val="center"/>
            <w:hideMark/>
          </w:tcPr>
          <w:p w14:paraId="692B1F5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0.012104</w:t>
            </w:r>
          </w:p>
        </w:tc>
      </w:tr>
      <w:tr w:rsidR="00F70FDD" w:rsidRPr="00F70FDD" w14:paraId="6313A500"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312411A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nil"/>
              <w:left w:val="nil"/>
              <w:bottom w:val="single" w:sz="8" w:space="0" w:color="auto"/>
              <w:right w:val="nil"/>
            </w:tcBorders>
            <w:shd w:val="clear" w:color="auto" w:fill="auto"/>
            <w:noWrap/>
            <w:vAlign w:val="bottom"/>
            <w:hideMark/>
          </w:tcPr>
          <w:p w14:paraId="4FC5672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2.054012</w:t>
            </w:r>
          </w:p>
        </w:tc>
      </w:tr>
      <w:tr w:rsidR="00F70FDD" w:rsidRPr="00F70FDD" w14:paraId="3FF78D00" w14:textId="77777777" w:rsidTr="00F70FDD">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3ADDCAD" w14:textId="6FA4C1B8" w:rsidR="00F70FDD" w:rsidRPr="00F70FDD" w:rsidRDefault="00AB26DE" w:rsidP="00F70FDD">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w:t>
            </w:r>
            <w:r w:rsidR="00F70FDD" w:rsidRPr="00F70FDD">
              <w:rPr>
                <w:rFonts w:ascii="Book Antiqua" w:eastAsia="Times New Roman" w:hAnsi="Book Antiqua" w:cs="Times New Roman"/>
                <w:i/>
                <w:iCs/>
                <w:color w:val="000000"/>
                <w:sz w:val="20"/>
                <w:szCs w:val="20"/>
                <w:lang w:eastAsia="it-IT"/>
              </w:rPr>
              <w:t xml:space="preserve"> </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2019-</w:t>
            </w:r>
            <w:r>
              <w:rPr>
                <w:rFonts w:ascii="Book Antiqua" w:eastAsia="Times New Roman" w:hAnsi="Book Antiqua" w:cs="Times New Roman"/>
                <w:i/>
                <w:iCs/>
                <w:color w:val="000000"/>
                <w:sz w:val="20"/>
                <w:szCs w:val="20"/>
                <w:lang w:eastAsia="it-IT"/>
              </w:rPr>
              <w:t>January</w:t>
            </w:r>
            <w:r w:rsidR="00F70FDD" w:rsidRPr="00F70FDD">
              <w:rPr>
                <w:rFonts w:ascii="Book Antiqua" w:eastAsia="Times New Roman" w:hAnsi="Book Antiqua" w:cs="Times New Roman"/>
                <w:i/>
                <w:iCs/>
                <w:color w:val="000000"/>
                <w:sz w:val="20"/>
                <w:szCs w:val="20"/>
                <w:lang w:eastAsia="it-IT"/>
              </w:rPr>
              <w:t xml:space="preserve"> 2020 (262 Obs.)</w:t>
            </w:r>
          </w:p>
        </w:tc>
      </w:tr>
      <w:tr w:rsidR="00F70FDD" w:rsidRPr="00F70FDD" w14:paraId="6F4F6609" w14:textId="77777777" w:rsidTr="00F70FDD">
        <w:trPr>
          <w:trHeight w:val="300"/>
          <w:jc w:val="center"/>
        </w:trPr>
        <w:tc>
          <w:tcPr>
            <w:tcW w:w="2084" w:type="dxa"/>
            <w:tcBorders>
              <w:top w:val="single" w:sz="8" w:space="0" w:color="auto"/>
              <w:left w:val="nil"/>
              <w:bottom w:val="single" w:sz="4" w:space="0" w:color="auto"/>
              <w:right w:val="nil"/>
            </w:tcBorders>
            <w:shd w:val="clear" w:color="auto" w:fill="auto"/>
            <w:noWrap/>
            <w:vAlign w:val="center"/>
            <w:hideMark/>
          </w:tcPr>
          <w:p w14:paraId="16E8FCAA" w14:textId="74BB46E8"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04" w:type="dxa"/>
            <w:tcBorders>
              <w:top w:val="single" w:sz="8" w:space="0" w:color="auto"/>
              <w:left w:val="nil"/>
              <w:bottom w:val="single" w:sz="4" w:space="0" w:color="auto"/>
              <w:right w:val="nil"/>
            </w:tcBorders>
            <w:shd w:val="clear" w:color="auto" w:fill="auto"/>
            <w:noWrap/>
            <w:vAlign w:val="center"/>
            <w:hideMark/>
          </w:tcPr>
          <w:p w14:paraId="0331BA10" w14:textId="4F916E28"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77" w:type="dxa"/>
            <w:tcBorders>
              <w:top w:val="single" w:sz="8" w:space="0" w:color="auto"/>
              <w:left w:val="nil"/>
              <w:bottom w:val="single" w:sz="4" w:space="0" w:color="auto"/>
              <w:right w:val="nil"/>
            </w:tcBorders>
            <w:shd w:val="clear" w:color="auto" w:fill="auto"/>
            <w:noWrap/>
            <w:vAlign w:val="center"/>
            <w:hideMark/>
          </w:tcPr>
          <w:p w14:paraId="25BBA30C" w14:textId="50B6735B"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43" w:type="dxa"/>
            <w:tcBorders>
              <w:top w:val="single" w:sz="8" w:space="0" w:color="auto"/>
              <w:left w:val="nil"/>
              <w:bottom w:val="single" w:sz="4" w:space="0" w:color="auto"/>
              <w:right w:val="nil"/>
            </w:tcBorders>
            <w:shd w:val="clear" w:color="auto" w:fill="auto"/>
            <w:noWrap/>
            <w:vAlign w:val="center"/>
            <w:hideMark/>
          </w:tcPr>
          <w:p w14:paraId="2A6AD5C9" w14:textId="56FCDCD4" w:rsidR="00F70FDD" w:rsidRPr="00F70FDD" w:rsidRDefault="00AB26DE" w:rsidP="00F70FDD">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112" w:type="dxa"/>
            <w:tcBorders>
              <w:top w:val="single" w:sz="8" w:space="0" w:color="auto"/>
              <w:left w:val="nil"/>
              <w:bottom w:val="single" w:sz="4" w:space="0" w:color="auto"/>
              <w:right w:val="nil"/>
            </w:tcBorders>
            <w:shd w:val="clear" w:color="auto" w:fill="auto"/>
            <w:noWrap/>
            <w:vAlign w:val="center"/>
            <w:hideMark/>
          </w:tcPr>
          <w:p w14:paraId="5F984301" w14:textId="77777777" w:rsidR="00F70FDD" w:rsidRPr="00F70FDD" w:rsidRDefault="00F70FDD" w:rsidP="00F70FDD">
            <w:pPr>
              <w:spacing w:after="0" w:line="240" w:lineRule="auto"/>
              <w:jc w:val="center"/>
              <w:rPr>
                <w:rFonts w:ascii="Book Antiqua" w:eastAsia="Times New Roman" w:hAnsi="Book Antiqua" w:cs="Times New Roman"/>
                <w:b/>
                <w:bCs/>
                <w:color w:val="000000"/>
                <w:sz w:val="20"/>
                <w:szCs w:val="20"/>
                <w:lang w:eastAsia="it-IT"/>
              </w:rPr>
            </w:pPr>
            <w:r w:rsidRPr="00F70FDD">
              <w:rPr>
                <w:rFonts w:ascii="Book Antiqua" w:eastAsia="Times New Roman" w:hAnsi="Book Antiqua" w:cs="Times New Roman"/>
                <w:b/>
                <w:bCs/>
                <w:color w:val="000000"/>
                <w:sz w:val="20"/>
                <w:szCs w:val="20"/>
                <w:lang w:eastAsia="it-IT"/>
              </w:rPr>
              <w:t>Prob.</w:t>
            </w:r>
          </w:p>
        </w:tc>
      </w:tr>
      <w:tr w:rsidR="00F70FDD" w:rsidRPr="00F70FDD" w14:paraId="717D6AE7" w14:textId="77777777" w:rsidTr="00F70FDD">
        <w:trPr>
          <w:trHeight w:val="300"/>
          <w:jc w:val="center"/>
        </w:trPr>
        <w:tc>
          <w:tcPr>
            <w:tcW w:w="2084" w:type="dxa"/>
            <w:tcBorders>
              <w:top w:val="single" w:sz="4" w:space="0" w:color="auto"/>
              <w:left w:val="nil"/>
              <w:bottom w:val="single" w:sz="4" w:space="0" w:color="auto"/>
              <w:right w:val="nil"/>
            </w:tcBorders>
            <w:shd w:val="clear" w:color="auto" w:fill="auto"/>
            <w:noWrap/>
            <w:vAlign w:val="center"/>
            <w:hideMark/>
          </w:tcPr>
          <w:p w14:paraId="540A5DF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β</w:t>
            </w:r>
            <w:r w:rsidRPr="00F70FDD">
              <w:rPr>
                <w:rFonts w:ascii="Times New Roman" w:eastAsia="Times New Roman" w:hAnsi="Times New Roman" w:cs="Times New Roman"/>
                <w:color w:val="000000"/>
                <w:sz w:val="20"/>
                <w:szCs w:val="20"/>
                <w:lang w:eastAsia="it-IT"/>
              </w:rPr>
              <w:t>₀</w:t>
            </w:r>
          </w:p>
        </w:tc>
        <w:tc>
          <w:tcPr>
            <w:tcW w:w="1404" w:type="dxa"/>
            <w:tcBorders>
              <w:top w:val="nil"/>
              <w:left w:val="nil"/>
              <w:bottom w:val="single" w:sz="4" w:space="0" w:color="auto"/>
              <w:right w:val="nil"/>
            </w:tcBorders>
            <w:shd w:val="clear" w:color="auto" w:fill="auto"/>
            <w:vAlign w:val="center"/>
            <w:hideMark/>
          </w:tcPr>
          <w:p w14:paraId="2CC34F0E"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-0.227905</w:t>
            </w:r>
          </w:p>
        </w:tc>
        <w:tc>
          <w:tcPr>
            <w:tcW w:w="1377" w:type="dxa"/>
            <w:tcBorders>
              <w:top w:val="nil"/>
              <w:left w:val="nil"/>
              <w:bottom w:val="single" w:sz="4" w:space="0" w:color="auto"/>
              <w:right w:val="nil"/>
            </w:tcBorders>
            <w:shd w:val="clear" w:color="auto" w:fill="auto"/>
            <w:vAlign w:val="center"/>
            <w:hideMark/>
          </w:tcPr>
          <w:p w14:paraId="5BBC97C3"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0.225315</w:t>
            </w:r>
          </w:p>
        </w:tc>
        <w:tc>
          <w:tcPr>
            <w:tcW w:w="1343" w:type="dxa"/>
            <w:tcBorders>
              <w:top w:val="nil"/>
              <w:left w:val="nil"/>
              <w:bottom w:val="single" w:sz="4" w:space="0" w:color="auto"/>
              <w:right w:val="nil"/>
            </w:tcBorders>
            <w:shd w:val="clear" w:color="auto" w:fill="auto"/>
            <w:vAlign w:val="center"/>
            <w:hideMark/>
          </w:tcPr>
          <w:p w14:paraId="6D16FF36"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-1.011496</w:t>
            </w:r>
          </w:p>
        </w:tc>
        <w:tc>
          <w:tcPr>
            <w:tcW w:w="1112" w:type="dxa"/>
            <w:tcBorders>
              <w:top w:val="nil"/>
              <w:left w:val="nil"/>
              <w:bottom w:val="single" w:sz="4" w:space="0" w:color="auto"/>
              <w:right w:val="nil"/>
            </w:tcBorders>
            <w:shd w:val="clear" w:color="auto" w:fill="auto"/>
            <w:vAlign w:val="center"/>
            <w:hideMark/>
          </w:tcPr>
          <w:p w14:paraId="26499F9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0.3127</w:t>
            </w:r>
          </w:p>
        </w:tc>
      </w:tr>
      <w:tr w:rsidR="00F70FDD" w:rsidRPr="00F70FDD" w14:paraId="6AF71A8F"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37B1F71"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Δ(Italy Red. Risk)</w:t>
            </w:r>
          </w:p>
        </w:tc>
        <w:tc>
          <w:tcPr>
            <w:tcW w:w="1404" w:type="dxa"/>
            <w:tcBorders>
              <w:top w:val="nil"/>
              <w:left w:val="nil"/>
              <w:bottom w:val="single" w:sz="4" w:space="0" w:color="auto"/>
              <w:right w:val="nil"/>
            </w:tcBorders>
            <w:shd w:val="clear" w:color="auto" w:fill="auto"/>
            <w:vAlign w:val="center"/>
            <w:hideMark/>
          </w:tcPr>
          <w:p w14:paraId="5572383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0.215370***</w:t>
            </w:r>
          </w:p>
        </w:tc>
        <w:tc>
          <w:tcPr>
            <w:tcW w:w="1377" w:type="dxa"/>
            <w:tcBorders>
              <w:top w:val="nil"/>
              <w:left w:val="nil"/>
              <w:bottom w:val="single" w:sz="4" w:space="0" w:color="auto"/>
              <w:right w:val="nil"/>
            </w:tcBorders>
            <w:shd w:val="clear" w:color="auto" w:fill="auto"/>
            <w:vAlign w:val="center"/>
            <w:hideMark/>
          </w:tcPr>
          <w:p w14:paraId="19E4AF04"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0.045034</w:t>
            </w:r>
          </w:p>
        </w:tc>
        <w:tc>
          <w:tcPr>
            <w:tcW w:w="1343" w:type="dxa"/>
            <w:tcBorders>
              <w:top w:val="nil"/>
              <w:left w:val="nil"/>
              <w:bottom w:val="single" w:sz="4" w:space="0" w:color="auto"/>
              <w:right w:val="nil"/>
            </w:tcBorders>
            <w:shd w:val="clear" w:color="auto" w:fill="auto"/>
            <w:vAlign w:val="center"/>
            <w:hideMark/>
          </w:tcPr>
          <w:p w14:paraId="751AF608"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4.782336</w:t>
            </w:r>
          </w:p>
        </w:tc>
        <w:tc>
          <w:tcPr>
            <w:tcW w:w="1112" w:type="dxa"/>
            <w:tcBorders>
              <w:top w:val="nil"/>
              <w:left w:val="nil"/>
              <w:bottom w:val="single" w:sz="4" w:space="0" w:color="auto"/>
              <w:right w:val="nil"/>
            </w:tcBorders>
            <w:shd w:val="clear" w:color="auto" w:fill="auto"/>
            <w:vAlign w:val="center"/>
            <w:hideMark/>
          </w:tcPr>
          <w:p w14:paraId="265D78F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7AC1F79D"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24C2D6F0"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Δ(Spread It-Ge)</w:t>
            </w:r>
          </w:p>
        </w:tc>
        <w:tc>
          <w:tcPr>
            <w:tcW w:w="1404" w:type="dxa"/>
            <w:tcBorders>
              <w:top w:val="nil"/>
              <w:left w:val="nil"/>
              <w:bottom w:val="single" w:sz="4" w:space="0" w:color="auto"/>
              <w:right w:val="nil"/>
            </w:tcBorders>
            <w:shd w:val="clear" w:color="auto" w:fill="auto"/>
            <w:vAlign w:val="center"/>
            <w:hideMark/>
          </w:tcPr>
          <w:p w14:paraId="61BC79BF"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0.179134***</w:t>
            </w:r>
          </w:p>
        </w:tc>
        <w:tc>
          <w:tcPr>
            <w:tcW w:w="1377" w:type="dxa"/>
            <w:tcBorders>
              <w:top w:val="nil"/>
              <w:left w:val="nil"/>
              <w:bottom w:val="single" w:sz="4" w:space="0" w:color="auto"/>
              <w:right w:val="nil"/>
            </w:tcBorders>
            <w:shd w:val="clear" w:color="auto" w:fill="auto"/>
            <w:vAlign w:val="center"/>
            <w:hideMark/>
          </w:tcPr>
          <w:p w14:paraId="169775F2"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0.041540</w:t>
            </w:r>
          </w:p>
        </w:tc>
        <w:tc>
          <w:tcPr>
            <w:tcW w:w="1343" w:type="dxa"/>
            <w:tcBorders>
              <w:top w:val="nil"/>
              <w:left w:val="nil"/>
              <w:bottom w:val="single" w:sz="4" w:space="0" w:color="auto"/>
              <w:right w:val="nil"/>
            </w:tcBorders>
            <w:shd w:val="clear" w:color="auto" w:fill="auto"/>
            <w:vAlign w:val="center"/>
            <w:hideMark/>
          </w:tcPr>
          <w:p w14:paraId="4B948B6C"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4.312294</w:t>
            </w:r>
          </w:p>
        </w:tc>
        <w:tc>
          <w:tcPr>
            <w:tcW w:w="1112" w:type="dxa"/>
            <w:tcBorders>
              <w:top w:val="nil"/>
              <w:left w:val="nil"/>
              <w:bottom w:val="single" w:sz="4" w:space="0" w:color="auto"/>
              <w:right w:val="nil"/>
            </w:tcBorders>
            <w:shd w:val="clear" w:color="auto" w:fill="auto"/>
            <w:vAlign w:val="center"/>
            <w:hideMark/>
          </w:tcPr>
          <w:p w14:paraId="1CB5852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0.0000</w:t>
            </w:r>
          </w:p>
        </w:tc>
      </w:tr>
      <w:tr w:rsidR="00F70FDD" w:rsidRPr="00F70FDD" w14:paraId="6BACFBA2"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7E45490D"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R²</w:t>
            </w:r>
          </w:p>
        </w:tc>
        <w:tc>
          <w:tcPr>
            <w:tcW w:w="5236" w:type="dxa"/>
            <w:gridSpan w:val="4"/>
            <w:tcBorders>
              <w:top w:val="nil"/>
              <w:left w:val="nil"/>
              <w:bottom w:val="single" w:sz="4" w:space="0" w:color="auto"/>
              <w:right w:val="nil"/>
            </w:tcBorders>
            <w:shd w:val="clear" w:color="auto" w:fill="auto"/>
            <w:vAlign w:val="center"/>
            <w:hideMark/>
          </w:tcPr>
          <w:p w14:paraId="4310843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0.196956</w:t>
            </w:r>
          </w:p>
        </w:tc>
      </w:tr>
      <w:tr w:rsidR="00F70FDD" w:rsidRPr="00F70FDD" w14:paraId="6F829AA5" w14:textId="77777777" w:rsidTr="00F70FDD">
        <w:trPr>
          <w:trHeight w:val="300"/>
          <w:jc w:val="center"/>
        </w:trPr>
        <w:tc>
          <w:tcPr>
            <w:tcW w:w="2084" w:type="dxa"/>
            <w:tcBorders>
              <w:top w:val="nil"/>
              <w:left w:val="nil"/>
              <w:bottom w:val="single" w:sz="4" w:space="0" w:color="auto"/>
              <w:right w:val="nil"/>
            </w:tcBorders>
            <w:shd w:val="clear" w:color="auto" w:fill="auto"/>
            <w:noWrap/>
            <w:vAlign w:val="center"/>
            <w:hideMark/>
          </w:tcPr>
          <w:p w14:paraId="663E64E5"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Adj. R²</w:t>
            </w:r>
          </w:p>
        </w:tc>
        <w:tc>
          <w:tcPr>
            <w:tcW w:w="5236" w:type="dxa"/>
            <w:gridSpan w:val="4"/>
            <w:tcBorders>
              <w:top w:val="nil"/>
              <w:left w:val="nil"/>
              <w:bottom w:val="single" w:sz="4" w:space="0" w:color="auto"/>
              <w:right w:val="nil"/>
            </w:tcBorders>
            <w:shd w:val="clear" w:color="auto" w:fill="auto"/>
            <w:vAlign w:val="center"/>
            <w:hideMark/>
          </w:tcPr>
          <w:p w14:paraId="02B18687"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0.190755</w:t>
            </w:r>
          </w:p>
        </w:tc>
      </w:tr>
      <w:tr w:rsidR="00F70FDD" w:rsidRPr="00F70FDD" w14:paraId="7C9FD56C" w14:textId="77777777" w:rsidTr="00F70FDD">
        <w:trPr>
          <w:trHeight w:val="315"/>
          <w:jc w:val="center"/>
        </w:trPr>
        <w:tc>
          <w:tcPr>
            <w:tcW w:w="2084" w:type="dxa"/>
            <w:tcBorders>
              <w:top w:val="nil"/>
              <w:left w:val="nil"/>
              <w:bottom w:val="single" w:sz="8" w:space="0" w:color="auto"/>
              <w:right w:val="nil"/>
            </w:tcBorders>
            <w:shd w:val="clear" w:color="auto" w:fill="auto"/>
            <w:noWrap/>
            <w:vAlign w:val="center"/>
            <w:hideMark/>
          </w:tcPr>
          <w:p w14:paraId="00738F3A"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Durbin-Watson Stat.</w:t>
            </w:r>
          </w:p>
        </w:tc>
        <w:tc>
          <w:tcPr>
            <w:tcW w:w="5236" w:type="dxa"/>
            <w:gridSpan w:val="4"/>
            <w:tcBorders>
              <w:top w:val="single" w:sz="4" w:space="0" w:color="auto"/>
              <w:left w:val="nil"/>
              <w:bottom w:val="single" w:sz="8" w:space="0" w:color="auto"/>
              <w:right w:val="nil"/>
            </w:tcBorders>
            <w:shd w:val="clear" w:color="auto" w:fill="auto"/>
            <w:noWrap/>
            <w:vAlign w:val="bottom"/>
            <w:hideMark/>
          </w:tcPr>
          <w:p w14:paraId="6C4A6209" w14:textId="77777777" w:rsidR="00F70FDD" w:rsidRPr="00F70FDD" w:rsidRDefault="00F70FDD" w:rsidP="00F70FDD">
            <w:pPr>
              <w:spacing w:after="0" w:line="240" w:lineRule="auto"/>
              <w:jc w:val="center"/>
              <w:rPr>
                <w:rFonts w:ascii="Book Antiqua" w:eastAsia="Times New Roman" w:hAnsi="Book Antiqua" w:cs="Times New Roman"/>
                <w:color w:val="000000"/>
                <w:sz w:val="20"/>
                <w:szCs w:val="20"/>
                <w:lang w:eastAsia="it-IT"/>
              </w:rPr>
            </w:pPr>
            <w:r w:rsidRPr="00F70FDD">
              <w:rPr>
                <w:rFonts w:ascii="Book Antiqua" w:eastAsia="Times New Roman" w:hAnsi="Book Antiqua" w:cs="Times New Roman"/>
                <w:color w:val="000000"/>
                <w:sz w:val="20"/>
                <w:szCs w:val="20"/>
                <w:lang w:eastAsia="it-IT"/>
              </w:rPr>
              <w:t>2.010344</w:t>
            </w:r>
          </w:p>
        </w:tc>
      </w:tr>
    </w:tbl>
    <w:p w14:paraId="5E3969C1" w14:textId="5A7BA86F" w:rsidR="00631E3E" w:rsidRPr="00870653" w:rsidRDefault="00F70FDD" w:rsidP="00232FA6">
      <w:pPr>
        <w:spacing w:line="360" w:lineRule="auto"/>
        <w:jc w:val="both"/>
        <w:rPr>
          <w:rFonts w:ascii="Book Antiqua" w:hAnsi="Book Antiqua"/>
          <w:sz w:val="20"/>
          <w:szCs w:val="20"/>
          <w:lang w:val="en-US"/>
        </w:rPr>
      </w:pPr>
      <w:r w:rsidRPr="00870653">
        <w:rPr>
          <w:rFonts w:ascii="Book Antiqua" w:hAnsi="Book Antiqua"/>
          <w:sz w:val="20"/>
          <w:szCs w:val="20"/>
          <w:lang w:val="en-US"/>
        </w:rPr>
        <w:t xml:space="preserve">Note: *** signals parameter significance at 1%, ** signals parameter significance at 5%,* signals parameter significance at 10%. Source: authors’ calculations </w:t>
      </w:r>
      <w:r w:rsidR="00CB452B" w:rsidRPr="00870653">
        <w:rPr>
          <w:rFonts w:ascii="Book Antiqua" w:hAnsi="Book Antiqua"/>
          <w:sz w:val="20"/>
          <w:szCs w:val="20"/>
          <w:lang w:val="en-US"/>
        </w:rPr>
        <w:t>in Eviews 11 based on Bloomberg data.</w:t>
      </w:r>
    </w:p>
    <w:p w14:paraId="4BA6E47C" w14:textId="53A30F2A" w:rsidR="004541B1" w:rsidRPr="00870653" w:rsidRDefault="00C02FCF" w:rsidP="00A51B68">
      <w:pPr>
        <w:spacing w:after="0" w:line="360" w:lineRule="auto"/>
        <w:jc w:val="both"/>
        <w:rPr>
          <w:rFonts w:ascii="Book Antiqua" w:hAnsi="Book Antiqua"/>
          <w:sz w:val="20"/>
          <w:szCs w:val="20"/>
          <w:lang w:val="en-US"/>
        </w:rPr>
      </w:pPr>
      <w:r w:rsidRPr="00870653">
        <w:rPr>
          <w:rFonts w:ascii="Book Antiqua" w:hAnsi="Book Antiqua"/>
          <w:sz w:val="20"/>
          <w:szCs w:val="20"/>
          <w:lang w:val="en-US"/>
        </w:rPr>
        <w:t>Table 1</w:t>
      </w:r>
      <w:r w:rsidR="00A51B68" w:rsidRPr="00870653">
        <w:rPr>
          <w:rFonts w:ascii="Book Antiqua" w:hAnsi="Book Antiqua"/>
          <w:sz w:val="20"/>
          <w:szCs w:val="20"/>
          <w:lang w:val="en-US"/>
        </w:rPr>
        <w:t xml:space="preserve"> show</w:t>
      </w:r>
      <w:r w:rsidR="00997805">
        <w:rPr>
          <w:rFonts w:ascii="Book Antiqua" w:hAnsi="Book Antiqua"/>
          <w:sz w:val="20"/>
          <w:szCs w:val="20"/>
          <w:lang w:val="en-US"/>
        </w:rPr>
        <w:t>s</w:t>
      </w:r>
      <w:r w:rsidR="00A51B68" w:rsidRPr="00870653">
        <w:rPr>
          <w:rFonts w:ascii="Book Antiqua" w:hAnsi="Book Antiqua"/>
          <w:sz w:val="20"/>
          <w:szCs w:val="20"/>
          <w:lang w:val="en-US"/>
        </w:rPr>
        <w:t xml:space="preserve"> that</w:t>
      </w:r>
      <w:r w:rsidR="00815AC7" w:rsidRPr="00870653">
        <w:rPr>
          <w:rFonts w:ascii="Book Antiqua" w:hAnsi="Book Antiqua"/>
          <w:sz w:val="20"/>
          <w:szCs w:val="20"/>
          <w:lang w:val="en-US"/>
        </w:rPr>
        <w:t xml:space="preserve"> the</w:t>
      </w:r>
      <w:r w:rsidR="00A51B68" w:rsidRPr="00870653">
        <w:rPr>
          <w:rFonts w:ascii="Book Antiqua" w:hAnsi="Book Antiqua"/>
          <w:sz w:val="20"/>
          <w:szCs w:val="20"/>
          <w:lang w:val="en-US"/>
        </w:rPr>
        <w:t xml:space="preserve"> redenomination risk had a significant impact on the </w:t>
      </w:r>
      <w:r w:rsidR="00E64AF1" w:rsidRPr="00870653">
        <w:rPr>
          <w:rFonts w:ascii="Book Antiqua" w:hAnsi="Book Antiqua"/>
          <w:sz w:val="20"/>
          <w:szCs w:val="20"/>
          <w:lang w:val="en-US"/>
        </w:rPr>
        <w:t>Italian</w:t>
      </w:r>
      <w:r w:rsidR="00A51B68" w:rsidRPr="00870653">
        <w:rPr>
          <w:rFonts w:ascii="Book Antiqua" w:hAnsi="Book Antiqua"/>
          <w:sz w:val="20"/>
          <w:szCs w:val="20"/>
          <w:lang w:val="en-US"/>
        </w:rPr>
        <w:t xml:space="preserve"> banks’ CDS </w:t>
      </w:r>
      <w:r w:rsidR="00DE1186">
        <w:rPr>
          <w:rFonts w:ascii="Book Antiqua" w:hAnsi="Book Antiqua"/>
          <w:sz w:val="20"/>
          <w:szCs w:val="20"/>
          <w:lang w:val="en-US"/>
        </w:rPr>
        <w:t xml:space="preserve">reaching a peak </w:t>
      </w:r>
      <w:r w:rsidR="00A51B68" w:rsidRPr="00870653">
        <w:rPr>
          <w:rFonts w:ascii="Book Antiqua" w:hAnsi="Book Antiqua"/>
          <w:sz w:val="20"/>
          <w:szCs w:val="20"/>
          <w:lang w:val="en-US"/>
        </w:rPr>
        <w:t xml:space="preserve">during the </w:t>
      </w:r>
      <w:r w:rsidR="00DE1186">
        <w:rPr>
          <w:rFonts w:ascii="Book Antiqua" w:hAnsi="Book Antiqua"/>
          <w:sz w:val="20"/>
          <w:szCs w:val="20"/>
          <w:lang w:val="en-US"/>
        </w:rPr>
        <w:t xml:space="preserve">begin of </w:t>
      </w:r>
      <w:r w:rsidR="00A51B68" w:rsidRPr="00870653">
        <w:rPr>
          <w:rFonts w:ascii="Book Antiqua" w:hAnsi="Book Antiqua"/>
          <w:sz w:val="20"/>
          <w:szCs w:val="20"/>
          <w:lang w:val="en-US"/>
        </w:rPr>
        <w:t>the so</w:t>
      </w:r>
      <w:r w:rsidR="00DE1186">
        <w:rPr>
          <w:rFonts w:ascii="Book Antiqua" w:hAnsi="Book Antiqua"/>
          <w:sz w:val="20"/>
          <w:szCs w:val="20"/>
          <w:lang w:val="en-US"/>
        </w:rPr>
        <w:t>vereign debt crisis (2010) and started to increase its statistical frequency starting from</w:t>
      </w:r>
      <w:r w:rsidR="00A51B68" w:rsidRPr="00870653">
        <w:rPr>
          <w:rFonts w:ascii="Book Antiqua" w:hAnsi="Book Antiqua"/>
          <w:sz w:val="20"/>
          <w:szCs w:val="20"/>
          <w:lang w:val="en-US"/>
        </w:rPr>
        <w:t xml:space="preserve"> </w:t>
      </w:r>
      <w:r w:rsidR="00815AC7" w:rsidRPr="00870653">
        <w:rPr>
          <w:rFonts w:ascii="Book Antiqua" w:hAnsi="Book Antiqua"/>
          <w:sz w:val="20"/>
          <w:szCs w:val="20"/>
          <w:lang w:val="en-US"/>
        </w:rPr>
        <w:t>launch of the QE (Quantitative Easing)</w:t>
      </w:r>
      <w:r w:rsidR="00DE1186">
        <w:rPr>
          <w:rFonts w:ascii="Book Antiqua" w:hAnsi="Book Antiqua"/>
          <w:sz w:val="20"/>
          <w:szCs w:val="20"/>
          <w:lang w:val="en-US"/>
        </w:rPr>
        <w:t xml:space="preserve"> by the ECB. It is statistical significant during</w:t>
      </w:r>
      <w:r w:rsidRPr="00870653">
        <w:rPr>
          <w:rFonts w:ascii="Book Antiqua" w:hAnsi="Book Antiqua"/>
          <w:sz w:val="20"/>
          <w:szCs w:val="20"/>
          <w:lang w:val="en-US"/>
        </w:rPr>
        <w:t xml:space="preserve"> </w:t>
      </w:r>
      <w:r w:rsidR="00815AC7" w:rsidRPr="00870653">
        <w:rPr>
          <w:rFonts w:ascii="Book Antiqua" w:hAnsi="Book Antiqua"/>
          <w:sz w:val="20"/>
          <w:szCs w:val="20"/>
          <w:lang w:val="en-US"/>
        </w:rPr>
        <w:t>the referendum Brexit</w:t>
      </w:r>
      <w:r w:rsidRPr="00870653">
        <w:rPr>
          <w:rFonts w:ascii="Book Antiqua" w:hAnsi="Book Antiqua"/>
          <w:sz w:val="20"/>
          <w:szCs w:val="20"/>
          <w:lang w:val="en-US"/>
        </w:rPr>
        <w:t xml:space="preserve"> period</w:t>
      </w:r>
      <w:r w:rsidR="00815AC7" w:rsidRPr="00870653">
        <w:rPr>
          <w:rFonts w:ascii="Book Antiqua" w:hAnsi="Book Antiqua"/>
          <w:sz w:val="20"/>
          <w:szCs w:val="20"/>
          <w:lang w:val="en-US"/>
        </w:rPr>
        <w:t xml:space="preserve"> (2015-2016) and during the formation of the </w:t>
      </w:r>
      <w:r w:rsidRPr="00870653">
        <w:rPr>
          <w:rFonts w:ascii="Book Antiqua" w:hAnsi="Book Antiqua"/>
          <w:sz w:val="20"/>
          <w:szCs w:val="20"/>
          <w:lang w:val="en-US"/>
        </w:rPr>
        <w:t xml:space="preserve">Italian </w:t>
      </w:r>
      <w:r w:rsidR="00815AC7" w:rsidRPr="00870653">
        <w:rPr>
          <w:rFonts w:ascii="Book Antiqua" w:hAnsi="Book Antiqua"/>
          <w:sz w:val="20"/>
          <w:szCs w:val="20"/>
          <w:lang w:val="en-US"/>
        </w:rPr>
        <w:t>anti-establishment gover</w:t>
      </w:r>
      <w:r w:rsidR="00314FA2" w:rsidRPr="00870653">
        <w:rPr>
          <w:rFonts w:ascii="Book Antiqua" w:hAnsi="Book Antiqua"/>
          <w:sz w:val="20"/>
          <w:szCs w:val="20"/>
          <w:lang w:val="en-US"/>
        </w:rPr>
        <w:t>n</w:t>
      </w:r>
      <w:r w:rsidR="00815AC7" w:rsidRPr="00870653">
        <w:rPr>
          <w:rFonts w:ascii="Book Antiqua" w:hAnsi="Book Antiqua"/>
          <w:sz w:val="20"/>
          <w:szCs w:val="20"/>
          <w:lang w:val="en-US"/>
        </w:rPr>
        <w:t>ment (Anelli et al., 2020)</w:t>
      </w:r>
      <w:r w:rsidR="00A51B68" w:rsidRPr="00870653">
        <w:rPr>
          <w:rFonts w:ascii="Book Antiqua" w:hAnsi="Book Antiqua"/>
          <w:sz w:val="20"/>
          <w:szCs w:val="20"/>
          <w:lang w:val="en-US"/>
        </w:rPr>
        <w:t xml:space="preserve">. Regarding </w:t>
      </w:r>
      <w:r w:rsidR="00015718" w:rsidRPr="00870653">
        <w:rPr>
          <w:rFonts w:ascii="Book Antiqua" w:hAnsi="Book Antiqua"/>
          <w:sz w:val="20"/>
          <w:szCs w:val="20"/>
          <w:lang w:val="en-US"/>
        </w:rPr>
        <w:t xml:space="preserve">to </w:t>
      </w:r>
      <w:r w:rsidR="00A51B68" w:rsidRPr="00870653">
        <w:rPr>
          <w:rFonts w:ascii="Book Antiqua" w:hAnsi="Book Antiqua"/>
          <w:sz w:val="20"/>
          <w:szCs w:val="20"/>
          <w:lang w:val="en-US"/>
        </w:rPr>
        <w:t>the sovereign risk, Table 1 suggests that it had a significa</w:t>
      </w:r>
      <w:r w:rsidR="00314FA2" w:rsidRPr="00870653">
        <w:rPr>
          <w:rFonts w:ascii="Book Antiqua" w:hAnsi="Book Antiqua"/>
          <w:sz w:val="20"/>
          <w:szCs w:val="20"/>
          <w:lang w:val="en-US"/>
        </w:rPr>
        <w:t>nt</w:t>
      </w:r>
      <w:r w:rsidR="00A51B68" w:rsidRPr="00870653">
        <w:rPr>
          <w:rFonts w:ascii="Book Antiqua" w:hAnsi="Book Antiqua"/>
          <w:sz w:val="20"/>
          <w:szCs w:val="20"/>
          <w:lang w:val="en-US"/>
        </w:rPr>
        <w:t xml:space="preserve"> role during the entire considered period.</w:t>
      </w:r>
    </w:p>
    <w:p w14:paraId="02D85E6C" w14:textId="4CC4391F" w:rsidR="00E776E3" w:rsidRDefault="002E05A0" w:rsidP="00E776E3">
      <w:pPr>
        <w:spacing w:after="0" w:line="360" w:lineRule="auto"/>
        <w:jc w:val="both"/>
        <w:rPr>
          <w:rFonts w:ascii="Book Antiqua" w:hAnsi="Book Antiqua"/>
          <w:sz w:val="20"/>
          <w:szCs w:val="20"/>
        </w:rPr>
      </w:pPr>
      <w:r w:rsidRPr="00870653">
        <w:rPr>
          <w:rFonts w:ascii="Book Antiqua" w:hAnsi="Book Antiqua"/>
          <w:sz w:val="20"/>
          <w:szCs w:val="20"/>
          <w:lang w:val="en-US"/>
        </w:rPr>
        <w:lastRenderedPageBreak/>
        <w:t>During the</w:t>
      </w:r>
      <w:r w:rsidR="004541B1" w:rsidRPr="00870653">
        <w:rPr>
          <w:rFonts w:ascii="Book Antiqua" w:hAnsi="Book Antiqua"/>
          <w:sz w:val="20"/>
          <w:szCs w:val="20"/>
          <w:lang w:val="en-US"/>
        </w:rPr>
        <w:t xml:space="preserve"> 2008-2009</w:t>
      </w:r>
      <w:r w:rsidRPr="00870653">
        <w:rPr>
          <w:rFonts w:ascii="Book Antiqua" w:hAnsi="Book Antiqua"/>
          <w:sz w:val="20"/>
          <w:szCs w:val="20"/>
          <w:lang w:val="en-US"/>
        </w:rPr>
        <w:t xml:space="preserve"> </w:t>
      </w:r>
      <w:r w:rsidR="00E31897" w:rsidRPr="00870653">
        <w:rPr>
          <w:rFonts w:ascii="Book Antiqua" w:hAnsi="Book Antiqua"/>
          <w:sz w:val="20"/>
          <w:szCs w:val="20"/>
          <w:lang w:val="en-US"/>
        </w:rPr>
        <w:t>period,</w:t>
      </w:r>
      <w:r w:rsidR="004541B1" w:rsidRPr="00870653">
        <w:rPr>
          <w:rFonts w:ascii="Book Antiqua" w:hAnsi="Book Antiqua"/>
          <w:sz w:val="20"/>
          <w:szCs w:val="20"/>
          <w:lang w:val="en-US"/>
        </w:rPr>
        <w:t xml:space="preserve"> </w:t>
      </w:r>
      <w:r w:rsidR="00B414C6" w:rsidRPr="00870653">
        <w:rPr>
          <w:rFonts w:ascii="Book Antiqua" w:hAnsi="Book Antiqua"/>
          <w:sz w:val="20"/>
          <w:szCs w:val="20"/>
          <w:lang w:val="en-US"/>
        </w:rPr>
        <w:t xml:space="preserve">the relationship between the sovereign risk variable and the </w:t>
      </w:r>
      <w:r w:rsidR="00AE3679" w:rsidRPr="00870653">
        <w:rPr>
          <w:rFonts w:ascii="Book Antiqua" w:hAnsi="Book Antiqua"/>
          <w:sz w:val="20"/>
          <w:szCs w:val="20"/>
          <w:lang w:val="en-US"/>
        </w:rPr>
        <w:t xml:space="preserve">Italian banks’ </w:t>
      </w:r>
      <w:r w:rsidR="00B414C6" w:rsidRPr="00870653">
        <w:rPr>
          <w:rFonts w:ascii="Book Antiqua" w:hAnsi="Book Antiqua"/>
          <w:sz w:val="20"/>
          <w:szCs w:val="20"/>
          <w:lang w:val="en-US"/>
        </w:rPr>
        <w:t>CDS spreads is positive, reporting a coefficient of about</w:t>
      </w:r>
      <w:r w:rsidR="004541B1" w:rsidRPr="00870653">
        <w:rPr>
          <w:rFonts w:ascii="Book Antiqua" w:hAnsi="Book Antiqua"/>
          <w:sz w:val="20"/>
          <w:szCs w:val="20"/>
          <w:lang w:val="en-US"/>
        </w:rPr>
        <w:t xml:space="preserve"> 0.57. </w:t>
      </w:r>
      <w:r w:rsidR="00B414C6" w:rsidRPr="00870653">
        <w:rPr>
          <w:rFonts w:ascii="Book Antiqua" w:hAnsi="Book Antiqua"/>
          <w:sz w:val="20"/>
          <w:szCs w:val="20"/>
          <w:lang w:val="en-US"/>
        </w:rPr>
        <w:t xml:space="preserve">This means that an increase of </w:t>
      </w:r>
      <w:r w:rsidR="004541B1" w:rsidRPr="00870653">
        <w:rPr>
          <w:rFonts w:ascii="Book Antiqua" w:hAnsi="Book Antiqua"/>
          <w:sz w:val="20"/>
          <w:szCs w:val="20"/>
          <w:lang w:val="en-US"/>
        </w:rPr>
        <w:t xml:space="preserve">100 </w:t>
      </w:r>
      <w:r w:rsidR="00B414C6" w:rsidRPr="00870653">
        <w:rPr>
          <w:rFonts w:ascii="Book Antiqua" w:hAnsi="Book Antiqua"/>
          <w:sz w:val="20"/>
          <w:szCs w:val="20"/>
          <w:lang w:val="en-US"/>
        </w:rPr>
        <w:t xml:space="preserve">basis points of the regressor corrisponded to an increase of about </w:t>
      </w:r>
      <w:r w:rsidR="004541B1" w:rsidRPr="00870653">
        <w:rPr>
          <w:rFonts w:ascii="Book Antiqua" w:hAnsi="Book Antiqua"/>
          <w:sz w:val="20"/>
          <w:szCs w:val="20"/>
          <w:lang w:val="en-US"/>
        </w:rPr>
        <w:t xml:space="preserve">57 </w:t>
      </w:r>
      <w:r w:rsidR="00B414C6" w:rsidRPr="00870653">
        <w:rPr>
          <w:rFonts w:ascii="Book Antiqua" w:hAnsi="Book Antiqua"/>
          <w:sz w:val="20"/>
          <w:szCs w:val="20"/>
          <w:lang w:val="en-US"/>
        </w:rPr>
        <w:t xml:space="preserve">basis points of the </w:t>
      </w:r>
      <w:r w:rsidR="00E64AF1" w:rsidRPr="00870653">
        <w:rPr>
          <w:rFonts w:ascii="Book Antiqua" w:hAnsi="Book Antiqua"/>
          <w:sz w:val="20"/>
          <w:szCs w:val="20"/>
          <w:lang w:val="en-US"/>
        </w:rPr>
        <w:t>Italian</w:t>
      </w:r>
      <w:r w:rsidR="00B414C6" w:rsidRPr="00870653">
        <w:rPr>
          <w:rFonts w:ascii="Book Antiqua" w:hAnsi="Book Antiqua"/>
          <w:sz w:val="20"/>
          <w:szCs w:val="20"/>
          <w:lang w:val="en-US"/>
        </w:rPr>
        <w:t xml:space="preserve"> banks’ CDS </w:t>
      </w:r>
      <w:r w:rsidR="000B02BD" w:rsidRPr="00870653">
        <w:rPr>
          <w:rFonts w:ascii="Book Antiqua" w:hAnsi="Book Antiqua"/>
          <w:sz w:val="20"/>
          <w:szCs w:val="20"/>
          <w:lang w:val="en-US"/>
        </w:rPr>
        <w:t>s</w:t>
      </w:r>
      <w:r w:rsidR="00B414C6" w:rsidRPr="00870653">
        <w:rPr>
          <w:rFonts w:ascii="Book Antiqua" w:hAnsi="Book Antiqua"/>
          <w:sz w:val="20"/>
          <w:szCs w:val="20"/>
          <w:lang w:val="en-US"/>
        </w:rPr>
        <w:t>preads</w:t>
      </w:r>
      <w:r w:rsidR="00AE3679" w:rsidRPr="00870653">
        <w:rPr>
          <w:rFonts w:ascii="Book Antiqua" w:hAnsi="Book Antiqua"/>
          <w:sz w:val="20"/>
          <w:szCs w:val="20"/>
          <w:lang w:val="en-US"/>
        </w:rPr>
        <w:t xml:space="preserve"> variation</w:t>
      </w:r>
      <w:r w:rsidR="000B02BD" w:rsidRPr="00870653">
        <w:rPr>
          <w:rFonts w:ascii="Book Antiqua" w:hAnsi="Book Antiqua"/>
          <w:sz w:val="20"/>
          <w:szCs w:val="20"/>
          <w:lang w:val="en-US"/>
        </w:rPr>
        <w:t xml:space="preserve">. </w:t>
      </w:r>
      <w:r w:rsidR="000B02BD">
        <w:rPr>
          <w:rFonts w:ascii="Book Antiqua" w:hAnsi="Book Antiqua"/>
          <w:sz w:val="20"/>
          <w:szCs w:val="20"/>
        </w:rPr>
        <w:t>The redenomination risk’s coefficient is not statistically significant</w:t>
      </w:r>
      <w:r w:rsidR="004541B1" w:rsidRPr="004541B1">
        <w:rPr>
          <w:rFonts w:ascii="Book Antiqua" w:hAnsi="Book Antiqua"/>
          <w:sz w:val="20"/>
          <w:szCs w:val="20"/>
        </w:rPr>
        <w:t>.</w:t>
      </w:r>
      <w:r w:rsidR="004541B1">
        <w:rPr>
          <w:rFonts w:ascii="Book Antiqua" w:hAnsi="Book Antiqua"/>
          <w:sz w:val="20"/>
          <w:szCs w:val="20"/>
        </w:rPr>
        <w:t xml:space="preserve"> </w:t>
      </w:r>
    </w:p>
    <w:p w14:paraId="5943623F" w14:textId="41E2A460" w:rsidR="00E776E3" w:rsidRPr="00870653" w:rsidRDefault="00815AC7" w:rsidP="00E776E3">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In the following year, </w:t>
      </w:r>
      <w:r w:rsidR="000B02BD" w:rsidRPr="00870653">
        <w:rPr>
          <w:rFonts w:ascii="Book Antiqua" w:hAnsi="Book Antiqua"/>
          <w:sz w:val="20"/>
          <w:szCs w:val="20"/>
          <w:lang w:val="en-US"/>
        </w:rPr>
        <w:t>the sovereign risk and the redenomination risk</w:t>
      </w:r>
      <w:r w:rsidR="00466AA4" w:rsidRPr="00870653">
        <w:rPr>
          <w:rFonts w:ascii="Book Antiqua" w:hAnsi="Book Antiqua"/>
          <w:sz w:val="20"/>
          <w:szCs w:val="20"/>
          <w:lang w:val="en-US"/>
        </w:rPr>
        <w:t xml:space="preserve"> proxy</w:t>
      </w:r>
      <w:r w:rsidR="000B02BD" w:rsidRPr="00870653">
        <w:rPr>
          <w:rFonts w:ascii="Book Antiqua" w:hAnsi="Book Antiqua"/>
          <w:sz w:val="20"/>
          <w:szCs w:val="20"/>
          <w:lang w:val="en-US"/>
        </w:rPr>
        <w:t xml:space="preserve"> resulted to be statistically significant at a 1% threshold</w:t>
      </w:r>
      <w:r w:rsidR="00466AA4" w:rsidRPr="00870653">
        <w:rPr>
          <w:rFonts w:ascii="Book Antiqua" w:hAnsi="Book Antiqua"/>
          <w:sz w:val="20"/>
          <w:szCs w:val="20"/>
          <w:lang w:val="en-US"/>
        </w:rPr>
        <w:t>. The sovereign risk reported a coefficient</w:t>
      </w:r>
      <w:r w:rsidR="000B02BD" w:rsidRPr="00870653">
        <w:rPr>
          <w:rFonts w:ascii="Book Antiqua" w:hAnsi="Book Antiqua"/>
          <w:sz w:val="20"/>
          <w:szCs w:val="20"/>
          <w:lang w:val="en-US"/>
        </w:rPr>
        <w:t xml:space="preserve"> of about 0.73</w:t>
      </w:r>
      <w:r w:rsidR="00466AA4" w:rsidRPr="00870653">
        <w:rPr>
          <w:rFonts w:ascii="Book Antiqua" w:hAnsi="Book Antiqua"/>
          <w:sz w:val="20"/>
          <w:szCs w:val="20"/>
          <w:lang w:val="en-US"/>
        </w:rPr>
        <w:t>, while the redenomination risk reported a coefficient of about</w:t>
      </w:r>
      <w:r w:rsidR="000B02BD" w:rsidRPr="00870653">
        <w:rPr>
          <w:rFonts w:ascii="Book Antiqua" w:hAnsi="Book Antiqua"/>
          <w:sz w:val="20"/>
          <w:szCs w:val="20"/>
          <w:lang w:val="en-US"/>
        </w:rPr>
        <w:t xml:space="preserve"> 0.34</w:t>
      </w:r>
      <w:r w:rsidR="00466AA4" w:rsidRPr="00870653">
        <w:rPr>
          <w:rFonts w:ascii="Book Antiqua" w:hAnsi="Book Antiqua"/>
          <w:sz w:val="20"/>
          <w:szCs w:val="20"/>
          <w:lang w:val="en-US"/>
        </w:rPr>
        <w:t>, reaching the p</w:t>
      </w:r>
      <w:r w:rsidR="006B3507" w:rsidRPr="00870653">
        <w:rPr>
          <w:rFonts w:ascii="Book Antiqua" w:hAnsi="Book Antiqua"/>
          <w:sz w:val="20"/>
          <w:szCs w:val="20"/>
          <w:lang w:val="en-US"/>
        </w:rPr>
        <w:t>ea</w:t>
      </w:r>
      <w:r w:rsidR="00466AA4" w:rsidRPr="00870653">
        <w:rPr>
          <w:rFonts w:ascii="Book Antiqua" w:hAnsi="Book Antiqua"/>
          <w:sz w:val="20"/>
          <w:szCs w:val="20"/>
          <w:lang w:val="en-US"/>
        </w:rPr>
        <w:t>k</w:t>
      </w:r>
      <w:r w:rsidR="004541B1" w:rsidRPr="00870653">
        <w:rPr>
          <w:rFonts w:ascii="Book Antiqua" w:hAnsi="Book Antiqua"/>
          <w:sz w:val="20"/>
          <w:szCs w:val="20"/>
          <w:lang w:val="en-US"/>
        </w:rPr>
        <w:t>.</w:t>
      </w:r>
      <w:r w:rsidRPr="00870653">
        <w:rPr>
          <w:rFonts w:ascii="Book Antiqua" w:hAnsi="Book Antiqua"/>
          <w:sz w:val="20"/>
          <w:szCs w:val="20"/>
          <w:lang w:val="en-US"/>
        </w:rPr>
        <w:t xml:space="preserve"> </w:t>
      </w:r>
      <w:r w:rsidR="00AE3679" w:rsidRPr="00870653">
        <w:rPr>
          <w:rFonts w:ascii="Book Antiqua" w:hAnsi="Book Antiqua"/>
          <w:sz w:val="20"/>
          <w:szCs w:val="20"/>
          <w:lang w:val="en-US"/>
        </w:rPr>
        <w:t>This confirms that market</w:t>
      </w:r>
      <w:r w:rsidRPr="00870653">
        <w:rPr>
          <w:rFonts w:ascii="Book Antiqua" w:hAnsi="Book Antiqua"/>
          <w:sz w:val="20"/>
          <w:szCs w:val="20"/>
          <w:lang w:val="en-US"/>
        </w:rPr>
        <w:t xml:space="preserve"> begun to perceive a growing redenomination risk in a context of financial distress caused by the sovereign debt crisis. However, at this phase, sovereign risk </w:t>
      </w:r>
      <w:r w:rsidR="00314FA2" w:rsidRPr="00870653">
        <w:rPr>
          <w:rFonts w:ascii="Book Antiqua" w:hAnsi="Book Antiqua"/>
          <w:sz w:val="20"/>
          <w:szCs w:val="20"/>
          <w:lang w:val="en-US"/>
        </w:rPr>
        <w:t>explains</w:t>
      </w:r>
      <w:r w:rsidRPr="00870653">
        <w:rPr>
          <w:rFonts w:ascii="Book Antiqua" w:hAnsi="Book Antiqua"/>
          <w:sz w:val="20"/>
          <w:szCs w:val="20"/>
          <w:lang w:val="en-US"/>
        </w:rPr>
        <w:t xml:space="preserve"> much of the </w:t>
      </w:r>
      <w:r w:rsidR="00D750EB" w:rsidRPr="00870653">
        <w:rPr>
          <w:rFonts w:ascii="Book Antiqua" w:hAnsi="Book Antiqua"/>
          <w:sz w:val="20"/>
          <w:szCs w:val="20"/>
          <w:lang w:val="en-US"/>
        </w:rPr>
        <w:t>variance</w:t>
      </w:r>
      <w:r w:rsidRPr="00870653">
        <w:rPr>
          <w:rFonts w:ascii="Book Antiqua" w:hAnsi="Book Antiqua"/>
          <w:sz w:val="20"/>
          <w:szCs w:val="20"/>
          <w:lang w:val="en-US"/>
        </w:rPr>
        <w:t xml:space="preserve"> in CDS spreads.</w:t>
      </w:r>
      <w:r w:rsidR="000B02BD" w:rsidRPr="00870653">
        <w:rPr>
          <w:rFonts w:ascii="Book Antiqua" w:hAnsi="Book Antiqua"/>
          <w:sz w:val="20"/>
          <w:szCs w:val="20"/>
          <w:lang w:val="en-US"/>
        </w:rPr>
        <w:t xml:space="preserve"> </w:t>
      </w:r>
    </w:p>
    <w:p w14:paraId="6B118F74" w14:textId="12760FCF" w:rsidR="00DC521A" w:rsidRPr="00870653" w:rsidRDefault="000B02BD" w:rsidP="00E776E3">
      <w:pPr>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sovereign risk </w:t>
      </w:r>
      <w:r w:rsidR="00BE6411" w:rsidRPr="00870653">
        <w:rPr>
          <w:rFonts w:ascii="Book Antiqua" w:hAnsi="Book Antiqua"/>
          <w:sz w:val="20"/>
          <w:szCs w:val="20"/>
          <w:lang w:val="en-US"/>
        </w:rPr>
        <w:t xml:space="preserve">is also statistically significant in the </w:t>
      </w:r>
      <w:r w:rsidR="004541B1" w:rsidRPr="00870653">
        <w:rPr>
          <w:rFonts w:ascii="Book Antiqua" w:hAnsi="Book Antiqua"/>
          <w:sz w:val="20"/>
          <w:szCs w:val="20"/>
          <w:lang w:val="en-US"/>
        </w:rPr>
        <w:t>2011-2014</w:t>
      </w:r>
      <w:r w:rsidR="00BE6411" w:rsidRPr="00870653">
        <w:rPr>
          <w:rFonts w:ascii="Book Antiqua" w:hAnsi="Book Antiqua"/>
          <w:sz w:val="20"/>
          <w:szCs w:val="20"/>
          <w:lang w:val="en-US"/>
        </w:rPr>
        <w:t xml:space="preserve"> period, </w:t>
      </w:r>
      <w:r w:rsidR="00106B47" w:rsidRPr="00870653">
        <w:rPr>
          <w:rFonts w:ascii="Book Antiqua" w:hAnsi="Book Antiqua"/>
          <w:sz w:val="20"/>
          <w:szCs w:val="20"/>
          <w:lang w:val="en-US"/>
        </w:rPr>
        <w:t xml:space="preserve">while the redenomination risk becomes </w:t>
      </w:r>
      <w:r w:rsidR="00AE3679" w:rsidRPr="00870653">
        <w:rPr>
          <w:rFonts w:ascii="Book Antiqua" w:hAnsi="Book Antiqua"/>
          <w:sz w:val="20"/>
          <w:szCs w:val="20"/>
          <w:lang w:val="en-US"/>
        </w:rPr>
        <w:t xml:space="preserve">again </w:t>
      </w:r>
      <w:r w:rsidR="00106B47" w:rsidRPr="00870653">
        <w:rPr>
          <w:rFonts w:ascii="Book Antiqua" w:hAnsi="Book Antiqua"/>
          <w:sz w:val="20"/>
          <w:szCs w:val="20"/>
          <w:lang w:val="en-US"/>
        </w:rPr>
        <w:t>statisically significant only in</w:t>
      </w:r>
      <w:r w:rsidR="004541B1" w:rsidRPr="00870653">
        <w:rPr>
          <w:rFonts w:ascii="Book Antiqua" w:hAnsi="Book Antiqua"/>
          <w:sz w:val="20"/>
          <w:szCs w:val="20"/>
          <w:lang w:val="en-US"/>
        </w:rPr>
        <w:t xml:space="preserve"> 2014</w:t>
      </w:r>
      <w:r w:rsidR="004541B1">
        <w:rPr>
          <w:rStyle w:val="Rimandonotaapidipagina"/>
          <w:rFonts w:ascii="Book Antiqua" w:hAnsi="Book Antiqua"/>
          <w:sz w:val="20"/>
          <w:szCs w:val="20"/>
        </w:rPr>
        <w:footnoteReference w:id="8"/>
      </w:r>
      <w:r w:rsidR="004541B1" w:rsidRPr="00870653">
        <w:rPr>
          <w:rFonts w:ascii="Book Antiqua" w:hAnsi="Book Antiqua"/>
          <w:sz w:val="20"/>
          <w:szCs w:val="20"/>
          <w:lang w:val="en-US"/>
        </w:rPr>
        <w:t>.</w:t>
      </w:r>
      <w:r w:rsidR="00E776E3" w:rsidRPr="00870653">
        <w:rPr>
          <w:rFonts w:ascii="Book Antiqua" w:hAnsi="Book Antiqua"/>
          <w:sz w:val="20"/>
          <w:szCs w:val="20"/>
          <w:lang w:val="en-US"/>
        </w:rPr>
        <w:t xml:space="preserve"> </w:t>
      </w:r>
    </w:p>
    <w:p w14:paraId="46207526" w14:textId="7B211BC8" w:rsidR="00E776E3" w:rsidRPr="00870653" w:rsidRDefault="00E776E3" w:rsidP="00E776E3">
      <w:pPr>
        <w:spacing w:after="0" w:line="360" w:lineRule="auto"/>
        <w:jc w:val="both"/>
        <w:rPr>
          <w:rFonts w:ascii="Book Antiqua" w:hAnsi="Book Antiqua"/>
          <w:sz w:val="20"/>
          <w:szCs w:val="20"/>
          <w:lang w:val="en-US"/>
        </w:rPr>
      </w:pPr>
      <w:r w:rsidRPr="00870653">
        <w:rPr>
          <w:rFonts w:ascii="Book Antiqua" w:hAnsi="Book Antiqua"/>
          <w:sz w:val="20"/>
          <w:szCs w:val="20"/>
          <w:lang w:val="en-US"/>
        </w:rPr>
        <w:t>The</w:t>
      </w:r>
      <w:r w:rsidR="00106B47" w:rsidRPr="00870653">
        <w:rPr>
          <w:rFonts w:ascii="Book Antiqua" w:hAnsi="Book Antiqua"/>
          <w:sz w:val="20"/>
          <w:szCs w:val="20"/>
          <w:lang w:val="en-US"/>
        </w:rPr>
        <w:t xml:space="preserve"> sovereign risk and the</w:t>
      </w:r>
      <w:r w:rsidRPr="00870653">
        <w:rPr>
          <w:rFonts w:ascii="Book Antiqua" w:hAnsi="Book Antiqua"/>
          <w:sz w:val="20"/>
          <w:szCs w:val="20"/>
          <w:lang w:val="en-US"/>
        </w:rPr>
        <w:t xml:space="preserve"> r</w:t>
      </w:r>
      <w:r w:rsidR="00AE3679" w:rsidRPr="00870653">
        <w:rPr>
          <w:rFonts w:ascii="Book Antiqua" w:hAnsi="Book Antiqua"/>
          <w:sz w:val="20"/>
          <w:szCs w:val="20"/>
          <w:lang w:val="en-US"/>
        </w:rPr>
        <w:t>e</w:t>
      </w:r>
      <w:r w:rsidRPr="00870653">
        <w:rPr>
          <w:rFonts w:ascii="Book Antiqua" w:hAnsi="Book Antiqua"/>
          <w:sz w:val="20"/>
          <w:szCs w:val="20"/>
          <w:lang w:val="en-US"/>
        </w:rPr>
        <w:t xml:space="preserve">denomination risk proxy resulted to be </w:t>
      </w:r>
      <w:r w:rsidR="00BE6411" w:rsidRPr="00870653">
        <w:rPr>
          <w:rFonts w:ascii="Book Antiqua" w:hAnsi="Book Antiqua"/>
          <w:sz w:val="20"/>
          <w:szCs w:val="20"/>
          <w:lang w:val="en-US"/>
        </w:rPr>
        <w:t>statistically significant respectively at a 1% and 5% threshold in 2015</w:t>
      </w:r>
      <w:r w:rsidRPr="00870653">
        <w:rPr>
          <w:rFonts w:ascii="Book Antiqua" w:hAnsi="Book Antiqua"/>
          <w:sz w:val="20"/>
          <w:szCs w:val="20"/>
          <w:lang w:val="en-US"/>
        </w:rPr>
        <w:t xml:space="preserve">, </w:t>
      </w:r>
      <w:r w:rsidR="00106B47" w:rsidRPr="00870653">
        <w:rPr>
          <w:rFonts w:ascii="Book Antiqua" w:hAnsi="Book Antiqua"/>
          <w:sz w:val="20"/>
          <w:szCs w:val="20"/>
          <w:lang w:val="en-US"/>
        </w:rPr>
        <w:t>with the launch of the QE (Quantitative Easing) by the ECB</w:t>
      </w:r>
      <w:r w:rsidRPr="00870653">
        <w:rPr>
          <w:rFonts w:ascii="Book Antiqua" w:hAnsi="Book Antiqua"/>
          <w:sz w:val="20"/>
          <w:szCs w:val="20"/>
          <w:lang w:val="en-US"/>
        </w:rPr>
        <w:t xml:space="preserve"> (</w:t>
      </w:r>
      <w:r w:rsidR="00E64AF1" w:rsidRPr="00870653">
        <w:rPr>
          <w:rFonts w:ascii="Book Antiqua" w:hAnsi="Book Antiqua"/>
          <w:sz w:val="20"/>
          <w:szCs w:val="20"/>
          <w:lang w:val="en-US"/>
        </w:rPr>
        <w:t>European</w:t>
      </w:r>
      <w:r w:rsidR="00AE3679" w:rsidRPr="00870653">
        <w:rPr>
          <w:rFonts w:ascii="Book Antiqua" w:hAnsi="Book Antiqua"/>
          <w:sz w:val="20"/>
          <w:szCs w:val="20"/>
          <w:lang w:val="en-US"/>
        </w:rPr>
        <w:t xml:space="preserve"> Central Bank</w:t>
      </w:r>
      <w:r w:rsidRPr="00870653">
        <w:rPr>
          <w:rFonts w:ascii="Book Antiqua" w:hAnsi="Book Antiqua"/>
          <w:sz w:val="20"/>
          <w:szCs w:val="20"/>
          <w:lang w:val="en-US"/>
        </w:rPr>
        <w:t xml:space="preserve">), </w:t>
      </w:r>
      <w:r w:rsidR="00BE6411" w:rsidRPr="00870653">
        <w:rPr>
          <w:rFonts w:ascii="Book Antiqua" w:hAnsi="Book Antiqua"/>
          <w:sz w:val="20"/>
          <w:szCs w:val="20"/>
          <w:lang w:val="en-US"/>
        </w:rPr>
        <w:t xml:space="preserve">rspectively reporting a coefficient of about </w:t>
      </w:r>
      <w:r w:rsidRPr="00870653">
        <w:rPr>
          <w:rFonts w:ascii="Book Antiqua" w:hAnsi="Book Antiqua"/>
          <w:sz w:val="20"/>
          <w:szCs w:val="20"/>
          <w:lang w:val="en-US"/>
        </w:rPr>
        <w:t>0.</w:t>
      </w:r>
      <w:r w:rsidR="00106B47" w:rsidRPr="00870653">
        <w:rPr>
          <w:rFonts w:ascii="Book Antiqua" w:hAnsi="Book Antiqua"/>
          <w:sz w:val="20"/>
          <w:szCs w:val="20"/>
          <w:lang w:val="en-US"/>
        </w:rPr>
        <w:t>37</w:t>
      </w:r>
      <w:r w:rsidRPr="00870653">
        <w:rPr>
          <w:rFonts w:ascii="Book Antiqua" w:hAnsi="Book Antiqua"/>
          <w:sz w:val="20"/>
          <w:szCs w:val="20"/>
          <w:lang w:val="en-US"/>
        </w:rPr>
        <w:t xml:space="preserve"> </w:t>
      </w:r>
      <w:r w:rsidR="00106B47" w:rsidRPr="00870653">
        <w:rPr>
          <w:rFonts w:ascii="Book Antiqua" w:hAnsi="Book Antiqua"/>
          <w:sz w:val="20"/>
          <w:szCs w:val="20"/>
          <w:lang w:val="en-US"/>
        </w:rPr>
        <w:t>and 0.13</w:t>
      </w:r>
      <w:r w:rsidRPr="00870653">
        <w:rPr>
          <w:rFonts w:ascii="Book Antiqua" w:hAnsi="Book Antiqua"/>
          <w:sz w:val="20"/>
          <w:szCs w:val="20"/>
          <w:lang w:val="en-US"/>
        </w:rPr>
        <w:t xml:space="preserve">. </w:t>
      </w:r>
    </w:p>
    <w:p w14:paraId="66D6C5AD" w14:textId="1711FCA7" w:rsidR="00E776E3" w:rsidRPr="00870653" w:rsidRDefault="00FA76E9" w:rsidP="00E776E3">
      <w:pPr>
        <w:spacing w:after="0" w:line="360" w:lineRule="auto"/>
        <w:jc w:val="both"/>
        <w:rPr>
          <w:rFonts w:ascii="Book Antiqua" w:hAnsi="Book Antiqua"/>
          <w:sz w:val="20"/>
          <w:szCs w:val="20"/>
          <w:lang w:val="en-US"/>
        </w:rPr>
      </w:pPr>
      <w:r w:rsidRPr="00870653">
        <w:rPr>
          <w:rFonts w:ascii="Book Antiqua" w:hAnsi="Book Antiqua"/>
          <w:sz w:val="20"/>
          <w:szCs w:val="20"/>
          <w:lang w:val="en-US"/>
        </w:rPr>
        <w:t>In 2016, however, other international turmoils make</w:t>
      </w:r>
      <w:r w:rsidR="00DC521A" w:rsidRPr="00870653">
        <w:rPr>
          <w:rFonts w:ascii="Book Antiqua" w:hAnsi="Book Antiqua"/>
          <w:sz w:val="20"/>
          <w:szCs w:val="20"/>
          <w:lang w:val="en-US"/>
        </w:rPr>
        <w:t xml:space="preserve"> </w:t>
      </w:r>
      <w:r w:rsidRPr="00870653">
        <w:rPr>
          <w:rFonts w:ascii="Book Antiqua" w:hAnsi="Book Antiqua"/>
          <w:sz w:val="20"/>
          <w:szCs w:val="20"/>
          <w:lang w:val="en-US"/>
        </w:rPr>
        <w:t>the relationship between the sovereign risk and the redenomination risk with the CDS spreads</w:t>
      </w:r>
      <w:r w:rsidR="00DC521A" w:rsidRPr="00870653">
        <w:rPr>
          <w:rFonts w:ascii="Book Antiqua" w:hAnsi="Book Antiqua"/>
          <w:sz w:val="20"/>
          <w:szCs w:val="20"/>
          <w:lang w:val="en-US"/>
        </w:rPr>
        <w:t xml:space="preserve"> positive</w:t>
      </w:r>
      <w:r w:rsidRPr="00870653">
        <w:rPr>
          <w:rFonts w:ascii="Book Antiqua" w:hAnsi="Book Antiqua"/>
          <w:sz w:val="20"/>
          <w:szCs w:val="20"/>
          <w:lang w:val="en-US"/>
        </w:rPr>
        <w:t xml:space="preserve">: the </w:t>
      </w:r>
      <w:r w:rsidRPr="00870653">
        <w:rPr>
          <w:rFonts w:ascii="Book Antiqua" w:hAnsi="Book Antiqua"/>
          <w:i/>
          <w:iCs/>
          <w:sz w:val="20"/>
          <w:szCs w:val="20"/>
          <w:lang w:val="en-US"/>
        </w:rPr>
        <w:t>Brexit</w:t>
      </w:r>
      <w:r w:rsidRPr="00870653">
        <w:rPr>
          <w:rFonts w:ascii="Book Antiqua" w:hAnsi="Book Antiqua"/>
          <w:sz w:val="20"/>
          <w:szCs w:val="20"/>
          <w:lang w:val="en-US"/>
        </w:rPr>
        <w:t xml:space="preserve"> referendum</w:t>
      </w:r>
      <w:r w:rsidR="00E776E3" w:rsidRPr="00870653">
        <w:rPr>
          <w:rFonts w:ascii="Book Antiqua" w:hAnsi="Book Antiqua"/>
          <w:i/>
          <w:iCs/>
          <w:sz w:val="20"/>
          <w:szCs w:val="20"/>
          <w:lang w:val="en-US"/>
        </w:rPr>
        <w:t>.</w:t>
      </w:r>
      <w:r w:rsidR="002E05A0" w:rsidRPr="00870653">
        <w:rPr>
          <w:rFonts w:ascii="Book Antiqua" w:hAnsi="Book Antiqua"/>
          <w:i/>
          <w:iCs/>
          <w:sz w:val="20"/>
          <w:szCs w:val="20"/>
          <w:lang w:val="en-US"/>
        </w:rPr>
        <w:t xml:space="preserve"> </w:t>
      </w:r>
      <w:r w:rsidR="002E05A0" w:rsidRPr="00870653">
        <w:rPr>
          <w:rFonts w:ascii="Book Antiqua" w:hAnsi="Book Antiqua"/>
          <w:sz w:val="20"/>
          <w:szCs w:val="20"/>
          <w:lang w:val="en-US"/>
        </w:rPr>
        <w:t>Regarding the estimated coefficients, the sovereign risk and</w:t>
      </w:r>
      <w:r w:rsidRPr="00870653">
        <w:rPr>
          <w:rFonts w:ascii="Book Antiqua" w:hAnsi="Book Antiqua"/>
          <w:sz w:val="20"/>
          <w:szCs w:val="20"/>
          <w:lang w:val="en-US"/>
        </w:rPr>
        <w:t xml:space="preserve"> the</w:t>
      </w:r>
      <w:r w:rsidR="002E05A0" w:rsidRPr="00870653">
        <w:rPr>
          <w:rFonts w:ascii="Book Antiqua" w:hAnsi="Book Antiqua"/>
          <w:sz w:val="20"/>
          <w:szCs w:val="20"/>
          <w:lang w:val="en-US"/>
        </w:rPr>
        <w:t xml:space="preserve"> redenomination risk proxy are statistically significant at a 1% threshold </w:t>
      </w:r>
      <w:r w:rsidRPr="00870653">
        <w:rPr>
          <w:rFonts w:ascii="Book Antiqua" w:hAnsi="Book Antiqua"/>
          <w:sz w:val="20"/>
          <w:szCs w:val="20"/>
          <w:lang w:val="en-US"/>
        </w:rPr>
        <w:t>and the weight of both coefficients on the variance of CDS spreads increases compared to the previous year</w:t>
      </w:r>
      <w:r w:rsidR="002E05A0" w:rsidRPr="00870653">
        <w:rPr>
          <w:rFonts w:ascii="Book Antiqua" w:hAnsi="Book Antiqua"/>
          <w:sz w:val="20"/>
          <w:szCs w:val="20"/>
          <w:lang w:val="en-US"/>
        </w:rPr>
        <w:t>. The sovereign risk reported a coefficient of about 0.80, reaching the p</w:t>
      </w:r>
      <w:r w:rsidR="006B3507" w:rsidRPr="00870653">
        <w:rPr>
          <w:rFonts w:ascii="Book Antiqua" w:hAnsi="Book Antiqua"/>
          <w:sz w:val="20"/>
          <w:szCs w:val="20"/>
          <w:lang w:val="en-US"/>
        </w:rPr>
        <w:t>ea</w:t>
      </w:r>
      <w:r w:rsidR="002E05A0" w:rsidRPr="00870653">
        <w:rPr>
          <w:rFonts w:ascii="Book Antiqua" w:hAnsi="Book Antiqua"/>
          <w:sz w:val="20"/>
          <w:szCs w:val="20"/>
          <w:lang w:val="en-US"/>
        </w:rPr>
        <w:t>k, while the redenomination risk reported a coefficient of about 0.21</w:t>
      </w:r>
      <w:r w:rsidR="00791678" w:rsidRPr="00870653">
        <w:rPr>
          <w:rFonts w:ascii="Book Antiqua" w:hAnsi="Book Antiqua"/>
          <w:sz w:val="20"/>
          <w:szCs w:val="20"/>
          <w:lang w:val="en-US"/>
        </w:rPr>
        <w:t>.</w:t>
      </w:r>
      <w:r w:rsidR="002E05A0" w:rsidRPr="00870653">
        <w:rPr>
          <w:rFonts w:ascii="Book Antiqua" w:hAnsi="Book Antiqua"/>
          <w:sz w:val="20"/>
          <w:szCs w:val="20"/>
          <w:lang w:val="en-US"/>
        </w:rPr>
        <w:t xml:space="preserve"> </w:t>
      </w:r>
    </w:p>
    <w:p w14:paraId="19DB959E" w14:textId="0E9FA4E5" w:rsidR="00E776E3" w:rsidRPr="00870653" w:rsidRDefault="00FA76E9" w:rsidP="00E776E3">
      <w:pPr>
        <w:spacing w:after="0" w:line="360" w:lineRule="auto"/>
        <w:jc w:val="both"/>
        <w:rPr>
          <w:rFonts w:ascii="Book Antiqua" w:hAnsi="Book Antiqua"/>
          <w:sz w:val="20"/>
          <w:szCs w:val="20"/>
          <w:lang w:val="en-US"/>
        </w:rPr>
      </w:pPr>
      <w:r w:rsidRPr="00870653">
        <w:rPr>
          <w:rFonts w:ascii="Book Antiqua" w:hAnsi="Book Antiqua"/>
          <w:sz w:val="20"/>
          <w:szCs w:val="20"/>
          <w:lang w:val="en-US"/>
        </w:rPr>
        <w:t>Due to the country's structural issues</w:t>
      </w:r>
      <w:r w:rsidR="00E776E3" w:rsidRPr="00870653">
        <w:rPr>
          <w:rFonts w:ascii="Book Antiqua" w:hAnsi="Book Antiqua"/>
          <w:sz w:val="20"/>
          <w:szCs w:val="20"/>
          <w:lang w:val="en-US"/>
        </w:rPr>
        <w:t xml:space="preserve">, </w:t>
      </w:r>
      <w:r w:rsidR="00791678" w:rsidRPr="00870653">
        <w:rPr>
          <w:rFonts w:ascii="Book Antiqua" w:hAnsi="Book Antiqua"/>
          <w:sz w:val="20"/>
          <w:szCs w:val="20"/>
          <w:lang w:val="en-US"/>
        </w:rPr>
        <w:t>in</w:t>
      </w:r>
      <w:r w:rsidRPr="00870653">
        <w:rPr>
          <w:rFonts w:ascii="Book Antiqua" w:hAnsi="Book Antiqua"/>
          <w:sz w:val="20"/>
          <w:szCs w:val="20"/>
          <w:lang w:val="en-US"/>
        </w:rPr>
        <w:t xml:space="preserve"> </w:t>
      </w:r>
      <w:r w:rsidR="00791678" w:rsidRPr="00870653">
        <w:rPr>
          <w:rFonts w:ascii="Book Antiqua" w:hAnsi="Book Antiqua"/>
          <w:sz w:val="20"/>
          <w:szCs w:val="20"/>
          <w:lang w:val="en-US"/>
        </w:rPr>
        <w:t xml:space="preserve">2017 the estimated coefficients </w:t>
      </w:r>
      <w:r w:rsidR="00D3692D" w:rsidRPr="00870653">
        <w:rPr>
          <w:rFonts w:ascii="Book Antiqua" w:hAnsi="Book Antiqua"/>
          <w:sz w:val="20"/>
          <w:szCs w:val="20"/>
          <w:lang w:val="en-US"/>
        </w:rPr>
        <w:t xml:space="preserve">of the sovereign risk and the redenomination risk </w:t>
      </w:r>
      <w:r w:rsidR="00791678" w:rsidRPr="00870653">
        <w:rPr>
          <w:rFonts w:ascii="Book Antiqua" w:hAnsi="Book Antiqua"/>
          <w:sz w:val="20"/>
          <w:szCs w:val="20"/>
          <w:lang w:val="en-US"/>
        </w:rPr>
        <w:t xml:space="preserve">remain statistically significant </w:t>
      </w:r>
      <w:r w:rsidR="00D3692D" w:rsidRPr="00870653">
        <w:rPr>
          <w:rFonts w:ascii="Book Antiqua" w:hAnsi="Book Antiqua"/>
          <w:sz w:val="20"/>
          <w:szCs w:val="20"/>
          <w:lang w:val="en-US"/>
        </w:rPr>
        <w:t xml:space="preserve">respectively at a 5% and 1% threshold </w:t>
      </w:r>
      <w:r w:rsidR="00791678" w:rsidRPr="00870653">
        <w:rPr>
          <w:rFonts w:ascii="Book Antiqua" w:hAnsi="Book Antiqua"/>
          <w:sz w:val="20"/>
          <w:szCs w:val="20"/>
          <w:lang w:val="en-US"/>
        </w:rPr>
        <w:t>but</w:t>
      </w:r>
      <w:r w:rsidR="00E776E3" w:rsidRPr="00870653">
        <w:rPr>
          <w:rFonts w:ascii="Book Antiqua" w:hAnsi="Book Antiqua"/>
          <w:sz w:val="20"/>
          <w:szCs w:val="20"/>
          <w:lang w:val="en-US"/>
        </w:rPr>
        <w:t xml:space="preserve"> </w:t>
      </w:r>
      <w:r w:rsidRPr="00870653">
        <w:rPr>
          <w:rFonts w:ascii="Book Antiqua" w:hAnsi="Book Antiqua"/>
          <w:sz w:val="20"/>
          <w:szCs w:val="20"/>
          <w:lang w:val="en-US"/>
        </w:rPr>
        <w:t xml:space="preserve">the weight of both decreases, </w:t>
      </w:r>
      <w:r w:rsidR="00D3692D" w:rsidRPr="00870653">
        <w:rPr>
          <w:rFonts w:ascii="Book Antiqua" w:hAnsi="Book Antiqua"/>
          <w:sz w:val="20"/>
          <w:szCs w:val="20"/>
          <w:lang w:val="en-US"/>
        </w:rPr>
        <w:t>resul</w:t>
      </w:r>
      <w:r w:rsidRPr="00870653">
        <w:rPr>
          <w:rFonts w:ascii="Book Antiqua" w:hAnsi="Book Antiqua"/>
          <w:sz w:val="20"/>
          <w:szCs w:val="20"/>
          <w:lang w:val="en-US"/>
        </w:rPr>
        <w:t>ting</w:t>
      </w:r>
      <w:r w:rsidR="00D3692D" w:rsidRPr="00870653">
        <w:rPr>
          <w:rFonts w:ascii="Book Antiqua" w:hAnsi="Book Antiqua"/>
          <w:sz w:val="20"/>
          <w:szCs w:val="20"/>
          <w:lang w:val="en-US"/>
        </w:rPr>
        <w:t xml:space="preserve"> about 0.14.</w:t>
      </w:r>
    </w:p>
    <w:p w14:paraId="77B76DEE" w14:textId="57CD8F65" w:rsidR="00107103" w:rsidRPr="00870653" w:rsidRDefault="006B3507" w:rsidP="00107103">
      <w:pPr>
        <w:spacing w:after="0" w:line="360" w:lineRule="auto"/>
        <w:jc w:val="both"/>
        <w:rPr>
          <w:rFonts w:ascii="Book Antiqua" w:hAnsi="Book Antiqua"/>
          <w:sz w:val="20"/>
          <w:szCs w:val="20"/>
          <w:lang w:val="en-US"/>
        </w:rPr>
      </w:pPr>
      <w:r w:rsidRPr="00870653">
        <w:rPr>
          <w:rFonts w:ascii="Book Antiqua" w:hAnsi="Book Antiqua"/>
          <w:sz w:val="20"/>
          <w:szCs w:val="20"/>
          <w:lang w:val="en-US"/>
        </w:rPr>
        <w:t>In the last phase (2018-2019), the markets perceived a growing redenomination risk</w:t>
      </w:r>
      <w:r w:rsidR="00A035A0" w:rsidRPr="00870653">
        <w:rPr>
          <w:rFonts w:ascii="Book Antiqua" w:hAnsi="Book Antiqua"/>
          <w:sz w:val="20"/>
          <w:szCs w:val="20"/>
          <w:lang w:val="en-US"/>
        </w:rPr>
        <w:t xml:space="preserve"> </w:t>
      </w:r>
      <w:r w:rsidRPr="00870653">
        <w:rPr>
          <w:rFonts w:ascii="Book Antiqua" w:hAnsi="Book Antiqua"/>
          <w:sz w:val="20"/>
          <w:szCs w:val="20"/>
          <w:lang w:val="en-US"/>
        </w:rPr>
        <w:t>for Italy. Similarly, the spread started growing again from mid-2018</w:t>
      </w:r>
      <w:r w:rsidR="00107103" w:rsidRPr="00870653">
        <w:rPr>
          <w:rFonts w:ascii="Book Antiqua" w:hAnsi="Book Antiqua"/>
          <w:sz w:val="20"/>
          <w:szCs w:val="20"/>
          <w:lang w:val="en-US"/>
        </w:rPr>
        <w:t xml:space="preserve">. </w:t>
      </w:r>
      <w:r w:rsidR="004C6DA2" w:rsidRPr="00870653">
        <w:rPr>
          <w:rFonts w:ascii="Book Antiqua" w:hAnsi="Book Antiqua"/>
          <w:sz w:val="20"/>
          <w:szCs w:val="20"/>
          <w:lang w:val="en-US"/>
        </w:rPr>
        <w:t>During the January 2019-January 2020 period, the sovereign risk and the redenomination risk proxy resulted to be statistically significant at a 1% threshold. The sovereign risk reported a cofficient of about 0.18, while the redenomination risk reported a coefficient of about 0.21, reaching Brexit-level.</w:t>
      </w:r>
      <w:r w:rsidR="00107103" w:rsidRPr="00870653">
        <w:rPr>
          <w:rFonts w:ascii="Book Antiqua" w:hAnsi="Book Antiqua"/>
          <w:sz w:val="20"/>
          <w:szCs w:val="20"/>
          <w:lang w:val="en-US"/>
        </w:rPr>
        <w:t xml:space="preserve"> </w:t>
      </w:r>
    </w:p>
    <w:p w14:paraId="454585F5" w14:textId="70505255" w:rsidR="00416AF1" w:rsidRPr="00870653" w:rsidRDefault="00846F6F" w:rsidP="00232FA6">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sz w:val="20"/>
          <w:szCs w:val="20"/>
          <w:lang w:val="en-US"/>
        </w:rPr>
        <w:t xml:space="preserve">The Figure </w:t>
      </w:r>
      <w:r w:rsidR="00416AF1" w:rsidRPr="00870653">
        <w:rPr>
          <w:rFonts w:ascii="Book Antiqua" w:hAnsi="Book Antiqua"/>
          <w:sz w:val="20"/>
          <w:szCs w:val="20"/>
          <w:lang w:val="en-US"/>
        </w:rPr>
        <w:t xml:space="preserve">3 </w:t>
      </w:r>
      <w:r w:rsidRPr="00870653">
        <w:rPr>
          <w:rFonts w:ascii="Book Antiqua" w:hAnsi="Book Antiqua"/>
          <w:sz w:val="20"/>
          <w:szCs w:val="20"/>
          <w:lang w:val="en-US"/>
        </w:rPr>
        <w:t>suggest</w:t>
      </w:r>
      <w:r w:rsidR="00A035A0" w:rsidRPr="00870653">
        <w:rPr>
          <w:rFonts w:ascii="Book Antiqua" w:hAnsi="Book Antiqua"/>
          <w:sz w:val="20"/>
          <w:szCs w:val="20"/>
          <w:lang w:val="en-US"/>
        </w:rPr>
        <w:t>s</w:t>
      </w:r>
      <w:r w:rsidRPr="00870653">
        <w:rPr>
          <w:rFonts w:ascii="Book Antiqua" w:hAnsi="Book Antiqua"/>
          <w:sz w:val="20"/>
          <w:szCs w:val="20"/>
          <w:lang w:val="en-US"/>
        </w:rPr>
        <w:t xml:space="preserve"> that</w:t>
      </w:r>
      <w:r w:rsidR="006B3507" w:rsidRPr="00870653">
        <w:rPr>
          <w:rFonts w:ascii="Book Antiqua" w:hAnsi="Book Antiqua"/>
          <w:sz w:val="20"/>
          <w:szCs w:val="20"/>
          <w:lang w:val="en-US"/>
        </w:rPr>
        <w:t xml:space="preserve"> the reden</w:t>
      </w:r>
      <w:r w:rsidR="00A035A0" w:rsidRPr="00870653">
        <w:rPr>
          <w:rFonts w:ascii="Book Antiqua" w:hAnsi="Book Antiqua"/>
          <w:sz w:val="20"/>
          <w:szCs w:val="20"/>
          <w:lang w:val="en-US"/>
        </w:rPr>
        <w:t>o</w:t>
      </w:r>
      <w:r w:rsidR="006B3507" w:rsidRPr="00870653">
        <w:rPr>
          <w:rFonts w:ascii="Book Antiqua" w:hAnsi="Book Antiqua"/>
          <w:sz w:val="20"/>
          <w:szCs w:val="20"/>
          <w:lang w:val="en-US"/>
        </w:rPr>
        <w:t xml:space="preserve">mination risk reached its maximum in 2010, then decreased and reached its minimum in 2015. The weight of the coefficient returned to growth in 2016, due to the Brexit referendum, and, after a gradual decrease, returned to Brexit-level in the last period. The trend of the sovereign risk coefficient, on the other hand, was much more linear before 2016, year in which it reached its peak, and </w:t>
      </w:r>
      <w:r w:rsidR="00A035A0" w:rsidRPr="00870653">
        <w:rPr>
          <w:rFonts w:ascii="Book Antiqua" w:hAnsi="Book Antiqua"/>
          <w:sz w:val="20"/>
          <w:szCs w:val="20"/>
          <w:lang w:val="en-US"/>
        </w:rPr>
        <w:t xml:space="preserve">soon after </w:t>
      </w:r>
      <w:r w:rsidR="006B3507" w:rsidRPr="00870653">
        <w:rPr>
          <w:rFonts w:ascii="Book Antiqua" w:hAnsi="Book Antiqua"/>
          <w:sz w:val="20"/>
          <w:szCs w:val="20"/>
          <w:lang w:val="en-US"/>
        </w:rPr>
        <w:t>decreased, remaining at contained levels, in contrast to the redenomination risk.</w:t>
      </w:r>
    </w:p>
    <w:p w14:paraId="7E33CA3D" w14:textId="524AD7C7" w:rsidR="00355AF8" w:rsidRDefault="00355AF8" w:rsidP="00355AF8">
      <w:pPr>
        <w:spacing w:line="360" w:lineRule="auto"/>
        <w:jc w:val="center"/>
        <w:rPr>
          <w:rFonts w:ascii="Book Antiqua" w:hAnsi="Book Antiqua"/>
          <w:sz w:val="20"/>
          <w:szCs w:val="20"/>
        </w:rPr>
      </w:pPr>
      <w:r w:rsidRPr="00F94303">
        <w:rPr>
          <w:noProof/>
          <w:lang w:eastAsia="it-IT"/>
        </w:rPr>
        <w:lastRenderedPageBreak/>
        <w:drawing>
          <wp:inline distT="0" distB="0" distL="0" distR="0" wp14:anchorId="49C9ADD0" wp14:editId="4610A609">
            <wp:extent cx="6353393" cy="3590925"/>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4434" cy="3597166"/>
                    </a:xfrm>
                    <a:prstGeom prst="rect">
                      <a:avLst/>
                    </a:prstGeom>
                    <a:noFill/>
                    <a:ln>
                      <a:noFill/>
                    </a:ln>
                  </pic:spPr>
                </pic:pic>
              </a:graphicData>
            </a:graphic>
          </wp:inline>
        </w:drawing>
      </w:r>
    </w:p>
    <w:p w14:paraId="1C44CBEE" w14:textId="6F120260" w:rsidR="00355AF8" w:rsidRPr="00870653" w:rsidRDefault="00355AF8" w:rsidP="00232FA6">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Figur</w:t>
      </w:r>
      <w:r w:rsidR="00A035A0" w:rsidRPr="00870653">
        <w:rPr>
          <w:rFonts w:ascii="Book Antiqua" w:hAnsi="Book Antiqua"/>
          <w:b/>
          <w:bCs/>
          <w:sz w:val="20"/>
          <w:szCs w:val="20"/>
          <w:lang w:val="en-US"/>
        </w:rPr>
        <w:t>e</w:t>
      </w:r>
      <w:r w:rsidRPr="00870653">
        <w:rPr>
          <w:rFonts w:ascii="Book Antiqua" w:hAnsi="Book Antiqua"/>
          <w:b/>
          <w:bCs/>
          <w:sz w:val="20"/>
          <w:szCs w:val="20"/>
          <w:lang w:val="en-US"/>
        </w:rPr>
        <w:t xml:space="preserve"> 3.</w:t>
      </w:r>
      <w:r w:rsidR="0006324A" w:rsidRPr="00870653">
        <w:rPr>
          <w:rFonts w:ascii="Book Antiqua" w:hAnsi="Book Antiqua"/>
          <w:b/>
          <w:bCs/>
          <w:sz w:val="20"/>
          <w:szCs w:val="20"/>
          <w:lang w:val="en-US"/>
        </w:rPr>
        <w:t xml:space="preserve"> </w:t>
      </w:r>
      <w:r w:rsidR="0006324A" w:rsidRPr="00870653">
        <w:rPr>
          <w:rFonts w:ascii="Book Antiqua" w:hAnsi="Book Antiqua"/>
          <w:sz w:val="20"/>
          <w:szCs w:val="20"/>
          <w:lang w:val="en-US"/>
        </w:rPr>
        <w:t>Rolling coefficient and standard errors</w:t>
      </w:r>
      <w:r w:rsidRPr="00870653">
        <w:rPr>
          <w:rFonts w:ascii="Book Antiqua" w:hAnsi="Book Antiqua"/>
          <w:sz w:val="20"/>
          <w:szCs w:val="20"/>
          <w:lang w:val="en-US"/>
        </w:rPr>
        <w:t>.</w:t>
      </w:r>
      <w:r w:rsidR="0006324A" w:rsidRPr="00870653">
        <w:rPr>
          <w:rFonts w:ascii="Book Antiqua" w:hAnsi="Book Antiqua"/>
          <w:sz w:val="20"/>
          <w:szCs w:val="20"/>
          <w:lang w:val="en-US"/>
        </w:rPr>
        <w:t xml:space="preserve"> Source</w:t>
      </w:r>
      <w:r w:rsidRPr="00870653">
        <w:rPr>
          <w:rFonts w:ascii="Book Antiqua" w:hAnsi="Book Antiqua"/>
          <w:sz w:val="20"/>
          <w:szCs w:val="20"/>
          <w:lang w:val="en-US"/>
        </w:rPr>
        <w:t xml:space="preserve">: </w:t>
      </w:r>
      <w:r w:rsidR="0006324A" w:rsidRPr="00870653">
        <w:rPr>
          <w:rFonts w:ascii="Book Antiqua" w:hAnsi="Book Antiqua"/>
          <w:sz w:val="20"/>
          <w:szCs w:val="20"/>
          <w:lang w:val="en-US"/>
        </w:rPr>
        <w:t xml:space="preserve">authors’calculations in Excel based on </w:t>
      </w:r>
      <w:r w:rsidRPr="00870653">
        <w:rPr>
          <w:rFonts w:ascii="Book Antiqua" w:hAnsi="Book Antiqua"/>
          <w:sz w:val="20"/>
          <w:szCs w:val="20"/>
          <w:lang w:val="en-US"/>
        </w:rPr>
        <w:t>Bloomberg</w:t>
      </w:r>
      <w:r w:rsidR="0006324A" w:rsidRPr="00870653">
        <w:rPr>
          <w:rFonts w:ascii="Book Antiqua" w:hAnsi="Book Antiqua"/>
          <w:sz w:val="20"/>
          <w:szCs w:val="20"/>
          <w:lang w:val="en-US"/>
        </w:rPr>
        <w:t xml:space="preserve"> data</w:t>
      </w:r>
      <w:r w:rsidRPr="00870653">
        <w:rPr>
          <w:rFonts w:ascii="Book Antiqua" w:hAnsi="Book Antiqua"/>
          <w:sz w:val="20"/>
          <w:szCs w:val="20"/>
          <w:lang w:val="en-US"/>
        </w:rPr>
        <w:t xml:space="preserve">. Note: </w:t>
      </w:r>
      <w:r w:rsidR="0006324A" w:rsidRPr="00870653">
        <w:rPr>
          <w:rFonts w:ascii="Book Antiqua" w:hAnsi="Book Antiqua"/>
          <w:sz w:val="20"/>
          <w:szCs w:val="20"/>
          <w:lang w:val="en-US"/>
        </w:rPr>
        <w:t>red points signal the years of</w:t>
      </w:r>
      <w:r w:rsidR="00B27133" w:rsidRPr="00870653">
        <w:rPr>
          <w:rFonts w:ascii="Book Antiqua" w:hAnsi="Book Antiqua"/>
          <w:sz w:val="20"/>
          <w:szCs w:val="20"/>
          <w:lang w:val="en-US"/>
        </w:rPr>
        <w:t xml:space="preserve"> statistical</w:t>
      </w:r>
      <w:r w:rsidR="0006324A" w:rsidRPr="00870653">
        <w:rPr>
          <w:rFonts w:ascii="Book Antiqua" w:hAnsi="Book Antiqua"/>
          <w:sz w:val="20"/>
          <w:szCs w:val="20"/>
          <w:lang w:val="en-US"/>
        </w:rPr>
        <w:t xml:space="preserve"> no</w:t>
      </w:r>
      <w:r w:rsidR="00B27133" w:rsidRPr="00870653">
        <w:rPr>
          <w:rFonts w:ascii="Book Antiqua" w:hAnsi="Book Antiqua"/>
          <w:sz w:val="20"/>
          <w:szCs w:val="20"/>
          <w:lang w:val="en-US"/>
        </w:rPr>
        <w:t>n-</w:t>
      </w:r>
      <w:r w:rsidR="0006324A" w:rsidRPr="00870653">
        <w:rPr>
          <w:rFonts w:ascii="Book Antiqua" w:hAnsi="Book Antiqua"/>
          <w:sz w:val="20"/>
          <w:szCs w:val="20"/>
          <w:lang w:val="en-US"/>
        </w:rPr>
        <w:t>significance</w:t>
      </w:r>
      <w:r w:rsidR="00B27133" w:rsidRPr="00870653">
        <w:rPr>
          <w:rFonts w:ascii="Book Antiqua" w:hAnsi="Book Antiqua"/>
          <w:sz w:val="20"/>
          <w:szCs w:val="20"/>
          <w:lang w:val="en-US"/>
        </w:rPr>
        <w:t xml:space="preserve">. </w:t>
      </w:r>
      <w:r w:rsidR="00B27133" w:rsidRPr="00870653">
        <w:rPr>
          <w:rFonts w:ascii="Book Antiqua" w:hAnsi="Book Antiqua"/>
          <w:sz w:val="20"/>
          <w:szCs w:val="20"/>
          <w:lang w:val="en-US"/>
        </w:rPr>
        <w:tab/>
      </w:r>
    </w:p>
    <w:p w14:paraId="4361A96E" w14:textId="0EB6A9E7" w:rsidR="00EB4D4E" w:rsidRDefault="00EB4D4E" w:rsidP="0016291A">
      <w:pPr>
        <w:pStyle w:val="Paragrafoelenco"/>
        <w:numPr>
          <w:ilvl w:val="0"/>
          <w:numId w:val="39"/>
        </w:numPr>
        <w:tabs>
          <w:tab w:val="left" w:pos="2268"/>
          <w:tab w:val="left" w:pos="2552"/>
        </w:tabs>
        <w:spacing w:line="360" w:lineRule="auto"/>
        <w:ind w:left="284" w:hanging="284"/>
        <w:jc w:val="both"/>
        <w:rPr>
          <w:rFonts w:ascii="Book Antiqua" w:hAnsi="Book Antiqua"/>
          <w:b/>
          <w:bCs/>
          <w:sz w:val="28"/>
          <w:szCs w:val="28"/>
        </w:rPr>
      </w:pPr>
      <w:r w:rsidRPr="00EB4D4E">
        <w:rPr>
          <w:rFonts w:ascii="Book Antiqua" w:hAnsi="Book Antiqua"/>
          <w:b/>
          <w:bCs/>
          <w:sz w:val="28"/>
          <w:szCs w:val="28"/>
        </w:rPr>
        <w:t xml:space="preserve">Economic Discussion and </w:t>
      </w:r>
      <w:r w:rsidR="006B4592">
        <w:rPr>
          <w:rFonts w:ascii="Book Antiqua" w:hAnsi="Book Antiqua"/>
          <w:b/>
          <w:bCs/>
          <w:sz w:val="28"/>
          <w:szCs w:val="28"/>
        </w:rPr>
        <w:t>C</w:t>
      </w:r>
      <w:r w:rsidRPr="00EB4D4E">
        <w:rPr>
          <w:rFonts w:ascii="Book Antiqua" w:hAnsi="Book Antiqua"/>
          <w:b/>
          <w:bCs/>
          <w:sz w:val="28"/>
          <w:szCs w:val="28"/>
        </w:rPr>
        <w:t>onclusions</w:t>
      </w:r>
    </w:p>
    <w:p w14:paraId="3733A717" w14:textId="6904F47F" w:rsidR="00467DF4" w:rsidRPr="00870653" w:rsidRDefault="00611ED3" w:rsidP="00983C68">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sz w:val="20"/>
          <w:szCs w:val="20"/>
          <w:lang w:val="en-US"/>
        </w:rPr>
        <w:t xml:space="preserve">Before the global financial crisis, the </w:t>
      </w:r>
      <w:r w:rsidR="00AE3679" w:rsidRPr="00870653">
        <w:rPr>
          <w:rFonts w:ascii="Book Antiqua" w:hAnsi="Book Antiqua"/>
          <w:sz w:val="20"/>
          <w:szCs w:val="20"/>
          <w:lang w:val="en-US"/>
        </w:rPr>
        <w:t>E</w:t>
      </w:r>
      <w:r w:rsidR="005D4585" w:rsidRPr="00870653">
        <w:rPr>
          <w:rFonts w:ascii="Book Antiqua" w:hAnsi="Book Antiqua"/>
          <w:sz w:val="20"/>
          <w:szCs w:val="20"/>
          <w:lang w:val="en-US"/>
        </w:rPr>
        <w:t xml:space="preserve">urozone </w:t>
      </w:r>
      <w:r w:rsidRPr="00870653">
        <w:rPr>
          <w:rFonts w:ascii="Book Antiqua" w:hAnsi="Book Antiqua"/>
          <w:sz w:val="20"/>
          <w:szCs w:val="20"/>
          <w:lang w:val="en-US"/>
        </w:rPr>
        <w:t>countries were considered stable and economically reliable and the possibility that a country could declare its default and consequently exit from</w:t>
      </w:r>
      <w:r w:rsidR="00AE3679" w:rsidRPr="00870653">
        <w:rPr>
          <w:rFonts w:ascii="Book Antiqua" w:hAnsi="Book Antiqua"/>
          <w:sz w:val="20"/>
          <w:szCs w:val="20"/>
          <w:lang w:val="en-US"/>
        </w:rPr>
        <w:t xml:space="preserve"> the </w:t>
      </w:r>
      <w:r w:rsidR="00312F4C" w:rsidRPr="00870653">
        <w:rPr>
          <w:rFonts w:ascii="Book Antiqua" w:hAnsi="Book Antiqua"/>
          <w:sz w:val="20"/>
          <w:szCs w:val="20"/>
          <w:lang w:val="en-US"/>
        </w:rPr>
        <w:t>Euro Area</w:t>
      </w:r>
      <w:r w:rsidRPr="00870653">
        <w:rPr>
          <w:rFonts w:ascii="Book Antiqua" w:hAnsi="Book Antiqua"/>
          <w:sz w:val="20"/>
          <w:szCs w:val="20"/>
          <w:lang w:val="en-US"/>
        </w:rPr>
        <w:t xml:space="preserve"> was far from the market perception. For this reason, the interest around the concepts of spread on sovereign yields and CDS</w:t>
      </w:r>
      <w:r w:rsidR="00D13177" w:rsidRPr="00870653">
        <w:rPr>
          <w:rFonts w:ascii="Book Antiqua" w:hAnsi="Book Antiqua"/>
          <w:sz w:val="20"/>
          <w:szCs w:val="20"/>
          <w:lang w:val="en-US"/>
        </w:rPr>
        <w:t>s</w:t>
      </w:r>
      <w:r w:rsidRPr="00870653">
        <w:rPr>
          <w:rFonts w:ascii="Book Antiqua" w:hAnsi="Book Antiqua"/>
          <w:sz w:val="20"/>
          <w:szCs w:val="20"/>
          <w:lang w:val="en-US"/>
        </w:rPr>
        <w:t xml:space="preserve"> was almost </w:t>
      </w:r>
      <w:r w:rsidR="00D13177" w:rsidRPr="00870653">
        <w:rPr>
          <w:rFonts w:ascii="Book Antiqua" w:hAnsi="Book Antiqua"/>
          <w:sz w:val="20"/>
          <w:szCs w:val="20"/>
          <w:lang w:val="en-US"/>
        </w:rPr>
        <w:t>limited</w:t>
      </w:r>
      <w:r w:rsidRPr="00870653">
        <w:rPr>
          <w:rFonts w:ascii="Book Antiqua" w:hAnsi="Book Antiqua"/>
          <w:sz w:val="20"/>
          <w:szCs w:val="20"/>
          <w:lang w:val="en-US"/>
        </w:rPr>
        <w:t>. However,</w:t>
      </w:r>
      <w:r w:rsidR="005D4585" w:rsidRPr="00870653">
        <w:rPr>
          <w:rFonts w:ascii="Book Antiqua" w:hAnsi="Book Antiqua"/>
          <w:sz w:val="20"/>
          <w:szCs w:val="20"/>
          <w:lang w:val="en-US"/>
        </w:rPr>
        <w:t xml:space="preserve"> </w:t>
      </w:r>
      <w:r w:rsidRPr="00870653">
        <w:rPr>
          <w:rFonts w:ascii="Book Antiqua" w:hAnsi="Book Antiqua"/>
          <w:sz w:val="20"/>
          <w:szCs w:val="20"/>
          <w:lang w:val="en-US"/>
        </w:rPr>
        <w:t>the</w:t>
      </w:r>
      <w:r w:rsidR="00D13177" w:rsidRPr="00870653">
        <w:rPr>
          <w:rFonts w:ascii="Book Antiqua" w:hAnsi="Book Antiqua"/>
          <w:sz w:val="20"/>
          <w:szCs w:val="20"/>
          <w:lang w:val="en-US"/>
        </w:rPr>
        <w:t xml:space="preserve"> market</w:t>
      </w:r>
      <w:r w:rsidRPr="00870653">
        <w:rPr>
          <w:rFonts w:ascii="Book Antiqua" w:hAnsi="Book Antiqua"/>
          <w:sz w:val="20"/>
          <w:szCs w:val="20"/>
          <w:lang w:val="en-US"/>
        </w:rPr>
        <w:t xml:space="preserve"> perception of a growing sovereign risk for the so-called </w:t>
      </w:r>
      <w:r w:rsidR="00873481" w:rsidRPr="00870653">
        <w:rPr>
          <w:rFonts w:ascii="Book Antiqua" w:hAnsi="Book Antiqua"/>
          <w:sz w:val="20"/>
          <w:szCs w:val="20"/>
          <w:lang w:val="en-US"/>
        </w:rPr>
        <w:t>“</w:t>
      </w:r>
      <w:r w:rsidR="00D13177" w:rsidRPr="00870653">
        <w:rPr>
          <w:rFonts w:ascii="Book Antiqua" w:hAnsi="Book Antiqua"/>
          <w:i/>
          <w:iCs/>
          <w:sz w:val="20"/>
          <w:szCs w:val="20"/>
          <w:lang w:val="en-US"/>
        </w:rPr>
        <w:t>PIIGS</w:t>
      </w:r>
      <w:r w:rsidR="00873481" w:rsidRPr="00870653">
        <w:rPr>
          <w:rFonts w:ascii="Book Antiqua" w:hAnsi="Book Antiqua"/>
          <w:i/>
          <w:iCs/>
          <w:sz w:val="20"/>
          <w:szCs w:val="20"/>
          <w:lang w:val="en-US"/>
        </w:rPr>
        <w:t>”</w:t>
      </w:r>
      <w:r w:rsidRPr="00870653">
        <w:rPr>
          <w:rFonts w:ascii="Book Antiqua" w:hAnsi="Book Antiqua"/>
          <w:sz w:val="20"/>
          <w:szCs w:val="20"/>
          <w:lang w:val="en-US"/>
        </w:rPr>
        <w:t xml:space="preserve"> (Portugal, Ireland, Italy, Greece and Spain) played a significant role</w:t>
      </w:r>
      <w:r w:rsidR="00D13177" w:rsidRPr="00870653">
        <w:rPr>
          <w:rFonts w:ascii="Book Antiqua" w:hAnsi="Book Antiqua"/>
          <w:sz w:val="20"/>
          <w:szCs w:val="20"/>
          <w:lang w:val="en-US"/>
        </w:rPr>
        <w:t xml:space="preserve"> starting from 2009</w:t>
      </w:r>
      <w:r w:rsidR="000610B0" w:rsidRPr="00870653">
        <w:rPr>
          <w:rFonts w:ascii="Book Antiqua" w:hAnsi="Book Antiqua"/>
          <w:sz w:val="20"/>
          <w:szCs w:val="20"/>
          <w:lang w:val="en-US"/>
        </w:rPr>
        <w:t xml:space="preserve"> </w:t>
      </w:r>
      <w:r w:rsidRPr="00870653">
        <w:rPr>
          <w:rFonts w:ascii="Book Antiqua" w:hAnsi="Book Antiqua"/>
          <w:sz w:val="20"/>
          <w:szCs w:val="20"/>
          <w:lang w:val="en-US"/>
        </w:rPr>
        <w:t xml:space="preserve">(Li and Zinna, 2014). Looking at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case, the </w:t>
      </w:r>
      <w:r w:rsidR="00467DF4" w:rsidRPr="00870653">
        <w:rPr>
          <w:rFonts w:ascii="Book Antiqua" w:hAnsi="Book Antiqua"/>
          <w:sz w:val="20"/>
          <w:szCs w:val="20"/>
          <w:lang w:val="en-US"/>
        </w:rPr>
        <w:t>BTP-Bund spread</w:t>
      </w:r>
      <w:r w:rsidR="00A62F32" w:rsidRPr="00870653">
        <w:rPr>
          <w:rFonts w:ascii="Book Antiqua" w:hAnsi="Book Antiqua"/>
          <w:sz w:val="20"/>
          <w:szCs w:val="20"/>
          <w:lang w:val="en-US"/>
        </w:rPr>
        <w:t>s</w:t>
      </w:r>
      <w:r w:rsidR="008440FA" w:rsidRPr="00870653">
        <w:rPr>
          <w:rFonts w:ascii="Book Antiqua" w:hAnsi="Book Antiqua"/>
          <w:sz w:val="20"/>
          <w:szCs w:val="20"/>
          <w:lang w:val="en-US"/>
        </w:rPr>
        <w:t xml:space="preserve"> </w:t>
      </w:r>
      <w:r w:rsidR="00467DF4" w:rsidRPr="00870653">
        <w:rPr>
          <w:rFonts w:ascii="Book Antiqua" w:hAnsi="Book Antiqua"/>
          <w:sz w:val="20"/>
          <w:szCs w:val="20"/>
          <w:lang w:val="en-US"/>
        </w:rPr>
        <w:t>r</w:t>
      </w:r>
      <w:r w:rsidR="008440FA" w:rsidRPr="00870653">
        <w:rPr>
          <w:rFonts w:ascii="Book Antiqua" w:hAnsi="Book Antiqua"/>
          <w:sz w:val="20"/>
          <w:szCs w:val="20"/>
          <w:lang w:val="en-US"/>
        </w:rPr>
        <w:t>ose</w:t>
      </w:r>
      <w:r w:rsidRPr="00870653">
        <w:rPr>
          <w:rFonts w:ascii="Book Antiqua" w:hAnsi="Book Antiqua"/>
          <w:sz w:val="20"/>
          <w:szCs w:val="20"/>
          <w:lang w:val="en-US"/>
        </w:rPr>
        <w:t>, as can be seen in Figure 4.</w:t>
      </w:r>
      <w:r w:rsidR="008F08C8" w:rsidRPr="00870653">
        <w:rPr>
          <w:rFonts w:ascii="Book Antiqua" w:hAnsi="Book Antiqua"/>
          <w:sz w:val="20"/>
          <w:szCs w:val="20"/>
          <w:lang w:val="en-US"/>
        </w:rPr>
        <w:t xml:space="preserve"> </w:t>
      </w:r>
      <w:r w:rsidR="00467DF4" w:rsidRPr="00870653">
        <w:rPr>
          <w:rFonts w:ascii="Book Antiqua" w:hAnsi="Book Antiqua"/>
          <w:sz w:val="20"/>
          <w:szCs w:val="20"/>
          <w:lang w:val="en-US"/>
        </w:rPr>
        <w:t xml:space="preserve">The risk of a possible </w:t>
      </w:r>
      <w:r w:rsidR="002B08C3" w:rsidRPr="00870653">
        <w:rPr>
          <w:rFonts w:ascii="Book Antiqua" w:hAnsi="Book Antiqua"/>
          <w:sz w:val="20"/>
          <w:szCs w:val="20"/>
          <w:lang w:val="en-US"/>
        </w:rPr>
        <w:t xml:space="preserve">break-up </w:t>
      </w:r>
      <w:r w:rsidR="00AE3679" w:rsidRPr="00870653">
        <w:rPr>
          <w:rFonts w:ascii="Book Antiqua" w:hAnsi="Book Antiqua"/>
          <w:sz w:val="20"/>
          <w:szCs w:val="20"/>
          <w:lang w:val="en-US"/>
        </w:rPr>
        <w:t>of the E</w:t>
      </w:r>
      <w:r w:rsidR="00467DF4" w:rsidRPr="00870653">
        <w:rPr>
          <w:rFonts w:ascii="Book Antiqua" w:hAnsi="Book Antiqua"/>
          <w:sz w:val="20"/>
          <w:szCs w:val="20"/>
          <w:lang w:val="en-US"/>
        </w:rPr>
        <w:t>urozone</w:t>
      </w:r>
      <w:r w:rsidR="008F08C8">
        <w:rPr>
          <w:rStyle w:val="Rimandonotaapidipagina"/>
          <w:rFonts w:ascii="Book Antiqua" w:hAnsi="Book Antiqua"/>
          <w:sz w:val="20"/>
          <w:szCs w:val="20"/>
        </w:rPr>
        <w:footnoteReference w:id="9"/>
      </w:r>
      <w:r w:rsidR="008F08C8" w:rsidRPr="00870653">
        <w:rPr>
          <w:rFonts w:ascii="Book Antiqua" w:hAnsi="Book Antiqua"/>
          <w:sz w:val="20"/>
          <w:szCs w:val="20"/>
          <w:lang w:val="en-US"/>
        </w:rPr>
        <w:t xml:space="preserve"> </w:t>
      </w:r>
      <w:r w:rsidR="00467DF4" w:rsidRPr="00870653">
        <w:rPr>
          <w:rFonts w:ascii="Book Antiqua" w:hAnsi="Book Antiqua"/>
          <w:sz w:val="20"/>
          <w:szCs w:val="20"/>
          <w:lang w:val="en-US"/>
        </w:rPr>
        <w:t xml:space="preserve">appeared for the first time </w:t>
      </w:r>
      <w:r w:rsidR="002B08C3" w:rsidRPr="00870653">
        <w:rPr>
          <w:rFonts w:ascii="Book Antiqua" w:hAnsi="Book Antiqua"/>
          <w:sz w:val="20"/>
          <w:szCs w:val="20"/>
          <w:lang w:val="en-US"/>
        </w:rPr>
        <w:t>in</w:t>
      </w:r>
      <w:r w:rsidR="00467DF4" w:rsidRPr="00870653">
        <w:rPr>
          <w:rFonts w:ascii="Book Antiqua" w:hAnsi="Book Antiqua"/>
          <w:sz w:val="20"/>
          <w:szCs w:val="20"/>
          <w:lang w:val="en-US"/>
        </w:rPr>
        <w:t xml:space="preserve"> 2010, following the events that</w:t>
      </w:r>
      <w:r w:rsidR="000610B0" w:rsidRPr="00870653">
        <w:rPr>
          <w:rFonts w:ascii="Book Antiqua" w:hAnsi="Book Antiqua"/>
          <w:sz w:val="20"/>
          <w:szCs w:val="20"/>
          <w:lang w:val="en-US"/>
        </w:rPr>
        <w:t xml:space="preserve"> </w:t>
      </w:r>
      <w:r w:rsidR="00467DF4" w:rsidRPr="00870653">
        <w:rPr>
          <w:rFonts w:ascii="Book Antiqua" w:hAnsi="Book Antiqua"/>
          <w:sz w:val="20"/>
          <w:szCs w:val="20"/>
          <w:lang w:val="en-US"/>
        </w:rPr>
        <w:t>brought Greece to the brink of bankruptcy</w:t>
      </w:r>
      <w:r w:rsidR="008F08C8">
        <w:rPr>
          <w:rStyle w:val="Rimandonotaapidipagina"/>
          <w:rFonts w:ascii="Book Antiqua" w:hAnsi="Book Antiqua"/>
          <w:sz w:val="20"/>
          <w:szCs w:val="20"/>
        </w:rPr>
        <w:footnoteReference w:id="10"/>
      </w:r>
      <w:r w:rsidR="00467DF4" w:rsidRPr="00870653">
        <w:rPr>
          <w:rFonts w:ascii="Book Antiqua" w:hAnsi="Book Antiqua"/>
          <w:sz w:val="20"/>
          <w:szCs w:val="20"/>
          <w:lang w:val="en-US"/>
        </w:rPr>
        <w:t xml:space="preserve">. The redenomination risk component, </w:t>
      </w:r>
      <w:r w:rsidR="002B08C3" w:rsidRPr="00870653">
        <w:rPr>
          <w:rFonts w:ascii="Book Antiqua" w:hAnsi="Book Antiqua"/>
          <w:sz w:val="20"/>
          <w:szCs w:val="20"/>
          <w:lang w:val="en-US"/>
        </w:rPr>
        <w:t xml:space="preserve">up to that time </w:t>
      </w:r>
      <w:r w:rsidR="00D13177" w:rsidRPr="00870653">
        <w:rPr>
          <w:rFonts w:ascii="Book Antiqua" w:hAnsi="Book Antiqua"/>
          <w:sz w:val="20"/>
          <w:szCs w:val="20"/>
          <w:lang w:val="en-US"/>
        </w:rPr>
        <w:t xml:space="preserve">almost </w:t>
      </w:r>
      <w:r w:rsidR="002B08C3" w:rsidRPr="00870653">
        <w:rPr>
          <w:rFonts w:ascii="Book Antiqua" w:hAnsi="Book Antiqua"/>
          <w:sz w:val="20"/>
          <w:szCs w:val="20"/>
          <w:lang w:val="en-US"/>
        </w:rPr>
        <w:t xml:space="preserve">inexistent </w:t>
      </w:r>
      <w:r w:rsidR="00467DF4" w:rsidRPr="00870653">
        <w:rPr>
          <w:rFonts w:ascii="Book Antiqua" w:hAnsi="Book Antiqua"/>
          <w:sz w:val="20"/>
          <w:szCs w:val="20"/>
          <w:lang w:val="en-US"/>
        </w:rPr>
        <w:t>(see Fig</w:t>
      </w:r>
      <w:r w:rsidR="00BB7332" w:rsidRPr="00870653">
        <w:rPr>
          <w:rFonts w:ascii="Book Antiqua" w:hAnsi="Book Antiqua"/>
          <w:sz w:val="20"/>
          <w:szCs w:val="20"/>
          <w:lang w:val="en-US"/>
        </w:rPr>
        <w:t xml:space="preserve">ure </w:t>
      </w:r>
      <w:r w:rsidR="00467DF4" w:rsidRPr="00870653">
        <w:rPr>
          <w:rFonts w:ascii="Book Antiqua" w:hAnsi="Book Antiqua"/>
          <w:sz w:val="20"/>
          <w:szCs w:val="20"/>
          <w:lang w:val="en-US"/>
        </w:rPr>
        <w:t xml:space="preserve">5), progressively played an important role in the price discovery process of </w:t>
      </w:r>
      <w:r w:rsidR="00D13177" w:rsidRPr="00870653">
        <w:rPr>
          <w:rFonts w:ascii="Book Antiqua" w:hAnsi="Book Antiqua"/>
          <w:sz w:val="20"/>
          <w:szCs w:val="20"/>
          <w:lang w:val="en-US"/>
        </w:rPr>
        <w:t xml:space="preserve">the Italian banks’ </w:t>
      </w:r>
      <w:r w:rsidR="00467DF4" w:rsidRPr="00870653">
        <w:rPr>
          <w:rFonts w:ascii="Book Antiqua" w:hAnsi="Book Antiqua"/>
          <w:sz w:val="20"/>
          <w:szCs w:val="20"/>
          <w:lang w:val="en-US"/>
        </w:rPr>
        <w:t xml:space="preserve">CDS spreads, thus pricing the risk of a possible Italexit already during the sovereign debt crisis (Anelli et al., 2020). The perception of </w:t>
      </w:r>
      <w:r w:rsidR="00E31897" w:rsidRPr="00870653">
        <w:rPr>
          <w:rFonts w:ascii="Book Antiqua" w:hAnsi="Book Antiqua"/>
          <w:sz w:val="20"/>
          <w:szCs w:val="20"/>
          <w:lang w:val="en-US"/>
        </w:rPr>
        <w:t>a</w:t>
      </w:r>
      <w:r w:rsidR="008F08C8" w:rsidRPr="00870653">
        <w:rPr>
          <w:rFonts w:ascii="Book Antiqua" w:hAnsi="Book Antiqua"/>
          <w:sz w:val="20"/>
          <w:szCs w:val="20"/>
          <w:lang w:val="en-US"/>
        </w:rPr>
        <w:t xml:space="preserve"> hypothetical</w:t>
      </w:r>
      <w:r w:rsidR="002B08C3" w:rsidRPr="00870653">
        <w:rPr>
          <w:rFonts w:ascii="Book Antiqua" w:hAnsi="Book Antiqua"/>
          <w:sz w:val="20"/>
          <w:szCs w:val="20"/>
          <w:lang w:val="en-US"/>
        </w:rPr>
        <w:t xml:space="preserve"> Italy’s</w:t>
      </w:r>
      <w:r w:rsidR="00467DF4" w:rsidRPr="00870653">
        <w:rPr>
          <w:rFonts w:ascii="Book Antiqua" w:hAnsi="Book Antiqua"/>
          <w:sz w:val="20"/>
          <w:szCs w:val="20"/>
          <w:lang w:val="en-US"/>
        </w:rPr>
        <w:t xml:space="preserve"> currency </w:t>
      </w:r>
      <w:r w:rsidR="002B08C3" w:rsidRPr="00870653">
        <w:rPr>
          <w:rFonts w:ascii="Book Antiqua" w:hAnsi="Book Antiqua"/>
          <w:sz w:val="20"/>
          <w:szCs w:val="20"/>
          <w:lang w:val="en-US"/>
        </w:rPr>
        <w:t xml:space="preserve">redenomination </w:t>
      </w:r>
      <w:r w:rsidR="00467DF4" w:rsidRPr="00870653">
        <w:rPr>
          <w:rFonts w:ascii="Book Antiqua" w:hAnsi="Book Antiqua"/>
          <w:sz w:val="20"/>
          <w:szCs w:val="20"/>
          <w:lang w:val="en-US"/>
        </w:rPr>
        <w:t>is explained by the debt sustainability problems</w:t>
      </w:r>
      <w:r w:rsidR="00E31897">
        <w:rPr>
          <w:rFonts w:ascii="Book Antiqua" w:hAnsi="Book Antiqua"/>
          <w:sz w:val="20"/>
          <w:szCs w:val="20"/>
          <w:lang w:val="en-US"/>
        </w:rPr>
        <w:t>.</w:t>
      </w:r>
      <w:r w:rsidR="002B08C3" w:rsidRPr="00870653">
        <w:rPr>
          <w:rFonts w:ascii="Book Antiqua" w:hAnsi="Book Antiqua"/>
          <w:sz w:val="20"/>
          <w:szCs w:val="20"/>
          <w:lang w:val="en-US"/>
        </w:rPr>
        <w:t xml:space="preserve"> </w:t>
      </w:r>
      <w:r w:rsidR="00E31897">
        <w:rPr>
          <w:rFonts w:ascii="Book Antiqua" w:hAnsi="Book Antiqua"/>
          <w:sz w:val="20"/>
          <w:szCs w:val="20"/>
          <w:lang w:val="en-US"/>
        </w:rPr>
        <w:t>D</w:t>
      </w:r>
      <w:r w:rsidR="00467DF4" w:rsidRPr="00870653">
        <w:rPr>
          <w:rFonts w:ascii="Book Antiqua" w:hAnsi="Book Antiqua"/>
          <w:sz w:val="20"/>
          <w:szCs w:val="20"/>
          <w:lang w:val="en-US"/>
        </w:rPr>
        <w:t>ue to the high debt-to-GDP ratio, the market</w:t>
      </w:r>
      <w:r w:rsidR="002B08C3" w:rsidRPr="00870653">
        <w:rPr>
          <w:rFonts w:ascii="Book Antiqua" w:hAnsi="Book Antiqua"/>
          <w:sz w:val="20"/>
          <w:szCs w:val="20"/>
          <w:lang w:val="en-US"/>
        </w:rPr>
        <w:t xml:space="preserve"> fear</w:t>
      </w:r>
      <w:r w:rsidR="00467DF4" w:rsidRPr="00870653">
        <w:rPr>
          <w:rFonts w:ascii="Book Antiqua" w:hAnsi="Book Antiqua"/>
          <w:sz w:val="20"/>
          <w:szCs w:val="20"/>
          <w:lang w:val="en-US"/>
        </w:rPr>
        <w:t xml:space="preserve"> was that Italy could exit </w:t>
      </w:r>
      <w:r w:rsidR="002B08C3" w:rsidRPr="00870653">
        <w:rPr>
          <w:rFonts w:ascii="Book Antiqua" w:hAnsi="Book Antiqua"/>
          <w:sz w:val="20"/>
          <w:szCs w:val="20"/>
          <w:lang w:val="en-US"/>
        </w:rPr>
        <w:t xml:space="preserve">from </w:t>
      </w:r>
      <w:r w:rsidR="00AE3679" w:rsidRPr="00870653">
        <w:rPr>
          <w:rFonts w:ascii="Book Antiqua" w:hAnsi="Book Antiqua"/>
          <w:sz w:val="20"/>
          <w:szCs w:val="20"/>
          <w:lang w:val="en-US"/>
        </w:rPr>
        <w:t xml:space="preserve">the </w:t>
      </w:r>
      <w:r w:rsidR="00312F4C" w:rsidRPr="00870653">
        <w:rPr>
          <w:rFonts w:ascii="Book Antiqua" w:hAnsi="Book Antiqua"/>
          <w:sz w:val="20"/>
          <w:szCs w:val="20"/>
          <w:lang w:val="en-US"/>
        </w:rPr>
        <w:t>Euro Area</w:t>
      </w:r>
      <w:r w:rsidR="00467DF4" w:rsidRPr="00870653">
        <w:rPr>
          <w:rFonts w:ascii="Book Antiqua" w:hAnsi="Book Antiqua"/>
          <w:sz w:val="20"/>
          <w:szCs w:val="20"/>
          <w:lang w:val="en-US"/>
        </w:rPr>
        <w:t xml:space="preserve"> and redenominate the public debt in the </w:t>
      </w:r>
      <w:r w:rsidR="00E85EE2" w:rsidRPr="00870653">
        <w:rPr>
          <w:rFonts w:ascii="Book Antiqua" w:hAnsi="Book Antiqua"/>
          <w:sz w:val="20"/>
          <w:szCs w:val="20"/>
          <w:lang w:val="en-US"/>
        </w:rPr>
        <w:t>old</w:t>
      </w:r>
      <w:r w:rsidR="00D13177" w:rsidRPr="00870653">
        <w:rPr>
          <w:rFonts w:ascii="Book Antiqua" w:hAnsi="Book Antiqua"/>
          <w:sz w:val="20"/>
          <w:szCs w:val="20"/>
          <w:lang w:val="en-US"/>
        </w:rPr>
        <w:t xml:space="preserve"> </w:t>
      </w:r>
      <w:r w:rsidR="00467DF4" w:rsidRPr="00870653">
        <w:rPr>
          <w:rFonts w:ascii="Book Antiqua" w:hAnsi="Book Antiqua"/>
          <w:sz w:val="20"/>
          <w:szCs w:val="20"/>
          <w:lang w:val="en-US"/>
        </w:rPr>
        <w:lastRenderedPageBreak/>
        <w:t>national currency to repay its nominal value at maturity and, at the same time,</w:t>
      </w:r>
      <w:r w:rsidR="008F08C8" w:rsidRPr="00870653">
        <w:rPr>
          <w:rFonts w:ascii="Book Antiqua" w:hAnsi="Book Antiqua"/>
          <w:sz w:val="20"/>
          <w:szCs w:val="20"/>
          <w:lang w:val="en-US"/>
        </w:rPr>
        <w:t xml:space="preserve"> </w:t>
      </w:r>
      <w:r w:rsidR="00467DF4" w:rsidRPr="00870653">
        <w:rPr>
          <w:rFonts w:ascii="Book Antiqua" w:hAnsi="Book Antiqua"/>
          <w:sz w:val="20"/>
          <w:szCs w:val="20"/>
          <w:lang w:val="en-US"/>
        </w:rPr>
        <w:t>hono</w:t>
      </w:r>
      <w:r w:rsidR="002B08C3" w:rsidRPr="00870653">
        <w:rPr>
          <w:rFonts w:ascii="Book Antiqua" w:hAnsi="Book Antiqua"/>
          <w:sz w:val="20"/>
          <w:szCs w:val="20"/>
          <w:lang w:val="en-US"/>
        </w:rPr>
        <w:t>u</w:t>
      </w:r>
      <w:r w:rsidR="00467DF4" w:rsidRPr="00870653">
        <w:rPr>
          <w:rFonts w:ascii="Book Antiqua" w:hAnsi="Book Antiqua"/>
          <w:sz w:val="20"/>
          <w:szCs w:val="20"/>
          <w:lang w:val="en-US"/>
        </w:rPr>
        <w:t xml:space="preserve">r the </w:t>
      </w:r>
      <w:r w:rsidR="002B08C3" w:rsidRPr="00870653">
        <w:rPr>
          <w:rFonts w:ascii="Book Antiqua" w:hAnsi="Book Antiqua"/>
          <w:sz w:val="20"/>
          <w:szCs w:val="20"/>
          <w:lang w:val="en-US"/>
        </w:rPr>
        <w:t xml:space="preserve">currents </w:t>
      </w:r>
      <w:r w:rsidR="00E85EE2" w:rsidRPr="00870653">
        <w:rPr>
          <w:rFonts w:ascii="Book Antiqua" w:hAnsi="Book Antiqua"/>
          <w:sz w:val="20"/>
          <w:szCs w:val="20"/>
          <w:lang w:val="en-US"/>
        </w:rPr>
        <w:t xml:space="preserve">interest </w:t>
      </w:r>
      <w:r w:rsidR="00467DF4" w:rsidRPr="00870653">
        <w:rPr>
          <w:rFonts w:ascii="Book Antiqua" w:hAnsi="Book Antiqua"/>
          <w:sz w:val="20"/>
          <w:szCs w:val="20"/>
          <w:lang w:val="en-US"/>
        </w:rPr>
        <w:t>payments (Cesaratto, 2015).</w:t>
      </w:r>
    </w:p>
    <w:p w14:paraId="60C83FD9" w14:textId="729DAB89" w:rsidR="002A23CC" w:rsidRDefault="002A23CC" w:rsidP="002A23CC">
      <w:pPr>
        <w:tabs>
          <w:tab w:val="left" w:pos="2268"/>
          <w:tab w:val="left" w:pos="2552"/>
        </w:tabs>
        <w:spacing w:line="360" w:lineRule="auto"/>
        <w:jc w:val="center"/>
        <w:rPr>
          <w:rFonts w:ascii="Book Antiqua" w:hAnsi="Book Antiqua"/>
          <w:sz w:val="20"/>
          <w:szCs w:val="20"/>
        </w:rPr>
      </w:pPr>
      <w:r w:rsidRPr="008139BD">
        <w:rPr>
          <w:rFonts w:cs="Times New Roman"/>
          <w:noProof/>
          <w:lang w:eastAsia="it-IT"/>
        </w:rPr>
        <w:drawing>
          <wp:inline distT="0" distB="0" distL="0" distR="0" wp14:anchorId="7074D1D8" wp14:editId="4CA33857">
            <wp:extent cx="3308400" cy="1925097"/>
            <wp:effectExtent l="0" t="0" r="635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8400" cy="1925097"/>
                    </a:xfrm>
                    <a:prstGeom prst="rect">
                      <a:avLst/>
                    </a:prstGeom>
                    <a:noFill/>
                    <a:ln>
                      <a:noFill/>
                    </a:ln>
                  </pic:spPr>
                </pic:pic>
              </a:graphicData>
            </a:graphic>
          </wp:inline>
        </w:drawing>
      </w:r>
    </w:p>
    <w:p w14:paraId="25CA8D20" w14:textId="4C4B4DB9" w:rsidR="002A23CC" w:rsidRPr="00870653" w:rsidRDefault="002A23CC" w:rsidP="00E85EE2">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Figur</w:t>
      </w:r>
      <w:r w:rsidR="001C4228" w:rsidRPr="00870653">
        <w:rPr>
          <w:rFonts w:ascii="Book Antiqua" w:hAnsi="Book Antiqua"/>
          <w:b/>
          <w:bCs/>
          <w:sz w:val="20"/>
          <w:szCs w:val="20"/>
          <w:lang w:val="en-US"/>
        </w:rPr>
        <w:t>e</w:t>
      </w:r>
      <w:r w:rsidRPr="00870653">
        <w:rPr>
          <w:rFonts w:ascii="Book Antiqua" w:hAnsi="Book Antiqua"/>
          <w:b/>
          <w:bCs/>
          <w:sz w:val="20"/>
          <w:szCs w:val="20"/>
          <w:lang w:val="en-US"/>
        </w:rPr>
        <w:t xml:space="preserve"> 4. </w:t>
      </w:r>
      <w:r w:rsidR="00A828C9" w:rsidRPr="00870653">
        <w:rPr>
          <w:rFonts w:ascii="Book Antiqua" w:hAnsi="Book Antiqua"/>
          <w:sz w:val="20"/>
          <w:szCs w:val="20"/>
          <w:lang w:val="en-US"/>
        </w:rPr>
        <w:t xml:space="preserve">Btp-Bund </w:t>
      </w:r>
      <w:r w:rsidR="00E31897">
        <w:rPr>
          <w:rFonts w:ascii="Book Antiqua" w:hAnsi="Book Antiqua"/>
          <w:sz w:val="20"/>
          <w:szCs w:val="20"/>
          <w:lang w:val="en-US"/>
        </w:rPr>
        <w:t>spread:</w:t>
      </w:r>
      <w:r w:rsidRPr="00870653">
        <w:rPr>
          <w:rFonts w:ascii="Book Antiqua" w:hAnsi="Book Antiqua"/>
          <w:sz w:val="20"/>
          <w:szCs w:val="20"/>
          <w:lang w:val="en-US"/>
        </w:rPr>
        <w:t xml:space="preserve"> period 2008-2009. </w:t>
      </w:r>
      <w:r w:rsidR="001C4228" w:rsidRPr="00870653">
        <w:rPr>
          <w:rFonts w:ascii="Book Antiqua" w:hAnsi="Book Antiqua"/>
          <w:sz w:val="20"/>
          <w:szCs w:val="20"/>
          <w:lang w:val="en-US"/>
        </w:rPr>
        <w:t>Source: authors’calculations in E</w:t>
      </w:r>
      <w:r w:rsidR="00B136CD" w:rsidRPr="00870653">
        <w:rPr>
          <w:rFonts w:ascii="Book Antiqua" w:hAnsi="Book Antiqua"/>
          <w:sz w:val="20"/>
          <w:szCs w:val="20"/>
          <w:lang w:val="en-US"/>
        </w:rPr>
        <w:t>views 11</w:t>
      </w:r>
      <w:r w:rsidR="001C4228" w:rsidRPr="00870653">
        <w:rPr>
          <w:rFonts w:ascii="Book Antiqua" w:hAnsi="Book Antiqua"/>
          <w:sz w:val="20"/>
          <w:szCs w:val="20"/>
          <w:lang w:val="en-US"/>
        </w:rPr>
        <w:t xml:space="preserve"> based on Bloomberg data.</w:t>
      </w:r>
    </w:p>
    <w:p w14:paraId="3B843486" w14:textId="0D1E928E" w:rsidR="002A23CC" w:rsidRDefault="002A23CC" w:rsidP="002A23CC">
      <w:pPr>
        <w:tabs>
          <w:tab w:val="left" w:pos="2268"/>
          <w:tab w:val="left" w:pos="2552"/>
        </w:tabs>
        <w:spacing w:line="360" w:lineRule="auto"/>
        <w:jc w:val="center"/>
        <w:rPr>
          <w:rFonts w:ascii="Book Antiqua" w:hAnsi="Book Antiqua"/>
          <w:sz w:val="20"/>
          <w:szCs w:val="20"/>
        </w:rPr>
      </w:pPr>
      <w:r w:rsidRPr="0054567B">
        <w:rPr>
          <w:rFonts w:cs="Times New Roman"/>
          <w:noProof/>
          <w:lang w:eastAsia="it-IT"/>
        </w:rPr>
        <w:drawing>
          <wp:inline distT="0" distB="0" distL="0" distR="0" wp14:anchorId="4B49C3CF" wp14:editId="67E9C519">
            <wp:extent cx="3308400" cy="1938606"/>
            <wp:effectExtent l="0" t="0" r="6350" b="508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8400" cy="1938606"/>
                    </a:xfrm>
                    <a:prstGeom prst="rect">
                      <a:avLst/>
                    </a:prstGeom>
                    <a:noFill/>
                    <a:ln>
                      <a:noFill/>
                    </a:ln>
                  </pic:spPr>
                </pic:pic>
              </a:graphicData>
            </a:graphic>
          </wp:inline>
        </w:drawing>
      </w:r>
    </w:p>
    <w:p w14:paraId="68E90C07" w14:textId="16F48F34" w:rsidR="002A23CC" w:rsidRPr="00870653" w:rsidRDefault="002A23CC" w:rsidP="00E85EE2">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Figur</w:t>
      </w:r>
      <w:r w:rsidR="001C4228" w:rsidRPr="00870653">
        <w:rPr>
          <w:rFonts w:ascii="Book Antiqua" w:hAnsi="Book Antiqua"/>
          <w:b/>
          <w:bCs/>
          <w:sz w:val="20"/>
          <w:szCs w:val="20"/>
          <w:lang w:val="en-US"/>
        </w:rPr>
        <w:t>e</w:t>
      </w:r>
      <w:r w:rsidRPr="00870653">
        <w:rPr>
          <w:rFonts w:ascii="Book Antiqua" w:hAnsi="Book Antiqua"/>
          <w:b/>
          <w:bCs/>
          <w:sz w:val="20"/>
          <w:szCs w:val="20"/>
          <w:lang w:val="en-US"/>
        </w:rPr>
        <w:t xml:space="preserve"> </w:t>
      </w:r>
      <w:r w:rsidR="001C4228" w:rsidRPr="00870653">
        <w:rPr>
          <w:rFonts w:ascii="Book Antiqua" w:hAnsi="Book Antiqua"/>
          <w:b/>
          <w:bCs/>
          <w:sz w:val="20"/>
          <w:szCs w:val="20"/>
          <w:lang w:val="en-US"/>
        </w:rPr>
        <w:t>5</w:t>
      </w:r>
      <w:r w:rsidRPr="00870653">
        <w:rPr>
          <w:rFonts w:ascii="Book Antiqua" w:hAnsi="Book Antiqua"/>
          <w:b/>
          <w:bCs/>
          <w:sz w:val="20"/>
          <w:szCs w:val="20"/>
          <w:lang w:val="en-US"/>
        </w:rPr>
        <w:t>.</w:t>
      </w:r>
      <w:r w:rsidR="001C4228" w:rsidRPr="00870653">
        <w:rPr>
          <w:rFonts w:ascii="Book Antiqua" w:hAnsi="Book Antiqua"/>
          <w:b/>
          <w:bCs/>
          <w:sz w:val="20"/>
          <w:szCs w:val="20"/>
          <w:lang w:val="en-US"/>
        </w:rPr>
        <w:t xml:space="preserve"> </w:t>
      </w:r>
      <w:r w:rsidR="001C4228" w:rsidRPr="00870653">
        <w:rPr>
          <w:rFonts w:ascii="Book Antiqua" w:hAnsi="Book Antiqua"/>
          <w:sz w:val="20"/>
          <w:szCs w:val="20"/>
          <w:lang w:val="en-US"/>
        </w:rPr>
        <w:t>Redenomination risk</w:t>
      </w:r>
      <w:r w:rsidRPr="00870653">
        <w:rPr>
          <w:rFonts w:ascii="Book Antiqua" w:hAnsi="Book Antiqua"/>
          <w:sz w:val="20"/>
          <w:szCs w:val="20"/>
          <w:lang w:val="en-US"/>
        </w:rPr>
        <w:t xml:space="preserve">: period 2008-2009. </w:t>
      </w:r>
      <w:r w:rsidR="001C4228" w:rsidRPr="00870653">
        <w:rPr>
          <w:rFonts w:ascii="Book Antiqua" w:hAnsi="Book Antiqua"/>
          <w:sz w:val="20"/>
          <w:szCs w:val="20"/>
          <w:lang w:val="en-US"/>
        </w:rPr>
        <w:t>Source: authors’calculations in E</w:t>
      </w:r>
      <w:r w:rsidR="00B136CD" w:rsidRPr="00870653">
        <w:rPr>
          <w:rFonts w:ascii="Book Antiqua" w:hAnsi="Book Antiqua"/>
          <w:sz w:val="20"/>
          <w:szCs w:val="20"/>
          <w:lang w:val="en-US"/>
        </w:rPr>
        <w:t>views 11</w:t>
      </w:r>
      <w:r w:rsidR="001C4228" w:rsidRPr="00870653">
        <w:rPr>
          <w:rFonts w:ascii="Book Antiqua" w:hAnsi="Book Antiqua"/>
          <w:sz w:val="20"/>
          <w:szCs w:val="20"/>
          <w:lang w:val="en-US"/>
        </w:rPr>
        <w:t xml:space="preserve"> based on Bloomberg data.</w:t>
      </w:r>
    </w:p>
    <w:p w14:paraId="0062254E" w14:textId="24972E43" w:rsidR="00FD42A4" w:rsidRPr="00870653" w:rsidRDefault="008F08C8" w:rsidP="002A23CC">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Fears </w:t>
      </w:r>
      <w:r w:rsidR="00AE3679" w:rsidRPr="00870653">
        <w:rPr>
          <w:rFonts w:ascii="Book Antiqua" w:hAnsi="Book Antiqua"/>
          <w:sz w:val="20"/>
          <w:szCs w:val="20"/>
          <w:lang w:val="en-US"/>
        </w:rPr>
        <w:t>about the reversibility of the E</w:t>
      </w:r>
      <w:r w:rsidRPr="00870653">
        <w:rPr>
          <w:rFonts w:ascii="Book Antiqua" w:hAnsi="Book Antiqua"/>
          <w:sz w:val="20"/>
          <w:szCs w:val="20"/>
          <w:lang w:val="en-US"/>
        </w:rPr>
        <w:t xml:space="preserve">urozone </w:t>
      </w:r>
      <w:r w:rsidR="00A7114A" w:rsidRPr="00870653">
        <w:rPr>
          <w:rFonts w:ascii="Book Antiqua" w:hAnsi="Book Antiqua"/>
          <w:sz w:val="20"/>
          <w:szCs w:val="20"/>
          <w:lang w:val="en-US"/>
        </w:rPr>
        <w:t>were</w:t>
      </w:r>
      <w:r w:rsidRPr="00870653">
        <w:rPr>
          <w:rFonts w:ascii="Book Antiqua" w:hAnsi="Book Antiqua"/>
          <w:sz w:val="20"/>
          <w:szCs w:val="20"/>
          <w:lang w:val="en-US"/>
        </w:rPr>
        <w:t xml:space="preserve"> then contained in 2012 thanks to the Mario Draghi’s "Corageous Leap" speech in May 2012 and the "Whatever it takes" speech in July of the same year. Finally, the introduction of OMT</w:t>
      </w:r>
      <w:r w:rsidR="00A25AFD">
        <w:rPr>
          <w:rStyle w:val="Rimandonotaapidipagina"/>
          <w:rFonts w:ascii="Book Antiqua" w:hAnsi="Book Antiqua"/>
          <w:sz w:val="20"/>
          <w:szCs w:val="20"/>
        </w:rPr>
        <w:footnoteReference w:id="11"/>
      </w:r>
      <w:r w:rsidRPr="00870653">
        <w:rPr>
          <w:rFonts w:ascii="Book Antiqua" w:hAnsi="Book Antiqua"/>
          <w:sz w:val="20"/>
          <w:szCs w:val="20"/>
          <w:lang w:val="en-US"/>
        </w:rPr>
        <w:t xml:space="preserve"> (Outright Monetary Transactions) favored a gradual reduction of spreads and so</w:t>
      </w:r>
      <w:r w:rsidR="00AE3679" w:rsidRPr="00870653">
        <w:rPr>
          <w:rFonts w:ascii="Book Antiqua" w:hAnsi="Book Antiqua"/>
          <w:sz w:val="20"/>
          <w:szCs w:val="20"/>
          <w:lang w:val="en-US"/>
        </w:rPr>
        <w:t xml:space="preserve">vereign risk in the </w:t>
      </w:r>
      <w:r w:rsidR="00312F4C" w:rsidRPr="00870653">
        <w:rPr>
          <w:rFonts w:ascii="Book Antiqua" w:hAnsi="Book Antiqua"/>
          <w:sz w:val="20"/>
          <w:szCs w:val="20"/>
          <w:lang w:val="en-US"/>
        </w:rPr>
        <w:t>Euro Area</w:t>
      </w:r>
      <w:r w:rsidR="00A25AFD" w:rsidRPr="00870653">
        <w:rPr>
          <w:rFonts w:ascii="Book Antiqua" w:hAnsi="Book Antiqua"/>
          <w:sz w:val="20"/>
          <w:szCs w:val="20"/>
          <w:lang w:val="en-US"/>
        </w:rPr>
        <w:t xml:space="preserve"> (Li and Zinna, 2014)</w:t>
      </w:r>
      <w:r w:rsidRPr="00870653">
        <w:rPr>
          <w:rFonts w:ascii="Book Antiqua" w:hAnsi="Book Antiqua"/>
          <w:sz w:val="20"/>
          <w:szCs w:val="20"/>
          <w:lang w:val="en-US"/>
        </w:rPr>
        <w:t>.</w:t>
      </w:r>
    </w:p>
    <w:p w14:paraId="7BC762DA" w14:textId="043C23A3" w:rsidR="00392602" w:rsidRPr="00870653" w:rsidRDefault="00392602" w:rsidP="00392602">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In the following years characterized by the launch </w:t>
      </w:r>
      <w:r w:rsidR="00F13420" w:rsidRPr="00870653">
        <w:rPr>
          <w:rFonts w:ascii="Book Antiqua" w:hAnsi="Book Antiqua"/>
          <w:sz w:val="20"/>
          <w:szCs w:val="20"/>
          <w:lang w:val="en-US"/>
        </w:rPr>
        <w:t xml:space="preserve">in March 2015 </w:t>
      </w:r>
      <w:r w:rsidRPr="00870653">
        <w:rPr>
          <w:rFonts w:ascii="Book Antiqua" w:hAnsi="Book Antiqua"/>
          <w:sz w:val="20"/>
          <w:szCs w:val="20"/>
          <w:lang w:val="en-US"/>
        </w:rPr>
        <w:t xml:space="preserve">of </w:t>
      </w:r>
      <w:r w:rsidR="00605CDB" w:rsidRPr="00870653">
        <w:rPr>
          <w:rFonts w:ascii="Book Antiqua" w:hAnsi="Book Antiqua"/>
          <w:sz w:val="20"/>
          <w:szCs w:val="20"/>
          <w:lang w:val="en-US"/>
        </w:rPr>
        <w:t>QE (Q</w:t>
      </w:r>
      <w:r w:rsidRPr="00870653">
        <w:rPr>
          <w:rFonts w:ascii="Book Antiqua" w:hAnsi="Book Antiqua"/>
          <w:sz w:val="20"/>
          <w:szCs w:val="20"/>
          <w:lang w:val="en-US"/>
        </w:rPr>
        <w:t xml:space="preserve">uantitative </w:t>
      </w:r>
      <w:r w:rsidR="00605CDB" w:rsidRPr="00870653">
        <w:rPr>
          <w:rFonts w:ascii="Book Antiqua" w:hAnsi="Book Antiqua"/>
          <w:sz w:val="20"/>
          <w:szCs w:val="20"/>
          <w:lang w:val="en-US"/>
        </w:rPr>
        <w:t>E</w:t>
      </w:r>
      <w:r w:rsidRPr="00870653">
        <w:rPr>
          <w:rFonts w:ascii="Book Antiqua" w:hAnsi="Book Antiqua"/>
          <w:sz w:val="20"/>
          <w:szCs w:val="20"/>
          <w:lang w:val="en-US"/>
        </w:rPr>
        <w:t>asing</w:t>
      </w:r>
      <w:r w:rsidR="00605CDB" w:rsidRPr="00870653">
        <w:rPr>
          <w:rFonts w:ascii="Book Antiqua" w:hAnsi="Book Antiqua"/>
          <w:sz w:val="20"/>
          <w:szCs w:val="20"/>
          <w:lang w:val="en-US"/>
        </w:rPr>
        <w:t>)</w:t>
      </w:r>
      <w:r w:rsidR="00F13420" w:rsidRPr="001623AC">
        <w:rPr>
          <w:rFonts w:cs="Times New Roman"/>
          <w:vertAlign w:val="superscript"/>
        </w:rPr>
        <w:footnoteReference w:id="12"/>
      </w:r>
      <w:r w:rsidRPr="00870653">
        <w:rPr>
          <w:rFonts w:ascii="Book Antiqua" w:hAnsi="Book Antiqua"/>
          <w:sz w:val="20"/>
          <w:szCs w:val="20"/>
          <w:lang w:val="en-US"/>
        </w:rPr>
        <w:t xml:space="preserve"> by the ECB</w:t>
      </w:r>
      <w:r w:rsidR="00605CDB" w:rsidRPr="00870653">
        <w:rPr>
          <w:rFonts w:ascii="Book Antiqua" w:hAnsi="Book Antiqua"/>
          <w:sz w:val="20"/>
          <w:szCs w:val="20"/>
          <w:lang w:val="en-US"/>
        </w:rPr>
        <w:t xml:space="preserve"> (European Central Bank)</w:t>
      </w:r>
      <w:r w:rsidRPr="00870653">
        <w:rPr>
          <w:rFonts w:ascii="Book Antiqua" w:hAnsi="Book Antiqua"/>
          <w:sz w:val="20"/>
          <w:szCs w:val="20"/>
          <w:lang w:val="en-US"/>
        </w:rPr>
        <w:t xml:space="preserve">, sovereign risk and redenomination risk played a more </w:t>
      </w:r>
      <w:r w:rsidR="00F13420" w:rsidRPr="00870653">
        <w:rPr>
          <w:rFonts w:ascii="Book Antiqua" w:hAnsi="Book Antiqua"/>
          <w:sz w:val="20"/>
          <w:szCs w:val="20"/>
          <w:lang w:val="en-US"/>
        </w:rPr>
        <w:t xml:space="preserve">restrained </w:t>
      </w:r>
      <w:r w:rsidRPr="00870653">
        <w:rPr>
          <w:rFonts w:ascii="Book Antiqua" w:hAnsi="Book Antiqua"/>
          <w:sz w:val="20"/>
          <w:szCs w:val="20"/>
          <w:lang w:val="en-US"/>
        </w:rPr>
        <w:t>role in the price discovery process of CDS spreads.</w:t>
      </w:r>
    </w:p>
    <w:p w14:paraId="050601B6" w14:textId="17ACF279" w:rsidR="00392602" w:rsidRPr="00870653" w:rsidRDefault="00392602" w:rsidP="00392602">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lastRenderedPageBreak/>
        <w:t>However, the apparent stability on the markets was interrupted due to the referendum on Brexit, an event in which</w:t>
      </w:r>
      <w:r w:rsidR="00F13420" w:rsidRPr="00870653">
        <w:rPr>
          <w:rFonts w:ascii="Book Antiqua" w:hAnsi="Book Antiqua"/>
          <w:sz w:val="20"/>
          <w:szCs w:val="20"/>
          <w:lang w:val="en-US"/>
        </w:rPr>
        <w:t>,</w:t>
      </w:r>
      <w:r w:rsidRPr="00870653">
        <w:rPr>
          <w:rFonts w:ascii="Book Antiqua" w:hAnsi="Book Antiqua"/>
          <w:sz w:val="20"/>
          <w:szCs w:val="20"/>
          <w:lang w:val="en-US"/>
        </w:rPr>
        <w:t xml:space="preserve"> in quantitative terms, both components had a strong impact on the varia</w:t>
      </w:r>
      <w:r w:rsidR="00F13420" w:rsidRPr="00870653">
        <w:rPr>
          <w:rFonts w:ascii="Book Antiqua" w:hAnsi="Book Antiqua"/>
          <w:sz w:val="20"/>
          <w:szCs w:val="20"/>
          <w:lang w:val="en-US"/>
        </w:rPr>
        <w:t>nce</w:t>
      </w:r>
      <w:r w:rsidRPr="00870653">
        <w:rPr>
          <w:rFonts w:ascii="Book Antiqua" w:hAnsi="Book Antiqua"/>
          <w:sz w:val="20"/>
          <w:szCs w:val="20"/>
          <w:lang w:val="en-US"/>
        </w:rPr>
        <w:t xml:space="preserve"> of the</w:t>
      </w:r>
      <w:r w:rsidR="00F13420" w:rsidRPr="00870653">
        <w:rPr>
          <w:rFonts w:ascii="Book Antiqua" w:hAnsi="Book Antiqua"/>
          <w:sz w:val="20"/>
          <w:szCs w:val="20"/>
          <w:lang w:val="en-US"/>
        </w:rPr>
        <w:t xml:space="preserve"> </w:t>
      </w:r>
      <w:r w:rsidR="00E64AF1" w:rsidRPr="00870653">
        <w:rPr>
          <w:rFonts w:ascii="Book Antiqua" w:hAnsi="Book Antiqua"/>
          <w:sz w:val="20"/>
          <w:szCs w:val="20"/>
          <w:lang w:val="en-US"/>
        </w:rPr>
        <w:t>Italian</w:t>
      </w:r>
      <w:r w:rsidR="00F13420" w:rsidRPr="00870653">
        <w:rPr>
          <w:rFonts w:ascii="Book Antiqua" w:hAnsi="Book Antiqua"/>
          <w:sz w:val="20"/>
          <w:szCs w:val="20"/>
          <w:lang w:val="en-US"/>
        </w:rPr>
        <w:t xml:space="preserve"> banks’</w:t>
      </w:r>
      <w:r w:rsidRPr="00870653">
        <w:rPr>
          <w:rFonts w:ascii="Book Antiqua" w:hAnsi="Book Antiqua"/>
          <w:sz w:val="20"/>
          <w:szCs w:val="20"/>
          <w:lang w:val="en-US"/>
        </w:rPr>
        <w:t xml:space="preserve"> CDS spreads. This event caused</w:t>
      </w:r>
      <w:r w:rsidR="00F13420" w:rsidRPr="00870653">
        <w:rPr>
          <w:rFonts w:ascii="Book Antiqua" w:hAnsi="Book Antiqua"/>
          <w:sz w:val="20"/>
          <w:szCs w:val="20"/>
          <w:lang w:val="en-US"/>
        </w:rPr>
        <w:t xml:space="preserve"> systemic strain</w:t>
      </w:r>
      <w:r w:rsidRPr="00870653">
        <w:rPr>
          <w:rFonts w:ascii="Book Antiqua" w:hAnsi="Book Antiqua"/>
          <w:sz w:val="20"/>
          <w:szCs w:val="20"/>
          <w:lang w:val="en-US"/>
        </w:rPr>
        <w:t xml:space="preserve"> in the markets</w:t>
      </w:r>
      <w:r w:rsidR="00F13420" w:rsidRPr="00870653">
        <w:rPr>
          <w:rFonts w:ascii="Book Antiqua" w:hAnsi="Book Antiqua"/>
          <w:sz w:val="20"/>
          <w:szCs w:val="20"/>
          <w:lang w:val="en-US"/>
        </w:rPr>
        <w:t xml:space="preserve">: observing </w:t>
      </w:r>
      <w:r w:rsidRPr="00870653">
        <w:rPr>
          <w:rFonts w:ascii="Book Antiqua" w:hAnsi="Book Antiqua"/>
          <w:sz w:val="20"/>
          <w:szCs w:val="20"/>
          <w:lang w:val="en-US"/>
        </w:rPr>
        <w:t>Italy, the spread started to rise again and the</w:t>
      </w:r>
      <w:r w:rsidR="00F13420" w:rsidRPr="00870653">
        <w:rPr>
          <w:rFonts w:ascii="Book Antiqua" w:hAnsi="Book Antiqua"/>
          <w:sz w:val="20"/>
          <w:szCs w:val="20"/>
          <w:lang w:val="en-US"/>
        </w:rPr>
        <w:t xml:space="preserve"> redenomination</w:t>
      </w:r>
      <w:r w:rsidRPr="00870653">
        <w:rPr>
          <w:rFonts w:ascii="Book Antiqua" w:hAnsi="Book Antiqua"/>
          <w:sz w:val="20"/>
          <w:szCs w:val="20"/>
          <w:lang w:val="en-US"/>
        </w:rPr>
        <w:t xml:space="preserve"> risk perceived by the markets</w:t>
      </w:r>
      <w:r w:rsidR="00354658" w:rsidRPr="00870653">
        <w:rPr>
          <w:rFonts w:ascii="Book Antiqua" w:hAnsi="Book Antiqua"/>
          <w:sz w:val="20"/>
          <w:szCs w:val="20"/>
          <w:lang w:val="en-US"/>
        </w:rPr>
        <w:t xml:space="preserve"> significantly</w:t>
      </w:r>
      <w:r w:rsidRPr="00870653">
        <w:rPr>
          <w:rFonts w:ascii="Book Antiqua" w:hAnsi="Book Antiqua"/>
          <w:sz w:val="20"/>
          <w:szCs w:val="20"/>
          <w:lang w:val="en-US"/>
        </w:rPr>
        <w:t xml:space="preserve"> gr</w:t>
      </w:r>
      <w:r w:rsidR="00354658" w:rsidRPr="00870653">
        <w:rPr>
          <w:rFonts w:ascii="Book Antiqua" w:hAnsi="Book Antiqua"/>
          <w:sz w:val="20"/>
          <w:szCs w:val="20"/>
          <w:lang w:val="en-US"/>
        </w:rPr>
        <w:t>e</w:t>
      </w:r>
      <w:r w:rsidRPr="00870653">
        <w:rPr>
          <w:rFonts w:ascii="Book Antiqua" w:hAnsi="Book Antiqua"/>
          <w:sz w:val="20"/>
          <w:szCs w:val="20"/>
          <w:lang w:val="en-US"/>
        </w:rPr>
        <w:t>w compared to 2015.</w:t>
      </w:r>
    </w:p>
    <w:p w14:paraId="7401D6DA" w14:textId="4645B0F6" w:rsidR="00F13420" w:rsidRPr="00870653" w:rsidRDefault="000575F5" w:rsidP="00392602">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The Brexit problem, as said by the Governor of the Bank of Italy Visco (2016), is linked to the prolonged uncertainty that the event generated in the </w:t>
      </w:r>
      <w:r w:rsidR="00E64AF1" w:rsidRPr="00870653">
        <w:rPr>
          <w:rFonts w:ascii="Book Antiqua" w:hAnsi="Book Antiqua"/>
          <w:sz w:val="20"/>
          <w:szCs w:val="20"/>
          <w:lang w:val="en-US"/>
        </w:rPr>
        <w:t>European</w:t>
      </w:r>
      <w:r w:rsidRPr="00870653">
        <w:rPr>
          <w:rFonts w:ascii="Book Antiqua" w:hAnsi="Book Antiqua"/>
          <w:sz w:val="20"/>
          <w:szCs w:val="20"/>
          <w:lang w:val="en-US"/>
        </w:rPr>
        <w:t xml:space="preserve"> Union, which had consequences on the financial markets. In the case of Italy, it was not so much the commercial aspect that generated the redenomination risk (Italy is not very integrated from the commercial point of view with the United Kingdom such as Luxembourg, Ireland, Germany or France, which maintain close commercial and financial relationships), as well as the political situation. The perceived risk was what the Minister of Economy and Finance Padoan defined as the risk of "political emulation"</w:t>
      </w:r>
      <w:r w:rsidR="0056277F" w:rsidRPr="00870653">
        <w:rPr>
          <w:rFonts w:ascii="Book Antiqua" w:hAnsi="Book Antiqua"/>
          <w:sz w:val="20"/>
          <w:szCs w:val="20"/>
          <w:lang w:val="en-US"/>
        </w:rPr>
        <w:t>, as to say,</w:t>
      </w:r>
      <w:r w:rsidR="00A87724" w:rsidRPr="00870653">
        <w:rPr>
          <w:rFonts w:ascii="Book Antiqua" w:hAnsi="Book Antiqua"/>
          <w:sz w:val="20"/>
          <w:szCs w:val="20"/>
          <w:lang w:val="en-US"/>
        </w:rPr>
        <w:t xml:space="preserve"> </w:t>
      </w:r>
      <w:r w:rsidRPr="00870653">
        <w:rPr>
          <w:rFonts w:ascii="Book Antiqua" w:hAnsi="Book Antiqua"/>
          <w:sz w:val="20"/>
          <w:szCs w:val="20"/>
          <w:lang w:val="en-US"/>
        </w:rPr>
        <w:t>the risk that</w:t>
      </w:r>
      <w:r w:rsidR="00F97B0B" w:rsidRPr="00870653">
        <w:rPr>
          <w:rFonts w:ascii="Book Antiqua" w:hAnsi="Book Antiqua"/>
          <w:sz w:val="20"/>
          <w:szCs w:val="20"/>
          <w:lang w:val="en-US"/>
        </w:rPr>
        <w:t xml:space="preserve"> also in Italy</w:t>
      </w:r>
      <w:r w:rsidRPr="00870653">
        <w:rPr>
          <w:rFonts w:ascii="Book Antiqua" w:hAnsi="Book Antiqua"/>
          <w:sz w:val="20"/>
          <w:szCs w:val="20"/>
          <w:lang w:val="en-US"/>
        </w:rPr>
        <w:t xml:space="preserve"> could form political currents in favour of leaving the EU</w:t>
      </w:r>
      <w:r w:rsidR="00187188" w:rsidRPr="00870653">
        <w:rPr>
          <w:rFonts w:ascii="Book Antiqua" w:hAnsi="Book Antiqua"/>
          <w:sz w:val="20"/>
          <w:szCs w:val="20"/>
          <w:lang w:val="en-US"/>
        </w:rPr>
        <w:t xml:space="preserve"> (European Union)</w:t>
      </w:r>
      <w:r w:rsidRPr="00870653">
        <w:rPr>
          <w:rFonts w:ascii="Book Antiqua" w:hAnsi="Book Antiqua"/>
          <w:sz w:val="20"/>
          <w:szCs w:val="20"/>
          <w:lang w:val="en-US"/>
        </w:rPr>
        <w:t>,</w:t>
      </w:r>
      <w:r w:rsidR="00586E15" w:rsidRPr="00870653">
        <w:rPr>
          <w:rFonts w:ascii="Book Antiqua" w:hAnsi="Book Antiqua"/>
          <w:sz w:val="20"/>
          <w:szCs w:val="20"/>
          <w:lang w:val="en-US"/>
        </w:rPr>
        <w:t xml:space="preserve"> following</w:t>
      </w:r>
      <w:r w:rsidRPr="00870653">
        <w:rPr>
          <w:rFonts w:ascii="Book Antiqua" w:hAnsi="Book Antiqua"/>
          <w:sz w:val="20"/>
          <w:szCs w:val="20"/>
          <w:lang w:val="en-US"/>
        </w:rPr>
        <w:t xml:space="preserve"> the experience of the United Kingdom (Bricco et al., 2016).</w:t>
      </w:r>
    </w:p>
    <w:p w14:paraId="30DCBEE1" w14:textId="17AFB90F" w:rsidR="002A23CC" w:rsidRPr="00870653" w:rsidRDefault="005D2A54" w:rsidP="00A62F32">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I</w:t>
      </w:r>
      <w:r w:rsidR="001C1CD0" w:rsidRPr="00870653">
        <w:rPr>
          <w:rFonts w:ascii="Book Antiqua" w:hAnsi="Book Antiqua"/>
          <w:sz w:val="20"/>
          <w:szCs w:val="20"/>
          <w:lang w:val="en-US"/>
        </w:rPr>
        <w:t xml:space="preserve">n </w:t>
      </w:r>
      <w:r w:rsidRPr="00870653">
        <w:rPr>
          <w:rFonts w:ascii="Book Antiqua" w:hAnsi="Book Antiqua"/>
          <w:sz w:val="20"/>
          <w:szCs w:val="20"/>
          <w:lang w:val="en-US"/>
        </w:rPr>
        <w:t xml:space="preserve">the wake of </w:t>
      </w:r>
      <w:r w:rsidR="001C1CD0" w:rsidRPr="00870653">
        <w:rPr>
          <w:rFonts w:ascii="Book Antiqua" w:hAnsi="Book Antiqua"/>
          <w:sz w:val="20"/>
          <w:szCs w:val="20"/>
          <w:lang w:val="en-US"/>
        </w:rPr>
        <w:t>the underlying political idea of the Brexit</w:t>
      </w:r>
      <w:r w:rsidRPr="00870653">
        <w:rPr>
          <w:rFonts w:ascii="Book Antiqua" w:hAnsi="Book Antiqua"/>
          <w:sz w:val="20"/>
          <w:szCs w:val="20"/>
          <w:lang w:val="en-US"/>
        </w:rPr>
        <w:t>,</w:t>
      </w:r>
      <w:r w:rsidR="001C1CD0" w:rsidRPr="00870653">
        <w:rPr>
          <w:rFonts w:ascii="Book Antiqua" w:hAnsi="Book Antiqua"/>
          <w:sz w:val="20"/>
          <w:szCs w:val="20"/>
          <w:lang w:val="en-US"/>
        </w:rPr>
        <w:t xml:space="preserve"> a pro-deficit government coalition, supported by populist parties, ha</w:t>
      </w:r>
      <w:r w:rsidRPr="00870653">
        <w:rPr>
          <w:rFonts w:ascii="Book Antiqua" w:hAnsi="Book Antiqua"/>
          <w:sz w:val="20"/>
          <w:szCs w:val="20"/>
          <w:lang w:val="en-US"/>
        </w:rPr>
        <w:t>s</w:t>
      </w:r>
      <w:r w:rsidR="001C1CD0" w:rsidRPr="00870653">
        <w:rPr>
          <w:rFonts w:ascii="Book Antiqua" w:hAnsi="Book Antiqua"/>
          <w:sz w:val="20"/>
          <w:szCs w:val="20"/>
          <w:lang w:val="en-US"/>
        </w:rPr>
        <w:t xml:space="preserve"> formed in Italy</w:t>
      </w:r>
      <w:r w:rsidRPr="00870653">
        <w:rPr>
          <w:rFonts w:ascii="Book Antiqua" w:hAnsi="Book Antiqua"/>
          <w:sz w:val="20"/>
          <w:szCs w:val="20"/>
          <w:lang w:val="en-US"/>
        </w:rPr>
        <w:t xml:space="preserve"> in March 2018</w:t>
      </w:r>
      <w:r w:rsidR="001C1CD0" w:rsidRPr="00870653">
        <w:rPr>
          <w:rFonts w:ascii="Book Antiqua" w:hAnsi="Book Antiqua"/>
          <w:sz w:val="20"/>
          <w:szCs w:val="20"/>
          <w:lang w:val="en-US"/>
        </w:rPr>
        <w:t xml:space="preserve">. During the anti-establishment government, the redenomination risk component assumed the role of the main driver of the variance of the CDS spreads of </w:t>
      </w:r>
      <w:r w:rsidR="00E64AF1" w:rsidRPr="00870653">
        <w:rPr>
          <w:rFonts w:ascii="Book Antiqua" w:hAnsi="Book Antiqua"/>
          <w:sz w:val="20"/>
          <w:szCs w:val="20"/>
          <w:lang w:val="en-US"/>
        </w:rPr>
        <w:t>Italian</w:t>
      </w:r>
      <w:r w:rsidR="001C1CD0" w:rsidRPr="00870653">
        <w:rPr>
          <w:rFonts w:ascii="Book Antiqua" w:hAnsi="Book Antiqua"/>
          <w:sz w:val="20"/>
          <w:szCs w:val="20"/>
          <w:lang w:val="en-US"/>
        </w:rPr>
        <w:t xml:space="preserve"> banks, the sovereign risk component assumed a lower weight. However, an interesting aspect to analyze is that</w:t>
      </w:r>
      <w:r w:rsidR="005C00E0" w:rsidRPr="00870653">
        <w:rPr>
          <w:rFonts w:ascii="Book Antiqua" w:hAnsi="Book Antiqua"/>
          <w:sz w:val="20"/>
          <w:szCs w:val="20"/>
          <w:lang w:val="en-US"/>
        </w:rPr>
        <w:t xml:space="preserve"> </w:t>
      </w:r>
      <w:r w:rsidR="001C1CD0" w:rsidRPr="00870653">
        <w:rPr>
          <w:rFonts w:ascii="Book Antiqua" w:hAnsi="Book Antiqua"/>
          <w:sz w:val="20"/>
          <w:szCs w:val="20"/>
          <w:lang w:val="en-US"/>
        </w:rPr>
        <w:t>towards the end of 2018, while interest rates on government bonds acr</w:t>
      </w:r>
      <w:r w:rsidR="00AE3679" w:rsidRPr="00870653">
        <w:rPr>
          <w:rFonts w:ascii="Book Antiqua" w:hAnsi="Book Antiqua"/>
          <w:sz w:val="20"/>
          <w:szCs w:val="20"/>
          <w:lang w:val="en-US"/>
        </w:rPr>
        <w:t>oss the E</w:t>
      </w:r>
      <w:r w:rsidR="001C1CD0" w:rsidRPr="00870653">
        <w:rPr>
          <w:rFonts w:ascii="Book Antiqua" w:hAnsi="Book Antiqua"/>
          <w:sz w:val="20"/>
          <w:szCs w:val="20"/>
          <w:lang w:val="en-US"/>
        </w:rPr>
        <w:t xml:space="preserve">urozone generally decreased, in Italy it </w:t>
      </w:r>
      <w:r w:rsidR="00E31897">
        <w:rPr>
          <w:rFonts w:ascii="Book Antiqua" w:hAnsi="Book Antiqua"/>
          <w:sz w:val="20"/>
          <w:szCs w:val="20"/>
          <w:lang w:val="en-US"/>
        </w:rPr>
        <w:t xml:space="preserve">was </w:t>
      </w:r>
      <w:r w:rsidR="001C1CD0" w:rsidRPr="00870653">
        <w:rPr>
          <w:rFonts w:ascii="Book Antiqua" w:hAnsi="Book Antiqua"/>
          <w:sz w:val="20"/>
          <w:szCs w:val="20"/>
          <w:lang w:val="en-US"/>
        </w:rPr>
        <w:t>the redenomination risk perceived by the markets that caused the increase of the BTP-Bund spread</w:t>
      </w:r>
      <w:r w:rsidR="0013341C" w:rsidRPr="00870653">
        <w:rPr>
          <w:rFonts w:ascii="Book Antiqua" w:hAnsi="Book Antiqua"/>
          <w:sz w:val="20"/>
          <w:szCs w:val="20"/>
          <w:lang w:val="en-US"/>
        </w:rPr>
        <w:t>s</w:t>
      </w:r>
      <w:r w:rsidR="001C1CD0" w:rsidRPr="00870653">
        <w:rPr>
          <w:rFonts w:ascii="Book Antiqua" w:hAnsi="Book Antiqua"/>
          <w:sz w:val="20"/>
          <w:szCs w:val="20"/>
          <w:lang w:val="en-US"/>
        </w:rPr>
        <w:t xml:space="preserve"> (Gros, 2018).</w:t>
      </w:r>
      <w:r w:rsidR="001C1CD0" w:rsidRPr="00870653">
        <w:rPr>
          <w:lang w:val="en-US"/>
        </w:rPr>
        <w:t xml:space="preserve"> </w:t>
      </w:r>
      <w:r w:rsidR="001C1CD0" w:rsidRPr="00870653">
        <w:rPr>
          <w:rFonts w:ascii="Book Antiqua" w:hAnsi="Book Antiqua"/>
          <w:sz w:val="20"/>
          <w:szCs w:val="20"/>
          <w:lang w:val="en-US"/>
        </w:rPr>
        <w:t xml:space="preserve">As can be seen in Figure </w:t>
      </w:r>
      <w:r w:rsidR="00A828C9" w:rsidRPr="00870653">
        <w:rPr>
          <w:rFonts w:ascii="Book Antiqua" w:hAnsi="Book Antiqua"/>
          <w:sz w:val="20"/>
          <w:szCs w:val="20"/>
          <w:lang w:val="en-US"/>
        </w:rPr>
        <w:t>6</w:t>
      </w:r>
      <w:r w:rsidR="001C1CD0" w:rsidRPr="00870653">
        <w:rPr>
          <w:rFonts w:ascii="Book Antiqua" w:hAnsi="Book Antiqua"/>
          <w:sz w:val="20"/>
          <w:szCs w:val="20"/>
          <w:lang w:val="en-US"/>
        </w:rPr>
        <w:t xml:space="preserve">, starting from mid-2018 the CDS contracts signed under the 2014 </w:t>
      </w:r>
      <w:r w:rsidR="008E19BC" w:rsidRPr="00870653">
        <w:rPr>
          <w:rFonts w:ascii="Book Antiqua" w:hAnsi="Book Antiqua"/>
          <w:sz w:val="20"/>
          <w:szCs w:val="20"/>
          <w:lang w:val="en-US"/>
        </w:rPr>
        <w:t>d</w:t>
      </w:r>
      <w:r w:rsidR="001C1CD0" w:rsidRPr="00870653">
        <w:rPr>
          <w:rFonts w:ascii="Book Antiqua" w:hAnsi="Book Antiqua"/>
          <w:sz w:val="20"/>
          <w:szCs w:val="20"/>
          <w:lang w:val="en-US"/>
        </w:rPr>
        <w:t>efinitions clearly gr</w:t>
      </w:r>
      <w:r w:rsidR="005C00E0" w:rsidRPr="00870653">
        <w:rPr>
          <w:rFonts w:ascii="Book Antiqua" w:hAnsi="Book Antiqua"/>
          <w:sz w:val="20"/>
          <w:szCs w:val="20"/>
          <w:lang w:val="en-US"/>
        </w:rPr>
        <w:t>ew</w:t>
      </w:r>
      <w:r w:rsidR="001C1CD0" w:rsidRPr="00870653">
        <w:rPr>
          <w:rFonts w:ascii="Book Antiqua" w:hAnsi="Book Antiqua"/>
          <w:sz w:val="20"/>
          <w:szCs w:val="20"/>
          <w:lang w:val="en-US"/>
        </w:rPr>
        <w:t>, a symptom of the fact that the markets</w:t>
      </w:r>
      <w:r w:rsidR="005C00E0" w:rsidRPr="00870653">
        <w:rPr>
          <w:rFonts w:ascii="Book Antiqua" w:hAnsi="Book Antiqua"/>
          <w:sz w:val="20"/>
          <w:szCs w:val="20"/>
          <w:lang w:val="en-US"/>
        </w:rPr>
        <w:t xml:space="preserve"> </w:t>
      </w:r>
      <w:r w:rsidR="001C1CD0" w:rsidRPr="00870653">
        <w:rPr>
          <w:rFonts w:ascii="Book Antiqua" w:hAnsi="Book Antiqua"/>
          <w:sz w:val="20"/>
          <w:szCs w:val="20"/>
          <w:lang w:val="en-US"/>
        </w:rPr>
        <w:t>beg</w:t>
      </w:r>
      <w:r w:rsidR="00B136CD" w:rsidRPr="00870653">
        <w:rPr>
          <w:rFonts w:ascii="Book Antiqua" w:hAnsi="Book Antiqua"/>
          <w:sz w:val="20"/>
          <w:szCs w:val="20"/>
          <w:lang w:val="en-US"/>
        </w:rPr>
        <w:t>a</w:t>
      </w:r>
      <w:r w:rsidR="001C1CD0" w:rsidRPr="00870653">
        <w:rPr>
          <w:rFonts w:ascii="Book Antiqua" w:hAnsi="Book Antiqua"/>
          <w:sz w:val="20"/>
          <w:szCs w:val="20"/>
          <w:lang w:val="en-US"/>
        </w:rPr>
        <w:t xml:space="preserve">n to perceive not only a pure default risk, </w:t>
      </w:r>
      <w:r w:rsidR="00E31897" w:rsidRPr="00870653">
        <w:rPr>
          <w:rFonts w:ascii="Book Antiqua" w:hAnsi="Book Antiqua"/>
          <w:sz w:val="20"/>
          <w:szCs w:val="20"/>
          <w:lang w:val="en-US"/>
        </w:rPr>
        <w:t>but also</w:t>
      </w:r>
      <w:r w:rsidR="001C1CD0" w:rsidRPr="00870653">
        <w:rPr>
          <w:rFonts w:ascii="Book Antiqua" w:hAnsi="Book Antiqua"/>
          <w:sz w:val="20"/>
          <w:szCs w:val="20"/>
          <w:lang w:val="en-US"/>
        </w:rPr>
        <w:t xml:space="preserve"> the risk </w:t>
      </w:r>
      <w:r w:rsidR="00092E42" w:rsidRPr="00870653">
        <w:rPr>
          <w:rFonts w:ascii="Book Antiqua" w:hAnsi="Book Antiqua"/>
          <w:sz w:val="20"/>
          <w:szCs w:val="20"/>
          <w:lang w:val="en-US"/>
        </w:rPr>
        <w:t>of a possible Italexit and a consequent redenomination</w:t>
      </w:r>
      <w:r w:rsidR="001C1CD0" w:rsidRPr="00870653">
        <w:rPr>
          <w:rFonts w:ascii="Book Antiqua" w:hAnsi="Book Antiqua"/>
          <w:sz w:val="20"/>
          <w:szCs w:val="20"/>
          <w:lang w:val="en-US"/>
        </w:rPr>
        <w:t xml:space="preserve"> in a devalued currency (Gros, 2018). The cause is mainly attributable to political uncertainty generated by the </w:t>
      </w:r>
      <w:r w:rsidR="007C46E0" w:rsidRPr="00870653">
        <w:rPr>
          <w:rFonts w:ascii="Book Antiqua" w:hAnsi="Book Antiqua"/>
          <w:sz w:val="20"/>
          <w:szCs w:val="20"/>
          <w:lang w:val="en-US"/>
        </w:rPr>
        <w:t xml:space="preserve">new </w:t>
      </w:r>
      <w:r w:rsidR="001C1CD0" w:rsidRPr="00870653">
        <w:rPr>
          <w:rFonts w:ascii="Book Antiqua" w:hAnsi="Book Antiqua"/>
          <w:sz w:val="20"/>
          <w:szCs w:val="20"/>
          <w:lang w:val="en-US"/>
        </w:rPr>
        <w:t xml:space="preserve">government coalition (anti-establishment or populist) in favor of the growth of the deficit (pro-deficit) and openly against the technocracy of the </w:t>
      </w:r>
      <w:r w:rsidR="00E64AF1" w:rsidRPr="00870653">
        <w:rPr>
          <w:rFonts w:ascii="Book Antiqua" w:hAnsi="Book Antiqua"/>
          <w:sz w:val="20"/>
          <w:szCs w:val="20"/>
          <w:lang w:val="en-US"/>
        </w:rPr>
        <w:t>European</w:t>
      </w:r>
      <w:r w:rsidR="001C1CD0" w:rsidRPr="00870653">
        <w:rPr>
          <w:rFonts w:ascii="Book Antiqua" w:hAnsi="Book Antiqua"/>
          <w:sz w:val="20"/>
          <w:szCs w:val="20"/>
          <w:lang w:val="en-US"/>
        </w:rPr>
        <w:t xml:space="preserve"> Union. This attitude, combined with the will of the coalition parties</w:t>
      </w:r>
      <w:r w:rsidR="00B136CD" w:rsidRPr="00870653">
        <w:rPr>
          <w:rFonts w:ascii="Book Antiqua" w:hAnsi="Book Antiqua"/>
          <w:sz w:val="20"/>
          <w:szCs w:val="20"/>
          <w:lang w:val="en-US"/>
        </w:rPr>
        <w:t xml:space="preserve"> </w:t>
      </w:r>
      <w:r w:rsidR="00AE3679" w:rsidRPr="00870653">
        <w:rPr>
          <w:rFonts w:ascii="Book Antiqua" w:hAnsi="Book Antiqua"/>
          <w:sz w:val="20"/>
          <w:szCs w:val="20"/>
          <w:lang w:val="en-US"/>
        </w:rPr>
        <w:t xml:space="preserve">to leave the </w:t>
      </w:r>
      <w:r w:rsidR="00312F4C" w:rsidRPr="00870653">
        <w:rPr>
          <w:rFonts w:ascii="Book Antiqua" w:hAnsi="Book Antiqua"/>
          <w:sz w:val="20"/>
          <w:szCs w:val="20"/>
          <w:lang w:val="en-US"/>
        </w:rPr>
        <w:t>Euro Area</w:t>
      </w:r>
      <w:r w:rsidR="001C1CD0" w:rsidRPr="00870653">
        <w:rPr>
          <w:rFonts w:ascii="Book Antiqua" w:hAnsi="Book Antiqua"/>
          <w:sz w:val="20"/>
          <w:szCs w:val="20"/>
          <w:lang w:val="en-US"/>
        </w:rPr>
        <w:t>,</w:t>
      </w:r>
      <w:r w:rsidR="00B136CD" w:rsidRPr="00870653">
        <w:rPr>
          <w:rFonts w:ascii="Book Antiqua" w:hAnsi="Book Antiqua"/>
          <w:sz w:val="20"/>
          <w:szCs w:val="20"/>
          <w:lang w:val="en-US"/>
        </w:rPr>
        <w:t xml:space="preserve"> declared during and after the electoral campaign,</w:t>
      </w:r>
      <w:r w:rsidR="001C1CD0" w:rsidRPr="00870653">
        <w:rPr>
          <w:rFonts w:ascii="Book Antiqua" w:hAnsi="Book Antiqua"/>
          <w:sz w:val="20"/>
          <w:szCs w:val="20"/>
          <w:lang w:val="en-US"/>
        </w:rPr>
        <w:t xml:space="preserve"> generated the perception that the Brexit experience could </w:t>
      </w:r>
      <w:r w:rsidR="007C46E0" w:rsidRPr="00870653">
        <w:rPr>
          <w:rFonts w:ascii="Book Antiqua" w:hAnsi="Book Antiqua"/>
          <w:sz w:val="20"/>
          <w:szCs w:val="20"/>
          <w:lang w:val="en-US"/>
        </w:rPr>
        <w:t>also happen in</w:t>
      </w:r>
      <w:r w:rsidR="001C1CD0" w:rsidRPr="00870653">
        <w:rPr>
          <w:rFonts w:ascii="Book Antiqua" w:hAnsi="Book Antiqua"/>
          <w:sz w:val="20"/>
          <w:szCs w:val="20"/>
          <w:lang w:val="en-US"/>
        </w:rPr>
        <w:t xml:space="preserve"> Italy (Anelli et al., 2020).</w:t>
      </w:r>
    </w:p>
    <w:p w14:paraId="0DA59969" w14:textId="5FAD1F68" w:rsidR="002A23CC" w:rsidRDefault="002A23CC" w:rsidP="002A23CC">
      <w:pPr>
        <w:tabs>
          <w:tab w:val="left" w:pos="2268"/>
          <w:tab w:val="left" w:pos="2552"/>
        </w:tabs>
        <w:spacing w:line="360" w:lineRule="auto"/>
        <w:jc w:val="center"/>
        <w:rPr>
          <w:rFonts w:ascii="Book Antiqua" w:hAnsi="Book Antiqua"/>
          <w:sz w:val="20"/>
          <w:szCs w:val="20"/>
        </w:rPr>
      </w:pPr>
      <w:r w:rsidRPr="00B763F5">
        <w:rPr>
          <w:rFonts w:cs="Times New Roman"/>
          <w:noProof/>
          <w:lang w:eastAsia="it-IT"/>
        </w:rPr>
        <w:drawing>
          <wp:inline distT="0" distB="0" distL="0" distR="0" wp14:anchorId="4FB8D93B" wp14:editId="01728F7E">
            <wp:extent cx="3308400" cy="1925097"/>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8400" cy="1925097"/>
                    </a:xfrm>
                    <a:prstGeom prst="rect">
                      <a:avLst/>
                    </a:prstGeom>
                    <a:noFill/>
                    <a:ln>
                      <a:noFill/>
                    </a:ln>
                  </pic:spPr>
                </pic:pic>
              </a:graphicData>
            </a:graphic>
          </wp:inline>
        </w:drawing>
      </w:r>
    </w:p>
    <w:p w14:paraId="0F9ACE62" w14:textId="0B64621A" w:rsidR="002A23CC" w:rsidRPr="00870653" w:rsidRDefault="002A23CC" w:rsidP="00E31897">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Figur</w:t>
      </w:r>
      <w:r w:rsidR="00B136CD" w:rsidRPr="00870653">
        <w:rPr>
          <w:rFonts w:ascii="Book Antiqua" w:hAnsi="Book Antiqua"/>
          <w:b/>
          <w:bCs/>
          <w:sz w:val="20"/>
          <w:szCs w:val="20"/>
          <w:lang w:val="en-US"/>
        </w:rPr>
        <w:t>e 6</w:t>
      </w:r>
      <w:r w:rsidRPr="00870653">
        <w:rPr>
          <w:rFonts w:ascii="Book Antiqua" w:hAnsi="Book Antiqua"/>
          <w:b/>
          <w:bCs/>
          <w:sz w:val="20"/>
          <w:szCs w:val="20"/>
          <w:lang w:val="en-US"/>
        </w:rPr>
        <w:t>.</w:t>
      </w:r>
      <w:r w:rsidR="00B136CD" w:rsidRPr="00870653">
        <w:rPr>
          <w:rFonts w:ascii="Book Antiqua" w:hAnsi="Book Antiqua"/>
          <w:b/>
          <w:bCs/>
          <w:sz w:val="20"/>
          <w:szCs w:val="20"/>
          <w:lang w:val="en-US"/>
        </w:rPr>
        <w:t xml:space="preserve"> </w:t>
      </w:r>
      <w:r w:rsidR="00270EB6" w:rsidRPr="00870653">
        <w:rPr>
          <w:rFonts w:ascii="Book Antiqua" w:hAnsi="Book Antiqua"/>
          <w:sz w:val="20"/>
          <w:szCs w:val="20"/>
          <w:lang w:val="en-US"/>
        </w:rPr>
        <w:t xml:space="preserve">The 2014 </w:t>
      </w:r>
      <w:r w:rsidR="009E3FD0" w:rsidRPr="00870653">
        <w:rPr>
          <w:rFonts w:ascii="Book Antiqua" w:hAnsi="Book Antiqua"/>
          <w:sz w:val="20"/>
          <w:szCs w:val="20"/>
          <w:lang w:val="en-US"/>
        </w:rPr>
        <w:t xml:space="preserve">Italian CDS </w:t>
      </w:r>
      <w:r w:rsidR="00B136CD" w:rsidRPr="00870653">
        <w:rPr>
          <w:rFonts w:ascii="Book Antiqua" w:hAnsi="Book Antiqua"/>
          <w:sz w:val="20"/>
          <w:szCs w:val="20"/>
          <w:lang w:val="en-US"/>
        </w:rPr>
        <w:t>Definitions</w:t>
      </w:r>
      <w:r w:rsidRPr="00870653">
        <w:rPr>
          <w:rFonts w:ascii="Book Antiqua" w:hAnsi="Book Antiqua"/>
          <w:sz w:val="20"/>
          <w:szCs w:val="20"/>
          <w:lang w:val="en-US"/>
        </w:rPr>
        <w:t xml:space="preserve">: period 2018-2019. </w:t>
      </w:r>
      <w:r w:rsidR="00B136CD" w:rsidRPr="00870653">
        <w:rPr>
          <w:rFonts w:ascii="Book Antiqua" w:hAnsi="Book Antiqua"/>
          <w:sz w:val="20"/>
          <w:szCs w:val="20"/>
          <w:lang w:val="en-US"/>
        </w:rPr>
        <w:t>Source: authors’calculations in Eviews 11 based on Bloomberg data.</w:t>
      </w:r>
    </w:p>
    <w:p w14:paraId="588FB64B" w14:textId="77777777" w:rsidR="006263B6" w:rsidRPr="00870653" w:rsidRDefault="003A2CFE" w:rsidP="00170DAA">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lastRenderedPageBreak/>
        <w:t>The fundamental difference between the two periods in which</w:t>
      </w:r>
      <w:r w:rsidR="00F51721" w:rsidRPr="00870653">
        <w:rPr>
          <w:rFonts w:ascii="Book Antiqua" w:hAnsi="Book Antiqua"/>
          <w:sz w:val="20"/>
          <w:szCs w:val="20"/>
          <w:lang w:val="en-US"/>
        </w:rPr>
        <w:t xml:space="preserve"> </w:t>
      </w:r>
      <w:r w:rsidRPr="00870653">
        <w:rPr>
          <w:rFonts w:ascii="Book Antiqua" w:hAnsi="Book Antiqua"/>
          <w:sz w:val="20"/>
          <w:szCs w:val="20"/>
          <w:lang w:val="en-US"/>
        </w:rPr>
        <w:t xml:space="preserve">redenomination risk </w:t>
      </w:r>
      <w:r w:rsidR="009D427A" w:rsidRPr="00870653">
        <w:rPr>
          <w:rFonts w:ascii="Book Antiqua" w:hAnsi="Book Antiqua"/>
          <w:sz w:val="20"/>
          <w:szCs w:val="20"/>
          <w:lang w:val="en-US"/>
        </w:rPr>
        <w:t xml:space="preserve">component </w:t>
      </w:r>
      <w:r w:rsidRPr="00870653">
        <w:rPr>
          <w:rFonts w:ascii="Book Antiqua" w:hAnsi="Book Antiqua"/>
          <w:sz w:val="20"/>
          <w:szCs w:val="20"/>
          <w:lang w:val="en-US"/>
        </w:rPr>
        <w:t>assumed greater statistical significance is given by the various factors that influenced the</w:t>
      </w:r>
      <w:r w:rsidR="009D427A" w:rsidRPr="00870653">
        <w:rPr>
          <w:rFonts w:ascii="Book Antiqua" w:hAnsi="Book Antiqua"/>
          <w:sz w:val="20"/>
          <w:szCs w:val="20"/>
          <w:lang w:val="en-US"/>
        </w:rPr>
        <w:t xml:space="preserve"> market</w:t>
      </w:r>
      <w:r w:rsidRPr="00870653">
        <w:rPr>
          <w:rFonts w:ascii="Book Antiqua" w:hAnsi="Book Antiqua"/>
          <w:sz w:val="20"/>
          <w:szCs w:val="20"/>
          <w:lang w:val="en-US"/>
        </w:rPr>
        <w:t xml:space="preserve"> behavior. In 2010, in fact, the </w:t>
      </w:r>
      <w:r w:rsidR="009D427A" w:rsidRPr="00870653">
        <w:rPr>
          <w:rFonts w:ascii="Book Antiqua" w:hAnsi="Book Antiqua"/>
          <w:sz w:val="20"/>
          <w:szCs w:val="20"/>
          <w:lang w:val="en-US"/>
        </w:rPr>
        <w:t xml:space="preserve">market </w:t>
      </w:r>
      <w:r w:rsidRPr="00870653">
        <w:rPr>
          <w:rFonts w:ascii="Book Antiqua" w:hAnsi="Book Antiqua"/>
          <w:sz w:val="20"/>
          <w:szCs w:val="20"/>
          <w:lang w:val="en-US"/>
        </w:rPr>
        <w:t>fears</w:t>
      </w:r>
      <w:r w:rsidR="00F51721" w:rsidRPr="00870653">
        <w:rPr>
          <w:rFonts w:ascii="Book Antiqua" w:hAnsi="Book Antiqua"/>
          <w:sz w:val="20"/>
          <w:szCs w:val="20"/>
          <w:lang w:val="en-US"/>
        </w:rPr>
        <w:t xml:space="preserve"> about</w:t>
      </w:r>
      <w:r w:rsidRPr="00870653">
        <w:rPr>
          <w:rFonts w:ascii="Book Antiqua" w:hAnsi="Book Antiqua"/>
          <w:sz w:val="20"/>
          <w:szCs w:val="20"/>
          <w:lang w:val="en-US"/>
        </w:rPr>
        <w:t xml:space="preserve"> a possible Italexit were caused by the precarious condition of the country's public finances. On the contrary, in </w:t>
      </w:r>
      <w:r w:rsidR="00F51721" w:rsidRPr="00870653">
        <w:rPr>
          <w:rFonts w:ascii="Book Antiqua" w:hAnsi="Book Antiqua"/>
          <w:sz w:val="20"/>
          <w:szCs w:val="20"/>
          <w:lang w:val="en-US"/>
        </w:rPr>
        <w:t>the last phase</w:t>
      </w:r>
      <w:r w:rsidRPr="00870653">
        <w:rPr>
          <w:rFonts w:ascii="Book Antiqua" w:hAnsi="Book Antiqua"/>
          <w:sz w:val="20"/>
          <w:szCs w:val="20"/>
          <w:lang w:val="en-US"/>
        </w:rPr>
        <w:t xml:space="preserve"> the markets beg</w:t>
      </w:r>
      <w:r w:rsidR="00F51721" w:rsidRPr="00870653">
        <w:rPr>
          <w:rFonts w:ascii="Book Antiqua" w:hAnsi="Book Antiqua"/>
          <w:sz w:val="20"/>
          <w:szCs w:val="20"/>
          <w:lang w:val="en-US"/>
        </w:rPr>
        <w:t>a</w:t>
      </w:r>
      <w:r w:rsidRPr="00870653">
        <w:rPr>
          <w:rFonts w:ascii="Book Antiqua" w:hAnsi="Book Antiqua"/>
          <w:sz w:val="20"/>
          <w:szCs w:val="20"/>
          <w:lang w:val="en-US"/>
        </w:rPr>
        <w:t xml:space="preserve">n to </w:t>
      </w:r>
      <w:r w:rsidR="009D427A" w:rsidRPr="00870653">
        <w:rPr>
          <w:rFonts w:ascii="Book Antiqua" w:hAnsi="Book Antiqua"/>
          <w:sz w:val="20"/>
          <w:szCs w:val="20"/>
          <w:lang w:val="en-US"/>
        </w:rPr>
        <w:t>perceive</w:t>
      </w:r>
      <w:r w:rsidRPr="00870653">
        <w:rPr>
          <w:rFonts w:ascii="Book Antiqua" w:hAnsi="Book Antiqua"/>
          <w:sz w:val="20"/>
          <w:szCs w:val="20"/>
          <w:lang w:val="en-US"/>
        </w:rPr>
        <w:t xml:space="preserve"> a pure redenomination risk, regardless of the health of public finances, especially due to the</w:t>
      </w:r>
      <w:r w:rsidR="009D427A" w:rsidRPr="00870653">
        <w:rPr>
          <w:rFonts w:ascii="Book Antiqua" w:hAnsi="Book Antiqua"/>
          <w:sz w:val="20"/>
          <w:szCs w:val="20"/>
          <w:lang w:val="en-US"/>
        </w:rPr>
        <w:t xml:space="preserve"> </w:t>
      </w:r>
      <w:r w:rsidR="00E64AF1" w:rsidRPr="00870653">
        <w:rPr>
          <w:rFonts w:ascii="Book Antiqua" w:hAnsi="Book Antiqua"/>
          <w:sz w:val="20"/>
          <w:szCs w:val="20"/>
          <w:lang w:val="en-US"/>
        </w:rPr>
        <w:t>Italian</w:t>
      </w:r>
      <w:r w:rsidR="009D427A" w:rsidRPr="00870653">
        <w:rPr>
          <w:rFonts w:ascii="Book Antiqua" w:hAnsi="Book Antiqua"/>
          <w:sz w:val="20"/>
          <w:szCs w:val="20"/>
          <w:lang w:val="en-US"/>
        </w:rPr>
        <w:t xml:space="preserve"> </w:t>
      </w:r>
      <w:r w:rsidRPr="00870653">
        <w:rPr>
          <w:rFonts w:ascii="Book Antiqua" w:hAnsi="Book Antiqua"/>
          <w:sz w:val="20"/>
          <w:szCs w:val="20"/>
          <w:lang w:val="en-US"/>
        </w:rPr>
        <w:t xml:space="preserve">political situation (Gros, 2018). As reported by Reed (2018), the high volatility that hit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banking sector was caused in particular by the country's political uncertainty rather than by the economic situation. </w:t>
      </w:r>
    </w:p>
    <w:p w14:paraId="337633A4" w14:textId="0862FCFA" w:rsidR="009D427A" w:rsidRPr="00870653" w:rsidRDefault="003A2CFE" w:rsidP="00170DAA">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In this context, the market</w:t>
      </w:r>
      <w:r w:rsidR="00F51721" w:rsidRPr="00870653">
        <w:rPr>
          <w:rFonts w:ascii="Book Antiqua" w:hAnsi="Book Antiqua"/>
          <w:sz w:val="20"/>
          <w:szCs w:val="20"/>
          <w:lang w:val="en-US"/>
        </w:rPr>
        <w:t xml:space="preserve"> have taken into consideration</w:t>
      </w:r>
      <w:r w:rsidRPr="00870653">
        <w:rPr>
          <w:rFonts w:ascii="Book Antiqua" w:hAnsi="Book Antiqua"/>
          <w:sz w:val="20"/>
          <w:szCs w:val="20"/>
          <w:lang w:val="en-US"/>
        </w:rPr>
        <w:t xml:space="preserve"> political events,</w:t>
      </w:r>
      <w:r w:rsidR="009D427A" w:rsidRPr="00870653">
        <w:rPr>
          <w:rFonts w:ascii="Book Antiqua" w:hAnsi="Book Antiqua"/>
          <w:sz w:val="20"/>
          <w:szCs w:val="20"/>
          <w:lang w:val="en-US"/>
        </w:rPr>
        <w:t xml:space="preserve"> while</w:t>
      </w:r>
      <w:r w:rsidRPr="00870653">
        <w:rPr>
          <w:rFonts w:ascii="Book Antiqua" w:hAnsi="Book Antiqua"/>
          <w:sz w:val="20"/>
          <w:szCs w:val="20"/>
          <w:lang w:val="en-US"/>
        </w:rPr>
        <w:t xml:space="preserve"> the economic fundamentals of the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banking system </w:t>
      </w:r>
      <w:r w:rsidR="009D427A" w:rsidRPr="00870653">
        <w:rPr>
          <w:rFonts w:ascii="Book Antiqua" w:hAnsi="Book Antiqua"/>
          <w:sz w:val="20"/>
          <w:szCs w:val="20"/>
          <w:lang w:val="en-US"/>
        </w:rPr>
        <w:t>have been overshadowed</w:t>
      </w:r>
      <w:r w:rsidRPr="00870653">
        <w:rPr>
          <w:rFonts w:ascii="Book Antiqua" w:hAnsi="Book Antiqua"/>
          <w:sz w:val="20"/>
          <w:szCs w:val="20"/>
          <w:lang w:val="en-US"/>
        </w:rPr>
        <w:t xml:space="preserve"> (Anelli et al., 2020).</w:t>
      </w:r>
    </w:p>
    <w:p w14:paraId="002CF9AF" w14:textId="4F80B6BE" w:rsidR="00170DAA" w:rsidRPr="00870653" w:rsidRDefault="00170DAA" w:rsidP="00170DAA">
      <w:pPr>
        <w:tabs>
          <w:tab w:val="left" w:pos="2268"/>
          <w:tab w:val="left" w:pos="2552"/>
        </w:tabs>
        <w:spacing w:after="0" w:line="360" w:lineRule="auto"/>
        <w:jc w:val="both"/>
        <w:rPr>
          <w:rFonts w:ascii="Book Antiqua" w:hAnsi="Book Antiqua"/>
          <w:sz w:val="20"/>
          <w:szCs w:val="20"/>
          <w:lang w:val="en-US"/>
        </w:rPr>
      </w:pPr>
      <w:r w:rsidRPr="00870653">
        <w:rPr>
          <w:rFonts w:ascii="Book Antiqua" w:hAnsi="Book Antiqua"/>
          <w:sz w:val="20"/>
          <w:szCs w:val="20"/>
          <w:lang w:val="en-US"/>
        </w:rPr>
        <w:t xml:space="preserve">In this paper, we analyzed the dynamic evolution and impact of redenomination risk and sovereign risk on the CDS spreads of the main </w:t>
      </w:r>
      <w:r w:rsidR="00E64AF1" w:rsidRPr="00870653">
        <w:rPr>
          <w:rFonts w:ascii="Book Antiqua" w:hAnsi="Book Antiqua"/>
          <w:sz w:val="20"/>
          <w:szCs w:val="20"/>
          <w:lang w:val="en-US"/>
        </w:rPr>
        <w:t>Italian</w:t>
      </w:r>
      <w:r w:rsidRPr="00870653">
        <w:rPr>
          <w:rFonts w:ascii="Book Antiqua" w:hAnsi="Book Antiqua"/>
          <w:sz w:val="20"/>
          <w:szCs w:val="20"/>
          <w:lang w:val="en-US"/>
        </w:rPr>
        <w:t xml:space="preserve"> banks from 2008 to 2020 with a “rolling window regressions</w:t>
      </w:r>
      <w:r w:rsidR="006263B6" w:rsidRPr="00870653">
        <w:rPr>
          <w:rFonts w:ascii="Book Antiqua" w:hAnsi="Book Antiqua"/>
          <w:sz w:val="20"/>
          <w:szCs w:val="20"/>
          <w:lang w:val="en-US"/>
        </w:rPr>
        <w:t>”</w:t>
      </w:r>
      <w:r w:rsidRPr="00870653">
        <w:rPr>
          <w:rFonts w:ascii="Book Antiqua" w:hAnsi="Book Antiqua"/>
          <w:sz w:val="20"/>
          <w:szCs w:val="20"/>
          <w:lang w:val="en-US"/>
        </w:rPr>
        <w:t xml:space="preserve"> model.</w:t>
      </w:r>
    </w:p>
    <w:p w14:paraId="5EDBDBBA" w14:textId="28FC6A36" w:rsidR="00170DAA" w:rsidRDefault="00170DAA" w:rsidP="00170DAA">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sz w:val="20"/>
          <w:szCs w:val="20"/>
          <w:lang w:val="en-US"/>
        </w:rPr>
        <w:t xml:space="preserve">The results of the analysis highlight the statistical significance of redenomination risk during periods of greatest political-financial stress: starting from the genesis of the sovereign debt crisis (2010), during the </w:t>
      </w:r>
      <w:r w:rsidR="00E31897">
        <w:rPr>
          <w:rFonts w:ascii="Book Antiqua" w:hAnsi="Book Antiqua"/>
          <w:sz w:val="20"/>
          <w:szCs w:val="20"/>
          <w:lang w:val="en-US"/>
        </w:rPr>
        <w:t xml:space="preserve">lauch of the ECB’s QE </w:t>
      </w:r>
      <w:r w:rsidRPr="00870653">
        <w:rPr>
          <w:rFonts w:ascii="Book Antiqua" w:hAnsi="Book Antiqua"/>
          <w:sz w:val="20"/>
          <w:szCs w:val="20"/>
          <w:lang w:val="en-US"/>
        </w:rPr>
        <w:t>(2015), on the occasion of the referendum on Brexit (2016) and in recent years due to political instability in Italy (2018-19). The sovereign risk component explains a large part of the varia</w:t>
      </w:r>
      <w:r w:rsidR="007C21FC" w:rsidRPr="00870653">
        <w:rPr>
          <w:rFonts w:ascii="Book Antiqua" w:hAnsi="Book Antiqua"/>
          <w:sz w:val="20"/>
          <w:szCs w:val="20"/>
          <w:lang w:val="en-US"/>
        </w:rPr>
        <w:t>nce</w:t>
      </w:r>
      <w:r w:rsidRPr="00870653">
        <w:rPr>
          <w:rFonts w:ascii="Book Antiqua" w:hAnsi="Book Antiqua"/>
          <w:sz w:val="20"/>
          <w:szCs w:val="20"/>
          <w:lang w:val="en-US"/>
        </w:rPr>
        <w:t xml:space="preserve"> in bank CDS spreads for almost the entire</w:t>
      </w:r>
      <w:r w:rsidR="007C21FC" w:rsidRPr="00870653">
        <w:rPr>
          <w:rFonts w:ascii="Book Antiqua" w:hAnsi="Book Antiqua"/>
          <w:sz w:val="20"/>
          <w:szCs w:val="20"/>
          <w:lang w:val="en-US"/>
        </w:rPr>
        <w:t xml:space="preserve"> considered</w:t>
      </w:r>
      <w:r w:rsidRPr="00870653">
        <w:rPr>
          <w:rFonts w:ascii="Book Antiqua" w:hAnsi="Book Antiqua"/>
          <w:sz w:val="20"/>
          <w:szCs w:val="20"/>
          <w:lang w:val="en-US"/>
        </w:rPr>
        <w:t xml:space="preserve"> period.</w:t>
      </w:r>
    </w:p>
    <w:p w14:paraId="2C44B4AE"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62D44330"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04226953"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372F434F"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2B360358"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522B120C"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59603059"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5A2BA5F0"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5789DFB2" w14:textId="77777777" w:rsidR="00A060FD" w:rsidRDefault="00A060FD" w:rsidP="00170DAA">
      <w:pPr>
        <w:tabs>
          <w:tab w:val="left" w:pos="2268"/>
          <w:tab w:val="left" w:pos="2552"/>
        </w:tabs>
        <w:spacing w:line="360" w:lineRule="auto"/>
        <w:jc w:val="both"/>
        <w:rPr>
          <w:rFonts w:ascii="Book Antiqua" w:hAnsi="Book Antiqua"/>
          <w:sz w:val="20"/>
          <w:szCs w:val="20"/>
          <w:lang w:val="en-US"/>
        </w:rPr>
      </w:pPr>
    </w:p>
    <w:p w14:paraId="4061DC13" w14:textId="77777777" w:rsidR="00A060FD" w:rsidRPr="00870653" w:rsidRDefault="00A060FD" w:rsidP="00170DAA">
      <w:pPr>
        <w:tabs>
          <w:tab w:val="left" w:pos="2268"/>
          <w:tab w:val="left" w:pos="2552"/>
        </w:tabs>
        <w:spacing w:line="360" w:lineRule="auto"/>
        <w:jc w:val="both"/>
        <w:rPr>
          <w:rFonts w:ascii="Book Antiqua" w:hAnsi="Book Antiqua"/>
          <w:sz w:val="20"/>
          <w:szCs w:val="20"/>
          <w:lang w:val="en-US"/>
        </w:rPr>
      </w:pPr>
    </w:p>
    <w:p w14:paraId="5D474F86" w14:textId="29A3DBB0" w:rsidR="00E6182D" w:rsidRPr="00870653" w:rsidRDefault="00E6182D" w:rsidP="00EB4D4E">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Author Contributions</w:t>
      </w:r>
      <w:r w:rsidRPr="00870653">
        <w:rPr>
          <w:rFonts w:ascii="Book Antiqua" w:hAnsi="Book Antiqua"/>
          <w:sz w:val="20"/>
          <w:szCs w:val="20"/>
          <w:lang w:val="en-US"/>
        </w:rPr>
        <w:t xml:space="preserve">: Conceptualization and writing, </w:t>
      </w:r>
      <w:r w:rsidR="00E82FF5" w:rsidRPr="00870653">
        <w:rPr>
          <w:rFonts w:ascii="Book Antiqua" w:hAnsi="Book Antiqua"/>
          <w:sz w:val="20"/>
          <w:szCs w:val="20"/>
          <w:lang w:val="en-US"/>
        </w:rPr>
        <w:t xml:space="preserve">F. Cinefra and </w:t>
      </w:r>
      <w:r w:rsidRPr="00870653">
        <w:rPr>
          <w:rFonts w:ascii="Book Antiqua" w:hAnsi="Book Antiqua"/>
          <w:sz w:val="20"/>
          <w:szCs w:val="20"/>
          <w:lang w:val="en-US"/>
        </w:rPr>
        <w:t>M. Anelli; methodology, software, data curation,</w:t>
      </w:r>
      <w:r w:rsidR="00E82FF5" w:rsidRPr="00870653">
        <w:rPr>
          <w:rFonts w:ascii="Book Antiqua" w:hAnsi="Book Antiqua"/>
          <w:sz w:val="20"/>
          <w:szCs w:val="20"/>
          <w:lang w:val="en-US"/>
        </w:rPr>
        <w:t xml:space="preserve"> F. Cinefra and</w:t>
      </w:r>
      <w:r w:rsidRPr="00870653">
        <w:rPr>
          <w:rFonts w:ascii="Book Antiqua" w:hAnsi="Book Antiqua"/>
          <w:sz w:val="20"/>
          <w:szCs w:val="20"/>
          <w:lang w:val="en-US"/>
        </w:rPr>
        <w:t xml:space="preserve"> M.</w:t>
      </w:r>
      <w:r w:rsidR="00E85EE2" w:rsidRPr="00870653">
        <w:rPr>
          <w:rFonts w:ascii="Book Antiqua" w:hAnsi="Book Antiqua"/>
          <w:sz w:val="20"/>
          <w:szCs w:val="20"/>
          <w:lang w:val="en-US"/>
        </w:rPr>
        <w:t xml:space="preserve"> </w:t>
      </w:r>
      <w:r w:rsidRPr="00870653">
        <w:rPr>
          <w:rFonts w:ascii="Book Antiqua" w:hAnsi="Book Antiqua"/>
          <w:sz w:val="20"/>
          <w:szCs w:val="20"/>
          <w:lang w:val="en-US"/>
        </w:rPr>
        <w:t xml:space="preserve">Anelli.; validation, </w:t>
      </w:r>
      <w:r w:rsidR="00E85EE2" w:rsidRPr="00870653">
        <w:rPr>
          <w:rFonts w:ascii="Book Antiqua" w:hAnsi="Book Antiqua"/>
          <w:sz w:val="20"/>
          <w:szCs w:val="20"/>
          <w:lang w:val="en-US"/>
        </w:rPr>
        <w:t xml:space="preserve">M. Anelli, </w:t>
      </w:r>
      <w:r w:rsidRPr="00870653">
        <w:rPr>
          <w:rFonts w:ascii="Book Antiqua" w:hAnsi="Book Antiqua"/>
          <w:sz w:val="20"/>
          <w:szCs w:val="20"/>
          <w:lang w:val="en-US"/>
        </w:rPr>
        <w:t>M. Patanè</w:t>
      </w:r>
      <w:r w:rsidR="00E31897">
        <w:rPr>
          <w:rFonts w:ascii="Book Antiqua" w:hAnsi="Book Antiqua"/>
          <w:sz w:val="20"/>
          <w:szCs w:val="20"/>
          <w:lang w:val="en-US"/>
        </w:rPr>
        <w:t>, A. Gioia</w:t>
      </w:r>
      <w:r w:rsidRPr="00870653">
        <w:rPr>
          <w:rFonts w:ascii="Book Antiqua" w:hAnsi="Book Antiqua"/>
          <w:sz w:val="20"/>
          <w:szCs w:val="20"/>
          <w:lang w:val="en-US"/>
        </w:rPr>
        <w:t xml:space="preserve">. All authors have read and agreed to the published version of the manuscript. </w:t>
      </w:r>
    </w:p>
    <w:p w14:paraId="2DBB117B" w14:textId="77777777" w:rsidR="00E6182D" w:rsidRPr="00870653" w:rsidRDefault="00E6182D" w:rsidP="00EB4D4E">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Funding</w:t>
      </w:r>
      <w:r w:rsidRPr="00870653">
        <w:rPr>
          <w:rFonts w:ascii="Book Antiqua" w:hAnsi="Book Antiqua"/>
          <w:sz w:val="20"/>
          <w:szCs w:val="20"/>
          <w:lang w:val="en-US"/>
        </w:rPr>
        <w:t xml:space="preserve">: This research received no external funding. </w:t>
      </w:r>
    </w:p>
    <w:p w14:paraId="7EE142CD" w14:textId="7C9A5F91" w:rsidR="00866EEF" w:rsidRDefault="00E6182D" w:rsidP="00EB4D4E">
      <w:pPr>
        <w:tabs>
          <w:tab w:val="left" w:pos="2268"/>
          <w:tab w:val="left" w:pos="2552"/>
        </w:tabs>
        <w:spacing w:line="360" w:lineRule="auto"/>
        <w:jc w:val="both"/>
        <w:rPr>
          <w:rFonts w:ascii="Book Antiqua" w:hAnsi="Book Antiqua"/>
          <w:sz w:val="20"/>
          <w:szCs w:val="20"/>
          <w:lang w:val="en-US"/>
        </w:rPr>
      </w:pPr>
      <w:r w:rsidRPr="00870653">
        <w:rPr>
          <w:rFonts w:ascii="Book Antiqua" w:hAnsi="Book Antiqua"/>
          <w:b/>
          <w:bCs/>
          <w:sz w:val="20"/>
          <w:szCs w:val="20"/>
          <w:lang w:val="en-US"/>
        </w:rPr>
        <w:t>Conflicts of Interest</w:t>
      </w:r>
      <w:r w:rsidRPr="00870653">
        <w:rPr>
          <w:rFonts w:ascii="Book Antiqua" w:hAnsi="Book Antiqua"/>
          <w:sz w:val="20"/>
          <w:szCs w:val="20"/>
          <w:lang w:val="en-US"/>
        </w:rPr>
        <w:t>: The authors declare no conflict of interest.</w:t>
      </w:r>
    </w:p>
    <w:p w14:paraId="44CDDA34" w14:textId="319600D8" w:rsidR="007F3A43" w:rsidRDefault="00711C4F" w:rsidP="007F3A43">
      <w:pPr>
        <w:spacing w:line="360" w:lineRule="auto"/>
        <w:jc w:val="both"/>
        <w:rPr>
          <w:rFonts w:ascii="Book Antiqua" w:hAnsi="Book Antiqua"/>
          <w:b/>
          <w:bCs/>
          <w:sz w:val="28"/>
          <w:szCs w:val="28"/>
        </w:rPr>
      </w:pPr>
      <w:r w:rsidRPr="00F542AC">
        <w:rPr>
          <w:rFonts w:ascii="Book Antiqua" w:hAnsi="Book Antiqua"/>
          <w:b/>
          <w:bCs/>
          <w:sz w:val="28"/>
          <w:szCs w:val="28"/>
        </w:rPr>
        <w:lastRenderedPageBreak/>
        <w:t>References</w:t>
      </w:r>
    </w:p>
    <w:p w14:paraId="2775D6E7" w14:textId="0E861D12"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eastAsia="it-IT"/>
        </w:rPr>
        <w:t xml:space="preserve">Anelli, Michele, Patanè, Michele, Toscano, Mario, </w:t>
      </w:r>
      <w:r w:rsidR="00DE33A8" w:rsidRPr="00F542AC">
        <w:rPr>
          <w:rFonts w:ascii="Book Antiqua" w:eastAsia="Times New Roman" w:hAnsi="Book Antiqua" w:cs="Times New Roman"/>
          <w:color w:val="000000"/>
          <w:sz w:val="20"/>
          <w:szCs w:val="20"/>
          <w:lang w:eastAsia="it-IT"/>
        </w:rPr>
        <w:t>and</w:t>
      </w:r>
      <w:r w:rsidRPr="00F542AC">
        <w:rPr>
          <w:rFonts w:ascii="Book Antiqua" w:eastAsia="Times New Roman" w:hAnsi="Book Antiqua" w:cs="Times New Roman"/>
          <w:color w:val="000000"/>
          <w:sz w:val="20"/>
          <w:szCs w:val="20"/>
          <w:lang w:eastAsia="it-IT"/>
        </w:rPr>
        <w:t xml:space="preserve"> Zedda Stefano. </w:t>
      </w:r>
      <w:r w:rsidRPr="00F542AC">
        <w:rPr>
          <w:rFonts w:ascii="Book Antiqua" w:eastAsia="Times New Roman" w:hAnsi="Book Antiqua" w:cs="Times New Roman"/>
          <w:color w:val="000000"/>
          <w:sz w:val="20"/>
          <w:szCs w:val="20"/>
          <w:lang w:val="en-US" w:eastAsia="it-IT"/>
        </w:rPr>
        <w:t xml:space="preserve">2020. The Role of Redenomination Risk in the Price Evolution of </w:t>
      </w:r>
      <w:r w:rsidR="00E64AF1" w:rsidRPr="00F542AC">
        <w:rPr>
          <w:rFonts w:ascii="Book Antiqua" w:eastAsia="Times New Roman" w:hAnsi="Book Antiqua" w:cs="Times New Roman"/>
          <w:color w:val="000000"/>
          <w:sz w:val="20"/>
          <w:szCs w:val="20"/>
          <w:lang w:val="en-US" w:eastAsia="it-IT"/>
        </w:rPr>
        <w:t>Italian</w:t>
      </w:r>
      <w:r w:rsidRPr="00F542AC">
        <w:rPr>
          <w:rFonts w:ascii="Book Antiqua" w:eastAsia="Times New Roman" w:hAnsi="Book Antiqua" w:cs="Times New Roman"/>
          <w:color w:val="000000"/>
          <w:sz w:val="20"/>
          <w:szCs w:val="20"/>
          <w:lang w:val="en-US" w:eastAsia="it-IT"/>
        </w:rPr>
        <w:t xml:space="preserve"> Banks’ CDS Spreads. </w:t>
      </w:r>
      <w:r w:rsidRPr="00F542AC">
        <w:rPr>
          <w:rFonts w:ascii="Book Antiqua" w:eastAsia="Times New Roman" w:hAnsi="Book Antiqua" w:cs="Times New Roman"/>
          <w:i/>
          <w:iCs/>
          <w:color w:val="000000"/>
          <w:sz w:val="20"/>
          <w:szCs w:val="20"/>
          <w:lang w:val="en-US" w:eastAsia="it-IT"/>
        </w:rPr>
        <w:t>Journal Of Risk And Financial Management</w:t>
      </w:r>
      <w:r w:rsidRPr="00F542AC">
        <w:rPr>
          <w:rFonts w:ascii="Book Antiqua" w:eastAsia="Times New Roman" w:hAnsi="Book Antiqua" w:cs="Times New Roman"/>
          <w:color w:val="000000"/>
          <w:sz w:val="20"/>
          <w:szCs w:val="20"/>
          <w:lang w:val="en-US" w:eastAsia="it-IT"/>
        </w:rPr>
        <w:t>, </w:t>
      </w:r>
      <w:r w:rsidRPr="00F542AC">
        <w:rPr>
          <w:rFonts w:ascii="Book Antiqua" w:eastAsia="Times New Roman" w:hAnsi="Book Antiqua" w:cs="Times New Roman"/>
          <w:i/>
          <w:iCs/>
          <w:color w:val="000000"/>
          <w:sz w:val="20"/>
          <w:szCs w:val="20"/>
          <w:lang w:val="en-US" w:eastAsia="it-IT"/>
        </w:rPr>
        <w:t>13</w:t>
      </w:r>
      <w:r w:rsidRPr="00F542AC">
        <w:rPr>
          <w:rFonts w:ascii="Book Antiqua" w:eastAsia="Times New Roman" w:hAnsi="Book Antiqua" w:cs="Times New Roman"/>
          <w:color w:val="000000"/>
          <w:sz w:val="20"/>
          <w:szCs w:val="20"/>
          <w:lang w:val="en-US" w:eastAsia="it-IT"/>
        </w:rPr>
        <w:t xml:space="preserve">(7), 150. doi: 10.3390/jrfm13070150 (accessed on 10 </w:t>
      </w:r>
      <w:r w:rsidR="00DE33A8" w:rsidRPr="00F542AC">
        <w:rPr>
          <w:rFonts w:ascii="Book Antiqua" w:eastAsia="Times New Roman" w:hAnsi="Book Antiqua" w:cs="Times New Roman"/>
          <w:color w:val="000000"/>
          <w:sz w:val="20"/>
          <w:szCs w:val="20"/>
          <w:lang w:val="en-US" w:eastAsia="it-IT"/>
        </w:rPr>
        <w:t>July</w:t>
      </w:r>
      <w:r w:rsidRPr="00F542AC">
        <w:rPr>
          <w:rFonts w:ascii="Book Antiqua" w:eastAsia="Times New Roman" w:hAnsi="Book Antiqua" w:cs="Times New Roman"/>
          <w:color w:val="000000"/>
          <w:sz w:val="20"/>
          <w:szCs w:val="20"/>
          <w:lang w:val="en-US" w:eastAsia="it-IT"/>
        </w:rPr>
        <w:t xml:space="preserve"> 2020).</w:t>
      </w:r>
    </w:p>
    <w:p w14:paraId="4FB870D3" w14:textId="1A781F07"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val="en-US" w:eastAsia="it-IT"/>
        </w:rPr>
        <w:t xml:space="preserve">Avino, Davide, </w:t>
      </w:r>
      <w:r w:rsidR="00DE33A8" w:rsidRPr="00F542AC">
        <w:rPr>
          <w:rFonts w:ascii="Book Antiqua" w:eastAsia="Times New Roman" w:hAnsi="Book Antiqua" w:cs="Times New Roman"/>
          <w:color w:val="000000"/>
          <w:sz w:val="20"/>
          <w:szCs w:val="20"/>
          <w:lang w:val="en-US" w:eastAsia="it-IT"/>
        </w:rPr>
        <w:t>and</w:t>
      </w:r>
      <w:r w:rsidRPr="00F542AC">
        <w:rPr>
          <w:rFonts w:ascii="Book Antiqua" w:eastAsia="Times New Roman" w:hAnsi="Book Antiqua" w:cs="Times New Roman"/>
          <w:color w:val="000000"/>
          <w:sz w:val="20"/>
          <w:szCs w:val="20"/>
          <w:lang w:val="en-US" w:eastAsia="it-IT"/>
        </w:rPr>
        <w:t xml:space="preserve"> John Cotter. 2014. Sovereign and bank CDS spreads: Two sides of the same coin? Journal of International Financial Markets, Institutions and Money 32: 72–85. </w:t>
      </w:r>
      <w:hyperlink r:id="rId14" w:history="1">
        <w:r w:rsidRPr="00F542AC">
          <w:rPr>
            <w:rStyle w:val="Collegamentoipertestuale"/>
            <w:rFonts w:ascii="Book Antiqua" w:eastAsia="Times New Roman" w:hAnsi="Book Antiqua" w:cs="Times New Roman"/>
            <w:sz w:val="20"/>
            <w:szCs w:val="20"/>
            <w:lang w:val="en-US" w:eastAsia="it-IT"/>
          </w:rPr>
          <w:t>https://www.sciencedirect.com/science/article/abs/pii/S104244311400064X</w:t>
        </w:r>
      </w:hyperlink>
      <w:r w:rsidRPr="00F542AC">
        <w:rPr>
          <w:rFonts w:ascii="Book Antiqua" w:eastAsia="Times New Roman" w:hAnsi="Book Antiqua" w:cs="Times New Roman"/>
          <w:color w:val="000000"/>
          <w:sz w:val="20"/>
          <w:szCs w:val="20"/>
          <w:lang w:val="en-US" w:eastAsia="it-IT"/>
        </w:rPr>
        <w:t xml:space="preserve"> (accessed on 25 </w:t>
      </w:r>
      <w:r w:rsidR="00DE33A8" w:rsidRPr="00F542AC">
        <w:rPr>
          <w:rFonts w:ascii="Book Antiqua" w:eastAsia="Times New Roman" w:hAnsi="Book Antiqua" w:cs="Times New Roman"/>
          <w:color w:val="000000"/>
          <w:sz w:val="20"/>
          <w:szCs w:val="20"/>
          <w:lang w:val="en-US" w:eastAsia="it-IT"/>
        </w:rPr>
        <w:t>August</w:t>
      </w:r>
      <w:r w:rsidRPr="00F542AC">
        <w:rPr>
          <w:rFonts w:ascii="Book Antiqua" w:eastAsia="Times New Roman" w:hAnsi="Book Antiqua" w:cs="Times New Roman"/>
          <w:color w:val="000000"/>
          <w:sz w:val="20"/>
          <w:szCs w:val="20"/>
          <w:lang w:val="en-US" w:eastAsia="it-IT"/>
        </w:rPr>
        <w:t xml:space="preserve"> 2020).</w:t>
      </w:r>
    </w:p>
    <w:p w14:paraId="7A5AA317" w14:textId="7A859950" w:rsidR="007F3A43" w:rsidRPr="00F542AC" w:rsidRDefault="007F3A43" w:rsidP="007F6E18">
      <w:pPr>
        <w:pStyle w:val="Paragrafoelenco"/>
        <w:numPr>
          <w:ilvl w:val="0"/>
          <w:numId w:val="38"/>
        </w:numPr>
        <w:spacing w:line="240" w:lineRule="auto"/>
        <w:ind w:left="567" w:hanging="425"/>
        <w:jc w:val="both"/>
        <w:rPr>
          <w:rFonts w:ascii="Book Antiqua" w:hAnsi="Book Antiqua"/>
          <w:sz w:val="20"/>
          <w:szCs w:val="20"/>
        </w:rPr>
      </w:pPr>
      <w:r w:rsidRPr="00870653">
        <w:rPr>
          <w:rFonts w:ascii="Book Antiqua" w:hAnsi="Book Antiqua"/>
          <w:sz w:val="20"/>
          <w:szCs w:val="20"/>
          <w:lang w:val="en-US"/>
        </w:rPr>
        <w:t xml:space="preserve">Bolton, Patrick., and Jeanne, Olivier. 2011. Sovereign Default Risk and Bank Fragility in Financially Integrated       Economies. </w:t>
      </w:r>
      <w:r w:rsidRPr="00F542AC">
        <w:rPr>
          <w:rFonts w:ascii="Book Antiqua" w:hAnsi="Book Antiqua"/>
          <w:i/>
          <w:iCs/>
          <w:sz w:val="20"/>
          <w:szCs w:val="20"/>
        </w:rPr>
        <w:t>IMF Economic Review Volum</w:t>
      </w:r>
      <w:r w:rsidRPr="00F542AC">
        <w:rPr>
          <w:rFonts w:ascii="Book Antiqua" w:hAnsi="Book Antiqua"/>
          <w:sz w:val="20"/>
          <w:szCs w:val="20"/>
        </w:rPr>
        <w:t xml:space="preserve"> 59, 162-194. (accessed on 23 November 2020).</w:t>
      </w:r>
    </w:p>
    <w:p w14:paraId="19595EFF" w14:textId="77F03096"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Borsa</w:t>
      </w:r>
      <w:r w:rsidR="00E64AF1">
        <w:rPr>
          <w:rFonts w:ascii="Book Antiqua" w:hAnsi="Book Antiqua"/>
          <w:color w:val="000000"/>
          <w:sz w:val="20"/>
          <w:szCs w:val="20"/>
        </w:rPr>
        <w:t>Italian</w:t>
      </w:r>
      <w:r w:rsidRPr="007F3A43">
        <w:rPr>
          <w:rFonts w:ascii="Book Antiqua" w:hAnsi="Book Antiqua"/>
          <w:color w:val="000000"/>
          <w:sz w:val="20"/>
          <w:szCs w:val="20"/>
        </w:rPr>
        <w:t>a.it. 2019. </w:t>
      </w:r>
      <w:r w:rsidRPr="007F3A43">
        <w:rPr>
          <w:rFonts w:ascii="Book Antiqua" w:hAnsi="Book Antiqua"/>
          <w:i/>
          <w:iCs/>
          <w:color w:val="000000"/>
          <w:sz w:val="20"/>
          <w:szCs w:val="20"/>
        </w:rPr>
        <w:t xml:space="preserve">Credit Default Swap (CDS) E Spread: Differenze, Caratteristiche, Esempi - Borsa </w:t>
      </w:r>
      <w:r w:rsidR="00E64AF1">
        <w:rPr>
          <w:rFonts w:ascii="Book Antiqua" w:hAnsi="Book Antiqua"/>
          <w:i/>
          <w:iCs/>
          <w:color w:val="000000"/>
          <w:sz w:val="20"/>
          <w:szCs w:val="20"/>
        </w:rPr>
        <w:t>Italian</w:t>
      </w:r>
      <w:r w:rsidRPr="007F3A43">
        <w:rPr>
          <w:rFonts w:ascii="Book Antiqua" w:hAnsi="Book Antiqua"/>
          <w:i/>
          <w:iCs/>
          <w:color w:val="000000"/>
          <w:sz w:val="20"/>
          <w:szCs w:val="20"/>
        </w:rPr>
        <w:t>a</w:t>
      </w:r>
      <w:r w:rsidRPr="007F3A43">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Available online: </w:t>
      </w:r>
      <w:hyperlink r:id="rId15" w:history="1">
        <w:r w:rsidRPr="00870653">
          <w:rPr>
            <w:rStyle w:val="Collegamentoipertestuale"/>
            <w:rFonts w:ascii="Book Antiqua" w:hAnsi="Book Antiqua"/>
            <w:sz w:val="20"/>
            <w:szCs w:val="20"/>
            <w:lang w:val="en-US"/>
          </w:rPr>
          <w:t>https://www.borsa</w:t>
        </w:r>
        <w:r w:rsidR="00E64AF1" w:rsidRPr="00870653">
          <w:rPr>
            <w:rStyle w:val="Collegamentoipertestuale"/>
            <w:rFonts w:ascii="Book Antiqua" w:hAnsi="Book Antiqua"/>
            <w:sz w:val="20"/>
            <w:szCs w:val="20"/>
            <w:lang w:val="en-US"/>
          </w:rPr>
          <w:t>Italian</w:t>
        </w:r>
        <w:r w:rsidRPr="00870653">
          <w:rPr>
            <w:rStyle w:val="Collegamentoipertestuale"/>
            <w:rFonts w:ascii="Book Antiqua" w:hAnsi="Book Antiqua"/>
            <w:sz w:val="20"/>
            <w:szCs w:val="20"/>
            <w:lang w:val="en-US"/>
          </w:rPr>
          <w:t>a.it/notizie/sotto-la-lente/differenza-tra-credit-default-swap-e-spread.htm</w:t>
        </w:r>
      </w:hyperlink>
      <w:r w:rsidRPr="0087065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3 </w:t>
      </w:r>
      <w:r w:rsidR="00DE33A8">
        <w:rPr>
          <w:rFonts w:ascii="Book Antiqua" w:hAnsi="Book Antiqua"/>
          <w:color w:val="000000"/>
          <w:sz w:val="20"/>
          <w:szCs w:val="20"/>
        </w:rPr>
        <w:t>June</w:t>
      </w:r>
      <w:r w:rsidRPr="007F3A43">
        <w:rPr>
          <w:rFonts w:ascii="Book Antiqua" w:hAnsi="Book Antiqua"/>
          <w:color w:val="000000"/>
          <w:sz w:val="20"/>
          <w:szCs w:val="20"/>
        </w:rPr>
        <w:t xml:space="preserve"> 2020).</w:t>
      </w:r>
    </w:p>
    <w:p w14:paraId="149E2CAA" w14:textId="2AAC2DD0"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 xml:space="preserve">Bricco, Paolo, Bufacchi, Isabella, Colombo, Davide, Davi, Luca, Dominelli, Celestina, </w:t>
      </w:r>
      <w:r w:rsidR="00DE33A8">
        <w:rPr>
          <w:rFonts w:ascii="Book Antiqua" w:hAnsi="Book Antiqua"/>
          <w:color w:val="000000"/>
          <w:sz w:val="20"/>
          <w:szCs w:val="20"/>
        </w:rPr>
        <w:t>and</w:t>
      </w:r>
      <w:r w:rsidRPr="007F3A43">
        <w:rPr>
          <w:rFonts w:ascii="Book Antiqua" w:hAnsi="Book Antiqua"/>
          <w:color w:val="000000"/>
          <w:sz w:val="20"/>
          <w:szCs w:val="20"/>
        </w:rPr>
        <w:t xml:space="preserve"> Longo Morya. 2016. </w:t>
      </w:r>
      <w:r w:rsidRPr="007F3A43">
        <w:rPr>
          <w:rFonts w:ascii="Book Antiqua" w:hAnsi="Book Antiqua"/>
          <w:i/>
          <w:iCs/>
          <w:color w:val="000000"/>
          <w:sz w:val="20"/>
          <w:szCs w:val="20"/>
        </w:rPr>
        <w:t>Brexit O No, L’Instabilità Sarà Il Prezzo Da Pagare E L’Italia Rischia Di Più</w:t>
      </w:r>
      <w:r w:rsidRPr="007F3A43">
        <w:rPr>
          <w:rFonts w:ascii="Book Antiqua" w:hAnsi="Book Antiqua"/>
          <w:color w:val="000000"/>
          <w:sz w:val="20"/>
          <w:szCs w:val="20"/>
        </w:rPr>
        <w:t xml:space="preserve">. [online] Il Sole 24 ORE. </w:t>
      </w:r>
      <w:r>
        <w:rPr>
          <w:rFonts w:ascii="Book Antiqua" w:hAnsi="Book Antiqua"/>
          <w:color w:val="000000"/>
          <w:sz w:val="20"/>
          <w:szCs w:val="20"/>
        </w:rPr>
        <w:t>Available online</w:t>
      </w:r>
      <w:r w:rsidRPr="007F3A43">
        <w:rPr>
          <w:rFonts w:ascii="Book Antiqua" w:hAnsi="Book Antiqua"/>
          <w:color w:val="000000"/>
          <w:sz w:val="20"/>
          <w:szCs w:val="20"/>
        </w:rPr>
        <w:t xml:space="preserve">: </w:t>
      </w:r>
      <w:hyperlink r:id="rId16" w:history="1">
        <w:r w:rsidRPr="007F3A43">
          <w:rPr>
            <w:rStyle w:val="Collegamentoipertestuale"/>
            <w:rFonts w:ascii="Book Antiqua" w:hAnsi="Book Antiqua"/>
            <w:sz w:val="20"/>
            <w:szCs w:val="20"/>
          </w:rPr>
          <w:t>https://st.ilsole24ore.com/art/notizie/2016-06-22/brexit-o-no-l-instabilita-sara-prezzo-pagare-e-l-italia-rischia-piu-011057.shtml</w:t>
        </w:r>
      </w:hyperlink>
      <w:r w:rsidRPr="007F3A43">
        <w:rPr>
          <w:rFonts w:ascii="Book Antiqua" w:hAnsi="Book Antiqua"/>
          <w:color w:val="000000"/>
          <w:sz w:val="20"/>
          <w:szCs w:val="20"/>
        </w:rPr>
        <w:t>. (</w:t>
      </w:r>
      <w:r>
        <w:rPr>
          <w:rFonts w:ascii="Book Antiqua" w:hAnsi="Book Antiqua"/>
          <w:color w:val="000000"/>
          <w:sz w:val="20"/>
          <w:szCs w:val="20"/>
        </w:rPr>
        <w:t>accessed on</w:t>
      </w:r>
      <w:r w:rsidRPr="007F3A43">
        <w:rPr>
          <w:rFonts w:ascii="Book Antiqua" w:hAnsi="Book Antiqua"/>
          <w:color w:val="000000"/>
          <w:sz w:val="20"/>
          <w:szCs w:val="20"/>
        </w:rPr>
        <w:t xml:space="preserve"> 16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132428F0" w14:textId="246A7D22"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F542AC">
        <w:rPr>
          <w:rFonts w:ascii="Book Antiqua" w:eastAsia="Times New Roman" w:hAnsi="Book Antiqua" w:cs="Times New Roman"/>
          <w:color w:val="000000"/>
          <w:sz w:val="20"/>
          <w:szCs w:val="20"/>
          <w:lang w:eastAsia="it-IT"/>
        </w:rPr>
        <w:t xml:space="preserve">Busetti, Fabio, </w:t>
      </w:r>
      <w:r w:rsidR="00DE33A8" w:rsidRPr="00F542AC">
        <w:rPr>
          <w:rFonts w:ascii="Book Antiqua" w:eastAsia="Times New Roman" w:hAnsi="Book Antiqua" w:cs="Times New Roman"/>
          <w:color w:val="000000"/>
          <w:sz w:val="20"/>
          <w:szCs w:val="20"/>
          <w:lang w:eastAsia="it-IT"/>
        </w:rPr>
        <w:t>and</w:t>
      </w:r>
      <w:r w:rsidRPr="00F542AC">
        <w:rPr>
          <w:rFonts w:ascii="Book Antiqua" w:eastAsia="Times New Roman" w:hAnsi="Book Antiqua" w:cs="Times New Roman"/>
          <w:color w:val="000000"/>
          <w:sz w:val="20"/>
          <w:szCs w:val="20"/>
          <w:lang w:eastAsia="it-IT"/>
        </w:rPr>
        <w:t xml:space="preserve"> Cova Pietro. 2013. L'Impatto macroeconomico della crisi del debito sovrano: un'analisi controfattuale per l'economia </w:t>
      </w:r>
      <w:r w:rsidR="00E64AF1" w:rsidRPr="00F542AC">
        <w:rPr>
          <w:rFonts w:ascii="Book Antiqua" w:eastAsia="Times New Roman" w:hAnsi="Book Antiqua" w:cs="Times New Roman"/>
          <w:color w:val="000000"/>
          <w:sz w:val="20"/>
          <w:szCs w:val="20"/>
          <w:lang w:eastAsia="it-IT"/>
        </w:rPr>
        <w:t>Italian</w:t>
      </w:r>
      <w:r w:rsidRPr="00F542AC">
        <w:rPr>
          <w:rFonts w:ascii="Book Antiqua" w:eastAsia="Times New Roman" w:hAnsi="Book Antiqua" w:cs="Times New Roman"/>
          <w:color w:val="000000"/>
          <w:sz w:val="20"/>
          <w:szCs w:val="20"/>
          <w:lang w:eastAsia="it-IT"/>
        </w:rPr>
        <w:t>a. </w:t>
      </w:r>
      <w:r w:rsidRPr="00F542AC">
        <w:rPr>
          <w:rFonts w:ascii="Book Antiqua" w:eastAsia="Times New Roman" w:hAnsi="Book Antiqua" w:cs="Times New Roman"/>
          <w:i/>
          <w:iCs/>
          <w:color w:val="000000"/>
          <w:sz w:val="20"/>
          <w:szCs w:val="20"/>
          <w:lang w:eastAsia="it-IT"/>
        </w:rPr>
        <w:t>SSRN Electronic Journal</w:t>
      </w:r>
      <w:r w:rsidRPr="00F542AC">
        <w:rPr>
          <w:rFonts w:ascii="Book Antiqua" w:eastAsia="Times New Roman" w:hAnsi="Book Antiqua" w:cs="Times New Roman"/>
          <w:color w:val="000000"/>
          <w:sz w:val="20"/>
          <w:szCs w:val="20"/>
          <w:lang w:eastAsia="it-IT"/>
        </w:rPr>
        <w:t xml:space="preserve">. doi: 10.2139/ssrn.2405442 (accessed on 30 </w:t>
      </w:r>
      <w:r w:rsidR="00DE33A8" w:rsidRPr="00F542AC">
        <w:rPr>
          <w:rFonts w:ascii="Book Antiqua" w:eastAsia="Times New Roman" w:hAnsi="Book Antiqua" w:cs="Times New Roman"/>
          <w:color w:val="000000"/>
          <w:sz w:val="20"/>
          <w:szCs w:val="20"/>
          <w:lang w:eastAsia="it-IT"/>
        </w:rPr>
        <w:t>June</w:t>
      </w:r>
      <w:r w:rsidRPr="00F542AC">
        <w:rPr>
          <w:rFonts w:ascii="Book Antiqua" w:eastAsia="Times New Roman" w:hAnsi="Book Antiqua" w:cs="Times New Roman"/>
          <w:color w:val="000000"/>
          <w:sz w:val="20"/>
          <w:szCs w:val="20"/>
          <w:lang w:eastAsia="it-IT"/>
        </w:rPr>
        <w:t xml:space="preserve"> 2020).</w:t>
      </w:r>
    </w:p>
    <w:p w14:paraId="6D4334FC" w14:textId="6987C561" w:rsidR="007F3A43" w:rsidRPr="00870653"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eastAsia="it-IT"/>
        </w:rPr>
        <w:t xml:space="preserve">Cesaratto, Sergio. 2015. L’organetto di Draghi. Quarta lezione: forward guidance e quantitative easing (2013-2015) - Economia e Politica. </w:t>
      </w:r>
      <w:r w:rsidRPr="00870653">
        <w:rPr>
          <w:rFonts w:ascii="Book Antiqua" w:eastAsia="Times New Roman" w:hAnsi="Book Antiqua" w:cs="Times New Roman"/>
          <w:color w:val="000000"/>
          <w:sz w:val="20"/>
          <w:szCs w:val="20"/>
          <w:lang w:val="en-US" w:eastAsia="it-IT"/>
        </w:rPr>
        <w:t xml:space="preserve">Available online: </w:t>
      </w:r>
      <w:hyperlink r:id="rId17" w:history="1">
        <w:r w:rsidRPr="00870653">
          <w:rPr>
            <w:rStyle w:val="Collegamentoipertestuale"/>
            <w:rFonts w:ascii="Book Antiqua" w:eastAsia="Times New Roman" w:hAnsi="Book Antiqua" w:cs="Times New Roman"/>
            <w:sz w:val="20"/>
            <w:szCs w:val="20"/>
            <w:lang w:val="en-US" w:eastAsia="it-IT"/>
          </w:rPr>
          <w:t>https://www.economiaepolitica.it/il-pensiero-economico/lorganetto-di-draghi-quarta-lezione-forward-guidance-e-quantitative-easing-2013-2015/</w:t>
        </w:r>
      </w:hyperlink>
      <w:r w:rsidRPr="00870653">
        <w:rPr>
          <w:rFonts w:ascii="Book Antiqua" w:eastAsia="Times New Roman" w:hAnsi="Book Antiqua" w:cs="Times New Roman"/>
          <w:color w:val="000000"/>
          <w:sz w:val="20"/>
          <w:szCs w:val="20"/>
          <w:lang w:val="en-US" w:eastAsia="it-IT"/>
        </w:rPr>
        <w:t xml:space="preserve"> (accessed on 3 </w:t>
      </w:r>
      <w:r w:rsidR="00DE33A8" w:rsidRPr="00870653">
        <w:rPr>
          <w:rFonts w:ascii="Book Antiqua" w:eastAsia="Times New Roman" w:hAnsi="Book Antiqua" w:cs="Times New Roman"/>
          <w:color w:val="000000"/>
          <w:sz w:val="20"/>
          <w:szCs w:val="20"/>
          <w:lang w:val="en-US" w:eastAsia="it-IT"/>
        </w:rPr>
        <w:t>August</w:t>
      </w:r>
      <w:r w:rsidRPr="00870653">
        <w:rPr>
          <w:rFonts w:ascii="Book Antiqua" w:eastAsia="Times New Roman" w:hAnsi="Book Antiqua" w:cs="Times New Roman"/>
          <w:color w:val="000000"/>
          <w:sz w:val="20"/>
          <w:szCs w:val="20"/>
          <w:lang w:val="en-US" w:eastAsia="it-IT"/>
        </w:rPr>
        <w:t xml:space="preserve"> 2020).</w:t>
      </w:r>
    </w:p>
    <w:p w14:paraId="4654916C" w14:textId="77777777"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F542AC">
        <w:rPr>
          <w:rFonts w:ascii="Book Antiqua" w:eastAsia="Times New Roman" w:hAnsi="Book Antiqua" w:cs="Times New Roman"/>
          <w:color w:val="000000"/>
          <w:sz w:val="20"/>
          <w:szCs w:val="20"/>
          <w:lang w:eastAsia="it-IT"/>
        </w:rPr>
        <w:t>Cesaratto, Sergio. 2016. Sei lezioni di economia. Reggio Emilia: Imprimatur.</w:t>
      </w:r>
    </w:p>
    <w:p w14:paraId="355BA909" w14:textId="19BC3E0D"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eastAsia="it-IT"/>
        </w:rPr>
        <w:t xml:space="preserve">Chiaramonte, Laura, and Barbara Casu. 2010. </w:t>
      </w:r>
      <w:r w:rsidRPr="00F542AC">
        <w:rPr>
          <w:rFonts w:ascii="Book Antiqua" w:eastAsia="Times New Roman" w:hAnsi="Book Antiqua" w:cs="Times New Roman"/>
          <w:color w:val="000000"/>
          <w:sz w:val="20"/>
          <w:szCs w:val="20"/>
          <w:lang w:val="en-US" w:eastAsia="it-IT"/>
        </w:rPr>
        <w:t xml:space="preserve">Are CDS Spread a Good Proxy of Bank Risk? Evidence from the Financial Crisis. SSRN Electronic Journal. </w:t>
      </w:r>
      <w:hyperlink r:id="rId18" w:history="1">
        <w:r w:rsidRPr="00F542AC">
          <w:rPr>
            <w:rStyle w:val="Collegamentoipertestuale"/>
            <w:rFonts w:ascii="Book Antiqua" w:eastAsia="Times New Roman" w:hAnsi="Book Antiqua" w:cs="Times New Roman"/>
            <w:sz w:val="20"/>
            <w:szCs w:val="20"/>
            <w:lang w:val="en-US" w:eastAsia="it-IT"/>
          </w:rPr>
          <w:t>https://papers.ssrn.com/sol3/papers.cfm?abstract_id=1666793</w:t>
        </w:r>
      </w:hyperlink>
      <w:r w:rsidRPr="00F542AC">
        <w:rPr>
          <w:rFonts w:ascii="Book Antiqua" w:eastAsia="Times New Roman" w:hAnsi="Book Antiqua" w:cs="Times New Roman"/>
          <w:color w:val="000000"/>
          <w:sz w:val="20"/>
          <w:szCs w:val="20"/>
          <w:lang w:val="en-US" w:eastAsia="it-IT"/>
        </w:rPr>
        <w:t xml:space="preserve"> (accessed on 25 </w:t>
      </w:r>
      <w:r w:rsidR="00DE33A8" w:rsidRPr="00F542AC">
        <w:rPr>
          <w:rFonts w:ascii="Book Antiqua" w:eastAsia="Times New Roman" w:hAnsi="Book Antiqua" w:cs="Times New Roman"/>
          <w:color w:val="000000"/>
          <w:sz w:val="20"/>
          <w:szCs w:val="20"/>
          <w:lang w:val="en-US" w:eastAsia="it-IT"/>
        </w:rPr>
        <w:t>August</w:t>
      </w:r>
      <w:r w:rsidRPr="00F542AC">
        <w:rPr>
          <w:rFonts w:ascii="Book Antiqua" w:eastAsia="Times New Roman" w:hAnsi="Book Antiqua" w:cs="Times New Roman"/>
          <w:color w:val="000000"/>
          <w:sz w:val="20"/>
          <w:szCs w:val="20"/>
          <w:lang w:val="en-US" w:eastAsia="it-IT"/>
        </w:rPr>
        <w:t xml:space="preserve"> 2020).</w:t>
      </w:r>
    </w:p>
    <w:p w14:paraId="18709F14" w14:textId="484642C4" w:rsidR="007F3A43" w:rsidRPr="00870653"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val="en-US" w:eastAsia="it-IT"/>
        </w:rPr>
        <w:t xml:space="preserve">De Santis, Roberto 2019. Redenomination Risk. Journal of Money, Credit and Banking 51: 2173–206. </w:t>
      </w:r>
      <w:hyperlink r:id="rId19" w:history="1">
        <w:r w:rsidRPr="00870653">
          <w:rPr>
            <w:rStyle w:val="Collegamentoipertestuale"/>
            <w:rFonts w:ascii="Book Antiqua" w:eastAsia="Times New Roman" w:hAnsi="Book Antiqua" w:cs="Times New Roman"/>
            <w:sz w:val="20"/>
            <w:szCs w:val="20"/>
            <w:lang w:val="en-US" w:eastAsia="it-IT"/>
          </w:rPr>
          <w:t>https://onlinelibrary.wiley.com/doi/abs/10.1111/jmcb.12582</w:t>
        </w:r>
      </w:hyperlink>
      <w:r w:rsidRPr="00870653">
        <w:rPr>
          <w:rFonts w:ascii="Book Antiqua" w:eastAsia="Times New Roman" w:hAnsi="Book Antiqua" w:cs="Times New Roman"/>
          <w:color w:val="000000"/>
          <w:sz w:val="20"/>
          <w:szCs w:val="20"/>
          <w:lang w:val="en-US" w:eastAsia="it-IT"/>
        </w:rPr>
        <w:t xml:space="preserve"> (accessed on 26 </w:t>
      </w:r>
      <w:r w:rsidR="00DE33A8" w:rsidRPr="00870653">
        <w:rPr>
          <w:rFonts w:ascii="Book Antiqua" w:eastAsia="Times New Roman" w:hAnsi="Book Antiqua" w:cs="Times New Roman"/>
          <w:color w:val="000000"/>
          <w:sz w:val="20"/>
          <w:szCs w:val="20"/>
          <w:lang w:val="en-US" w:eastAsia="it-IT"/>
        </w:rPr>
        <w:t>April</w:t>
      </w:r>
      <w:r w:rsidRPr="00870653">
        <w:rPr>
          <w:rFonts w:ascii="Book Antiqua" w:eastAsia="Times New Roman" w:hAnsi="Book Antiqua" w:cs="Times New Roman"/>
          <w:color w:val="000000"/>
          <w:sz w:val="20"/>
          <w:szCs w:val="20"/>
          <w:lang w:val="en-US" w:eastAsia="it-IT"/>
        </w:rPr>
        <w:t xml:space="preserve"> 2020).</w:t>
      </w:r>
    </w:p>
    <w:p w14:paraId="4A7C3F41" w14:textId="257075DA" w:rsidR="006C1AAF" w:rsidRPr="00F542AC" w:rsidRDefault="006C1AAF"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870653">
        <w:rPr>
          <w:rFonts w:ascii="Book Antiqua" w:eastAsia="Times New Roman" w:hAnsi="Book Antiqua" w:cs="Times New Roman"/>
          <w:color w:val="000000"/>
          <w:sz w:val="20"/>
          <w:szCs w:val="20"/>
          <w:lang w:val="en-US" w:eastAsia="it-IT"/>
        </w:rPr>
        <w:t xml:space="preserve">Farhi, Emmanuel, and Tirole, Jean. 2017. Deadly Embrace: Sovereign and Financial Balance Sheets Doom Loops. </w:t>
      </w:r>
      <w:r w:rsidRPr="006C1AAF">
        <w:rPr>
          <w:rFonts w:ascii="Book Antiqua" w:eastAsia="Times New Roman" w:hAnsi="Book Antiqua" w:cs="Times New Roman"/>
          <w:color w:val="000000"/>
          <w:sz w:val="20"/>
          <w:szCs w:val="20"/>
          <w:lang w:eastAsia="it-IT"/>
        </w:rPr>
        <w:t>The Review of Economic Studies, 85(3), pp.1781-1823.</w:t>
      </w:r>
      <w:r w:rsidR="00841814">
        <w:rPr>
          <w:rFonts w:ascii="Book Antiqua" w:eastAsia="Times New Roman" w:hAnsi="Book Antiqua" w:cs="Times New Roman"/>
          <w:color w:val="000000"/>
          <w:sz w:val="20"/>
          <w:szCs w:val="20"/>
          <w:lang w:eastAsia="it-IT"/>
        </w:rPr>
        <w:t xml:space="preserve"> (accessed on 5 January 2021)</w:t>
      </w:r>
    </w:p>
    <w:p w14:paraId="29033702" w14:textId="3704F1A1"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Gros, Daniel. 2018. </w:t>
      </w:r>
      <w:r w:rsidRPr="007F3A43">
        <w:rPr>
          <w:rFonts w:ascii="Book Antiqua" w:hAnsi="Book Antiqua"/>
          <w:i/>
          <w:iCs/>
          <w:color w:val="000000"/>
          <w:sz w:val="20"/>
          <w:szCs w:val="20"/>
        </w:rPr>
        <w:t>Quanto Pesa Il Rischio &lt;&lt;Italexit&gt;&gt; Sullo Spread</w:t>
      </w:r>
      <w:r w:rsidRPr="007F3A43">
        <w:rPr>
          <w:rFonts w:ascii="Book Antiqua" w:hAnsi="Book Antiqua"/>
          <w:color w:val="000000"/>
          <w:sz w:val="20"/>
          <w:szCs w:val="20"/>
        </w:rPr>
        <w:t xml:space="preserve">. [online] Il Sole 24 ORE. </w:t>
      </w:r>
      <w:r>
        <w:rPr>
          <w:rFonts w:ascii="Book Antiqua" w:hAnsi="Book Antiqua"/>
          <w:color w:val="000000"/>
          <w:sz w:val="20"/>
          <w:szCs w:val="20"/>
        </w:rPr>
        <w:t>Available online</w:t>
      </w:r>
      <w:r w:rsidRPr="007F3A43">
        <w:rPr>
          <w:rFonts w:ascii="Book Antiqua" w:hAnsi="Book Antiqua"/>
          <w:color w:val="000000"/>
          <w:sz w:val="20"/>
          <w:szCs w:val="20"/>
        </w:rPr>
        <w:t xml:space="preserve">: </w:t>
      </w:r>
      <w:hyperlink r:id="rId20" w:history="1">
        <w:r w:rsidRPr="007F3A43">
          <w:rPr>
            <w:rStyle w:val="Collegamentoipertestuale"/>
            <w:rFonts w:ascii="Book Antiqua" w:hAnsi="Book Antiqua"/>
            <w:sz w:val="20"/>
            <w:szCs w:val="20"/>
          </w:rPr>
          <w:t>https://st.ilsole24ore.com/art/commenti-e-idee/2018-09-06/quanto-pesa-rischio-italexit-spread-124920.shtml</w:t>
        </w:r>
      </w:hyperlink>
      <w:r w:rsidRPr="007F3A43">
        <w:rPr>
          <w:rFonts w:ascii="Book Antiqua" w:hAnsi="Book Antiqua"/>
          <w:color w:val="000000"/>
          <w:sz w:val="20"/>
          <w:szCs w:val="20"/>
        </w:rPr>
        <w:t>. (access</w:t>
      </w:r>
      <w:r w:rsidR="00DE33A8">
        <w:rPr>
          <w:rFonts w:ascii="Book Antiqua" w:hAnsi="Book Antiqua"/>
          <w:color w:val="000000"/>
          <w:sz w:val="20"/>
          <w:szCs w:val="20"/>
        </w:rPr>
        <w:t xml:space="preserve">ed on </w:t>
      </w:r>
      <w:r w:rsidRPr="007F3A43">
        <w:rPr>
          <w:rFonts w:ascii="Book Antiqua" w:hAnsi="Book Antiqua"/>
          <w:color w:val="000000"/>
          <w:sz w:val="20"/>
          <w:szCs w:val="20"/>
        </w:rPr>
        <w:t xml:space="preserve">11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797BA539" w14:textId="4B0CA0E5"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lang w:val="en-US"/>
        </w:rPr>
      </w:pPr>
      <w:r w:rsidRPr="007F3A43">
        <w:rPr>
          <w:rFonts w:ascii="Book Antiqua" w:hAnsi="Book Antiqua"/>
          <w:color w:val="000000"/>
          <w:sz w:val="20"/>
          <w:szCs w:val="20"/>
          <w:lang w:val="en-US"/>
        </w:rPr>
        <w:t>IHS Markit. 2014. </w:t>
      </w:r>
      <w:r w:rsidRPr="007F3A43">
        <w:rPr>
          <w:rFonts w:ascii="Book Antiqua" w:hAnsi="Book Antiqua"/>
          <w:i/>
          <w:iCs/>
          <w:color w:val="000000"/>
          <w:sz w:val="20"/>
          <w:szCs w:val="20"/>
          <w:lang w:val="en-US"/>
        </w:rPr>
        <w:t>The ISDA Basis Reviewed</w:t>
      </w:r>
      <w:r w:rsidRPr="007F3A43">
        <w:rPr>
          <w:rFonts w:ascii="Book Antiqua" w:hAnsi="Book Antiqua"/>
          <w:color w:val="000000"/>
          <w:sz w:val="20"/>
          <w:szCs w:val="20"/>
          <w:lang w:val="en-US"/>
        </w:rPr>
        <w:t xml:space="preserve">. [online] </w:t>
      </w:r>
      <w:r>
        <w:rPr>
          <w:rFonts w:ascii="Book Antiqua" w:hAnsi="Book Antiqua"/>
          <w:color w:val="000000"/>
          <w:sz w:val="20"/>
          <w:szCs w:val="20"/>
          <w:lang w:val="en-US"/>
        </w:rPr>
        <w:t>Available online</w:t>
      </w:r>
      <w:r w:rsidRPr="007F3A43">
        <w:rPr>
          <w:rFonts w:ascii="Book Antiqua" w:hAnsi="Book Antiqua"/>
          <w:color w:val="000000"/>
          <w:sz w:val="20"/>
          <w:szCs w:val="20"/>
          <w:lang w:val="en-US"/>
        </w:rPr>
        <w:t xml:space="preserve">: </w:t>
      </w:r>
      <w:hyperlink r:id="rId21" w:history="1">
        <w:r w:rsidRPr="007F3A43">
          <w:rPr>
            <w:rStyle w:val="Collegamentoipertestuale"/>
            <w:rFonts w:ascii="Book Antiqua" w:hAnsi="Book Antiqua"/>
            <w:sz w:val="20"/>
            <w:szCs w:val="20"/>
            <w:lang w:val="en-US"/>
          </w:rPr>
          <w:t>https://ihsmarkit.com/research-analysis/29092014-credit-the-isda-basis-reviewed.html</w:t>
        </w:r>
      </w:hyperlink>
      <w:r w:rsidRPr="007F3A43">
        <w:rPr>
          <w:rFonts w:ascii="Book Antiqua" w:hAnsi="Book Antiqua"/>
          <w:color w:val="000000"/>
          <w:sz w:val="20"/>
          <w:szCs w:val="20"/>
          <w:lang w:val="en-US"/>
        </w:rPr>
        <w:t>. (</w:t>
      </w:r>
      <w:r>
        <w:rPr>
          <w:rFonts w:ascii="Book Antiqua" w:hAnsi="Book Antiqua"/>
          <w:color w:val="000000"/>
          <w:sz w:val="20"/>
          <w:szCs w:val="20"/>
          <w:lang w:val="en-US"/>
        </w:rPr>
        <w:t>accessed on</w:t>
      </w:r>
      <w:r w:rsidRPr="007F3A43">
        <w:rPr>
          <w:rFonts w:ascii="Book Antiqua" w:hAnsi="Book Antiqua"/>
          <w:color w:val="000000"/>
          <w:sz w:val="20"/>
          <w:szCs w:val="20"/>
          <w:lang w:val="en-US"/>
        </w:rPr>
        <w:t xml:space="preserve"> 24 </w:t>
      </w:r>
      <w:r w:rsidR="00DE33A8">
        <w:rPr>
          <w:rFonts w:ascii="Book Antiqua" w:hAnsi="Book Antiqua"/>
          <w:color w:val="000000"/>
          <w:sz w:val="20"/>
          <w:szCs w:val="20"/>
          <w:lang w:val="en-US"/>
        </w:rPr>
        <w:t>April</w:t>
      </w:r>
      <w:r w:rsidRPr="007F3A43">
        <w:rPr>
          <w:rFonts w:ascii="Book Antiqua" w:hAnsi="Book Antiqua"/>
          <w:color w:val="000000"/>
          <w:sz w:val="20"/>
          <w:szCs w:val="20"/>
          <w:lang w:val="en-US"/>
        </w:rPr>
        <w:t xml:space="preserve"> 2020).</w:t>
      </w:r>
    </w:p>
    <w:p w14:paraId="177E716C" w14:textId="3AA610B6"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lang w:val="en-US"/>
        </w:rPr>
        <w:t>IHS Markit. 2018. </w:t>
      </w:r>
      <w:r w:rsidRPr="007F3A43">
        <w:rPr>
          <w:rFonts w:ascii="Book Antiqua" w:hAnsi="Book Antiqua"/>
          <w:i/>
          <w:iCs/>
          <w:color w:val="000000"/>
          <w:sz w:val="20"/>
          <w:szCs w:val="20"/>
          <w:lang w:val="en-US"/>
        </w:rPr>
        <w:t>CDS And Redenomination</w:t>
      </w:r>
      <w:r w:rsidRPr="007F3A43">
        <w:rPr>
          <w:rFonts w:ascii="Book Antiqua" w:hAnsi="Book Antiqua"/>
          <w:color w:val="000000"/>
          <w:sz w:val="20"/>
          <w:szCs w:val="20"/>
          <w:lang w:val="en-US"/>
        </w:rPr>
        <w:t xml:space="preserve">. [online] </w:t>
      </w:r>
      <w:r>
        <w:rPr>
          <w:rFonts w:ascii="Book Antiqua" w:hAnsi="Book Antiqua"/>
          <w:color w:val="000000"/>
          <w:sz w:val="20"/>
          <w:szCs w:val="20"/>
          <w:lang w:val="en-US"/>
        </w:rPr>
        <w:t>Available online</w:t>
      </w:r>
      <w:r w:rsidRPr="007F3A43">
        <w:rPr>
          <w:rFonts w:ascii="Book Antiqua" w:hAnsi="Book Antiqua"/>
          <w:color w:val="000000"/>
          <w:sz w:val="20"/>
          <w:szCs w:val="20"/>
          <w:lang w:val="en-US"/>
        </w:rPr>
        <w:t xml:space="preserve">: </w:t>
      </w:r>
      <w:hyperlink r:id="rId22" w:history="1">
        <w:r w:rsidRPr="007F3A43">
          <w:rPr>
            <w:rStyle w:val="Collegamentoipertestuale"/>
            <w:rFonts w:ascii="Book Antiqua" w:hAnsi="Book Antiqua"/>
            <w:sz w:val="20"/>
            <w:szCs w:val="20"/>
            <w:lang w:val="en-US"/>
          </w:rPr>
          <w:t>https://ihsmarkit.com/research-analysis/cds-redenomination.html</w:t>
        </w:r>
      </w:hyperlink>
      <w:r w:rsidRPr="007F3A4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23 </w:t>
      </w:r>
      <w:r w:rsidR="00DE33A8">
        <w:rPr>
          <w:rFonts w:ascii="Book Antiqua" w:hAnsi="Book Antiqua"/>
          <w:color w:val="000000"/>
          <w:sz w:val="20"/>
          <w:szCs w:val="20"/>
        </w:rPr>
        <w:t>May</w:t>
      </w:r>
      <w:r w:rsidRPr="007F3A43">
        <w:rPr>
          <w:rFonts w:ascii="Book Antiqua" w:hAnsi="Book Antiqua"/>
          <w:color w:val="000000"/>
          <w:sz w:val="20"/>
          <w:szCs w:val="20"/>
        </w:rPr>
        <w:t xml:space="preserve"> 2020).</w:t>
      </w:r>
    </w:p>
    <w:p w14:paraId="68D1FD7F" w14:textId="6EC1CC32"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Il Post. 2014. </w:t>
      </w:r>
      <w:r w:rsidRPr="007F3A43">
        <w:rPr>
          <w:rFonts w:ascii="Book Antiqua" w:hAnsi="Book Antiqua"/>
          <w:i/>
          <w:iCs/>
          <w:color w:val="000000"/>
          <w:sz w:val="20"/>
          <w:szCs w:val="20"/>
        </w:rPr>
        <w:t>Che Succede A MPS, In Otto Punti - Il Post</w:t>
      </w:r>
      <w:r w:rsidRPr="007F3A43">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Available online: </w:t>
      </w:r>
      <w:hyperlink r:id="rId23" w:history="1">
        <w:r w:rsidRPr="00870653">
          <w:rPr>
            <w:rStyle w:val="Collegamentoipertestuale"/>
            <w:rFonts w:ascii="Book Antiqua" w:hAnsi="Book Antiqua"/>
            <w:sz w:val="20"/>
            <w:szCs w:val="20"/>
            <w:lang w:val="en-US"/>
          </w:rPr>
          <w:t>https://www.ilpost.it/2014/11/01/mps-condanne-crollo-in-borsa/</w:t>
        </w:r>
      </w:hyperlink>
      <w:r w:rsidRPr="0087065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16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5AF6D2FE" w14:textId="363765AA"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870653">
        <w:rPr>
          <w:rFonts w:ascii="Book Antiqua" w:eastAsia="Times New Roman" w:hAnsi="Book Antiqua" w:cs="Times New Roman"/>
          <w:color w:val="000000"/>
          <w:sz w:val="20"/>
          <w:szCs w:val="20"/>
          <w:lang w:val="en-US" w:eastAsia="it-IT"/>
        </w:rPr>
        <w:t xml:space="preserve">International Monetary Fund. 2017. Regional Economic Outlook: Europe Hitting Its Stride. Available online: </w:t>
      </w:r>
      <w:hyperlink r:id="rId24" w:history="1">
        <w:r w:rsidRPr="00870653">
          <w:rPr>
            <w:rStyle w:val="Collegamentoipertestuale"/>
            <w:rFonts w:ascii="Book Antiqua" w:eastAsia="Times New Roman" w:hAnsi="Book Antiqua" w:cs="Times New Roman"/>
            <w:sz w:val="20"/>
            <w:szCs w:val="20"/>
            <w:lang w:val="en-US" w:eastAsia="it-IT"/>
          </w:rPr>
          <w:t>https://www.imf.org/en/Publications/REO/EU/Issues/2017/11/06/Eurreo1117</w:t>
        </w:r>
      </w:hyperlink>
      <w:r w:rsidRPr="00870653">
        <w:rPr>
          <w:rFonts w:ascii="Book Antiqua" w:eastAsia="Times New Roman" w:hAnsi="Book Antiqua" w:cs="Times New Roman"/>
          <w:color w:val="000000"/>
          <w:sz w:val="20"/>
          <w:szCs w:val="20"/>
          <w:lang w:val="en-US" w:eastAsia="it-IT"/>
        </w:rPr>
        <w:t xml:space="preserve">. </w:t>
      </w:r>
      <w:r w:rsidRPr="00F542AC">
        <w:rPr>
          <w:rFonts w:ascii="Book Antiqua" w:eastAsia="Times New Roman" w:hAnsi="Book Antiqua" w:cs="Times New Roman"/>
          <w:color w:val="000000"/>
          <w:sz w:val="20"/>
          <w:szCs w:val="20"/>
          <w:lang w:val="en-US" w:eastAsia="it-IT"/>
        </w:rPr>
        <w:t xml:space="preserve">(accessed on 16 </w:t>
      </w:r>
      <w:r w:rsidR="00DE33A8" w:rsidRPr="00F542AC">
        <w:rPr>
          <w:rFonts w:ascii="Book Antiqua" w:eastAsia="Times New Roman" w:hAnsi="Book Antiqua" w:cs="Times New Roman"/>
          <w:color w:val="000000"/>
          <w:sz w:val="20"/>
          <w:szCs w:val="20"/>
          <w:lang w:val="en-US" w:eastAsia="it-IT"/>
        </w:rPr>
        <w:t>July</w:t>
      </w:r>
      <w:r w:rsidRPr="00F542AC">
        <w:rPr>
          <w:rFonts w:ascii="Book Antiqua" w:eastAsia="Times New Roman" w:hAnsi="Book Antiqua" w:cs="Times New Roman"/>
          <w:color w:val="000000"/>
          <w:sz w:val="20"/>
          <w:szCs w:val="20"/>
          <w:lang w:val="en-US" w:eastAsia="it-IT"/>
        </w:rPr>
        <w:t xml:space="preserve"> 2020).</w:t>
      </w:r>
    </w:p>
    <w:p w14:paraId="4A093CA7" w14:textId="6EFD473D" w:rsidR="007F3A43" w:rsidRPr="00870653"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val="en-US" w:eastAsia="it-IT"/>
        </w:rPr>
        <w:t xml:space="preserve">ISDA. 2014. Frequently Asked Questions 2014 Credit Derivatives Definitions &amp; Standard Reference Obligations: September 22, 2014 Go-Live. </w:t>
      </w:r>
      <w:r w:rsidRPr="00870653">
        <w:rPr>
          <w:rFonts w:ascii="Book Antiqua" w:eastAsia="Times New Roman" w:hAnsi="Book Antiqua" w:cs="Times New Roman"/>
          <w:color w:val="000000"/>
          <w:sz w:val="20"/>
          <w:szCs w:val="20"/>
          <w:lang w:val="en-US" w:eastAsia="it-IT"/>
        </w:rPr>
        <w:t xml:space="preserve">(2020). Available online: </w:t>
      </w:r>
      <w:hyperlink r:id="rId25" w:history="1">
        <w:r w:rsidRPr="00870653">
          <w:rPr>
            <w:rStyle w:val="Collegamentoipertestuale"/>
            <w:rFonts w:ascii="Book Antiqua" w:eastAsia="Times New Roman" w:hAnsi="Book Antiqua" w:cs="Times New Roman"/>
            <w:sz w:val="20"/>
            <w:szCs w:val="20"/>
            <w:lang w:val="en-US" w:eastAsia="it-IT"/>
          </w:rPr>
          <w:t>https://www.isda.org/a/ydiDE/isda-2014-credit-definitions-faq-v12-clean.pdf</w:t>
        </w:r>
      </w:hyperlink>
      <w:r w:rsidRPr="00870653">
        <w:rPr>
          <w:rFonts w:ascii="Book Antiqua" w:eastAsia="Times New Roman" w:hAnsi="Book Antiqua" w:cs="Times New Roman"/>
          <w:color w:val="000000"/>
          <w:sz w:val="20"/>
          <w:szCs w:val="20"/>
          <w:lang w:val="en-US" w:eastAsia="it-IT"/>
        </w:rPr>
        <w:t xml:space="preserve"> (accessed on 24 </w:t>
      </w:r>
      <w:r w:rsidR="00DE33A8" w:rsidRPr="00870653">
        <w:rPr>
          <w:rFonts w:ascii="Book Antiqua" w:eastAsia="Times New Roman" w:hAnsi="Book Antiqua" w:cs="Times New Roman"/>
          <w:color w:val="000000"/>
          <w:sz w:val="20"/>
          <w:szCs w:val="20"/>
          <w:lang w:val="en-US" w:eastAsia="it-IT"/>
        </w:rPr>
        <w:t>April</w:t>
      </w:r>
      <w:r w:rsidRPr="00870653">
        <w:rPr>
          <w:rFonts w:ascii="Book Antiqua" w:eastAsia="Times New Roman" w:hAnsi="Book Antiqua" w:cs="Times New Roman"/>
          <w:color w:val="000000"/>
          <w:sz w:val="20"/>
          <w:szCs w:val="20"/>
          <w:lang w:val="en-US" w:eastAsia="it-IT"/>
        </w:rPr>
        <w:t xml:space="preserve"> 2020).</w:t>
      </w:r>
    </w:p>
    <w:p w14:paraId="31EB9C7A" w14:textId="3D6300E6" w:rsidR="00841814" w:rsidRPr="00841814" w:rsidRDefault="00841814"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870653">
        <w:rPr>
          <w:rFonts w:ascii="Book Antiqua" w:eastAsia="Times New Roman" w:hAnsi="Book Antiqua" w:cs="Times New Roman"/>
          <w:color w:val="000000"/>
          <w:sz w:val="20"/>
          <w:szCs w:val="20"/>
          <w:lang w:val="en-US" w:eastAsia="it-IT"/>
        </w:rPr>
        <w:t xml:space="preserve">Korte, Josef, and Steffen, Sascha. 2014. Zero Risk Contagion - Banks' Sovereign Exposure and Sovereign Risk Spillovers. </w:t>
      </w:r>
      <w:r w:rsidRPr="00841814">
        <w:rPr>
          <w:rFonts w:ascii="Book Antiqua" w:eastAsia="Times New Roman" w:hAnsi="Book Antiqua" w:cs="Times New Roman"/>
          <w:color w:val="000000"/>
          <w:sz w:val="20"/>
          <w:szCs w:val="20"/>
          <w:lang w:eastAsia="it-IT"/>
        </w:rPr>
        <w:t>SSRN Electronic Journal</w:t>
      </w:r>
      <w:r>
        <w:rPr>
          <w:rFonts w:ascii="Book Antiqua" w:eastAsia="Times New Roman" w:hAnsi="Book Antiqua" w:cs="Times New Roman"/>
          <w:color w:val="000000"/>
          <w:sz w:val="20"/>
          <w:szCs w:val="20"/>
          <w:lang w:eastAsia="it-IT"/>
        </w:rPr>
        <w:t>. (accessed on 5 January 2021).</w:t>
      </w:r>
    </w:p>
    <w:p w14:paraId="40F49F48" w14:textId="30F26B2D" w:rsidR="007F3A43" w:rsidRPr="00870653" w:rsidRDefault="007F3A43" w:rsidP="007F6E18">
      <w:pPr>
        <w:pStyle w:val="Paragrafoelenco"/>
        <w:numPr>
          <w:ilvl w:val="0"/>
          <w:numId w:val="38"/>
        </w:numPr>
        <w:spacing w:line="240" w:lineRule="auto"/>
        <w:ind w:left="567" w:hanging="425"/>
        <w:jc w:val="both"/>
        <w:rPr>
          <w:rFonts w:ascii="Book Antiqua" w:eastAsia="Times New Roman" w:hAnsi="Book Antiqua" w:cs="Times New Roman"/>
          <w:sz w:val="20"/>
          <w:szCs w:val="20"/>
          <w:lang w:val="en-US" w:eastAsia="it-IT"/>
        </w:rPr>
      </w:pPr>
      <w:r w:rsidRPr="00F542AC">
        <w:rPr>
          <w:rFonts w:ascii="Book Antiqua" w:eastAsia="Times New Roman" w:hAnsi="Book Antiqua" w:cs="Times New Roman"/>
          <w:sz w:val="20"/>
          <w:szCs w:val="20"/>
          <w:lang w:val="en-US" w:eastAsia="it-IT"/>
        </w:rPr>
        <w:lastRenderedPageBreak/>
        <w:t xml:space="preserve">Kremens, Lukas. 2019. Currency Redenomination Risk (February 28, 2018). </w:t>
      </w:r>
      <w:r w:rsidRPr="00870653">
        <w:rPr>
          <w:rFonts w:ascii="Book Antiqua" w:eastAsia="Times New Roman" w:hAnsi="Book Antiqua" w:cs="Times New Roman"/>
          <w:sz w:val="20"/>
          <w:szCs w:val="20"/>
          <w:lang w:val="en-US" w:eastAsia="it-IT"/>
        </w:rPr>
        <w:t>Available online: SSRN: </w:t>
      </w:r>
      <w:hyperlink r:id="rId26" w:tgtFrame="_blank" w:history="1">
        <w:r w:rsidRPr="00870653">
          <w:rPr>
            <w:rFonts w:ascii="Book Antiqua" w:eastAsia="Times New Roman" w:hAnsi="Book Antiqua" w:cs="Times New Roman"/>
            <w:sz w:val="20"/>
            <w:szCs w:val="20"/>
            <w:u w:val="single"/>
            <w:lang w:val="en-US" w:eastAsia="it-IT"/>
          </w:rPr>
          <w:t>https://ssrn.com/abstract=3132064</w:t>
        </w:r>
      </w:hyperlink>
      <w:r w:rsidRPr="00870653">
        <w:rPr>
          <w:rFonts w:ascii="Book Antiqua" w:eastAsia="Times New Roman" w:hAnsi="Book Antiqua" w:cs="Times New Roman"/>
          <w:sz w:val="20"/>
          <w:szCs w:val="20"/>
          <w:lang w:val="en-US" w:eastAsia="it-IT"/>
        </w:rPr>
        <w:t> or </w:t>
      </w:r>
      <w:hyperlink r:id="rId27" w:tgtFrame="_blank" w:history="1">
        <w:r w:rsidRPr="00870653">
          <w:rPr>
            <w:rFonts w:ascii="Book Antiqua" w:eastAsia="Times New Roman" w:hAnsi="Book Antiqua" w:cs="Times New Roman"/>
            <w:sz w:val="20"/>
            <w:szCs w:val="20"/>
            <w:u w:val="single"/>
            <w:lang w:val="en-US" w:eastAsia="it-IT"/>
          </w:rPr>
          <w:t>http://dx.doi.org/10.2139/ssrn.3132064</w:t>
        </w:r>
      </w:hyperlink>
      <w:r w:rsidRPr="00870653">
        <w:rPr>
          <w:rFonts w:ascii="Book Antiqua" w:eastAsia="Times New Roman" w:hAnsi="Book Antiqua" w:cs="Times New Roman"/>
          <w:sz w:val="20"/>
          <w:szCs w:val="20"/>
          <w:u w:val="single"/>
          <w:lang w:val="en-US" w:eastAsia="it-IT"/>
        </w:rPr>
        <w:t xml:space="preserve"> </w:t>
      </w:r>
      <w:r w:rsidRPr="00870653">
        <w:rPr>
          <w:rFonts w:ascii="Book Antiqua" w:eastAsia="Times New Roman" w:hAnsi="Book Antiqua" w:cs="Times New Roman"/>
          <w:sz w:val="20"/>
          <w:szCs w:val="20"/>
          <w:lang w:val="en-US" w:eastAsia="it-IT"/>
        </w:rPr>
        <w:t xml:space="preserve">(accessed on 26 </w:t>
      </w:r>
      <w:r w:rsidR="00DE33A8" w:rsidRPr="00870653">
        <w:rPr>
          <w:rFonts w:ascii="Book Antiqua" w:eastAsia="Times New Roman" w:hAnsi="Book Antiqua" w:cs="Times New Roman"/>
          <w:sz w:val="20"/>
          <w:szCs w:val="20"/>
          <w:lang w:val="en-US" w:eastAsia="it-IT"/>
        </w:rPr>
        <w:t>April</w:t>
      </w:r>
      <w:r w:rsidRPr="00870653">
        <w:rPr>
          <w:rFonts w:ascii="Book Antiqua" w:eastAsia="Times New Roman" w:hAnsi="Book Antiqua" w:cs="Times New Roman"/>
          <w:sz w:val="20"/>
          <w:szCs w:val="20"/>
          <w:lang w:val="en-US" w:eastAsia="it-IT"/>
        </w:rPr>
        <w:t xml:space="preserve"> 2020).</w:t>
      </w:r>
    </w:p>
    <w:p w14:paraId="038F6D71" w14:textId="702E6249" w:rsidR="007F3A43" w:rsidRPr="00870653"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val="en-US" w:eastAsia="it-IT"/>
        </w:rPr>
      </w:pPr>
      <w:r w:rsidRPr="00F542AC">
        <w:rPr>
          <w:rFonts w:ascii="Book Antiqua" w:eastAsia="Times New Roman" w:hAnsi="Book Antiqua" w:cs="Times New Roman"/>
          <w:color w:val="000000"/>
          <w:sz w:val="20"/>
          <w:szCs w:val="20"/>
          <w:lang w:eastAsia="it-IT"/>
        </w:rPr>
        <w:t xml:space="preserve">Li, Junye, </w:t>
      </w:r>
      <w:r w:rsidR="00DE33A8" w:rsidRPr="00F542AC">
        <w:rPr>
          <w:rFonts w:ascii="Book Antiqua" w:eastAsia="Times New Roman" w:hAnsi="Book Antiqua" w:cs="Times New Roman"/>
          <w:color w:val="000000"/>
          <w:sz w:val="20"/>
          <w:szCs w:val="20"/>
          <w:lang w:eastAsia="it-IT"/>
        </w:rPr>
        <w:t>and</w:t>
      </w:r>
      <w:r w:rsidRPr="00F542AC">
        <w:rPr>
          <w:rFonts w:ascii="Book Antiqua" w:eastAsia="Times New Roman" w:hAnsi="Book Antiqua" w:cs="Times New Roman"/>
          <w:color w:val="000000"/>
          <w:sz w:val="20"/>
          <w:szCs w:val="20"/>
          <w:lang w:eastAsia="it-IT"/>
        </w:rPr>
        <w:t xml:space="preserve"> Zinna Gabriele. </w:t>
      </w:r>
      <w:r w:rsidRPr="00F542AC">
        <w:rPr>
          <w:rFonts w:ascii="Book Antiqua" w:eastAsia="Times New Roman" w:hAnsi="Book Antiqua" w:cs="Times New Roman"/>
          <w:color w:val="000000"/>
          <w:sz w:val="20"/>
          <w:szCs w:val="20"/>
          <w:lang w:val="en-US" w:eastAsia="it-IT"/>
        </w:rPr>
        <w:t xml:space="preserve">2014. How Much of Bank Credit Risk is Sovereign Risk? </w:t>
      </w:r>
      <w:r w:rsidRPr="00870653">
        <w:rPr>
          <w:rFonts w:ascii="Book Antiqua" w:eastAsia="Times New Roman" w:hAnsi="Book Antiqua" w:cs="Times New Roman"/>
          <w:color w:val="000000"/>
          <w:sz w:val="20"/>
          <w:szCs w:val="20"/>
          <w:lang w:val="en-US" w:eastAsia="it-IT"/>
        </w:rPr>
        <w:t>Evidence from the Eurozone. </w:t>
      </w:r>
      <w:r w:rsidRPr="00870653">
        <w:rPr>
          <w:rFonts w:ascii="Book Antiqua" w:eastAsia="Times New Roman" w:hAnsi="Book Antiqua" w:cs="Times New Roman"/>
          <w:i/>
          <w:iCs/>
          <w:color w:val="000000"/>
          <w:sz w:val="20"/>
          <w:szCs w:val="20"/>
          <w:lang w:val="en-US" w:eastAsia="it-IT"/>
        </w:rPr>
        <w:t>SSRN Electronic Journal</w:t>
      </w:r>
      <w:r w:rsidRPr="00870653">
        <w:rPr>
          <w:rFonts w:ascii="Book Antiqua" w:eastAsia="Times New Roman" w:hAnsi="Book Antiqua" w:cs="Times New Roman"/>
          <w:color w:val="000000"/>
          <w:sz w:val="20"/>
          <w:szCs w:val="20"/>
          <w:lang w:val="en-US" w:eastAsia="it-IT"/>
        </w:rPr>
        <w:t xml:space="preserve">. doi: 10.2139/ssrn.2571288 (accessed on 30 </w:t>
      </w:r>
      <w:r w:rsidR="00DE33A8" w:rsidRPr="00870653">
        <w:rPr>
          <w:rFonts w:ascii="Book Antiqua" w:eastAsia="Times New Roman" w:hAnsi="Book Antiqua" w:cs="Times New Roman"/>
          <w:color w:val="000000"/>
          <w:sz w:val="20"/>
          <w:szCs w:val="20"/>
          <w:lang w:val="en-US" w:eastAsia="it-IT"/>
        </w:rPr>
        <w:t>June</w:t>
      </w:r>
      <w:r w:rsidRPr="00870653">
        <w:rPr>
          <w:rFonts w:ascii="Book Antiqua" w:eastAsia="Times New Roman" w:hAnsi="Book Antiqua" w:cs="Times New Roman"/>
          <w:color w:val="000000"/>
          <w:sz w:val="20"/>
          <w:szCs w:val="20"/>
          <w:lang w:val="en-US" w:eastAsia="it-IT"/>
        </w:rPr>
        <w:t xml:space="preserve"> 2020).</w:t>
      </w:r>
    </w:p>
    <w:p w14:paraId="30664B30" w14:textId="4EF2D550"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Longo, Morya. 2018. </w:t>
      </w:r>
      <w:r w:rsidRPr="007F3A43">
        <w:rPr>
          <w:rFonts w:ascii="Book Antiqua" w:hAnsi="Book Antiqua"/>
          <w:i/>
          <w:iCs/>
          <w:color w:val="000000"/>
          <w:sz w:val="20"/>
          <w:szCs w:val="20"/>
        </w:rPr>
        <w:t>Euro, Italexit È La Vera Paura Dei Mercati: Lo Dicono I Cds</w:t>
      </w:r>
      <w:r w:rsidRPr="007F3A43">
        <w:rPr>
          <w:rFonts w:ascii="Book Antiqua" w:hAnsi="Book Antiqua"/>
          <w:color w:val="000000"/>
          <w:sz w:val="20"/>
          <w:szCs w:val="20"/>
        </w:rPr>
        <w:t xml:space="preserve">. [online] Il Sole 24 ORE. </w:t>
      </w:r>
      <w:r>
        <w:rPr>
          <w:rFonts w:ascii="Book Antiqua" w:hAnsi="Book Antiqua"/>
          <w:color w:val="000000"/>
          <w:sz w:val="20"/>
          <w:szCs w:val="20"/>
        </w:rPr>
        <w:t>Available online</w:t>
      </w:r>
      <w:r w:rsidRPr="007F3A43">
        <w:rPr>
          <w:rFonts w:ascii="Book Antiqua" w:hAnsi="Book Antiqua"/>
          <w:color w:val="000000"/>
          <w:sz w:val="20"/>
          <w:szCs w:val="20"/>
        </w:rPr>
        <w:t xml:space="preserve">: </w:t>
      </w:r>
      <w:hyperlink r:id="rId28" w:history="1">
        <w:r w:rsidRPr="007F3A43">
          <w:rPr>
            <w:rStyle w:val="Collegamentoipertestuale"/>
            <w:rFonts w:ascii="Book Antiqua" w:hAnsi="Book Antiqua"/>
            <w:sz w:val="20"/>
            <w:szCs w:val="20"/>
          </w:rPr>
          <w:t>https://st.ilsole24ore.com/art/finanza-e-mercati/2018-10-11/italexit-e-vera-paura-mercati-dice-cds-193517.shtml</w:t>
        </w:r>
      </w:hyperlink>
      <w:r w:rsidRPr="007F3A43">
        <w:rPr>
          <w:rFonts w:ascii="Book Antiqua" w:hAnsi="Book Antiqua"/>
          <w:color w:val="000000"/>
          <w:sz w:val="20"/>
          <w:szCs w:val="20"/>
        </w:rPr>
        <w:t>. (access</w:t>
      </w:r>
      <w:r w:rsidR="00DE33A8">
        <w:rPr>
          <w:rFonts w:ascii="Book Antiqua" w:hAnsi="Book Antiqua"/>
          <w:color w:val="000000"/>
          <w:sz w:val="20"/>
          <w:szCs w:val="20"/>
        </w:rPr>
        <w:t xml:space="preserve">ed on </w:t>
      </w:r>
      <w:r w:rsidRPr="007F3A43">
        <w:rPr>
          <w:rFonts w:ascii="Book Antiqua" w:hAnsi="Book Antiqua"/>
          <w:color w:val="000000"/>
          <w:sz w:val="20"/>
          <w:szCs w:val="20"/>
        </w:rPr>
        <w:t xml:space="preserve">11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5F5F40AF" w14:textId="21484CBF"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lang w:val="en-US"/>
        </w:rPr>
      </w:pPr>
      <w:r w:rsidRPr="007F3A43">
        <w:rPr>
          <w:rFonts w:ascii="Book Antiqua" w:hAnsi="Book Antiqua"/>
          <w:color w:val="000000"/>
          <w:sz w:val="20"/>
          <w:szCs w:val="20"/>
        </w:rPr>
        <w:t>Longo, Morya. 2019. </w:t>
      </w:r>
      <w:r w:rsidRPr="007F3A43">
        <w:rPr>
          <w:rFonts w:ascii="Book Antiqua" w:hAnsi="Book Antiqua"/>
          <w:i/>
          <w:iCs/>
          <w:color w:val="000000"/>
          <w:sz w:val="20"/>
          <w:szCs w:val="20"/>
        </w:rPr>
        <w:t>Debito Pubblico, L’Incertezza Politica Ha Un Costo Extra Di 5 Miliardi</w:t>
      </w:r>
      <w:r w:rsidRPr="007F3A43">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Ilsole24ore.com. Available online: </w:t>
      </w:r>
      <w:hyperlink r:id="rId29" w:history="1">
        <w:r w:rsidRPr="00870653">
          <w:rPr>
            <w:rStyle w:val="Collegamentoipertestuale"/>
            <w:rFonts w:ascii="Book Antiqua" w:hAnsi="Book Antiqua"/>
            <w:sz w:val="20"/>
            <w:szCs w:val="20"/>
            <w:lang w:val="en-US"/>
          </w:rPr>
          <w:t>https://www.ilsole24ore.com/art/debito-pubblico-l-incertezza-politica-ha-costo-extra-5-miliardi-AC7LAbe</w:t>
        </w:r>
      </w:hyperlink>
      <w:r w:rsidRPr="00870653">
        <w:rPr>
          <w:rFonts w:ascii="Book Antiqua" w:hAnsi="Book Antiqua"/>
          <w:color w:val="000000"/>
          <w:sz w:val="20"/>
          <w:szCs w:val="20"/>
          <w:lang w:val="en-US"/>
        </w:rPr>
        <w:t xml:space="preserve">. </w:t>
      </w:r>
      <w:r w:rsidRPr="007F3A43">
        <w:rPr>
          <w:rFonts w:ascii="Book Antiqua" w:hAnsi="Book Antiqua"/>
          <w:color w:val="000000"/>
          <w:sz w:val="20"/>
          <w:szCs w:val="20"/>
          <w:lang w:val="en-US"/>
        </w:rPr>
        <w:t>(</w:t>
      </w:r>
      <w:r>
        <w:rPr>
          <w:rFonts w:ascii="Book Antiqua" w:hAnsi="Book Antiqua"/>
          <w:color w:val="000000"/>
          <w:sz w:val="20"/>
          <w:szCs w:val="20"/>
          <w:lang w:val="en-US"/>
        </w:rPr>
        <w:t>accessed on</w:t>
      </w:r>
      <w:r w:rsidRPr="007F3A43">
        <w:rPr>
          <w:rFonts w:ascii="Book Antiqua" w:hAnsi="Book Antiqua"/>
          <w:color w:val="000000"/>
          <w:sz w:val="20"/>
          <w:szCs w:val="20"/>
          <w:lang w:val="en-US"/>
        </w:rPr>
        <w:t xml:space="preserve"> 15 </w:t>
      </w:r>
      <w:r w:rsidR="00DE33A8">
        <w:rPr>
          <w:rFonts w:ascii="Book Antiqua" w:hAnsi="Book Antiqua"/>
          <w:color w:val="000000"/>
          <w:sz w:val="20"/>
          <w:szCs w:val="20"/>
          <w:lang w:val="en-US"/>
        </w:rPr>
        <w:t>July</w:t>
      </w:r>
      <w:r w:rsidRPr="007F3A43">
        <w:rPr>
          <w:rFonts w:ascii="Book Antiqua" w:hAnsi="Book Antiqua"/>
          <w:color w:val="000000"/>
          <w:sz w:val="20"/>
          <w:szCs w:val="20"/>
          <w:lang w:val="en-US"/>
        </w:rPr>
        <w:t xml:space="preserve"> 2020).</w:t>
      </w:r>
    </w:p>
    <w:p w14:paraId="0B6E0D09" w14:textId="58DDB6E4"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870653">
        <w:rPr>
          <w:rFonts w:ascii="Book Antiqua" w:eastAsia="Times New Roman" w:hAnsi="Book Antiqua" w:cs="Times New Roman"/>
          <w:color w:val="000000"/>
          <w:sz w:val="20"/>
          <w:szCs w:val="20"/>
          <w:lang w:val="en-US" w:eastAsia="it-IT"/>
        </w:rPr>
        <w:t xml:space="preserve">Markit. 2014. ISDA 2014 CDS definitions: a robust framework. Available online: </w:t>
      </w:r>
      <w:hyperlink r:id="rId30" w:history="1">
        <w:r w:rsidRPr="00870653">
          <w:rPr>
            <w:rStyle w:val="Collegamentoipertestuale"/>
            <w:rFonts w:ascii="Book Antiqua" w:eastAsia="Times New Roman" w:hAnsi="Book Antiqua" w:cs="Times New Roman"/>
            <w:sz w:val="20"/>
            <w:szCs w:val="20"/>
            <w:lang w:val="en-US" w:eastAsia="it-IT"/>
          </w:rPr>
          <w:t>https://ihsmarkit.com/research-analysis/19092014-isda-2014-cds-definitions-a-robust-framework.html</w:t>
        </w:r>
      </w:hyperlink>
      <w:r w:rsidRPr="00870653">
        <w:rPr>
          <w:rFonts w:ascii="Book Antiqua" w:eastAsia="Times New Roman" w:hAnsi="Book Antiqua" w:cs="Times New Roman"/>
          <w:color w:val="000000"/>
          <w:sz w:val="20"/>
          <w:szCs w:val="20"/>
          <w:lang w:val="en-US" w:eastAsia="it-IT"/>
        </w:rPr>
        <w:t xml:space="preserve">. </w:t>
      </w:r>
      <w:r w:rsidRPr="00F542AC">
        <w:rPr>
          <w:rFonts w:ascii="Book Antiqua" w:eastAsia="Times New Roman" w:hAnsi="Book Antiqua" w:cs="Times New Roman"/>
          <w:color w:val="000000"/>
          <w:sz w:val="20"/>
          <w:szCs w:val="20"/>
          <w:lang w:eastAsia="it-IT"/>
        </w:rPr>
        <w:t xml:space="preserve">(accessed on 24 </w:t>
      </w:r>
      <w:r w:rsidR="00DE33A8" w:rsidRPr="00F542AC">
        <w:rPr>
          <w:rFonts w:ascii="Book Antiqua" w:eastAsia="Times New Roman" w:hAnsi="Book Antiqua" w:cs="Times New Roman"/>
          <w:color w:val="000000"/>
          <w:sz w:val="20"/>
          <w:szCs w:val="20"/>
          <w:lang w:eastAsia="it-IT"/>
        </w:rPr>
        <w:t>April</w:t>
      </w:r>
      <w:r w:rsidRPr="00F542AC">
        <w:rPr>
          <w:rFonts w:ascii="Book Antiqua" w:eastAsia="Times New Roman" w:hAnsi="Book Antiqua" w:cs="Times New Roman"/>
          <w:color w:val="000000"/>
          <w:sz w:val="20"/>
          <w:szCs w:val="20"/>
          <w:lang w:eastAsia="it-IT"/>
        </w:rPr>
        <w:t xml:space="preserve"> 2020).</w:t>
      </w:r>
    </w:p>
    <w:p w14:paraId="17F6D46F" w14:textId="0077FF60"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F542AC">
        <w:rPr>
          <w:rFonts w:ascii="Book Antiqua" w:eastAsia="Times New Roman" w:hAnsi="Book Antiqua" w:cs="Times New Roman"/>
          <w:color w:val="000000"/>
          <w:sz w:val="20"/>
          <w:szCs w:val="20"/>
          <w:lang w:eastAsia="it-IT"/>
        </w:rPr>
        <w:t>Ministero dell’Economia e delle Finanze. 2011. </w:t>
      </w:r>
      <w:r w:rsidRPr="00F542AC">
        <w:rPr>
          <w:rFonts w:ascii="Book Antiqua" w:eastAsia="Times New Roman" w:hAnsi="Book Antiqua" w:cs="Times New Roman"/>
          <w:i/>
          <w:iCs/>
          <w:color w:val="000000"/>
          <w:sz w:val="20"/>
          <w:szCs w:val="20"/>
          <w:lang w:eastAsia="it-IT"/>
        </w:rPr>
        <w:t>Specialisti In Titoli Di Stato - MEF Dipartimento Del Tesoro</w:t>
      </w:r>
      <w:r w:rsidRPr="00F542AC">
        <w:rPr>
          <w:rFonts w:ascii="Book Antiqua" w:eastAsia="Times New Roman" w:hAnsi="Book Antiqua" w:cs="Times New Roman"/>
          <w:color w:val="000000"/>
          <w:sz w:val="20"/>
          <w:szCs w:val="20"/>
          <w:lang w:eastAsia="it-IT"/>
        </w:rPr>
        <w:t xml:space="preserve">. </w:t>
      </w:r>
      <w:r w:rsidRPr="00870653">
        <w:rPr>
          <w:rFonts w:ascii="Book Antiqua" w:eastAsia="Times New Roman" w:hAnsi="Book Antiqua" w:cs="Times New Roman"/>
          <w:color w:val="000000"/>
          <w:sz w:val="20"/>
          <w:szCs w:val="20"/>
          <w:lang w:val="en-US" w:eastAsia="it-IT"/>
        </w:rPr>
        <w:t xml:space="preserve">[online] Available online: </w:t>
      </w:r>
      <w:hyperlink r:id="rId31" w:history="1">
        <w:r w:rsidRPr="00870653">
          <w:rPr>
            <w:rStyle w:val="Collegamentoipertestuale"/>
            <w:rFonts w:ascii="Book Antiqua" w:eastAsia="Times New Roman" w:hAnsi="Book Antiqua" w:cs="Times New Roman"/>
            <w:sz w:val="20"/>
            <w:szCs w:val="20"/>
            <w:lang w:val="en-US" w:eastAsia="it-IT"/>
          </w:rPr>
          <w:t>http://www.dt.mef.gov.it/it/debito_pubblico/specialisti_titoli_stato/</w:t>
        </w:r>
      </w:hyperlink>
      <w:r w:rsidRPr="00870653">
        <w:rPr>
          <w:rFonts w:ascii="Book Antiqua" w:eastAsia="Times New Roman" w:hAnsi="Book Antiqua" w:cs="Times New Roman"/>
          <w:color w:val="000000"/>
          <w:sz w:val="20"/>
          <w:szCs w:val="20"/>
          <w:lang w:val="en-US" w:eastAsia="it-IT"/>
        </w:rPr>
        <w:t xml:space="preserve">. </w:t>
      </w:r>
      <w:r w:rsidRPr="00F542AC">
        <w:rPr>
          <w:rFonts w:ascii="Book Antiqua" w:eastAsia="Times New Roman" w:hAnsi="Book Antiqua" w:cs="Times New Roman"/>
          <w:color w:val="000000"/>
          <w:sz w:val="20"/>
          <w:szCs w:val="20"/>
          <w:lang w:eastAsia="it-IT"/>
        </w:rPr>
        <w:t xml:space="preserve">(accessed on 29 </w:t>
      </w:r>
      <w:r w:rsidR="00DE33A8" w:rsidRPr="00F542AC">
        <w:rPr>
          <w:rFonts w:ascii="Book Antiqua" w:eastAsia="Times New Roman" w:hAnsi="Book Antiqua" w:cs="Times New Roman"/>
          <w:color w:val="000000"/>
          <w:sz w:val="20"/>
          <w:szCs w:val="20"/>
          <w:lang w:eastAsia="it-IT"/>
        </w:rPr>
        <w:t>May</w:t>
      </w:r>
      <w:r w:rsidRPr="00F542AC">
        <w:rPr>
          <w:rFonts w:ascii="Book Antiqua" w:eastAsia="Times New Roman" w:hAnsi="Book Antiqua" w:cs="Times New Roman"/>
          <w:color w:val="000000"/>
          <w:sz w:val="20"/>
          <w:szCs w:val="20"/>
          <w:lang w:eastAsia="it-IT"/>
        </w:rPr>
        <w:t xml:space="preserve"> 2020).</w:t>
      </w:r>
    </w:p>
    <w:p w14:paraId="0F56B827" w14:textId="54DCF330"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Palomba, Giulio. 2018. </w:t>
      </w:r>
      <w:r w:rsidRPr="007F3A43">
        <w:rPr>
          <w:rFonts w:ascii="Book Antiqua" w:hAnsi="Book Antiqua"/>
          <w:i/>
          <w:iCs/>
          <w:color w:val="000000"/>
          <w:sz w:val="20"/>
          <w:szCs w:val="20"/>
        </w:rPr>
        <w:t>Dispensa Di Econometria Delle Serie Storiche</w:t>
      </w:r>
      <w:r w:rsidRPr="007F3A43">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Utenti.dises.univpm.it. Available online: </w:t>
      </w:r>
      <w:hyperlink r:id="rId32" w:history="1">
        <w:r w:rsidRPr="00870653">
          <w:rPr>
            <w:rStyle w:val="Collegamentoipertestuale"/>
            <w:rFonts w:ascii="Book Antiqua" w:hAnsi="Book Antiqua"/>
            <w:sz w:val="20"/>
            <w:szCs w:val="20"/>
            <w:lang w:val="en-US"/>
          </w:rPr>
          <w:t>http://utenti.dises.univpm.it/palomba/Mat/DispensaESS.pdf</w:t>
        </w:r>
      </w:hyperlink>
      <w:r w:rsidRPr="0087065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23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0CE35CD4" w14:textId="7933BBD7"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Pavesi, Fabio. 2017. </w:t>
      </w:r>
      <w:r w:rsidRPr="007F3A43">
        <w:rPr>
          <w:rFonts w:ascii="Book Antiqua" w:hAnsi="Book Antiqua"/>
          <w:i/>
          <w:iCs/>
          <w:color w:val="000000"/>
          <w:sz w:val="20"/>
          <w:szCs w:val="20"/>
        </w:rPr>
        <w:t>Mps, Si Chiude Un Decennio Tragico Con Perdite Da 20 Miliardi Per Gli Azionisti</w:t>
      </w:r>
      <w:r w:rsidRPr="007F3A43">
        <w:rPr>
          <w:rFonts w:ascii="Book Antiqua" w:hAnsi="Book Antiqua"/>
          <w:color w:val="000000"/>
          <w:sz w:val="20"/>
          <w:szCs w:val="20"/>
        </w:rPr>
        <w:t xml:space="preserve">. [online] Il Sole 24 ORE. </w:t>
      </w:r>
      <w:r>
        <w:rPr>
          <w:rFonts w:ascii="Book Antiqua" w:hAnsi="Book Antiqua"/>
          <w:color w:val="000000"/>
          <w:sz w:val="20"/>
          <w:szCs w:val="20"/>
        </w:rPr>
        <w:t>Available online</w:t>
      </w:r>
      <w:r w:rsidRPr="007F3A43">
        <w:rPr>
          <w:rFonts w:ascii="Book Antiqua" w:hAnsi="Book Antiqua"/>
          <w:color w:val="000000"/>
          <w:sz w:val="20"/>
          <w:szCs w:val="20"/>
        </w:rPr>
        <w:t xml:space="preserve">: </w:t>
      </w:r>
      <w:hyperlink r:id="rId33" w:history="1">
        <w:r w:rsidRPr="007F3A43">
          <w:rPr>
            <w:rStyle w:val="Collegamentoipertestuale"/>
            <w:rFonts w:ascii="Book Antiqua" w:hAnsi="Book Antiqua"/>
            <w:sz w:val="20"/>
            <w:szCs w:val="20"/>
          </w:rPr>
          <w:t>https://st.ilsole24ore.com/art/finanza-e-mercati/2017-10-24/mps-si-chiude-decennio-tragico-perdite--20-miliardi-gli-azionisti-191229.shtml</w:t>
        </w:r>
      </w:hyperlink>
      <w:r w:rsidRPr="007F3A43">
        <w:rPr>
          <w:rFonts w:ascii="Book Antiqua" w:hAnsi="Book Antiqua"/>
          <w:color w:val="000000"/>
          <w:sz w:val="20"/>
          <w:szCs w:val="20"/>
        </w:rPr>
        <w:t>. (</w:t>
      </w:r>
      <w:r>
        <w:rPr>
          <w:rFonts w:ascii="Book Antiqua" w:hAnsi="Book Antiqua"/>
          <w:color w:val="000000"/>
          <w:sz w:val="20"/>
          <w:szCs w:val="20"/>
        </w:rPr>
        <w:t>accessed on</w:t>
      </w:r>
      <w:r w:rsidRPr="007F3A43">
        <w:rPr>
          <w:rFonts w:ascii="Book Antiqua" w:hAnsi="Book Antiqua"/>
          <w:color w:val="000000"/>
          <w:sz w:val="20"/>
          <w:szCs w:val="20"/>
        </w:rPr>
        <w:t xml:space="preserve"> 16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096CEE63" w14:textId="0417DDF7" w:rsidR="007F3A43" w:rsidRPr="007F3A43" w:rsidRDefault="007F3A43" w:rsidP="007F6E18">
      <w:pPr>
        <w:pStyle w:val="NormaleWeb"/>
        <w:numPr>
          <w:ilvl w:val="0"/>
          <w:numId w:val="38"/>
        </w:numPr>
        <w:spacing w:after="180"/>
        <w:ind w:left="567" w:hanging="425"/>
        <w:jc w:val="both"/>
        <w:rPr>
          <w:rFonts w:ascii="Book Antiqua" w:hAnsi="Book Antiqua"/>
          <w:color w:val="000000"/>
          <w:sz w:val="20"/>
          <w:szCs w:val="20"/>
        </w:rPr>
      </w:pPr>
      <w:r w:rsidRPr="007F3A43">
        <w:rPr>
          <w:rFonts w:ascii="Book Antiqua" w:hAnsi="Book Antiqua"/>
          <w:color w:val="000000"/>
          <w:sz w:val="20"/>
          <w:szCs w:val="20"/>
          <w:lang w:val="en-US"/>
        </w:rPr>
        <w:t xml:space="preserve">Reed, Jonathan R. 2018. Major Global Markets Are Already in a Bear Market or Getting Close, Stoking Fears of Slowing Growth. </w:t>
      </w:r>
      <w:r>
        <w:rPr>
          <w:rFonts w:ascii="Book Antiqua" w:hAnsi="Book Antiqua"/>
          <w:color w:val="000000"/>
          <w:sz w:val="20"/>
          <w:szCs w:val="20"/>
          <w:lang w:val="en-US"/>
        </w:rPr>
        <w:t>Available online</w:t>
      </w:r>
      <w:r w:rsidRPr="007F3A43">
        <w:rPr>
          <w:rFonts w:ascii="Book Antiqua" w:hAnsi="Book Antiqua"/>
          <w:color w:val="000000"/>
          <w:sz w:val="20"/>
          <w:szCs w:val="20"/>
          <w:lang w:val="en-US"/>
        </w:rPr>
        <w:t xml:space="preserve">: </w:t>
      </w:r>
      <w:hyperlink r:id="rId34" w:history="1">
        <w:r w:rsidRPr="007F3A43">
          <w:rPr>
            <w:rStyle w:val="Collegamentoipertestuale"/>
            <w:rFonts w:ascii="Book Antiqua" w:hAnsi="Book Antiqua"/>
            <w:sz w:val="20"/>
            <w:szCs w:val="20"/>
            <w:lang w:val="en-US"/>
          </w:rPr>
          <w:t>https://www.cnbc.com/2018/12/17/major-global-markets-already-in-bear-market stoking-growth-fears.html</w:t>
        </w:r>
      </w:hyperlink>
      <w:r w:rsidRPr="007F3A4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27 </w:t>
      </w:r>
      <w:r w:rsidR="00DE33A8">
        <w:rPr>
          <w:rFonts w:ascii="Book Antiqua" w:hAnsi="Book Antiqua"/>
          <w:color w:val="000000"/>
          <w:sz w:val="20"/>
          <w:szCs w:val="20"/>
        </w:rPr>
        <w:t>August</w:t>
      </w:r>
      <w:r w:rsidRPr="007F3A43">
        <w:rPr>
          <w:rFonts w:ascii="Book Antiqua" w:hAnsi="Book Antiqua"/>
          <w:color w:val="000000"/>
          <w:sz w:val="20"/>
          <w:szCs w:val="20"/>
        </w:rPr>
        <w:t xml:space="preserve"> 2020).</w:t>
      </w:r>
    </w:p>
    <w:p w14:paraId="3301F660" w14:textId="6B80CE08" w:rsidR="007F3A43" w:rsidRPr="00870653" w:rsidRDefault="007F3A43" w:rsidP="007F6E18">
      <w:pPr>
        <w:pStyle w:val="NormaleWeb"/>
        <w:numPr>
          <w:ilvl w:val="0"/>
          <w:numId w:val="38"/>
        </w:numPr>
        <w:spacing w:after="180"/>
        <w:ind w:left="567" w:hanging="425"/>
        <w:jc w:val="both"/>
        <w:rPr>
          <w:rFonts w:ascii="Book Antiqua" w:hAnsi="Book Antiqua"/>
          <w:color w:val="000000"/>
          <w:sz w:val="20"/>
          <w:szCs w:val="20"/>
          <w:lang w:val="en-US"/>
        </w:rPr>
      </w:pPr>
      <w:r w:rsidRPr="007F3A43">
        <w:rPr>
          <w:rFonts w:ascii="Book Antiqua" w:hAnsi="Book Antiqua"/>
          <w:color w:val="000000"/>
          <w:sz w:val="20"/>
          <w:szCs w:val="20"/>
        </w:rPr>
        <w:t xml:space="preserve">Samaniego-Medina, Reyes, Antonio Trujillo-Ponce, Purificación Parrado-Martínez, </w:t>
      </w:r>
      <w:r w:rsidR="00DE33A8">
        <w:rPr>
          <w:rFonts w:ascii="Book Antiqua" w:hAnsi="Book Antiqua"/>
          <w:color w:val="000000"/>
          <w:sz w:val="20"/>
          <w:szCs w:val="20"/>
        </w:rPr>
        <w:t>and</w:t>
      </w:r>
      <w:r w:rsidRPr="007F3A43">
        <w:rPr>
          <w:rFonts w:ascii="Book Antiqua" w:hAnsi="Book Antiqua"/>
          <w:color w:val="000000"/>
          <w:sz w:val="20"/>
          <w:szCs w:val="20"/>
        </w:rPr>
        <w:t xml:space="preserve"> Filippo di Pietro. </w:t>
      </w:r>
      <w:r w:rsidRPr="007F3A43">
        <w:rPr>
          <w:rFonts w:ascii="Book Antiqua" w:hAnsi="Book Antiqua"/>
          <w:color w:val="000000"/>
          <w:sz w:val="20"/>
          <w:szCs w:val="20"/>
          <w:lang w:val="en-US"/>
        </w:rPr>
        <w:t xml:space="preserve">2016. Determinants of bank CDS spreads in Europe. Journal of Economics and Business 86: 1–15. </w:t>
      </w:r>
      <w:hyperlink r:id="rId35" w:history="1">
        <w:r w:rsidRPr="00870653">
          <w:rPr>
            <w:rStyle w:val="Collegamentoipertestuale"/>
            <w:rFonts w:ascii="Book Antiqua" w:hAnsi="Book Antiqua"/>
            <w:sz w:val="20"/>
            <w:szCs w:val="20"/>
            <w:lang w:val="en-US"/>
          </w:rPr>
          <w:t>https://www.sciencedirect.com/science/article/abs/pii/S014861951630011X?via%3Dihub</w:t>
        </w:r>
      </w:hyperlink>
      <w:r w:rsidRPr="00870653">
        <w:rPr>
          <w:rFonts w:ascii="Book Antiqua" w:hAnsi="Book Antiqua"/>
          <w:color w:val="000000"/>
          <w:sz w:val="20"/>
          <w:szCs w:val="20"/>
          <w:lang w:val="en-US"/>
        </w:rPr>
        <w:t xml:space="preserve"> (accessed on 25 </w:t>
      </w:r>
      <w:r w:rsidR="00DE33A8" w:rsidRPr="00870653">
        <w:rPr>
          <w:rFonts w:ascii="Book Antiqua" w:hAnsi="Book Antiqua"/>
          <w:color w:val="000000"/>
          <w:sz w:val="20"/>
          <w:szCs w:val="20"/>
          <w:lang w:val="en-US"/>
        </w:rPr>
        <w:t>August</w:t>
      </w:r>
      <w:r w:rsidRPr="00870653">
        <w:rPr>
          <w:rFonts w:ascii="Book Antiqua" w:hAnsi="Book Antiqua"/>
          <w:color w:val="000000"/>
          <w:sz w:val="20"/>
          <w:szCs w:val="20"/>
          <w:lang w:val="en-US"/>
        </w:rPr>
        <w:t xml:space="preserve"> 2020).</w:t>
      </w:r>
    </w:p>
    <w:p w14:paraId="07037CD4" w14:textId="53CD9D97" w:rsidR="007F3A43" w:rsidRPr="007F3A43" w:rsidRDefault="007F3A43" w:rsidP="007F6E18">
      <w:pPr>
        <w:pStyle w:val="NormaleWeb"/>
        <w:numPr>
          <w:ilvl w:val="0"/>
          <w:numId w:val="38"/>
        </w:numPr>
        <w:spacing w:after="180"/>
        <w:ind w:left="567" w:hanging="425"/>
        <w:jc w:val="both"/>
        <w:rPr>
          <w:rFonts w:ascii="Book Antiqua" w:hAnsi="Book Antiqua"/>
          <w:color w:val="000000"/>
          <w:sz w:val="20"/>
          <w:szCs w:val="20"/>
        </w:rPr>
      </w:pPr>
      <w:r w:rsidRPr="007F3A43">
        <w:rPr>
          <w:rFonts w:ascii="Book Antiqua" w:hAnsi="Book Antiqua"/>
          <w:color w:val="000000"/>
          <w:sz w:val="20"/>
          <w:szCs w:val="20"/>
        </w:rPr>
        <w:t xml:space="preserve">Sirletti, Sonia, </w:t>
      </w:r>
      <w:r w:rsidR="00DE33A8">
        <w:rPr>
          <w:rFonts w:ascii="Book Antiqua" w:hAnsi="Book Antiqua"/>
          <w:color w:val="000000"/>
          <w:sz w:val="20"/>
          <w:szCs w:val="20"/>
        </w:rPr>
        <w:t>and</w:t>
      </w:r>
      <w:r w:rsidRPr="007F3A43">
        <w:rPr>
          <w:rFonts w:ascii="Book Antiqua" w:hAnsi="Book Antiqua"/>
          <w:color w:val="000000"/>
          <w:sz w:val="20"/>
          <w:szCs w:val="20"/>
        </w:rPr>
        <w:t xml:space="preserve"> Giovanni Salzano. </w:t>
      </w:r>
      <w:r w:rsidRPr="00870653">
        <w:rPr>
          <w:rFonts w:ascii="Book Antiqua" w:hAnsi="Book Antiqua"/>
          <w:color w:val="000000"/>
          <w:sz w:val="20"/>
          <w:szCs w:val="20"/>
          <w:lang w:val="en-US"/>
        </w:rPr>
        <w:t xml:space="preserve">2018. Italy Banks Get Some Relief as EU Budget Deal Lifts Shares. Available online: https://www.bloomberg.com/news/articles/2018-12-19/italy-banks-gain-breathing-room-as-budget-accord-with-eu-nears.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26 </w:t>
      </w:r>
      <w:r w:rsidR="00DE33A8">
        <w:rPr>
          <w:rFonts w:ascii="Book Antiqua" w:hAnsi="Book Antiqua"/>
          <w:color w:val="000000"/>
          <w:sz w:val="20"/>
          <w:szCs w:val="20"/>
        </w:rPr>
        <w:t>April</w:t>
      </w:r>
      <w:r w:rsidRPr="007F3A43">
        <w:rPr>
          <w:rFonts w:ascii="Book Antiqua" w:hAnsi="Book Antiqua"/>
          <w:color w:val="000000"/>
          <w:sz w:val="20"/>
          <w:szCs w:val="20"/>
        </w:rPr>
        <w:t xml:space="preserve"> 2020 ).</w:t>
      </w:r>
    </w:p>
    <w:p w14:paraId="13A52A72" w14:textId="77777777" w:rsidR="00DE33A8"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870653">
        <w:rPr>
          <w:rFonts w:ascii="Book Antiqua" w:eastAsia="Times New Roman" w:hAnsi="Book Antiqua" w:cs="Times New Roman"/>
          <w:color w:val="000000"/>
          <w:sz w:val="20"/>
          <w:szCs w:val="20"/>
          <w:lang w:val="en-US" w:eastAsia="it-IT"/>
        </w:rPr>
        <w:t xml:space="preserve">Stock, James, Watson, Mark, </w:t>
      </w:r>
      <w:r w:rsidR="00DE33A8" w:rsidRPr="00870653">
        <w:rPr>
          <w:rFonts w:ascii="Book Antiqua" w:eastAsia="Times New Roman" w:hAnsi="Book Antiqua" w:cs="Times New Roman"/>
          <w:color w:val="000000"/>
          <w:sz w:val="20"/>
          <w:szCs w:val="20"/>
          <w:lang w:val="en-US" w:eastAsia="it-IT"/>
        </w:rPr>
        <w:t>and</w:t>
      </w:r>
      <w:r w:rsidRPr="00870653">
        <w:rPr>
          <w:rFonts w:ascii="Book Antiqua" w:eastAsia="Times New Roman" w:hAnsi="Book Antiqua" w:cs="Times New Roman"/>
          <w:color w:val="000000"/>
          <w:sz w:val="20"/>
          <w:szCs w:val="20"/>
          <w:lang w:val="en-US" w:eastAsia="it-IT"/>
        </w:rPr>
        <w:t xml:space="preserve"> Peracchi Franco. </w:t>
      </w:r>
      <w:r w:rsidRPr="00F542AC">
        <w:rPr>
          <w:rFonts w:ascii="Book Antiqua" w:eastAsia="Times New Roman" w:hAnsi="Book Antiqua" w:cs="Times New Roman"/>
          <w:color w:val="000000"/>
          <w:sz w:val="20"/>
          <w:szCs w:val="20"/>
          <w:lang w:eastAsia="it-IT"/>
        </w:rPr>
        <w:t>2016. </w:t>
      </w:r>
      <w:r w:rsidRPr="00F542AC">
        <w:rPr>
          <w:rFonts w:ascii="Book Antiqua" w:eastAsia="Times New Roman" w:hAnsi="Book Antiqua" w:cs="Times New Roman"/>
          <w:i/>
          <w:iCs/>
          <w:color w:val="000000"/>
          <w:sz w:val="20"/>
          <w:szCs w:val="20"/>
          <w:lang w:eastAsia="it-IT"/>
        </w:rPr>
        <w:t>Introduzione all'econometria</w:t>
      </w:r>
      <w:r w:rsidRPr="00F542AC">
        <w:rPr>
          <w:rFonts w:ascii="Book Antiqua" w:eastAsia="Times New Roman" w:hAnsi="Book Antiqua" w:cs="Times New Roman"/>
          <w:color w:val="000000"/>
          <w:sz w:val="20"/>
          <w:szCs w:val="20"/>
          <w:lang w:eastAsia="it-IT"/>
        </w:rPr>
        <w:t> (pp. 113-153, 397-426). Milano: Pearson.</w:t>
      </w:r>
    </w:p>
    <w:p w14:paraId="2F56854E" w14:textId="77019B06" w:rsidR="007F3A43" w:rsidRPr="00F542AC" w:rsidRDefault="007F3A43" w:rsidP="007F6E18">
      <w:pPr>
        <w:pStyle w:val="Paragrafoelenco"/>
        <w:numPr>
          <w:ilvl w:val="0"/>
          <w:numId w:val="38"/>
        </w:numPr>
        <w:spacing w:after="180" w:line="240" w:lineRule="auto"/>
        <w:ind w:left="567" w:hanging="425"/>
        <w:jc w:val="both"/>
        <w:rPr>
          <w:rFonts w:ascii="Book Antiqua" w:eastAsia="Times New Roman" w:hAnsi="Book Antiqua" w:cs="Times New Roman"/>
          <w:color w:val="000000"/>
          <w:sz w:val="20"/>
          <w:szCs w:val="20"/>
          <w:lang w:eastAsia="it-IT"/>
        </w:rPr>
      </w:pPr>
      <w:r w:rsidRPr="00F542AC">
        <w:rPr>
          <w:rFonts w:ascii="Book Antiqua" w:hAnsi="Book Antiqua"/>
          <w:color w:val="000000"/>
          <w:sz w:val="20"/>
          <w:szCs w:val="20"/>
        </w:rPr>
        <w:t>Telara, Andrea. 2016. </w:t>
      </w:r>
      <w:r w:rsidRPr="00F542AC">
        <w:rPr>
          <w:rFonts w:ascii="Book Antiqua" w:hAnsi="Book Antiqua"/>
          <w:i/>
          <w:iCs/>
          <w:color w:val="000000"/>
          <w:sz w:val="20"/>
          <w:szCs w:val="20"/>
        </w:rPr>
        <w:t>Mps, Storia Di Una (O Più) Crisi</w:t>
      </w:r>
      <w:r w:rsidRPr="00F542AC">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Panorama.Available online: </w:t>
      </w:r>
      <w:hyperlink r:id="rId36" w:history="1">
        <w:r w:rsidRPr="00870653">
          <w:rPr>
            <w:rStyle w:val="Collegamentoipertestuale"/>
            <w:rFonts w:ascii="Book Antiqua" w:hAnsi="Book Antiqua"/>
            <w:sz w:val="20"/>
            <w:szCs w:val="20"/>
            <w:lang w:val="en-US"/>
          </w:rPr>
          <w:t>https://www.panorama.it/news/economia/mps-storia-di-una-crisi</w:t>
        </w:r>
      </w:hyperlink>
      <w:r w:rsidRPr="00870653">
        <w:rPr>
          <w:rFonts w:ascii="Book Antiqua" w:hAnsi="Book Antiqua"/>
          <w:color w:val="000000"/>
          <w:sz w:val="20"/>
          <w:szCs w:val="20"/>
          <w:lang w:val="en-US"/>
        </w:rPr>
        <w:t xml:space="preserve">. </w:t>
      </w:r>
      <w:r w:rsidRPr="00F542AC">
        <w:rPr>
          <w:rFonts w:ascii="Book Antiqua" w:hAnsi="Book Antiqua"/>
          <w:color w:val="000000"/>
          <w:sz w:val="20"/>
          <w:szCs w:val="20"/>
        </w:rPr>
        <w:t xml:space="preserve">(accessed on 16 </w:t>
      </w:r>
      <w:r w:rsidR="00DE33A8" w:rsidRPr="00F542AC">
        <w:rPr>
          <w:rFonts w:ascii="Book Antiqua" w:hAnsi="Book Antiqua"/>
          <w:color w:val="000000"/>
          <w:sz w:val="20"/>
          <w:szCs w:val="20"/>
        </w:rPr>
        <w:t>July</w:t>
      </w:r>
      <w:r w:rsidRPr="00F542AC">
        <w:rPr>
          <w:rFonts w:ascii="Book Antiqua" w:hAnsi="Book Antiqua"/>
          <w:color w:val="000000"/>
          <w:sz w:val="20"/>
          <w:szCs w:val="20"/>
        </w:rPr>
        <w:t xml:space="preserve"> 2020).</w:t>
      </w:r>
    </w:p>
    <w:p w14:paraId="2544CCF1" w14:textId="3FEE0002" w:rsidR="007F3A43" w:rsidRPr="00870653" w:rsidRDefault="007F3A43" w:rsidP="007F6E18">
      <w:pPr>
        <w:pStyle w:val="NormaleWeb"/>
        <w:numPr>
          <w:ilvl w:val="0"/>
          <w:numId w:val="38"/>
        </w:numPr>
        <w:ind w:left="567" w:hanging="425"/>
        <w:jc w:val="both"/>
        <w:rPr>
          <w:rFonts w:ascii="Book Antiqua" w:hAnsi="Book Antiqua"/>
          <w:color w:val="000000"/>
          <w:sz w:val="20"/>
          <w:szCs w:val="20"/>
          <w:lang w:val="en-US"/>
        </w:rPr>
      </w:pPr>
      <w:r w:rsidRPr="007F3A43">
        <w:rPr>
          <w:rFonts w:ascii="Book Antiqua" w:hAnsi="Book Antiqua"/>
          <w:color w:val="000000"/>
          <w:sz w:val="20"/>
          <w:szCs w:val="20"/>
        </w:rPr>
        <w:t>Telara, Andrea. 2017. </w:t>
      </w:r>
      <w:r w:rsidRPr="007F3A43">
        <w:rPr>
          <w:rFonts w:ascii="Book Antiqua" w:hAnsi="Book Antiqua"/>
          <w:i/>
          <w:iCs/>
          <w:color w:val="000000"/>
          <w:sz w:val="20"/>
          <w:szCs w:val="20"/>
        </w:rPr>
        <w:t>Mps, Cosa Cambia Con L'ingresso Dello Stato</w:t>
      </w:r>
      <w:r w:rsidRPr="007F3A43">
        <w:rPr>
          <w:rFonts w:ascii="Book Antiqua" w:hAnsi="Book Antiqua"/>
          <w:color w:val="000000"/>
          <w:sz w:val="20"/>
          <w:szCs w:val="20"/>
        </w:rPr>
        <w:t xml:space="preserve">. </w:t>
      </w:r>
      <w:r w:rsidRPr="00870653">
        <w:rPr>
          <w:rFonts w:ascii="Book Antiqua" w:hAnsi="Book Antiqua"/>
          <w:color w:val="000000"/>
          <w:sz w:val="20"/>
          <w:szCs w:val="20"/>
          <w:lang w:val="en-US"/>
        </w:rPr>
        <w:t xml:space="preserve">[online] Panorama. Available online : </w:t>
      </w:r>
      <w:hyperlink r:id="rId37" w:history="1">
        <w:r w:rsidRPr="00870653">
          <w:rPr>
            <w:rStyle w:val="Collegamentoipertestuale"/>
            <w:rFonts w:ascii="Book Antiqua" w:hAnsi="Book Antiqua"/>
            <w:sz w:val="20"/>
            <w:szCs w:val="20"/>
            <w:lang w:val="en-US"/>
          </w:rPr>
          <w:t>https://www.panorama.it/news/economia/mps-cosa-cambia-ingresso-stato</w:t>
        </w:r>
      </w:hyperlink>
      <w:r w:rsidRPr="00870653">
        <w:rPr>
          <w:rFonts w:ascii="Book Antiqua" w:hAnsi="Book Antiqua"/>
          <w:color w:val="000000"/>
          <w:sz w:val="20"/>
          <w:szCs w:val="20"/>
          <w:lang w:val="en-US"/>
        </w:rPr>
        <w:t xml:space="preserve">. (accessed on 16 </w:t>
      </w:r>
      <w:r w:rsidR="00DE33A8" w:rsidRPr="00870653">
        <w:rPr>
          <w:rFonts w:ascii="Book Antiqua" w:hAnsi="Book Antiqua"/>
          <w:color w:val="000000"/>
          <w:sz w:val="20"/>
          <w:szCs w:val="20"/>
          <w:lang w:val="en-US"/>
        </w:rPr>
        <w:t>July</w:t>
      </w:r>
      <w:r w:rsidRPr="00870653">
        <w:rPr>
          <w:rFonts w:ascii="Book Antiqua" w:hAnsi="Book Antiqua"/>
          <w:color w:val="000000"/>
          <w:sz w:val="20"/>
          <w:szCs w:val="20"/>
          <w:lang w:val="en-US"/>
        </w:rPr>
        <w:t xml:space="preserve"> 2020).</w:t>
      </w:r>
    </w:p>
    <w:p w14:paraId="5B76F797" w14:textId="47E49772" w:rsidR="007F3A43" w:rsidRPr="007F3A43"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7F3A43">
        <w:rPr>
          <w:rFonts w:ascii="Book Antiqua" w:hAnsi="Book Antiqua"/>
          <w:color w:val="000000"/>
          <w:sz w:val="20"/>
          <w:szCs w:val="20"/>
        </w:rPr>
        <w:t>Wall Street Italia. 2015. </w:t>
      </w:r>
      <w:r w:rsidRPr="007F3A43">
        <w:rPr>
          <w:rFonts w:ascii="Book Antiqua" w:hAnsi="Book Antiqua"/>
          <w:i/>
          <w:iCs/>
          <w:color w:val="000000"/>
          <w:sz w:val="20"/>
          <w:szCs w:val="20"/>
        </w:rPr>
        <w:t>Mps: Maxi Perdita 2014, Aumento Capitale Più Pesante. E Tesoro Diventa Azionista | WSI</w:t>
      </w:r>
      <w:r w:rsidRPr="007F3A43">
        <w:rPr>
          <w:rFonts w:ascii="Book Antiqua" w:hAnsi="Book Antiqua"/>
          <w:color w:val="000000"/>
          <w:sz w:val="20"/>
          <w:szCs w:val="20"/>
        </w:rPr>
        <w:t xml:space="preserve">. [online] </w:t>
      </w:r>
      <w:r>
        <w:rPr>
          <w:rFonts w:ascii="Book Antiqua" w:hAnsi="Book Antiqua"/>
          <w:color w:val="000000"/>
          <w:sz w:val="20"/>
          <w:szCs w:val="20"/>
        </w:rPr>
        <w:t>Available online</w:t>
      </w:r>
      <w:r w:rsidRPr="007F3A43">
        <w:rPr>
          <w:rFonts w:ascii="Book Antiqua" w:hAnsi="Book Antiqua"/>
          <w:color w:val="000000"/>
          <w:sz w:val="20"/>
          <w:szCs w:val="20"/>
        </w:rPr>
        <w:t xml:space="preserve">: </w:t>
      </w:r>
      <w:hyperlink r:id="rId38" w:history="1">
        <w:r w:rsidRPr="007F3A43">
          <w:rPr>
            <w:rStyle w:val="Collegamentoipertestuale"/>
            <w:rFonts w:ascii="Book Antiqua" w:hAnsi="Book Antiqua"/>
            <w:sz w:val="20"/>
            <w:szCs w:val="20"/>
          </w:rPr>
          <w:t>https://www.wallstreetitalia.com/mps-maxi-perdita-2014-aumento-capitale-pi-pesante-e-tesoro-diventa-azionista/</w:t>
        </w:r>
      </w:hyperlink>
      <w:r w:rsidRPr="007F3A43">
        <w:rPr>
          <w:rFonts w:ascii="Book Antiqua" w:hAnsi="Book Antiqua"/>
          <w:color w:val="000000"/>
          <w:sz w:val="20"/>
          <w:szCs w:val="20"/>
        </w:rPr>
        <w:t>. (</w:t>
      </w:r>
      <w:r>
        <w:rPr>
          <w:rFonts w:ascii="Book Antiqua" w:hAnsi="Book Antiqua"/>
          <w:color w:val="000000"/>
          <w:sz w:val="20"/>
          <w:szCs w:val="20"/>
        </w:rPr>
        <w:t>accessed on</w:t>
      </w:r>
      <w:r w:rsidRPr="007F3A43">
        <w:rPr>
          <w:rFonts w:ascii="Book Antiqua" w:hAnsi="Book Antiqua"/>
          <w:color w:val="000000"/>
          <w:sz w:val="20"/>
          <w:szCs w:val="20"/>
        </w:rPr>
        <w:t xml:space="preserve"> 16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4E0D36D5" w14:textId="5BFFDFA4" w:rsidR="00A8573D" w:rsidRDefault="007F3A43" w:rsidP="007F6E18">
      <w:pPr>
        <w:pStyle w:val="NormaleWeb"/>
        <w:numPr>
          <w:ilvl w:val="0"/>
          <w:numId w:val="38"/>
        </w:numPr>
        <w:spacing w:before="0" w:beforeAutospacing="0" w:after="180" w:afterAutospacing="0"/>
        <w:ind w:left="567" w:hanging="425"/>
        <w:jc w:val="both"/>
        <w:rPr>
          <w:rFonts w:ascii="Book Antiqua" w:hAnsi="Book Antiqua"/>
          <w:color w:val="000000"/>
          <w:sz w:val="20"/>
          <w:szCs w:val="20"/>
        </w:rPr>
      </w:pPr>
      <w:r w:rsidRPr="00870653">
        <w:rPr>
          <w:rFonts w:ascii="Book Antiqua" w:hAnsi="Book Antiqua"/>
          <w:color w:val="000000"/>
          <w:sz w:val="20"/>
          <w:szCs w:val="20"/>
          <w:lang w:val="en-US"/>
        </w:rPr>
        <w:t>Wooldridge, Jeffrey. 2010. </w:t>
      </w:r>
      <w:r w:rsidRPr="00870653">
        <w:rPr>
          <w:rFonts w:ascii="Book Antiqua" w:hAnsi="Book Antiqua"/>
          <w:i/>
          <w:iCs/>
          <w:color w:val="000000"/>
          <w:sz w:val="20"/>
          <w:szCs w:val="20"/>
          <w:lang w:val="en-US"/>
        </w:rPr>
        <w:t>Chapter 12: Serial Correlation And Heteroskedasticity In Time Series Regressions</w:t>
      </w:r>
      <w:r w:rsidRPr="00870653">
        <w:rPr>
          <w:rFonts w:ascii="Book Antiqua" w:hAnsi="Book Antiqua"/>
          <w:color w:val="000000"/>
          <w:sz w:val="20"/>
          <w:szCs w:val="20"/>
          <w:lang w:val="en-US"/>
        </w:rPr>
        <w:t xml:space="preserve">. [online] Fmbc.edu. Available online: </w:t>
      </w:r>
      <w:hyperlink r:id="rId39" w:history="1">
        <w:r w:rsidRPr="00870653">
          <w:rPr>
            <w:rStyle w:val="Collegamentoipertestuale"/>
            <w:rFonts w:ascii="Book Antiqua" w:hAnsi="Book Antiqua"/>
            <w:sz w:val="20"/>
            <w:szCs w:val="20"/>
            <w:lang w:val="en-US"/>
          </w:rPr>
          <w:t>http://fmwww.bc.edu/ec-c/f2010/228/EC228.f2010.nn12.pdf</w:t>
        </w:r>
      </w:hyperlink>
      <w:r w:rsidRPr="00870653">
        <w:rPr>
          <w:rFonts w:ascii="Book Antiqua" w:hAnsi="Book Antiqua"/>
          <w:color w:val="000000"/>
          <w:sz w:val="20"/>
          <w:szCs w:val="20"/>
          <w:lang w:val="en-US"/>
        </w:rPr>
        <w:t xml:space="preserve">. </w:t>
      </w:r>
      <w:r w:rsidRPr="007F3A43">
        <w:rPr>
          <w:rFonts w:ascii="Book Antiqua" w:hAnsi="Book Antiqua"/>
          <w:color w:val="000000"/>
          <w:sz w:val="20"/>
          <w:szCs w:val="20"/>
        </w:rPr>
        <w:t>(</w:t>
      </w:r>
      <w:r>
        <w:rPr>
          <w:rFonts w:ascii="Book Antiqua" w:hAnsi="Book Antiqua"/>
          <w:color w:val="000000"/>
          <w:sz w:val="20"/>
          <w:szCs w:val="20"/>
        </w:rPr>
        <w:t>accessed on</w:t>
      </w:r>
      <w:r w:rsidRPr="007F3A43">
        <w:rPr>
          <w:rFonts w:ascii="Book Antiqua" w:hAnsi="Book Antiqua"/>
          <w:color w:val="000000"/>
          <w:sz w:val="20"/>
          <w:szCs w:val="20"/>
        </w:rPr>
        <w:t xml:space="preserve"> 23 </w:t>
      </w:r>
      <w:r w:rsidR="00DE33A8">
        <w:rPr>
          <w:rFonts w:ascii="Book Antiqua" w:hAnsi="Book Antiqua"/>
          <w:color w:val="000000"/>
          <w:sz w:val="20"/>
          <w:szCs w:val="20"/>
        </w:rPr>
        <w:t>July</w:t>
      </w:r>
      <w:r w:rsidRPr="007F3A43">
        <w:rPr>
          <w:rFonts w:ascii="Book Antiqua" w:hAnsi="Book Antiqua"/>
          <w:color w:val="000000"/>
          <w:sz w:val="20"/>
          <w:szCs w:val="20"/>
        </w:rPr>
        <w:t xml:space="preserve"> 2020).</w:t>
      </w:r>
    </w:p>
    <w:p w14:paraId="6BA8E818" w14:textId="77777777" w:rsidR="00A060FD" w:rsidRDefault="00A060FD" w:rsidP="00A060FD">
      <w:pPr>
        <w:pStyle w:val="NormaleWeb"/>
        <w:spacing w:before="0" w:beforeAutospacing="0" w:after="180" w:afterAutospacing="0"/>
        <w:ind w:left="142"/>
        <w:jc w:val="both"/>
        <w:rPr>
          <w:rFonts w:ascii="Book Antiqua" w:hAnsi="Book Antiqua"/>
          <w:color w:val="000000"/>
          <w:sz w:val="20"/>
          <w:szCs w:val="20"/>
        </w:rPr>
      </w:pPr>
    </w:p>
    <w:p w14:paraId="34862AC5" w14:textId="77777777" w:rsidR="00A060FD" w:rsidRDefault="00A060FD" w:rsidP="00A060FD">
      <w:pPr>
        <w:keepNext/>
        <w:keepLines/>
        <w:widowControl w:val="0"/>
        <w:suppressAutoHyphens/>
        <w:spacing w:before="240" w:after="0" w:line="240" w:lineRule="auto"/>
        <w:outlineLvl w:val="0"/>
        <w:rPr>
          <w:rFonts w:ascii="Book Antiqua" w:hAnsi="Book Antiqua" w:cs="Times New Roman"/>
          <w:b/>
          <w:bCs/>
          <w:sz w:val="28"/>
          <w:szCs w:val="28"/>
          <w:lang w:val="en-US"/>
        </w:rPr>
      </w:pPr>
      <w:bookmarkStart w:id="5" w:name="_Toc50373179"/>
      <w:r w:rsidRPr="00E31897">
        <w:rPr>
          <w:rFonts w:ascii="Book Antiqua" w:hAnsi="Book Antiqua" w:cs="Times New Roman"/>
          <w:b/>
          <w:bCs/>
          <w:sz w:val="28"/>
          <w:szCs w:val="28"/>
          <w:lang w:val="en-US"/>
        </w:rPr>
        <w:lastRenderedPageBreak/>
        <w:t>Appendix A</w:t>
      </w:r>
      <w:bookmarkEnd w:id="5"/>
    </w:p>
    <w:p w14:paraId="1A23865C" w14:textId="77777777" w:rsidR="00A060FD" w:rsidRPr="00A060FD" w:rsidRDefault="00A060FD" w:rsidP="00A060FD">
      <w:pPr>
        <w:keepNext/>
        <w:keepLines/>
        <w:widowControl w:val="0"/>
        <w:suppressAutoHyphens/>
        <w:spacing w:before="240" w:after="0" w:line="240" w:lineRule="auto"/>
        <w:outlineLvl w:val="0"/>
        <w:rPr>
          <w:rFonts w:ascii="Book Antiqua" w:hAnsi="Book Antiqua" w:cs="Times New Roman"/>
          <w:sz w:val="20"/>
          <w:szCs w:val="20"/>
          <w:lang w:val="en-US"/>
        </w:rPr>
      </w:pPr>
    </w:p>
    <w:p w14:paraId="5FE63323" w14:textId="77777777" w:rsidR="00A060FD" w:rsidRPr="00866EEF" w:rsidRDefault="00A060FD" w:rsidP="00A060FD">
      <w:pPr>
        <w:keepNext/>
        <w:keepLines/>
        <w:widowControl w:val="0"/>
        <w:suppressAutoHyphens/>
        <w:spacing w:before="40" w:after="0" w:line="240" w:lineRule="auto"/>
        <w:outlineLvl w:val="1"/>
        <w:rPr>
          <w:rFonts w:ascii="Book Antiqua" w:hAnsi="Book Antiqua" w:cs="Times New Roman"/>
          <w:sz w:val="20"/>
          <w:szCs w:val="20"/>
          <w:lang w:val="en-US"/>
        </w:rPr>
      </w:pPr>
      <w:bookmarkStart w:id="6" w:name="_Toc50373180"/>
      <w:r w:rsidRPr="00866EEF">
        <w:rPr>
          <w:rFonts w:ascii="Book Antiqua" w:hAnsi="Book Antiqua" w:cs="Times New Roman"/>
          <w:sz w:val="20"/>
          <w:szCs w:val="20"/>
          <w:lang w:val="en-US"/>
        </w:rPr>
        <w:t>Appendi</w:t>
      </w:r>
      <w:r>
        <w:rPr>
          <w:rFonts w:ascii="Book Antiqua" w:hAnsi="Book Antiqua" w:cs="Times New Roman"/>
          <w:sz w:val="20"/>
          <w:szCs w:val="20"/>
          <w:lang w:val="en-US"/>
        </w:rPr>
        <w:t>x</w:t>
      </w:r>
      <w:r w:rsidRPr="00866EEF">
        <w:rPr>
          <w:rFonts w:ascii="Book Antiqua" w:hAnsi="Book Antiqua" w:cs="Times New Roman"/>
          <w:sz w:val="20"/>
          <w:szCs w:val="20"/>
          <w:lang w:val="en-US"/>
        </w:rPr>
        <w:t xml:space="preserve"> A.1. Unit Root Tests</w:t>
      </w:r>
      <w:bookmarkEnd w:id="6"/>
    </w:p>
    <w:p w14:paraId="1D44BD01" w14:textId="77777777" w:rsidR="00A060FD" w:rsidRPr="00866EEF" w:rsidRDefault="00A060FD" w:rsidP="00A060FD">
      <w:pPr>
        <w:spacing w:after="0" w:line="360" w:lineRule="auto"/>
        <w:jc w:val="both"/>
        <w:rPr>
          <w:rFonts w:ascii="Book Antiqua" w:hAnsi="Book Antiqua" w:cs="Times New Roman"/>
          <w:sz w:val="20"/>
          <w:szCs w:val="20"/>
          <w:lang w:val="en-US"/>
        </w:rPr>
      </w:pPr>
    </w:p>
    <w:p w14:paraId="7113896E" w14:textId="77777777" w:rsidR="00A060FD" w:rsidRPr="00866EEF" w:rsidRDefault="00A060FD" w:rsidP="00A060FD">
      <w:pPr>
        <w:spacing w:after="0" w:line="360" w:lineRule="auto"/>
        <w:jc w:val="center"/>
        <w:rPr>
          <w:rFonts w:ascii="Book Antiqua" w:hAnsi="Book Antiqua" w:cs="Times New Roman"/>
          <w:sz w:val="20"/>
          <w:szCs w:val="20"/>
          <w:lang w:val="en-US"/>
        </w:rPr>
      </w:pPr>
      <w:bookmarkStart w:id="7" w:name="_Hlk50371424"/>
      <w:r w:rsidRPr="00866EEF">
        <w:rPr>
          <w:rFonts w:ascii="Book Antiqua" w:hAnsi="Book Antiqua" w:cs="Times New Roman"/>
          <w:b/>
          <w:bCs/>
          <w:sz w:val="20"/>
          <w:szCs w:val="20"/>
          <w:lang w:val="en-US"/>
        </w:rPr>
        <w:t>Tab</w:t>
      </w:r>
      <w:r>
        <w:rPr>
          <w:rFonts w:ascii="Book Antiqua" w:hAnsi="Book Antiqua" w:cs="Times New Roman"/>
          <w:b/>
          <w:bCs/>
          <w:sz w:val="20"/>
          <w:szCs w:val="20"/>
          <w:lang w:val="en-US"/>
        </w:rPr>
        <w:t>le</w:t>
      </w:r>
      <w:r w:rsidRPr="00866EEF">
        <w:rPr>
          <w:rFonts w:ascii="Book Antiqua" w:hAnsi="Book Antiqua" w:cs="Times New Roman"/>
          <w:b/>
          <w:bCs/>
          <w:sz w:val="20"/>
          <w:szCs w:val="20"/>
          <w:lang w:val="en-US"/>
        </w:rPr>
        <w:t xml:space="preserve"> A1.</w:t>
      </w:r>
      <w:r w:rsidRPr="00866EEF">
        <w:rPr>
          <w:rFonts w:ascii="Book Antiqua" w:hAnsi="Book Antiqua" w:cs="Times New Roman"/>
          <w:sz w:val="20"/>
          <w:szCs w:val="20"/>
          <w:lang w:val="en-US"/>
        </w:rPr>
        <w:t xml:space="preserve"> Augmented Dickey-Fuller test</w:t>
      </w:r>
    </w:p>
    <w:tbl>
      <w:tblPr>
        <w:tblW w:w="4160" w:type="dxa"/>
        <w:jc w:val="center"/>
        <w:tblCellMar>
          <w:left w:w="70" w:type="dxa"/>
          <w:right w:w="70" w:type="dxa"/>
        </w:tblCellMar>
        <w:tblLook w:val="04A0" w:firstRow="1" w:lastRow="0" w:firstColumn="1" w:lastColumn="0" w:noHBand="0" w:noVBand="1"/>
      </w:tblPr>
      <w:tblGrid>
        <w:gridCol w:w="1420"/>
        <w:gridCol w:w="1456"/>
        <w:gridCol w:w="1284"/>
      </w:tblGrid>
      <w:tr w:rsidR="00A060FD" w:rsidRPr="00866EEF" w14:paraId="3F5C6936" w14:textId="77777777" w:rsidTr="00F14F18">
        <w:trPr>
          <w:trHeight w:val="300"/>
          <w:jc w:val="center"/>
        </w:trPr>
        <w:tc>
          <w:tcPr>
            <w:tcW w:w="4160" w:type="dxa"/>
            <w:gridSpan w:val="3"/>
            <w:tcBorders>
              <w:top w:val="single" w:sz="8" w:space="0" w:color="auto"/>
              <w:left w:val="nil"/>
              <w:bottom w:val="nil"/>
              <w:right w:val="nil"/>
            </w:tcBorders>
            <w:shd w:val="clear" w:color="auto" w:fill="auto"/>
            <w:noWrap/>
            <w:vAlign w:val="bottom"/>
            <w:hideMark/>
          </w:tcPr>
          <w:bookmarkEnd w:id="7"/>
          <w:p w14:paraId="158C386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Augmented Dickey-Fuller Test</w:t>
            </w:r>
          </w:p>
        </w:tc>
      </w:tr>
      <w:tr w:rsidR="00A060FD" w:rsidRPr="00866EEF" w14:paraId="5D1D7D7A" w14:textId="77777777" w:rsidTr="00F14F18">
        <w:trPr>
          <w:trHeight w:val="300"/>
          <w:jc w:val="center"/>
        </w:trPr>
        <w:tc>
          <w:tcPr>
            <w:tcW w:w="4160" w:type="dxa"/>
            <w:gridSpan w:val="3"/>
            <w:tcBorders>
              <w:top w:val="single" w:sz="4" w:space="0" w:color="auto"/>
              <w:left w:val="nil"/>
              <w:bottom w:val="single" w:sz="4" w:space="0" w:color="auto"/>
              <w:right w:val="nil"/>
            </w:tcBorders>
            <w:shd w:val="clear" w:color="auto" w:fill="auto"/>
            <w:noWrap/>
            <w:vAlign w:val="center"/>
            <w:hideMark/>
          </w:tcPr>
          <w:p w14:paraId="573D136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Res</w:t>
            </w:r>
            <w:r>
              <w:rPr>
                <w:rFonts w:ascii="Book Antiqua" w:eastAsia="Times New Roman" w:hAnsi="Book Antiqua" w:cs="Times New Roman"/>
                <w:b/>
                <w:bCs/>
                <w:color w:val="000000"/>
                <w:sz w:val="20"/>
                <w:szCs w:val="20"/>
                <w:lang w:eastAsia="it-IT"/>
              </w:rPr>
              <w:t>iduals</w:t>
            </w:r>
          </w:p>
        </w:tc>
      </w:tr>
      <w:tr w:rsidR="00A060FD" w:rsidRPr="00866EEF" w14:paraId="5D8CF428" w14:textId="77777777" w:rsidTr="00F14F18">
        <w:trPr>
          <w:trHeight w:val="570"/>
          <w:jc w:val="center"/>
        </w:trPr>
        <w:tc>
          <w:tcPr>
            <w:tcW w:w="1420" w:type="dxa"/>
            <w:tcBorders>
              <w:top w:val="single" w:sz="4" w:space="0" w:color="auto"/>
              <w:left w:val="nil"/>
              <w:bottom w:val="single" w:sz="4" w:space="0" w:color="auto"/>
              <w:right w:val="nil"/>
            </w:tcBorders>
            <w:shd w:val="clear" w:color="auto" w:fill="auto"/>
            <w:noWrap/>
            <w:vAlign w:val="center"/>
            <w:hideMark/>
          </w:tcPr>
          <w:p w14:paraId="4F639A3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Period</w:t>
            </w:r>
          </w:p>
        </w:tc>
        <w:tc>
          <w:tcPr>
            <w:tcW w:w="1456" w:type="dxa"/>
            <w:tcBorders>
              <w:top w:val="nil"/>
              <w:left w:val="nil"/>
              <w:bottom w:val="single" w:sz="4" w:space="0" w:color="auto"/>
              <w:right w:val="nil"/>
            </w:tcBorders>
            <w:shd w:val="clear" w:color="auto" w:fill="auto"/>
            <w:vAlign w:val="center"/>
            <w:hideMark/>
          </w:tcPr>
          <w:p w14:paraId="3B203B9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t-Statistic</w:t>
            </w:r>
          </w:p>
        </w:tc>
        <w:tc>
          <w:tcPr>
            <w:tcW w:w="1284" w:type="dxa"/>
            <w:tcBorders>
              <w:top w:val="nil"/>
              <w:left w:val="nil"/>
              <w:bottom w:val="single" w:sz="4" w:space="0" w:color="auto"/>
              <w:right w:val="nil"/>
            </w:tcBorders>
            <w:shd w:val="clear" w:color="auto" w:fill="auto"/>
            <w:vAlign w:val="center"/>
            <w:hideMark/>
          </w:tcPr>
          <w:p w14:paraId="5E9A391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9DB0451" w14:textId="77777777" w:rsidTr="00F14F18">
        <w:trPr>
          <w:trHeight w:val="300"/>
          <w:jc w:val="center"/>
        </w:trPr>
        <w:tc>
          <w:tcPr>
            <w:tcW w:w="1420" w:type="dxa"/>
            <w:tcBorders>
              <w:top w:val="single" w:sz="4" w:space="0" w:color="auto"/>
              <w:left w:val="nil"/>
              <w:bottom w:val="single" w:sz="4" w:space="0" w:color="auto"/>
              <w:right w:val="nil"/>
            </w:tcBorders>
            <w:shd w:val="clear" w:color="auto" w:fill="auto"/>
            <w:noWrap/>
            <w:vAlign w:val="center"/>
            <w:hideMark/>
          </w:tcPr>
          <w:p w14:paraId="037F835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2008</w:t>
            </w:r>
          </w:p>
        </w:tc>
        <w:tc>
          <w:tcPr>
            <w:tcW w:w="1456" w:type="dxa"/>
            <w:tcBorders>
              <w:top w:val="nil"/>
              <w:left w:val="nil"/>
              <w:bottom w:val="single" w:sz="4" w:space="0" w:color="auto"/>
              <w:right w:val="nil"/>
            </w:tcBorders>
            <w:shd w:val="clear" w:color="auto" w:fill="auto"/>
            <w:vAlign w:val="center"/>
            <w:hideMark/>
          </w:tcPr>
          <w:p w14:paraId="4DDE6E2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-10.78183</w:t>
            </w:r>
          </w:p>
        </w:tc>
        <w:tc>
          <w:tcPr>
            <w:tcW w:w="1284" w:type="dxa"/>
            <w:tcBorders>
              <w:top w:val="nil"/>
              <w:left w:val="nil"/>
              <w:bottom w:val="single" w:sz="4" w:space="0" w:color="auto"/>
              <w:right w:val="nil"/>
            </w:tcBorders>
            <w:shd w:val="clear" w:color="auto" w:fill="auto"/>
            <w:vAlign w:val="center"/>
            <w:hideMark/>
          </w:tcPr>
          <w:p w14:paraId="6934CE4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25F8840D" w14:textId="77777777" w:rsidTr="00F14F18">
        <w:trPr>
          <w:trHeight w:val="300"/>
          <w:jc w:val="center"/>
        </w:trPr>
        <w:tc>
          <w:tcPr>
            <w:tcW w:w="1420" w:type="dxa"/>
            <w:tcBorders>
              <w:top w:val="single" w:sz="4" w:space="0" w:color="auto"/>
              <w:left w:val="nil"/>
              <w:bottom w:val="single" w:sz="4" w:space="0" w:color="auto"/>
              <w:right w:val="nil"/>
            </w:tcBorders>
            <w:shd w:val="clear" w:color="auto" w:fill="auto"/>
            <w:noWrap/>
            <w:vAlign w:val="center"/>
            <w:hideMark/>
          </w:tcPr>
          <w:p w14:paraId="52414E9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2009</w:t>
            </w:r>
          </w:p>
        </w:tc>
        <w:tc>
          <w:tcPr>
            <w:tcW w:w="1456" w:type="dxa"/>
            <w:tcBorders>
              <w:top w:val="nil"/>
              <w:left w:val="nil"/>
              <w:bottom w:val="single" w:sz="4" w:space="0" w:color="auto"/>
              <w:right w:val="nil"/>
            </w:tcBorders>
            <w:shd w:val="clear" w:color="auto" w:fill="auto"/>
            <w:vAlign w:val="center"/>
            <w:hideMark/>
          </w:tcPr>
          <w:p w14:paraId="2E702B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-11.52749</w:t>
            </w:r>
          </w:p>
        </w:tc>
        <w:tc>
          <w:tcPr>
            <w:tcW w:w="1284" w:type="dxa"/>
            <w:tcBorders>
              <w:top w:val="nil"/>
              <w:left w:val="nil"/>
              <w:bottom w:val="single" w:sz="4" w:space="0" w:color="auto"/>
              <w:right w:val="nil"/>
            </w:tcBorders>
            <w:shd w:val="clear" w:color="auto" w:fill="auto"/>
            <w:vAlign w:val="center"/>
            <w:hideMark/>
          </w:tcPr>
          <w:p w14:paraId="20382BE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0FE8B497" w14:textId="77777777" w:rsidTr="00F14F18">
        <w:trPr>
          <w:trHeight w:val="300"/>
          <w:jc w:val="center"/>
        </w:trPr>
        <w:tc>
          <w:tcPr>
            <w:tcW w:w="1420" w:type="dxa"/>
            <w:tcBorders>
              <w:top w:val="single" w:sz="4" w:space="0" w:color="auto"/>
              <w:left w:val="nil"/>
              <w:bottom w:val="single" w:sz="4" w:space="0" w:color="auto"/>
              <w:right w:val="nil"/>
            </w:tcBorders>
            <w:shd w:val="clear" w:color="auto" w:fill="auto"/>
            <w:noWrap/>
            <w:vAlign w:val="center"/>
            <w:hideMark/>
          </w:tcPr>
          <w:p w14:paraId="49EE9F5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2010</w:t>
            </w:r>
          </w:p>
        </w:tc>
        <w:tc>
          <w:tcPr>
            <w:tcW w:w="1456" w:type="dxa"/>
            <w:tcBorders>
              <w:top w:val="nil"/>
              <w:left w:val="nil"/>
              <w:bottom w:val="single" w:sz="4" w:space="0" w:color="auto"/>
              <w:right w:val="nil"/>
            </w:tcBorders>
            <w:shd w:val="clear" w:color="auto" w:fill="auto"/>
            <w:vAlign w:val="center"/>
            <w:hideMark/>
          </w:tcPr>
          <w:p w14:paraId="6264BF4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-10.30006</w:t>
            </w:r>
          </w:p>
        </w:tc>
        <w:tc>
          <w:tcPr>
            <w:tcW w:w="1284" w:type="dxa"/>
            <w:tcBorders>
              <w:top w:val="nil"/>
              <w:left w:val="nil"/>
              <w:bottom w:val="single" w:sz="4" w:space="0" w:color="auto"/>
              <w:right w:val="nil"/>
            </w:tcBorders>
            <w:shd w:val="clear" w:color="auto" w:fill="auto"/>
            <w:vAlign w:val="center"/>
            <w:hideMark/>
          </w:tcPr>
          <w:p w14:paraId="4E0AD05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0BD50C28" w14:textId="77777777" w:rsidTr="00F14F18">
        <w:trPr>
          <w:trHeight w:val="300"/>
          <w:jc w:val="center"/>
        </w:trPr>
        <w:tc>
          <w:tcPr>
            <w:tcW w:w="1420" w:type="dxa"/>
            <w:tcBorders>
              <w:top w:val="single" w:sz="4" w:space="0" w:color="auto"/>
              <w:left w:val="nil"/>
              <w:bottom w:val="single" w:sz="4" w:space="0" w:color="auto"/>
              <w:right w:val="nil"/>
            </w:tcBorders>
            <w:shd w:val="clear" w:color="auto" w:fill="auto"/>
            <w:noWrap/>
            <w:vAlign w:val="center"/>
            <w:hideMark/>
          </w:tcPr>
          <w:p w14:paraId="6D64C3C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2011</w:t>
            </w:r>
          </w:p>
        </w:tc>
        <w:tc>
          <w:tcPr>
            <w:tcW w:w="1456" w:type="dxa"/>
            <w:tcBorders>
              <w:top w:val="nil"/>
              <w:left w:val="nil"/>
              <w:bottom w:val="single" w:sz="4" w:space="0" w:color="auto"/>
              <w:right w:val="nil"/>
            </w:tcBorders>
            <w:shd w:val="clear" w:color="auto" w:fill="auto"/>
            <w:vAlign w:val="center"/>
            <w:hideMark/>
          </w:tcPr>
          <w:p w14:paraId="4DB832C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-12.14997</w:t>
            </w:r>
          </w:p>
        </w:tc>
        <w:tc>
          <w:tcPr>
            <w:tcW w:w="1284" w:type="dxa"/>
            <w:tcBorders>
              <w:top w:val="nil"/>
              <w:left w:val="nil"/>
              <w:bottom w:val="single" w:sz="4" w:space="0" w:color="auto"/>
              <w:right w:val="nil"/>
            </w:tcBorders>
            <w:shd w:val="clear" w:color="auto" w:fill="auto"/>
            <w:vAlign w:val="center"/>
            <w:hideMark/>
          </w:tcPr>
          <w:p w14:paraId="2E8051F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545A2385" w14:textId="77777777" w:rsidTr="00F14F18">
        <w:trPr>
          <w:trHeight w:val="300"/>
          <w:jc w:val="center"/>
        </w:trPr>
        <w:tc>
          <w:tcPr>
            <w:tcW w:w="1420" w:type="dxa"/>
            <w:tcBorders>
              <w:top w:val="single" w:sz="4" w:space="0" w:color="auto"/>
              <w:left w:val="nil"/>
              <w:bottom w:val="single" w:sz="4" w:space="0" w:color="auto"/>
              <w:right w:val="nil"/>
            </w:tcBorders>
            <w:shd w:val="clear" w:color="auto" w:fill="auto"/>
            <w:noWrap/>
            <w:vAlign w:val="center"/>
            <w:hideMark/>
          </w:tcPr>
          <w:p w14:paraId="074020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2012</w:t>
            </w:r>
          </w:p>
        </w:tc>
        <w:tc>
          <w:tcPr>
            <w:tcW w:w="1456" w:type="dxa"/>
            <w:tcBorders>
              <w:top w:val="nil"/>
              <w:left w:val="nil"/>
              <w:bottom w:val="single" w:sz="4" w:space="0" w:color="auto"/>
              <w:right w:val="nil"/>
            </w:tcBorders>
            <w:shd w:val="clear" w:color="auto" w:fill="auto"/>
            <w:vAlign w:val="center"/>
            <w:hideMark/>
          </w:tcPr>
          <w:p w14:paraId="4229549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-13.27087</w:t>
            </w:r>
          </w:p>
        </w:tc>
        <w:tc>
          <w:tcPr>
            <w:tcW w:w="1284" w:type="dxa"/>
            <w:tcBorders>
              <w:top w:val="nil"/>
              <w:left w:val="nil"/>
              <w:bottom w:val="single" w:sz="4" w:space="0" w:color="auto"/>
              <w:right w:val="nil"/>
            </w:tcBorders>
            <w:shd w:val="clear" w:color="auto" w:fill="auto"/>
            <w:vAlign w:val="center"/>
            <w:hideMark/>
          </w:tcPr>
          <w:p w14:paraId="469EC78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2A941CA8"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211181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2013</w:t>
            </w:r>
          </w:p>
        </w:tc>
        <w:tc>
          <w:tcPr>
            <w:tcW w:w="1456" w:type="dxa"/>
            <w:tcBorders>
              <w:top w:val="nil"/>
              <w:left w:val="nil"/>
              <w:bottom w:val="single" w:sz="4" w:space="0" w:color="auto"/>
              <w:right w:val="nil"/>
            </w:tcBorders>
            <w:shd w:val="clear" w:color="auto" w:fill="auto"/>
            <w:vAlign w:val="center"/>
            <w:hideMark/>
          </w:tcPr>
          <w:p w14:paraId="3792AFD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-9.181330</w:t>
            </w:r>
          </w:p>
        </w:tc>
        <w:tc>
          <w:tcPr>
            <w:tcW w:w="1284" w:type="dxa"/>
            <w:tcBorders>
              <w:top w:val="nil"/>
              <w:left w:val="nil"/>
              <w:bottom w:val="single" w:sz="4" w:space="0" w:color="auto"/>
              <w:right w:val="nil"/>
            </w:tcBorders>
            <w:shd w:val="clear" w:color="auto" w:fill="auto"/>
            <w:vAlign w:val="center"/>
            <w:hideMark/>
          </w:tcPr>
          <w:p w14:paraId="1170AC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123483B1"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0F1C15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2014</w:t>
            </w:r>
          </w:p>
        </w:tc>
        <w:tc>
          <w:tcPr>
            <w:tcW w:w="1456" w:type="dxa"/>
            <w:tcBorders>
              <w:top w:val="nil"/>
              <w:left w:val="nil"/>
              <w:bottom w:val="single" w:sz="4" w:space="0" w:color="auto"/>
              <w:right w:val="nil"/>
            </w:tcBorders>
            <w:shd w:val="clear" w:color="auto" w:fill="auto"/>
            <w:vAlign w:val="center"/>
            <w:hideMark/>
          </w:tcPr>
          <w:p w14:paraId="4382D89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-10.72865</w:t>
            </w:r>
          </w:p>
        </w:tc>
        <w:tc>
          <w:tcPr>
            <w:tcW w:w="1284" w:type="dxa"/>
            <w:tcBorders>
              <w:top w:val="nil"/>
              <w:left w:val="nil"/>
              <w:bottom w:val="single" w:sz="4" w:space="0" w:color="auto"/>
              <w:right w:val="nil"/>
            </w:tcBorders>
            <w:shd w:val="clear" w:color="auto" w:fill="auto"/>
            <w:vAlign w:val="center"/>
            <w:hideMark/>
          </w:tcPr>
          <w:p w14:paraId="0DBC772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43D06E62"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03ACD35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2015</w:t>
            </w:r>
          </w:p>
        </w:tc>
        <w:tc>
          <w:tcPr>
            <w:tcW w:w="1456" w:type="dxa"/>
            <w:tcBorders>
              <w:top w:val="nil"/>
              <w:left w:val="nil"/>
              <w:bottom w:val="single" w:sz="4" w:space="0" w:color="auto"/>
              <w:right w:val="nil"/>
            </w:tcBorders>
            <w:shd w:val="clear" w:color="auto" w:fill="auto"/>
            <w:vAlign w:val="center"/>
            <w:hideMark/>
          </w:tcPr>
          <w:p w14:paraId="1833EF9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-9.568894</w:t>
            </w:r>
          </w:p>
        </w:tc>
        <w:tc>
          <w:tcPr>
            <w:tcW w:w="1284" w:type="dxa"/>
            <w:tcBorders>
              <w:top w:val="nil"/>
              <w:left w:val="nil"/>
              <w:bottom w:val="single" w:sz="4" w:space="0" w:color="auto"/>
              <w:right w:val="nil"/>
            </w:tcBorders>
            <w:shd w:val="clear" w:color="auto" w:fill="auto"/>
            <w:vAlign w:val="center"/>
            <w:hideMark/>
          </w:tcPr>
          <w:p w14:paraId="1B7A746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361FAE1E"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2E276CB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2016</w:t>
            </w:r>
          </w:p>
        </w:tc>
        <w:tc>
          <w:tcPr>
            <w:tcW w:w="1456" w:type="dxa"/>
            <w:tcBorders>
              <w:top w:val="nil"/>
              <w:left w:val="nil"/>
              <w:bottom w:val="single" w:sz="4" w:space="0" w:color="auto"/>
              <w:right w:val="nil"/>
            </w:tcBorders>
            <w:shd w:val="clear" w:color="auto" w:fill="auto"/>
            <w:vAlign w:val="center"/>
            <w:hideMark/>
          </w:tcPr>
          <w:p w14:paraId="3982440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-10.70846</w:t>
            </w:r>
          </w:p>
        </w:tc>
        <w:tc>
          <w:tcPr>
            <w:tcW w:w="1284" w:type="dxa"/>
            <w:tcBorders>
              <w:top w:val="nil"/>
              <w:left w:val="nil"/>
              <w:bottom w:val="single" w:sz="4" w:space="0" w:color="auto"/>
              <w:right w:val="nil"/>
            </w:tcBorders>
            <w:shd w:val="clear" w:color="auto" w:fill="auto"/>
            <w:vAlign w:val="center"/>
            <w:hideMark/>
          </w:tcPr>
          <w:p w14:paraId="5579A0E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57B2A1E6"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78677EB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2017</w:t>
            </w:r>
          </w:p>
        </w:tc>
        <w:tc>
          <w:tcPr>
            <w:tcW w:w="1456" w:type="dxa"/>
            <w:tcBorders>
              <w:top w:val="nil"/>
              <w:left w:val="nil"/>
              <w:bottom w:val="single" w:sz="4" w:space="0" w:color="auto"/>
              <w:right w:val="nil"/>
            </w:tcBorders>
            <w:shd w:val="clear" w:color="auto" w:fill="auto"/>
            <w:vAlign w:val="center"/>
            <w:hideMark/>
          </w:tcPr>
          <w:p w14:paraId="3574960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-12.30533</w:t>
            </w:r>
          </w:p>
        </w:tc>
        <w:tc>
          <w:tcPr>
            <w:tcW w:w="1284" w:type="dxa"/>
            <w:tcBorders>
              <w:top w:val="nil"/>
              <w:left w:val="nil"/>
              <w:bottom w:val="single" w:sz="4" w:space="0" w:color="auto"/>
              <w:right w:val="nil"/>
            </w:tcBorders>
            <w:shd w:val="clear" w:color="auto" w:fill="auto"/>
            <w:vAlign w:val="center"/>
            <w:hideMark/>
          </w:tcPr>
          <w:p w14:paraId="54ABA3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13E0A85E" w14:textId="77777777" w:rsidTr="00F14F18">
        <w:trPr>
          <w:trHeight w:val="300"/>
          <w:jc w:val="center"/>
        </w:trPr>
        <w:tc>
          <w:tcPr>
            <w:tcW w:w="1420" w:type="dxa"/>
            <w:tcBorders>
              <w:top w:val="nil"/>
              <w:left w:val="nil"/>
              <w:bottom w:val="single" w:sz="4" w:space="0" w:color="auto"/>
              <w:right w:val="nil"/>
            </w:tcBorders>
            <w:shd w:val="clear" w:color="auto" w:fill="auto"/>
            <w:noWrap/>
            <w:vAlign w:val="center"/>
            <w:hideMark/>
          </w:tcPr>
          <w:p w14:paraId="7AF9D90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2018</w:t>
            </w:r>
          </w:p>
        </w:tc>
        <w:tc>
          <w:tcPr>
            <w:tcW w:w="1456" w:type="dxa"/>
            <w:tcBorders>
              <w:top w:val="nil"/>
              <w:left w:val="nil"/>
              <w:bottom w:val="single" w:sz="4" w:space="0" w:color="auto"/>
              <w:right w:val="nil"/>
            </w:tcBorders>
            <w:shd w:val="clear" w:color="auto" w:fill="auto"/>
            <w:vAlign w:val="center"/>
            <w:hideMark/>
          </w:tcPr>
          <w:p w14:paraId="5E07F7F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-13.51737</w:t>
            </w:r>
          </w:p>
        </w:tc>
        <w:tc>
          <w:tcPr>
            <w:tcW w:w="1284" w:type="dxa"/>
            <w:tcBorders>
              <w:top w:val="nil"/>
              <w:left w:val="nil"/>
              <w:bottom w:val="single" w:sz="4" w:space="0" w:color="auto"/>
              <w:right w:val="nil"/>
            </w:tcBorders>
            <w:shd w:val="clear" w:color="auto" w:fill="auto"/>
            <w:vAlign w:val="center"/>
            <w:hideMark/>
          </w:tcPr>
          <w:p w14:paraId="72C1E7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r w:rsidR="00A060FD" w:rsidRPr="00866EEF" w14:paraId="0FE9D22E" w14:textId="77777777" w:rsidTr="00F14F18">
        <w:trPr>
          <w:trHeight w:val="315"/>
          <w:jc w:val="center"/>
        </w:trPr>
        <w:tc>
          <w:tcPr>
            <w:tcW w:w="1420" w:type="dxa"/>
            <w:tcBorders>
              <w:top w:val="nil"/>
              <w:left w:val="nil"/>
              <w:bottom w:val="single" w:sz="8" w:space="0" w:color="auto"/>
              <w:right w:val="nil"/>
            </w:tcBorders>
            <w:shd w:val="clear" w:color="auto" w:fill="auto"/>
            <w:noWrap/>
            <w:vAlign w:val="center"/>
            <w:hideMark/>
          </w:tcPr>
          <w:p w14:paraId="2CA7E8B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2019-2020</w:t>
            </w:r>
          </w:p>
        </w:tc>
        <w:tc>
          <w:tcPr>
            <w:tcW w:w="1456" w:type="dxa"/>
            <w:tcBorders>
              <w:top w:val="nil"/>
              <w:left w:val="nil"/>
              <w:bottom w:val="single" w:sz="8" w:space="0" w:color="auto"/>
              <w:right w:val="nil"/>
            </w:tcBorders>
            <w:shd w:val="clear" w:color="auto" w:fill="auto"/>
            <w:vAlign w:val="center"/>
            <w:hideMark/>
          </w:tcPr>
          <w:p w14:paraId="409710F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-12.03188</w:t>
            </w:r>
          </w:p>
        </w:tc>
        <w:tc>
          <w:tcPr>
            <w:tcW w:w="1284" w:type="dxa"/>
            <w:tcBorders>
              <w:top w:val="nil"/>
              <w:left w:val="nil"/>
              <w:bottom w:val="single" w:sz="8" w:space="0" w:color="auto"/>
              <w:right w:val="nil"/>
            </w:tcBorders>
            <w:shd w:val="clear" w:color="auto" w:fill="auto"/>
            <w:vAlign w:val="center"/>
            <w:hideMark/>
          </w:tcPr>
          <w:p w14:paraId="7E72A9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 0.0000</w:t>
            </w:r>
          </w:p>
        </w:tc>
      </w:tr>
    </w:tbl>
    <w:p w14:paraId="1830EFFA" w14:textId="77777777" w:rsidR="00A060FD" w:rsidRDefault="00A060FD" w:rsidP="00A060FD">
      <w:pPr>
        <w:spacing w:after="0" w:line="360" w:lineRule="auto"/>
        <w:jc w:val="center"/>
        <w:rPr>
          <w:rFonts w:ascii="Book Antiqua" w:hAnsi="Book Antiqua" w:cs="Times New Roman"/>
          <w:sz w:val="20"/>
          <w:szCs w:val="20"/>
          <w:lang w:val="en-US"/>
        </w:rPr>
      </w:pPr>
      <w:r w:rsidRPr="00866EEF">
        <w:rPr>
          <w:rFonts w:ascii="Book Antiqua" w:hAnsi="Book Antiqua" w:cs="Times New Roman"/>
          <w:sz w:val="20"/>
          <w:szCs w:val="20"/>
          <w:lang w:val="en-US"/>
        </w:rPr>
        <w:t xml:space="preserve">*MacKinnon (1996) one-sided p-values. </w:t>
      </w:r>
      <w:r>
        <w:rPr>
          <w:rFonts w:ascii="Book Antiqua" w:hAnsi="Book Antiqua" w:cs="Times New Roman"/>
          <w:sz w:val="20"/>
          <w:szCs w:val="20"/>
          <w:lang w:val="en-US"/>
        </w:rPr>
        <w:t>Soure: authors’ own calculations in Eviews 11.</w:t>
      </w:r>
    </w:p>
    <w:p w14:paraId="28730551" w14:textId="77777777" w:rsidR="00A060FD" w:rsidRPr="00870653" w:rsidRDefault="00A060FD" w:rsidP="00A060FD">
      <w:pPr>
        <w:spacing w:after="0" w:line="360" w:lineRule="auto"/>
        <w:jc w:val="center"/>
        <w:rPr>
          <w:rFonts w:ascii="Book Antiqua" w:hAnsi="Book Antiqua" w:cs="Times New Roman"/>
          <w:sz w:val="20"/>
          <w:szCs w:val="20"/>
          <w:lang w:val="en-US"/>
        </w:rPr>
      </w:pPr>
    </w:p>
    <w:p w14:paraId="5F9FB071" w14:textId="77777777" w:rsidR="00A060FD" w:rsidRPr="00870653" w:rsidRDefault="00A060FD" w:rsidP="00A060FD">
      <w:pPr>
        <w:keepNext/>
        <w:keepLines/>
        <w:widowControl w:val="0"/>
        <w:suppressAutoHyphens/>
        <w:spacing w:before="40" w:after="0" w:line="240" w:lineRule="auto"/>
        <w:outlineLvl w:val="1"/>
        <w:rPr>
          <w:rFonts w:ascii="Book Antiqua" w:hAnsi="Book Antiqua" w:cs="Times New Roman"/>
          <w:sz w:val="20"/>
          <w:szCs w:val="20"/>
          <w:lang w:val="en-US"/>
        </w:rPr>
      </w:pPr>
      <w:bookmarkStart w:id="8" w:name="_Toc50373181"/>
      <w:r w:rsidRPr="00870653">
        <w:rPr>
          <w:rFonts w:ascii="Book Antiqua" w:hAnsi="Book Antiqua" w:cs="Times New Roman"/>
          <w:sz w:val="20"/>
          <w:szCs w:val="20"/>
          <w:lang w:val="en-US"/>
        </w:rPr>
        <w:t xml:space="preserve">Appendix A.2. OLS estimates </w:t>
      </w:r>
      <w:bookmarkEnd w:id="8"/>
      <w:r w:rsidRPr="00870653">
        <w:rPr>
          <w:rFonts w:ascii="Book Antiqua" w:hAnsi="Book Antiqua" w:cs="Times New Roman"/>
          <w:sz w:val="20"/>
          <w:szCs w:val="20"/>
          <w:lang w:val="en-US"/>
        </w:rPr>
        <w:t xml:space="preserve">for each banking group </w:t>
      </w:r>
    </w:p>
    <w:p w14:paraId="0C40CBDA" w14:textId="77777777" w:rsidR="00A060FD" w:rsidRPr="00870653" w:rsidRDefault="00A060FD" w:rsidP="00A060FD">
      <w:pPr>
        <w:keepNext/>
        <w:keepLines/>
        <w:widowControl w:val="0"/>
        <w:suppressAutoHyphens/>
        <w:spacing w:before="40" w:after="0" w:line="240" w:lineRule="auto"/>
        <w:outlineLvl w:val="1"/>
        <w:rPr>
          <w:rFonts w:ascii="Book Antiqua" w:hAnsi="Book Antiqua" w:cs="Times New Roman"/>
          <w:sz w:val="20"/>
          <w:szCs w:val="20"/>
          <w:lang w:val="en-US"/>
        </w:rPr>
      </w:pPr>
    </w:p>
    <w:p w14:paraId="2CD913C8" w14:textId="77777777" w:rsidR="00A060FD" w:rsidRPr="00C708DB" w:rsidRDefault="00A060FD" w:rsidP="00A060FD">
      <w:pPr>
        <w:widowControl w:val="0"/>
        <w:numPr>
          <w:ilvl w:val="0"/>
          <w:numId w:val="21"/>
        </w:numPr>
        <w:suppressAutoHyphens/>
        <w:spacing w:after="0" w:line="360" w:lineRule="auto"/>
        <w:ind w:left="426"/>
        <w:contextualSpacing/>
        <w:jc w:val="both"/>
        <w:rPr>
          <w:rFonts w:ascii="Book Antiqua" w:hAnsi="Book Antiqua" w:cs="Times New Roman"/>
          <w:sz w:val="20"/>
          <w:szCs w:val="20"/>
        </w:rPr>
      </w:pPr>
      <w:r w:rsidRPr="00866EEF">
        <w:rPr>
          <w:rFonts w:ascii="Book Antiqua" w:hAnsi="Book Antiqua" w:cs="Times New Roman"/>
          <w:sz w:val="20"/>
          <w:szCs w:val="20"/>
        </w:rPr>
        <w:t>Intesa San Paolo</w:t>
      </w:r>
    </w:p>
    <w:p w14:paraId="1ED8B23B" w14:textId="77777777" w:rsidR="00A060FD" w:rsidRPr="00870653" w:rsidRDefault="00A060FD" w:rsidP="00A060FD">
      <w:pPr>
        <w:spacing w:after="0" w:line="360" w:lineRule="auto"/>
        <w:jc w:val="center"/>
        <w:rPr>
          <w:rFonts w:ascii="Book Antiqua" w:hAnsi="Book Antiqua" w:cs="Times New Roman"/>
          <w:sz w:val="20"/>
          <w:szCs w:val="20"/>
          <w:lang w:val="en-US"/>
        </w:rPr>
      </w:pPr>
      <w:r w:rsidRPr="00870653">
        <w:rPr>
          <w:rFonts w:ascii="Book Antiqua" w:hAnsi="Book Antiqua" w:cs="Times New Roman"/>
          <w:b/>
          <w:bCs/>
          <w:sz w:val="20"/>
          <w:szCs w:val="20"/>
          <w:lang w:val="en-US"/>
        </w:rPr>
        <w:t xml:space="preserve">Tabella A2. </w:t>
      </w:r>
      <w:r w:rsidRPr="00870653">
        <w:rPr>
          <w:rFonts w:ascii="Book Antiqua" w:hAnsi="Book Antiqua" w:cs="Times New Roman"/>
          <w:sz w:val="20"/>
          <w:szCs w:val="20"/>
          <w:lang w:val="en-US"/>
        </w:rPr>
        <w:t>OLS estimates: Period January 2008 – January 2020 (3131)</w:t>
      </w:r>
    </w:p>
    <w:tbl>
      <w:tblPr>
        <w:tblW w:w="7320" w:type="dxa"/>
        <w:jc w:val="center"/>
        <w:tblCellMar>
          <w:left w:w="70" w:type="dxa"/>
          <w:right w:w="70" w:type="dxa"/>
        </w:tblCellMar>
        <w:tblLook w:val="04A0" w:firstRow="1" w:lastRow="0" w:firstColumn="1" w:lastColumn="0" w:noHBand="0" w:noVBand="1"/>
      </w:tblPr>
      <w:tblGrid>
        <w:gridCol w:w="2098"/>
        <w:gridCol w:w="1413"/>
        <w:gridCol w:w="1386"/>
        <w:gridCol w:w="1352"/>
        <w:gridCol w:w="1071"/>
      </w:tblGrid>
      <w:tr w:rsidR="00A060FD" w:rsidRPr="00866EEF" w14:paraId="2703D532"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A3A3B5A"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2008 (261 Obs.)</w:t>
            </w:r>
          </w:p>
        </w:tc>
      </w:tr>
      <w:tr w:rsidR="00A060FD" w:rsidRPr="00866EEF" w14:paraId="53CE82E8"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916AF6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56543D9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78CB99A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35D286A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885104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3DD7EAE3"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3480D5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4D8E335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0.053855</w:t>
            </w:r>
          </w:p>
        </w:tc>
        <w:tc>
          <w:tcPr>
            <w:tcW w:w="1386" w:type="dxa"/>
            <w:tcBorders>
              <w:top w:val="nil"/>
              <w:left w:val="nil"/>
              <w:bottom w:val="single" w:sz="4" w:space="0" w:color="auto"/>
              <w:right w:val="nil"/>
            </w:tcBorders>
            <w:shd w:val="clear" w:color="auto" w:fill="auto"/>
            <w:vAlign w:val="center"/>
            <w:hideMark/>
          </w:tcPr>
          <w:p w14:paraId="63540FE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0.470134</w:t>
            </w:r>
          </w:p>
        </w:tc>
        <w:tc>
          <w:tcPr>
            <w:tcW w:w="1352" w:type="dxa"/>
            <w:tcBorders>
              <w:top w:val="nil"/>
              <w:left w:val="nil"/>
              <w:bottom w:val="single" w:sz="4" w:space="0" w:color="auto"/>
              <w:right w:val="nil"/>
            </w:tcBorders>
            <w:shd w:val="clear" w:color="auto" w:fill="auto"/>
            <w:vAlign w:val="center"/>
            <w:hideMark/>
          </w:tcPr>
          <w:p w14:paraId="2AF4055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0.114553</w:t>
            </w:r>
          </w:p>
        </w:tc>
        <w:tc>
          <w:tcPr>
            <w:tcW w:w="1071" w:type="dxa"/>
            <w:tcBorders>
              <w:top w:val="nil"/>
              <w:left w:val="nil"/>
              <w:bottom w:val="single" w:sz="4" w:space="0" w:color="auto"/>
              <w:right w:val="nil"/>
            </w:tcBorders>
            <w:shd w:val="clear" w:color="auto" w:fill="auto"/>
            <w:vAlign w:val="center"/>
            <w:hideMark/>
          </w:tcPr>
          <w:p w14:paraId="6E7C9E7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0.9089</w:t>
            </w:r>
          </w:p>
        </w:tc>
      </w:tr>
      <w:tr w:rsidR="00A060FD" w:rsidRPr="00866EEF" w14:paraId="510989EF"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F5ACE0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799E818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-0.045905</w:t>
            </w:r>
          </w:p>
        </w:tc>
        <w:tc>
          <w:tcPr>
            <w:tcW w:w="1386" w:type="dxa"/>
            <w:tcBorders>
              <w:top w:val="nil"/>
              <w:left w:val="nil"/>
              <w:bottom w:val="single" w:sz="4" w:space="0" w:color="auto"/>
              <w:right w:val="nil"/>
            </w:tcBorders>
            <w:shd w:val="clear" w:color="auto" w:fill="auto"/>
            <w:vAlign w:val="center"/>
            <w:hideMark/>
          </w:tcPr>
          <w:p w14:paraId="50DD52C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0.067431</w:t>
            </w:r>
          </w:p>
        </w:tc>
        <w:tc>
          <w:tcPr>
            <w:tcW w:w="1352" w:type="dxa"/>
            <w:tcBorders>
              <w:top w:val="nil"/>
              <w:left w:val="nil"/>
              <w:bottom w:val="single" w:sz="4" w:space="0" w:color="auto"/>
              <w:right w:val="nil"/>
            </w:tcBorders>
            <w:shd w:val="clear" w:color="auto" w:fill="auto"/>
            <w:vAlign w:val="center"/>
            <w:hideMark/>
          </w:tcPr>
          <w:p w14:paraId="55BE1BB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-0.680776</w:t>
            </w:r>
          </w:p>
        </w:tc>
        <w:tc>
          <w:tcPr>
            <w:tcW w:w="1071" w:type="dxa"/>
            <w:tcBorders>
              <w:top w:val="nil"/>
              <w:left w:val="nil"/>
              <w:bottom w:val="single" w:sz="4" w:space="0" w:color="auto"/>
              <w:right w:val="nil"/>
            </w:tcBorders>
            <w:shd w:val="clear" w:color="auto" w:fill="auto"/>
            <w:vAlign w:val="center"/>
            <w:hideMark/>
          </w:tcPr>
          <w:p w14:paraId="793A6A3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0.4966</w:t>
            </w:r>
          </w:p>
        </w:tc>
      </w:tr>
      <w:tr w:rsidR="00A060FD" w:rsidRPr="00866EEF" w14:paraId="06A7706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5FD7A7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184F8BC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0.577953***</w:t>
            </w:r>
          </w:p>
        </w:tc>
        <w:tc>
          <w:tcPr>
            <w:tcW w:w="1386" w:type="dxa"/>
            <w:tcBorders>
              <w:top w:val="nil"/>
              <w:left w:val="nil"/>
              <w:bottom w:val="single" w:sz="4" w:space="0" w:color="auto"/>
              <w:right w:val="nil"/>
            </w:tcBorders>
            <w:shd w:val="clear" w:color="auto" w:fill="auto"/>
            <w:vAlign w:val="center"/>
            <w:hideMark/>
          </w:tcPr>
          <w:p w14:paraId="3EB34B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0.149124</w:t>
            </w:r>
          </w:p>
        </w:tc>
        <w:tc>
          <w:tcPr>
            <w:tcW w:w="1352" w:type="dxa"/>
            <w:tcBorders>
              <w:top w:val="nil"/>
              <w:left w:val="nil"/>
              <w:bottom w:val="single" w:sz="4" w:space="0" w:color="auto"/>
              <w:right w:val="nil"/>
            </w:tcBorders>
            <w:shd w:val="clear" w:color="auto" w:fill="auto"/>
            <w:vAlign w:val="center"/>
            <w:hideMark/>
          </w:tcPr>
          <w:p w14:paraId="7F6E16D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3.875664</w:t>
            </w:r>
          </w:p>
        </w:tc>
        <w:tc>
          <w:tcPr>
            <w:tcW w:w="1071" w:type="dxa"/>
            <w:tcBorders>
              <w:top w:val="nil"/>
              <w:left w:val="nil"/>
              <w:bottom w:val="single" w:sz="4" w:space="0" w:color="auto"/>
              <w:right w:val="nil"/>
            </w:tcBorders>
            <w:shd w:val="clear" w:color="auto" w:fill="auto"/>
            <w:vAlign w:val="center"/>
            <w:hideMark/>
          </w:tcPr>
          <w:p w14:paraId="3D6FD76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w:t>
            </w:r>
          </w:p>
        </w:tc>
      </w:tr>
      <w:tr w:rsidR="00A060FD" w:rsidRPr="00866EEF" w14:paraId="0E7681B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08FB4B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041400F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0.056209</w:t>
            </w:r>
          </w:p>
        </w:tc>
      </w:tr>
      <w:tr w:rsidR="00A060FD" w:rsidRPr="00866EEF" w14:paraId="650D0BB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35C005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2B8694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0.048893</w:t>
            </w:r>
          </w:p>
        </w:tc>
      </w:tr>
      <w:tr w:rsidR="00A060FD" w:rsidRPr="00866EEF" w14:paraId="34CEDDEB"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4087325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vAlign w:val="center"/>
            <w:hideMark/>
          </w:tcPr>
          <w:p w14:paraId="1DA3ED2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2.098134</w:t>
            </w:r>
          </w:p>
        </w:tc>
      </w:tr>
      <w:tr w:rsidR="00A060FD" w:rsidRPr="00866EEF" w14:paraId="31F30C4A"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F2462E6"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2009-</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2009 (261 Obs.)</w:t>
            </w:r>
          </w:p>
        </w:tc>
      </w:tr>
      <w:tr w:rsidR="00A060FD" w:rsidRPr="00866EEF" w14:paraId="54A91EBA"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42B3AB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97945E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5C7C195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FE6128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5862782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A8CD8F2"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70CB13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3CF8720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-0.106364</w:t>
            </w:r>
          </w:p>
        </w:tc>
        <w:tc>
          <w:tcPr>
            <w:tcW w:w="1386" w:type="dxa"/>
            <w:tcBorders>
              <w:top w:val="nil"/>
              <w:left w:val="nil"/>
              <w:bottom w:val="single" w:sz="4" w:space="0" w:color="auto"/>
              <w:right w:val="nil"/>
            </w:tcBorders>
            <w:shd w:val="clear" w:color="auto" w:fill="auto"/>
            <w:vAlign w:val="center"/>
            <w:hideMark/>
          </w:tcPr>
          <w:p w14:paraId="223BAD4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0.461950</w:t>
            </w:r>
          </w:p>
        </w:tc>
        <w:tc>
          <w:tcPr>
            <w:tcW w:w="1352" w:type="dxa"/>
            <w:tcBorders>
              <w:top w:val="nil"/>
              <w:left w:val="nil"/>
              <w:bottom w:val="single" w:sz="4" w:space="0" w:color="auto"/>
              <w:right w:val="nil"/>
            </w:tcBorders>
            <w:shd w:val="clear" w:color="auto" w:fill="auto"/>
            <w:vAlign w:val="center"/>
            <w:hideMark/>
          </w:tcPr>
          <w:p w14:paraId="6673F0E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-0.230249</w:t>
            </w:r>
          </w:p>
        </w:tc>
        <w:tc>
          <w:tcPr>
            <w:tcW w:w="1071" w:type="dxa"/>
            <w:tcBorders>
              <w:top w:val="nil"/>
              <w:left w:val="nil"/>
              <w:bottom w:val="single" w:sz="4" w:space="0" w:color="auto"/>
              <w:right w:val="nil"/>
            </w:tcBorders>
            <w:shd w:val="clear" w:color="auto" w:fill="auto"/>
            <w:vAlign w:val="center"/>
            <w:hideMark/>
          </w:tcPr>
          <w:p w14:paraId="08EDEC3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0.8181</w:t>
            </w:r>
          </w:p>
        </w:tc>
      </w:tr>
      <w:tr w:rsidR="00A060FD" w:rsidRPr="00866EEF" w14:paraId="63C3D28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86B8E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513D6B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0.082447</w:t>
            </w:r>
          </w:p>
        </w:tc>
        <w:tc>
          <w:tcPr>
            <w:tcW w:w="1386" w:type="dxa"/>
            <w:tcBorders>
              <w:top w:val="nil"/>
              <w:left w:val="nil"/>
              <w:bottom w:val="single" w:sz="4" w:space="0" w:color="auto"/>
              <w:right w:val="nil"/>
            </w:tcBorders>
            <w:shd w:val="clear" w:color="auto" w:fill="auto"/>
            <w:vAlign w:val="center"/>
            <w:hideMark/>
          </w:tcPr>
          <w:p w14:paraId="3C5A41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0.153054</w:t>
            </w:r>
          </w:p>
        </w:tc>
        <w:tc>
          <w:tcPr>
            <w:tcW w:w="1352" w:type="dxa"/>
            <w:tcBorders>
              <w:top w:val="nil"/>
              <w:left w:val="nil"/>
              <w:bottom w:val="single" w:sz="4" w:space="0" w:color="auto"/>
              <w:right w:val="nil"/>
            </w:tcBorders>
            <w:shd w:val="clear" w:color="auto" w:fill="auto"/>
            <w:vAlign w:val="center"/>
            <w:hideMark/>
          </w:tcPr>
          <w:p w14:paraId="6D8F5B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0.538681</w:t>
            </w:r>
          </w:p>
        </w:tc>
        <w:tc>
          <w:tcPr>
            <w:tcW w:w="1071" w:type="dxa"/>
            <w:tcBorders>
              <w:top w:val="nil"/>
              <w:left w:val="nil"/>
              <w:bottom w:val="single" w:sz="4" w:space="0" w:color="auto"/>
              <w:right w:val="nil"/>
            </w:tcBorders>
            <w:shd w:val="clear" w:color="auto" w:fill="auto"/>
            <w:vAlign w:val="center"/>
            <w:hideMark/>
          </w:tcPr>
          <w:p w14:paraId="2FC2EB2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0.5906</w:t>
            </w:r>
          </w:p>
        </w:tc>
      </w:tr>
      <w:tr w:rsidR="00A060FD" w:rsidRPr="00866EEF" w14:paraId="2C3A50A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A6FF7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646D68A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0.365106***</w:t>
            </w:r>
          </w:p>
        </w:tc>
        <w:tc>
          <w:tcPr>
            <w:tcW w:w="1386" w:type="dxa"/>
            <w:tcBorders>
              <w:top w:val="nil"/>
              <w:left w:val="nil"/>
              <w:bottom w:val="single" w:sz="4" w:space="0" w:color="auto"/>
              <w:right w:val="nil"/>
            </w:tcBorders>
            <w:shd w:val="clear" w:color="auto" w:fill="auto"/>
            <w:vAlign w:val="center"/>
            <w:hideMark/>
          </w:tcPr>
          <w:p w14:paraId="5453D7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0.105816</w:t>
            </w:r>
          </w:p>
        </w:tc>
        <w:tc>
          <w:tcPr>
            <w:tcW w:w="1352" w:type="dxa"/>
            <w:tcBorders>
              <w:top w:val="nil"/>
              <w:left w:val="nil"/>
              <w:bottom w:val="single" w:sz="4" w:space="0" w:color="auto"/>
              <w:right w:val="nil"/>
            </w:tcBorders>
            <w:shd w:val="clear" w:color="auto" w:fill="auto"/>
            <w:vAlign w:val="center"/>
            <w:hideMark/>
          </w:tcPr>
          <w:p w14:paraId="2F805D9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3.450398</w:t>
            </w:r>
          </w:p>
        </w:tc>
        <w:tc>
          <w:tcPr>
            <w:tcW w:w="1071" w:type="dxa"/>
            <w:tcBorders>
              <w:top w:val="nil"/>
              <w:left w:val="nil"/>
              <w:bottom w:val="single" w:sz="4" w:space="0" w:color="auto"/>
              <w:right w:val="nil"/>
            </w:tcBorders>
            <w:shd w:val="clear" w:color="auto" w:fill="auto"/>
            <w:vAlign w:val="center"/>
            <w:hideMark/>
          </w:tcPr>
          <w:p w14:paraId="6A9333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0.0007</w:t>
            </w:r>
          </w:p>
        </w:tc>
      </w:tr>
      <w:tr w:rsidR="00A060FD" w:rsidRPr="00866EEF" w14:paraId="6B79AE2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433D6B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63C0834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0.045297</w:t>
            </w:r>
          </w:p>
        </w:tc>
      </w:tr>
      <w:tr w:rsidR="00A060FD" w:rsidRPr="00866EEF" w14:paraId="0700021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61B338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C94E41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0.037896</w:t>
            </w:r>
          </w:p>
        </w:tc>
      </w:tr>
      <w:tr w:rsidR="00A060FD" w:rsidRPr="00866EEF" w14:paraId="034A7FEC"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265D89E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D80DA7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2.537520</w:t>
            </w:r>
          </w:p>
        </w:tc>
      </w:tr>
      <w:tr w:rsidR="00A060FD" w:rsidRPr="00866EEF" w14:paraId="738E5615"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C1A2F1D"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2010-</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2010 (261 Obs.)</w:t>
            </w:r>
          </w:p>
        </w:tc>
      </w:tr>
      <w:tr w:rsidR="00A060FD" w:rsidRPr="00866EEF" w14:paraId="21AB6D58"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36895FB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lastRenderedPageBreak/>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F299B2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A32702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C045B9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5E3B3D4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204678E"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488E8F8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2025F21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0.074037</w:t>
            </w:r>
          </w:p>
        </w:tc>
        <w:tc>
          <w:tcPr>
            <w:tcW w:w="1386" w:type="dxa"/>
            <w:tcBorders>
              <w:top w:val="nil"/>
              <w:left w:val="nil"/>
              <w:bottom w:val="single" w:sz="4" w:space="0" w:color="auto"/>
              <w:right w:val="nil"/>
            </w:tcBorders>
            <w:shd w:val="clear" w:color="auto" w:fill="auto"/>
            <w:vAlign w:val="center"/>
            <w:hideMark/>
          </w:tcPr>
          <w:p w14:paraId="6AC5E68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0.508534</w:t>
            </w:r>
          </w:p>
        </w:tc>
        <w:tc>
          <w:tcPr>
            <w:tcW w:w="1352" w:type="dxa"/>
            <w:tcBorders>
              <w:top w:val="nil"/>
              <w:left w:val="nil"/>
              <w:bottom w:val="single" w:sz="4" w:space="0" w:color="auto"/>
              <w:right w:val="nil"/>
            </w:tcBorders>
            <w:shd w:val="clear" w:color="auto" w:fill="auto"/>
            <w:vAlign w:val="center"/>
            <w:hideMark/>
          </w:tcPr>
          <w:p w14:paraId="45289D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0.145589</w:t>
            </w:r>
          </w:p>
        </w:tc>
        <w:tc>
          <w:tcPr>
            <w:tcW w:w="1071" w:type="dxa"/>
            <w:tcBorders>
              <w:top w:val="nil"/>
              <w:left w:val="nil"/>
              <w:bottom w:val="single" w:sz="4" w:space="0" w:color="auto"/>
              <w:right w:val="nil"/>
            </w:tcBorders>
            <w:shd w:val="clear" w:color="auto" w:fill="auto"/>
            <w:vAlign w:val="center"/>
            <w:hideMark/>
          </w:tcPr>
          <w:p w14:paraId="42304CF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0.8844</w:t>
            </w:r>
          </w:p>
        </w:tc>
      </w:tr>
      <w:tr w:rsidR="00A060FD" w:rsidRPr="00866EEF" w14:paraId="668F92A7"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E05A0A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08F1205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0.371204***</w:t>
            </w:r>
          </w:p>
        </w:tc>
        <w:tc>
          <w:tcPr>
            <w:tcW w:w="1386" w:type="dxa"/>
            <w:tcBorders>
              <w:top w:val="nil"/>
              <w:left w:val="nil"/>
              <w:bottom w:val="single" w:sz="4" w:space="0" w:color="auto"/>
              <w:right w:val="nil"/>
            </w:tcBorders>
            <w:shd w:val="clear" w:color="auto" w:fill="auto"/>
            <w:vAlign w:val="center"/>
            <w:hideMark/>
          </w:tcPr>
          <w:p w14:paraId="2572F5F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0.098488</w:t>
            </w:r>
          </w:p>
        </w:tc>
        <w:tc>
          <w:tcPr>
            <w:tcW w:w="1352" w:type="dxa"/>
            <w:tcBorders>
              <w:top w:val="nil"/>
              <w:left w:val="nil"/>
              <w:bottom w:val="single" w:sz="4" w:space="0" w:color="auto"/>
              <w:right w:val="nil"/>
            </w:tcBorders>
            <w:shd w:val="clear" w:color="auto" w:fill="auto"/>
            <w:vAlign w:val="center"/>
            <w:hideMark/>
          </w:tcPr>
          <w:p w14:paraId="4651B87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3.769041</w:t>
            </w:r>
          </w:p>
        </w:tc>
        <w:tc>
          <w:tcPr>
            <w:tcW w:w="1071" w:type="dxa"/>
            <w:tcBorders>
              <w:top w:val="nil"/>
              <w:left w:val="nil"/>
              <w:bottom w:val="single" w:sz="4" w:space="0" w:color="auto"/>
              <w:right w:val="nil"/>
            </w:tcBorders>
            <w:shd w:val="clear" w:color="auto" w:fill="auto"/>
            <w:vAlign w:val="center"/>
            <w:hideMark/>
          </w:tcPr>
          <w:p w14:paraId="481EF45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0.0002</w:t>
            </w:r>
          </w:p>
        </w:tc>
      </w:tr>
      <w:tr w:rsidR="00A060FD" w:rsidRPr="00866EEF" w14:paraId="1A66A9C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CF9F89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CC2B69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0.687374***</w:t>
            </w:r>
          </w:p>
        </w:tc>
        <w:tc>
          <w:tcPr>
            <w:tcW w:w="1386" w:type="dxa"/>
            <w:tcBorders>
              <w:top w:val="nil"/>
              <w:left w:val="nil"/>
              <w:bottom w:val="single" w:sz="4" w:space="0" w:color="auto"/>
              <w:right w:val="nil"/>
            </w:tcBorders>
            <w:shd w:val="clear" w:color="auto" w:fill="auto"/>
            <w:vAlign w:val="center"/>
            <w:hideMark/>
          </w:tcPr>
          <w:p w14:paraId="24E36A6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0.079071</w:t>
            </w:r>
          </w:p>
        </w:tc>
        <w:tc>
          <w:tcPr>
            <w:tcW w:w="1352" w:type="dxa"/>
            <w:tcBorders>
              <w:top w:val="nil"/>
              <w:left w:val="nil"/>
              <w:bottom w:val="single" w:sz="4" w:space="0" w:color="auto"/>
              <w:right w:val="nil"/>
            </w:tcBorders>
            <w:shd w:val="clear" w:color="auto" w:fill="auto"/>
            <w:vAlign w:val="center"/>
            <w:hideMark/>
          </w:tcPr>
          <w:p w14:paraId="437546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8.693145</w:t>
            </w:r>
          </w:p>
        </w:tc>
        <w:tc>
          <w:tcPr>
            <w:tcW w:w="1071" w:type="dxa"/>
            <w:tcBorders>
              <w:top w:val="nil"/>
              <w:left w:val="nil"/>
              <w:bottom w:val="single" w:sz="4" w:space="0" w:color="auto"/>
              <w:right w:val="nil"/>
            </w:tcBorders>
            <w:shd w:val="clear" w:color="auto" w:fill="auto"/>
            <w:vAlign w:val="center"/>
            <w:hideMark/>
          </w:tcPr>
          <w:p w14:paraId="05153A3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3E7FB22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F8BABF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C51859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0.280945</w:t>
            </w:r>
          </w:p>
        </w:tc>
      </w:tr>
      <w:tr w:rsidR="00A060FD" w:rsidRPr="00866EEF" w14:paraId="7A73F5C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3E32F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7DA33D4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0.275371</w:t>
            </w:r>
          </w:p>
        </w:tc>
      </w:tr>
      <w:tr w:rsidR="00A060FD" w:rsidRPr="00866EEF" w14:paraId="5C87479C"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4DA9040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80D2D1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2.655814</w:t>
            </w:r>
          </w:p>
        </w:tc>
      </w:tr>
      <w:tr w:rsidR="00A060FD" w:rsidRPr="00866EEF" w14:paraId="560E89B1"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4CD3025D"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2011-</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2011 (260 Obs.)</w:t>
            </w:r>
          </w:p>
        </w:tc>
      </w:tr>
      <w:tr w:rsidR="00A060FD" w:rsidRPr="00866EEF" w14:paraId="31E0AF62"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06C5385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570E86A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63502E2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607493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30907B8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201EEC6"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13B5104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243F41A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0.488129</w:t>
            </w:r>
          </w:p>
        </w:tc>
        <w:tc>
          <w:tcPr>
            <w:tcW w:w="1386" w:type="dxa"/>
            <w:tcBorders>
              <w:top w:val="nil"/>
              <w:left w:val="nil"/>
              <w:bottom w:val="single" w:sz="4" w:space="0" w:color="auto"/>
              <w:right w:val="nil"/>
            </w:tcBorders>
            <w:shd w:val="clear" w:color="auto" w:fill="auto"/>
            <w:vAlign w:val="center"/>
            <w:hideMark/>
          </w:tcPr>
          <w:p w14:paraId="29C74C5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1.183.558</w:t>
            </w:r>
          </w:p>
        </w:tc>
        <w:tc>
          <w:tcPr>
            <w:tcW w:w="1352" w:type="dxa"/>
            <w:tcBorders>
              <w:top w:val="nil"/>
              <w:left w:val="nil"/>
              <w:bottom w:val="single" w:sz="4" w:space="0" w:color="auto"/>
              <w:right w:val="nil"/>
            </w:tcBorders>
            <w:shd w:val="clear" w:color="auto" w:fill="auto"/>
            <w:vAlign w:val="center"/>
            <w:hideMark/>
          </w:tcPr>
          <w:p w14:paraId="5DC750F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0.412425</w:t>
            </w:r>
          </w:p>
        </w:tc>
        <w:tc>
          <w:tcPr>
            <w:tcW w:w="1071" w:type="dxa"/>
            <w:tcBorders>
              <w:top w:val="nil"/>
              <w:left w:val="nil"/>
              <w:bottom w:val="single" w:sz="4" w:space="0" w:color="auto"/>
              <w:right w:val="nil"/>
            </w:tcBorders>
            <w:shd w:val="clear" w:color="auto" w:fill="auto"/>
            <w:vAlign w:val="center"/>
            <w:hideMark/>
          </w:tcPr>
          <w:p w14:paraId="4279B42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0.6804</w:t>
            </w:r>
          </w:p>
        </w:tc>
      </w:tr>
      <w:tr w:rsidR="00A060FD" w:rsidRPr="00866EEF" w14:paraId="00594D4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F32064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2D26F42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0.067791</w:t>
            </w:r>
          </w:p>
        </w:tc>
        <w:tc>
          <w:tcPr>
            <w:tcW w:w="1386" w:type="dxa"/>
            <w:tcBorders>
              <w:top w:val="nil"/>
              <w:left w:val="nil"/>
              <w:bottom w:val="single" w:sz="4" w:space="0" w:color="auto"/>
              <w:right w:val="nil"/>
            </w:tcBorders>
            <w:shd w:val="clear" w:color="auto" w:fill="auto"/>
            <w:vAlign w:val="center"/>
            <w:hideMark/>
          </w:tcPr>
          <w:p w14:paraId="4A70943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0.159910</w:t>
            </w:r>
          </w:p>
        </w:tc>
        <w:tc>
          <w:tcPr>
            <w:tcW w:w="1352" w:type="dxa"/>
            <w:tcBorders>
              <w:top w:val="nil"/>
              <w:left w:val="nil"/>
              <w:bottom w:val="single" w:sz="4" w:space="0" w:color="auto"/>
              <w:right w:val="nil"/>
            </w:tcBorders>
            <w:shd w:val="clear" w:color="auto" w:fill="auto"/>
            <w:vAlign w:val="center"/>
            <w:hideMark/>
          </w:tcPr>
          <w:p w14:paraId="5BF3EA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0.423931</w:t>
            </w:r>
          </w:p>
        </w:tc>
        <w:tc>
          <w:tcPr>
            <w:tcW w:w="1071" w:type="dxa"/>
            <w:tcBorders>
              <w:top w:val="nil"/>
              <w:left w:val="nil"/>
              <w:bottom w:val="single" w:sz="4" w:space="0" w:color="auto"/>
              <w:right w:val="nil"/>
            </w:tcBorders>
            <w:shd w:val="clear" w:color="auto" w:fill="auto"/>
            <w:vAlign w:val="center"/>
            <w:hideMark/>
          </w:tcPr>
          <w:p w14:paraId="3784E53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0.6720</w:t>
            </w:r>
          </w:p>
        </w:tc>
      </w:tr>
      <w:tr w:rsidR="00A060FD" w:rsidRPr="00866EEF" w14:paraId="370EE4E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CF6C4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21CE30C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0.586834***</w:t>
            </w:r>
          </w:p>
        </w:tc>
        <w:tc>
          <w:tcPr>
            <w:tcW w:w="1386" w:type="dxa"/>
            <w:tcBorders>
              <w:top w:val="nil"/>
              <w:left w:val="nil"/>
              <w:bottom w:val="single" w:sz="4" w:space="0" w:color="auto"/>
              <w:right w:val="nil"/>
            </w:tcBorders>
            <w:shd w:val="clear" w:color="auto" w:fill="auto"/>
            <w:vAlign w:val="center"/>
            <w:hideMark/>
          </w:tcPr>
          <w:p w14:paraId="7E330D6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0.076710</w:t>
            </w:r>
          </w:p>
        </w:tc>
        <w:tc>
          <w:tcPr>
            <w:tcW w:w="1352" w:type="dxa"/>
            <w:tcBorders>
              <w:top w:val="nil"/>
              <w:left w:val="nil"/>
              <w:bottom w:val="single" w:sz="4" w:space="0" w:color="auto"/>
              <w:right w:val="nil"/>
            </w:tcBorders>
            <w:shd w:val="clear" w:color="auto" w:fill="auto"/>
            <w:vAlign w:val="center"/>
            <w:hideMark/>
          </w:tcPr>
          <w:p w14:paraId="0795F59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7.650061</w:t>
            </w:r>
          </w:p>
        </w:tc>
        <w:tc>
          <w:tcPr>
            <w:tcW w:w="1071" w:type="dxa"/>
            <w:tcBorders>
              <w:top w:val="nil"/>
              <w:left w:val="nil"/>
              <w:bottom w:val="single" w:sz="4" w:space="0" w:color="auto"/>
              <w:right w:val="nil"/>
            </w:tcBorders>
            <w:shd w:val="clear" w:color="auto" w:fill="auto"/>
            <w:vAlign w:val="center"/>
            <w:hideMark/>
          </w:tcPr>
          <w:p w14:paraId="1EFBA5A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198007A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170B86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6C5F27A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0.194632</w:t>
            </w:r>
          </w:p>
        </w:tc>
      </w:tr>
      <w:tr w:rsidR="00A060FD" w:rsidRPr="00866EEF" w14:paraId="7B4DEFD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FB28C7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5FC3F2F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0.188365</w:t>
            </w:r>
          </w:p>
        </w:tc>
      </w:tr>
      <w:tr w:rsidR="00A060FD" w:rsidRPr="00866EEF" w14:paraId="009BF345"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77F6BE5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4FF18C3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2.276289</w:t>
            </w:r>
          </w:p>
        </w:tc>
      </w:tr>
      <w:tr w:rsidR="00A060FD" w:rsidRPr="00866EEF" w14:paraId="46F7BD21"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9D04BC5"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2012-</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2012 (261 Obs.)</w:t>
            </w:r>
          </w:p>
        </w:tc>
      </w:tr>
      <w:tr w:rsidR="00A060FD" w:rsidRPr="00866EEF" w14:paraId="6BE4423A"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291F640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344DD7A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95723D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0F05F65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2C7891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85B681B"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2ECD8E8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1EE09FD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-0.203377</w:t>
            </w:r>
          </w:p>
        </w:tc>
        <w:tc>
          <w:tcPr>
            <w:tcW w:w="1386" w:type="dxa"/>
            <w:tcBorders>
              <w:top w:val="nil"/>
              <w:left w:val="nil"/>
              <w:bottom w:val="single" w:sz="4" w:space="0" w:color="auto"/>
              <w:right w:val="nil"/>
            </w:tcBorders>
            <w:shd w:val="clear" w:color="auto" w:fill="auto"/>
            <w:vAlign w:val="center"/>
            <w:hideMark/>
          </w:tcPr>
          <w:p w14:paraId="2A60BEB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0.889909</w:t>
            </w:r>
          </w:p>
        </w:tc>
        <w:tc>
          <w:tcPr>
            <w:tcW w:w="1352" w:type="dxa"/>
            <w:tcBorders>
              <w:top w:val="nil"/>
              <w:left w:val="nil"/>
              <w:bottom w:val="single" w:sz="4" w:space="0" w:color="auto"/>
              <w:right w:val="nil"/>
            </w:tcBorders>
            <w:shd w:val="clear" w:color="auto" w:fill="auto"/>
            <w:vAlign w:val="center"/>
            <w:hideMark/>
          </w:tcPr>
          <w:p w14:paraId="5C805FF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-0.228537</w:t>
            </w:r>
          </w:p>
        </w:tc>
        <w:tc>
          <w:tcPr>
            <w:tcW w:w="1071" w:type="dxa"/>
            <w:tcBorders>
              <w:top w:val="nil"/>
              <w:left w:val="nil"/>
              <w:bottom w:val="single" w:sz="4" w:space="0" w:color="auto"/>
              <w:right w:val="nil"/>
            </w:tcBorders>
            <w:shd w:val="clear" w:color="auto" w:fill="auto"/>
            <w:vAlign w:val="center"/>
            <w:hideMark/>
          </w:tcPr>
          <w:p w14:paraId="43EF8F5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0.8194</w:t>
            </w:r>
          </w:p>
        </w:tc>
      </w:tr>
      <w:tr w:rsidR="00A060FD" w:rsidRPr="00866EEF" w14:paraId="01BBC5A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5B5A9A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653B31D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-0.039619</w:t>
            </w:r>
          </w:p>
        </w:tc>
        <w:tc>
          <w:tcPr>
            <w:tcW w:w="1386" w:type="dxa"/>
            <w:tcBorders>
              <w:top w:val="nil"/>
              <w:left w:val="nil"/>
              <w:bottom w:val="single" w:sz="4" w:space="0" w:color="auto"/>
              <w:right w:val="nil"/>
            </w:tcBorders>
            <w:shd w:val="clear" w:color="auto" w:fill="auto"/>
            <w:vAlign w:val="center"/>
            <w:hideMark/>
          </w:tcPr>
          <w:p w14:paraId="2AF3860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0.138290</w:t>
            </w:r>
          </w:p>
        </w:tc>
        <w:tc>
          <w:tcPr>
            <w:tcW w:w="1352" w:type="dxa"/>
            <w:tcBorders>
              <w:top w:val="nil"/>
              <w:left w:val="nil"/>
              <w:bottom w:val="single" w:sz="4" w:space="0" w:color="auto"/>
              <w:right w:val="nil"/>
            </w:tcBorders>
            <w:shd w:val="clear" w:color="auto" w:fill="auto"/>
            <w:vAlign w:val="center"/>
            <w:hideMark/>
          </w:tcPr>
          <w:p w14:paraId="5B68B51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-0.286493</w:t>
            </w:r>
          </w:p>
        </w:tc>
        <w:tc>
          <w:tcPr>
            <w:tcW w:w="1071" w:type="dxa"/>
            <w:tcBorders>
              <w:top w:val="nil"/>
              <w:left w:val="nil"/>
              <w:bottom w:val="single" w:sz="4" w:space="0" w:color="auto"/>
              <w:right w:val="nil"/>
            </w:tcBorders>
            <w:shd w:val="clear" w:color="auto" w:fill="auto"/>
            <w:vAlign w:val="center"/>
            <w:hideMark/>
          </w:tcPr>
          <w:p w14:paraId="5AF846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0.7747</w:t>
            </w:r>
          </w:p>
        </w:tc>
      </w:tr>
      <w:tr w:rsidR="00A060FD" w:rsidRPr="00866EEF" w14:paraId="5191A2D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B9A154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12ED9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0.710763***</w:t>
            </w:r>
          </w:p>
        </w:tc>
        <w:tc>
          <w:tcPr>
            <w:tcW w:w="1386" w:type="dxa"/>
            <w:tcBorders>
              <w:top w:val="nil"/>
              <w:left w:val="nil"/>
              <w:bottom w:val="single" w:sz="4" w:space="0" w:color="auto"/>
              <w:right w:val="nil"/>
            </w:tcBorders>
            <w:shd w:val="clear" w:color="auto" w:fill="auto"/>
            <w:vAlign w:val="center"/>
            <w:hideMark/>
          </w:tcPr>
          <w:p w14:paraId="7D4B8D8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0.064856</w:t>
            </w:r>
          </w:p>
        </w:tc>
        <w:tc>
          <w:tcPr>
            <w:tcW w:w="1352" w:type="dxa"/>
            <w:tcBorders>
              <w:top w:val="nil"/>
              <w:left w:val="nil"/>
              <w:bottom w:val="single" w:sz="4" w:space="0" w:color="auto"/>
              <w:right w:val="nil"/>
            </w:tcBorders>
            <w:shd w:val="clear" w:color="auto" w:fill="auto"/>
            <w:vAlign w:val="center"/>
            <w:hideMark/>
          </w:tcPr>
          <w:p w14:paraId="5681D1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10.95913</w:t>
            </w:r>
          </w:p>
        </w:tc>
        <w:tc>
          <w:tcPr>
            <w:tcW w:w="1071" w:type="dxa"/>
            <w:tcBorders>
              <w:top w:val="nil"/>
              <w:left w:val="nil"/>
              <w:bottom w:val="single" w:sz="4" w:space="0" w:color="auto"/>
              <w:right w:val="nil"/>
            </w:tcBorders>
            <w:shd w:val="clear" w:color="auto" w:fill="auto"/>
            <w:vAlign w:val="center"/>
            <w:hideMark/>
          </w:tcPr>
          <w:p w14:paraId="4D5BB09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3E12D44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B21B93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37CC923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0.318380</w:t>
            </w:r>
          </w:p>
        </w:tc>
      </w:tr>
      <w:tr w:rsidR="00A060FD" w:rsidRPr="00866EEF" w14:paraId="1F1C37C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36752E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5DE46C5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0.313096</w:t>
            </w:r>
          </w:p>
        </w:tc>
      </w:tr>
      <w:tr w:rsidR="00A060FD" w:rsidRPr="00866EEF" w14:paraId="1F8D35E0"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189439F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0980717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2.526183</w:t>
            </w:r>
          </w:p>
        </w:tc>
      </w:tr>
      <w:tr w:rsidR="00A060FD" w:rsidRPr="00866EEF" w14:paraId="6CC5AED4"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75897D6"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2013-</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2013 (261 Obs.)</w:t>
            </w:r>
          </w:p>
        </w:tc>
      </w:tr>
      <w:tr w:rsidR="00A060FD" w:rsidRPr="00866EEF" w14:paraId="0520B369"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76D0DCC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5B3599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C81142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EEFFB2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78219B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F3B7931"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28F6C4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single" w:sz="4" w:space="0" w:color="auto"/>
              <w:left w:val="nil"/>
              <w:bottom w:val="single" w:sz="4" w:space="0" w:color="auto"/>
              <w:right w:val="nil"/>
            </w:tcBorders>
            <w:shd w:val="clear" w:color="auto" w:fill="auto"/>
            <w:vAlign w:val="center"/>
            <w:hideMark/>
          </w:tcPr>
          <w:p w14:paraId="6339D5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-0.320095</w:t>
            </w:r>
          </w:p>
        </w:tc>
        <w:tc>
          <w:tcPr>
            <w:tcW w:w="1386" w:type="dxa"/>
            <w:tcBorders>
              <w:top w:val="single" w:sz="4" w:space="0" w:color="auto"/>
              <w:left w:val="nil"/>
              <w:bottom w:val="single" w:sz="4" w:space="0" w:color="auto"/>
              <w:right w:val="nil"/>
            </w:tcBorders>
            <w:shd w:val="clear" w:color="auto" w:fill="auto"/>
            <w:vAlign w:val="center"/>
            <w:hideMark/>
          </w:tcPr>
          <w:p w14:paraId="3CB7FDC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0.573635</w:t>
            </w:r>
          </w:p>
        </w:tc>
        <w:tc>
          <w:tcPr>
            <w:tcW w:w="1352" w:type="dxa"/>
            <w:tcBorders>
              <w:top w:val="single" w:sz="4" w:space="0" w:color="auto"/>
              <w:left w:val="nil"/>
              <w:bottom w:val="single" w:sz="4" w:space="0" w:color="auto"/>
              <w:right w:val="nil"/>
            </w:tcBorders>
            <w:shd w:val="clear" w:color="auto" w:fill="auto"/>
            <w:vAlign w:val="center"/>
            <w:hideMark/>
          </w:tcPr>
          <w:p w14:paraId="799088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-0.558011</w:t>
            </w:r>
          </w:p>
        </w:tc>
        <w:tc>
          <w:tcPr>
            <w:tcW w:w="1071" w:type="dxa"/>
            <w:tcBorders>
              <w:top w:val="single" w:sz="4" w:space="0" w:color="auto"/>
              <w:left w:val="nil"/>
              <w:bottom w:val="single" w:sz="4" w:space="0" w:color="auto"/>
              <w:right w:val="nil"/>
            </w:tcBorders>
            <w:shd w:val="clear" w:color="auto" w:fill="auto"/>
            <w:vAlign w:val="center"/>
            <w:hideMark/>
          </w:tcPr>
          <w:p w14:paraId="38DA069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0.5773</w:t>
            </w:r>
          </w:p>
        </w:tc>
      </w:tr>
      <w:tr w:rsidR="00A060FD" w:rsidRPr="00866EEF" w14:paraId="5CCD3FB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7A5185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23A32B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0.323188**</w:t>
            </w:r>
          </w:p>
        </w:tc>
        <w:tc>
          <w:tcPr>
            <w:tcW w:w="1386" w:type="dxa"/>
            <w:tcBorders>
              <w:top w:val="nil"/>
              <w:left w:val="nil"/>
              <w:bottom w:val="single" w:sz="4" w:space="0" w:color="auto"/>
              <w:right w:val="nil"/>
            </w:tcBorders>
            <w:shd w:val="clear" w:color="auto" w:fill="auto"/>
            <w:vAlign w:val="center"/>
            <w:hideMark/>
          </w:tcPr>
          <w:p w14:paraId="45D9F68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0.151832</w:t>
            </w:r>
          </w:p>
        </w:tc>
        <w:tc>
          <w:tcPr>
            <w:tcW w:w="1352" w:type="dxa"/>
            <w:tcBorders>
              <w:top w:val="nil"/>
              <w:left w:val="nil"/>
              <w:bottom w:val="single" w:sz="4" w:space="0" w:color="auto"/>
              <w:right w:val="nil"/>
            </w:tcBorders>
            <w:shd w:val="clear" w:color="auto" w:fill="auto"/>
            <w:vAlign w:val="center"/>
            <w:hideMark/>
          </w:tcPr>
          <w:p w14:paraId="55D3461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2.128595</w:t>
            </w:r>
          </w:p>
        </w:tc>
        <w:tc>
          <w:tcPr>
            <w:tcW w:w="1071" w:type="dxa"/>
            <w:tcBorders>
              <w:top w:val="nil"/>
              <w:left w:val="nil"/>
              <w:bottom w:val="single" w:sz="4" w:space="0" w:color="auto"/>
              <w:right w:val="nil"/>
            </w:tcBorders>
            <w:shd w:val="clear" w:color="auto" w:fill="auto"/>
            <w:vAlign w:val="center"/>
            <w:hideMark/>
          </w:tcPr>
          <w:p w14:paraId="2534271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0.0342</w:t>
            </w:r>
          </w:p>
        </w:tc>
      </w:tr>
      <w:tr w:rsidR="00A060FD" w:rsidRPr="00866EEF" w14:paraId="3688C95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911B0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46B6F08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0.551735***</w:t>
            </w:r>
          </w:p>
        </w:tc>
        <w:tc>
          <w:tcPr>
            <w:tcW w:w="1386" w:type="dxa"/>
            <w:tcBorders>
              <w:top w:val="nil"/>
              <w:left w:val="nil"/>
              <w:bottom w:val="single" w:sz="4" w:space="0" w:color="auto"/>
              <w:right w:val="nil"/>
            </w:tcBorders>
            <w:shd w:val="clear" w:color="auto" w:fill="auto"/>
            <w:vAlign w:val="center"/>
            <w:hideMark/>
          </w:tcPr>
          <w:p w14:paraId="7336FE2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0.071318</w:t>
            </w:r>
          </w:p>
        </w:tc>
        <w:tc>
          <w:tcPr>
            <w:tcW w:w="1352" w:type="dxa"/>
            <w:tcBorders>
              <w:top w:val="nil"/>
              <w:left w:val="nil"/>
              <w:bottom w:val="single" w:sz="4" w:space="0" w:color="auto"/>
              <w:right w:val="nil"/>
            </w:tcBorders>
            <w:shd w:val="clear" w:color="auto" w:fill="auto"/>
            <w:vAlign w:val="center"/>
            <w:hideMark/>
          </w:tcPr>
          <w:p w14:paraId="1FC203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7.736262</w:t>
            </w:r>
          </w:p>
        </w:tc>
        <w:tc>
          <w:tcPr>
            <w:tcW w:w="1071" w:type="dxa"/>
            <w:tcBorders>
              <w:top w:val="nil"/>
              <w:left w:val="nil"/>
              <w:bottom w:val="single" w:sz="4" w:space="0" w:color="auto"/>
              <w:right w:val="nil"/>
            </w:tcBorders>
            <w:shd w:val="clear" w:color="auto" w:fill="auto"/>
            <w:vAlign w:val="center"/>
            <w:hideMark/>
          </w:tcPr>
          <w:p w14:paraId="711E680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4234B7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8A062C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BFA15C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0.209490</w:t>
            </w:r>
          </w:p>
        </w:tc>
      </w:tr>
      <w:tr w:rsidR="00A060FD" w:rsidRPr="00866EEF" w14:paraId="4A27075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911EC2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5F9DF75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0.203362</w:t>
            </w:r>
          </w:p>
        </w:tc>
      </w:tr>
      <w:tr w:rsidR="00A060FD" w:rsidRPr="00866EEF" w14:paraId="6E03FFB2"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5651980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1342355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2.415146</w:t>
            </w:r>
          </w:p>
        </w:tc>
      </w:tr>
      <w:tr w:rsidR="00A060FD" w:rsidRPr="00866EEF" w14:paraId="723241A2"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2A75545D"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2014-</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2014 (261 Obs.)</w:t>
            </w:r>
          </w:p>
        </w:tc>
      </w:tr>
      <w:tr w:rsidR="00A060FD" w:rsidRPr="00866EEF" w14:paraId="263832E6"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0D0CD97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100712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49015F0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4A7471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305E218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71D9BA7"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5055D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49E676B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-0.129210</w:t>
            </w:r>
          </w:p>
        </w:tc>
        <w:tc>
          <w:tcPr>
            <w:tcW w:w="1386" w:type="dxa"/>
            <w:tcBorders>
              <w:top w:val="nil"/>
              <w:left w:val="nil"/>
              <w:bottom w:val="single" w:sz="4" w:space="0" w:color="auto"/>
              <w:right w:val="nil"/>
            </w:tcBorders>
            <w:shd w:val="clear" w:color="auto" w:fill="auto"/>
            <w:vAlign w:val="center"/>
            <w:hideMark/>
          </w:tcPr>
          <w:p w14:paraId="2964C99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0.359644</w:t>
            </w:r>
          </w:p>
        </w:tc>
        <w:tc>
          <w:tcPr>
            <w:tcW w:w="1352" w:type="dxa"/>
            <w:tcBorders>
              <w:top w:val="nil"/>
              <w:left w:val="nil"/>
              <w:bottom w:val="single" w:sz="4" w:space="0" w:color="auto"/>
              <w:right w:val="nil"/>
            </w:tcBorders>
            <w:shd w:val="clear" w:color="auto" w:fill="auto"/>
            <w:vAlign w:val="center"/>
            <w:hideMark/>
          </w:tcPr>
          <w:p w14:paraId="1A962C1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-0.359271</w:t>
            </w:r>
          </w:p>
        </w:tc>
        <w:tc>
          <w:tcPr>
            <w:tcW w:w="1071" w:type="dxa"/>
            <w:tcBorders>
              <w:top w:val="nil"/>
              <w:left w:val="nil"/>
              <w:bottom w:val="single" w:sz="4" w:space="0" w:color="auto"/>
              <w:right w:val="nil"/>
            </w:tcBorders>
            <w:shd w:val="clear" w:color="auto" w:fill="auto"/>
            <w:vAlign w:val="center"/>
            <w:hideMark/>
          </w:tcPr>
          <w:p w14:paraId="0E25B1A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0.7197</w:t>
            </w:r>
          </w:p>
        </w:tc>
      </w:tr>
      <w:tr w:rsidR="00A060FD" w:rsidRPr="00866EEF" w14:paraId="3CE450C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5E927C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7CA84D3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0.117668</w:t>
            </w:r>
          </w:p>
        </w:tc>
        <w:tc>
          <w:tcPr>
            <w:tcW w:w="1386" w:type="dxa"/>
            <w:tcBorders>
              <w:top w:val="nil"/>
              <w:left w:val="nil"/>
              <w:bottom w:val="single" w:sz="4" w:space="0" w:color="auto"/>
              <w:right w:val="nil"/>
            </w:tcBorders>
            <w:shd w:val="clear" w:color="auto" w:fill="auto"/>
            <w:vAlign w:val="center"/>
            <w:hideMark/>
          </w:tcPr>
          <w:p w14:paraId="5FA7393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0.078383</w:t>
            </w:r>
          </w:p>
        </w:tc>
        <w:tc>
          <w:tcPr>
            <w:tcW w:w="1352" w:type="dxa"/>
            <w:tcBorders>
              <w:top w:val="nil"/>
              <w:left w:val="nil"/>
              <w:bottom w:val="single" w:sz="4" w:space="0" w:color="auto"/>
              <w:right w:val="nil"/>
            </w:tcBorders>
            <w:shd w:val="clear" w:color="auto" w:fill="auto"/>
            <w:vAlign w:val="center"/>
            <w:hideMark/>
          </w:tcPr>
          <w:p w14:paraId="2D4A746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1.501187</w:t>
            </w:r>
          </w:p>
        </w:tc>
        <w:tc>
          <w:tcPr>
            <w:tcW w:w="1071" w:type="dxa"/>
            <w:tcBorders>
              <w:top w:val="nil"/>
              <w:left w:val="nil"/>
              <w:bottom w:val="single" w:sz="4" w:space="0" w:color="auto"/>
              <w:right w:val="nil"/>
            </w:tcBorders>
            <w:shd w:val="clear" w:color="auto" w:fill="auto"/>
            <w:vAlign w:val="center"/>
            <w:hideMark/>
          </w:tcPr>
          <w:p w14:paraId="1C607E9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0.1345</w:t>
            </w:r>
          </w:p>
        </w:tc>
      </w:tr>
      <w:tr w:rsidR="00A060FD" w:rsidRPr="00866EEF" w14:paraId="5DB58B0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DFB9C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8AD4CB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0.244316***</w:t>
            </w:r>
          </w:p>
        </w:tc>
        <w:tc>
          <w:tcPr>
            <w:tcW w:w="1386" w:type="dxa"/>
            <w:tcBorders>
              <w:top w:val="nil"/>
              <w:left w:val="nil"/>
              <w:bottom w:val="single" w:sz="4" w:space="0" w:color="auto"/>
              <w:right w:val="nil"/>
            </w:tcBorders>
            <w:shd w:val="clear" w:color="auto" w:fill="auto"/>
            <w:vAlign w:val="center"/>
            <w:hideMark/>
          </w:tcPr>
          <w:p w14:paraId="0B6565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0.070091</w:t>
            </w:r>
          </w:p>
        </w:tc>
        <w:tc>
          <w:tcPr>
            <w:tcW w:w="1352" w:type="dxa"/>
            <w:tcBorders>
              <w:top w:val="nil"/>
              <w:left w:val="nil"/>
              <w:bottom w:val="single" w:sz="4" w:space="0" w:color="auto"/>
              <w:right w:val="nil"/>
            </w:tcBorders>
            <w:shd w:val="clear" w:color="auto" w:fill="auto"/>
            <w:vAlign w:val="center"/>
            <w:hideMark/>
          </w:tcPr>
          <w:p w14:paraId="4BFFF2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3.485690</w:t>
            </w:r>
          </w:p>
        </w:tc>
        <w:tc>
          <w:tcPr>
            <w:tcW w:w="1071" w:type="dxa"/>
            <w:tcBorders>
              <w:top w:val="nil"/>
              <w:left w:val="nil"/>
              <w:bottom w:val="single" w:sz="4" w:space="0" w:color="auto"/>
              <w:right w:val="nil"/>
            </w:tcBorders>
            <w:shd w:val="clear" w:color="auto" w:fill="auto"/>
            <w:vAlign w:val="center"/>
            <w:hideMark/>
          </w:tcPr>
          <w:p w14:paraId="3506B75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0.0006</w:t>
            </w:r>
          </w:p>
        </w:tc>
      </w:tr>
      <w:tr w:rsidR="00A060FD" w:rsidRPr="00866EEF" w14:paraId="746B115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8A4863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ABE5F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0.051730</w:t>
            </w:r>
          </w:p>
        </w:tc>
      </w:tr>
      <w:tr w:rsidR="00A060FD" w:rsidRPr="00866EEF" w14:paraId="319D2CEF"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A84842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58CFA9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0.044379</w:t>
            </w:r>
          </w:p>
        </w:tc>
      </w:tr>
      <w:tr w:rsidR="00A060FD" w:rsidRPr="00866EEF" w14:paraId="4CF37D0E"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75D18C2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02FA073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2.663919</w:t>
            </w:r>
          </w:p>
        </w:tc>
      </w:tr>
      <w:tr w:rsidR="00A060FD" w:rsidRPr="00866EEF" w14:paraId="1A620BDE"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4116525"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2015-</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2015 (261 Obs.)</w:t>
            </w:r>
          </w:p>
        </w:tc>
      </w:tr>
      <w:tr w:rsidR="00A060FD" w:rsidRPr="00866EEF" w14:paraId="10A55FCF"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3E6E0BC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EC7B49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6E685ED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350A873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FF121A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3321C5C"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335955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524818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0.087833</w:t>
            </w:r>
          </w:p>
        </w:tc>
        <w:tc>
          <w:tcPr>
            <w:tcW w:w="1386" w:type="dxa"/>
            <w:tcBorders>
              <w:top w:val="nil"/>
              <w:left w:val="nil"/>
              <w:bottom w:val="single" w:sz="4" w:space="0" w:color="auto"/>
              <w:right w:val="nil"/>
            </w:tcBorders>
            <w:shd w:val="clear" w:color="auto" w:fill="auto"/>
            <w:vAlign w:val="center"/>
            <w:hideMark/>
          </w:tcPr>
          <w:p w14:paraId="648AC3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0.279390</w:t>
            </w:r>
          </w:p>
        </w:tc>
        <w:tc>
          <w:tcPr>
            <w:tcW w:w="1352" w:type="dxa"/>
            <w:tcBorders>
              <w:top w:val="nil"/>
              <w:left w:val="nil"/>
              <w:bottom w:val="single" w:sz="4" w:space="0" w:color="auto"/>
              <w:right w:val="nil"/>
            </w:tcBorders>
            <w:shd w:val="clear" w:color="auto" w:fill="auto"/>
            <w:vAlign w:val="center"/>
            <w:hideMark/>
          </w:tcPr>
          <w:p w14:paraId="3A7C12E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0.314375</w:t>
            </w:r>
          </w:p>
        </w:tc>
        <w:tc>
          <w:tcPr>
            <w:tcW w:w="1071" w:type="dxa"/>
            <w:tcBorders>
              <w:top w:val="nil"/>
              <w:left w:val="nil"/>
              <w:bottom w:val="single" w:sz="4" w:space="0" w:color="auto"/>
              <w:right w:val="nil"/>
            </w:tcBorders>
            <w:shd w:val="clear" w:color="auto" w:fill="auto"/>
            <w:vAlign w:val="center"/>
            <w:hideMark/>
          </w:tcPr>
          <w:p w14:paraId="44EEAB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0.7535</w:t>
            </w:r>
          </w:p>
        </w:tc>
      </w:tr>
      <w:tr w:rsidR="00A060FD" w:rsidRPr="00866EEF" w14:paraId="39A27A3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476A0A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55FE1F7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0.094636*</w:t>
            </w:r>
          </w:p>
        </w:tc>
        <w:tc>
          <w:tcPr>
            <w:tcW w:w="1386" w:type="dxa"/>
            <w:tcBorders>
              <w:top w:val="nil"/>
              <w:left w:val="nil"/>
              <w:bottom w:val="single" w:sz="4" w:space="0" w:color="auto"/>
              <w:right w:val="nil"/>
            </w:tcBorders>
            <w:shd w:val="clear" w:color="auto" w:fill="auto"/>
            <w:vAlign w:val="center"/>
            <w:hideMark/>
          </w:tcPr>
          <w:p w14:paraId="1109777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0.056240</w:t>
            </w:r>
          </w:p>
        </w:tc>
        <w:tc>
          <w:tcPr>
            <w:tcW w:w="1352" w:type="dxa"/>
            <w:tcBorders>
              <w:top w:val="nil"/>
              <w:left w:val="nil"/>
              <w:bottom w:val="single" w:sz="4" w:space="0" w:color="auto"/>
              <w:right w:val="nil"/>
            </w:tcBorders>
            <w:shd w:val="clear" w:color="auto" w:fill="auto"/>
            <w:vAlign w:val="center"/>
            <w:hideMark/>
          </w:tcPr>
          <w:p w14:paraId="3339C1C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1.682733</w:t>
            </w:r>
          </w:p>
        </w:tc>
        <w:tc>
          <w:tcPr>
            <w:tcW w:w="1071" w:type="dxa"/>
            <w:tcBorders>
              <w:top w:val="nil"/>
              <w:left w:val="nil"/>
              <w:bottom w:val="single" w:sz="4" w:space="0" w:color="auto"/>
              <w:right w:val="nil"/>
            </w:tcBorders>
            <w:shd w:val="clear" w:color="auto" w:fill="auto"/>
            <w:vAlign w:val="center"/>
            <w:hideMark/>
          </w:tcPr>
          <w:p w14:paraId="49CC31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0.0936</w:t>
            </w:r>
          </w:p>
        </w:tc>
      </w:tr>
      <w:tr w:rsidR="00A060FD" w:rsidRPr="00866EEF" w14:paraId="35537DB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937D5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E0EB4B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0.362762***</w:t>
            </w:r>
          </w:p>
        </w:tc>
        <w:tc>
          <w:tcPr>
            <w:tcW w:w="1386" w:type="dxa"/>
            <w:tcBorders>
              <w:top w:val="nil"/>
              <w:left w:val="nil"/>
              <w:bottom w:val="single" w:sz="4" w:space="0" w:color="auto"/>
              <w:right w:val="nil"/>
            </w:tcBorders>
            <w:shd w:val="clear" w:color="auto" w:fill="auto"/>
            <w:vAlign w:val="center"/>
            <w:hideMark/>
          </w:tcPr>
          <w:p w14:paraId="75384F4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0.051313</w:t>
            </w:r>
          </w:p>
        </w:tc>
        <w:tc>
          <w:tcPr>
            <w:tcW w:w="1352" w:type="dxa"/>
            <w:tcBorders>
              <w:top w:val="nil"/>
              <w:left w:val="nil"/>
              <w:bottom w:val="single" w:sz="4" w:space="0" w:color="auto"/>
              <w:right w:val="nil"/>
            </w:tcBorders>
            <w:shd w:val="clear" w:color="auto" w:fill="auto"/>
            <w:vAlign w:val="center"/>
            <w:hideMark/>
          </w:tcPr>
          <w:p w14:paraId="0C4780B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7.069654</w:t>
            </w:r>
          </w:p>
        </w:tc>
        <w:tc>
          <w:tcPr>
            <w:tcW w:w="1071" w:type="dxa"/>
            <w:tcBorders>
              <w:top w:val="nil"/>
              <w:left w:val="nil"/>
              <w:bottom w:val="single" w:sz="4" w:space="0" w:color="auto"/>
              <w:right w:val="nil"/>
            </w:tcBorders>
            <w:shd w:val="clear" w:color="auto" w:fill="auto"/>
            <w:vAlign w:val="center"/>
            <w:hideMark/>
          </w:tcPr>
          <w:p w14:paraId="2E20A48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5DBC1E5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F09DC2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18505AE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0.209806</w:t>
            </w:r>
          </w:p>
        </w:tc>
      </w:tr>
      <w:tr w:rsidR="00A060FD" w:rsidRPr="00866EEF" w14:paraId="390FFD9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4E5DCC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Adj. R²</w:t>
            </w:r>
          </w:p>
        </w:tc>
        <w:tc>
          <w:tcPr>
            <w:tcW w:w="5222" w:type="dxa"/>
            <w:gridSpan w:val="4"/>
            <w:tcBorders>
              <w:top w:val="nil"/>
              <w:left w:val="nil"/>
              <w:bottom w:val="single" w:sz="4" w:space="0" w:color="auto"/>
              <w:right w:val="nil"/>
            </w:tcBorders>
            <w:shd w:val="clear" w:color="auto" w:fill="auto"/>
            <w:vAlign w:val="center"/>
            <w:hideMark/>
          </w:tcPr>
          <w:p w14:paraId="5154B0D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0.203680</w:t>
            </w:r>
          </w:p>
        </w:tc>
      </w:tr>
      <w:tr w:rsidR="00A060FD" w:rsidRPr="00866EEF" w14:paraId="6A98A4B6"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357F93F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A5D5BD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2.665585</w:t>
            </w:r>
          </w:p>
        </w:tc>
      </w:tr>
      <w:tr w:rsidR="00A060FD" w:rsidRPr="00866EEF" w14:paraId="2FE92609"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CF3CC14"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2016-</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2016 (261 Obs.)</w:t>
            </w:r>
          </w:p>
        </w:tc>
      </w:tr>
      <w:tr w:rsidR="00A060FD" w:rsidRPr="00866EEF" w14:paraId="6FAE0CBD"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1E64EA0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207308A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7820B18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947A2B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C395CE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BDAD45F"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032BB49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3EBA9C3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-0.028613</w:t>
            </w:r>
          </w:p>
        </w:tc>
        <w:tc>
          <w:tcPr>
            <w:tcW w:w="1386" w:type="dxa"/>
            <w:tcBorders>
              <w:top w:val="nil"/>
              <w:left w:val="nil"/>
              <w:bottom w:val="single" w:sz="4" w:space="0" w:color="auto"/>
              <w:right w:val="nil"/>
            </w:tcBorders>
            <w:shd w:val="clear" w:color="auto" w:fill="auto"/>
            <w:vAlign w:val="center"/>
            <w:hideMark/>
          </w:tcPr>
          <w:p w14:paraId="180750F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0.383173</w:t>
            </w:r>
          </w:p>
        </w:tc>
        <w:tc>
          <w:tcPr>
            <w:tcW w:w="1352" w:type="dxa"/>
            <w:tcBorders>
              <w:top w:val="nil"/>
              <w:left w:val="nil"/>
              <w:bottom w:val="single" w:sz="4" w:space="0" w:color="auto"/>
              <w:right w:val="nil"/>
            </w:tcBorders>
            <w:shd w:val="clear" w:color="auto" w:fill="auto"/>
            <w:vAlign w:val="center"/>
            <w:hideMark/>
          </w:tcPr>
          <w:p w14:paraId="6BB99E3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-0.074674</w:t>
            </w:r>
          </w:p>
        </w:tc>
        <w:tc>
          <w:tcPr>
            <w:tcW w:w="1071" w:type="dxa"/>
            <w:tcBorders>
              <w:top w:val="nil"/>
              <w:left w:val="nil"/>
              <w:bottom w:val="single" w:sz="4" w:space="0" w:color="auto"/>
              <w:right w:val="nil"/>
            </w:tcBorders>
            <w:shd w:val="clear" w:color="auto" w:fill="auto"/>
            <w:vAlign w:val="center"/>
            <w:hideMark/>
          </w:tcPr>
          <w:p w14:paraId="4AF7B4A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0.9405</w:t>
            </w:r>
          </w:p>
        </w:tc>
      </w:tr>
      <w:tr w:rsidR="00A060FD" w:rsidRPr="00866EEF" w14:paraId="06F8818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512089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0FE07F0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0.186989***</w:t>
            </w:r>
          </w:p>
        </w:tc>
        <w:tc>
          <w:tcPr>
            <w:tcW w:w="1386" w:type="dxa"/>
            <w:tcBorders>
              <w:top w:val="nil"/>
              <w:left w:val="nil"/>
              <w:bottom w:val="single" w:sz="4" w:space="0" w:color="auto"/>
              <w:right w:val="nil"/>
            </w:tcBorders>
            <w:shd w:val="clear" w:color="auto" w:fill="auto"/>
            <w:vAlign w:val="center"/>
            <w:hideMark/>
          </w:tcPr>
          <w:p w14:paraId="3275A77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0.070223</w:t>
            </w:r>
          </w:p>
        </w:tc>
        <w:tc>
          <w:tcPr>
            <w:tcW w:w="1352" w:type="dxa"/>
            <w:tcBorders>
              <w:top w:val="nil"/>
              <w:left w:val="nil"/>
              <w:bottom w:val="single" w:sz="4" w:space="0" w:color="auto"/>
              <w:right w:val="nil"/>
            </w:tcBorders>
            <w:shd w:val="clear" w:color="auto" w:fill="auto"/>
            <w:vAlign w:val="center"/>
            <w:hideMark/>
          </w:tcPr>
          <w:p w14:paraId="66A5CF4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2.662808</w:t>
            </w:r>
          </w:p>
        </w:tc>
        <w:tc>
          <w:tcPr>
            <w:tcW w:w="1071" w:type="dxa"/>
            <w:tcBorders>
              <w:top w:val="nil"/>
              <w:left w:val="nil"/>
              <w:bottom w:val="single" w:sz="4" w:space="0" w:color="auto"/>
              <w:right w:val="nil"/>
            </w:tcBorders>
            <w:shd w:val="clear" w:color="auto" w:fill="auto"/>
            <w:vAlign w:val="center"/>
            <w:hideMark/>
          </w:tcPr>
          <w:p w14:paraId="020EA5B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0.0082</w:t>
            </w:r>
          </w:p>
        </w:tc>
      </w:tr>
      <w:tr w:rsidR="00A060FD" w:rsidRPr="00866EEF" w14:paraId="36B320C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68CD66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640B1D0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0.717512***</w:t>
            </w:r>
          </w:p>
        </w:tc>
        <w:tc>
          <w:tcPr>
            <w:tcW w:w="1386" w:type="dxa"/>
            <w:tcBorders>
              <w:top w:val="nil"/>
              <w:left w:val="nil"/>
              <w:bottom w:val="single" w:sz="4" w:space="0" w:color="auto"/>
              <w:right w:val="nil"/>
            </w:tcBorders>
            <w:shd w:val="clear" w:color="auto" w:fill="auto"/>
            <w:vAlign w:val="center"/>
            <w:hideMark/>
          </w:tcPr>
          <w:p w14:paraId="1964A5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0.086437</w:t>
            </w:r>
          </w:p>
        </w:tc>
        <w:tc>
          <w:tcPr>
            <w:tcW w:w="1352" w:type="dxa"/>
            <w:tcBorders>
              <w:top w:val="nil"/>
              <w:left w:val="nil"/>
              <w:bottom w:val="single" w:sz="4" w:space="0" w:color="auto"/>
              <w:right w:val="nil"/>
            </w:tcBorders>
            <w:shd w:val="clear" w:color="auto" w:fill="auto"/>
            <w:vAlign w:val="center"/>
            <w:hideMark/>
          </w:tcPr>
          <w:p w14:paraId="4524852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8.300979</w:t>
            </w:r>
          </w:p>
        </w:tc>
        <w:tc>
          <w:tcPr>
            <w:tcW w:w="1071" w:type="dxa"/>
            <w:tcBorders>
              <w:top w:val="nil"/>
              <w:left w:val="nil"/>
              <w:bottom w:val="single" w:sz="4" w:space="0" w:color="auto"/>
              <w:right w:val="nil"/>
            </w:tcBorders>
            <w:shd w:val="clear" w:color="auto" w:fill="auto"/>
            <w:vAlign w:val="center"/>
            <w:hideMark/>
          </w:tcPr>
          <w:p w14:paraId="2515218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75A7F88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0FCBCF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4AE95D2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0.281842</w:t>
            </w:r>
          </w:p>
        </w:tc>
      </w:tr>
      <w:tr w:rsidR="00A060FD" w:rsidRPr="00866EEF" w14:paraId="0985D62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7F594C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3359726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0.276275</w:t>
            </w:r>
          </w:p>
        </w:tc>
      </w:tr>
      <w:tr w:rsidR="00A060FD" w:rsidRPr="00866EEF" w14:paraId="148FC5AE"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E751A4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1D7E625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2.374418</w:t>
            </w:r>
          </w:p>
        </w:tc>
      </w:tr>
      <w:tr w:rsidR="00A060FD" w:rsidRPr="00866EEF" w14:paraId="7D4FF3FA"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A9F536A"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2017-</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2017 (260 Obs.)</w:t>
            </w:r>
          </w:p>
        </w:tc>
      </w:tr>
      <w:tr w:rsidR="00A060FD" w:rsidRPr="00866EEF" w14:paraId="19E07E6F"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7F4FC24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31DD967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CE2C16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2235D2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1B9398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A9883DB"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45F170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5F02616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-0.274319</w:t>
            </w:r>
          </w:p>
        </w:tc>
        <w:tc>
          <w:tcPr>
            <w:tcW w:w="1386" w:type="dxa"/>
            <w:tcBorders>
              <w:top w:val="nil"/>
              <w:left w:val="nil"/>
              <w:bottom w:val="single" w:sz="4" w:space="0" w:color="auto"/>
              <w:right w:val="nil"/>
            </w:tcBorders>
            <w:shd w:val="clear" w:color="auto" w:fill="auto"/>
            <w:vAlign w:val="center"/>
            <w:hideMark/>
          </w:tcPr>
          <w:p w14:paraId="796040D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0.244281</w:t>
            </w:r>
          </w:p>
        </w:tc>
        <w:tc>
          <w:tcPr>
            <w:tcW w:w="1352" w:type="dxa"/>
            <w:tcBorders>
              <w:top w:val="nil"/>
              <w:left w:val="nil"/>
              <w:bottom w:val="single" w:sz="4" w:space="0" w:color="auto"/>
              <w:right w:val="nil"/>
            </w:tcBorders>
            <w:shd w:val="clear" w:color="auto" w:fill="auto"/>
            <w:vAlign w:val="center"/>
            <w:hideMark/>
          </w:tcPr>
          <w:p w14:paraId="7CA3E1A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-1.122964</w:t>
            </w:r>
          </w:p>
        </w:tc>
        <w:tc>
          <w:tcPr>
            <w:tcW w:w="1071" w:type="dxa"/>
            <w:tcBorders>
              <w:top w:val="nil"/>
              <w:left w:val="nil"/>
              <w:bottom w:val="single" w:sz="4" w:space="0" w:color="auto"/>
              <w:right w:val="nil"/>
            </w:tcBorders>
            <w:shd w:val="clear" w:color="auto" w:fill="auto"/>
            <w:vAlign w:val="center"/>
            <w:hideMark/>
          </w:tcPr>
          <w:p w14:paraId="3613A47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0.2625</w:t>
            </w:r>
          </w:p>
        </w:tc>
      </w:tr>
      <w:tr w:rsidR="00A060FD" w:rsidRPr="00866EEF" w14:paraId="14C7AAD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807254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052CE70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0.166097***</w:t>
            </w:r>
          </w:p>
        </w:tc>
        <w:tc>
          <w:tcPr>
            <w:tcW w:w="1386" w:type="dxa"/>
            <w:tcBorders>
              <w:top w:val="nil"/>
              <w:left w:val="nil"/>
              <w:bottom w:val="single" w:sz="4" w:space="0" w:color="auto"/>
              <w:right w:val="nil"/>
            </w:tcBorders>
            <w:shd w:val="clear" w:color="auto" w:fill="auto"/>
            <w:vAlign w:val="center"/>
            <w:hideMark/>
          </w:tcPr>
          <w:p w14:paraId="26A815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0.051533</w:t>
            </w:r>
          </w:p>
        </w:tc>
        <w:tc>
          <w:tcPr>
            <w:tcW w:w="1352" w:type="dxa"/>
            <w:tcBorders>
              <w:top w:val="nil"/>
              <w:left w:val="nil"/>
              <w:bottom w:val="single" w:sz="4" w:space="0" w:color="auto"/>
              <w:right w:val="nil"/>
            </w:tcBorders>
            <w:shd w:val="clear" w:color="auto" w:fill="auto"/>
            <w:vAlign w:val="center"/>
            <w:hideMark/>
          </w:tcPr>
          <w:p w14:paraId="194D58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3.223142</w:t>
            </w:r>
          </w:p>
        </w:tc>
        <w:tc>
          <w:tcPr>
            <w:tcW w:w="1071" w:type="dxa"/>
            <w:tcBorders>
              <w:top w:val="nil"/>
              <w:left w:val="nil"/>
              <w:bottom w:val="single" w:sz="4" w:space="0" w:color="auto"/>
              <w:right w:val="nil"/>
            </w:tcBorders>
            <w:shd w:val="clear" w:color="auto" w:fill="auto"/>
            <w:vAlign w:val="center"/>
            <w:hideMark/>
          </w:tcPr>
          <w:p w14:paraId="47514B6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0.0014</w:t>
            </w:r>
          </w:p>
        </w:tc>
      </w:tr>
      <w:tr w:rsidR="00A060FD" w:rsidRPr="00866EEF" w14:paraId="608CCDA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AF1681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2A3456B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0.164326***</w:t>
            </w:r>
          </w:p>
        </w:tc>
        <w:tc>
          <w:tcPr>
            <w:tcW w:w="1386" w:type="dxa"/>
            <w:tcBorders>
              <w:top w:val="nil"/>
              <w:left w:val="nil"/>
              <w:bottom w:val="single" w:sz="4" w:space="0" w:color="auto"/>
              <w:right w:val="nil"/>
            </w:tcBorders>
            <w:shd w:val="clear" w:color="auto" w:fill="auto"/>
            <w:vAlign w:val="center"/>
            <w:hideMark/>
          </w:tcPr>
          <w:p w14:paraId="34EE673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0.059734</w:t>
            </w:r>
          </w:p>
        </w:tc>
        <w:tc>
          <w:tcPr>
            <w:tcW w:w="1352" w:type="dxa"/>
            <w:tcBorders>
              <w:top w:val="nil"/>
              <w:left w:val="nil"/>
              <w:bottom w:val="single" w:sz="4" w:space="0" w:color="auto"/>
              <w:right w:val="nil"/>
            </w:tcBorders>
            <w:shd w:val="clear" w:color="auto" w:fill="auto"/>
            <w:vAlign w:val="center"/>
            <w:hideMark/>
          </w:tcPr>
          <w:p w14:paraId="38FA9B8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2.750960</w:t>
            </w:r>
          </w:p>
        </w:tc>
        <w:tc>
          <w:tcPr>
            <w:tcW w:w="1071" w:type="dxa"/>
            <w:tcBorders>
              <w:top w:val="nil"/>
              <w:left w:val="nil"/>
              <w:bottom w:val="single" w:sz="4" w:space="0" w:color="auto"/>
              <w:right w:val="nil"/>
            </w:tcBorders>
            <w:shd w:val="clear" w:color="auto" w:fill="auto"/>
            <w:vAlign w:val="center"/>
            <w:hideMark/>
          </w:tcPr>
          <w:p w14:paraId="012E194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0.0064</w:t>
            </w:r>
          </w:p>
        </w:tc>
      </w:tr>
      <w:tr w:rsidR="00A060FD" w:rsidRPr="00866EEF" w14:paraId="279F54C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4BB3C9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6E11456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0.082452</w:t>
            </w:r>
          </w:p>
        </w:tc>
      </w:tr>
      <w:tr w:rsidR="00A060FD" w:rsidRPr="00866EEF" w14:paraId="5721952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6836B1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1AAF6E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0.075312</w:t>
            </w:r>
          </w:p>
        </w:tc>
      </w:tr>
      <w:tr w:rsidR="00A060FD" w:rsidRPr="00866EEF" w14:paraId="279E208B"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3E62C6F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E78B3F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2.353011</w:t>
            </w:r>
          </w:p>
        </w:tc>
      </w:tr>
      <w:tr w:rsidR="00A060FD" w:rsidRPr="00866EEF" w14:paraId="2D981A6F"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8534557"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2018 (261 Obs.)</w:t>
            </w:r>
          </w:p>
        </w:tc>
      </w:tr>
      <w:tr w:rsidR="00A060FD" w:rsidRPr="00866EEF" w14:paraId="40659B80"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3F3AE9A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52231AB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7C3BC6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B1FE64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31D12AD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3561846"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150B611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098257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0.422540</w:t>
            </w:r>
          </w:p>
        </w:tc>
        <w:tc>
          <w:tcPr>
            <w:tcW w:w="1386" w:type="dxa"/>
            <w:tcBorders>
              <w:top w:val="nil"/>
              <w:left w:val="nil"/>
              <w:bottom w:val="single" w:sz="4" w:space="0" w:color="auto"/>
              <w:right w:val="nil"/>
            </w:tcBorders>
            <w:shd w:val="clear" w:color="auto" w:fill="auto"/>
            <w:vAlign w:val="center"/>
            <w:hideMark/>
          </w:tcPr>
          <w:p w14:paraId="17E220F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0.538737</w:t>
            </w:r>
          </w:p>
        </w:tc>
        <w:tc>
          <w:tcPr>
            <w:tcW w:w="1352" w:type="dxa"/>
            <w:tcBorders>
              <w:top w:val="nil"/>
              <w:left w:val="nil"/>
              <w:bottom w:val="single" w:sz="4" w:space="0" w:color="auto"/>
              <w:right w:val="nil"/>
            </w:tcBorders>
            <w:shd w:val="clear" w:color="auto" w:fill="auto"/>
            <w:vAlign w:val="center"/>
            <w:hideMark/>
          </w:tcPr>
          <w:p w14:paraId="5917A2B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0.784316</w:t>
            </w:r>
          </w:p>
        </w:tc>
        <w:tc>
          <w:tcPr>
            <w:tcW w:w="1071" w:type="dxa"/>
            <w:tcBorders>
              <w:top w:val="nil"/>
              <w:left w:val="nil"/>
              <w:bottom w:val="single" w:sz="4" w:space="0" w:color="auto"/>
              <w:right w:val="nil"/>
            </w:tcBorders>
            <w:shd w:val="clear" w:color="auto" w:fill="auto"/>
            <w:vAlign w:val="center"/>
            <w:hideMark/>
          </w:tcPr>
          <w:p w14:paraId="7ACADB9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0.4336</w:t>
            </w:r>
          </w:p>
        </w:tc>
      </w:tr>
      <w:tr w:rsidR="00A060FD" w:rsidRPr="00866EEF" w14:paraId="19E96BE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8EE241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52EBB7C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0.069520</w:t>
            </w:r>
          </w:p>
        </w:tc>
        <w:tc>
          <w:tcPr>
            <w:tcW w:w="1386" w:type="dxa"/>
            <w:tcBorders>
              <w:top w:val="nil"/>
              <w:left w:val="nil"/>
              <w:bottom w:val="single" w:sz="4" w:space="0" w:color="auto"/>
              <w:right w:val="nil"/>
            </w:tcBorders>
            <w:shd w:val="clear" w:color="auto" w:fill="auto"/>
            <w:vAlign w:val="center"/>
            <w:hideMark/>
          </w:tcPr>
          <w:p w14:paraId="37F678A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0.066235</w:t>
            </w:r>
          </w:p>
        </w:tc>
        <w:tc>
          <w:tcPr>
            <w:tcW w:w="1352" w:type="dxa"/>
            <w:tcBorders>
              <w:top w:val="nil"/>
              <w:left w:val="nil"/>
              <w:bottom w:val="single" w:sz="4" w:space="0" w:color="auto"/>
              <w:right w:val="nil"/>
            </w:tcBorders>
            <w:shd w:val="clear" w:color="auto" w:fill="auto"/>
            <w:vAlign w:val="center"/>
            <w:hideMark/>
          </w:tcPr>
          <w:p w14:paraId="057F885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1.049596</w:t>
            </w:r>
          </w:p>
        </w:tc>
        <w:tc>
          <w:tcPr>
            <w:tcW w:w="1071" w:type="dxa"/>
            <w:tcBorders>
              <w:top w:val="nil"/>
              <w:left w:val="nil"/>
              <w:bottom w:val="single" w:sz="4" w:space="0" w:color="auto"/>
              <w:right w:val="nil"/>
            </w:tcBorders>
            <w:shd w:val="clear" w:color="auto" w:fill="auto"/>
            <w:vAlign w:val="center"/>
            <w:hideMark/>
          </w:tcPr>
          <w:p w14:paraId="089D699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0.2949</w:t>
            </w:r>
          </w:p>
        </w:tc>
      </w:tr>
      <w:tr w:rsidR="00A060FD" w:rsidRPr="00866EEF" w14:paraId="28A6A59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ADC40E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EB381B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0.005254</w:t>
            </w:r>
          </w:p>
        </w:tc>
        <w:tc>
          <w:tcPr>
            <w:tcW w:w="1386" w:type="dxa"/>
            <w:tcBorders>
              <w:top w:val="nil"/>
              <w:left w:val="nil"/>
              <w:bottom w:val="single" w:sz="4" w:space="0" w:color="auto"/>
              <w:right w:val="nil"/>
            </w:tcBorders>
            <w:shd w:val="clear" w:color="auto" w:fill="auto"/>
            <w:vAlign w:val="center"/>
            <w:hideMark/>
          </w:tcPr>
          <w:p w14:paraId="2783229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0.064730</w:t>
            </w:r>
          </w:p>
        </w:tc>
        <w:tc>
          <w:tcPr>
            <w:tcW w:w="1352" w:type="dxa"/>
            <w:tcBorders>
              <w:top w:val="nil"/>
              <w:left w:val="nil"/>
              <w:bottom w:val="single" w:sz="4" w:space="0" w:color="auto"/>
              <w:right w:val="nil"/>
            </w:tcBorders>
            <w:shd w:val="clear" w:color="auto" w:fill="auto"/>
            <w:vAlign w:val="center"/>
            <w:hideMark/>
          </w:tcPr>
          <w:p w14:paraId="6CD3CD8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0.081166</w:t>
            </w:r>
          </w:p>
        </w:tc>
        <w:tc>
          <w:tcPr>
            <w:tcW w:w="1071" w:type="dxa"/>
            <w:tcBorders>
              <w:top w:val="nil"/>
              <w:left w:val="nil"/>
              <w:bottom w:val="single" w:sz="4" w:space="0" w:color="auto"/>
              <w:right w:val="nil"/>
            </w:tcBorders>
            <w:shd w:val="clear" w:color="auto" w:fill="auto"/>
            <w:vAlign w:val="center"/>
            <w:hideMark/>
          </w:tcPr>
          <w:p w14:paraId="1480B4D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0.9354</w:t>
            </w:r>
          </w:p>
        </w:tc>
      </w:tr>
      <w:tr w:rsidR="00A060FD" w:rsidRPr="00866EEF" w14:paraId="6D9FDA4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C2BC45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617E45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0.005638</w:t>
            </w:r>
          </w:p>
        </w:tc>
      </w:tr>
      <w:tr w:rsidR="00A060FD" w:rsidRPr="00866EEF" w14:paraId="4A336EF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88605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389F169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-0.002070</w:t>
            </w:r>
          </w:p>
        </w:tc>
      </w:tr>
      <w:tr w:rsidR="00A060FD" w:rsidRPr="00866EEF" w14:paraId="63047191"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32358D3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4B78593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2.157390</w:t>
            </w:r>
          </w:p>
        </w:tc>
      </w:tr>
      <w:tr w:rsidR="00A060FD" w:rsidRPr="00866EEF" w14:paraId="72B97B43"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C85C3E8"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2019-</w:t>
            </w:r>
            <w:r>
              <w:rPr>
                <w:rFonts w:ascii="Book Antiqua" w:eastAsia="Times New Roman" w:hAnsi="Book Antiqua" w:cs="Times New Roman"/>
                <w:i/>
                <w:iCs/>
                <w:color w:val="000000"/>
                <w:sz w:val="20"/>
                <w:szCs w:val="20"/>
                <w:lang w:eastAsia="it-IT"/>
              </w:rPr>
              <w:t>January</w:t>
            </w:r>
            <w:r w:rsidRPr="00866EEF">
              <w:rPr>
                <w:rFonts w:ascii="Book Antiqua" w:eastAsia="Times New Roman" w:hAnsi="Book Antiqua" w:cs="Times New Roman"/>
                <w:i/>
                <w:iCs/>
                <w:color w:val="000000"/>
                <w:sz w:val="20"/>
                <w:szCs w:val="20"/>
                <w:lang w:eastAsia="it-IT"/>
              </w:rPr>
              <w:t xml:space="preserve"> 2020 (262 Obs.)</w:t>
            </w:r>
          </w:p>
        </w:tc>
      </w:tr>
      <w:tr w:rsidR="00A060FD" w:rsidRPr="00866EEF" w14:paraId="08D94BF2"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0BAAD5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2498504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24B6DD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22C1624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FE3950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48E5B3F5"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1343361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147EEC8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-0.220111</w:t>
            </w:r>
          </w:p>
        </w:tc>
        <w:tc>
          <w:tcPr>
            <w:tcW w:w="1386" w:type="dxa"/>
            <w:tcBorders>
              <w:top w:val="nil"/>
              <w:left w:val="nil"/>
              <w:bottom w:val="single" w:sz="4" w:space="0" w:color="auto"/>
              <w:right w:val="nil"/>
            </w:tcBorders>
            <w:shd w:val="clear" w:color="auto" w:fill="auto"/>
            <w:vAlign w:val="center"/>
            <w:hideMark/>
          </w:tcPr>
          <w:p w14:paraId="64446DD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0.239295</w:t>
            </w:r>
          </w:p>
        </w:tc>
        <w:tc>
          <w:tcPr>
            <w:tcW w:w="1352" w:type="dxa"/>
            <w:tcBorders>
              <w:top w:val="nil"/>
              <w:left w:val="nil"/>
              <w:bottom w:val="single" w:sz="4" w:space="0" w:color="auto"/>
              <w:right w:val="nil"/>
            </w:tcBorders>
            <w:shd w:val="clear" w:color="auto" w:fill="auto"/>
            <w:vAlign w:val="center"/>
            <w:hideMark/>
          </w:tcPr>
          <w:p w14:paraId="30362AB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-0.919832</w:t>
            </w:r>
          </w:p>
        </w:tc>
        <w:tc>
          <w:tcPr>
            <w:tcW w:w="1071" w:type="dxa"/>
            <w:tcBorders>
              <w:top w:val="nil"/>
              <w:left w:val="nil"/>
              <w:bottom w:val="single" w:sz="4" w:space="0" w:color="auto"/>
              <w:right w:val="nil"/>
            </w:tcBorders>
            <w:shd w:val="clear" w:color="auto" w:fill="auto"/>
            <w:vAlign w:val="center"/>
            <w:hideMark/>
          </w:tcPr>
          <w:p w14:paraId="291294D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0.3585</w:t>
            </w:r>
          </w:p>
        </w:tc>
      </w:tr>
      <w:tr w:rsidR="00A060FD" w:rsidRPr="00866EEF" w14:paraId="47E6968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F3597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5FDCBE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0.238062***</w:t>
            </w:r>
          </w:p>
        </w:tc>
        <w:tc>
          <w:tcPr>
            <w:tcW w:w="1386" w:type="dxa"/>
            <w:tcBorders>
              <w:top w:val="nil"/>
              <w:left w:val="nil"/>
              <w:bottom w:val="single" w:sz="4" w:space="0" w:color="auto"/>
              <w:right w:val="nil"/>
            </w:tcBorders>
            <w:shd w:val="clear" w:color="auto" w:fill="auto"/>
            <w:vAlign w:val="center"/>
            <w:hideMark/>
          </w:tcPr>
          <w:p w14:paraId="6484C21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0.047829</w:t>
            </w:r>
          </w:p>
        </w:tc>
        <w:tc>
          <w:tcPr>
            <w:tcW w:w="1352" w:type="dxa"/>
            <w:tcBorders>
              <w:top w:val="nil"/>
              <w:left w:val="nil"/>
              <w:bottom w:val="single" w:sz="4" w:space="0" w:color="auto"/>
              <w:right w:val="nil"/>
            </w:tcBorders>
            <w:shd w:val="clear" w:color="auto" w:fill="auto"/>
            <w:vAlign w:val="center"/>
            <w:hideMark/>
          </w:tcPr>
          <w:p w14:paraId="5418119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4.977411</w:t>
            </w:r>
          </w:p>
        </w:tc>
        <w:tc>
          <w:tcPr>
            <w:tcW w:w="1071" w:type="dxa"/>
            <w:tcBorders>
              <w:top w:val="nil"/>
              <w:left w:val="nil"/>
              <w:bottom w:val="single" w:sz="4" w:space="0" w:color="auto"/>
              <w:right w:val="nil"/>
            </w:tcBorders>
            <w:shd w:val="clear" w:color="auto" w:fill="auto"/>
            <w:vAlign w:val="center"/>
            <w:hideMark/>
          </w:tcPr>
          <w:p w14:paraId="3A6821D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7098861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429DB6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4D33C9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0.188002***</w:t>
            </w:r>
          </w:p>
        </w:tc>
        <w:tc>
          <w:tcPr>
            <w:tcW w:w="1386" w:type="dxa"/>
            <w:tcBorders>
              <w:top w:val="nil"/>
              <w:left w:val="nil"/>
              <w:bottom w:val="single" w:sz="4" w:space="0" w:color="auto"/>
              <w:right w:val="nil"/>
            </w:tcBorders>
            <w:shd w:val="clear" w:color="auto" w:fill="auto"/>
            <w:vAlign w:val="center"/>
            <w:hideMark/>
          </w:tcPr>
          <w:p w14:paraId="36C820A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0.044118</w:t>
            </w:r>
          </w:p>
        </w:tc>
        <w:tc>
          <w:tcPr>
            <w:tcW w:w="1352" w:type="dxa"/>
            <w:tcBorders>
              <w:top w:val="nil"/>
              <w:left w:val="nil"/>
              <w:bottom w:val="single" w:sz="4" w:space="0" w:color="auto"/>
              <w:right w:val="nil"/>
            </w:tcBorders>
            <w:shd w:val="clear" w:color="auto" w:fill="auto"/>
            <w:vAlign w:val="center"/>
            <w:hideMark/>
          </w:tcPr>
          <w:p w14:paraId="3698AE0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4.261384</w:t>
            </w:r>
          </w:p>
        </w:tc>
        <w:tc>
          <w:tcPr>
            <w:tcW w:w="1071" w:type="dxa"/>
            <w:tcBorders>
              <w:top w:val="nil"/>
              <w:left w:val="nil"/>
              <w:bottom w:val="single" w:sz="4" w:space="0" w:color="auto"/>
              <w:right w:val="nil"/>
            </w:tcBorders>
            <w:shd w:val="clear" w:color="auto" w:fill="auto"/>
            <w:vAlign w:val="center"/>
            <w:hideMark/>
          </w:tcPr>
          <w:p w14:paraId="1A59582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1422210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65C449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3CBF5B6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0.202238</w:t>
            </w:r>
          </w:p>
        </w:tc>
      </w:tr>
      <w:tr w:rsidR="00A060FD" w:rsidRPr="00866EEF" w14:paraId="677F9F7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C5A2CF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2A7BB9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0.196078</w:t>
            </w:r>
          </w:p>
        </w:tc>
      </w:tr>
      <w:tr w:rsidR="00A060FD" w:rsidRPr="00866EEF" w14:paraId="267014DC"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2614E3A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single" w:sz="4" w:space="0" w:color="auto"/>
              <w:left w:val="nil"/>
              <w:bottom w:val="single" w:sz="8" w:space="0" w:color="auto"/>
              <w:right w:val="nil"/>
            </w:tcBorders>
            <w:shd w:val="clear" w:color="auto" w:fill="auto"/>
            <w:vAlign w:val="center"/>
            <w:hideMark/>
          </w:tcPr>
          <w:p w14:paraId="0A6D841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1.984132</w:t>
            </w:r>
          </w:p>
        </w:tc>
      </w:tr>
    </w:tbl>
    <w:p w14:paraId="34DCF47E" w14:textId="77777777" w:rsidR="00A060FD" w:rsidRPr="00C708DB" w:rsidRDefault="00A060FD" w:rsidP="00A060FD">
      <w:pPr>
        <w:spacing w:line="360" w:lineRule="auto"/>
        <w:rPr>
          <w:rFonts w:ascii="Book Antiqua" w:hAnsi="Book Antiqua"/>
          <w:sz w:val="20"/>
          <w:szCs w:val="20"/>
        </w:rPr>
      </w:pPr>
      <w:r w:rsidRPr="00870653">
        <w:rPr>
          <w:rFonts w:ascii="Book Antiqua" w:hAnsi="Book Antiqua"/>
          <w:sz w:val="20"/>
          <w:szCs w:val="20"/>
          <w:lang w:val="en-US"/>
        </w:rPr>
        <w:t xml:space="preserve">Note: *** signals parameter significance at 1%, ** signals parameter significance at 5%,* signals parameter significance at 10%. </w:t>
      </w:r>
      <w:r>
        <w:rPr>
          <w:rFonts w:ascii="Book Antiqua" w:hAnsi="Book Antiqua"/>
          <w:sz w:val="20"/>
          <w:szCs w:val="20"/>
        </w:rPr>
        <w:t>Source: authors’ calculations in Eviews 11 based on Bloomberg data.</w:t>
      </w:r>
    </w:p>
    <w:p w14:paraId="1B9C64EF" w14:textId="77777777" w:rsidR="00A060FD" w:rsidRPr="00C708DB" w:rsidRDefault="00A060FD" w:rsidP="00A060FD">
      <w:pPr>
        <w:widowControl w:val="0"/>
        <w:numPr>
          <w:ilvl w:val="0"/>
          <w:numId w:val="21"/>
        </w:numPr>
        <w:suppressAutoHyphens/>
        <w:spacing w:after="0" w:line="360" w:lineRule="auto"/>
        <w:ind w:left="426"/>
        <w:contextualSpacing/>
        <w:jc w:val="both"/>
        <w:rPr>
          <w:rFonts w:ascii="Book Antiqua" w:hAnsi="Book Antiqua" w:cs="Times New Roman"/>
          <w:sz w:val="20"/>
          <w:szCs w:val="20"/>
        </w:rPr>
      </w:pPr>
      <w:r w:rsidRPr="00866EEF">
        <w:rPr>
          <w:rFonts w:ascii="Book Antiqua" w:hAnsi="Book Antiqua" w:cs="Times New Roman"/>
          <w:sz w:val="20"/>
          <w:szCs w:val="20"/>
        </w:rPr>
        <w:t>Unicredit</w:t>
      </w:r>
    </w:p>
    <w:p w14:paraId="59D8F286" w14:textId="77777777" w:rsidR="00A060FD" w:rsidRPr="00870653" w:rsidRDefault="00A060FD" w:rsidP="00A060FD">
      <w:pPr>
        <w:spacing w:after="0" w:line="360" w:lineRule="auto"/>
        <w:jc w:val="center"/>
        <w:rPr>
          <w:rFonts w:ascii="Book Antiqua" w:hAnsi="Book Antiqua" w:cs="Times New Roman"/>
          <w:sz w:val="20"/>
          <w:szCs w:val="20"/>
          <w:lang w:val="en-US"/>
        </w:rPr>
      </w:pPr>
      <w:r w:rsidRPr="00870653">
        <w:rPr>
          <w:rFonts w:ascii="Book Antiqua" w:hAnsi="Book Antiqua" w:cs="Times New Roman"/>
          <w:b/>
          <w:bCs/>
          <w:sz w:val="20"/>
          <w:szCs w:val="20"/>
          <w:lang w:val="en-US"/>
        </w:rPr>
        <w:t xml:space="preserve">Tabella A3. </w:t>
      </w:r>
      <w:r w:rsidRPr="00870653">
        <w:rPr>
          <w:rFonts w:ascii="Book Antiqua" w:hAnsi="Book Antiqua" w:cs="Times New Roman"/>
          <w:sz w:val="20"/>
          <w:szCs w:val="20"/>
          <w:lang w:val="en-US"/>
        </w:rPr>
        <w:t>OLS estimates: Period January 2008 – January 2020 (3131)</w:t>
      </w:r>
    </w:p>
    <w:tbl>
      <w:tblPr>
        <w:tblW w:w="7320" w:type="dxa"/>
        <w:jc w:val="center"/>
        <w:tblCellMar>
          <w:left w:w="70" w:type="dxa"/>
          <w:right w:w="70" w:type="dxa"/>
        </w:tblCellMar>
        <w:tblLook w:val="04A0" w:firstRow="1" w:lastRow="0" w:firstColumn="1" w:lastColumn="0" w:noHBand="0" w:noVBand="1"/>
      </w:tblPr>
      <w:tblGrid>
        <w:gridCol w:w="2098"/>
        <w:gridCol w:w="1413"/>
        <w:gridCol w:w="1386"/>
        <w:gridCol w:w="1352"/>
        <w:gridCol w:w="1071"/>
      </w:tblGrid>
      <w:tr w:rsidR="00A060FD" w:rsidRPr="00866EEF" w14:paraId="1F7F0011"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2DCE661"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2008 (261 Obs.)</w:t>
            </w:r>
          </w:p>
        </w:tc>
      </w:tr>
      <w:tr w:rsidR="00A060FD" w:rsidRPr="00866EEF" w14:paraId="03193500"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6632442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316D339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4560A36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276ABE0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508F12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6359890C"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912F8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67E076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0.076751</w:t>
            </w:r>
          </w:p>
        </w:tc>
        <w:tc>
          <w:tcPr>
            <w:tcW w:w="1386" w:type="dxa"/>
            <w:tcBorders>
              <w:top w:val="nil"/>
              <w:left w:val="nil"/>
              <w:bottom w:val="single" w:sz="4" w:space="0" w:color="auto"/>
              <w:right w:val="nil"/>
            </w:tcBorders>
            <w:shd w:val="clear" w:color="auto" w:fill="auto"/>
            <w:vAlign w:val="center"/>
            <w:hideMark/>
          </w:tcPr>
          <w:p w14:paraId="292EA76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0.515482</w:t>
            </w:r>
          </w:p>
        </w:tc>
        <w:tc>
          <w:tcPr>
            <w:tcW w:w="1352" w:type="dxa"/>
            <w:tcBorders>
              <w:top w:val="nil"/>
              <w:left w:val="nil"/>
              <w:bottom w:val="single" w:sz="4" w:space="0" w:color="auto"/>
              <w:right w:val="nil"/>
            </w:tcBorders>
            <w:shd w:val="clear" w:color="auto" w:fill="auto"/>
            <w:vAlign w:val="center"/>
            <w:hideMark/>
          </w:tcPr>
          <w:p w14:paraId="7DD8D5E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0.148892</w:t>
            </w:r>
          </w:p>
        </w:tc>
        <w:tc>
          <w:tcPr>
            <w:tcW w:w="1071" w:type="dxa"/>
            <w:tcBorders>
              <w:top w:val="nil"/>
              <w:left w:val="nil"/>
              <w:bottom w:val="single" w:sz="4" w:space="0" w:color="auto"/>
              <w:right w:val="nil"/>
            </w:tcBorders>
            <w:shd w:val="clear" w:color="auto" w:fill="auto"/>
            <w:vAlign w:val="center"/>
            <w:hideMark/>
          </w:tcPr>
          <w:p w14:paraId="02932E0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0.8818</w:t>
            </w:r>
          </w:p>
        </w:tc>
      </w:tr>
      <w:tr w:rsidR="00A060FD" w:rsidRPr="00866EEF" w14:paraId="6267766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CEB8EA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73CC0F0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0.014261</w:t>
            </w:r>
          </w:p>
        </w:tc>
        <w:tc>
          <w:tcPr>
            <w:tcW w:w="1386" w:type="dxa"/>
            <w:tcBorders>
              <w:top w:val="nil"/>
              <w:left w:val="nil"/>
              <w:bottom w:val="single" w:sz="4" w:space="0" w:color="auto"/>
              <w:right w:val="nil"/>
            </w:tcBorders>
            <w:shd w:val="clear" w:color="auto" w:fill="auto"/>
            <w:vAlign w:val="center"/>
            <w:hideMark/>
          </w:tcPr>
          <w:p w14:paraId="76697D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0.073935</w:t>
            </w:r>
          </w:p>
        </w:tc>
        <w:tc>
          <w:tcPr>
            <w:tcW w:w="1352" w:type="dxa"/>
            <w:tcBorders>
              <w:top w:val="nil"/>
              <w:left w:val="nil"/>
              <w:bottom w:val="single" w:sz="4" w:space="0" w:color="auto"/>
              <w:right w:val="nil"/>
            </w:tcBorders>
            <w:shd w:val="clear" w:color="auto" w:fill="auto"/>
            <w:vAlign w:val="center"/>
            <w:hideMark/>
          </w:tcPr>
          <w:p w14:paraId="480617C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0.192887</w:t>
            </w:r>
          </w:p>
        </w:tc>
        <w:tc>
          <w:tcPr>
            <w:tcW w:w="1071" w:type="dxa"/>
            <w:tcBorders>
              <w:top w:val="nil"/>
              <w:left w:val="nil"/>
              <w:bottom w:val="single" w:sz="4" w:space="0" w:color="auto"/>
              <w:right w:val="nil"/>
            </w:tcBorders>
            <w:shd w:val="clear" w:color="auto" w:fill="auto"/>
            <w:vAlign w:val="center"/>
            <w:hideMark/>
          </w:tcPr>
          <w:p w14:paraId="2CCA27D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0.8472</w:t>
            </w:r>
          </w:p>
        </w:tc>
      </w:tr>
      <w:tr w:rsidR="00A060FD" w:rsidRPr="00866EEF" w14:paraId="6E52525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6369E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6867530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0.556289***</w:t>
            </w:r>
          </w:p>
        </w:tc>
        <w:tc>
          <w:tcPr>
            <w:tcW w:w="1386" w:type="dxa"/>
            <w:tcBorders>
              <w:top w:val="nil"/>
              <w:left w:val="nil"/>
              <w:bottom w:val="single" w:sz="4" w:space="0" w:color="auto"/>
              <w:right w:val="nil"/>
            </w:tcBorders>
            <w:shd w:val="clear" w:color="auto" w:fill="auto"/>
            <w:vAlign w:val="center"/>
            <w:hideMark/>
          </w:tcPr>
          <w:p w14:paraId="5EE8C7D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0.163508</w:t>
            </w:r>
          </w:p>
        </w:tc>
        <w:tc>
          <w:tcPr>
            <w:tcW w:w="1352" w:type="dxa"/>
            <w:tcBorders>
              <w:top w:val="nil"/>
              <w:left w:val="nil"/>
              <w:bottom w:val="single" w:sz="4" w:space="0" w:color="auto"/>
              <w:right w:val="nil"/>
            </w:tcBorders>
            <w:shd w:val="clear" w:color="auto" w:fill="auto"/>
            <w:vAlign w:val="center"/>
            <w:hideMark/>
          </w:tcPr>
          <w:p w14:paraId="2347B24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3.402222</w:t>
            </w:r>
          </w:p>
        </w:tc>
        <w:tc>
          <w:tcPr>
            <w:tcW w:w="1071" w:type="dxa"/>
            <w:tcBorders>
              <w:top w:val="nil"/>
              <w:left w:val="nil"/>
              <w:bottom w:val="single" w:sz="4" w:space="0" w:color="auto"/>
              <w:right w:val="nil"/>
            </w:tcBorders>
            <w:shd w:val="clear" w:color="auto" w:fill="auto"/>
            <w:vAlign w:val="center"/>
            <w:hideMark/>
          </w:tcPr>
          <w:p w14:paraId="108F8E4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0.0008</w:t>
            </w:r>
          </w:p>
        </w:tc>
      </w:tr>
      <w:tr w:rsidR="00A060FD" w:rsidRPr="00866EEF" w14:paraId="2C29475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72DF3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R²</w:t>
            </w:r>
          </w:p>
        </w:tc>
        <w:tc>
          <w:tcPr>
            <w:tcW w:w="5222" w:type="dxa"/>
            <w:gridSpan w:val="4"/>
            <w:tcBorders>
              <w:top w:val="nil"/>
              <w:left w:val="nil"/>
              <w:bottom w:val="single" w:sz="4" w:space="0" w:color="auto"/>
              <w:right w:val="nil"/>
            </w:tcBorders>
            <w:shd w:val="clear" w:color="auto" w:fill="auto"/>
            <w:vAlign w:val="center"/>
            <w:hideMark/>
          </w:tcPr>
          <w:p w14:paraId="68DAC7A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0.043207</w:t>
            </w:r>
          </w:p>
        </w:tc>
      </w:tr>
      <w:tr w:rsidR="00A060FD" w:rsidRPr="00866EEF" w14:paraId="5E6DABB7"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6A315B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79842AD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0.035790</w:t>
            </w:r>
          </w:p>
        </w:tc>
      </w:tr>
      <w:tr w:rsidR="00A060FD" w:rsidRPr="00866EEF" w14:paraId="6249BB82"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30616B5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245EC21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2.074300</w:t>
            </w:r>
          </w:p>
        </w:tc>
      </w:tr>
      <w:tr w:rsidR="00A060FD" w:rsidRPr="00866EEF" w14:paraId="651F5229"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41AB566C"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2009-</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2009 (261 Obs.)</w:t>
            </w:r>
          </w:p>
        </w:tc>
      </w:tr>
      <w:tr w:rsidR="00A060FD" w:rsidRPr="00866EEF" w14:paraId="20113A0E"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7D9FE26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79BE999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017D50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D555CC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5ED4AD8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ABB709F"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4FECFF2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520573B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0.000109</w:t>
            </w:r>
          </w:p>
        </w:tc>
        <w:tc>
          <w:tcPr>
            <w:tcW w:w="1386" w:type="dxa"/>
            <w:tcBorders>
              <w:top w:val="nil"/>
              <w:left w:val="nil"/>
              <w:bottom w:val="single" w:sz="4" w:space="0" w:color="auto"/>
              <w:right w:val="nil"/>
            </w:tcBorders>
            <w:shd w:val="clear" w:color="auto" w:fill="auto"/>
            <w:vAlign w:val="center"/>
            <w:hideMark/>
          </w:tcPr>
          <w:p w14:paraId="36358A6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0.706747</w:t>
            </w:r>
          </w:p>
        </w:tc>
        <w:tc>
          <w:tcPr>
            <w:tcW w:w="1352" w:type="dxa"/>
            <w:tcBorders>
              <w:top w:val="nil"/>
              <w:left w:val="nil"/>
              <w:bottom w:val="single" w:sz="4" w:space="0" w:color="auto"/>
              <w:right w:val="nil"/>
            </w:tcBorders>
            <w:shd w:val="clear" w:color="auto" w:fill="auto"/>
            <w:vAlign w:val="center"/>
            <w:hideMark/>
          </w:tcPr>
          <w:p w14:paraId="3F0A5C9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0.000154</w:t>
            </w:r>
          </w:p>
        </w:tc>
        <w:tc>
          <w:tcPr>
            <w:tcW w:w="1071" w:type="dxa"/>
            <w:tcBorders>
              <w:top w:val="nil"/>
              <w:left w:val="nil"/>
              <w:bottom w:val="single" w:sz="4" w:space="0" w:color="auto"/>
              <w:right w:val="nil"/>
            </w:tcBorders>
            <w:shd w:val="clear" w:color="auto" w:fill="auto"/>
            <w:vAlign w:val="center"/>
            <w:hideMark/>
          </w:tcPr>
          <w:p w14:paraId="0B8FE7C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0.9999</w:t>
            </w:r>
          </w:p>
        </w:tc>
      </w:tr>
      <w:tr w:rsidR="00A060FD" w:rsidRPr="00866EEF" w14:paraId="433CEB6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3DC47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64AFB4C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0.134674</w:t>
            </w:r>
          </w:p>
        </w:tc>
        <w:tc>
          <w:tcPr>
            <w:tcW w:w="1386" w:type="dxa"/>
            <w:tcBorders>
              <w:top w:val="nil"/>
              <w:left w:val="nil"/>
              <w:bottom w:val="single" w:sz="4" w:space="0" w:color="auto"/>
              <w:right w:val="nil"/>
            </w:tcBorders>
            <w:shd w:val="clear" w:color="auto" w:fill="auto"/>
            <w:vAlign w:val="center"/>
            <w:hideMark/>
          </w:tcPr>
          <w:p w14:paraId="43B6B71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0.234160</w:t>
            </w:r>
          </w:p>
        </w:tc>
        <w:tc>
          <w:tcPr>
            <w:tcW w:w="1352" w:type="dxa"/>
            <w:tcBorders>
              <w:top w:val="nil"/>
              <w:left w:val="nil"/>
              <w:bottom w:val="single" w:sz="4" w:space="0" w:color="auto"/>
              <w:right w:val="nil"/>
            </w:tcBorders>
            <w:shd w:val="clear" w:color="auto" w:fill="auto"/>
            <w:vAlign w:val="center"/>
            <w:hideMark/>
          </w:tcPr>
          <w:p w14:paraId="539BD3A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0.575139</w:t>
            </w:r>
          </w:p>
        </w:tc>
        <w:tc>
          <w:tcPr>
            <w:tcW w:w="1071" w:type="dxa"/>
            <w:tcBorders>
              <w:top w:val="nil"/>
              <w:left w:val="nil"/>
              <w:bottom w:val="single" w:sz="4" w:space="0" w:color="auto"/>
              <w:right w:val="nil"/>
            </w:tcBorders>
            <w:shd w:val="clear" w:color="auto" w:fill="auto"/>
            <w:vAlign w:val="center"/>
            <w:hideMark/>
          </w:tcPr>
          <w:p w14:paraId="1C13EB7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0.5657</w:t>
            </w:r>
          </w:p>
        </w:tc>
      </w:tr>
      <w:tr w:rsidR="00A060FD" w:rsidRPr="00866EEF" w14:paraId="650A807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31EB61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1C3C5FA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0.450204***</w:t>
            </w:r>
          </w:p>
        </w:tc>
        <w:tc>
          <w:tcPr>
            <w:tcW w:w="1386" w:type="dxa"/>
            <w:tcBorders>
              <w:top w:val="nil"/>
              <w:left w:val="nil"/>
              <w:bottom w:val="single" w:sz="4" w:space="0" w:color="auto"/>
              <w:right w:val="nil"/>
            </w:tcBorders>
            <w:shd w:val="clear" w:color="auto" w:fill="auto"/>
            <w:vAlign w:val="center"/>
            <w:hideMark/>
          </w:tcPr>
          <w:p w14:paraId="532D841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0.161889</w:t>
            </w:r>
          </w:p>
        </w:tc>
        <w:tc>
          <w:tcPr>
            <w:tcW w:w="1352" w:type="dxa"/>
            <w:tcBorders>
              <w:top w:val="nil"/>
              <w:left w:val="nil"/>
              <w:bottom w:val="single" w:sz="4" w:space="0" w:color="auto"/>
              <w:right w:val="nil"/>
            </w:tcBorders>
            <w:shd w:val="clear" w:color="auto" w:fill="auto"/>
            <w:vAlign w:val="center"/>
            <w:hideMark/>
          </w:tcPr>
          <w:p w14:paraId="1430858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2.780937</w:t>
            </w:r>
          </w:p>
        </w:tc>
        <w:tc>
          <w:tcPr>
            <w:tcW w:w="1071" w:type="dxa"/>
            <w:tcBorders>
              <w:top w:val="nil"/>
              <w:left w:val="nil"/>
              <w:bottom w:val="single" w:sz="4" w:space="0" w:color="auto"/>
              <w:right w:val="nil"/>
            </w:tcBorders>
            <w:shd w:val="clear" w:color="auto" w:fill="auto"/>
            <w:vAlign w:val="center"/>
            <w:hideMark/>
          </w:tcPr>
          <w:p w14:paraId="248031F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0.0058</w:t>
            </w:r>
          </w:p>
        </w:tc>
      </w:tr>
      <w:tr w:rsidR="00A060FD" w:rsidRPr="00866EEF" w14:paraId="1308135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EF0237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3D8E315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0.030452</w:t>
            </w:r>
          </w:p>
        </w:tc>
      </w:tr>
      <w:tr w:rsidR="00A060FD" w:rsidRPr="00866EEF" w14:paraId="7EA0497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7DB2C6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6E42400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0.022936</w:t>
            </w:r>
          </w:p>
        </w:tc>
      </w:tr>
      <w:tr w:rsidR="00A060FD" w:rsidRPr="00866EEF" w14:paraId="6D2B8F21"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62FB8D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4FD3031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2.436740</w:t>
            </w:r>
          </w:p>
        </w:tc>
      </w:tr>
      <w:tr w:rsidR="00A060FD" w:rsidRPr="00866EEF" w14:paraId="2AB02188"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B1EE125"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2010-</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2010 (261 Obs.)</w:t>
            </w:r>
          </w:p>
        </w:tc>
      </w:tr>
      <w:tr w:rsidR="00A060FD" w:rsidRPr="00866EEF" w14:paraId="53795FBB"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4203371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0667C8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46C304F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2A2D9C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C89F49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76C1103"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25A74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1326F99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0.055275</w:t>
            </w:r>
          </w:p>
        </w:tc>
        <w:tc>
          <w:tcPr>
            <w:tcW w:w="1386" w:type="dxa"/>
            <w:tcBorders>
              <w:top w:val="nil"/>
              <w:left w:val="nil"/>
              <w:bottom w:val="single" w:sz="4" w:space="0" w:color="auto"/>
              <w:right w:val="nil"/>
            </w:tcBorders>
            <w:shd w:val="clear" w:color="auto" w:fill="auto"/>
            <w:vAlign w:val="center"/>
            <w:hideMark/>
          </w:tcPr>
          <w:p w14:paraId="59423F1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0.558998</w:t>
            </w:r>
          </w:p>
        </w:tc>
        <w:tc>
          <w:tcPr>
            <w:tcW w:w="1352" w:type="dxa"/>
            <w:tcBorders>
              <w:top w:val="nil"/>
              <w:left w:val="nil"/>
              <w:bottom w:val="single" w:sz="4" w:space="0" w:color="auto"/>
              <w:right w:val="nil"/>
            </w:tcBorders>
            <w:shd w:val="clear" w:color="auto" w:fill="auto"/>
            <w:vAlign w:val="center"/>
            <w:hideMark/>
          </w:tcPr>
          <w:p w14:paraId="5D7C484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0.098883</w:t>
            </w:r>
          </w:p>
        </w:tc>
        <w:tc>
          <w:tcPr>
            <w:tcW w:w="1071" w:type="dxa"/>
            <w:tcBorders>
              <w:top w:val="nil"/>
              <w:left w:val="nil"/>
              <w:bottom w:val="single" w:sz="4" w:space="0" w:color="auto"/>
              <w:right w:val="nil"/>
            </w:tcBorders>
            <w:shd w:val="clear" w:color="auto" w:fill="auto"/>
            <w:vAlign w:val="center"/>
            <w:hideMark/>
          </w:tcPr>
          <w:p w14:paraId="03EC9DB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0.9213</w:t>
            </w:r>
          </w:p>
        </w:tc>
      </w:tr>
      <w:tr w:rsidR="00A060FD" w:rsidRPr="00866EEF" w14:paraId="1E8116A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7D560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4FD69D9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0.301087***</w:t>
            </w:r>
          </w:p>
        </w:tc>
        <w:tc>
          <w:tcPr>
            <w:tcW w:w="1386" w:type="dxa"/>
            <w:tcBorders>
              <w:top w:val="nil"/>
              <w:left w:val="nil"/>
              <w:bottom w:val="single" w:sz="4" w:space="0" w:color="auto"/>
              <w:right w:val="nil"/>
            </w:tcBorders>
            <w:shd w:val="clear" w:color="auto" w:fill="auto"/>
            <w:vAlign w:val="center"/>
            <w:hideMark/>
          </w:tcPr>
          <w:p w14:paraId="7769B48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0.108261</w:t>
            </w:r>
          </w:p>
        </w:tc>
        <w:tc>
          <w:tcPr>
            <w:tcW w:w="1352" w:type="dxa"/>
            <w:tcBorders>
              <w:top w:val="nil"/>
              <w:left w:val="nil"/>
              <w:bottom w:val="single" w:sz="4" w:space="0" w:color="auto"/>
              <w:right w:val="nil"/>
            </w:tcBorders>
            <w:shd w:val="clear" w:color="auto" w:fill="auto"/>
            <w:vAlign w:val="center"/>
            <w:hideMark/>
          </w:tcPr>
          <w:p w14:paraId="2D3E873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2.781126</w:t>
            </w:r>
          </w:p>
        </w:tc>
        <w:tc>
          <w:tcPr>
            <w:tcW w:w="1071" w:type="dxa"/>
            <w:tcBorders>
              <w:top w:val="nil"/>
              <w:left w:val="nil"/>
              <w:bottom w:val="single" w:sz="4" w:space="0" w:color="auto"/>
              <w:right w:val="nil"/>
            </w:tcBorders>
            <w:shd w:val="clear" w:color="auto" w:fill="auto"/>
            <w:vAlign w:val="center"/>
            <w:hideMark/>
          </w:tcPr>
          <w:p w14:paraId="52D7090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0.0058</w:t>
            </w:r>
          </w:p>
        </w:tc>
      </w:tr>
      <w:tr w:rsidR="00A060FD" w:rsidRPr="00866EEF" w14:paraId="015AEA6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94F9DD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E68689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0.791775***</w:t>
            </w:r>
          </w:p>
        </w:tc>
        <w:tc>
          <w:tcPr>
            <w:tcW w:w="1386" w:type="dxa"/>
            <w:tcBorders>
              <w:top w:val="nil"/>
              <w:left w:val="nil"/>
              <w:bottom w:val="single" w:sz="4" w:space="0" w:color="auto"/>
              <w:right w:val="nil"/>
            </w:tcBorders>
            <w:shd w:val="clear" w:color="auto" w:fill="auto"/>
            <w:vAlign w:val="center"/>
            <w:hideMark/>
          </w:tcPr>
          <w:p w14:paraId="6681A7B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0.086917</w:t>
            </w:r>
          </w:p>
        </w:tc>
        <w:tc>
          <w:tcPr>
            <w:tcW w:w="1352" w:type="dxa"/>
            <w:tcBorders>
              <w:top w:val="nil"/>
              <w:left w:val="nil"/>
              <w:bottom w:val="single" w:sz="4" w:space="0" w:color="auto"/>
              <w:right w:val="nil"/>
            </w:tcBorders>
            <w:shd w:val="clear" w:color="auto" w:fill="auto"/>
            <w:vAlign w:val="center"/>
            <w:hideMark/>
          </w:tcPr>
          <w:p w14:paraId="170B4A0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9.109520</w:t>
            </w:r>
          </w:p>
        </w:tc>
        <w:tc>
          <w:tcPr>
            <w:tcW w:w="1071" w:type="dxa"/>
            <w:tcBorders>
              <w:top w:val="nil"/>
              <w:left w:val="nil"/>
              <w:bottom w:val="single" w:sz="4" w:space="0" w:color="auto"/>
              <w:right w:val="nil"/>
            </w:tcBorders>
            <w:shd w:val="clear" w:color="auto" w:fill="auto"/>
            <w:vAlign w:val="center"/>
            <w:hideMark/>
          </w:tcPr>
          <w:p w14:paraId="2722E93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C61075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7DF6D6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175B9A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0.278650</w:t>
            </w:r>
          </w:p>
        </w:tc>
      </w:tr>
      <w:tr w:rsidR="00A060FD" w:rsidRPr="00866EEF" w14:paraId="3107FC6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1635C9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1BE4BBD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0.273059</w:t>
            </w:r>
          </w:p>
        </w:tc>
      </w:tr>
      <w:tr w:rsidR="00A060FD" w:rsidRPr="00866EEF" w14:paraId="1FEEB8D0"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1A6AE39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11A91D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2.849291</w:t>
            </w:r>
          </w:p>
        </w:tc>
      </w:tr>
      <w:tr w:rsidR="00A060FD" w:rsidRPr="00866EEF" w14:paraId="189AA710"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2434CC9F"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2011-</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2011 (260 Obs.)</w:t>
            </w:r>
          </w:p>
        </w:tc>
      </w:tr>
      <w:tr w:rsidR="00A060FD" w:rsidRPr="00866EEF" w14:paraId="0D711942"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0007C63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54CD93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30350E2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7E6C13F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13465D2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4AFBF1A7"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46E2BC4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35D348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0.460812</w:t>
            </w:r>
          </w:p>
        </w:tc>
        <w:tc>
          <w:tcPr>
            <w:tcW w:w="1386" w:type="dxa"/>
            <w:tcBorders>
              <w:top w:val="nil"/>
              <w:left w:val="nil"/>
              <w:bottom w:val="single" w:sz="4" w:space="0" w:color="auto"/>
              <w:right w:val="nil"/>
            </w:tcBorders>
            <w:shd w:val="clear" w:color="auto" w:fill="auto"/>
            <w:vAlign w:val="center"/>
            <w:hideMark/>
          </w:tcPr>
          <w:p w14:paraId="29B4DE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1.652408</w:t>
            </w:r>
          </w:p>
        </w:tc>
        <w:tc>
          <w:tcPr>
            <w:tcW w:w="1352" w:type="dxa"/>
            <w:tcBorders>
              <w:top w:val="nil"/>
              <w:left w:val="nil"/>
              <w:bottom w:val="single" w:sz="4" w:space="0" w:color="auto"/>
              <w:right w:val="nil"/>
            </w:tcBorders>
            <w:shd w:val="clear" w:color="auto" w:fill="auto"/>
            <w:vAlign w:val="center"/>
            <w:hideMark/>
          </w:tcPr>
          <w:p w14:paraId="1AD754A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0.278873</w:t>
            </w:r>
          </w:p>
        </w:tc>
        <w:tc>
          <w:tcPr>
            <w:tcW w:w="1071" w:type="dxa"/>
            <w:tcBorders>
              <w:top w:val="nil"/>
              <w:left w:val="nil"/>
              <w:bottom w:val="single" w:sz="4" w:space="0" w:color="auto"/>
              <w:right w:val="nil"/>
            </w:tcBorders>
            <w:shd w:val="clear" w:color="auto" w:fill="auto"/>
            <w:vAlign w:val="center"/>
            <w:hideMark/>
          </w:tcPr>
          <w:p w14:paraId="51D748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0.7806</w:t>
            </w:r>
          </w:p>
        </w:tc>
      </w:tr>
      <w:tr w:rsidR="00A060FD" w:rsidRPr="00866EEF" w14:paraId="1189E21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E72802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49ABA5B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0.211353</w:t>
            </w:r>
          </w:p>
        </w:tc>
        <w:tc>
          <w:tcPr>
            <w:tcW w:w="1386" w:type="dxa"/>
            <w:tcBorders>
              <w:top w:val="nil"/>
              <w:left w:val="nil"/>
              <w:bottom w:val="single" w:sz="4" w:space="0" w:color="auto"/>
              <w:right w:val="nil"/>
            </w:tcBorders>
            <w:shd w:val="clear" w:color="auto" w:fill="auto"/>
            <w:vAlign w:val="center"/>
            <w:hideMark/>
          </w:tcPr>
          <w:p w14:paraId="590080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0.223256</w:t>
            </w:r>
          </w:p>
        </w:tc>
        <w:tc>
          <w:tcPr>
            <w:tcW w:w="1352" w:type="dxa"/>
            <w:tcBorders>
              <w:top w:val="nil"/>
              <w:left w:val="nil"/>
              <w:bottom w:val="single" w:sz="4" w:space="0" w:color="auto"/>
              <w:right w:val="nil"/>
            </w:tcBorders>
            <w:shd w:val="clear" w:color="auto" w:fill="auto"/>
            <w:vAlign w:val="center"/>
            <w:hideMark/>
          </w:tcPr>
          <w:p w14:paraId="0356F1A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0.946681</w:t>
            </w:r>
          </w:p>
        </w:tc>
        <w:tc>
          <w:tcPr>
            <w:tcW w:w="1071" w:type="dxa"/>
            <w:tcBorders>
              <w:top w:val="nil"/>
              <w:left w:val="nil"/>
              <w:bottom w:val="single" w:sz="4" w:space="0" w:color="auto"/>
              <w:right w:val="nil"/>
            </w:tcBorders>
            <w:shd w:val="clear" w:color="auto" w:fill="auto"/>
            <w:vAlign w:val="center"/>
            <w:hideMark/>
          </w:tcPr>
          <w:p w14:paraId="39807EB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0.3447</w:t>
            </w:r>
          </w:p>
        </w:tc>
      </w:tr>
      <w:tr w:rsidR="00A060FD" w:rsidRPr="00866EEF" w14:paraId="247FD55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1B2406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E5D78E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0.642284***</w:t>
            </w:r>
          </w:p>
        </w:tc>
        <w:tc>
          <w:tcPr>
            <w:tcW w:w="1386" w:type="dxa"/>
            <w:tcBorders>
              <w:top w:val="nil"/>
              <w:left w:val="nil"/>
              <w:bottom w:val="single" w:sz="4" w:space="0" w:color="auto"/>
              <w:right w:val="nil"/>
            </w:tcBorders>
            <w:shd w:val="clear" w:color="auto" w:fill="auto"/>
            <w:vAlign w:val="center"/>
            <w:hideMark/>
          </w:tcPr>
          <w:p w14:paraId="42F4D6E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0.107097</w:t>
            </w:r>
          </w:p>
        </w:tc>
        <w:tc>
          <w:tcPr>
            <w:tcW w:w="1352" w:type="dxa"/>
            <w:tcBorders>
              <w:top w:val="nil"/>
              <w:left w:val="nil"/>
              <w:bottom w:val="single" w:sz="4" w:space="0" w:color="auto"/>
              <w:right w:val="nil"/>
            </w:tcBorders>
            <w:shd w:val="clear" w:color="auto" w:fill="auto"/>
            <w:vAlign w:val="center"/>
            <w:hideMark/>
          </w:tcPr>
          <w:p w14:paraId="45E5BF6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5.997207</w:t>
            </w:r>
          </w:p>
        </w:tc>
        <w:tc>
          <w:tcPr>
            <w:tcW w:w="1071" w:type="dxa"/>
            <w:tcBorders>
              <w:top w:val="nil"/>
              <w:left w:val="nil"/>
              <w:bottom w:val="single" w:sz="4" w:space="0" w:color="auto"/>
              <w:right w:val="nil"/>
            </w:tcBorders>
            <w:shd w:val="clear" w:color="auto" w:fill="auto"/>
            <w:vAlign w:val="center"/>
            <w:hideMark/>
          </w:tcPr>
          <w:p w14:paraId="19EC979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37B34CB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7285CD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427FB0E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0.135896</w:t>
            </w:r>
          </w:p>
        </w:tc>
      </w:tr>
      <w:tr w:rsidR="00A060FD" w:rsidRPr="00866EEF" w14:paraId="499C3E1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493C3E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63D0500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0.129172</w:t>
            </w:r>
          </w:p>
        </w:tc>
      </w:tr>
      <w:tr w:rsidR="00A060FD" w:rsidRPr="00866EEF" w14:paraId="5B58F26A"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0A07E99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center"/>
            <w:hideMark/>
          </w:tcPr>
          <w:p w14:paraId="6C99979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2.257795</w:t>
            </w:r>
          </w:p>
        </w:tc>
      </w:tr>
      <w:tr w:rsidR="00A060FD" w:rsidRPr="00866EEF" w14:paraId="2A9EEE3F"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E58AAD7"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2012-</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2012 (261 Obs.)</w:t>
            </w:r>
          </w:p>
        </w:tc>
      </w:tr>
      <w:tr w:rsidR="00A060FD" w:rsidRPr="00866EEF" w14:paraId="288456E8"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2E26AF5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D218F4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B813A4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7A5A03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7FF4EF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3DF2AB5"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806D6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3962AC8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-0.239350</w:t>
            </w:r>
          </w:p>
        </w:tc>
        <w:tc>
          <w:tcPr>
            <w:tcW w:w="1386" w:type="dxa"/>
            <w:tcBorders>
              <w:top w:val="nil"/>
              <w:left w:val="nil"/>
              <w:bottom w:val="single" w:sz="4" w:space="0" w:color="auto"/>
              <w:right w:val="nil"/>
            </w:tcBorders>
            <w:shd w:val="clear" w:color="auto" w:fill="auto"/>
            <w:vAlign w:val="center"/>
            <w:hideMark/>
          </w:tcPr>
          <w:p w14:paraId="1980A84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0.797670</w:t>
            </w:r>
          </w:p>
        </w:tc>
        <w:tc>
          <w:tcPr>
            <w:tcW w:w="1352" w:type="dxa"/>
            <w:tcBorders>
              <w:top w:val="nil"/>
              <w:left w:val="nil"/>
              <w:bottom w:val="single" w:sz="4" w:space="0" w:color="auto"/>
              <w:right w:val="nil"/>
            </w:tcBorders>
            <w:shd w:val="clear" w:color="auto" w:fill="auto"/>
            <w:vAlign w:val="center"/>
            <w:hideMark/>
          </w:tcPr>
          <w:p w14:paraId="77C5913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-0.300061</w:t>
            </w:r>
          </w:p>
        </w:tc>
        <w:tc>
          <w:tcPr>
            <w:tcW w:w="1071" w:type="dxa"/>
            <w:tcBorders>
              <w:top w:val="nil"/>
              <w:left w:val="nil"/>
              <w:bottom w:val="single" w:sz="4" w:space="0" w:color="auto"/>
              <w:right w:val="nil"/>
            </w:tcBorders>
            <w:shd w:val="clear" w:color="auto" w:fill="auto"/>
            <w:vAlign w:val="center"/>
            <w:hideMark/>
          </w:tcPr>
          <w:p w14:paraId="71603BB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0.7644</w:t>
            </w:r>
          </w:p>
        </w:tc>
      </w:tr>
      <w:tr w:rsidR="00A060FD" w:rsidRPr="00866EEF" w14:paraId="400A027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3760BC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12AF1A6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-0.122290</w:t>
            </w:r>
          </w:p>
        </w:tc>
        <w:tc>
          <w:tcPr>
            <w:tcW w:w="1386" w:type="dxa"/>
            <w:tcBorders>
              <w:top w:val="nil"/>
              <w:left w:val="nil"/>
              <w:bottom w:val="single" w:sz="4" w:space="0" w:color="auto"/>
              <w:right w:val="nil"/>
            </w:tcBorders>
            <w:shd w:val="clear" w:color="auto" w:fill="auto"/>
            <w:vAlign w:val="center"/>
            <w:hideMark/>
          </w:tcPr>
          <w:p w14:paraId="6294A8F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0.123956</w:t>
            </w:r>
          </w:p>
        </w:tc>
        <w:tc>
          <w:tcPr>
            <w:tcW w:w="1352" w:type="dxa"/>
            <w:tcBorders>
              <w:top w:val="nil"/>
              <w:left w:val="nil"/>
              <w:bottom w:val="single" w:sz="4" w:space="0" w:color="auto"/>
              <w:right w:val="nil"/>
            </w:tcBorders>
            <w:shd w:val="clear" w:color="auto" w:fill="auto"/>
            <w:vAlign w:val="center"/>
            <w:hideMark/>
          </w:tcPr>
          <w:p w14:paraId="7C23443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-0.986563</w:t>
            </w:r>
          </w:p>
        </w:tc>
        <w:tc>
          <w:tcPr>
            <w:tcW w:w="1071" w:type="dxa"/>
            <w:tcBorders>
              <w:top w:val="nil"/>
              <w:left w:val="nil"/>
              <w:bottom w:val="single" w:sz="4" w:space="0" w:color="auto"/>
              <w:right w:val="nil"/>
            </w:tcBorders>
            <w:shd w:val="clear" w:color="auto" w:fill="auto"/>
            <w:vAlign w:val="center"/>
            <w:hideMark/>
          </w:tcPr>
          <w:p w14:paraId="6FFC605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0.3248</w:t>
            </w:r>
          </w:p>
        </w:tc>
      </w:tr>
      <w:tr w:rsidR="00A060FD" w:rsidRPr="00866EEF" w14:paraId="653F12F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B0E577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03F4DB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0.777340***</w:t>
            </w:r>
          </w:p>
        </w:tc>
        <w:tc>
          <w:tcPr>
            <w:tcW w:w="1386" w:type="dxa"/>
            <w:tcBorders>
              <w:top w:val="nil"/>
              <w:left w:val="nil"/>
              <w:bottom w:val="single" w:sz="4" w:space="0" w:color="auto"/>
              <w:right w:val="nil"/>
            </w:tcBorders>
            <w:shd w:val="clear" w:color="auto" w:fill="auto"/>
            <w:vAlign w:val="center"/>
            <w:hideMark/>
          </w:tcPr>
          <w:p w14:paraId="2794861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0.058133</w:t>
            </w:r>
          </w:p>
        </w:tc>
        <w:tc>
          <w:tcPr>
            <w:tcW w:w="1352" w:type="dxa"/>
            <w:tcBorders>
              <w:top w:val="nil"/>
              <w:left w:val="nil"/>
              <w:bottom w:val="single" w:sz="4" w:space="0" w:color="auto"/>
              <w:right w:val="nil"/>
            </w:tcBorders>
            <w:shd w:val="clear" w:color="auto" w:fill="auto"/>
            <w:vAlign w:val="center"/>
            <w:hideMark/>
          </w:tcPr>
          <w:p w14:paraId="07E93E2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13.37164</w:t>
            </w:r>
          </w:p>
        </w:tc>
        <w:tc>
          <w:tcPr>
            <w:tcW w:w="1071" w:type="dxa"/>
            <w:tcBorders>
              <w:top w:val="nil"/>
              <w:left w:val="nil"/>
              <w:bottom w:val="single" w:sz="4" w:space="0" w:color="auto"/>
              <w:right w:val="nil"/>
            </w:tcBorders>
            <w:shd w:val="clear" w:color="auto" w:fill="auto"/>
            <w:vAlign w:val="center"/>
            <w:hideMark/>
          </w:tcPr>
          <w:p w14:paraId="1A024C8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0A13597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FC7567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D4DBB3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0.412040</w:t>
            </w:r>
          </w:p>
        </w:tc>
      </w:tr>
      <w:tr w:rsidR="00A060FD" w:rsidRPr="00866EEF" w14:paraId="552E788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35AE33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70CBCA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0.407483</w:t>
            </w:r>
          </w:p>
        </w:tc>
      </w:tr>
      <w:tr w:rsidR="00A060FD" w:rsidRPr="00866EEF" w14:paraId="23684146"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72D1A26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F5177A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2.371521</w:t>
            </w:r>
          </w:p>
        </w:tc>
      </w:tr>
      <w:tr w:rsidR="00A060FD" w:rsidRPr="00866EEF" w14:paraId="298278B6"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719CDACA"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2013-</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2013 (261 Obs.)</w:t>
            </w:r>
          </w:p>
        </w:tc>
      </w:tr>
      <w:tr w:rsidR="00A060FD" w:rsidRPr="00866EEF" w14:paraId="2AAC5E06"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0D5DA56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5C9E23B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39CE485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39BA891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42A6D3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6E941D3"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319FE8D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5EB55A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-0.372424</w:t>
            </w:r>
          </w:p>
        </w:tc>
        <w:tc>
          <w:tcPr>
            <w:tcW w:w="1386" w:type="dxa"/>
            <w:tcBorders>
              <w:top w:val="nil"/>
              <w:left w:val="nil"/>
              <w:bottom w:val="single" w:sz="4" w:space="0" w:color="auto"/>
              <w:right w:val="nil"/>
            </w:tcBorders>
            <w:shd w:val="clear" w:color="auto" w:fill="auto"/>
            <w:vAlign w:val="center"/>
            <w:hideMark/>
          </w:tcPr>
          <w:p w14:paraId="6E608FA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0.699221</w:t>
            </w:r>
          </w:p>
        </w:tc>
        <w:tc>
          <w:tcPr>
            <w:tcW w:w="1352" w:type="dxa"/>
            <w:tcBorders>
              <w:top w:val="nil"/>
              <w:left w:val="nil"/>
              <w:bottom w:val="single" w:sz="4" w:space="0" w:color="auto"/>
              <w:right w:val="nil"/>
            </w:tcBorders>
            <w:shd w:val="clear" w:color="auto" w:fill="auto"/>
            <w:vAlign w:val="center"/>
            <w:hideMark/>
          </w:tcPr>
          <w:p w14:paraId="0973896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-0.532627</w:t>
            </w:r>
          </w:p>
        </w:tc>
        <w:tc>
          <w:tcPr>
            <w:tcW w:w="1071" w:type="dxa"/>
            <w:tcBorders>
              <w:top w:val="nil"/>
              <w:left w:val="nil"/>
              <w:bottom w:val="single" w:sz="4" w:space="0" w:color="auto"/>
              <w:right w:val="nil"/>
            </w:tcBorders>
            <w:shd w:val="clear" w:color="auto" w:fill="auto"/>
            <w:vAlign w:val="center"/>
            <w:hideMark/>
          </w:tcPr>
          <w:p w14:paraId="306B13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0.5948</w:t>
            </w:r>
          </w:p>
        </w:tc>
      </w:tr>
      <w:tr w:rsidR="00A060FD" w:rsidRPr="00866EEF" w14:paraId="57C60CF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D8EE86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E75E24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0.019963</w:t>
            </w:r>
          </w:p>
        </w:tc>
        <w:tc>
          <w:tcPr>
            <w:tcW w:w="1386" w:type="dxa"/>
            <w:tcBorders>
              <w:top w:val="nil"/>
              <w:left w:val="nil"/>
              <w:bottom w:val="single" w:sz="4" w:space="0" w:color="auto"/>
              <w:right w:val="nil"/>
            </w:tcBorders>
            <w:shd w:val="clear" w:color="auto" w:fill="auto"/>
            <w:vAlign w:val="center"/>
            <w:hideMark/>
          </w:tcPr>
          <w:p w14:paraId="4B7770A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0.185072</w:t>
            </w:r>
          </w:p>
        </w:tc>
        <w:tc>
          <w:tcPr>
            <w:tcW w:w="1352" w:type="dxa"/>
            <w:tcBorders>
              <w:top w:val="nil"/>
              <w:left w:val="nil"/>
              <w:bottom w:val="single" w:sz="4" w:space="0" w:color="auto"/>
              <w:right w:val="nil"/>
            </w:tcBorders>
            <w:shd w:val="clear" w:color="auto" w:fill="auto"/>
            <w:vAlign w:val="center"/>
            <w:hideMark/>
          </w:tcPr>
          <w:p w14:paraId="40287CF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0.107864</w:t>
            </w:r>
          </w:p>
        </w:tc>
        <w:tc>
          <w:tcPr>
            <w:tcW w:w="1071" w:type="dxa"/>
            <w:tcBorders>
              <w:top w:val="nil"/>
              <w:left w:val="nil"/>
              <w:bottom w:val="single" w:sz="4" w:space="0" w:color="auto"/>
              <w:right w:val="nil"/>
            </w:tcBorders>
            <w:shd w:val="clear" w:color="auto" w:fill="auto"/>
            <w:vAlign w:val="center"/>
            <w:hideMark/>
          </w:tcPr>
          <w:p w14:paraId="6C50186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0.9142</w:t>
            </w:r>
          </w:p>
        </w:tc>
      </w:tr>
      <w:tr w:rsidR="00A060FD" w:rsidRPr="00866EEF" w14:paraId="66FDAF9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3ECA49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8722F0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0.645924***</w:t>
            </w:r>
          </w:p>
        </w:tc>
        <w:tc>
          <w:tcPr>
            <w:tcW w:w="1386" w:type="dxa"/>
            <w:tcBorders>
              <w:top w:val="nil"/>
              <w:left w:val="nil"/>
              <w:bottom w:val="single" w:sz="4" w:space="0" w:color="auto"/>
              <w:right w:val="nil"/>
            </w:tcBorders>
            <w:shd w:val="clear" w:color="auto" w:fill="auto"/>
            <w:vAlign w:val="center"/>
            <w:hideMark/>
          </w:tcPr>
          <w:p w14:paraId="1F83366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0.086932</w:t>
            </w:r>
          </w:p>
        </w:tc>
        <w:tc>
          <w:tcPr>
            <w:tcW w:w="1352" w:type="dxa"/>
            <w:tcBorders>
              <w:top w:val="nil"/>
              <w:left w:val="nil"/>
              <w:bottom w:val="single" w:sz="4" w:space="0" w:color="auto"/>
              <w:right w:val="nil"/>
            </w:tcBorders>
            <w:shd w:val="clear" w:color="auto" w:fill="auto"/>
            <w:vAlign w:val="center"/>
            <w:hideMark/>
          </w:tcPr>
          <w:p w14:paraId="07C9CD0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7.430248</w:t>
            </w:r>
          </w:p>
        </w:tc>
        <w:tc>
          <w:tcPr>
            <w:tcW w:w="1071" w:type="dxa"/>
            <w:tcBorders>
              <w:top w:val="nil"/>
              <w:left w:val="nil"/>
              <w:bottom w:val="single" w:sz="4" w:space="0" w:color="auto"/>
              <w:right w:val="nil"/>
            </w:tcBorders>
            <w:shd w:val="clear" w:color="auto" w:fill="auto"/>
            <w:vAlign w:val="center"/>
            <w:hideMark/>
          </w:tcPr>
          <w:p w14:paraId="63CA67D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2E22008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D45241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0858A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0.178197</w:t>
            </w:r>
          </w:p>
        </w:tc>
      </w:tr>
      <w:tr w:rsidR="00A060FD" w:rsidRPr="00866EEF" w14:paraId="6CBE748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97BB7D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A48FA7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0.171826</w:t>
            </w:r>
          </w:p>
        </w:tc>
      </w:tr>
      <w:tr w:rsidR="00A060FD" w:rsidRPr="00866EEF" w14:paraId="1815939D"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1889D0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50FD14D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2.676844</w:t>
            </w:r>
          </w:p>
        </w:tc>
      </w:tr>
      <w:tr w:rsidR="00A060FD" w:rsidRPr="00866EEF" w14:paraId="5CF51DE5"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ECCAC27"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2014-</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2014 (261 Obs.)</w:t>
            </w:r>
          </w:p>
        </w:tc>
      </w:tr>
      <w:tr w:rsidR="00A060FD" w:rsidRPr="00866EEF" w14:paraId="15C2C53C"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4288D03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5A837F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7177560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0A2CCC0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39AD3F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1BB8605"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6C15574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9C124E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0.026960</w:t>
            </w:r>
          </w:p>
        </w:tc>
        <w:tc>
          <w:tcPr>
            <w:tcW w:w="1386" w:type="dxa"/>
            <w:tcBorders>
              <w:top w:val="nil"/>
              <w:left w:val="nil"/>
              <w:bottom w:val="single" w:sz="4" w:space="0" w:color="auto"/>
              <w:right w:val="nil"/>
            </w:tcBorders>
            <w:shd w:val="clear" w:color="auto" w:fill="auto"/>
            <w:vAlign w:val="center"/>
            <w:hideMark/>
          </w:tcPr>
          <w:p w14:paraId="51B1155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0.337863</w:t>
            </w:r>
          </w:p>
        </w:tc>
        <w:tc>
          <w:tcPr>
            <w:tcW w:w="1352" w:type="dxa"/>
            <w:tcBorders>
              <w:top w:val="nil"/>
              <w:left w:val="nil"/>
              <w:bottom w:val="single" w:sz="4" w:space="0" w:color="auto"/>
              <w:right w:val="nil"/>
            </w:tcBorders>
            <w:shd w:val="clear" w:color="auto" w:fill="auto"/>
            <w:vAlign w:val="center"/>
            <w:hideMark/>
          </w:tcPr>
          <w:p w14:paraId="118DAF7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0.079796</w:t>
            </w:r>
          </w:p>
        </w:tc>
        <w:tc>
          <w:tcPr>
            <w:tcW w:w="1071" w:type="dxa"/>
            <w:tcBorders>
              <w:top w:val="nil"/>
              <w:left w:val="nil"/>
              <w:bottom w:val="single" w:sz="4" w:space="0" w:color="auto"/>
              <w:right w:val="nil"/>
            </w:tcBorders>
            <w:shd w:val="clear" w:color="auto" w:fill="auto"/>
            <w:vAlign w:val="center"/>
            <w:hideMark/>
          </w:tcPr>
          <w:p w14:paraId="0391F6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0.9365</w:t>
            </w:r>
          </w:p>
        </w:tc>
      </w:tr>
      <w:tr w:rsidR="00A060FD" w:rsidRPr="00866EEF" w14:paraId="310EC34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2113B1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4A13DF6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0.119713</w:t>
            </w:r>
          </w:p>
        </w:tc>
        <w:tc>
          <w:tcPr>
            <w:tcW w:w="1386" w:type="dxa"/>
            <w:tcBorders>
              <w:top w:val="nil"/>
              <w:left w:val="nil"/>
              <w:bottom w:val="single" w:sz="4" w:space="0" w:color="auto"/>
              <w:right w:val="nil"/>
            </w:tcBorders>
            <w:shd w:val="clear" w:color="auto" w:fill="auto"/>
            <w:vAlign w:val="center"/>
            <w:hideMark/>
          </w:tcPr>
          <w:p w14:paraId="776F5A2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0.073636</w:t>
            </w:r>
          </w:p>
        </w:tc>
        <w:tc>
          <w:tcPr>
            <w:tcW w:w="1352" w:type="dxa"/>
            <w:tcBorders>
              <w:top w:val="nil"/>
              <w:left w:val="nil"/>
              <w:bottom w:val="single" w:sz="4" w:space="0" w:color="auto"/>
              <w:right w:val="nil"/>
            </w:tcBorders>
            <w:shd w:val="clear" w:color="auto" w:fill="auto"/>
            <w:vAlign w:val="center"/>
            <w:hideMark/>
          </w:tcPr>
          <w:p w14:paraId="05E23F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1.625731</w:t>
            </w:r>
          </w:p>
        </w:tc>
        <w:tc>
          <w:tcPr>
            <w:tcW w:w="1071" w:type="dxa"/>
            <w:tcBorders>
              <w:top w:val="nil"/>
              <w:left w:val="nil"/>
              <w:bottom w:val="single" w:sz="4" w:space="0" w:color="auto"/>
              <w:right w:val="nil"/>
            </w:tcBorders>
            <w:shd w:val="clear" w:color="auto" w:fill="auto"/>
            <w:vAlign w:val="center"/>
            <w:hideMark/>
          </w:tcPr>
          <w:p w14:paraId="53B710D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0.1052</w:t>
            </w:r>
          </w:p>
        </w:tc>
      </w:tr>
      <w:tr w:rsidR="00A060FD" w:rsidRPr="00866EEF" w14:paraId="313F891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E656DB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342E6B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0.337007***</w:t>
            </w:r>
          </w:p>
        </w:tc>
        <w:tc>
          <w:tcPr>
            <w:tcW w:w="1386" w:type="dxa"/>
            <w:tcBorders>
              <w:top w:val="nil"/>
              <w:left w:val="nil"/>
              <w:bottom w:val="single" w:sz="4" w:space="0" w:color="auto"/>
              <w:right w:val="nil"/>
            </w:tcBorders>
            <w:shd w:val="clear" w:color="auto" w:fill="auto"/>
            <w:vAlign w:val="center"/>
            <w:hideMark/>
          </w:tcPr>
          <w:p w14:paraId="73CFC70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0.065846</w:t>
            </w:r>
          </w:p>
        </w:tc>
        <w:tc>
          <w:tcPr>
            <w:tcW w:w="1352" w:type="dxa"/>
            <w:tcBorders>
              <w:top w:val="nil"/>
              <w:left w:val="nil"/>
              <w:bottom w:val="single" w:sz="4" w:space="0" w:color="auto"/>
              <w:right w:val="nil"/>
            </w:tcBorders>
            <w:shd w:val="clear" w:color="auto" w:fill="auto"/>
            <w:vAlign w:val="center"/>
            <w:hideMark/>
          </w:tcPr>
          <w:p w14:paraId="0513E1D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5.118108</w:t>
            </w:r>
          </w:p>
        </w:tc>
        <w:tc>
          <w:tcPr>
            <w:tcW w:w="1071" w:type="dxa"/>
            <w:tcBorders>
              <w:top w:val="nil"/>
              <w:left w:val="nil"/>
              <w:bottom w:val="single" w:sz="4" w:space="0" w:color="auto"/>
              <w:right w:val="nil"/>
            </w:tcBorders>
            <w:shd w:val="clear" w:color="auto" w:fill="auto"/>
            <w:vAlign w:val="center"/>
            <w:hideMark/>
          </w:tcPr>
          <w:p w14:paraId="66CBBDD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2CFBD02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D7A63C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0B53E81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0.098913</w:t>
            </w:r>
          </w:p>
        </w:tc>
      </w:tr>
      <w:tr w:rsidR="00A060FD" w:rsidRPr="00866EEF" w14:paraId="0E8ED2C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36CAC6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0B1DBA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0.091928</w:t>
            </w:r>
          </w:p>
        </w:tc>
      </w:tr>
      <w:tr w:rsidR="00A060FD" w:rsidRPr="00866EEF" w14:paraId="6F9F9CB1"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183970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EA5F47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2.445232</w:t>
            </w:r>
          </w:p>
        </w:tc>
      </w:tr>
      <w:tr w:rsidR="00A060FD" w:rsidRPr="00866EEF" w14:paraId="33002614"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94B2610"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2015-</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2015 (261 Obs.)</w:t>
            </w:r>
          </w:p>
        </w:tc>
      </w:tr>
      <w:tr w:rsidR="00A060FD" w:rsidRPr="00866EEF" w14:paraId="1A1BBFE9"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27C1A72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B37685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7AB19F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6A0FE75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F2A701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B771F7B"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359E0A1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AF6C46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0.088486</w:t>
            </w:r>
          </w:p>
        </w:tc>
        <w:tc>
          <w:tcPr>
            <w:tcW w:w="1386" w:type="dxa"/>
            <w:tcBorders>
              <w:top w:val="nil"/>
              <w:left w:val="nil"/>
              <w:bottom w:val="single" w:sz="4" w:space="0" w:color="auto"/>
              <w:right w:val="nil"/>
            </w:tcBorders>
            <w:shd w:val="clear" w:color="auto" w:fill="auto"/>
            <w:vAlign w:val="center"/>
            <w:hideMark/>
          </w:tcPr>
          <w:p w14:paraId="37D9F41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0.412178</w:t>
            </w:r>
          </w:p>
        </w:tc>
        <w:tc>
          <w:tcPr>
            <w:tcW w:w="1352" w:type="dxa"/>
            <w:tcBorders>
              <w:top w:val="nil"/>
              <w:left w:val="nil"/>
              <w:bottom w:val="single" w:sz="4" w:space="0" w:color="auto"/>
              <w:right w:val="nil"/>
            </w:tcBorders>
            <w:shd w:val="clear" w:color="auto" w:fill="auto"/>
            <w:vAlign w:val="center"/>
            <w:hideMark/>
          </w:tcPr>
          <w:p w14:paraId="3F76118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0.214678</w:t>
            </w:r>
          </w:p>
        </w:tc>
        <w:tc>
          <w:tcPr>
            <w:tcW w:w="1071" w:type="dxa"/>
            <w:tcBorders>
              <w:top w:val="nil"/>
              <w:left w:val="nil"/>
              <w:bottom w:val="single" w:sz="4" w:space="0" w:color="auto"/>
              <w:right w:val="nil"/>
            </w:tcBorders>
            <w:shd w:val="clear" w:color="auto" w:fill="auto"/>
            <w:vAlign w:val="center"/>
            <w:hideMark/>
          </w:tcPr>
          <w:p w14:paraId="2F8BA64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0.8302</w:t>
            </w:r>
          </w:p>
        </w:tc>
      </w:tr>
      <w:tr w:rsidR="00A060FD" w:rsidRPr="00866EEF" w14:paraId="42BE77E7"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3FF66C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817E4B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0.171621**</w:t>
            </w:r>
          </w:p>
        </w:tc>
        <w:tc>
          <w:tcPr>
            <w:tcW w:w="1386" w:type="dxa"/>
            <w:tcBorders>
              <w:top w:val="nil"/>
              <w:left w:val="nil"/>
              <w:bottom w:val="single" w:sz="4" w:space="0" w:color="auto"/>
              <w:right w:val="nil"/>
            </w:tcBorders>
            <w:shd w:val="clear" w:color="auto" w:fill="auto"/>
            <w:vAlign w:val="center"/>
            <w:hideMark/>
          </w:tcPr>
          <w:p w14:paraId="07AE58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0.082969</w:t>
            </w:r>
          </w:p>
        </w:tc>
        <w:tc>
          <w:tcPr>
            <w:tcW w:w="1352" w:type="dxa"/>
            <w:tcBorders>
              <w:top w:val="nil"/>
              <w:left w:val="nil"/>
              <w:bottom w:val="single" w:sz="4" w:space="0" w:color="auto"/>
              <w:right w:val="nil"/>
            </w:tcBorders>
            <w:shd w:val="clear" w:color="auto" w:fill="auto"/>
            <w:vAlign w:val="center"/>
            <w:hideMark/>
          </w:tcPr>
          <w:p w14:paraId="468C21D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2.068503</w:t>
            </w:r>
          </w:p>
        </w:tc>
        <w:tc>
          <w:tcPr>
            <w:tcW w:w="1071" w:type="dxa"/>
            <w:tcBorders>
              <w:top w:val="nil"/>
              <w:left w:val="nil"/>
              <w:bottom w:val="single" w:sz="4" w:space="0" w:color="auto"/>
              <w:right w:val="nil"/>
            </w:tcBorders>
            <w:shd w:val="clear" w:color="auto" w:fill="auto"/>
            <w:vAlign w:val="center"/>
            <w:hideMark/>
          </w:tcPr>
          <w:p w14:paraId="08FBE64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0.0396</w:t>
            </w:r>
          </w:p>
        </w:tc>
      </w:tr>
      <w:tr w:rsidR="00A060FD" w:rsidRPr="00866EEF" w14:paraId="79206A5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00ABCA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6F3FD1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0.370168***</w:t>
            </w:r>
          </w:p>
        </w:tc>
        <w:tc>
          <w:tcPr>
            <w:tcW w:w="1386" w:type="dxa"/>
            <w:tcBorders>
              <w:top w:val="nil"/>
              <w:left w:val="nil"/>
              <w:bottom w:val="single" w:sz="4" w:space="0" w:color="auto"/>
              <w:right w:val="nil"/>
            </w:tcBorders>
            <w:shd w:val="clear" w:color="auto" w:fill="auto"/>
            <w:vAlign w:val="center"/>
            <w:hideMark/>
          </w:tcPr>
          <w:p w14:paraId="6940BA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0.075700</w:t>
            </w:r>
          </w:p>
        </w:tc>
        <w:tc>
          <w:tcPr>
            <w:tcW w:w="1352" w:type="dxa"/>
            <w:tcBorders>
              <w:top w:val="nil"/>
              <w:left w:val="nil"/>
              <w:bottom w:val="single" w:sz="4" w:space="0" w:color="auto"/>
              <w:right w:val="nil"/>
            </w:tcBorders>
            <w:shd w:val="clear" w:color="auto" w:fill="auto"/>
            <w:vAlign w:val="center"/>
            <w:hideMark/>
          </w:tcPr>
          <w:p w14:paraId="7349A4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4.889929</w:t>
            </w:r>
          </w:p>
        </w:tc>
        <w:tc>
          <w:tcPr>
            <w:tcW w:w="1071" w:type="dxa"/>
            <w:tcBorders>
              <w:top w:val="nil"/>
              <w:left w:val="nil"/>
              <w:bottom w:val="single" w:sz="4" w:space="0" w:color="auto"/>
              <w:right w:val="nil"/>
            </w:tcBorders>
            <w:shd w:val="clear" w:color="auto" w:fill="auto"/>
            <w:vAlign w:val="center"/>
            <w:hideMark/>
          </w:tcPr>
          <w:p w14:paraId="6B2B59C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086F7C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B9C118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D59290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0.132515</w:t>
            </w:r>
          </w:p>
        </w:tc>
      </w:tr>
      <w:tr w:rsidR="00A060FD" w:rsidRPr="00866EEF" w14:paraId="07AA07E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4DCAD7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70F87B9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0.125791</w:t>
            </w:r>
          </w:p>
        </w:tc>
      </w:tr>
      <w:tr w:rsidR="00A060FD" w:rsidRPr="00866EEF" w14:paraId="5357D0A1"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20FDFD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4AF926F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2.635660</w:t>
            </w:r>
          </w:p>
        </w:tc>
      </w:tr>
      <w:tr w:rsidR="00A060FD" w:rsidRPr="00866EEF" w14:paraId="695767FD"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AEB8B99"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2016-</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2016 (261 Obs.)</w:t>
            </w:r>
          </w:p>
        </w:tc>
      </w:tr>
      <w:tr w:rsidR="00A060FD" w:rsidRPr="00866EEF" w14:paraId="316330F9"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93D350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C28C29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62BCC07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7E2F766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DDD647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A8D86D0"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455A85E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3CD04A7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-0.082030</w:t>
            </w:r>
          </w:p>
        </w:tc>
        <w:tc>
          <w:tcPr>
            <w:tcW w:w="1386" w:type="dxa"/>
            <w:tcBorders>
              <w:top w:val="nil"/>
              <w:left w:val="nil"/>
              <w:bottom w:val="single" w:sz="4" w:space="0" w:color="auto"/>
              <w:right w:val="nil"/>
            </w:tcBorders>
            <w:shd w:val="clear" w:color="auto" w:fill="auto"/>
            <w:vAlign w:val="center"/>
            <w:hideMark/>
          </w:tcPr>
          <w:p w14:paraId="1DC54C4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0.471465</w:t>
            </w:r>
          </w:p>
        </w:tc>
        <w:tc>
          <w:tcPr>
            <w:tcW w:w="1352" w:type="dxa"/>
            <w:tcBorders>
              <w:top w:val="nil"/>
              <w:left w:val="nil"/>
              <w:bottom w:val="single" w:sz="4" w:space="0" w:color="auto"/>
              <w:right w:val="nil"/>
            </w:tcBorders>
            <w:shd w:val="clear" w:color="auto" w:fill="auto"/>
            <w:vAlign w:val="center"/>
            <w:hideMark/>
          </w:tcPr>
          <w:p w14:paraId="350C67E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-0.173990</w:t>
            </w:r>
          </w:p>
        </w:tc>
        <w:tc>
          <w:tcPr>
            <w:tcW w:w="1071" w:type="dxa"/>
            <w:tcBorders>
              <w:top w:val="nil"/>
              <w:left w:val="nil"/>
              <w:bottom w:val="single" w:sz="4" w:space="0" w:color="auto"/>
              <w:right w:val="nil"/>
            </w:tcBorders>
            <w:shd w:val="clear" w:color="auto" w:fill="auto"/>
            <w:vAlign w:val="center"/>
            <w:hideMark/>
          </w:tcPr>
          <w:p w14:paraId="37FC066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0.8620</w:t>
            </w:r>
          </w:p>
        </w:tc>
      </w:tr>
      <w:tr w:rsidR="00A060FD" w:rsidRPr="00866EEF" w14:paraId="39437A5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279AFA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11548E8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0.257340***</w:t>
            </w:r>
          </w:p>
        </w:tc>
        <w:tc>
          <w:tcPr>
            <w:tcW w:w="1386" w:type="dxa"/>
            <w:tcBorders>
              <w:top w:val="nil"/>
              <w:left w:val="nil"/>
              <w:bottom w:val="single" w:sz="4" w:space="0" w:color="auto"/>
              <w:right w:val="nil"/>
            </w:tcBorders>
            <w:shd w:val="clear" w:color="auto" w:fill="auto"/>
            <w:vAlign w:val="center"/>
            <w:hideMark/>
          </w:tcPr>
          <w:p w14:paraId="73EDC53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0.086403</w:t>
            </w:r>
          </w:p>
        </w:tc>
        <w:tc>
          <w:tcPr>
            <w:tcW w:w="1352" w:type="dxa"/>
            <w:tcBorders>
              <w:top w:val="nil"/>
              <w:left w:val="nil"/>
              <w:bottom w:val="single" w:sz="4" w:space="0" w:color="auto"/>
              <w:right w:val="nil"/>
            </w:tcBorders>
            <w:shd w:val="clear" w:color="auto" w:fill="auto"/>
            <w:vAlign w:val="center"/>
            <w:hideMark/>
          </w:tcPr>
          <w:p w14:paraId="03B3A17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2.978357</w:t>
            </w:r>
          </w:p>
        </w:tc>
        <w:tc>
          <w:tcPr>
            <w:tcW w:w="1071" w:type="dxa"/>
            <w:tcBorders>
              <w:top w:val="nil"/>
              <w:left w:val="nil"/>
              <w:bottom w:val="single" w:sz="4" w:space="0" w:color="auto"/>
              <w:right w:val="nil"/>
            </w:tcBorders>
            <w:shd w:val="clear" w:color="auto" w:fill="auto"/>
            <w:vAlign w:val="center"/>
            <w:hideMark/>
          </w:tcPr>
          <w:p w14:paraId="1D469EB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0.0032</w:t>
            </w:r>
          </w:p>
        </w:tc>
      </w:tr>
      <w:tr w:rsidR="00A060FD" w:rsidRPr="00866EEF" w14:paraId="759375A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CB94D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1BE77E3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0.882333***</w:t>
            </w:r>
          </w:p>
        </w:tc>
        <w:tc>
          <w:tcPr>
            <w:tcW w:w="1386" w:type="dxa"/>
            <w:tcBorders>
              <w:top w:val="nil"/>
              <w:left w:val="nil"/>
              <w:bottom w:val="single" w:sz="4" w:space="0" w:color="auto"/>
              <w:right w:val="nil"/>
            </w:tcBorders>
            <w:shd w:val="clear" w:color="auto" w:fill="auto"/>
            <w:vAlign w:val="center"/>
            <w:hideMark/>
          </w:tcPr>
          <w:p w14:paraId="1AE0B21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0.106354</w:t>
            </w:r>
          </w:p>
        </w:tc>
        <w:tc>
          <w:tcPr>
            <w:tcW w:w="1352" w:type="dxa"/>
            <w:tcBorders>
              <w:top w:val="nil"/>
              <w:left w:val="nil"/>
              <w:bottom w:val="single" w:sz="4" w:space="0" w:color="auto"/>
              <w:right w:val="nil"/>
            </w:tcBorders>
            <w:shd w:val="clear" w:color="auto" w:fill="auto"/>
            <w:vAlign w:val="center"/>
            <w:hideMark/>
          </w:tcPr>
          <w:p w14:paraId="391D984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8.296194</w:t>
            </w:r>
          </w:p>
        </w:tc>
        <w:tc>
          <w:tcPr>
            <w:tcW w:w="1071" w:type="dxa"/>
            <w:tcBorders>
              <w:top w:val="nil"/>
              <w:left w:val="nil"/>
              <w:bottom w:val="single" w:sz="4" w:space="0" w:color="auto"/>
              <w:right w:val="nil"/>
            </w:tcBorders>
            <w:shd w:val="clear" w:color="auto" w:fill="auto"/>
            <w:vAlign w:val="center"/>
            <w:hideMark/>
          </w:tcPr>
          <w:p w14:paraId="3F6736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1FEC7C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514C12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8431EB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0.289378</w:t>
            </w:r>
          </w:p>
        </w:tc>
      </w:tr>
      <w:tr w:rsidR="00A060FD" w:rsidRPr="00866EEF" w14:paraId="2A7511B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643AB4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D0DEE2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0.283870</w:t>
            </w:r>
          </w:p>
        </w:tc>
      </w:tr>
      <w:tr w:rsidR="00A060FD" w:rsidRPr="00866EEF" w14:paraId="32400291"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835C6B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215328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2.300962</w:t>
            </w:r>
          </w:p>
        </w:tc>
      </w:tr>
      <w:tr w:rsidR="00A060FD" w:rsidRPr="00866EEF" w14:paraId="49EB8C14"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CAF3E07"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2017-</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2017 (260 Obs.)</w:t>
            </w:r>
          </w:p>
        </w:tc>
      </w:tr>
      <w:tr w:rsidR="00A060FD" w:rsidRPr="00866EEF" w14:paraId="7213BF26"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6C69A69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2C27F79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4516F4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32715C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5D7BD12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40AC5946"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A9909E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5C1E529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-0.413290</w:t>
            </w:r>
          </w:p>
        </w:tc>
        <w:tc>
          <w:tcPr>
            <w:tcW w:w="1386" w:type="dxa"/>
            <w:tcBorders>
              <w:top w:val="nil"/>
              <w:left w:val="nil"/>
              <w:bottom w:val="single" w:sz="4" w:space="0" w:color="auto"/>
              <w:right w:val="nil"/>
            </w:tcBorders>
            <w:shd w:val="clear" w:color="auto" w:fill="auto"/>
            <w:vAlign w:val="center"/>
            <w:hideMark/>
          </w:tcPr>
          <w:p w14:paraId="12542D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0.317892</w:t>
            </w:r>
          </w:p>
        </w:tc>
        <w:tc>
          <w:tcPr>
            <w:tcW w:w="1352" w:type="dxa"/>
            <w:tcBorders>
              <w:top w:val="nil"/>
              <w:left w:val="nil"/>
              <w:bottom w:val="single" w:sz="4" w:space="0" w:color="auto"/>
              <w:right w:val="nil"/>
            </w:tcBorders>
            <w:shd w:val="clear" w:color="auto" w:fill="auto"/>
            <w:vAlign w:val="center"/>
            <w:hideMark/>
          </w:tcPr>
          <w:p w14:paraId="4265206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-1.300095</w:t>
            </w:r>
          </w:p>
        </w:tc>
        <w:tc>
          <w:tcPr>
            <w:tcW w:w="1071" w:type="dxa"/>
            <w:tcBorders>
              <w:top w:val="nil"/>
              <w:left w:val="nil"/>
              <w:bottom w:val="single" w:sz="4" w:space="0" w:color="auto"/>
              <w:right w:val="nil"/>
            </w:tcBorders>
            <w:shd w:val="clear" w:color="auto" w:fill="auto"/>
            <w:vAlign w:val="center"/>
            <w:hideMark/>
          </w:tcPr>
          <w:p w14:paraId="3C987AD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0.1947</w:t>
            </w:r>
          </w:p>
        </w:tc>
      </w:tr>
      <w:tr w:rsidR="00A060FD" w:rsidRPr="00866EEF" w14:paraId="0535052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EE9B8D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57658F0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0.111189*</w:t>
            </w:r>
          </w:p>
        </w:tc>
        <w:tc>
          <w:tcPr>
            <w:tcW w:w="1386" w:type="dxa"/>
            <w:tcBorders>
              <w:top w:val="nil"/>
              <w:left w:val="nil"/>
              <w:bottom w:val="single" w:sz="4" w:space="0" w:color="auto"/>
              <w:right w:val="nil"/>
            </w:tcBorders>
            <w:shd w:val="clear" w:color="auto" w:fill="auto"/>
            <w:vAlign w:val="center"/>
            <w:hideMark/>
          </w:tcPr>
          <w:p w14:paraId="6E2C3DA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0.067062</w:t>
            </w:r>
          </w:p>
        </w:tc>
        <w:tc>
          <w:tcPr>
            <w:tcW w:w="1352" w:type="dxa"/>
            <w:tcBorders>
              <w:top w:val="nil"/>
              <w:left w:val="nil"/>
              <w:bottom w:val="single" w:sz="4" w:space="0" w:color="auto"/>
              <w:right w:val="nil"/>
            </w:tcBorders>
            <w:shd w:val="clear" w:color="auto" w:fill="auto"/>
            <w:vAlign w:val="center"/>
            <w:hideMark/>
          </w:tcPr>
          <w:p w14:paraId="3247230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1.658011</w:t>
            </w:r>
          </w:p>
        </w:tc>
        <w:tc>
          <w:tcPr>
            <w:tcW w:w="1071" w:type="dxa"/>
            <w:tcBorders>
              <w:top w:val="nil"/>
              <w:left w:val="nil"/>
              <w:bottom w:val="single" w:sz="4" w:space="0" w:color="auto"/>
              <w:right w:val="nil"/>
            </w:tcBorders>
            <w:shd w:val="clear" w:color="auto" w:fill="auto"/>
            <w:vAlign w:val="center"/>
            <w:hideMark/>
          </w:tcPr>
          <w:p w14:paraId="6E170C0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0.0985</w:t>
            </w:r>
          </w:p>
        </w:tc>
      </w:tr>
      <w:tr w:rsidR="00A060FD" w:rsidRPr="00866EEF" w14:paraId="4C736B7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E14051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4113D4E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0.106176</w:t>
            </w:r>
          </w:p>
        </w:tc>
        <w:tc>
          <w:tcPr>
            <w:tcW w:w="1386" w:type="dxa"/>
            <w:tcBorders>
              <w:top w:val="nil"/>
              <w:left w:val="nil"/>
              <w:bottom w:val="single" w:sz="4" w:space="0" w:color="auto"/>
              <w:right w:val="nil"/>
            </w:tcBorders>
            <w:shd w:val="clear" w:color="auto" w:fill="auto"/>
            <w:vAlign w:val="center"/>
            <w:hideMark/>
          </w:tcPr>
          <w:p w14:paraId="30DAF5A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0.077734</w:t>
            </w:r>
          </w:p>
        </w:tc>
        <w:tc>
          <w:tcPr>
            <w:tcW w:w="1352" w:type="dxa"/>
            <w:tcBorders>
              <w:top w:val="nil"/>
              <w:left w:val="nil"/>
              <w:bottom w:val="single" w:sz="4" w:space="0" w:color="auto"/>
              <w:right w:val="nil"/>
            </w:tcBorders>
            <w:shd w:val="clear" w:color="auto" w:fill="auto"/>
            <w:vAlign w:val="center"/>
            <w:hideMark/>
          </w:tcPr>
          <w:p w14:paraId="5B0E3AA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1.365880</w:t>
            </w:r>
          </w:p>
        </w:tc>
        <w:tc>
          <w:tcPr>
            <w:tcW w:w="1071" w:type="dxa"/>
            <w:tcBorders>
              <w:top w:val="nil"/>
              <w:left w:val="nil"/>
              <w:bottom w:val="single" w:sz="4" w:space="0" w:color="auto"/>
              <w:right w:val="nil"/>
            </w:tcBorders>
            <w:shd w:val="clear" w:color="auto" w:fill="auto"/>
            <w:vAlign w:val="center"/>
            <w:hideMark/>
          </w:tcPr>
          <w:p w14:paraId="4BEC89E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0.1732</w:t>
            </w:r>
          </w:p>
        </w:tc>
      </w:tr>
      <w:tr w:rsidR="00A060FD" w:rsidRPr="00866EEF" w14:paraId="0E8229B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2ED7F9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6C442D1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0.022548</w:t>
            </w:r>
          </w:p>
        </w:tc>
      </w:tr>
      <w:tr w:rsidR="00A060FD" w:rsidRPr="00866EEF" w14:paraId="332C33D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2872CF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06D4F79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0.014941</w:t>
            </w:r>
          </w:p>
        </w:tc>
      </w:tr>
      <w:tr w:rsidR="00A060FD" w:rsidRPr="00866EEF" w14:paraId="64D507DC"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41CE08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182F2CC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2.214945</w:t>
            </w:r>
          </w:p>
        </w:tc>
      </w:tr>
      <w:tr w:rsidR="00A060FD" w:rsidRPr="00866EEF" w14:paraId="73BDE570"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B9B66A6"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2018 (261 Obs.)</w:t>
            </w:r>
          </w:p>
        </w:tc>
      </w:tr>
      <w:tr w:rsidR="00A060FD" w:rsidRPr="00866EEF" w14:paraId="2684F79F"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717F28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CC0BE4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94F6B7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16DAF31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8ABEBE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0C95539"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61C634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1A1996C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0.377143</w:t>
            </w:r>
          </w:p>
        </w:tc>
        <w:tc>
          <w:tcPr>
            <w:tcW w:w="1386" w:type="dxa"/>
            <w:tcBorders>
              <w:top w:val="nil"/>
              <w:left w:val="nil"/>
              <w:bottom w:val="single" w:sz="4" w:space="0" w:color="auto"/>
              <w:right w:val="nil"/>
            </w:tcBorders>
            <w:shd w:val="clear" w:color="auto" w:fill="auto"/>
            <w:vAlign w:val="center"/>
            <w:hideMark/>
          </w:tcPr>
          <w:p w14:paraId="62BB018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0.402603</w:t>
            </w:r>
          </w:p>
        </w:tc>
        <w:tc>
          <w:tcPr>
            <w:tcW w:w="1352" w:type="dxa"/>
            <w:tcBorders>
              <w:top w:val="nil"/>
              <w:left w:val="nil"/>
              <w:bottom w:val="single" w:sz="4" w:space="0" w:color="auto"/>
              <w:right w:val="nil"/>
            </w:tcBorders>
            <w:shd w:val="clear" w:color="auto" w:fill="auto"/>
            <w:vAlign w:val="center"/>
            <w:hideMark/>
          </w:tcPr>
          <w:p w14:paraId="3B37583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0.936762</w:t>
            </w:r>
          </w:p>
        </w:tc>
        <w:tc>
          <w:tcPr>
            <w:tcW w:w="1071" w:type="dxa"/>
            <w:tcBorders>
              <w:top w:val="nil"/>
              <w:left w:val="nil"/>
              <w:bottom w:val="single" w:sz="4" w:space="0" w:color="auto"/>
              <w:right w:val="nil"/>
            </w:tcBorders>
            <w:shd w:val="clear" w:color="auto" w:fill="auto"/>
            <w:vAlign w:val="center"/>
            <w:hideMark/>
          </w:tcPr>
          <w:p w14:paraId="553FEF3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0.3498</w:t>
            </w:r>
          </w:p>
        </w:tc>
      </w:tr>
      <w:tr w:rsidR="00A060FD" w:rsidRPr="00866EEF" w14:paraId="1C70721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6D7145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5433527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-0.002744</w:t>
            </w:r>
          </w:p>
        </w:tc>
        <w:tc>
          <w:tcPr>
            <w:tcW w:w="1386" w:type="dxa"/>
            <w:tcBorders>
              <w:top w:val="nil"/>
              <w:left w:val="nil"/>
              <w:bottom w:val="single" w:sz="4" w:space="0" w:color="auto"/>
              <w:right w:val="nil"/>
            </w:tcBorders>
            <w:shd w:val="clear" w:color="auto" w:fill="auto"/>
            <w:vAlign w:val="center"/>
            <w:hideMark/>
          </w:tcPr>
          <w:p w14:paraId="4FF0C1A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0.049498</w:t>
            </w:r>
          </w:p>
        </w:tc>
        <w:tc>
          <w:tcPr>
            <w:tcW w:w="1352" w:type="dxa"/>
            <w:tcBorders>
              <w:top w:val="nil"/>
              <w:left w:val="nil"/>
              <w:bottom w:val="single" w:sz="4" w:space="0" w:color="auto"/>
              <w:right w:val="nil"/>
            </w:tcBorders>
            <w:shd w:val="clear" w:color="auto" w:fill="auto"/>
            <w:vAlign w:val="center"/>
            <w:hideMark/>
          </w:tcPr>
          <w:p w14:paraId="6241221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-0.055445</w:t>
            </w:r>
          </w:p>
        </w:tc>
        <w:tc>
          <w:tcPr>
            <w:tcW w:w="1071" w:type="dxa"/>
            <w:tcBorders>
              <w:top w:val="nil"/>
              <w:left w:val="nil"/>
              <w:bottom w:val="single" w:sz="4" w:space="0" w:color="auto"/>
              <w:right w:val="nil"/>
            </w:tcBorders>
            <w:shd w:val="clear" w:color="auto" w:fill="auto"/>
            <w:vAlign w:val="center"/>
            <w:hideMark/>
          </w:tcPr>
          <w:p w14:paraId="77C6B09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0.9558</w:t>
            </w:r>
          </w:p>
        </w:tc>
      </w:tr>
      <w:tr w:rsidR="00A060FD" w:rsidRPr="00866EEF" w14:paraId="698A95D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0D56D8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36D72B4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0.189874***</w:t>
            </w:r>
          </w:p>
        </w:tc>
        <w:tc>
          <w:tcPr>
            <w:tcW w:w="1386" w:type="dxa"/>
            <w:tcBorders>
              <w:top w:val="nil"/>
              <w:left w:val="nil"/>
              <w:bottom w:val="single" w:sz="4" w:space="0" w:color="auto"/>
              <w:right w:val="nil"/>
            </w:tcBorders>
            <w:shd w:val="clear" w:color="auto" w:fill="auto"/>
            <w:vAlign w:val="center"/>
            <w:hideMark/>
          </w:tcPr>
          <w:p w14:paraId="77A44A2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0.048374</w:t>
            </w:r>
          </w:p>
        </w:tc>
        <w:tc>
          <w:tcPr>
            <w:tcW w:w="1352" w:type="dxa"/>
            <w:tcBorders>
              <w:top w:val="nil"/>
              <w:left w:val="nil"/>
              <w:bottom w:val="single" w:sz="4" w:space="0" w:color="auto"/>
              <w:right w:val="nil"/>
            </w:tcBorders>
            <w:shd w:val="clear" w:color="auto" w:fill="auto"/>
            <w:vAlign w:val="center"/>
            <w:hideMark/>
          </w:tcPr>
          <w:p w14:paraId="74BEF5E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3.925146</w:t>
            </w:r>
          </w:p>
        </w:tc>
        <w:tc>
          <w:tcPr>
            <w:tcW w:w="1071" w:type="dxa"/>
            <w:tcBorders>
              <w:top w:val="nil"/>
              <w:left w:val="nil"/>
              <w:bottom w:val="single" w:sz="4" w:space="0" w:color="auto"/>
              <w:right w:val="nil"/>
            </w:tcBorders>
            <w:shd w:val="clear" w:color="auto" w:fill="auto"/>
            <w:vAlign w:val="center"/>
            <w:hideMark/>
          </w:tcPr>
          <w:p w14:paraId="5CEC1FB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w:t>
            </w:r>
          </w:p>
        </w:tc>
      </w:tr>
      <w:tr w:rsidR="00A060FD" w:rsidRPr="00866EEF" w14:paraId="0C1DD0E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4A410F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252B60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0.067997</w:t>
            </w:r>
          </w:p>
        </w:tc>
      </w:tr>
      <w:tr w:rsidR="00A060FD" w:rsidRPr="00866EEF" w14:paraId="0BF03AF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EE4931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51ECFE9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0.060772</w:t>
            </w:r>
          </w:p>
        </w:tc>
      </w:tr>
      <w:tr w:rsidR="00A060FD" w:rsidRPr="00866EEF" w14:paraId="119C59FF"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1A136B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607503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1.994768</w:t>
            </w:r>
          </w:p>
        </w:tc>
      </w:tr>
      <w:tr w:rsidR="00A060FD" w:rsidRPr="00866EEF" w14:paraId="32BA991B"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6353838"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2019-</w:t>
            </w:r>
            <w:r>
              <w:rPr>
                <w:rFonts w:ascii="Book Antiqua" w:eastAsia="Times New Roman" w:hAnsi="Book Antiqua" w:cs="Times New Roman"/>
                <w:i/>
                <w:iCs/>
                <w:color w:val="000000"/>
                <w:sz w:val="20"/>
                <w:szCs w:val="20"/>
                <w:lang w:eastAsia="it-IT"/>
              </w:rPr>
              <w:t>January</w:t>
            </w:r>
            <w:r w:rsidRPr="00866EEF">
              <w:rPr>
                <w:rFonts w:ascii="Book Antiqua" w:eastAsia="Times New Roman" w:hAnsi="Book Antiqua" w:cs="Times New Roman"/>
                <w:i/>
                <w:iCs/>
                <w:color w:val="000000"/>
                <w:sz w:val="20"/>
                <w:szCs w:val="20"/>
                <w:lang w:eastAsia="it-IT"/>
              </w:rPr>
              <w:t xml:space="preserve"> 2020 (262 Obs.)</w:t>
            </w:r>
          </w:p>
        </w:tc>
      </w:tr>
      <w:tr w:rsidR="00A060FD" w:rsidRPr="00866EEF" w14:paraId="74A628DB"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3B9075B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30004C8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6841A6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64F6A37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64E9B3D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4DB9DFC6"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257A584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6198E22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-0.260091</w:t>
            </w:r>
          </w:p>
        </w:tc>
        <w:tc>
          <w:tcPr>
            <w:tcW w:w="1386" w:type="dxa"/>
            <w:tcBorders>
              <w:top w:val="nil"/>
              <w:left w:val="nil"/>
              <w:bottom w:val="single" w:sz="4" w:space="0" w:color="auto"/>
              <w:right w:val="nil"/>
            </w:tcBorders>
            <w:shd w:val="clear" w:color="auto" w:fill="auto"/>
            <w:vAlign w:val="center"/>
            <w:hideMark/>
          </w:tcPr>
          <w:p w14:paraId="4129980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0.246618</w:t>
            </w:r>
          </w:p>
        </w:tc>
        <w:tc>
          <w:tcPr>
            <w:tcW w:w="1352" w:type="dxa"/>
            <w:tcBorders>
              <w:top w:val="nil"/>
              <w:left w:val="nil"/>
              <w:bottom w:val="single" w:sz="4" w:space="0" w:color="auto"/>
              <w:right w:val="nil"/>
            </w:tcBorders>
            <w:shd w:val="clear" w:color="auto" w:fill="auto"/>
            <w:vAlign w:val="center"/>
            <w:hideMark/>
          </w:tcPr>
          <w:p w14:paraId="73BA7A3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-1.054632</w:t>
            </w:r>
          </w:p>
        </w:tc>
        <w:tc>
          <w:tcPr>
            <w:tcW w:w="1071" w:type="dxa"/>
            <w:tcBorders>
              <w:top w:val="nil"/>
              <w:left w:val="nil"/>
              <w:bottom w:val="single" w:sz="4" w:space="0" w:color="auto"/>
              <w:right w:val="nil"/>
            </w:tcBorders>
            <w:shd w:val="clear" w:color="auto" w:fill="auto"/>
            <w:vAlign w:val="center"/>
            <w:hideMark/>
          </w:tcPr>
          <w:p w14:paraId="53F088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0.2926</w:t>
            </w:r>
          </w:p>
        </w:tc>
      </w:tr>
      <w:tr w:rsidR="00A060FD" w:rsidRPr="00866EEF" w14:paraId="5DFD646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ECA7C1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6907F51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0.195668***</w:t>
            </w:r>
          </w:p>
        </w:tc>
        <w:tc>
          <w:tcPr>
            <w:tcW w:w="1386" w:type="dxa"/>
            <w:tcBorders>
              <w:top w:val="nil"/>
              <w:left w:val="nil"/>
              <w:bottom w:val="single" w:sz="4" w:space="0" w:color="auto"/>
              <w:right w:val="nil"/>
            </w:tcBorders>
            <w:shd w:val="clear" w:color="auto" w:fill="auto"/>
            <w:vAlign w:val="center"/>
            <w:hideMark/>
          </w:tcPr>
          <w:p w14:paraId="7152791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0.049292</w:t>
            </w:r>
          </w:p>
        </w:tc>
        <w:tc>
          <w:tcPr>
            <w:tcW w:w="1352" w:type="dxa"/>
            <w:tcBorders>
              <w:top w:val="nil"/>
              <w:left w:val="nil"/>
              <w:bottom w:val="single" w:sz="4" w:space="0" w:color="auto"/>
              <w:right w:val="nil"/>
            </w:tcBorders>
            <w:shd w:val="clear" w:color="auto" w:fill="auto"/>
            <w:vAlign w:val="center"/>
            <w:hideMark/>
          </w:tcPr>
          <w:p w14:paraId="03FCBD0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3.969550</w:t>
            </w:r>
          </w:p>
        </w:tc>
        <w:tc>
          <w:tcPr>
            <w:tcW w:w="1071" w:type="dxa"/>
            <w:tcBorders>
              <w:top w:val="nil"/>
              <w:left w:val="nil"/>
              <w:bottom w:val="single" w:sz="4" w:space="0" w:color="auto"/>
              <w:right w:val="nil"/>
            </w:tcBorders>
            <w:shd w:val="clear" w:color="auto" w:fill="auto"/>
            <w:vAlign w:val="center"/>
            <w:hideMark/>
          </w:tcPr>
          <w:p w14:paraId="11ED771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w:t>
            </w:r>
          </w:p>
        </w:tc>
      </w:tr>
      <w:tr w:rsidR="00A060FD" w:rsidRPr="00866EEF" w14:paraId="4EEBC4C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D0170C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1B4F4B7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0.178588***</w:t>
            </w:r>
          </w:p>
        </w:tc>
        <w:tc>
          <w:tcPr>
            <w:tcW w:w="1386" w:type="dxa"/>
            <w:tcBorders>
              <w:top w:val="nil"/>
              <w:left w:val="nil"/>
              <w:bottom w:val="single" w:sz="4" w:space="0" w:color="auto"/>
              <w:right w:val="nil"/>
            </w:tcBorders>
            <w:shd w:val="clear" w:color="auto" w:fill="auto"/>
            <w:vAlign w:val="center"/>
            <w:hideMark/>
          </w:tcPr>
          <w:p w14:paraId="4C0F0CA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0.045468</w:t>
            </w:r>
          </w:p>
        </w:tc>
        <w:tc>
          <w:tcPr>
            <w:tcW w:w="1352" w:type="dxa"/>
            <w:tcBorders>
              <w:top w:val="nil"/>
              <w:left w:val="nil"/>
              <w:bottom w:val="single" w:sz="4" w:space="0" w:color="auto"/>
              <w:right w:val="nil"/>
            </w:tcBorders>
            <w:shd w:val="clear" w:color="auto" w:fill="auto"/>
            <w:vAlign w:val="center"/>
            <w:hideMark/>
          </w:tcPr>
          <w:p w14:paraId="7864C5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3.927792</w:t>
            </w:r>
          </w:p>
        </w:tc>
        <w:tc>
          <w:tcPr>
            <w:tcW w:w="1071" w:type="dxa"/>
            <w:tcBorders>
              <w:top w:val="nil"/>
              <w:left w:val="nil"/>
              <w:bottom w:val="single" w:sz="4" w:space="0" w:color="auto"/>
              <w:right w:val="nil"/>
            </w:tcBorders>
            <w:shd w:val="clear" w:color="auto" w:fill="auto"/>
            <w:vAlign w:val="center"/>
            <w:hideMark/>
          </w:tcPr>
          <w:p w14:paraId="4CF7866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w:t>
            </w:r>
          </w:p>
        </w:tc>
      </w:tr>
      <w:tr w:rsidR="00A060FD" w:rsidRPr="00866EEF" w14:paraId="6E6F773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5E807D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1809F6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0.155905</w:t>
            </w:r>
          </w:p>
        </w:tc>
      </w:tr>
      <w:tr w:rsidR="00A060FD" w:rsidRPr="00866EEF" w14:paraId="76FB993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53DB30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6B09EDF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0.149387</w:t>
            </w:r>
          </w:p>
        </w:tc>
      </w:tr>
      <w:tr w:rsidR="00A060FD" w:rsidRPr="00866EEF" w14:paraId="20C7F850"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2D32981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Durbin-Watson Stat.</w:t>
            </w:r>
          </w:p>
        </w:tc>
        <w:tc>
          <w:tcPr>
            <w:tcW w:w="5222" w:type="dxa"/>
            <w:gridSpan w:val="4"/>
            <w:tcBorders>
              <w:top w:val="single" w:sz="4" w:space="0" w:color="auto"/>
              <w:left w:val="nil"/>
              <w:bottom w:val="single" w:sz="8" w:space="0" w:color="auto"/>
              <w:right w:val="nil"/>
            </w:tcBorders>
            <w:shd w:val="clear" w:color="auto" w:fill="auto"/>
            <w:noWrap/>
            <w:vAlign w:val="bottom"/>
            <w:hideMark/>
          </w:tcPr>
          <w:p w14:paraId="0901AFF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2.065946</w:t>
            </w:r>
          </w:p>
        </w:tc>
      </w:tr>
    </w:tbl>
    <w:p w14:paraId="328DD248" w14:textId="77777777" w:rsidR="00A060FD" w:rsidRPr="00C708DB" w:rsidRDefault="00A060FD" w:rsidP="00A060FD">
      <w:pPr>
        <w:spacing w:line="360" w:lineRule="auto"/>
        <w:jc w:val="both"/>
        <w:rPr>
          <w:rFonts w:ascii="Book Antiqua" w:hAnsi="Book Antiqua"/>
          <w:sz w:val="20"/>
          <w:szCs w:val="20"/>
        </w:rPr>
      </w:pPr>
      <w:r w:rsidRPr="00870653">
        <w:rPr>
          <w:rFonts w:ascii="Book Antiqua" w:hAnsi="Book Antiqua"/>
          <w:sz w:val="20"/>
          <w:szCs w:val="20"/>
          <w:lang w:val="en-US"/>
        </w:rPr>
        <w:t xml:space="preserve">Note: *** signals parameter significance at 1%, ** signals parameter significance at 5%,* signals parameter significance at 10%. </w:t>
      </w:r>
      <w:r>
        <w:rPr>
          <w:rFonts w:ascii="Book Antiqua" w:hAnsi="Book Antiqua"/>
          <w:sz w:val="20"/>
          <w:szCs w:val="20"/>
        </w:rPr>
        <w:t>Source: authors’ calculations in Eviews 11 based on Bloomberg data.</w:t>
      </w:r>
    </w:p>
    <w:p w14:paraId="05C8D6FF" w14:textId="77777777" w:rsidR="00A060FD" w:rsidRPr="00C708DB" w:rsidRDefault="00A060FD" w:rsidP="00A060FD">
      <w:pPr>
        <w:widowControl w:val="0"/>
        <w:numPr>
          <w:ilvl w:val="0"/>
          <w:numId w:val="21"/>
        </w:numPr>
        <w:suppressAutoHyphens/>
        <w:spacing w:after="0" w:line="360" w:lineRule="auto"/>
        <w:ind w:left="284"/>
        <w:contextualSpacing/>
        <w:jc w:val="both"/>
        <w:rPr>
          <w:rFonts w:ascii="Book Antiqua" w:hAnsi="Book Antiqua" w:cs="Times New Roman"/>
          <w:sz w:val="20"/>
          <w:szCs w:val="20"/>
        </w:rPr>
      </w:pPr>
      <w:r w:rsidRPr="00866EEF">
        <w:rPr>
          <w:rFonts w:ascii="Book Antiqua" w:hAnsi="Book Antiqua" w:cs="Times New Roman"/>
          <w:sz w:val="20"/>
          <w:szCs w:val="20"/>
        </w:rPr>
        <w:t>Monte dei Paschi di Siena</w:t>
      </w:r>
    </w:p>
    <w:p w14:paraId="04ECA904" w14:textId="77777777" w:rsidR="00A060FD" w:rsidRPr="00870653" w:rsidRDefault="00A060FD" w:rsidP="00A060FD">
      <w:pPr>
        <w:spacing w:after="0" w:line="360" w:lineRule="auto"/>
        <w:jc w:val="center"/>
        <w:rPr>
          <w:rFonts w:ascii="Book Antiqua" w:hAnsi="Book Antiqua" w:cs="Times New Roman"/>
          <w:sz w:val="20"/>
          <w:szCs w:val="20"/>
          <w:lang w:val="en-US"/>
        </w:rPr>
      </w:pPr>
      <w:r w:rsidRPr="00870653">
        <w:rPr>
          <w:rFonts w:ascii="Book Antiqua" w:hAnsi="Book Antiqua" w:cs="Times New Roman"/>
          <w:b/>
          <w:bCs/>
          <w:sz w:val="20"/>
          <w:szCs w:val="20"/>
          <w:lang w:val="en-US"/>
        </w:rPr>
        <w:t xml:space="preserve">Tabella A4. </w:t>
      </w:r>
      <w:r w:rsidRPr="00870653">
        <w:rPr>
          <w:rFonts w:ascii="Book Antiqua" w:hAnsi="Book Antiqua" w:cs="Times New Roman"/>
          <w:sz w:val="20"/>
          <w:szCs w:val="20"/>
          <w:lang w:val="en-US"/>
        </w:rPr>
        <w:t>OLS estimates: Period January 2008 – January 2020 (3131)</w:t>
      </w:r>
    </w:p>
    <w:tbl>
      <w:tblPr>
        <w:tblW w:w="7320" w:type="dxa"/>
        <w:jc w:val="center"/>
        <w:tblCellMar>
          <w:left w:w="70" w:type="dxa"/>
          <w:right w:w="70" w:type="dxa"/>
        </w:tblCellMar>
        <w:tblLook w:val="04A0" w:firstRow="1" w:lastRow="0" w:firstColumn="1" w:lastColumn="0" w:noHBand="0" w:noVBand="1"/>
      </w:tblPr>
      <w:tblGrid>
        <w:gridCol w:w="2098"/>
        <w:gridCol w:w="1413"/>
        <w:gridCol w:w="1386"/>
        <w:gridCol w:w="1352"/>
        <w:gridCol w:w="1071"/>
      </w:tblGrid>
      <w:tr w:rsidR="00A060FD" w:rsidRPr="00866EEF" w14:paraId="15B1EB56"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061CB0A9"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2008 (261 Obs.)</w:t>
            </w:r>
          </w:p>
        </w:tc>
      </w:tr>
      <w:tr w:rsidR="00A060FD" w:rsidRPr="00866EEF" w14:paraId="2AB59005"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659DEE9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76D751C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3D6A06B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2791051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017CC59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E35B57D"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1262D8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529AC0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-0.052306</w:t>
            </w:r>
          </w:p>
        </w:tc>
        <w:tc>
          <w:tcPr>
            <w:tcW w:w="1386" w:type="dxa"/>
            <w:tcBorders>
              <w:top w:val="nil"/>
              <w:left w:val="nil"/>
              <w:bottom w:val="single" w:sz="4" w:space="0" w:color="auto"/>
              <w:right w:val="nil"/>
            </w:tcBorders>
            <w:shd w:val="clear" w:color="auto" w:fill="auto"/>
            <w:vAlign w:val="center"/>
            <w:hideMark/>
          </w:tcPr>
          <w:p w14:paraId="5ABA084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0.427699</w:t>
            </w:r>
          </w:p>
        </w:tc>
        <w:tc>
          <w:tcPr>
            <w:tcW w:w="1352" w:type="dxa"/>
            <w:tcBorders>
              <w:top w:val="nil"/>
              <w:left w:val="nil"/>
              <w:bottom w:val="single" w:sz="4" w:space="0" w:color="auto"/>
              <w:right w:val="nil"/>
            </w:tcBorders>
            <w:shd w:val="clear" w:color="auto" w:fill="auto"/>
            <w:vAlign w:val="center"/>
            <w:hideMark/>
          </w:tcPr>
          <w:p w14:paraId="2DDDACE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-0.122295</w:t>
            </w:r>
          </w:p>
        </w:tc>
        <w:tc>
          <w:tcPr>
            <w:tcW w:w="1071" w:type="dxa"/>
            <w:tcBorders>
              <w:top w:val="nil"/>
              <w:left w:val="nil"/>
              <w:bottom w:val="single" w:sz="4" w:space="0" w:color="auto"/>
              <w:right w:val="nil"/>
            </w:tcBorders>
            <w:shd w:val="clear" w:color="auto" w:fill="auto"/>
            <w:vAlign w:val="center"/>
            <w:hideMark/>
          </w:tcPr>
          <w:p w14:paraId="2C3F94A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0.9028</w:t>
            </w:r>
          </w:p>
        </w:tc>
      </w:tr>
      <w:tr w:rsidR="00A060FD" w:rsidRPr="00866EEF" w14:paraId="5FCA4C3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D803D7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0BC231B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0.011072</w:t>
            </w:r>
          </w:p>
        </w:tc>
        <w:tc>
          <w:tcPr>
            <w:tcW w:w="1386" w:type="dxa"/>
            <w:tcBorders>
              <w:top w:val="nil"/>
              <w:left w:val="nil"/>
              <w:bottom w:val="single" w:sz="4" w:space="0" w:color="auto"/>
              <w:right w:val="nil"/>
            </w:tcBorders>
            <w:shd w:val="clear" w:color="auto" w:fill="auto"/>
            <w:vAlign w:val="center"/>
            <w:hideMark/>
          </w:tcPr>
          <w:p w14:paraId="33FA9B5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0.061345</w:t>
            </w:r>
          </w:p>
        </w:tc>
        <w:tc>
          <w:tcPr>
            <w:tcW w:w="1352" w:type="dxa"/>
            <w:tcBorders>
              <w:top w:val="nil"/>
              <w:left w:val="nil"/>
              <w:bottom w:val="single" w:sz="4" w:space="0" w:color="auto"/>
              <w:right w:val="nil"/>
            </w:tcBorders>
            <w:shd w:val="clear" w:color="auto" w:fill="auto"/>
            <w:vAlign w:val="center"/>
            <w:hideMark/>
          </w:tcPr>
          <w:p w14:paraId="302537B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0.180483</w:t>
            </w:r>
          </w:p>
        </w:tc>
        <w:tc>
          <w:tcPr>
            <w:tcW w:w="1071" w:type="dxa"/>
            <w:tcBorders>
              <w:top w:val="nil"/>
              <w:left w:val="nil"/>
              <w:bottom w:val="single" w:sz="4" w:space="0" w:color="auto"/>
              <w:right w:val="nil"/>
            </w:tcBorders>
            <w:shd w:val="clear" w:color="auto" w:fill="auto"/>
            <w:vAlign w:val="center"/>
            <w:hideMark/>
          </w:tcPr>
          <w:p w14:paraId="1ED801D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0.8569</w:t>
            </w:r>
          </w:p>
        </w:tc>
      </w:tr>
      <w:tr w:rsidR="00A060FD" w:rsidRPr="00866EEF" w14:paraId="5D5B76C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EDB015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62D06B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0.678795***</w:t>
            </w:r>
          </w:p>
        </w:tc>
        <w:tc>
          <w:tcPr>
            <w:tcW w:w="1386" w:type="dxa"/>
            <w:tcBorders>
              <w:top w:val="nil"/>
              <w:left w:val="nil"/>
              <w:bottom w:val="single" w:sz="4" w:space="0" w:color="auto"/>
              <w:right w:val="nil"/>
            </w:tcBorders>
            <w:shd w:val="clear" w:color="auto" w:fill="auto"/>
            <w:vAlign w:val="center"/>
            <w:hideMark/>
          </w:tcPr>
          <w:p w14:paraId="70A9E3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0.135663</w:t>
            </w:r>
          </w:p>
        </w:tc>
        <w:tc>
          <w:tcPr>
            <w:tcW w:w="1352" w:type="dxa"/>
            <w:tcBorders>
              <w:top w:val="nil"/>
              <w:left w:val="nil"/>
              <w:bottom w:val="single" w:sz="4" w:space="0" w:color="auto"/>
              <w:right w:val="nil"/>
            </w:tcBorders>
            <w:shd w:val="clear" w:color="auto" w:fill="auto"/>
            <w:vAlign w:val="center"/>
            <w:hideMark/>
          </w:tcPr>
          <w:p w14:paraId="408FF07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5.003525</w:t>
            </w:r>
          </w:p>
        </w:tc>
        <w:tc>
          <w:tcPr>
            <w:tcW w:w="1071" w:type="dxa"/>
            <w:tcBorders>
              <w:top w:val="nil"/>
              <w:left w:val="nil"/>
              <w:bottom w:val="single" w:sz="4" w:space="0" w:color="auto"/>
              <w:right w:val="nil"/>
            </w:tcBorders>
            <w:shd w:val="clear" w:color="auto" w:fill="auto"/>
            <w:vAlign w:val="center"/>
            <w:hideMark/>
          </w:tcPr>
          <w:p w14:paraId="6D07BFF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7687B02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8E8EF2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3B2ADDB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0.088745</w:t>
            </w:r>
          </w:p>
        </w:tc>
      </w:tr>
      <w:tr w:rsidR="00A060FD" w:rsidRPr="00866EEF" w14:paraId="71A91C5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E7ECF9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71EECFD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0.081681</w:t>
            </w:r>
          </w:p>
        </w:tc>
      </w:tr>
      <w:tr w:rsidR="00A060FD" w:rsidRPr="00866EEF" w14:paraId="16620F03"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7FB1F5E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9344C5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1.814977</w:t>
            </w:r>
          </w:p>
        </w:tc>
      </w:tr>
      <w:tr w:rsidR="00A060FD" w:rsidRPr="00866EEF" w14:paraId="0A874DE5"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4AE6924C"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2009-</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2009 (261 Obs.)</w:t>
            </w:r>
          </w:p>
        </w:tc>
      </w:tr>
      <w:tr w:rsidR="00A060FD" w:rsidRPr="00866EEF" w14:paraId="38CDFFC3"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03C40D5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3401FC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E0F6A4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06D425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0A96086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2A94013F"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1D99E3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2497EE5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0.006267</w:t>
            </w:r>
          </w:p>
        </w:tc>
        <w:tc>
          <w:tcPr>
            <w:tcW w:w="1386" w:type="dxa"/>
            <w:tcBorders>
              <w:top w:val="nil"/>
              <w:left w:val="nil"/>
              <w:bottom w:val="single" w:sz="4" w:space="0" w:color="auto"/>
              <w:right w:val="nil"/>
            </w:tcBorders>
            <w:shd w:val="clear" w:color="auto" w:fill="auto"/>
            <w:vAlign w:val="center"/>
            <w:hideMark/>
          </w:tcPr>
          <w:p w14:paraId="73A030B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0.452747</w:t>
            </w:r>
          </w:p>
        </w:tc>
        <w:tc>
          <w:tcPr>
            <w:tcW w:w="1352" w:type="dxa"/>
            <w:tcBorders>
              <w:top w:val="nil"/>
              <w:left w:val="nil"/>
              <w:bottom w:val="single" w:sz="4" w:space="0" w:color="auto"/>
              <w:right w:val="nil"/>
            </w:tcBorders>
            <w:shd w:val="clear" w:color="auto" w:fill="auto"/>
            <w:vAlign w:val="center"/>
            <w:hideMark/>
          </w:tcPr>
          <w:p w14:paraId="6379A8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0.013842</w:t>
            </w:r>
          </w:p>
        </w:tc>
        <w:tc>
          <w:tcPr>
            <w:tcW w:w="1071" w:type="dxa"/>
            <w:tcBorders>
              <w:top w:val="nil"/>
              <w:left w:val="nil"/>
              <w:bottom w:val="single" w:sz="4" w:space="0" w:color="auto"/>
              <w:right w:val="nil"/>
            </w:tcBorders>
            <w:shd w:val="clear" w:color="auto" w:fill="auto"/>
            <w:vAlign w:val="center"/>
            <w:hideMark/>
          </w:tcPr>
          <w:p w14:paraId="4D43515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0.9890</w:t>
            </w:r>
          </w:p>
        </w:tc>
      </w:tr>
      <w:tr w:rsidR="00A060FD" w:rsidRPr="00866EEF" w14:paraId="4838201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B009FC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1FEA9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0.235202</w:t>
            </w:r>
          </w:p>
        </w:tc>
        <w:tc>
          <w:tcPr>
            <w:tcW w:w="1386" w:type="dxa"/>
            <w:tcBorders>
              <w:top w:val="nil"/>
              <w:left w:val="nil"/>
              <w:bottom w:val="single" w:sz="4" w:space="0" w:color="auto"/>
              <w:right w:val="nil"/>
            </w:tcBorders>
            <w:shd w:val="clear" w:color="auto" w:fill="auto"/>
            <w:vAlign w:val="center"/>
            <w:hideMark/>
          </w:tcPr>
          <w:p w14:paraId="11CAB78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0.150004</w:t>
            </w:r>
          </w:p>
        </w:tc>
        <w:tc>
          <w:tcPr>
            <w:tcW w:w="1352" w:type="dxa"/>
            <w:tcBorders>
              <w:top w:val="nil"/>
              <w:left w:val="nil"/>
              <w:bottom w:val="single" w:sz="4" w:space="0" w:color="auto"/>
              <w:right w:val="nil"/>
            </w:tcBorders>
            <w:shd w:val="clear" w:color="auto" w:fill="auto"/>
            <w:vAlign w:val="center"/>
            <w:hideMark/>
          </w:tcPr>
          <w:p w14:paraId="28EE9CB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1.567965</w:t>
            </w:r>
          </w:p>
        </w:tc>
        <w:tc>
          <w:tcPr>
            <w:tcW w:w="1071" w:type="dxa"/>
            <w:tcBorders>
              <w:top w:val="nil"/>
              <w:left w:val="nil"/>
              <w:bottom w:val="single" w:sz="4" w:space="0" w:color="auto"/>
              <w:right w:val="nil"/>
            </w:tcBorders>
            <w:shd w:val="clear" w:color="auto" w:fill="auto"/>
            <w:vAlign w:val="center"/>
            <w:hideMark/>
          </w:tcPr>
          <w:p w14:paraId="64FFE66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0.1181</w:t>
            </w:r>
          </w:p>
        </w:tc>
      </w:tr>
      <w:tr w:rsidR="00A060FD" w:rsidRPr="00866EEF" w14:paraId="6020139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C34F90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742BB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0.398969***</w:t>
            </w:r>
          </w:p>
        </w:tc>
        <w:tc>
          <w:tcPr>
            <w:tcW w:w="1386" w:type="dxa"/>
            <w:tcBorders>
              <w:top w:val="nil"/>
              <w:left w:val="nil"/>
              <w:bottom w:val="single" w:sz="4" w:space="0" w:color="auto"/>
              <w:right w:val="nil"/>
            </w:tcBorders>
            <w:shd w:val="clear" w:color="auto" w:fill="auto"/>
            <w:vAlign w:val="center"/>
            <w:hideMark/>
          </w:tcPr>
          <w:p w14:paraId="262C09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0.103707</w:t>
            </w:r>
          </w:p>
        </w:tc>
        <w:tc>
          <w:tcPr>
            <w:tcW w:w="1352" w:type="dxa"/>
            <w:tcBorders>
              <w:top w:val="nil"/>
              <w:left w:val="nil"/>
              <w:bottom w:val="single" w:sz="4" w:space="0" w:color="auto"/>
              <w:right w:val="nil"/>
            </w:tcBorders>
            <w:shd w:val="clear" w:color="auto" w:fill="auto"/>
            <w:vAlign w:val="center"/>
            <w:hideMark/>
          </w:tcPr>
          <w:p w14:paraId="028200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3.847066</w:t>
            </w:r>
          </w:p>
        </w:tc>
        <w:tc>
          <w:tcPr>
            <w:tcW w:w="1071" w:type="dxa"/>
            <w:tcBorders>
              <w:top w:val="nil"/>
              <w:left w:val="nil"/>
              <w:bottom w:val="single" w:sz="4" w:space="0" w:color="auto"/>
              <w:right w:val="nil"/>
            </w:tcBorders>
            <w:shd w:val="clear" w:color="auto" w:fill="auto"/>
            <w:vAlign w:val="center"/>
            <w:hideMark/>
          </w:tcPr>
          <w:p w14:paraId="504AC97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0.0002</w:t>
            </w:r>
          </w:p>
        </w:tc>
      </w:tr>
      <w:tr w:rsidR="00A060FD" w:rsidRPr="00866EEF" w14:paraId="69D43EE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99CFA5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263C13E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0.063193</w:t>
            </w:r>
          </w:p>
        </w:tc>
      </w:tr>
      <w:tr w:rsidR="00A060FD" w:rsidRPr="00866EEF" w14:paraId="098F7F3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E7E611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216061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0.055931</w:t>
            </w:r>
          </w:p>
        </w:tc>
      </w:tr>
      <w:tr w:rsidR="00A060FD" w:rsidRPr="00866EEF" w14:paraId="0BE4E78D"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1102D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44A5135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2.341433</w:t>
            </w:r>
          </w:p>
        </w:tc>
      </w:tr>
      <w:tr w:rsidR="00A060FD" w:rsidRPr="00866EEF" w14:paraId="29C68C5B"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793BD00"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2010-</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2010 (261 Obs.)</w:t>
            </w:r>
          </w:p>
        </w:tc>
      </w:tr>
      <w:tr w:rsidR="00A060FD" w:rsidRPr="00866EEF" w14:paraId="6782D2DB"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4103535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37A18AC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4B568B8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234791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2162B2A"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0AE15D1E"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20E00B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4E1D75F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0.364905</w:t>
            </w:r>
          </w:p>
        </w:tc>
        <w:tc>
          <w:tcPr>
            <w:tcW w:w="1386" w:type="dxa"/>
            <w:tcBorders>
              <w:top w:val="nil"/>
              <w:left w:val="nil"/>
              <w:bottom w:val="single" w:sz="4" w:space="0" w:color="auto"/>
              <w:right w:val="nil"/>
            </w:tcBorders>
            <w:shd w:val="clear" w:color="auto" w:fill="auto"/>
            <w:vAlign w:val="center"/>
            <w:hideMark/>
          </w:tcPr>
          <w:p w14:paraId="5B43500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0.429510</w:t>
            </w:r>
          </w:p>
        </w:tc>
        <w:tc>
          <w:tcPr>
            <w:tcW w:w="1352" w:type="dxa"/>
            <w:tcBorders>
              <w:top w:val="nil"/>
              <w:left w:val="nil"/>
              <w:bottom w:val="single" w:sz="4" w:space="0" w:color="auto"/>
              <w:right w:val="nil"/>
            </w:tcBorders>
            <w:shd w:val="clear" w:color="auto" w:fill="auto"/>
            <w:vAlign w:val="center"/>
            <w:hideMark/>
          </w:tcPr>
          <w:p w14:paraId="406231C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0.849584</w:t>
            </w:r>
          </w:p>
        </w:tc>
        <w:tc>
          <w:tcPr>
            <w:tcW w:w="1071" w:type="dxa"/>
            <w:tcBorders>
              <w:top w:val="nil"/>
              <w:left w:val="nil"/>
              <w:bottom w:val="single" w:sz="4" w:space="0" w:color="auto"/>
              <w:right w:val="nil"/>
            </w:tcBorders>
            <w:shd w:val="clear" w:color="auto" w:fill="auto"/>
            <w:vAlign w:val="center"/>
            <w:hideMark/>
          </w:tcPr>
          <w:p w14:paraId="121D58B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0.3963</w:t>
            </w:r>
          </w:p>
        </w:tc>
      </w:tr>
      <w:tr w:rsidR="00A060FD" w:rsidRPr="00866EEF" w14:paraId="4FD03A2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2BE0C5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4FEB065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0.335726***</w:t>
            </w:r>
          </w:p>
        </w:tc>
        <w:tc>
          <w:tcPr>
            <w:tcW w:w="1386" w:type="dxa"/>
            <w:tcBorders>
              <w:top w:val="nil"/>
              <w:left w:val="nil"/>
              <w:bottom w:val="single" w:sz="4" w:space="0" w:color="auto"/>
              <w:right w:val="nil"/>
            </w:tcBorders>
            <w:shd w:val="clear" w:color="auto" w:fill="auto"/>
            <w:vAlign w:val="center"/>
            <w:hideMark/>
          </w:tcPr>
          <w:p w14:paraId="065E468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0.083183</w:t>
            </w:r>
          </w:p>
        </w:tc>
        <w:tc>
          <w:tcPr>
            <w:tcW w:w="1352" w:type="dxa"/>
            <w:tcBorders>
              <w:top w:val="nil"/>
              <w:left w:val="nil"/>
              <w:bottom w:val="single" w:sz="4" w:space="0" w:color="auto"/>
              <w:right w:val="nil"/>
            </w:tcBorders>
            <w:shd w:val="clear" w:color="auto" w:fill="auto"/>
            <w:vAlign w:val="center"/>
            <w:hideMark/>
          </w:tcPr>
          <w:p w14:paraId="69C5094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4.035992</w:t>
            </w:r>
          </w:p>
        </w:tc>
        <w:tc>
          <w:tcPr>
            <w:tcW w:w="1071" w:type="dxa"/>
            <w:tcBorders>
              <w:top w:val="nil"/>
              <w:left w:val="nil"/>
              <w:bottom w:val="single" w:sz="4" w:space="0" w:color="auto"/>
              <w:right w:val="nil"/>
            </w:tcBorders>
            <w:shd w:val="clear" w:color="auto" w:fill="auto"/>
            <w:vAlign w:val="center"/>
            <w:hideMark/>
          </w:tcPr>
          <w:p w14:paraId="4702C1C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0.0001</w:t>
            </w:r>
          </w:p>
        </w:tc>
      </w:tr>
      <w:tr w:rsidR="00A060FD" w:rsidRPr="00866EEF" w14:paraId="075B8C3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25465C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7AD15B2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0.875291***</w:t>
            </w:r>
          </w:p>
        </w:tc>
        <w:tc>
          <w:tcPr>
            <w:tcW w:w="1386" w:type="dxa"/>
            <w:tcBorders>
              <w:top w:val="nil"/>
              <w:left w:val="nil"/>
              <w:bottom w:val="single" w:sz="4" w:space="0" w:color="auto"/>
              <w:right w:val="nil"/>
            </w:tcBorders>
            <w:shd w:val="clear" w:color="auto" w:fill="auto"/>
            <w:vAlign w:val="center"/>
            <w:hideMark/>
          </w:tcPr>
          <w:p w14:paraId="4CA3F66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0.066784</w:t>
            </w:r>
          </w:p>
        </w:tc>
        <w:tc>
          <w:tcPr>
            <w:tcW w:w="1352" w:type="dxa"/>
            <w:tcBorders>
              <w:top w:val="nil"/>
              <w:left w:val="nil"/>
              <w:bottom w:val="single" w:sz="4" w:space="0" w:color="auto"/>
              <w:right w:val="nil"/>
            </w:tcBorders>
            <w:shd w:val="clear" w:color="auto" w:fill="auto"/>
            <w:vAlign w:val="center"/>
            <w:hideMark/>
          </w:tcPr>
          <w:p w14:paraId="49301C7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13.10636</w:t>
            </w:r>
          </w:p>
        </w:tc>
        <w:tc>
          <w:tcPr>
            <w:tcW w:w="1071" w:type="dxa"/>
            <w:tcBorders>
              <w:top w:val="nil"/>
              <w:left w:val="nil"/>
              <w:bottom w:val="single" w:sz="4" w:space="0" w:color="auto"/>
              <w:right w:val="nil"/>
            </w:tcBorders>
            <w:shd w:val="clear" w:color="auto" w:fill="auto"/>
            <w:vAlign w:val="center"/>
            <w:hideMark/>
          </w:tcPr>
          <w:p w14:paraId="55C1D02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074B3E6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E1DD85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3A025A3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0.444822</w:t>
            </w:r>
          </w:p>
        </w:tc>
      </w:tr>
      <w:tr w:rsidR="00A060FD" w:rsidRPr="00866EEF" w14:paraId="66A7335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CA4DFA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0C24463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0.440518</w:t>
            </w:r>
          </w:p>
        </w:tc>
      </w:tr>
      <w:tr w:rsidR="00A060FD" w:rsidRPr="00866EEF" w14:paraId="6A757E4E"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3769EF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613A3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2.421440</w:t>
            </w:r>
          </w:p>
        </w:tc>
      </w:tr>
      <w:tr w:rsidR="00A060FD" w:rsidRPr="00866EEF" w14:paraId="73AD5BBC"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387B77BD"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2011-</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2011 (260 Obs.)</w:t>
            </w:r>
          </w:p>
        </w:tc>
      </w:tr>
      <w:tr w:rsidR="00A060FD" w:rsidRPr="00866EEF" w14:paraId="2C4122DE"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CA51F7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5B55F9D"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5A21F12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632CA32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27C0E6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3102717F"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9E360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308ADD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0.210384</w:t>
            </w:r>
          </w:p>
        </w:tc>
        <w:tc>
          <w:tcPr>
            <w:tcW w:w="1386" w:type="dxa"/>
            <w:tcBorders>
              <w:top w:val="nil"/>
              <w:left w:val="nil"/>
              <w:bottom w:val="single" w:sz="4" w:space="0" w:color="auto"/>
              <w:right w:val="nil"/>
            </w:tcBorders>
            <w:shd w:val="clear" w:color="auto" w:fill="auto"/>
            <w:vAlign w:val="center"/>
            <w:hideMark/>
          </w:tcPr>
          <w:p w14:paraId="7F01247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1.305947</w:t>
            </w:r>
          </w:p>
        </w:tc>
        <w:tc>
          <w:tcPr>
            <w:tcW w:w="1352" w:type="dxa"/>
            <w:tcBorders>
              <w:top w:val="nil"/>
              <w:left w:val="nil"/>
              <w:bottom w:val="single" w:sz="4" w:space="0" w:color="auto"/>
              <w:right w:val="nil"/>
            </w:tcBorders>
            <w:shd w:val="clear" w:color="auto" w:fill="auto"/>
            <w:vAlign w:val="center"/>
            <w:hideMark/>
          </w:tcPr>
          <w:p w14:paraId="69E08E2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0.161097</w:t>
            </w:r>
          </w:p>
        </w:tc>
        <w:tc>
          <w:tcPr>
            <w:tcW w:w="1071" w:type="dxa"/>
            <w:tcBorders>
              <w:top w:val="nil"/>
              <w:left w:val="nil"/>
              <w:bottom w:val="single" w:sz="4" w:space="0" w:color="auto"/>
              <w:right w:val="nil"/>
            </w:tcBorders>
            <w:shd w:val="clear" w:color="auto" w:fill="auto"/>
            <w:vAlign w:val="center"/>
            <w:hideMark/>
          </w:tcPr>
          <w:p w14:paraId="66BB0D8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0.8721</w:t>
            </w:r>
          </w:p>
        </w:tc>
      </w:tr>
      <w:tr w:rsidR="00A060FD" w:rsidRPr="00866EEF" w14:paraId="7BD944D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5C8E83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47820A2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0.047028</w:t>
            </w:r>
          </w:p>
        </w:tc>
        <w:tc>
          <w:tcPr>
            <w:tcW w:w="1386" w:type="dxa"/>
            <w:tcBorders>
              <w:top w:val="nil"/>
              <w:left w:val="nil"/>
              <w:bottom w:val="single" w:sz="4" w:space="0" w:color="auto"/>
              <w:right w:val="nil"/>
            </w:tcBorders>
            <w:shd w:val="clear" w:color="auto" w:fill="auto"/>
            <w:vAlign w:val="center"/>
            <w:hideMark/>
          </w:tcPr>
          <w:p w14:paraId="62CB870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0.176446</w:t>
            </w:r>
          </w:p>
        </w:tc>
        <w:tc>
          <w:tcPr>
            <w:tcW w:w="1352" w:type="dxa"/>
            <w:tcBorders>
              <w:top w:val="nil"/>
              <w:left w:val="nil"/>
              <w:bottom w:val="single" w:sz="4" w:space="0" w:color="auto"/>
              <w:right w:val="nil"/>
            </w:tcBorders>
            <w:shd w:val="clear" w:color="auto" w:fill="auto"/>
            <w:vAlign w:val="center"/>
            <w:hideMark/>
          </w:tcPr>
          <w:p w14:paraId="3507043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0.266530</w:t>
            </w:r>
          </w:p>
        </w:tc>
        <w:tc>
          <w:tcPr>
            <w:tcW w:w="1071" w:type="dxa"/>
            <w:tcBorders>
              <w:top w:val="nil"/>
              <w:left w:val="nil"/>
              <w:bottom w:val="single" w:sz="4" w:space="0" w:color="auto"/>
              <w:right w:val="nil"/>
            </w:tcBorders>
            <w:shd w:val="clear" w:color="auto" w:fill="auto"/>
            <w:vAlign w:val="center"/>
            <w:hideMark/>
          </w:tcPr>
          <w:p w14:paraId="693A479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0.7900</w:t>
            </w:r>
          </w:p>
        </w:tc>
      </w:tr>
      <w:tr w:rsidR="00A060FD" w:rsidRPr="00866EEF" w14:paraId="16E20C4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933F0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38A822E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0.637062***</w:t>
            </w:r>
          </w:p>
        </w:tc>
        <w:tc>
          <w:tcPr>
            <w:tcW w:w="1386" w:type="dxa"/>
            <w:tcBorders>
              <w:top w:val="nil"/>
              <w:left w:val="nil"/>
              <w:bottom w:val="single" w:sz="4" w:space="0" w:color="auto"/>
              <w:right w:val="nil"/>
            </w:tcBorders>
            <w:shd w:val="clear" w:color="auto" w:fill="auto"/>
            <w:vAlign w:val="center"/>
            <w:hideMark/>
          </w:tcPr>
          <w:p w14:paraId="255015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0.084642</w:t>
            </w:r>
          </w:p>
        </w:tc>
        <w:tc>
          <w:tcPr>
            <w:tcW w:w="1352" w:type="dxa"/>
            <w:tcBorders>
              <w:top w:val="nil"/>
              <w:left w:val="nil"/>
              <w:bottom w:val="single" w:sz="4" w:space="0" w:color="auto"/>
              <w:right w:val="nil"/>
            </w:tcBorders>
            <w:shd w:val="clear" w:color="auto" w:fill="auto"/>
            <w:vAlign w:val="center"/>
            <w:hideMark/>
          </w:tcPr>
          <w:p w14:paraId="0C5DFBD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7.526546</w:t>
            </w:r>
          </w:p>
        </w:tc>
        <w:tc>
          <w:tcPr>
            <w:tcW w:w="1071" w:type="dxa"/>
            <w:tcBorders>
              <w:top w:val="nil"/>
              <w:left w:val="nil"/>
              <w:bottom w:val="single" w:sz="4" w:space="0" w:color="auto"/>
              <w:right w:val="nil"/>
            </w:tcBorders>
            <w:shd w:val="clear" w:color="auto" w:fill="auto"/>
            <w:vAlign w:val="center"/>
            <w:hideMark/>
          </w:tcPr>
          <w:p w14:paraId="0C93A30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F5AF05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8FEA7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C76A9B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0.188178</w:t>
            </w:r>
          </w:p>
        </w:tc>
      </w:tr>
      <w:tr w:rsidR="00A060FD" w:rsidRPr="00866EEF" w14:paraId="6082B3E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EC3C97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6813F3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0.181860</w:t>
            </w:r>
          </w:p>
        </w:tc>
      </w:tr>
      <w:tr w:rsidR="00A060FD" w:rsidRPr="00866EEF" w14:paraId="494DD17E"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113B893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340BF1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2.327086</w:t>
            </w:r>
          </w:p>
        </w:tc>
      </w:tr>
      <w:tr w:rsidR="00A060FD" w:rsidRPr="00866EEF" w14:paraId="1A12F4E2"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496A9CEC"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2012-</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2012 (261 Obs.)</w:t>
            </w:r>
          </w:p>
        </w:tc>
      </w:tr>
      <w:tr w:rsidR="00A060FD" w:rsidRPr="00866EEF" w14:paraId="6DF17F2C"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6449523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6BE34F08"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A5BE45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0252950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352BD75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16D71E63"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64A8A5E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34F196E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0.520969</w:t>
            </w:r>
          </w:p>
        </w:tc>
        <w:tc>
          <w:tcPr>
            <w:tcW w:w="1386" w:type="dxa"/>
            <w:tcBorders>
              <w:top w:val="nil"/>
              <w:left w:val="nil"/>
              <w:bottom w:val="single" w:sz="4" w:space="0" w:color="auto"/>
              <w:right w:val="nil"/>
            </w:tcBorders>
            <w:shd w:val="clear" w:color="auto" w:fill="auto"/>
            <w:vAlign w:val="center"/>
            <w:hideMark/>
          </w:tcPr>
          <w:p w14:paraId="33375C7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1.016753</w:t>
            </w:r>
          </w:p>
        </w:tc>
        <w:tc>
          <w:tcPr>
            <w:tcW w:w="1352" w:type="dxa"/>
            <w:tcBorders>
              <w:top w:val="nil"/>
              <w:left w:val="nil"/>
              <w:bottom w:val="single" w:sz="4" w:space="0" w:color="auto"/>
              <w:right w:val="nil"/>
            </w:tcBorders>
            <w:shd w:val="clear" w:color="auto" w:fill="auto"/>
            <w:vAlign w:val="center"/>
            <w:hideMark/>
          </w:tcPr>
          <w:p w14:paraId="6DE3D3D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0.512385</w:t>
            </w:r>
          </w:p>
        </w:tc>
        <w:tc>
          <w:tcPr>
            <w:tcW w:w="1071" w:type="dxa"/>
            <w:tcBorders>
              <w:top w:val="nil"/>
              <w:left w:val="nil"/>
              <w:bottom w:val="single" w:sz="4" w:space="0" w:color="auto"/>
              <w:right w:val="nil"/>
            </w:tcBorders>
            <w:shd w:val="clear" w:color="auto" w:fill="auto"/>
            <w:vAlign w:val="center"/>
            <w:hideMark/>
          </w:tcPr>
          <w:p w14:paraId="5842D44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0.6088</w:t>
            </w:r>
          </w:p>
        </w:tc>
      </w:tr>
      <w:tr w:rsidR="00A060FD" w:rsidRPr="00866EEF" w14:paraId="6ED59456"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5B566F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2B3C425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-0.047552</w:t>
            </w:r>
          </w:p>
        </w:tc>
        <w:tc>
          <w:tcPr>
            <w:tcW w:w="1386" w:type="dxa"/>
            <w:tcBorders>
              <w:top w:val="nil"/>
              <w:left w:val="nil"/>
              <w:bottom w:val="single" w:sz="4" w:space="0" w:color="auto"/>
              <w:right w:val="nil"/>
            </w:tcBorders>
            <w:shd w:val="clear" w:color="auto" w:fill="auto"/>
            <w:vAlign w:val="center"/>
            <w:hideMark/>
          </w:tcPr>
          <w:p w14:paraId="41C9BB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0.158001</w:t>
            </w:r>
          </w:p>
        </w:tc>
        <w:tc>
          <w:tcPr>
            <w:tcW w:w="1352" w:type="dxa"/>
            <w:tcBorders>
              <w:top w:val="nil"/>
              <w:left w:val="nil"/>
              <w:bottom w:val="single" w:sz="4" w:space="0" w:color="auto"/>
              <w:right w:val="nil"/>
            </w:tcBorders>
            <w:shd w:val="clear" w:color="auto" w:fill="auto"/>
            <w:vAlign w:val="center"/>
            <w:hideMark/>
          </w:tcPr>
          <w:p w14:paraId="733C49E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-0.300961</w:t>
            </w:r>
          </w:p>
        </w:tc>
        <w:tc>
          <w:tcPr>
            <w:tcW w:w="1071" w:type="dxa"/>
            <w:tcBorders>
              <w:top w:val="nil"/>
              <w:left w:val="nil"/>
              <w:bottom w:val="single" w:sz="4" w:space="0" w:color="auto"/>
              <w:right w:val="nil"/>
            </w:tcBorders>
            <w:shd w:val="clear" w:color="auto" w:fill="auto"/>
            <w:vAlign w:val="center"/>
            <w:hideMark/>
          </w:tcPr>
          <w:p w14:paraId="6AEBB0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0.7637</w:t>
            </w:r>
          </w:p>
        </w:tc>
      </w:tr>
      <w:tr w:rsidR="00A060FD" w:rsidRPr="00866EEF" w14:paraId="29848B5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2A8A8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6B5A901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0.905192***</w:t>
            </w:r>
          </w:p>
        </w:tc>
        <w:tc>
          <w:tcPr>
            <w:tcW w:w="1386" w:type="dxa"/>
            <w:tcBorders>
              <w:top w:val="nil"/>
              <w:left w:val="nil"/>
              <w:bottom w:val="single" w:sz="4" w:space="0" w:color="auto"/>
              <w:right w:val="nil"/>
            </w:tcBorders>
            <w:shd w:val="clear" w:color="auto" w:fill="auto"/>
            <w:vAlign w:val="center"/>
            <w:hideMark/>
          </w:tcPr>
          <w:p w14:paraId="0C56AD8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0.074100</w:t>
            </w:r>
          </w:p>
        </w:tc>
        <w:tc>
          <w:tcPr>
            <w:tcW w:w="1352" w:type="dxa"/>
            <w:tcBorders>
              <w:top w:val="nil"/>
              <w:left w:val="nil"/>
              <w:bottom w:val="single" w:sz="4" w:space="0" w:color="auto"/>
              <w:right w:val="nil"/>
            </w:tcBorders>
            <w:shd w:val="clear" w:color="auto" w:fill="auto"/>
            <w:vAlign w:val="center"/>
            <w:hideMark/>
          </w:tcPr>
          <w:p w14:paraId="744AFE1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12.21580</w:t>
            </w:r>
          </w:p>
        </w:tc>
        <w:tc>
          <w:tcPr>
            <w:tcW w:w="1071" w:type="dxa"/>
            <w:tcBorders>
              <w:top w:val="nil"/>
              <w:left w:val="nil"/>
              <w:bottom w:val="single" w:sz="4" w:space="0" w:color="auto"/>
              <w:right w:val="nil"/>
            </w:tcBorders>
            <w:shd w:val="clear" w:color="auto" w:fill="auto"/>
            <w:vAlign w:val="center"/>
            <w:hideMark/>
          </w:tcPr>
          <w:p w14:paraId="7C03669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528FDCE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CE2A7F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E53091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0.367191</w:t>
            </w:r>
          </w:p>
        </w:tc>
      </w:tr>
      <w:tr w:rsidR="00A060FD" w:rsidRPr="00866EEF" w14:paraId="57B1C39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41AF41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Adj. R²</w:t>
            </w:r>
          </w:p>
        </w:tc>
        <w:tc>
          <w:tcPr>
            <w:tcW w:w="5222" w:type="dxa"/>
            <w:gridSpan w:val="4"/>
            <w:tcBorders>
              <w:top w:val="nil"/>
              <w:left w:val="nil"/>
              <w:bottom w:val="single" w:sz="4" w:space="0" w:color="auto"/>
              <w:right w:val="nil"/>
            </w:tcBorders>
            <w:shd w:val="clear" w:color="auto" w:fill="auto"/>
            <w:vAlign w:val="center"/>
            <w:hideMark/>
          </w:tcPr>
          <w:p w14:paraId="4912221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0.362286</w:t>
            </w:r>
          </w:p>
        </w:tc>
      </w:tr>
      <w:tr w:rsidR="00A060FD" w:rsidRPr="00866EEF" w14:paraId="7C442568"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59AA24E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F571EC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2.039345</w:t>
            </w:r>
          </w:p>
        </w:tc>
      </w:tr>
      <w:tr w:rsidR="00A060FD" w:rsidRPr="00866EEF" w14:paraId="2FD2344B"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D5C0FAC"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2013-</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2013 (261 Obs.)</w:t>
            </w:r>
          </w:p>
        </w:tc>
      </w:tr>
      <w:tr w:rsidR="00A060FD" w:rsidRPr="00866EEF" w14:paraId="40D39F76"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2E2CEFE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0CFCFFF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60F34D7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70EEA4D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0E35CBA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756C4B90"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1199562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4289BE7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-0.218126</w:t>
            </w:r>
          </w:p>
        </w:tc>
        <w:tc>
          <w:tcPr>
            <w:tcW w:w="1386" w:type="dxa"/>
            <w:tcBorders>
              <w:top w:val="nil"/>
              <w:left w:val="nil"/>
              <w:bottom w:val="single" w:sz="4" w:space="0" w:color="auto"/>
              <w:right w:val="nil"/>
            </w:tcBorders>
            <w:shd w:val="clear" w:color="auto" w:fill="auto"/>
            <w:vAlign w:val="center"/>
            <w:hideMark/>
          </w:tcPr>
          <w:p w14:paraId="395C1DC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1.010416</w:t>
            </w:r>
          </w:p>
        </w:tc>
        <w:tc>
          <w:tcPr>
            <w:tcW w:w="1352" w:type="dxa"/>
            <w:tcBorders>
              <w:top w:val="nil"/>
              <w:left w:val="nil"/>
              <w:bottom w:val="single" w:sz="4" w:space="0" w:color="auto"/>
              <w:right w:val="nil"/>
            </w:tcBorders>
            <w:shd w:val="clear" w:color="auto" w:fill="auto"/>
            <w:vAlign w:val="center"/>
            <w:hideMark/>
          </w:tcPr>
          <w:p w14:paraId="1DEFAA5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-0.215878</w:t>
            </w:r>
          </w:p>
        </w:tc>
        <w:tc>
          <w:tcPr>
            <w:tcW w:w="1071" w:type="dxa"/>
            <w:tcBorders>
              <w:top w:val="nil"/>
              <w:left w:val="nil"/>
              <w:bottom w:val="single" w:sz="4" w:space="0" w:color="auto"/>
              <w:right w:val="nil"/>
            </w:tcBorders>
            <w:shd w:val="clear" w:color="auto" w:fill="auto"/>
            <w:vAlign w:val="center"/>
            <w:hideMark/>
          </w:tcPr>
          <w:p w14:paraId="0E65E0C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0.8293</w:t>
            </w:r>
          </w:p>
        </w:tc>
      </w:tr>
      <w:tr w:rsidR="00A060FD" w:rsidRPr="00866EEF" w14:paraId="04ADCA9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69BD26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2E3229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0.133619</w:t>
            </w:r>
          </w:p>
        </w:tc>
        <w:tc>
          <w:tcPr>
            <w:tcW w:w="1386" w:type="dxa"/>
            <w:tcBorders>
              <w:top w:val="nil"/>
              <w:left w:val="nil"/>
              <w:bottom w:val="single" w:sz="4" w:space="0" w:color="auto"/>
              <w:right w:val="nil"/>
            </w:tcBorders>
            <w:shd w:val="clear" w:color="auto" w:fill="auto"/>
            <w:vAlign w:val="center"/>
            <w:hideMark/>
          </w:tcPr>
          <w:p w14:paraId="4EB1DF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0.267440</w:t>
            </w:r>
          </w:p>
        </w:tc>
        <w:tc>
          <w:tcPr>
            <w:tcW w:w="1352" w:type="dxa"/>
            <w:tcBorders>
              <w:top w:val="nil"/>
              <w:left w:val="nil"/>
              <w:bottom w:val="single" w:sz="4" w:space="0" w:color="auto"/>
              <w:right w:val="nil"/>
            </w:tcBorders>
            <w:shd w:val="clear" w:color="auto" w:fill="auto"/>
            <w:vAlign w:val="center"/>
            <w:hideMark/>
          </w:tcPr>
          <w:p w14:paraId="18CACA2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0.499621</w:t>
            </w:r>
          </w:p>
        </w:tc>
        <w:tc>
          <w:tcPr>
            <w:tcW w:w="1071" w:type="dxa"/>
            <w:tcBorders>
              <w:top w:val="nil"/>
              <w:left w:val="nil"/>
              <w:bottom w:val="single" w:sz="4" w:space="0" w:color="auto"/>
              <w:right w:val="nil"/>
            </w:tcBorders>
            <w:shd w:val="clear" w:color="auto" w:fill="auto"/>
            <w:vAlign w:val="center"/>
            <w:hideMark/>
          </w:tcPr>
          <w:p w14:paraId="36B97AE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0.6178</w:t>
            </w:r>
          </w:p>
        </w:tc>
      </w:tr>
      <w:tr w:rsidR="00A060FD" w:rsidRPr="00866EEF" w14:paraId="104A4D8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A42ADD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B13216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0.622287***</w:t>
            </w:r>
          </w:p>
        </w:tc>
        <w:tc>
          <w:tcPr>
            <w:tcW w:w="1386" w:type="dxa"/>
            <w:tcBorders>
              <w:top w:val="nil"/>
              <w:left w:val="nil"/>
              <w:bottom w:val="single" w:sz="4" w:space="0" w:color="auto"/>
              <w:right w:val="nil"/>
            </w:tcBorders>
            <w:shd w:val="clear" w:color="auto" w:fill="auto"/>
            <w:vAlign w:val="center"/>
            <w:hideMark/>
          </w:tcPr>
          <w:p w14:paraId="77F4B37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0.125621</w:t>
            </w:r>
          </w:p>
        </w:tc>
        <w:tc>
          <w:tcPr>
            <w:tcW w:w="1352" w:type="dxa"/>
            <w:tcBorders>
              <w:top w:val="nil"/>
              <w:left w:val="nil"/>
              <w:bottom w:val="single" w:sz="4" w:space="0" w:color="auto"/>
              <w:right w:val="nil"/>
            </w:tcBorders>
            <w:shd w:val="clear" w:color="auto" w:fill="auto"/>
            <w:vAlign w:val="center"/>
            <w:hideMark/>
          </w:tcPr>
          <w:p w14:paraId="0196010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4.953671</w:t>
            </w:r>
          </w:p>
        </w:tc>
        <w:tc>
          <w:tcPr>
            <w:tcW w:w="1071" w:type="dxa"/>
            <w:tcBorders>
              <w:top w:val="nil"/>
              <w:left w:val="nil"/>
              <w:bottom w:val="single" w:sz="4" w:space="0" w:color="auto"/>
              <w:right w:val="nil"/>
            </w:tcBorders>
            <w:shd w:val="clear" w:color="auto" w:fill="auto"/>
            <w:vAlign w:val="center"/>
            <w:hideMark/>
          </w:tcPr>
          <w:p w14:paraId="72B120F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4558A0A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D8D9A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0C5F76A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0.090081</w:t>
            </w:r>
          </w:p>
        </w:tc>
      </w:tr>
      <w:tr w:rsidR="00A060FD" w:rsidRPr="00866EEF" w14:paraId="3C89082A"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4178C9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67974F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0.083028</w:t>
            </w:r>
          </w:p>
        </w:tc>
      </w:tr>
      <w:tr w:rsidR="00A060FD" w:rsidRPr="00866EEF" w14:paraId="53A5E55F"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700B045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1B1F8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2.272026</w:t>
            </w:r>
          </w:p>
        </w:tc>
      </w:tr>
      <w:tr w:rsidR="00A060FD" w:rsidRPr="00866EEF" w14:paraId="7A05EAB2"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1E5D3D50"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2014-</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2014 (261 Obs.)</w:t>
            </w:r>
          </w:p>
        </w:tc>
      </w:tr>
      <w:tr w:rsidR="00A060FD" w:rsidRPr="00866EEF" w14:paraId="74083876"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009973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1AF9F54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242E99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C087FC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4D19DB8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5013AD11"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A6B065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6DE50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-0.307036</w:t>
            </w:r>
          </w:p>
        </w:tc>
        <w:tc>
          <w:tcPr>
            <w:tcW w:w="1386" w:type="dxa"/>
            <w:tcBorders>
              <w:top w:val="nil"/>
              <w:left w:val="nil"/>
              <w:bottom w:val="single" w:sz="4" w:space="0" w:color="auto"/>
              <w:right w:val="nil"/>
            </w:tcBorders>
            <w:shd w:val="clear" w:color="auto" w:fill="auto"/>
            <w:vAlign w:val="center"/>
            <w:hideMark/>
          </w:tcPr>
          <w:p w14:paraId="49C6210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0.694943</w:t>
            </w:r>
          </w:p>
        </w:tc>
        <w:tc>
          <w:tcPr>
            <w:tcW w:w="1352" w:type="dxa"/>
            <w:tcBorders>
              <w:top w:val="nil"/>
              <w:left w:val="nil"/>
              <w:bottom w:val="single" w:sz="4" w:space="0" w:color="auto"/>
              <w:right w:val="nil"/>
            </w:tcBorders>
            <w:shd w:val="clear" w:color="auto" w:fill="auto"/>
            <w:vAlign w:val="center"/>
            <w:hideMark/>
          </w:tcPr>
          <w:p w14:paraId="50EE96C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-0.441814</w:t>
            </w:r>
          </w:p>
        </w:tc>
        <w:tc>
          <w:tcPr>
            <w:tcW w:w="1071" w:type="dxa"/>
            <w:tcBorders>
              <w:top w:val="nil"/>
              <w:left w:val="nil"/>
              <w:bottom w:val="single" w:sz="4" w:space="0" w:color="auto"/>
              <w:right w:val="nil"/>
            </w:tcBorders>
            <w:shd w:val="clear" w:color="auto" w:fill="auto"/>
            <w:vAlign w:val="center"/>
            <w:hideMark/>
          </w:tcPr>
          <w:p w14:paraId="6C1A82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0.6590</w:t>
            </w:r>
          </w:p>
        </w:tc>
      </w:tr>
      <w:tr w:rsidR="00A060FD" w:rsidRPr="00866EEF" w14:paraId="13B6AFF8"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DE3420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26848F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0.326882**</w:t>
            </w:r>
          </w:p>
        </w:tc>
        <w:tc>
          <w:tcPr>
            <w:tcW w:w="1386" w:type="dxa"/>
            <w:tcBorders>
              <w:top w:val="nil"/>
              <w:left w:val="nil"/>
              <w:bottom w:val="single" w:sz="4" w:space="0" w:color="auto"/>
              <w:right w:val="nil"/>
            </w:tcBorders>
            <w:shd w:val="clear" w:color="auto" w:fill="auto"/>
            <w:vAlign w:val="center"/>
            <w:hideMark/>
          </w:tcPr>
          <w:p w14:paraId="65C386A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0.151461</w:t>
            </w:r>
          </w:p>
        </w:tc>
        <w:tc>
          <w:tcPr>
            <w:tcW w:w="1352" w:type="dxa"/>
            <w:tcBorders>
              <w:top w:val="nil"/>
              <w:left w:val="nil"/>
              <w:bottom w:val="single" w:sz="4" w:space="0" w:color="auto"/>
              <w:right w:val="nil"/>
            </w:tcBorders>
            <w:shd w:val="clear" w:color="auto" w:fill="auto"/>
            <w:vAlign w:val="center"/>
            <w:hideMark/>
          </w:tcPr>
          <w:p w14:paraId="19111EC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2.158195</w:t>
            </w:r>
          </w:p>
        </w:tc>
        <w:tc>
          <w:tcPr>
            <w:tcW w:w="1071" w:type="dxa"/>
            <w:tcBorders>
              <w:top w:val="nil"/>
              <w:left w:val="nil"/>
              <w:bottom w:val="single" w:sz="4" w:space="0" w:color="auto"/>
              <w:right w:val="nil"/>
            </w:tcBorders>
            <w:shd w:val="clear" w:color="auto" w:fill="auto"/>
            <w:vAlign w:val="center"/>
            <w:hideMark/>
          </w:tcPr>
          <w:p w14:paraId="40D703B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0.0318</w:t>
            </w:r>
          </w:p>
        </w:tc>
      </w:tr>
      <w:tr w:rsidR="00A060FD" w:rsidRPr="00866EEF" w14:paraId="6676AF9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28975D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4E7999A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0.589334***</w:t>
            </w:r>
          </w:p>
        </w:tc>
        <w:tc>
          <w:tcPr>
            <w:tcW w:w="1386" w:type="dxa"/>
            <w:tcBorders>
              <w:top w:val="nil"/>
              <w:left w:val="nil"/>
              <w:bottom w:val="single" w:sz="4" w:space="0" w:color="auto"/>
              <w:right w:val="nil"/>
            </w:tcBorders>
            <w:shd w:val="clear" w:color="auto" w:fill="auto"/>
            <w:vAlign w:val="center"/>
            <w:hideMark/>
          </w:tcPr>
          <w:p w14:paraId="2A08ADD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0.135437</w:t>
            </w:r>
          </w:p>
        </w:tc>
        <w:tc>
          <w:tcPr>
            <w:tcW w:w="1352" w:type="dxa"/>
            <w:tcBorders>
              <w:top w:val="nil"/>
              <w:left w:val="nil"/>
              <w:bottom w:val="single" w:sz="4" w:space="0" w:color="auto"/>
              <w:right w:val="nil"/>
            </w:tcBorders>
            <w:shd w:val="clear" w:color="auto" w:fill="auto"/>
            <w:vAlign w:val="center"/>
            <w:hideMark/>
          </w:tcPr>
          <w:p w14:paraId="2A026CA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4.351339</w:t>
            </w:r>
          </w:p>
        </w:tc>
        <w:tc>
          <w:tcPr>
            <w:tcW w:w="1071" w:type="dxa"/>
            <w:tcBorders>
              <w:top w:val="nil"/>
              <w:left w:val="nil"/>
              <w:bottom w:val="single" w:sz="4" w:space="0" w:color="auto"/>
              <w:right w:val="nil"/>
            </w:tcBorders>
            <w:shd w:val="clear" w:color="auto" w:fill="auto"/>
            <w:vAlign w:val="center"/>
            <w:hideMark/>
          </w:tcPr>
          <w:p w14:paraId="3A0ED7B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579E963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23C315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0A3CC00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0.081846</w:t>
            </w:r>
          </w:p>
        </w:tc>
      </w:tr>
      <w:tr w:rsidR="00A060FD" w:rsidRPr="00866EEF" w14:paraId="365C2B2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9F6A4F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062436E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0.074728</w:t>
            </w:r>
          </w:p>
        </w:tc>
      </w:tr>
      <w:tr w:rsidR="00A060FD" w:rsidRPr="00866EEF" w14:paraId="476A0708"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08EFE66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666236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2.430297</w:t>
            </w:r>
          </w:p>
        </w:tc>
      </w:tr>
      <w:tr w:rsidR="00A060FD" w:rsidRPr="00866EEF" w14:paraId="1656D8FE"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499C9041"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2015-</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2015 (261 Obs.)</w:t>
            </w:r>
          </w:p>
        </w:tc>
      </w:tr>
      <w:tr w:rsidR="00A060FD" w:rsidRPr="00866EEF" w14:paraId="5AFD04C3"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1CCF57C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5967160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62C5E9BB"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DA4922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0D88FA7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3C9A6CA6"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37AC97C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346F5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0.117235</w:t>
            </w:r>
          </w:p>
        </w:tc>
        <w:tc>
          <w:tcPr>
            <w:tcW w:w="1386" w:type="dxa"/>
            <w:tcBorders>
              <w:top w:val="nil"/>
              <w:left w:val="nil"/>
              <w:bottom w:val="single" w:sz="4" w:space="0" w:color="auto"/>
              <w:right w:val="nil"/>
            </w:tcBorders>
            <w:shd w:val="clear" w:color="auto" w:fill="auto"/>
            <w:vAlign w:val="center"/>
            <w:hideMark/>
          </w:tcPr>
          <w:p w14:paraId="0441109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0.409669</w:t>
            </w:r>
          </w:p>
        </w:tc>
        <w:tc>
          <w:tcPr>
            <w:tcW w:w="1352" w:type="dxa"/>
            <w:tcBorders>
              <w:top w:val="nil"/>
              <w:left w:val="nil"/>
              <w:bottom w:val="single" w:sz="4" w:space="0" w:color="auto"/>
              <w:right w:val="nil"/>
            </w:tcBorders>
            <w:shd w:val="clear" w:color="auto" w:fill="auto"/>
            <w:vAlign w:val="center"/>
            <w:hideMark/>
          </w:tcPr>
          <w:p w14:paraId="4F253B4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0.286171</w:t>
            </w:r>
          </w:p>
        </w:tc>
        <w:tc>
          <w:tcPr>
            <w:tcW w:w="1071" w:type="dxa"/>
            <w:tcBorders>
              <w:top w:val="nil"/>
              <w:left w:val="nil"/>
              <w:bottom w:val="single" w:sz="4" w:space="0" w:color="auto"/>
              <w:right w:val="nil"/>
            </w:tcBorders>
            <w:shd w:val="clear" w:color="auto" w:fill="auto"/>
            <w:vAlign w:val="center"/>
            <w:hideMark/>
          </w:tcPr>
          <w:p w14:paraId="6260F4C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0.7750</w:t>
            </w:r>
          </w:p>
        </w:tc>
      </w:tr>
      <w:tr w:rsidR="00A060FD" w:rsidRPr="00866EEF" w14:paraId="57ACA6A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B4702A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E3DC58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0.111054</w:t>
            </w:r>
          </w:p>
        </w:tc>
        <w:tc>
          <w:tcPr>
            <w:tcW w:w="1386" w:type="dxa"/>
            <w:tcBorders>
              <w:top w:val="nil"/>
              <w:left w:val="nil"/>
              <w:bottom w:val="single" w:sz="4" w:space="0" w:color="auto"/>
              <w:right w:val="nil"/>
            </w:tcBorders>
            <w:shd w:val="clear" w:color="auto" w:fill="auto"/>
            <w:vAlign w:val="center"/>
            <w:hideMark/>
          </w:tcPr>
          <w:p w14:paraId="62CF34A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0.082464</w:t>
            </w:r>
          </w:p>
        </w:tc>
        <w:tc>
          <w:tcPr>
            <w:tcW w:w="1352" w:type="dxa"/>
            <w:tcBorders>
              <w:top w:val="nil"/>
              <w:left w:val="nil"/>
              <w:bottom w:val="single" w:sz="4" w:space="0" w:color="auto"/>
              <w:right w:val="nil"/>
            </w:tcBorders>
            <w:shd w:val="clear" w:color="auto" w:fill="auto"/>
            <w:vAlign w:val="center"/>
            <w:hideMark/>
          </w:tcPr>
          <w:p w14:paraId="4224442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1.346699</w:t>
            </w:r>
          </w:p>
        </w:tc>
        <w:tc>
          <w:tcPr>
            <w:tcW w:w="1071" w:type="dxa"/>
            <w:tcBorders>
              <w:top w:val="nil"/>
              <w:left w:val="nil"/>
              <w:bottom w:val="single" w:sz="4" w:space="0" w:color="auto"/>
              <w:right w:val="nil"/>
            </w:tcBorders>
            <w:shd w:val="clear" w:color="auto" w:fill="auto"/>
            <w:vAlign w:val="center"/>
            <w:hideMark/>
          </w:tcPr>
          <w:p w14:paraId="0458A48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0.1793</w:t>
            </w:r>
          </w:p>
        </w:tc>
      </w:tr>
      <w:tr w:rsidR="00A060FD" w:rsidRPr="00866EEF" w14:paraId="6DE2A1A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5817BA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2371979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0.429644***</w:t>
            </w:r>
          </w:p>
        </w:tc>
        <w:tc>
          <w:tcPr>
            <w:tcW w:w="1386" w:type="dxa"/>
            <w:tcBorders>
              <w:top w:val="nil"/>
              <w:left w:val="nil"/>
              <w:bottom w:val="single" w:sz="4" w:space="0" w:color="auto"/>
              <w:right w:val="nil"/>
            </w:tcBorders>
            <w:shd w:val="clear" w:color="auto" w:fill="auto"/>
            <w:vAlign w:val="center"/>
            <w:hideMark/>
          </w:tcPr>
          <w:p w14:paraId="57D1B1E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0.075239</w:t>
            </w:r>
          </w:p>
        </w:tc>
        <w:tc>
          <w:tcPr>
            <w:tcW w:w="1352" w:type="dxa"/>
            <w:tcBorders>
              <w:top w:val="nil"/>
              <w:left w:val="nil"/>
              <w:bottom w:val="single" w:sz="4" w:space="0" w:color="auto"/>
              <w:right w:val="nil"/>
            </w:tcBorders>
            <w:shd w:val="clear" w:color="auto" w:fill="auto"/>
            <w:vAlign w:val="center"/>
            <w:hideMark/>
          </w:tcPr>
          <w:p w14:paraId="22A3E02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5.710363</w:t>
            </w:r>
          </w:p>
        </w:tc>
        <w:tc>
          <w:tcPr>
            <w:tcW w:w="1071" w:type="dxa"/>
            <w:tcBorders>
              <w:top w:val="nil"/>
              <w:left w:val="nil"/>
              <w:bottom w:val="single" w:sz="4" w:space="0" w:color="auto"/>
              <w:right w:val="nil"/>
            </w:tcBorders>
            <w:shd w:val="clear" w:color="auto" w:fill="auto"/>
            <w:vAlign w:val="center"/>
            <w:hideMark/>
          </w:tcPr>
          <w:p w14:paraId="03DA6F0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0B2CC483"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A6182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79CEBCC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0.147391</w:t>
            </w:r>
          </w:p>
        </w:tc>
      </w:tr>
      <w:tr w:rsidR="00A060FD" w:rsidRPr="00866EEF" w14:paraId="48179C57"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4F7B7B4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F353A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0.140781</w:t>
            </w:r>
          </w:p>
        </w:tc>
      </w:tr>
      <w:tr w:rsidR="00A060FD" w:rsidRPr="00866EEF" w14:paraId="1C703EF6"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4CD58B9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375A40A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2.232043</w:t>
            </w:r>
          </w:p>
        </w:tc>
      </w:tr>
      <w:tr w:rsidR="00A060FD" w:rsidRPr="00866EEF" w14:paraId="4C9A60F3"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192C1E7D"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2016-</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2016 (261 Obs.)</w:t>
            </w:r>
          </w:p>
        </w:tc>
      </w:tr>
      <w:tr w:rsidR="00A060FD" w:rsidRPr="00866EEF" w14:paraId="71D99B47"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5986255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0A526281"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1599ACAF"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4382636E"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C2D531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786FB7D0"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4426F1C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2516F47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0.213865</w:t>
            </w:r>
          </w:p>
        </w:tc>
        <w:tc>
          <w:tcPr>
            <w:tcW w:w="1386" w:type="dxa"/>
            <w:tcBorders>
              <w:top w:val="nil"/>
              <w:left w:val="nil"/>
              <w:bottom w:val="single" w:sz="4" w:space="0" w:color="auto"/>
              <w:right w:val="nil"/>
            </w:tcBorders>
            <w:shd w:val="clear" w:color="auto" w:fill="auto"/>
            <w:vAlign w:val="center"/>
            <w:hideMark/>
          </w:tcPr>
          <w:p w14:paraId="7CACDBB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1.483779</w:t>
            </w:r>
          </w:p>
        </w:tc>
        <w:tc>
          <w:tcPr>
            <w:tcW w:w="1352" w:type="dxa"/>
            <w:tcBorders>
              <w:top w:val="nil"/>
              <w:left w:val="nil"/>
              <w:bottom w:val="single" w:sz="4" w:space="0" w:color="auto"/>
              <w:right w:val="nil"/>
            </w:tcBorders>
            <w:shd w:val="clear" w:color="auto" w:fill="auto"/>
            <w:vAlign w:val="center"/>
            <w:hideMark/>
          </w:tcPr>
          <w:p w14:paraId="0E75993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0.144136</w:t>
            </w:r>
          </w:p>
        </w:tc>
        <w:tc>
          <w:tcPr>
            <w:tcW w:w="1071" w:type="dxa"/>
            <w:tcBorders>
              <w:top w:val="nil"/>
              <w:left w:val="nil"/>
              <w:bottom w:val="single" w:sz="4" w:space="0" w:color="auto"/>
              <w:right w:val="nil"/>
            </w:tcBorders>
            <w:shd w:val="clear" w:color="auto" w:fill="auto"/>
            <w:vAlign w:val="center"/>
            <w:hideMark/>
          </w:tcPr>
          <w:p w14:paraId="5084244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0.8855</w:t>
            </w:r>
          </w:p>
        </w:tc>
      </w:tr>
      <w:tr w:rsidR="00A060FD" w:rsidRPr="00866EEF" w14:paraId="0B9A07A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0EB9D7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1A050EF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0.023505</w:t>
            </w:r>
          </w:p>
        </w:tc>
        <w:tc>
          <w:tcPr>
            <w:tcW w:w="1386" w:type="dxa"/>
            <w:tcBorders>
              <w:top w:val="nil"/>
              <w:left w:val="nil"/>
              <w:bottom w:val="single" w:sz="4" w:space="0" w:color="auto"/>
              <w:right w:val="nil"/>
            </w:tcBorders>
            <w:shd w:val="clear" w:color="auto" w:fill="auto"/>
            <w:vAlign w:val="center"/>
            <w:hideMark/>
          </w:tcPr>
          <w:p w14:paraId="4F1CC64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0.271926</w:t>
            </w:r>
          </w:p>
        </w:tc>
        <w:tc>
          <w:tcPr>
            <w:tcW w:w="1352" w:type="dxa"/>
            <w:tcBorders>
              <w:top w:val="nil"/>
              <w:left w:val="nil"/>
              <w:bottom w:val="single" w:sz="4" w:space="0" w:color="auto"/>
              <w:right w:val="nil"/>
            </w:tcBorders>
            <w:shd w:val="clear" w:color="auto" w:fill="auto"/>
            <w:vAlign w:val="center"/>
            <w:hideMark/>
          </w:tcPr>
          <w:p w14:paraId="1DEF0E0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0.086438</w:t>
            </w:r>
          </w:p>
        </w:tc>
        <w:tc>
          <w:tcPr>
            <w:tcW w:w="1071" w:type="dxa"/>
            <w:tcBorders>
              <w:top w:val="nil"/>
              <w:left w:val="nil"/>
              <w:bottom w:val="single" w:sz="4" w:space="0" w:color="auto"/>
              <w:right w:val="nil"/>
            </w:tcBorders>
            <w:shd w:val="clear" w:color="auto" w:fill="auto"/>
            <w:vAlign w:val="center"/>
            <w:hideMark/>
          </w:tcPr>
          <w:p w14:paraId="76FAB90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0.9312</w:t>
            </w:r>
          </w:p>
        </w:tc>
      </w:tr>
      <w:tr w:rsidR="00A060FD" w:rsidRPr="00866EEF" w14:paraId="7082FBD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F23988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039E981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1.451684***</w:t>
            </w:r>
          </w:p>
        </w:tc>
        <w:tc>
          <w:tcPr>
            <w:tcW w:w="1386" w:type="dxa"/>
            <w:tcBorders>
              <w:top w:val="nil"/>
              <w:left w:val="nil"/>
              <w:bottom w:val="single" w:sz="4" w:space="0" w:color="auto"/>
              <w:right w:val="nil"/>
            </w:tcBorders>
            <w:shd w:val="clear" w:color="auto" w:fill="auto"/>
            <w:vAlign w:val="center"/>
            <w:hideMark/>
          </w:tcPr>
          <w:p w14:paraId="763D23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0.334714</w:t>
            </w:r>
          </w:p>
        </w:tc>
        <w:tc>
          <w:tcPr>
            <w:tcW w:w="1352" w:type="dxa"/>
            <w:tcBorders>
              <w:top w:val="nil"/>
              <w:left w:val="nil"/>
              <w:bottom w:val="single" w:sz="4" w:space="0" w:color="auto"/>
              <w:right w:val="nil"/>
            </w:tcBorders>
            <w:shd w:val="clear" w:color="auto" w:fill="auto"/>
            <w:vAlign w:val="center"/>
            <w:hideMark/>
          </w:tcPr>
          <w:p w14:paraId="2294AA2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4.337086</w:t>
            </w:r>
          </w:p>
        </w:tc>
        <w:tc>
          <w:tcPr>
            <w:tcW w:w="1071" w:type="dxa"/>
            <w:tcBorders>
              <w:top w:val="nil"/>
              <w:left w:val="nil"/>
              <w:bottom w:val="single" w:sz="4" w:space="0" w:color="auto"/>
              <w:right w:val="nil"/>
            </w:tcBorders>
            <w:shd w:val="clear" w:color="auto" w:fill="auto"/>
            <w:vAlign w:val="center"/>
            <w:hideMark/>
          </w:tcPr>
          <w:p w14:paraId="3C5052B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0.0000</w:t>
            </w:r>
          </w:p>
        </w:tc>
      </w:tr>
      <w:tr w:rsidR="00A060FD" w:rsidRPr="00866EEF" w14:paraId="6EFD2A71"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C0374F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BABF5A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0.076399</w:t>
            </w:r>
          </w:p>
        </w:tc>
      </w:tr>
      <w:tr w:rsidR="00A060FD" w:rsidRPr="00866EEF" w14:paraId="4E138D49"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152122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48F71F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0.069239</w:t>
            </w:r>
          </w:p>
        </w:tc>
      </w:tr>
      <w:tr w:rsidR="00A060FD" w:rsidRPr="00866EEF" w14:paraId="781C1D47"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5F20012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69DA55D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2.311900</w:t>
            </w:r>
          </w:p>
        </w:tc>
      </w:tr>
      <w:tr w:rsidR="00A060FD" w:rsidRPr="00866EEF" w14:paraId="2418AB2F"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699C1684"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2017-</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2017 (260 Obs.)</w:t>
            </w:r>
          </w:p>
        </w:tc>
      </w:tr>
      <w:tr w:rsidR="00A060FD" w:rsidRPr="00866EEF" w14:paraId="10DB8A6C"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616BECC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0466C1A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751F9162"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5719508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0132B1C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38416319"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515A044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0562581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-0.931053</w:t>
            </w:r>
          </w:p>
        </w:tc>
        <w:tc>
          <w:tcPr>
            <w:tcW w:w="1386" w:type="dxa"/>
            <w:tcBorders>
              <w:top w:val="nil"/>
              <w:left w:val="nil"/>
              <w:bottom w:val="single" w:sz="4" w:space="0" w:color="auto"/>
              <w:right w:val="nil"/>
            </w:tcBorders>
            <w:shd w:val="clear" w:color="auto" w:fill="auto"/>
            <w:vAlign w:val="center"/>
            <w:hideMark/>
          </w:tcPr>
          <w:p w14:paraId="28D95E8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0.494420</w:t>
            </w:r>
          </w:p>
        </w:tc>
        <w:tc>
          <w:tcPr>
            <w:tcW w:w="1352" w:type="dxa"/>
            <w:tcBorders>
              <w:top w:val="nil"/>
              <w:left w:val="nil"/>
              <w:bottom w:val="single" w:sz="4" w:space="0" w:color="auto"/>
              <w:right w:val="nil"/>
            </w:tcBorders>
            <w:shd w:val="clear" w:color="auto" w:fill="auto"/>
            <w:vAlign w:val="center"/>
            <w:hideMark/>
          </w:tcPr>
          <w:p w14:paraId="360CB03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-1.883122</w:t>
            </w:r>
          </w:p>
        </w:tc>
        <w:tc>
          <w:tcPr>
            <w:tcW w:w="1071" w:type="dxa"/>
            <w:tcBorders>
              <w:top w:val="nil"/>
              <w:left w:val="nil"/>
              <w:bottom w:val="single" w:sz="4" w:space="0" w:color="auto"/>
              <w:right w:val="nil"/>
            </w:tcBorders>
            <w:shd w:val="clear" w:color="auto" w:fill="auto"/>
            <w:vAlign w:val="center"/>
            <w:hideMark/>
          </w:tcPr>
          <w:p w14:paraId="1FD1374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0.0608</w:t>
            </w:r>
          </w:p>
        </w:tc>
      </w:tr>
      <w:tr w:rsidR="00A060FD" w:rsidRPr="00866EEF" w14:paraId="1C42341C"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F838F8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526C30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0.030107</w:t>
            </w:r>
          </w:p>
        </w:tc>
        <w:tc>
          <w:tcPr>
            <w:tcW w:w="1386" w:type="dxa"/>
            <w:tcBorders>
              <w:top w:val="nil"/>
              <w:left w:val="nil"/>
              <w:bottom w:val="single" w:sz="4" w:space="0" w:color="auto"/>
              <w:right w:val="nil"/>
            </w:tcBorders>
            <w:shd w:val="clear" w:color="auto" w:fill="auto"/>
            <w:vAlign w:val="center"/>
            <w:hideMark/>
          </w:tcPr>
          <w:p w14:paraId="2B15B7B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0.104301</w:t>
            </w:r>
          </w:p>
        </w:tc>
        <w:tc>
          <w:tcPr>
            <w:tcW w:w="1352" w:type="dxa"/>
            <w:tcBorders>
              <w:top w:val="nil"/>
              <w:left w:val="nil"/>
              <w:bottom w:val="single" w:sz="4" w:space="0" w:color="auto"/>
              <w:right w:val="nil"/>
            </w:tcBorders>
            <w:shd w:val="clear" w:color="auto" w:fill="auto"/>
            <w:vAlign w:val="center"/>
            <w:hideMark/>
          </w:tcPr>
          <w:p w14:paraId="7B35DA3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0.288658</w:t>
            </w:r>
          </w:p>
        </w:tc>
        <w:tc>
          <w:tcPr>
            <w:tcW w:w="1071" w:type="dxa"/>
            <w:tcBorders>
              <w:top w:val="nil"/>
              <w:left w:val="nil"/>
              <w:bottom w:val="single" w:sz="4" w:space="0" w:color="auto"/>
              <w:right w:val="nil"/>
            </w:tcBorders>
            <w:shd w:val="clear" w:color="auto" w:fill="auto"/>
            <w:vAlign w:val="center"/>
            <w:hideMark/>
          </w:tcPr>
          <w:p w14:paraId="5C008D8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0.7731</w:t>
            </w:r>
          </w:p>
        </w:tc>
      </w:tr>
      <w:tr w:rsidR="00A060FD" w:rsidRPr="00866EEF" w14:paraId="781C0E2E"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32D5D54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06342E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0.011894</w:t>
            </w:r>
          </w:p>
        </w:tc>
        <w:tc>
          <w:tcPr>
            <w:tcW w:w="1386" w:type="dxa"/>
            <w:tcBorders>
              <w:top w:val="nil"/>
              <w:left w:val="nil"/>
              <w:bottom w:val="single" w:sz="4" w:space="0" w:color="auto"/>
              <w:right w:val="nil"/>
            </w:tcBorders>
            <w:shd w:val="clear" w:color="auto" w:fill="auto"/>
            <w:vAlign w:val="center"/>
            <w:hideMark/>
          </w:tcPr>
          <w:p w14:paraId="0B0B8B4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0.120901</w:t>
            </w:r>
          </w:p>
        </w:tc>
        <w:tc>
          <w:tcPr>
            <w:tcW w:w="1352" w:type="dxa"/>
            <w:tcBorders>
              <w:top w:val="nil"/>
              <w:left w:val="nil"/>
              <w:bottom w:val="single" w:sz="4" w:space="0" w:color="auto"/>
              <w:right w:val="nil"/>
            </w:tcBorders>
            <w:shd w:val="clear" w:color="auto" w:fill="auto"/>
            <w:vAlign w:val="center"/>
            <w:hideMark/>
          </w:tcPr>
          <w:p w14:paraId="54EA6B4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0.098381</w:t>
            </w:r>
          </w:p>
        </w:tc>
        <w:tc>
          <w:tcPr>
            <w:tcW w:w="1071" w:type="dxa"/>
            <w:tcBorders>
              <w:top w:val="nil"/>
              <w:left w:val="nil"/>
              <w:bottom w:val="single" w:sz="4" w:space="0" w:color="auto"/>
              <w:right w:val="nil"/>
            </w:tcBorders>
            <w:shd w:val="clear" w:color="auto" w:fill="auto"/>
            <w:vAlign w:val="center"/>
            <w:hideMark/>
          </w:tcPr>
          <w:p w14:paraId="40221F6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0.9217</w:t>
            </w:r>
          </w:p>
        </w:tc>
      </w:tr>
      <w:tr w:rsidR="00A060FD" w:rsidRPr="00866EEF" w14:paraId="3D97C87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758F16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5A31A51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0.000433</w:t>
            </w:r>
          </w:p>
        </w:tc>
      </w:tr>
      <w:tr w:rsidR="00A060FD" w:rsidRPr="00866EEF" w14:paraId="6D50E68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2F3286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456275E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-0.007346</w:t>
            </w:r>
          </w:p>
        </w:tc>
      </w:tr>
      <w:tr w:rsidR="00A060FD" w:rsidRPr="00866EEF" w14:paraId="3A6DDD92"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53A86C7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7F56A7B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2.009834</w:t>
            </w:r>
          </w:p>
        </w:tc>
      </w:tr>
      <w:tr w:rsidR="00A060FD" w:rsidRPr="00866EEF" w14:paraId="7AF3C184"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23D9F0B3"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2018-</w:t>
            </w:r>
            <w:r>
              <w:rPr>
                <w:rFonts w:ascii="Book Antiqua" w:eastAsia="Times New Roman" w:hAnsi="Book Antiqua" w:cs="Times New Roman"/>
                <w:i/>
                <w:iCs/>
                <w:color w:val="000000"/>
                <w:sz w:val="20"/>
                <w:szCs w:val="20"/>
                <w:lang w:eastAsia="it-IT"/>
              </w:rPr>
              <w:t>December</w:t>
            </w:r>
            <w:r w:rsidRPr="00866EEF">
              <w:rPr>
                <w:rFonts w:ascii="Book Antiqua" w:eastAsia="Times New Roman" w:hAnsi="Book Antiqua" w:cs="Times New Roman"/>
                <w:i/>
                <w:iCs/>
                <w:color w:val="000000"/>
                <w:sz w:val="20"/>
                <w:szCs w:val="20"/>
                <w:lang w:eastAsia="it-IT"/>
              </w:rPr>
              <w:t xml:space="preserve"> 2018 (261 Obs.)</w:t>
            </w:r>
          </w:p>
        </w:tc>
      </w:tr>
      <w:tr w:rsidR="00A060FD" w:rsidRPr="00866EEF" w14:paraId="05C534BD"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7453D18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4E99E329"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00AC81E0"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74FF2A04"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7BFBCBC5"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0DA3DB3B"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984E6F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A9E57D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0.632516</w:t>
            </w:r>
          </w:p>
        </w:tc>
        <w:tc>
          <w:tcPr>
            <w:tcW w:w="1386" w:type="dxa"/>
            <w:tcBorders>
              <w:top w:val="nil"/>
              <w:left w:val="nil"/>
              <w:bottom w:val="single" w:sz="4" w:space="0" w:color="auto"/>
              <w:right w:val="nil"/>
            </w:tcBorders>
            <w:shd w:val="clear" w:color="auto" w:fill="auto"/>
            <w:vAlign w:val="center"/>
            <w:hideMark/>
          </w:tcPr>
          <w:p w14:paraId="279BD9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0.824633</w:t>
            </w:r>
          </w:p>
        </w:tc>
        <w:tc>
          <w:tcPr>
            <w:tcW w:w="1352" w:type="dxa"/>
            <w:tcBorders>
              <w:top w:val="nil"/>
              <w:left w:val="nil"/>
              <w:bottom w:val="single" w:sz="4" w:space="0" w:color="auto"/>
              <w:right w:val="nil"/>
            </w:tcBorders>
            <w:shd w:val="clear" w:color="auto" w:fill="auto"/>
            <w:vAlign w:val="center"/>
            <w:hideMark/>
          </w:tcPr>
          <w:p w14:paraId="2104FDD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0.767026</w:t>
            </w:r>
          </w:p>
        </w:tc>
        <w:tc>
          <w:tcPr>
            <w:tcW w:w="1071" w:type="dxa"/>
            <w:tcBorders>
              <w:top w:val="nil"/>
              <w:left w:val="nil"/>
              <w:bottom w:val="single" w:sz="4" w:space="0" w:color="auto"/>
              <w:right w:val="nil"/>
            </w:tcBorders>
            <w:shd w:val="clear" w:color="auto" w:fill="auto"/>
            <w:vAlign w:val="center"/>
            <w:hideMark/>
          </w:tcPr>
          <w:p w14:paraId="578B14A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0.4438</w:t>
            </w:r>
          </w:p>
        </w:tc>
      </w:tr>
      <w:tr w:rsidR="00A060FD" w:rsidRPr="00866EEF" w14:paraId="38CB01D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21E1F6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lastRenderedPageBreak/>
              <w:t>Δ(Italy Red. Risk)</w:t>
            </w:r>
          </w:p>
        </w:tc>
        <w:tc>
          <w:tcPr>
            <w:tcW w:w="1413" w:type="dxa"/>
            <w:tcBorders>
              <w:top w:val="nil"/>
              <w:left w:val="nil"/>
              <w:bottom w:val="single" w:sz="4" w:space="0" w:color="auto"/>
              <w:right w:val="nil"/>
            </w:tcBorders>
            <w:shd w:val="clear" w:color="auto" w:fill="auto"/>
            <w:vAlign w:val="center"/>
            <w:hideMark/>
          </w:tcPr>
          <w:p w14:paraId="38A6A7E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0.039162</w:t>
            </w:r>
          </w:p>
        </w:tc>
        <w:tc>
          <w:tcPr>
            <w:tcW w:w="1386" w:type="dxa"/>
            <w:tcBorders>
              <w:top w:val="nil"/>
              <w:left w:val="nil"/>
              <w:bottom w:val="single" w:sz="4" w:space="0" w:color="auto"/>
              <w:right w:val="nil"/>
            </w:tcBorders>
            <w:shd w:val="clear" w:color="auto" w:fill="auto"/>
            <w:vAlign w:val="center"/>
            <w:hideMark/>
          </w:tcPr>
          <w:p w14:paraId="6C831BD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0.101384</w:t>
            </w:r>
          </w:p>
        </w:tc>
        <w:tc>
          <w:tcPr>
            <w:tcW w:w="1352" w:type="dxa"/>
            <w:tcBorders>
              <w:top w:val="nil"/>
              <w:left w:val="nil"/>
              <w:bottom w:val="single" w:sz="4" w:space="0" w:color="auto"/>
              <w:right w:val="nil"/>
            </w:tcBorders>
            <w:shd w:val="clear" w:color="auto" w:fill="auto"/>
            <w:vAlign w:val="center"/>
            <w:hideMark/>
          </w:tcPr>
          <w:p w14:paraId="7CCFA3F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0.386276</w:t>
            </w:r>
          </w:p>
        </w:tc>
        <w:tc>
          <w:tcPr>
            <w:tcW w:w="1071" w:type="dxa"/>
            <w:tcBorders>
              <w:top w:val="nil"/>
              <w:left w:val="nil"/>
              <w:bottom w:val="single" w:sz="4" w:space="0" w:color="auto"/>
              <w:right w:val="nil"/>
            </w:tcBorders>
            <w:shd w:val="clear" w:color="auto" w:fill="auto"/>
            <w:vAlign w:val="center"/>
            <w:hideMark/>
          </w:tcPr>
          <w:p w14:paraId="44D19EE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0.6996</w:t>
            </w:r>
          </w:p>
        </w:tc>
      </w:tr>
      <w:tr w:rsidR="00A060FD" w:rsidRPr="00866EEF" w14:paraId="23772A44"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5F11F50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4EF23E0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0.125259</w:t>
            </w:r>
          </w:p>
        </w:tc>
        <w:tc>
          <w:tcPr>
            <w:tcW w:w="1386" w:type="dxa"/>
            <w:tcBorders>
              <w:top w:val="nil"/>
              <w:left w:val="nil"/>
              <w:bottom w:val="single" w:sz="4" w:space="0" w:color="auto"/>
              <w:right w:val="nil"/>
            </w:tcBorders>
            <w:shd w:val="clear" w:color="auto" w:fill="auto"/>
            <w:vAlign w:val="center"/>
            <w:hideMark/>
          </w:tcPr>
          <w:p w14:paraId="3E4156C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0.099081</w:t>
            </w:r>
          </w:p>
        </w:tc>
        <w:tc>
          <w:tcPr>
            <w:tcW w:w="1352" w:type="dxa"/>
            <w:tcBorders>
              <w:top w:val="nil"/>
              <w:left w:val="nil"/>
              <w:bottom w:val="single" w:sz="4" w:space="0" w:color="auto"/>
              <w:right w:val="nil"/>
            </w:tcBorders>
            <w:shd w:val="clear" w:color="auto" w:fill="auto"/>
            <w:vAlign w:val="center"/>
            <w:hideMark/>
          </w:tcPr>
          <w:p w14:paraId="6BAABC6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1.264198</w:t>
            </w:r>
          </w:p>
        </w:tc>
        <w:tc>
          <w:tcPr>
            <w:tcW w:w="1071" w:type="dxa"/>
            <w:tcBorders>
              <w:top w:val="nil"/>
              <w:left w:val="nil"/>
              <w:bottom w:val="single" w:sz="4" w:space="0" w:color="auto"/>
              <w:right w:val="nil"/>
            </w:tcBorders>
            <w:shd w:val="clear" w:color="auto" w:fill="auto"/>
            <w:vAlign w:val="center"/>
            <w:hideMark/>
          </w:tcPr>
          <w:p w14:paraId="100B7AE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0.2073</w:t>
            </w:r>
          </w:p>
        </w:tc>
      </w:tr>
      <w:tr w:rsidR="00A060FD" w:rsidRPr="00866EEF" w14:paraId="4FF8418D"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2D9D429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050FF35F"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0.010318</w:t>
            </w:r>
          </w:p>
        </w:tc>
      </w:tr>
      <w:tr w:rsidR="00A060FD" w:rsidRPr="00866EEF" w14:paraId="508B232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01F7A75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14DBD51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0.002646</w:t>
            </w:r>
          </w:p>
        </w:tc>
      </w:tr>
      <w:tr w:rsidR="00A060FD" w:rsidRPr="00866EEF" w14:paraId="5E0DC92A"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04CFB449"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nil"/>
              <w:left w:val="nil"/>
              <w:bottom w:val="single" w:sz="8" w:space="0" w:color="auto"/>
              <w:right w:val="nil"/>
            </w:tcBorders>
            <w:shd w:val="clear" w:color="auto" w:fill="auto"/>
            <w:noWrap/>
            <w:vAlign w:val="bottom"/>
            <w:hideMark/>
          </w:tcPr>
          <w:p w14:paraId="2F43FB55"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2.009978</w:t>
            </w:r>
          </w:p>
        </w:tc>
      </w:tr>
      <w:tr w:rsidR="00A060FD" w:rsidRPr="00866EEF" w14:paraId="468CA950" w14:textId="77777777" w:rsidTr="00F14F18">
        <w:trPr>
          <w:trHeight w:val="315"/>
          <w:jc w:val="center"/>
        </w:trPr>
        <w:tc>
          <w:tcPr>
            <w:tcW w:w="7320" w:type="dxa"/>
            <w:gridSpan w:val="5"/>
            <w:tcBorders>
              <w:top w:val="single" w:sz="8" w:space="0" w:color="auto"/>
              <w:left w:val="nil"/>
              <w:bottom w:val="single" w:sz="8" w:space="0" w:color="auto"/>
              <w:right w:val="nil"/>
            </w:tcBorders>
            <w:shd w:val="clear" w:color="auto" w:fill="auto"/>
            <w:noWrap/>
            <w:vAlign w:val="bottom"/>
            <w:hideMark/>
          </w:tcPr>
          <w:p w14:paraId="51EB2F91" w14:textId="77777777" w:rsidR="00A060FD" w:rsidRPr="00866EEF" w:rsidRDefault="00A060FD" w:rsidP="00F14F18">
            <w:pPr>
              <w:spacing w:after="0" w:line="240" w:lineRule="auto"/>
              <w:jc w:val="center"/>
              <w:rPr>
                <w:rFonts w:ascii="Book Antiqua" w:eastAsia="Times New Roman" w:hAnsi="Book Antiqua" w:cs="Times New Roman"/>
                <w:i/>
                <w:iCs/>
                <w:color w:val="000000"/>
                <w:sz w:val="20"/>
                <w:szCs w:val="20"/>
                <w:lang w:eastAsia="it-IT"/>
              </w:rPr>
            </w:pPr>
            <w:r>
              <w:rPr>
                <w:rFonts w:ascii="Book Antiqua" w:eastAsia="Times New Roman" w:hAnsi="Book Antiqua" w:cs="Times New Roman"/>
                <w:i/>
                <w:iCs/>
                <w:color w:val="000000"/>
                <w:sz w:val="20"/>
                <w:szCs w:val="20"/>
                <w:lang w:eastAsia="it-IT"/>
              </w:rPr>
              <w:t>Period January</w:t>
            </w:r>
            <w:r w:rsidRPr="00866EEF">
              <w:rPr>
                <w:rFonts w:ascii="Book Antiqua" w:eastAsia="Times New Roman" w:hAnsi="Book Antiqua" w:cs="Times New Roman"/>
                <w:i/>
                <w:iCs/>
                <w:color w:val="000000"/>
                <w:sz w:val="20"/>
                <w:szCs w:val="20"/>
                <w:lang w:eastAsia="it-IT"/>
              </w:rPr>
              <w:t xml:space="preserve"> 2019-</w:t>
            </w:r>
            <w:r>
              <w:rPr>
                <w:rFonts w:ascii="Book Antiqua" w:eastAsia="Times New Roman" w:hAnsi="Book Antiqua" w:cs="Times New Roman"/>
                <w:i/>
                <w:iCs/>
                <w:color w:val="000000"/>
                <w:sz w:val="20"/>
                <w:szCs w:val="20"/>
                <w:lang w:eastAsia="it-IT"/>
              </w:rPr>
              <w:t>January</w:t>
            </w:r>
            <w:r w:rsidRPr="00866EEF">
              <w:rPr>
                <w:rFonts w:ascii="Book Antiqua" w:eastAsia="Times New Roman" w:hAnsi="Book Antiqua" w:cs="Times New Roman"/>
                <w:i/>
                <w:iCs/>
                <w:color w:val="000000"/>
                <w:sz w:val="20"/>
                <w:szCs w:val="20"/>
                <w:lang w:eastAsia="it-IT"/>
              </w:rPr>
              <w:t xml:space="preserve"> 2020 (262 Obs.)</w:t>
            </w:r>
          </w:p>
        </w:tc>
      </w:tr>
      <w:tr w:rsidR="00A060FD" w:rsidRPr="00866EEF" w14:paraId="1930A7D9" w14:textId="77777777" w:rsidTr="00F14F18">
        <w:trPr>
          <w:trHeight w:val="300"/>
          <w:jc w:val="center"/>
        </w:trPr>
        <w:tc>
          <w:tcPr>
            <w:tcW w:w="2098" w:type="dxa"/>
            <w:tcBorders>
              <w:top w:val="single" w:sz="8" w:space="0" w:color="auto"/>
              <w:left w:val="nil"/>
              <w:bottom w:val="single" w:sz="4" w:space="0" w:color="auto"/>
              <w:right w:val="nil"/>
            </w:tcBorders>
            <w:shd w:val="clear" w:color="auto" w:fill="auto"/>
            <w:noWrap/>
            <w:vAlign w:val="center"/>
            <w:hideMark/>
          </w:tcPr>
          <w:p w14:paraId="1D484186"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Variable</w:t>
            </w:r>
          </w:p>
        </w:tc>
        <w:tc>
          <w:tcPr>
            <w:tcW w:w="1413" w:type="dxa"/>
            <w:tcBorders>
              <w:top w:val="single" w:sz="8" w:space="0" w:color="auto"/>
              <w:left w:val="nil"/>
              <w:bottom w:val="single" w:sz="4" w:space="0" w:color="auto"/>
              <w:right w:val="nil"/>
            </w:tcBorders>
            <w:shd w:val="clear" w:color="auto" w:fill="auto"/>
            <w:noWrap/>
            <w:vAlign w:val="center"/>
            <w:hideMark/>
          </w:tcPr>
          <w:p w14:paraId="780674E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Coefficient</w:t>
            </w:r>
          </w:p>
        </w:tc>
        <w:tc>
          <w:tcPr>
            <w:tcW w:w="1386" w:type="dxa"/>
            <w:tcBorders>
              <w:top w:val="single" w:sz="8" w:space="0" w:color="auto"/>
              <w:left w:val="nil"/>
              <w:bottom w:val="single" w:sz="4" w:space="0" w:color="auto"/>
              <w:right w:val="nil"/>
            </w:tcBorders>
            <w:shd w:val="clear" w:color="auto" w:fill="auto"/>
            <w:noWrap/>
            <w:vAlign w:val="center"/>
            <w:hideMark/>
          </w:tcPr>
          <w:p w14:paraId="2ABF260C"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Std. Error</w:t>
            </w:r>
          </w:p>
        </w:tc>
        <w:tc>
          <w:tcPr>
            <w:tcW w:w="1352" w:type="dxa"/>
            <w:tcBorders>
              <w:top w:val="single" w:sz="8" w:space="0" w:color="auto"/>
              <w:left w:val="nil"/>
              <w:bottom w:val="single" w:sz="4" w:space="0" w:color="auto"/>
              <w:right w:val="nil"/>
            </w:tcBorders>
            <w:shd w:val="clear" w:color="auto" w:fill="auto"/>
            <w:noWrap/>
            <w:vAlign w:val="center"/>
            <w:hideMark/>
          </w:tcPr>
          <w:p w14:paraId="02235E53"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Pr>
                <w:rFonts w:ascii="Book Antiqua" w:eastAsia="Times New Roman" w:hAnsi="Book Antiqua" w:cs="Times New Roman"/>
                <w:b/>
                <w:bCs/>
                <w:color w:val="000000"/>
                <w:sz w:val="20"/>
                <w:szCs w:val="20"/>
                <w:lang w:eastAsia="it-IT"/>
              </w:rPr>
              <w:t>t-Statistic</w:t>
            </w:r>
          </w:p>
        </w:tc>
        <w:tc>
          <w:tcPr>
            <w:tcW w:w="1071" w:type="dxa"/>
            <w:tcBorders>
              <w:top w:val="single" w:sz="8" w:space="0" w:color="auto"/>
              <w:left w:val="nil"/>
              <w:bottom w:val="single" w:sz="4" w:space="0" w:color="auto"/>
              <w:right w:val="nil"/>
            </w:tcBorders>
            <w:shd w:val="clear" w:color="auto" w:fill="auto"/>
            <w:noWrap/>
            <w:vAlign w:val="center"/>
            <w:hideMark/>
          </w:tcPr>
          <w:p w14:paraId="21E63FF7" w14:textId="77777777" w:rsidR="00A060FD" w:rsidRPr="00866EEF" w:rsidRDefault="00A060FD" w:rsidP="00F14F18">
            <w:pPr>
              <w:spacing w:after="0" w:line="240" w:lineRule="auto"/>
              <w:jc w:val="center"/>
              <w:rPr>
                <w:rFonts w:ascii="Book Antiqua" w:eastAsia="Times New Roman" w:hAnsi="Book Antiqua" w:cs="Times New Roman"/>
                <w:b/>
                <w:bCs/>
                <w:color w:val="000000"/>
                <w:sz w:val="20"/>
                <w:szCs w:val="20"/>
                <w:lang w:eastAsia="it-IT"/>
              </w:rPr>
            </w:pPr>
            <w:r w:rsidRPr="00866EEF">
              <w:rPr>
                <w:rFonts w:ascii="Book Antiqua" w:eastAsia="Times New Roman" w:hAnsi="Book Antiqua" w:cs="Times New Roman"/>
                <w:b/>
                <w:bCs/>
                <w:color w:val="000000"/>
                <w:sz w:val="20"/>
                <w:szCs w:val="20"/>
                <w:lang w:eastAsia="it-IT"/>
              </w:rPr>
              <w:t>Prob.</w:t>
            </w:r>
          </w:p>
        </w:tc>
      </w:tr>
      <w:tr w:rsidR="00A060FD" w:rsidRPr="00866EEF" w14:paraId="40AAE9FA" w14:textId="77777777" w:rsidTr="00F14F18">
        <w:trPr>
          <w:trHeight w:val="300"/>
          <w:jc w:val="center"/>
        </w:trPr>
        <w:tc>
          <w:tcPr>
            <w:tcW w:w="2098" w:type="dxa"/>
            <w:tcBorders>
              <w:top w:val="single" w:sz="4" w:space="0" w:color="auto"/>
              <w:left w:val="nil"/>
              <w:bottom w:val="single" w:sz="4" w:space="0" w:color="auto"/>
              <w:right w:val="nil"/>
            </w:tcBorders>
            <w:shd w:val="clear" w:color="auto" w:fill="auto"/>
            <w:noWrap/>
            <w:vAlign w:val="center"/>
            <w:hideMark/>
          </w:tcPr>
          <w:p w14:paraId="7AA3F46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β</w:t>
            </w:r>
            <w:r w:rsidRPr="00866EEF">
              <w:rPr>
                <w:rFonts w:ascii="Times New Roman" w:eastAsia="Times New Roman" w:hAnsi="Times New Roman" w:cs="Times New Roman"/>
                <w:color w:val="000000"/>
                <w:sz w:val="20"/>
                <w:szCs w:val="20"/>
                <w:lang w:eastAsia="it-IT"/>
              </w:rPr>
              <w:t>₀</w:t>
            </w:r>
          </w:p>
        </w:tc>
        <w:tc>
          <w:tcPr>
            <w:tcW w:w="1413" w:type="dxa"/>
            <w:tcBorders>
              <w:top w:val="nil"/>
              <w:left w:val="nil"/>
              <w:bottom w:val="single" w:sz="4" w:space="0" w:color="auto"/>
              <w:right w:val="nil"/>
            </w:tcBorders>
            <w:shd w:val="clear" w:color="auto" w:fill="auto"/>
            <w:vAlign w:val="center"/>
            <w:hideMark/>
          </w:tcPr>
          <w:p w14:paraId="7EE381E2"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0.164807</w:t>
            </w:r>
          </w:p>
        </w:tc>
        <w:tc>
          <w:tcPr>
            <w:tcW w:w="1386" w:type="dxa"/>
            <w:tcBorders>
              <w:top w:val="nil"/>
              <w:left w:val="nil"/>
              <w:bottom w:val="single" w:sz="4" w:space="0" w:color="auto"/>
              <w:right w:val="nil"/>
            </w:tcBorders>
            <w:shd w:val="clear" w:color="auto" w:fill="auto"/>
            <w:vAlign w:val="center"/>
            <w:hideMark/>
          </w:tcPr>
          <w:p w14:paraId="78FAA81E"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0.183304</w:t>
            </w:r>
          </w:p>
        </w:tc>
        <w:tc>
          <w:tcPr>
            <w:tcW w:w="1352" w:type="dxa"/>
            <w:tcBorders>
              <w:top w:val="nil"/>
              <w:left w:val="nil"/>
              <w:bottom w:val="single" w:sz="4" w:space="0" w:color="auto"/>
              <w:right w:val="nil"/>
            </w:tcBorders>
            <w:shd w:val="clear" w:color="auto" w:fill="auto"/>
            <w:vAlign w:val="center"/>
            <w:hideMark/>
          </w:tcPr>
          <w:p w14:paraId="43109231"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0.899090</w:t>
            </w:r>
          </w:p>
        </w:tc>
        <w:tc>
          <w:tcPr>
            <w:tcW w:w="1071" w:type="dxa"/>
            <w:tcBorders>
              <w:top w:val="nil"/>
              <w:left w:val="nil"/>
              <w:bottom w:val="single" w:sz="4" w:space="0" w:color="auto"/>
              <w:right w:val="nil"/>
            </w:tcBorders>
            <w:shd w:val="clear" w:color="auto" w:fill="auto"/>
            <w:vAlign w:val="center"/>
            <w:hideMark/>
          </w:tcPr>
          <w:p w14:paraId="6DC52F0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0.3694</w:t>
            </w:r>
          </w:p>
        </w:tc>
      </w:tr>
      <w:tr w:rsidR="00A060FD" w:rsidRPr="00866EEF" w14:paraId="23A15900"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7DEF728"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Δ(Italy Red. Risk)</w:t>
            </w:r>
          </w:p>
        </w:tc>
        <w:tc>
          <w:tcPr>
            <w:tcW w:w="1413" w:type="dxa"/>
            <w:tcBorders>
              <w:top w:val="nil"/>
              <w:left w:val="nil"/>
              <w:bottom w:val="single" w:sz="4" w:space="0" w:color="auto"/>
              <w:right w:val="nil"/>
            </w:tcBorders>
            <w:shd w:val="clear" w:color="auto" w:fill="auto"/>
            <w:vAlign w:val="center"/>
            <w:hideMark/>
          </w:tcPr>
          <w:p w14:paraId="3FBCA37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-0.011161</w:t>
            </w:r>
          </w:p>
        </w:tc>
        <w:tc>
          <w:tcPr>
            <w:tcW w:w="1386" w:type="dxa"/>
            <w:tcBorders>
              <w:top w:val="nil"/>
              <w:left w:val="nil"/>
              <w:bottom w:val="single" w:sz="4" w:space="0" w:color="auto"/>
              <w:right w:val="nil"/>
            </w:tcBorders>
            <w:shd w:val="clear" w:color="auto" w:fill="auto"/>
            <w:vAlign w:val="center"/>
            <w:hideMark/>
          </w:tcPr>
          <w:p w14:paraId="42D8798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0.036637</w:t>
            </w:r>
          </w:p>
        </w:tc>
        <w:tc>
          <w:tcPr>
            <w:tcW w:w="1352" w:type="dxa"/>
            <w:tcBorders>
              <w:top w:val="nil"/>
              <w:left w:val="nil"/>
              <w:bottom w:val="single" w:sz="4" w:space="0" w:color="auto"/>
              <w:right w:val="nil"/>
            </w:tcBorders>
            <w:shd w:val="clear" w:color="auto" w:fill="auto"/>
            <w:vAlign w:val="center"/>
            <w:hideMark/>
          </w:tcPr>
          <w:p w14:paraId="05BB13B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-0.304639</w:t>
            </w:r>
          </w:p>
        </w:tc>
        <w:tc>
          <w:tcPr>
            <w:tcW w:w="1071" w:type="dxa"/>
            <w:tcBorders>
              <w:top w:val="nil"/>
              <w:left w:val="nil"/>
              <w:bottom w:val="single" w:sz="4" w:space="0" w:color="auto"/>
              <w:right w:val="nil"/>
            </w:tcBorders>
            <w:shd w:val="clear" w:color="auto" w:fill="auto"/>
            <w:vAlign w:val="center"/>
            <w:hideMark/>
          </w:tcPr>
          <w:p w14:paraId="74EF83D4"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0.7609</w:t>
            </w:r>
          </w:p>
        </w:tc>
      </w:tr>
      <w:tr w:rsidR="00A060FD" w:rsidRPr="00866EEF" w14:paraId="24B6E37B"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7FE0079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Δ(Spread It-Ge)</w:t>
            </w:r>
          </w:p>
        </w:tc>
        <w:tc>
          <w:tcPr>
            <w:tcW w:w="1413" w:type="dxa"/>
            <w:tcBorders>
              <w:top w:val="nil"/>
              <w:left w:val="nil"/>
              <w:bottom w:val="single" w:sz="4" w:space="0" w:color="auto"/>
              <w:right w:val="nil"/>
            </w:tcBorders>
            <w:shd w:val="clear" w:color="auto" w:fill="auto"/>
            <w:vAlign w:val="center"/>
            <w:hideMark/>
          </w:tcPr>
          <w:p w14:paraId="508F838B"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-0.041809</w:t>
            </w:r>
          </w:p>
        </w:tc>
        <w:tc>
          <w:tcPr>
            <w:tcW w:w="1386" w:type="dxa"/>
            <w:tcBorders>
              <w:top w:val="nil"/>
              <w:left w:val="nil"/>
              <w:bottom w:val="single" w:sz="4" w:space="0" w:color="auto"/>
              <w:right w:val="nil"/>
            </w:tcBorders>
            <w:shd w:val="clear" w:color="auto" w:fill="auto"/>
            <w:vAlign w:val="center"/>
            <w:hideMark/>
          </w:tcPr>
          <w:p w14:paraId="2CB65020"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0.033795</w:t>
            </w:r>
          </w:p>
        </w:tc>
        <w:tc>
          <w:tcPr>
            <w:tcW w:w="1352" w:type="dxa"/>
            <w:tcBorders>
              <w:top w:val="nil"/>
              <w:left w:val="nil"/>
              <w:bottom w:val="single" w:sz="4" w:space="0" w:color="auto"/>
              <w:right w:val="nil"/>
            </w:tcBorders>
            <w:shd w:val="clear" w:color="auto" w:fill="auto"/>
            <w:vAlign w:val="center"/>
            <w:hideMark/>
          </w:tcPr>
          <w:p w14:paraId="692CB34A"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-1.237136</w:t>
            </w:r>
          </w:p>
        </w:tc>
        <w:tc>
          <w:tcPr>
            <w:tcW w:w="1071" w:type="dxa"/>
            <w:tcBorders>
              <w:top w:val="nil"/>
              <w:left w:val="nil"/>
              <w:bottom w:val="single" w:sz="4" w:space="0" w:color="auto"/>
              <w:right w:val="nil"/>
            </w:tcBorders>
            <w:shd w:val="clear" w:color="auto" w:fill="auto"/>
            <w:vAlign w:val="center"/>
            <w:hideMark/>
          </w:tcPr>
          <w:p w14:paraId="72E70BA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0.2172</w:t>
            </w:r>
          </w:p>
        </w:tc>
      </w:tr>
      <w:tr w:rsidR="00A060FD" w:rsidRPr="00866EEF" w14:paraId="6B4FC3E2"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1741A90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R²</w:t>
            </w:r>
          </w:p>
        </w:tc>
        <w:tc>
          <w:tcPr>
            <w:tcW w:w="5222" w:type="dxa"/>
            <w:gridSpan w:val="4"/>
            <w:tcBorders>
              <w:top w:val="nil"/>
              <w:left w:val="nil"/>
              <w:bottom w:val="single" w:sz="4" w:space="0" w:color="auto"/>
              <w:right w:val="nil"/>
            </w:tcBorders>
            <w:shd w:val="clear" w:color="auto" w:fill="auto"/>
            <w:vAlign w:val="center"/>
            <w:hideMark/>
          </w:tcPr>
          <w:p w14:paraId="4CFEF026"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0.008217</w:t>
            </w:r>
          </w:p>
        </w:tc>
      </w:tr>
      <w:tr w:rsidR="00A060FD" w:rsidRPr="00866EEF" w14:paraId="091E4435" w14:textId="77777777" w:rsidTr="00F14F18">
        <w:trPr>
          <w:trHeight w:val="300"/>
          <w:jc w:val="center"/>
        </w:trPr>
        <w:tc>
          <w:tcPr>
            <w:tcW w:w="2098" w:type="dxa"/>
            <w:tcBorders>
              <w:top w:val="nil"/>
              <w:left w:val="nil"/>
              <w:bottom w:val="single" w:sz="4" w:space="0" w:color="auto"/>
              <w:right w:val="nil"/>
            </w:tcBorders>
            <w:shd w:val="clear" w:color="auto" w:fill="auto"/>
            <w:noWrap/>
            <w:vAlign w:val="center"/>
            <w:hideMark/>
          </w:tcPr>
          <w:p w14:paraId="6E1AAC63"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Adj. R²</w:t>
            </w:r>
          </w:p>
        </w:tc>
        <w:tc>
          <w:tcPr>
            <w:tcW w:w="5222" w:type="dxa"/>
            <w:gridSpan w:val="4"/>
            <w:tcBorders>
              <w:top w:val="nil"/>
              <w:left w:val="nil"/>
              <w:bottom w:val="single" w:sz="4" w:space="0" w:color="auto"/>
              <w:right w:val="nil"/>
            </w:tcBorders>
            <w:shd w:val="clear" w:color="auto" w:fill="auto"/>
            <w:vAlign w:val="center"/>
            <w:hideMark/>
          </w:tcPr>
          <w:p w14:paraId="10543267"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0.000558</w:t>
            </w:r>
          </w:p>
        </w:tc>
      </w:tr>
      <w:tr w:rsidR="00A060FD" w:rsidRPr="00866EEF" w14:paraId="4E024C8D" w14:textId="77777777" w:rsidTr="00F14F18">
        <w:trPr>
          <w:trHeight w:val="315"/>
          <w:jc w:val="center"/>
        </w:trPr>
        <w:tc>
          <w:tcPr>
            <w:tcW w:w="2098" w:type="dxa"/>
            <w:tcBorders>
              <w:top w:val="nil"/>
              <w:left w:val="nil"/>
              <w:bottom w:val="single" w:sz="8" w:space="0" w:color="auto"/>
              <w:right w:val="nil"/>
            </w:tcBorders>
            <w:shd w:val="clear" w:color="auto" w:fill="auto"/>
            <w:noWrap/>
            <w:vAlign w:val="center"/>
            <w:hideMark/>
          </w:tcPr>
          <w:p w14:paraId="692B4DDD"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Durbin-Watson Stat.</w:t>
            </w:r>
          </w:p>
        </w:tc>
        <w:tc>
          <w:tcPr>
            <w:tcW w:w="5222" w:type="dxa"/>
            <w:gridSpan w:val="4"/>
            <w:tcBorders>
              <w:top w:val="single" w:sz="4" w:space="0" w:color="auto"/>
              <w:left w:val="nil"/>
              <w:bottom w:val="single" w:sz="8" w:space="0" w:color="auto"/>
              <w:right w:val="nil"/>
            </w:tcBorders>
            <w:shd w:val="clear" w:color="auto" w:fill="auto"/>
            <w:noWrap/>
            <w:vAlign w:val="bottom"/>
            <w:hideMark/>
          </w:tcPr>
          <w:p w14:paraId="3D57025C" w14:textId="77777777" w:rsidR="00A060FD" w:rsidRPr="00866EEF" w:rsidRDefault="00A060FD" w:rsidP="00F14F18">
            <w:pPr>
              <w:spacing w:after="0" w:line="240" w:lineRule="auto"/>
              <w:jc w:val="center"/>
              <w:rPr>
                <w:rFonts w:ascii="Book Antiqua" w:eastAsia="Times New Roman" w:hAnsi="Book Antiqua" w:cs="Times New Roman"/>
                <w:color w:val="000000"/>
                <w:sz w:val="20"/>
                <w:szCs w:val="20"/>
                <w:lang w:eastAsia="it-IT"/>
              </w:rPr>
            </w:pPr>
            <w:r w:rsidRPr="00866EEF">
              <w:rPr>
                <w:rFonts w:ascii="Book Antiqua" w:eastAsia="Times New Roman" w:hAnsi="Book Antiqua" w:cs="Times New Roman"/>
                <w:color w:val="000000"/>
                <w:sz w:val="20"/>
                <w:szCs w:val="20"/>
                <w:lang w:eastAsia="it-IT"/>
              </w:rPr>
              <w:t>2.011289</w:t>
            </w:r>
          </w:p>
        </w:tc>
      </w:tr>
    </w:tbl>
    <w:p w14:paraId="493FA1DA" w14:textId="77777777" w:rsidR="00A060FD" w:rsidRDefault="00A060FD" w:rsidP="00A060FD">
      <w:pPr>
        <w:spacing w:line="360" w:lineRule="auto"/>
        <w:jc w:val="both"/>
        <w:rPr>
          <w:rFonts w:ascii="Book Antiqua" w:hAnsi="Book Antiqua"/>
          <w:sz w:val="20"/>
          <w:szCs w:val="20"/>
        </w:rPr>
      </w:pPr>
      <w:r w:rsidRPr="00870653">
        <w:rPr>
          <w:rFonts w:ascii="Book Antiqua" w:hAnsi="Book Antiqua"/>
          <w:sz w:val="20"/>
          <w:szCs w:val="20"/>
          <w:lang w:val="en-US"/>
        </w:rPr>
        <w:t xml:space="preserve">Note: *** signals parameter significance at 1%, ** signals parameter significance at 5%,* signals parameter significance at 10%. </w:t>
      </w:r>
      <w:r>
        <w:rPr>
          <w:rFonts w:ascii="Book Antiqua" w:hAnsi="Book Antiqua"/>
          <w:sz w:val="20"/>
          <w:szCs w:val="20"/>
        </w:rPr>
        <w:t>Source: authors’ calculations in Eviews 11 based on Bloomberg data.</w:t>
      </w:r>
    </w:p>
    <w:p w14:paraId="49DCBE87" w14:textId="77777777" w:rsidR="00A060FD" w:rsidRPr="00701B7B" w:rsidRDefault="00A060FD" w:rsidP="00A060FD">
      <w:pPr>
        <w:pStyle w:val="NormaleWeb"/>
        <w:spacing w:before="0" w:beforeAutospacing="0" w:after="180" w:afterAutospacing="0"/>
        <w:ind w:left="142"/>
        <w:jc w:val="both"/>
        <w:rPr>
          <w:rFonts w:ascii="Book Antiqua" w:hAnsi="Book Antiqua"/>
          <w:color w:val="000000"/>
          <w:sz w:val="20"/>
          <w:szCs w:val="20"/>
        </w:rPr>
      </w:pPr>
    </w:p>
    <w:sectPr w:rsidR="00A060FD" w:rsidRPr="00701B7B" w:rsidSect="0007040B">
      <w:pgSz w:w="11906" w:h="16838"/>
      <w:pgMar w:top="1503" w:right="1021" w:bottom="998"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A996B" w14:textId="77777777" w:rsidR="00E9210F" w:rsidRDefault="00E9210F" w:rsidP="00FB778B">
      <w:pPr>
        <w:spacing w:after="0" w:line="240" w:lineRule="auto"/>
      </w:pPr>
      <w:r>
        <w:separator/>
      </w:r>
    </w:p>
  </w:endnote>
  <w:endnote w:type="continuationSeparator" w:id="0">
    <w:p w14:paraId="588891D8" w14:textId="77777777" w:rsidR="00E9210F" w:rsidRDefault="00E9210F" w:rsidP="00FB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F500" w14:textId="77777777" w:rsidR="00E9210F" w:rsidRDefault="00E9210F" w:rsidP="00FB778B">
      <w:pPr>
        <w:spacing w:after="0" w:line="240" w:lineRule="auto"/>
      </w:pPr>
      <w:r>
        <w:separator/>
      </w:r>
    </w:p>
  </w:footnote>
  <w:footnote w:type="continuationSeparator" w:id="0">
    <w:p w14:paraId="57FD91D1" w14:textId="77777777" w:rsidR="00E9210F" w:rsidRDefault="00E9210F" w:rsidP="00FB778B">
      <w:pPr>
        <w:spacing w:after="0" w:line="240" w:lineRule="auto"/>
      </w:pPr>
      <w:r>
        <w:continuationSeparator/>
      </w:r>
    </w:p>
  </w:footnote>
  <w:footnote w:id="1">
    <w:p w14:paraId="6E15204B" w14:textId="19D2FA44" w:rsidR="00870653" w:rsidRPr="00870653" w:rsidRDefault="00870653" w:rsidP="00D24F67">
      <w:pPr>
        <w:pStyle w:val="Testonotaapidipagina"/>
        <w:jc w:val="both"/>
        <w:rPr>
          <w:rFonts w:ascii="Book Antiqua" w:hAnsi="Book Antiqua"/>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In order to avoid the eventuality of default of these two States, in December 2011, the respective Italian and Spanish banks purchased the domestic public debt using the liquidity made available by the ECB (European Central Bank) through the VLTRO operation (Very Long-Term Refinancing Operations), with which over one trillion Euro of resources were provided to the Euro Area banking systems (Cesaratto, 2016).</w:t>
      </w:r>
    </w:p>
  </w:footnote>
  <w:footnote w:id="2">
    <w:p w14:paraId="0E8CFC44" w14:textId="70F8A55E" w:rsidR="00870653" w:rsidRPr="00870653" w:rsidRDefault="00870653" w:rsidP="00D72F93">
      <w:pPr>
        <w:pStyle w:val="Testonotaapidipagina"/>
        <w:jc w:val="both"/>
        <w:rPr>
          <w:rFonts w:ascii="Book Antiqua" w:hAnsi="Book Antiqua"/>
          <w:i/>
          <w:iCs/>
          <w:sz w:val="16"/>
          <w:szCs w:val="16"/>
          <w:lang w:val="en-US"/>
        </w:rPr>
      </w:pPr>
      <w:r w:rsidRPr="00D72F93">
        <w:rPr>
          <w:rStyle w:val="Rimandonotaapidipagina"/>
          <w:rFonts w:ascii="Book Antiqua" w:hAnsi="Book Antiqua"/>
          <w:sz w:val="16"/>
          <w:szCs w:val="16"/>
        </w:rPr>
        <w:footnoteRef/>
      </w:r>
      <w:r w:rsidRPr="00870653">
        <w:rPr>
          <w:rFonts w:ascii="Book Antiqua" w:hAnsi="Book Antiqua"/>
          <w:sz w:val="16"/>
          <w:szCs w:val="16"/>
          <w:lang w:val="en-US"/>
        </w:rPr>
        <w:t xml:space="preserve"> It’s remarkable the speech of Mario Draghi, ECB’s President, on the occasion of the Global Investment Conference on 26 July 2012, in which he stated: " </w:t>
      </w:r>
      <w:r w:rsidRPr="00870653">
        <w:rPr>
          <w:rFonts w:ascii="Book Antiqua" w:hAnsi="Book Antiqua"/>
          <w:i/>
          <w:iCs/>
          <w:sz w:val="16"/>
          <w:szCs w:val="16"/>
          <w:lang w:val="en-US"/>
        </w:rPr>
        <w:t>Within our mandate, the ECB is ready to do whatever it takes to preserve the euro. And believe me, it will be enough</w:t>
      </w:r>
      <w:r w:rsidRPr="00870653">
        <w:rPr>
          <w:rFonts w:ascii="Book Antiqua" w:hAnsi="Book Antiqua"/>
          <w:sz w:val="16"/>
          <w:szCs w:val="16"/>
          <w:lang w:val="en-US"/>
        </w:rPr>
        <w:t xml:space="preserve"> "</w:t>
      </w:r>
    </w:p>
  </w:footnote>
  <w:footnote w:id="3">
    <w:p w14:paraId="2F8A7497" w14:textId="1D7014EE" w:rsidR="00870653" w:rsidRPr="00870653" w:rsidRDefault="00870653" w:rsidP="00B0080A">
      <w:pPr>
        <w:pStyle w:val="Testonotaapidipagina"/>
        <w:jc w:val="both"/>
        <w:rPr>
          <w:rFonts w:ascii="Book Antiqua" w:hAnsi="Book Antiqua" w:cs="Times New Roman"/>
          <w:i/>
          <w:iCs/>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Intesa San Paolo and Unicredit are the largest Italian banks in terms of market capitalization and total assets (Sirletti and Salzano, 2018). In 2018, they accounted for about 45% of the total assets of the Italian banking system (Anelli et al., 2020). Therefore, the idea behind the approximation is expressed by the concept of too-big-to-fail: if one of these groups goes into crisis, it would be logical to think that the entire Italian banking system would be involved. The choice of sample also depends on the fact that the mentioned banking groups represent the “specialists” in Government Securities. As reported by the Ministry of Economy and Finances: “</w:t>
      </w:r>
      <w:r w:rsidRPr="00870653">
        <w:rPr>
          <w:rFonts w:ascii="Book Antiqua" w:hAnsi="Book Antiqua"/>
          <w:i/>
          <w:iCs/>
          <w:sz w:val="16"/>
          <w:szCs w:val="16"/>
          <w:lang w:val="en-US"/>
        </w:rPr>
        <w:t>Dealers that are market makers (primary dealers) have obligations as to subscriptions in government bond auctions and trading volumes on the secondary market. These give rise to some privileges, among which is the right to exclusive participation in supplementary placements of the issuance auctions”.</w:t>
      </w:r>
    </w:p>
  </w:footnote>
  <w:footnote w:id="4">
    <w:p w14:paraId="118F370C" w14:textId="0A543AAA" w:rsidR="00870653" w:rsidRPr="00870653" w:rsidRDefault="00870653">
      <w:pPr>
        <w:pStyle w:val="Testonotaapidipagina"/>
        <w:rPr>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In the analysis we chose CDS contracts with a maturity of five years because they are the most liquid, so the data are easily (Kremens, 2019</w:t>
      </w:r>
      <w:r w:rsidRPr="00870653">
        <w:rPr>
          <w:sz w:val="16"/>
          <w:szCs w:val="16"/>
          <w:lang w:val="en-US"/>
        </w:rPr>
        <w:t>).</w:t>
      </w:r>
    </w:p>
  </w:footnote>
  <w:footnote w:id="5">
    <w:p w14:paraId="41555D60" w14:textId="40123604" w:rsidR="00870653" w:rsidRPr="00870653" w:rsidRDefault="00870653" w:rsidP="00E31B13">
      <w:pPr>
        <w:pStyle w:val="Testonotaapidipagina"/>
        <w:jc w:val="both"/>
        <w:rPr>
          <w:rFonts w:ascii="Book Antiqua" w:hAnsi="Book Antiqua" w:cs="Times New Roman"/>
          <w:sz w:val="16"/>
          <w:szCs w:val="16"/>
          <w:lang w:val="en-US"/>
        </w:rPr>
      </w:pPr>
      <w:r w:rsidRPr="00F542AC">
        <w:rPr>
          <w:rStyle w:val="Rimandonotaapidipagina"/>
          <w:rFonts w:ascii="Book Antiqua" w:hAnsi="Book Antiqua"/>
          <w:sz w:val="16"/>
          <w:szCs w:val="16"/>
        </w:rPr>
        <w:footnoteRef/>
      </w:r>
      <w:r w:rsidRPr="00870653">
        <w:rPr>
          <w:rFonts w:ascii="Book Antiqua" w:hAnsi="Book Antiqua" w:cs="Times New Roman"/>
          <w:sz w:val="16"/>
          <w:szCs w:val="16"/>
          <w:lang w:val="en-US"/>
        </w:rPr>
        <w:t xml:space="preserve">According to Bloomberg data, Intesa San Paolo's market capitalization is € 41.24 bn., € 29.30 bn. that of Unicredit and € 1.58 bn. the capitalization of Monte dei Paschi di Siena. Therefore, only considering Intesa San Paolo and Unicredit, the market capitalization is approximately € 70 bn., about 98% of the total capitalization. </w:t>
      </w:r>
    </w:p>
  </w:footnote>
  <w:footnote w:id="6">
    <w:p w14:paraId="210AA5BD" w14:textId="3D93CAAA" w:rsidR="00870653" w:rsidRPr="00870653" w:rsidRDefault="00870653" w:rsidP="00593707">
      <w:pPr>
        <w:pStyle w:val="Testonotaapidipagina"/>
        <w:jc w:val="both"/>
        <w:rPr>
          <w:rFonts w:ascii="Book Antiqua" w:hAnsi="Book Antiqua"/>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The first difference of a time series is the variation of Y between the period t-1 and the period t. The first difference in formal terms is expressed in the following way: </w:t>
      </w:r>
      <m:oMath>
        <m:sSub>
          <m:sSubPr>
            <m:ctrlPr>
              <w:rPr>
                <w:rFonts w:ascii="Cambria Math" w:hAnsi="Cambria Math"/>
                <w:i/>
                <w:sz w:val="16"/>
                <w:szCs w:val="16"/>
              </w:rPr>
            </m:ctrlPr>
          </m:sSubPr>
          <m:e>
            <m:r>
              <w:rPr>
                <w:rFonts w:ascii="Cambria Math" w:hAnsi="Cambria Math"/>
                <w:sz w:val="16"/>
                <w:szCs w:val="16"/>
                <w:lang w:val="en-US"/>
              </w:rPr>
              <m:t>∆</m:t>
            </m:r>
            <m:r>
              <w:rPr>
                <w:rFonts w:ascii="Cambria Math" w:hAnsi="Cambria Math"/>
                <w:sz w:val="16"/>
                <w:szCs w:val="16"/>
              </w:rPr>
              <m:t>Y</m:t>
            </m:r>
          </m:e>
          <m:sub>
            <m:r>
              <w:rPr>
                <w:rFonts w:ascii="Cambria Math" w:hAnsi="Cambria Math"/>
                <w:sz w:val="16"/>
                <w:szCs w:val="16"/>
              </w:rPr>
              <m:t>t</m:t>
            </m:r>
          </m:sub>
        </m:sSub>
        <m:r>
          <w:rPr>
            <w:rFonts w:ascii="Cambria Math" w:hAnsi="Cambria Math"/>
            <w:sz w:val="16"/>
            <w:szCs w:val="16"/>
            <w:lang w:val="en-US"/>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t</m:t>
            </m:r>
          </m:sub>
        </m:sSub>
        <m:r>
          <w:rPr>
            <w:rFonts w:ascii="Cambria Math" w:hAnsi="Cambria Math"/>
            <w:sz w:val="16"/>
            <w:szCs w:val="16"/>
            <w:lang w:val="en-US"/>
          </w:rPr>
          <m:t>-</m:t>
        </m:r>
        <m:sSub>
          <m:sSubPr>
            <m:ctrlPr>
              <w:rPr>
                <w:rFonts w:ascii="Cambria Math" w:hAnsi="Cambria Math"/>
                <w:i/>
                <w:sz w:val="16"/>
                <w:szCs w:val="16"/>
              </w:rPr>
            </m:ctrlPr>
          </m:sSubPr>
          <m:e>
            <m:r>
              <w:rPr>
                <w:rFonts w:ascii="Cambria Math" w:hAnsi="Cambria Math"/>
                <w:sz w:val="16"/>
                <w:szCs w:val="16"/>
              </w:rPr>
              <m:t>Y</m:t>
            </m:r>
          </m:e>
          <m:sub>
            <m:r>
              <w:rPr>
                <w:rFonts w:ascii="Cambria Math" w:hAnsi="Cambria Math"/>
                <w:sz w:val="16"/>
                <w:szCs w:val="16"/>
              </w:rPr>
              <m:t>t</m:t>
            </m:r>
            <m:r>
              <w:rPr>
                <w:rFonts w:ascii="Cambria Math" w:hAnsi="Cambria Math"/>
                <w:sz w:val="16"/>
                <w:szCs w:val="16"/>
                <w:lang w:val="en-US"/>
              </w:rPr>
              <m:t>-1</m:t>
            </m:r>
          </m:sub>
        </m:sSub>
      </m:oMath>
      <w:r w:rsidRPr="00870653">
        <w:rPr>
          <w:rFonts w:ascii="Book Antiqua" w:hAnsi="Book Antiqua"/>
          <w:sz w:val="16"/>
          <w:szCs w:val="16"/>
          <w:lang w:val="en-US"/>
        </w:rPr>
        <w:t xml:space="preserve"> (Stock and Watson, 2016).</w:t>
      </w:r>
    </w:p>
    <w:p w14:paraId="07801B87" w14:textId="30850DEB" w:rsidR="00870653" w:rsidRPr="00870653" w:rsidRDefault="00870653" w:rsidP="00593707">
      <w:pPr>
        <w:pStyle w:val="Testonotaapidipagina"/>
        <w:jc w:val="both"/>
        <w:rPr>
          <w:sz w:val="18"/>
          <w:szCs w:val="18"/>
          <w:lang w:val="en-US"/>
        </w:rPr>
      </w:pPr>
    </w:p>
  </w:footnote>
  <w:footnote w:id="7">
    <w:p w14:paraId="372C7B47" w14:textId="5B6129AE" w:rsidR="00870653" w:rsidRPr="00870653" w:rsidRDefault="00870653" w:rsidP="00593707">
      <w:pPr>
        <w:pStyle w:val="Testonotaapidipagina"/>
        <w:jc w:val="both"/>
        <w:rPr>
          <w:rFonts w:ascii="Book Antiqua" w:hAnsi="Book Antiqua" w:cs="Times New Roman"/>
          <w:sz w:val="16"/>
          <w:szCs w:val="16"/>
          <w:lang w:val="en-US"/>
        </w:rPr>
      </w:pPr>
      <w:r w:rsidRPr="00F542AC">
        <w:rPr>
          <w:rStyle w:val="Rimandonotaapidipagina"/>
          <w:rFonts w:ascii="Book Antiqua" w:hAnsi="Book Antiqua"/>
          <w:sz w:val="16"/>
          <w:szCs w:val="16"/>
        </w:rPr>
        <w:footnoteRef/>
      </w:r>
      <w:r w:rsidRPr="00870653">
        <w:rPr>
          <w:rFonts w:ascii="Book Antiqua" w:hAnsi="Book Antiqua" w:cs="Times New Roman"/>
          <w:sz w:val="16"/>
          <w:szCs w:val="16"/>
          <w:lang w:val="en-US"/>
        </w:rPr>
        <w:t xml:space="preserve"> Formally, the Durbin-Watson statistic is computed as follows:</w:t>
      </w:r>
    </w:p>
    <w:p w14:paraId="40822657" w14:textId="77777777" w:rsidR="00870653" w:rsidRPr="00F542AC" w:rsidRDefault="00870653" w:rsidP="00593707">
      <w:pPr>
        <w:pStyle w:val="Testonotaapidipagina"/>
        <w:jc w:val="both"/>
        <w:rPr>
          <w:rFonts w:ascii="Book Antiqua" w:hAnsi="Book Antiqua" w:cs="Times New Roman"/>
          <w:sz w:val="16"/>
          <w:szCs w:val="16"/>
        </w:rPr>
      </w:pPr>
      <m:oMathPara>
        <m:oMath>
          <m:r>
            <w:rPr>
              <w:rFonts w:ascii="Cambria Math" w:hAnsi="Cambria Math" w:cs="Times New Roman"/>
              <w:sz w:val="16"/>
              <w:szCs w:val="16"/>
            </w:rPr>
            <m:t>DW=</m:t>
          </m:r>
          <m:f>
            <m:fPr>
              <m:ctrlPr>
                <w:rPr>
                  <w:rFonts w:ascii="Cambria Math" w:hAnsi="Cambria Math" w:cs="Times New Roman"/>
                  <w:i/>
                  <w:sz w:val="16"/>
                  <w:szCs w:val="16"/>
                </w:rPr>
              </m:ctrlPr>
            </m:fPr>
            <m:num>
              <m:sSup>
                <m:sSupPr>
                  <m:ctrlPr>
                    <w:rPr>
                      <w:rFonts w:ascii="Cambria Math" w:hAnsi="Cambria Math" w:cs="Times New Roman"/>
                      <w:i/>
                      <w:sz w:val="16"/>
                      <w:szCs w:val="16"/>
                    </w:rPr>
                  </m:ctrlPr>
                </m:sSup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t=2</m:t>
                      </m:r>
                    </m:sub>
                    <m:sup>
                      <m:r>
                        <w:rPr>
                          <w:rFonts w:ascii="Cambria Math" w:hAnsi="Cambria Math" w:cs="Times New Roman"/>
                          <w:sz w:val="16"/>
                          <w:szCs w:val="16"/>
                        </w:rPr>
                        <m:t>n</m:t>
                      </m:r>
                    </m:sup>
                    <m:e>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m:t>
                          </m:r>
                        </m:sub>
                      </m:sSub>
                    </m:e>
                  </m:nary>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t-1</m:t>
                      </m:r>
                    </m:sub>
                  </m:sSub>
                  <m:r>
                    <w:rPr>
                      <w:rFonts w:ascii="Cambria Math" w:hAnsi="Cambria Math" w:cs="Times New Roman"/>
                      <w:sz w:val="16"/>
                      <w:szCs w:val="16"/>
                    </w:rPr>
                    <m:t>)</m:t>
                  </m:r>
                </m:e>
                <m:sup>
                  <m:r>
                    <w:rPr>
                      <w:rFonts w:ascii="Cambria Math" w:hAnsi="Cambria Math" w:cs="Times New Roman"/>
                      <w:sz w:val="16"/>
                      <w:szCs w:val="16"/>
                    </w:rPr>
                    <m:t>2</m:t>
                  </m:r>
                </m:sup>
              </m:sSup>
            </m:num>
            <m:den>
              <m:sSup>
                <m:sSupPr>
                  <m:ctrlPr>
                    <w:rPr>
                      <w:rFonts w:ascii="Cambria Math" w:hAnsi="Cambria Math" w:cs="Times New Roman"/>
                      <w:i/>
                      <w:sz w:val="16"/>
                      <w:szCs w:val="16"/>
                    </w:rPr>
                  </m:ctrlPr>
                </m:sSupPr>
                <m:e>
                  <m:nary>
                    <m:naryPr>
                      <m:chr m:val="∑"/>
                      <m:limLoc m:val="undOvr"/>
                      <m:ctrlPr>
                        <w:rPr>
                          <w:rFonts w:ascii="Cambria Math" w:hAnsi="Cambria Math" w:cs="Times New Roman"/>
                          <w:i/>
                          <w:sz w:val="16"/>
                          <w:szCs w:val="16"/>
                        </w:rPr>
                      </m:ctrlPr>
                    </m:naryPr>
                    <m:sub>
                      <m:r>
                        <w:rPr>
                          <w:rFonts w:ascii="Cambria Math" w:hAnsi="Cambria Math" w:cs="Times New Roman"/>
                          <w:sz w:val="16"/>
                          <w:szCs w:val="16"/>
                        </w:rPr>
                        <m:t>t=1</m:t>
                      </m:r>
                    </m:sub>
                    <m:sup>
                      <m:r>
                        <w:rPr>
                          <w:rFonts w:ascii="Cambria Math" w:hAnsi="Cambria Math" w:cs="Times New Roman"/>
                          <w:sz w:val="16"/>
                          <w:szCs w:val="16"/>
                        </w:rPr>
                        <m:t>n</m:t>
                      </m:r>
                    </m:sup>
                    <m:e>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m:t>
                          </m:r>
                        </m:sub>
                      </m:sSub>
                    </m:e>
                  </m:nary>
                </m:e>
                <m:sup>
                  <m:r>
                    <w:rPr>
                      <w:rFonts w:ascii="Cambria Math" w:hAnsi="Cambria Math" w:cs="Times New Roman"/>
                      <w:sz w:val="16"/>
                      <w:szCs w:val="16"/>
                    </w:rPr>
                    <m:t>2</m:t>
                  </m:r>
                </m:sup>
              </m:sSup>
            </m:den>
          </m:f>
        </m:oMath>
      </m:oMathPara>
    </w:p>
    <w:p w14:paraId="5C059F63" w14:textId="786DCD11" w:rsidR="00870653" w:rsidRPr="00F542AC" w:rsidRDefault="00870653" w:rsidP="00593707">
      <w:pPr>
        <w:pStyle w:val="Testonotaapidipagina"/>
        <w:jc w:val="both"/>
        <w:rPr>
          <w:rFonts w:ascii="Book Antiqua" w:hAnsi="Book Antiqua" w:cs="Times New Roman"/>
          <w:sz w:val="16"/>
          <w:szCs w:val="16"/>
        </w:rPr>
      </w:pPr>
      <w:r w:rsidRPr="00F542AC">
        <w:rPr>
          <w:rFonts w:ascii="Book Antiqua" w:hAnsi="Book Antiqua" w:cs="Times New Roman"/>
          <w:sz w:val="16"/>
          <w:szCs w:val="16"/>
        </w:rPr>
        <w:t>where:</w:t>
      </w:r>
    </w:p>
    <w:p w14:paraId="5EC07340" w14:textId="18BF7BE8" w:rsidR="00870653" w:rsidRPr="00870653" w:rsidRDefault="00E9210F" w:rsidP="00593707">
      <w:pPr>
        <w:pStyle w:val="Testonotaapidipagina"/>
        <w:numPr>
          <w:ilvl w:val="0"/>
          <w:numId w:val="6"/>
        </w:numPr>
        <w:jc w:val="both"/>
        <w:rPr>
          <w:rFonts w:ascii="Book Antiqua" w:hAnsi="Book Antiqua" w:cs="Times New Roman"/>
          <w:sz w:val="16"/>
          <w:szCs w:val="16"/>
          <w:lang w:val="en-US"/>
        </w:rPr>
      </w:pP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m:t>
            </m:r>
          </m:sub>
        </m:sSub>
      </m:oMath>
      <w:r w:rsidR="00870653" w:rsidRPr="00870653">
        <w:rPr>
          <w:rFonts w:ascii="Book Antiqua" w:hAnsi="Book Antiqua" w:cs="Times New Roman"/>
          <w:sz w:val="16"/>
          <w:szCs w:val="16"/>
          <w:lang w:val="en-US"/>
        </w:rPr>
        <w:t xml:space="preserve"> represents the OLS residual at time </w:t>
      </w:r>
      <m:oMath>
        <m:r>
          <w:rPr>
            <w:rFonts w:ascii="Cambria Math" w:hAnsi="Cambria Math" w:cs="Times New Roman"/>
            <w:sz w:val="16"/>
            <w:szCs w:val="16"/>
          </w:rPr>
          <m:t>t</m:t>
        </m:r>
      </m:oMath>
    </w:p>
    <w:p w14:paraId="181259BC" w14:textId="5F9B028F" w:rsidR="00870653" w:rsidRPr="00870653" w:rsidRDefault="00E9210F" w:rsidP="00593707">
      <w:pPr>
        <w:pStyle w:val="Testonotaapidipagina"/>
        <w:numPr>
          <w:ilvl w:val="0"/>
          <w:numId w:val="6"/>
        </w:numPr>
        <w:jc w:val="both"/>
        <w:rPr>
          <w:rFonts w:ascii="Book Antiqua" w:hAnsi="Book Antiqua" w:cs="Times New Roman"/>
          <w:sz w:val="16"/>
          <w:szCs w:val="16"/>
          <w:lang w:val="en-US"/>
        </w:rPr>
      </w:pP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m:t>
            </m:r>
            <m:r>
              <w:rPr>
                <w:rFonts w:ascii="Cambria Math" w:hAnsi="Cambria Math" w:cs="Times New Roman"/>
                <w:sz w:val="16"/>
                <w:szCs w:val="16"/>
                <w:lang w:val="en-US"/>
              </w:rPr>
              <m:t>-1</m:t>
            </m:r>
          </m:sub>
        </m:sSub>
      </m:oMath>
      <w:r w:rsidR="00870653" w:rsidRPr="00870653">
        <w:rPr>
          <w:rFonts w:ascii="Book Antiqua" w:hAnsi="Book Antiqua" w:cs="Times New Roman"/>
          <w:sz w:val="16"/>
          <w:szCs w:val="16"/>
          <w:lang w:val="en-US"/>
        </w:rPr>
        <w:t xml:space="preserve"> represents the OLS residual at the time </w:t>
      </w:r>
      <m:oMath>
        <m:r>
          <w:rPr>
            <w:rFonts w:ascii="Cambria Math" w:hAnsi="Cambria Math" w:cs="Times New Roman"/>
            <w:sz w:val="16"/>
            <w:szCs w:val="16"/>
          </w:rPr>
          <m:t>t</m:t>
        </m:r>
        <m:r>
          <w:rPr>
            <w:rFonts w:ascii="Cambria Math" w:hAnsi="Cambria Math" w:cs="Times New Roman"/>
            <w:sz w:val="16"/>
            <w:szCs w:val="16"/>
            <w:lang w:val="en-US"/>
          </w:rPr>
          <m:t>-1</m:t>
        </m:r>
      </m:oMath>
    </w:p>
    <w:p w14:paraId="130941F7" w14:textId="338E1F39" w:rsidR="00870653" w:rsidRPr="00870653" w:rsidRDefault="00870653" w:rsidP="00593707">
      <w:pPr>
        <w:pStyle w:val="Testonotaapidipagina"/>
        <w:jc w:val="both"/>
        <w:rPr>
          <w:rFonts w:ascii="Book Antiqua" w:hAnsi="Book Antiqua" w:cs="Times New Roman"/>
          <w:sz w:val="16"/>
          <w:szCs w:val="16"/>
          <w:lang w:val="en-US"/>
        </w:rPr>
      </w:pPr>
      <w:r w:rsidRPr="00870653">
        <w:rPr>
          <w:rFonts w:ascii="Book Antiqua" w:eastAsiaTheme="minorEastAsia" w:hAnsi="Book Antiqua" w:cs="Times New Roman"/>
          <w:sz w:val="16"/>
          <w:szCs w:val="16"/>
          <w:lang w:val="en-US"/>
        </w:rPr>
        <w:t>The null hypothesis is</w:t>
      </w:r>
      <m:oMath>
        <m:r>
          <w:rPr>
            <w:rFonts w:ascii="Cambria Math" w:eastAsiaTheme="minorEastAsia" w:hAnsi="Cambria Math" w:cs="Times New Roman"/>
            <w:sz w:val="16"/>
            <w:szCs w:val="16"/>
            <w:lang w:val="en-US"/>
          </w:rPr>
          <m:t xml:space="preserve"> </m:t>
        </m:r>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lang w:val="en-US"/>
              </w:rPr>
              <m:t>0</m:t>
            </m:r>
          </m:sub>
        </m:sSub>
        <m:r>
          <w:rPr>
            <w:rFonts w:ascii="Cambria Math" w:hAnsi="Cambria Math" w:cs="Times New Roman"/>
            <w:sz w:val="16"/>
            <w:szCs w:val="16"/>
            <w:lang w:val="en-US"/>
          </w:rPr>
          <m:t>:</m:t>
        </m:r>
        <m:r>
          <w:rPr>
            <w:rFonts w:ascii="Cambria Math" w:hAnsi="Cambria Math" w:cs="Times New Roman"/>
            <w:sz w:val="16"/>
            <w:szCs w:val="16"/>
          </w:rPr>
          <m:t>ρ</m:t>
        </m:r>
        <m:r>
          <w:rPr>
            <w:rFonts w:ascii="Cambria Math" w:hAnsi="Cambria Math" w:cs="Times New Roman"/>
            <w:sz w:val="16"/>
            <w:szCs w:val="16"/>
            <w:lang w:val="en-US"/>
          </w:rPr>
          <m:t>=0</m:t>
        </m:r>
      </m:oMath>
      <w:r w:rsidRPr="00870653">
        <w:rPr>
          <w:rFonts w:ascii="Book Antiqua" w:hAnsi="Book Antiqua" w:cs="Times New Roman"/>
          <w:sz w:val="16"/>
          <w:szCs w:val="16"/>
          <w:lang w:val="en-US"/>
        </w:rPr>
        <w:t xml:space="preserve">, which implies the absence of </w:t>
      </w:r>
      <w:r w:rsidRPr="00870653">
        <w:rPr>
          <w:rFonts w:ascii="Book Antiqua" w:hAnsi="Book Antiqua" w:cs="Times New Roman"/>
          <w:i/>
          <w:iCs/>
          <w:sz w:val="16"/>
          <w:szCs w:val="16"/>
          <w:lang w:val="en-US"/>
        </w:rPr>
        <w:t>serial correlation</w:t>
      </w:r>
      <w:r w:rsidRPr="00870653">
        <w:rPr>
          <w:rFonts w:ascii="Book Antiqua" w:hAnsi="Book Antiqua" w:cs="Times New Roman"/>
          <w:sz w:val="16"/>
          <w:szCs w:val="16"/>
          <w:lang w:val="en-US"/>
        </w:rPr>
        <w:t xml:space="preserve">, against the alternative </w:t>
      </w:r>
      <m:oMath>
        <m:sSub>
          <m:sSubPr>
            <m:ctrlPr>
              <w:rPr>
                <w:rFonts w:ascii="Cambria Math" w:hAnsi="Cambria Math" w:cs="Times New Roman"/>
                <w:i/>
                <w:sz w:val="16"/>
                <w:szCs w:val="16"/>
              </w:rPr>
            </m:ctrlPr>
          </m:sSubPr>
          <m:e>
            <m:r>
              <w:rPr>
                <w:rFonts w:ascii="Cambria Math" w:hAnsi="Cambria Math" w:cs="Times New Roman"/>
                <w:sz w:val="16"/>
                <w:szCs w:val="16"/>
              </w:rPr>
              <m:t>H</m:t>
            </m:r>
          </m:e>
          <m:sub>
            <m:r>
              <w:rPr>
                <w:rFonts w:ascii="Cambria Math" w:hAnsi="Cambria Math" w:cs="Times New Roman"/>
                <w:sz w:val="16"/>
                <w:szCs w:val="16"/>
                <w:lang w:val="en-US"/>
              </w:rPr>
              <m:t>1</m:t>
            </m:r>
          </m:sub>
        </m:sSub>
        <m:r>
          <w:rPr>
            <w:rFonts w:ascii="Cambria Math" w:hAnsi="Cambria Math" w:cs="Times New Roman"/>
            <w:sz w:val="16"/>
            <w:szCs w:val="16"/>
            <w:lang w:val="en-US"/>
          </w:rPr>
          <m:t>:</m:t>
        </m:r>
        <m:r>
          <w:rPr>
            <w:rFonts w:ascii="Cambria Math" w:hAnsi="Cambria Math" w:cs="Times New Roman"/>
            <w:sz w:val="16"/>
            <w:szCs w:val="16"/>
          </w:rPr>
          <m:t>ρ</m:t>
        </m:r>
        <m:r>
          <w:rPr>
            <w:rFonts w:ascii="Cambria Math" w:hAnsi="Cambria Math" w:cs="Times New Roman"/>
            <w:sz w:val="16"/>
            <w:szCs w:val="16"/>
            <w:lang w:val="en-US"/>
          </w:rPr>
          <m:t>≠0</m:t>
        </m:r>
      </m:oMath>
      <w:r w:rsidRPr="00870653">
        <w:rPr>
          <w:rFonts w:ascii="Book Antiqua" w:hAnsi="Book Antiqua" w:cs="Times New Roman"/>
          <w:sz w:val="16"/>
          <w:szCs w:val="16"/>
          <w:lang w:val="en-US"/>
        </w:rPr>
        <w:t xml:space="preserve">, which implies the presence of </w:t>
      </w:r>
      <w:r w:rsidRPr="00870653">
        <w:rPr>
          <w:rFonts w:ascii="Book Antiqua" w:hAnsi="Book Antiqua" w:cs="Times New Roman"/>
          <w:i/>
          <w:iCs/>
          <w:sz w:val="16"/>
          <w:szCs w:val="16"/>
          <w:lang w:val="en-US"/>
        </w:rPr>
        <w:t>serial correlation</w:t>
      </w:r>
      <w:r w:rsidRPr="00870653">
        <w:rPr>
          <w:rFonts w:ascii="Book Antiqua" w:hAnsi="Book Antiqua" w:cs="Times New Roman"/>
          <w:sz w:val="16"/>
          <w:szCs w:val="16"/>
          <w:lang w:val="en-US"/>
        </w:rPr>
        <w:t xml:space="preserve">. Knowing that, according to a simple relation </w:t>
      </w:r>
      <m:oMath>
        <m:r>
          <w:rPr>
            <w:rFonts w:ascii="Cambria Math" w:hAnsi="Cambria Math" w:cs="Times New Roman"/>
            <w:sz w:val="16"/>
            <w:szCs w:val="16"/>
          </w:rPr>
          <m:t>DW</m:t>
        </m:r>
        <m:r>
          <w:rPr>
            <w:rFonts w:ascii="Cambria Math" w:hAnsi="Cambria Math" w:cs="Times New Roman"/>
            <w:sz w:val="16"/>
            <w:szCs w:val="16"/>
            <w:lang w:val="en-US"/>
          </w:rPr>
          <m:t>=2(1-</m:t>
        </m:r>
        <m:acc>
          <m:accPr>
            <m:ctrlPr>
              <w:rPr>
                <w:rFonts w:ascii="Cambria Math" w:hAnsi="Cambria Math" w:cs="Times New Roman"/>
                <w:i/>
                <w:sz w:val="16"/>
                <w:szCs w:val="16"/>
              </w:rPr>
            </m:ctrlPr>
          </m:accPr>
          <m:e>
            <m:r>
              <w:rPr>
                <w:rFonts w:ascii="Cambria Math" w:hAnsi="Cambria Math" w:cs="Times New Roman"/>
                <w:sz w:val="16"/>
                <w:szCs w:val="16"/>
              </w:rPr>
              <m:t>ρ</m:t>
            </m:r>
          </m:e>
        </m:acc>
        <m:r>
          <w:rPr>
            <w:rFonts w:ascii="Cambria Math" w:hAnsi="Cambria Math" w:cs="Times New Roman"/>
            <w:sz w:val="16"/>
            <w:szCs w:val="16"/>
            <w:lang w:val="en-US"/>
          </w:rPr>
          <m:t>)</m:t>
        </m:r>
      </m:oMath>
      <w:r w:rsidRPr="00870653">
        <w:rPr>
          <w:rFonts w:ascii="Book Antiqua" w:hAnsi="Book Antiqua" w:cs="Times New Roman"/>
          <w:sz w:val="16"/>
          <w:szCs w:val="16"/>
          <w:lang w:val="en-US"/>
        </w:rPr>
        <w:t>,we have:</w:t>
      </w:r>
    </w:p>
    <w:p w14:paraId="65344AD7" w14:textId="264151DA" w:rsidR="00870653" w:rsidRPr="00870653" w:rsidRDefault="00870653" w:rsidP="00593707">
      <w:pPr>
        <w:pStyle w:val="Testonotaapidipagina"/>
        <w:numPr>
          <w:ilvl w:val="0"/>
          <w:numId w:val="7"/>
        </w:numPr>
        <w:jc w:val="both"/>
        <w:rPr>
          <w:rFonts w:ascii="Book Antiqua" w:hAnsi="Book Antiqua" w:cs="Times New Roman"/>
          <w:sz w:val="16"/>
          <w:szCs w:val="16"/>
          <w:lang w:val="en-US"/>
        </w:rPr>
      </w:pPr>
      <w:r w:rsidRPr="00870653">
        <w:rPr>
          <w:rFonts w:ascii="Book Antiqua" w:eastAsiaTheme="minorEastAsia" w:hAnsi="Book Antiqua" w:cs="Times New Roman"/>
          <w:sz w:val="16"/>
          <w:szCs w:val="16"/>
          <w:lang w:val="en-US"/>
        </w:rPr>
        <w:t xml:space="preserve">Under the null hypothesis </w:t>
      </w:r>
      <m:oMath>
        <m:acc>
          <m:accPr>
            <m:ctrlPr>
              <w:rPr>
                <w:rFonts w:ascii="Cambria Math" w:hAnsi="Cambria Math" w:cs="Times New Roman"/>
                <w:i/>
                <w:sz w:val="16"/>
                <w:szCs w:val="16"/>
              </w:rPr>
            </m:ctrlPr>
          </m:accPr>
          <m:e>
            <m:r>
              <w:rPr>
                <w:rFonts w:ascii="Cambria Math" w:hAnsi="Cambria Math" w:cs="Times New Roman"/>
                <w:sz w:val="16"/>
                <w:szCs w:val="16"/>
              </w:rPr>
              <m:t>ρ</m:t>
            </m:r>
          </m:e>
        </m:acc>
        <m:r>
          <w:rPr>
            <w:rFonts w:ascii="Cambria Math" w:hAnsi="Cambria Math" w:cs="Times New Roman"/>
            <w:sz w:val="16"/>
            <w:szCs w:val="16"/>
            <w:lang w:val="en-US"/>
          </w:rPr>
          <m:t>=0</m:t>
        </m:r>
      </m:oMath>
      <w:r w:rsidRPr="00870653">
        <w:rPr>
          <w:rFonts w:ascii="Book Antiqua" w:hAnsi="Book Antiqua" w:cs="Times New Roman"/>
          <w:sz w:val="16"/>
          <w:szCs w:val="16"/>
          <w:lang w:val="en-US"/>
        </w:rPr>
        <w:t xml:space="preserve">, so </w:t>
      </w:r>
      <m:oMath>
        <m:r>
          <w:rPr>
            <w:rFonts w:ascii="Cambria Math" w:hAnsi="Cambria Math" w:cs="Times New Roman"/>
            <w:sz w:val="16"/>
            <w:szCs w:val="16"/>
          </w:rPr>
          <m:t>DW</m:t>
        </m:r>
        <m:r>
          <w:rPr>
            <w:rFonts w:ascii="Cambria Math" w:hAnsi="Cambria Math" w:cs="Times New Roman"/>
            <w:sz w:val="16"/>
            <w:szCs w:val="16"/>
            <w:lang w:val="en-US"/>
          </w:rPr>
          <m:t>=2</m:t>
        </m:r>
      </m:oMath>
    </w:p>
    <w:p w14:paraId="2227F718" w14:textId="03A90820" w:rsidR="00870653" w:rsidRPr="00870653" w:rsidRDefault="00870653" w:rsidP="00593707">
      <w:pPr>
        <w:pStyle w:val="Testonotaapidipagina"/>
        <w:numPr>
          <w:ilvl w:val="0"/>
          <w:numId w:val="7"/>
        </w:numPr>
        <w:jc w:val="both"/>
        <w:rPr>
          <w:rFonts w:ascii="Book Antiqua" w:hAnsi="Book Antiqua" w:cs="Times New Roman"/>
          <w:sz w:val="16"/>
          <w:szCs w:val="16"/>
          <w:lang w:val="en-US"/>
        </w:rPr>
      </w:pPr>
      <w:r w:rsidRPr="00870653">
        <w:rPr>
          <w:rFonts w:ascii="Book Antiqua" w:eastAsiaTheme="minorEastAsia" w:hAnsi="Book Antiqua" w:cs="Times New Roman"/>
          <w:sz w:val="16"/>
          <w:szCs w:val="16"/>
          <w:lang w:val="en-US"/>
        </w:rPr>
        <w:t xml:space="preserve">In presence of positive correlation </w:t>
      </w:r>
      <m:oMath>
        <m:acc>
          <m:accPr>
            <m:ctrlPr>
              <w:rPr>
                <w:rFonts w:ascii="Cambria Math" w:hAnsi="Cambria Math" w:cs="Times New Roman"/>
                <w:i/>
                <w:sz w:val="16"/>
                <w:szCs w:val="16"/>
              </w:rPr>
            </m:ctrlPr>
          </m:accPr>
          <m:e>
            <m:r>
              <w:rPr>
                <w:rFonts w:ascii="Cambria Math" w:hAnsi="Cambria Math" w:cs="Times New Roman"/>
                <w:sz w:val="16"/>
                <w:szCs w:val="16"/>
              </w:rPr>
              <m:t>ρ</m:t>
            </m:r>
          </m:e>
        </m:acc>
        <m:r>
          <w:rPr>
            <w:rFonts w:ascii="Cambria Math" w:hAnsi="Cambria Math" w:cs="Times New Roman"/>
            <w:sz w:val="16"/>
            <w:szCs w:val="16"/>
            <w:lang w:val="en-US"/>
          </w:rPr>
          <m:t>=1</m:t>
        </m:r>
      </m:oMath>
      <w:r w:rsidRPr="00870653">
        <w:rPr>
          <w:rFonts w:ascii="Book Antiqua" w:hAnsi="Book Antiqua" w:cs="Times New Roman"/>
          <w:sz w:val="16"/>
          <w:szCs w:val="16"/>
          <w:lang w:val="en-US"/>
        </w:rPr>
        <w:t xml:space="preserve">, so </w:t>
      </w:r>
      <m:oMath>
        <m:r>
          <w:rPr>
            <w:rFonts w:ascii="Cambria Math" w:hAnsi="Cambria Math" w:cs="Times New Roman"/>
            <w:sz w:val="16"/>
            <w:szCs w:val="16"/>
          </w:rPr>
          <m:t>DW</m:t>
        </m:r>
        <m:r>
          <w:rPr>
            <w:rFonts w:ascii="Cambria Math" w:hAnsi="Cambria Math" w:cs="Times New Roman"/>
            <w:sz w:val="16"/>
            <w:szCs w:val="16"/>
            <w:lang w:val="en-US"/>
          </w:rPr>
          <m:t>≈0</m:t>
        </m:r>
      </m:oMath>
    </w:p>
    <w:p w14:paraId="79681F49" w14:textId="56655401" w:rsidR="00870653" w:rsidRPr="00870653" w:rsidRDefault="00870653" w:rsidP="00B414C6">
      <w:pPr>
        <w:pStyle w:val="Testonotaapidipagina"/>
        <w:numPr>
          <w:ilvl w:val="0"/>
          <w:numId w:val="7"/>
        </w:numPr>
        <w:jc w:val="both"/>
        <w:rPr>
          <w:rFonts w:ascii="Book Antiqua" w:hAnsi="Book Antiqua" w:cs="Times New Roman"/>
          <w:sz w:val="16"/>
          <w:szCs w:val="16"/>
          <w:lang w:val="en-US"/>
        </w:rPr>
      </w:pPr>
      <w:r w:rsidRPr="00870653">
        <w:rPr>
          <w:rFonts w:ascii="Book Antiqua" w:eastAsiaTheme="minorEastAsia" w:hAnsi="Book Antiqua" w:cs="Times New Roman"/>
          <w:sz w:val="16"/>
          <w:szCs w:val="16"/>
          <w:lang w:val="en-US"/>
        </w:rPr>
        <w:t xml:space="preserve">In presence of negative correlation </w:t>
      </w:r>
      <m:oMath>
        <m:acc>
          <m:accPr>
            <m:ctrlPr>
              <w:rPr>
                <w:rFonts w:ascii="Cambria Math" w:hAnsi="Cambria Math" w:cs="Times New Roman"/>
                <w:i/>
                <w:sz w:val="16"/>
                <w:szCs w:val="16"/>
              </w:rPr>
            </m:ctrlPr>
          </m:accPr>
          <m:e>
            <m:r>
              <w:rPr>
                <w:rFonts w:ascii="Cambria Math" w:hAnsi="Cambria Math" w:cs="Times New Roman"/>
                <w:sz w:val="16"/>
                <w:szCs w:val="16"/>
              </w:rPr>
              <m:t>ρ</m:t>
            </m:r>
          </m:e>
        </m:acc>
        <m:r>
          <w:rPr>
            <w:rFonts w:ascii="Cambria Math" w:hAnsi="Cambria Math" w:cs="Times New Roman"/>
            <w:sz w:val="16"/>
            <w:szCs w:val="16"/>
            <w:lang w:val="en-US"/>
          </w:rPr>
          <m:t>=-1</m:t>
        </m:r>
      </m:oMath>
      <w:r w:rsidRPr="00870653">
        <w:rPr>
          <w:rFonts w:ascii="Book Antiqua" w:hAnsi="Book Antiqua" w:cs="Times New Roman"/>
          <w:sz w:val="16"/>
          <w:szCs w:val="16"/>
          <w:lang w:val="en-US"/>
        </w:rPr>
        <w:t xml:space="preserve">, so </w:t>
      </w:r>
      <m:oMath>
        <m:r>
          <w:rPr>
            <w:rFonts w:ascii="Cambria Math" w:hAnsi="Cambria Math" w:cs="Times New Roman"/>
            <w:sz w:val="16"/>
            <w:szCs w:val="16"/>
          </w:rPr>
          <m:t>DW</m:t>
        </m:r>
        <m:r>
          <w:rPr>
            <w:rFonts w:ascii="Cambria Math" w:hAnsi="Cambria Math" w:cs="Times New Roman"/>
            <w:sz w:val="16"/>
            <w:szCs w:val="16"/>
            <w:lang w:val="en-US"/>
          </w:rPr>
          <m:t>≈4</m:t>
        </m:r>
      </m:oMath>
    </w:p>
  </w:footnote>
  <w:footnote w:id="8">
    <w:p w14:paraId="517B4DF9" w14:textId="56F8D66B" w:rsidR="00870653" w:rsidRPr="00870653" w:rsidRDefault="00870653" w:rsidP="00593707">
      <w:pPr>
        <w:pStyle w:val="Testonotaapidipagina"/>
        <w:jc w:val="both"/>
        <w:rPr>
          <w:rFonts w:ascii="Book Antiqua" w:hAnsi="Book Antiqua"/>
          <w:sz w:val="18"/>
          <w:szCs w:val="18"/>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The redenomination risk coefficient is positive and statistically significant only for Monte dei Paschi di Siena (See Appendix A.2. Table A4). Although it represents the least capitalized bank among the three considered in the analysis, the precarious condition of the bank has generated the fear of a possible bankruptcy which, in turn, has led the markets to price a redenomination risk in the bank’s CDS spreads. This has had an impact on the Italian banking system. However, the State's entry into the bank's capital as the largest shareholder (Telara, 2017) has caused  the loss of significance for redenomination risk coefficient, since, as long as the State will be present in the bank’s capital, there is no reason for insuring against banks’s bankruptcy. For this reason, from now on, in the analysis of the impact of redenomination risk on the Italian banking system, the coefficient will be significant only for the other two main banking groups</w:t>
      </w:r>
      <w:r w:rsidRPr="00870653">
        <w:rPr>
          <w:rFonts w:ascii="Book Antiqua" w:hAnsi="Book Antiqua"/>
          <w:sz w:val="18"/>
          <w:szCs w:val="18"/>
          <w:lang w:val="en-US"/>
        </w:rPr>
        <w:t>.</w:t>
      </w:r>
    </w:p>
  </w:footnote>
  <w:footnote w:id="9">
    <w:p w14:paraId="7C47F756" w14:textId="3C910890" w:rsidR="00870653" w:rsidRPr="00870653" w:rsidRDefault="00870653" w:rsidP="002D0C13">
      <w:pPr>
        <w:pStyle w:val="Testonotaapidipagina"/>
        <w:jc w:val="both"/>
        <w:rPr>
          <w:rFonts w:ascii="Book Antiqua" w:hAnsi="Book Antiqua"/>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When the sovereign debt crisis broke out, it was perceived the risk that the resilience of the sovereign debt of a Eurozone peripheral country could damage not only its own banking system, but also that of other Euro Area countries through bank holdings of other countries’ debt (Bolton and Jeanne, 2011). Cross-border relations have strengthened the links between sovereign States and have widened the chain of contagion: if a State fails, it is very likely that this could generate a domino effect that could lead to the breakup of the Euro Area (Li and Zinna, 2014).</w:t>
      </w:r>
    </w:p>
  </w:footnote>
  <w:footnote w:id="10">
    <w:p w14:paraId="29BC2455" w14:textId="4E3520B7" w:rsidR="00870653" w:rsidRPr="00870653" w:rsidRDefault="00870653" w:rsidP="002D0C13">
      <w:pPr>
        <w:pStyle w:val="Testonotaapidipagina"/>
        <w:jc w:val="both"/>
        <w:rPr>
          <w:rFonts w:ascii="Book Antiqua" w:hAnsi="Book Antiqua"/>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It became clear that Greece, with failing public finances, would have not been able to refinance its debt on the market. Subsequently, the other European countries intervened with bilateral loans, as well as the European Financial Stability Facility and the International Monetary Fund (Cesaratto, 2015).</w:t>
      </w:r>
    </w:p>
    <w:p w14:paraId="31CA9750" w14:textId="77777777" w:rsidR="00870653" w:rsidRPr="00870653" w:rsidRDefault="00870653" w:rsidP="002D0C13">
      <w:pPr>
        <w:pStyle w:val="Testonotaapidipagina"/>
        <w:jc w:val="both"/>
        <w:rPr>
          <w:rFonts w:ascii="Book Antiqua" w:hAnsi="Book Antiqua"/>
          <w:sz w:val="16"/>
          <w:szCs w:val="16"/>
          <w:lang w:val="en-US"/>
        </w:rPr>
      </w:pPr>
    </w:p>
  </w:footnote>
  <w:footnote w:id="11">
    <w:p w14:paraId="13B1EE5C" w14:textId="588C76F0" w:rsidR="00870653" w:rsidRPr="00870653" w:rsidRDefault="00870653" w:rsidP="00E87B54">
      <w:pPr>
        <w:pStyle w:val="Testonotaapidipagina"/>
        <w:jc w:val="both"/>
        <w:rPr>
          <w:rFonts w:ascii="Book Antiqua" w:hAnsi="Book Antiqua"/>
          <w:sz w:val="16"/>
          <w:szCs w:val="16"/>
          <w:lang w:val="en-US"/>
        </w:rPr>
      </w:pPr>
      <w:r w:rsidRPr="00F542AC">
        <w:rPr>
          <w:rStyle w:val="Rimandonotaapidipagina"/>
          <w:rFonts w:ascii="Book Antiqua" w:hAnsi="Book Antiqua"/>
          <w:sz w:val="16"/>
          <w:szCs w:val="16"/>
        </w:rPr>
        <w:footnoteRef/>
      </w:r>
      <w:r w:rsidRPr="00870653">
        <w:rPr>
          <w:rFonts w:ascii="Book Antiqua" w:hAnsi="Book Antiqua"/>
          <w:sz w:val="16"/>
          <w:szCs w:val="16"/>
          <w:lang w:val="en-US"/>
        </w:rPr>
        <w:t xml:space="preserve"> According to Li and Zinna (2014), with the fourth phase of the OMT the market has no longer priced in Euro systemic sovereign risk.</w:t>
      </w:r>
    </w:p>
  </w:footnote>
  <w:footnote w:id="12">
    <w:p w14:paraId="17C61947" w14:textId="13033CB0" w:rsidR="00870653" w:rsidRPr="00870653" w:rsidRDefault="00870653" w:rsidP="00E87B54">
      <w:pPr>
        <w:pStyle w:val="Testonotaapidipagina"/>
        <w:jc w:val="both"/>
        <w:rPr>
          <w:rFonts w:ascii="Times New Roman" w:hAnsi="Times New Roman" w:cs="Times New Roman"/>
          <w:sz w:val="18"/>
          <w:szCs w:val="18"/>
          <w:lang w:val="en-US"/>
        </w:rPr>
      </w:pPr>
      <w:r w:rsidRPr="00F542AC">
        <w:rPr>
          <w:rStyle w:val="Rimandonotaapidipagina"/>
          <w:rFonts w:ascii="Book Antiqua" w:hAnsi="Book Antiqua" w:cs="Times New Roman"/>
          <w:sz w:val="16"/>
          <w:szCs w:val="16"/>
        </w:rPr>
        <w:footnoteRef/>
      </w:r>
      <w:r w:rsidRPr="00870653">
        <w:rPr>
          <w:rFonts w:ascii="Book Antiqua" w:hAnsi="Book Antiqua" w:cs="Times New Roman"/>
          <w:sz w:val="16"/>
          <w:szCs w:val="16"/>
          <w:lang w:val="en-US"/>
        </w:rPr>
        <w:t xml:space="preserve"> The QE, initially called "Expanded Asset Purchase Program (APP)" and later "Public Sector Purchase Program (PSPP)", consists in the purchase by the ECB (European Central Bank) of long-term public and private securities in definitive way. It is an expansionary monetary policy measure with which the central bank essentially injects liquidity into the system, aimed at keeping long-term interest rates low and, therefore, at supporting aggregate demand (Cesaratto, 2015). The tensions associated with this intervention are reflected in the increased redenomination risk. One of the limits of QE, as Cesaratto said (2015), is that this has not been accompanied by expansionary fiscal policies. Considering the Italian case, austerity policies continued to exist in those years and, although one effect of the program was to reduce interest rates on debt, the debt-to-GDP ratio continued to grow. Therefore the market attention on the country's ability to refinance its debt has remained high.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2BD1"/>
    <w:multiLevelType w:val="hybridMultilevel"/>
    <w:tmpl w:val="4754D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F07622"/>
    <w:multiLevelType w:val="hybridMultilevel"/>
    <w:tmpl w:val="F928F91C"/>
    <w:lvl w:ilvl="0" w:tplc="41FCD9CA">
      <w:start w:val="1"/>
      <w:numFmt w:val="decimal"/>
      <w:lvlText w:val="[%1]"/>
      <w:lvlJc w:val="left"/>
      <w:pPr>
        <w:ind w:left="720" w:hanging="360"/>
      </w:pPr>
      <w:rPr>
        <w:rFonts w:ascii="Book Antiqua" w:eastAsia="Book Antiqua" w:hAnsi="Book Antiqua" w:cs="Book Antiqua" w:hint="default"/>
        <w:spacing w:val="-1"/>
        <w:w w:val="9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B35F9E"/>
    <w:multiLevelType w:val="hybridMultilevel"/>
    <w:tmpl w:val="D0D86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604A94"/>
    <w:multiLevelType w:val="hybridMultilevel"/>
    <w:tmpl w:val="B0902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D41971"/>
    <w:multiLevelType w:val="hybridMultilevel"/>
    <w:tmpl w:val="83722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270991"/>
    <w:multiLevelType w:val="hybridMultilevel"/>
    <w:tmpl w:val="5CEE9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C94170"/>
    <w:multiLevelType w:val="hybridMultilevel"/>
    <w:tmpl w:val="5E80ABA2"/>
    <w:lvl w:ilvl="0" w:tplc="41FCD9CA">
      <w:start w:val="1"/>
      <w:numFmt w:val="decimal"/>
      <w:lvlText w:val="[%1]"/>
      <w:lvlJc w:val="left"/>
      <w:pPr>
        <w:ind w:left="720" w:hanging="360"/>
      </w:pPr>
      <w:rPr>
        <w:rFonts w:ascii="Book Antiqua" w:eastAsia="Book Antiqua" w:hAnsi="Book Antiqua" w:cs="Book Antiqua" w:hint="default"/>
        <w:spacing w:val="-1"/>
        <w:w w:val="9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63467B"/>
    <w:multiLevelType w:val="hybridMultilevel"/>
    <w:tmpl w:val="4A1210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8A5BE1"/>
    <w:multiLevelType w:val="hybridMultilevel"/>
    <w:tmpl w:val="364A21F8"/>
    <w:lvl w:ilvl="0" w:tplc="B56A279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5BF6ACB"/>
    <w:multiLevelType w:val="hybridMultilevel"/>
    <w:tmpl w:val="808AA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E4123D"/>
    <w:multiLevelType w:val="hybridMultilevel"/>
    <w:tmpl w:val="BD88C2AA"/>
    <w:lvl w:ilvl="0" w:tplc="6090D742">
      <w:start w:val="1"/>
      <w:numFmt w:val="decimal"/>
      <w:lvlText w:val="%1"/>
      <w:lvlJc w:val="left"/>
      <w:pPr>
        <w:ind w:left="720" w:hanging="360"/>
      </w:pPr>
      <w:rPr>
        <w:rFonts w:ascii="Book Antiqua" w:eastAsia="Book Antiqua" w:hAnsi="Book Antiqua" w:cs="Book Antiqua" w:hint="default"/>
        <w:b/>
        <w:bCs/>
        <w:w w:val="112"/>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62A6CAF"/>
    <w:multiLevelType w:val="hybridMultilevel"/>
    <w:tmpl w:val="74EE4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453548"/>
    <w:multiLevelType w:val="hybridMultilevel"/>
    <w:tmpl w:val="10ACE6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884239"/>
    <w:multiLevelType w:val="hybridMultilevel"/>
    <w:tmpl w:val="8012D352"/>
    <w:lvl w:ilvl="0" w:tplc="0410000F">
      <w:start w:val="1"/>
      <w:numFmt w:val="decimal"/>
      <w:lvlText w:val="%1."/>
      <w:lvlJc w:val="left"/>
      <w:pPr>
        <w:ind w:left="588" w:hanging="360"/>
      </w:pPr>
    </w:lvl>
    <w:lvl w:ilvl="1" w:tplc="04100019" w:tentative="1">
      <w:start w:val="1"/>
      <w:numFmt w:val="lowerLetter"/>
      <w:lvlText w:val="%2."/>
      <w:lvlJc w:val="left"/>
      <w:pPr>
        <w:ind w:left="1308" w:hanging="360"/>
      </w:pPr>
    </w:lvl>
    <w:lvl w:ilvl="2" w:tplc="0410001B" w:tentative="1">
      <w:start w:val="1"/>
      <w:numFmt w:val="lowerRoman"/>
      <w:lvlText w:val="%3."/>
      <w:lvlJc w:val="right"/>
      <w:pPr>
        <w:ind w:left="2028" w:hanging="180"/>
      </w:pPr>
    </w:lvl>
    <w:lvl w:ilvl="3" w:tplc="0410000F" w:tentative="1">
      <w:start w:val="1"/>
      <w:numFmt w:val="decimal"/>
      <w:lvlText w:val="%4."/>
      <w:lvlJc w:val="left"/>
      <w:pPr>
        <w:ind w:left="2748" w:hanging="360"/>
      </w:pPr>
    </w:lvl>
    <w:lvl w:ilvl="4" w:tplc="04100019" w:tentative="1">
      <w:start w:val="1"/>
      <w:numFmt w:val="lowerLetter"/>
      <w:lvlText w:val="%5."/>
      <w:lvlJc w:val="left"/>
      <w:pPr>
        <w:ind w:left="3468" w:hanging="360"/>
      </w:pPr>
    </w:lvl>
    <w:lvl w:ilvl="5" w:tplc="0410001B" w:tentative="1">
      <w:start w:val="1"/>
      <w:numFmt w:val="lowerRoman"/>
      <w:lvlText w:val="%6."/>
      <w:lvlJc w:val="right"/>
      <w:pPr>
        <w:ind w:left="4188" w:hanging="180"/>
      </w:pPr>
    </w:lvl>
    <w:lvl w:ilvl="6" w:tplc="0410000F" w:tentative="1">
      <w:start w:val="1"/>
      <w:numFmt w:val="decimal"/>
      <w:lvlText w:val="%7."/>
      <w:lvlJc w:val="left"/>
      <w:pPr>
        <w:ind w:left="4908" w:hanging="360"/>
      </w:pPr>
    </w:lvl>
    <w:lvl w:ilvl="7" w:tplc="04100019" w:tentative="1">
      <w:start w:val="1"/>
      <w:numFmt w:val="lowerLetter"/>
      <w:lvlText w:val="%8."/>
      <w:lvlJc w:val="left"/>
      <w:pPr>
        <w:ind w:left="5628" w:hanging="360"/>
      </w:pPr>
    </w:lvl>
    <w:lvl w:ilvl="8" w:tplc="0410001B" w:tentative="1">
      <w:start w:val="1"/>
      <w:numFmt w:val="lowerRoman"/>
      <w:lvlText w:val="%9."/>
      <w:lvlJc w:val="right"/>
      <w:pPr>
        <w:ind w:left="6348" w:hanging="180"/>
      </w:pPr>
    </w:lvl>
  </w:abstractNum>
  <w:abstractNum w:abstractNumId="14">
    <w:nsid w:val="292C30F6"/>
    <w:multiLevelType w:val="hybridMultilevel"/>
    <w:tmpl w:val="18BC4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365107"/>
    <w:multiLevelType w:val="hybridMultilevel"/>
    <w:tmpl w:val="612A14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5E4D5E"/>
    <w:multiLevelType w:val="hybridMultilevel"/>
    <w:tmpl w:val="8F2E4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8411A5"/>
    <w:multiLevelType w:val="hybridMultilevel"/>
    <w:tmpl w:val="19F2C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75D1723"/>
    <w:multiLevelType w:val="hybridMultilevel"/>
    <w:tmpl w:val="829AD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30E9C"/>
    <w:multiLevelType w:val="hybridMultilevel"/>
    <w:tmpl w:val="596256D4"/>
    <w:lvl w:ilvl="0" w:tplc="B56A2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A9029C"/>
    <w:multiLevelType w:val="hybridMultilevel"/>
    <w:tmpl w:val="94FCF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79589A"/>
    <w:multiLevelType w:val="hybridMultilevel"/>
    <w:tmpl w:val="A990AA62"/>
    <w:lvl w:ilvl="0" w:tplc="B56A2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070C87"/>
    <w:multiLevelType w:val="hybridMultilevel"/>
    <w:tmpl w:val="5498A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802F4A"/>
    <w:multiLevelType w:val="hybridMultilevel"/>
    <w:tmpl w:val="B7385016"/>
    <w:lvl w:ilvl="0" w:tplc="B56A279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1A32EA4"/>
    <w:multiLevelType w:val="hybridMultilevel"/>
    <w:tmpl w:val="1F3C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36344E"/>
    <w:multiLevelType w:val="hybridMultilevel"/>
    <w:tmpl w:val="5D1A04AE"/>
    <w:lvl w:ilvl="0" w:tplc="0410000F">
      <w:start w:val="1"/>
      <w:numFmt w:val="decimal"/>
      <w:lvlText w:val="%1."/>
      <w:lvlJc w:val="left"/>
      <w:pPr>
        <w:ind w:left="720" w:hanging="360"/>
      </w:pPr>
      <w:rPr>
        <w:rFonts w:hint="default"/>
        <w:b/>
        <w:bCs/>
        <w:w w:val="112"/>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194C11"/>
    <w:multiLevelType w:val="hybridMultilevel"/>
    <w:tmpl w:val="BB60E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B73BF"/>
    <w:multiLevelType w:val="hybridMultilevel"/>
    <w:tmpl w:val="A5A66E7E"/>
    <w:lvl w:ilvl="0" w:tplc="6090D742">
      <w:start w:val="1"/>
      <w:numFmt w:val="decimal"/>
      <w:lvlText w:val="%1"/>
      <w:lvlJc w:val="left"/>
      <w:pPr>
        <w:ind w:left="720" w:hanging="360"/>
      </w:pPr>
      <w:rPr>
        <w:rFonts w:ascii="Book Antiqua" w:eastAsia="Book Antiqua" w:hAnsi="Book Antiqua" w:cs="Book Antiqua" w:hint="default"/>
        <w:b/>
        <w:bCs/>
        <w:w w:val="112"/>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F50703"/>
    <w:multiLevelType w:val="hybridMultilevel"/>
    <w:tmpl w:val="41805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8BB171F"/>
    <w:multiLevelType w:val="hybridMultilevel"/>
    <w:tmpl w:val="6C160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CB70DC"/>
    <w:multiLevelType w:val="hybridMultilevel"/>
    <w:tmpl w:val="0EA65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337652"/>
    <w:multiLevelType w:val="hybridMultilevel"/>
    <w:tmpl w:val="D30E380C"/>
    <w:lvl w:ilvl="0" w:tplc="B56A2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22240F"/>
    <w:multiLevelType w:val="hybridMultilevel"/>
    <w:tmpl w:val="1BBC59D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765444A3"/>
    <w:multiLevelType w:val="hybridMultilevel"/>
    <w:tmpl w:val="AC689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4A2E58"/>
    <w:multiLevelType w:val="hybridMultilevel"/>
    <w:tmpl w:val="678488C6"/>
    <w:lvl w:ilvl="0" w:tplc="B56A27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232A23"/>
    <w:multiLevelType w:val="hybridMultilevel"/>
    <w:tmpl w:val="82F8FA10"/>
    <w:lvl w:ilvl="0" w:tplc="6090D742">
      <w:start w:val="1"/>
      <w:numFmt w:val="decimal"/>
      <w:lvlText w:val="%1"/>
      <w:lvlJc w:val="left"/>
      <w:pPr>
        <w:ind w:left="720" w:hanging="360"/>
      </w:pPr>
      <w:rPr>
        <w:rFonts w:ascii="Book Antiqua" w:eastAsia="Book Antiqua" w:hAnsi="Book Antiqua" w:cs="Book Antiqua" w:hint="default"/>
        <w:b/>
        <w:bCs/>
        <w:w w:val="112"/>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E764DF4"/>
    <w:multiLevelType w:val="hybridMultilevel"/>
    <w:tmpl w:val="DB2EF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9273CD"/>
    <w:multiLevelType w:val="hybridMultilevel"/>
    <w:tmpl w:val="B628B7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5E10ED"/>
    <w:multiLevelType w:val="hybridMultilevel"/>
    <w:tmpl w:val="2A7C1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0"/>
  </w:num>
  <w:num w:numId="4">
    <w:abstractNumId w:val="3"/>
  </w:num>
  <w:num w:numId="5">
    <w:abstractNumId w:val="0"/>
  </w:num>
  <w:num w:numId="6">
    <w:abstractNumId w:val="18"/>
  </w:num>
  <w:num w:numId="7">
    <w:abstractNumId w:val="2"/>
  </w:num>
  <w:num w:numId="8">
    <w:abstractNumId w:val="4"/>
  </w:num>
  <w:num w:numId="9">
    <w:abstractNumId w:val="33"/>
  </w:num>
  <w:num w:numId="10">
    <w:abstractNumId w:val="26"/>
  </w:num>
  <w:num w:numId="11">
    <w:abstractNumId w:val="29"/>
  </w:num>
  <w:num w:numId="12">
    <w:abstractNumId w:val="11"/>
  </w:num>
  <w:num w:numId="13">
    <w:abstractNumId w:val="13"/>
  </w:num>
  <w:num w:numId="14">
    <w:abstractNumId w:val="14"/>
  </w:num>
  <w:num w:numId="15">
    <w:abstractNumId w:val="28"/>
  </w:num>
  <w:num w:numId="16">
    <w:abstractNumId w:val="15"/>
  </w:num>
  <w:num w:numId="17">
    <w:abstractNumId w:val="9"/>
  </w:num>
  <w:num w:numId="18">
    <w:abstractNumId w:val="16"/>
  </w:num>
  <w:num w:numId="19">
    <w:abstractNumId w:val="17"/>
  </w:num>
  <w:num w:numId="20">
    <w:abstractNumId w:val="36"/>
  </w:num>
  <w:num w:numId="21">
    <w:abstractNumId w:val="22"/>
  </w:num>
  <w:num w:numId="22">
    <w:abstractNumId w:val="24"/>
  </w:num>
  <w:num w:numId="23">
    <w:abstractNumId w:val="5"/>
  </w:num>
  <w:num w:numId="24">
    <w:abstractNumId w:val="12"/>
  </w:num>
  <w:num w:numId="25">
    <w:abstractNumId w:val="32"/>
  </w:num>
  <w:num w:numId="26">
    <w:abstractNumId w:val="34"/>
  </w:num>
  <w:num w:numId="27">
    <w:abstractNumId w:val="21"/>
  </w:num>
  <w:num w:numId="28">
    <w:abstractNumId w:val="7"/>
  </w:num>
  <w:num w:numId="29">
    <w:abstractNumId w:val="31"/>
  </w:num>
  <w:num w:numId="30">
    <w:abstractNumId w:val="38"/>
  </w:num>
  <w:num w:numId="31">
    <w:abstractNumId w:val="37"/>
  </w:num>
  <w:num w:numId="32">
    <w:abstractNumId w:val="30"/>
  </w:num>
  <w:num w:numId="33">
    <w:abstractNumId w:val="20"/>
  </w:num>
  <w:num w:numId="34">
    <w:abstractNumId w:val="23"/>
  </w:num>
  <w:num w:numId="35">
    <w:abstractNumId w:val="19"/>
  </w:num>
  <w:num w:numId="36">
    <w:abstractNumId w:val="8"/>
  </w:num>
  <w:num w:numId="37">
    <w:abstractNumId w:val="6"/>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B"/>
    <w:rsid w:val="0000049A"/>
    <w:rsid w:val="000046BA"/>
    <w:rsid w:val="000071EF"/>
    <w:rsid w:val="00015718"/>
    <w:rsid w:val="00020D10"/>
    <w:rsid w:val="00021643"/>
    <w:rsid w:val="000427F7"/>
    <w:rsid w:val="000470F1"/>
    <w:rsid w:val="00054AA7"/>
    <w:rsid w:val="00056528"/>
    <w:rsid w:val="000575F5"/>
    <w:rsid w:val="00057CD1"/>
    <w:rsid w:val="000610B0"/>
    <w:rsid w:val="0006324A"/>
    <w:rsid w:val="0007040B"/>
    <w:rsid w:val="00091403"/>
    <w:rsid w:val="00092E42"/>
    <w:rsid w:val="000A2F1D"/>
    <w:rsid w:val="000B02BD"/>
    <w:rsid w:val="000B453F"/>
    <w:rsid w:val="000B69FD"/>
    <w:rsid w:val="000C1B5F"/>
    <w:rsid w:val="000C2385"/>
    <w:rsid w:val="00106B47"/>
    <w:rsid w:val="00107103"/>
    <w:rsid w:val="00116A8D"/>
    <w:rsid w:val="00120BDB"/>
    <w:rsid w:val="00121645"/>
    <w:rsid w:val="001221E0"/>
    <w:rsid w:val="00122C3E"/>
    <w:rsid w:val="0013341C"/>
    <w:rsid w:val="001437BE"/>
    <w:rsid w:val="0016291A"/>
    <w:rsid w:val="00163DB1"/>
    <w:rsid w:val="0016617D"/>
    <w:rsid w:val="00167AE0"/>
    <w:rsid w:val="00170DAA"/>
    <w:rsid w:val="001870FA"/>
    <w:rsid w:val="00187188"/>
    <w:rsid w:val="001A20AC"/>
    <w:rsid w:val="001B1633"/>
    <w:rsid w:val="001C0D29"/>
    <w:rsid w:val="001C0E1E"/>
    <w:rsid w:val="001C1CD0"/>
    <w:rsid w:val="001C4228"/>
    <w:rsid w:val="001D466C"/>
    <w:rsid w:val="001D6CCB"/>
    <w:rsid w:val="001D71EB"/>
    <w:rsid w:val="001E567A"/>
    <w:rsid w:val="001F26A1"/>
    <w:rsid w:val="0020060F"/>
    <w:rsid w:val="00212959"/>
    <w:rsid w:val="00223C47"/>
    <w:rsid w:val="002255F0"/>
    <w:rsid w:val="00232FA6"/>
    <w:rsid w:val="0023795A"/>
    <w:rsid w:val="00250340"/>
    <w:rsid w:val="00254890"/>
    <w:rsid w:val="0025635A"/>
    <w:rsid w:val="002604F9"/>
    <w:rsid w:val="002629A9"/>
    <w:rsid w:val="00270EB6"/>
    <w:rsid w:val="00286B9C"/>
    <w:rsid w:val="002975AD"/>
    <w:rsid w:val="002A23CC"/>
    <w:rsid w:val="002A4C63"/>
    <w:rsid w:val="002A59F2"/>
    <w:rsid w:val="002A5ED1"/>
    <w:rsid w:val="002B08C3"/>
    <w:rsid w:val="002B53B7"/>
    <w:rsid w:val="002C47CA"/>
    <w:rsid w:val="002D0C13"/>
    <w:rsid w:val="002D6601"/>
    <w:rsid w:val="002E05A0"/>
    <w:rsid w:val="002F3DA8"/>
    <w:rsid w:val="00306FEB"/>
    <w:rsid w:val="00312F4C"/>
    <w:rsid w:val="00313467"/>
    <w:rsid w:val="00313666"/>
    <w:rsid w:val="00313F33"/>
    <w:rsid w:val="00314FA2"/>
    <w:rsid w:val="00320342"/>
    <w:rsid w:val="00336F2E"/>
    <w:rsid w:val="003400B4"/>
    <w:rsid w:val="00354658"/>
    <w:rsid w:val="00355AF8"/>
    <w:rsid w:val="00364E16"/>
    <w:rsid w:val="00372B48"/>
    <w:rsid w:val="00392602"/>
    <w:rsid w:val="003A2CFE"/>
    <w:rsid w:val="003A4DC2"/>
    <w:rsid w:val="003B5604"/>
    <w:rsid w:val="003D789B"/>
    <w:rsid w:val="003F1C68"/>
    <w:rsid w:val="003F6B9C"/>
    <w:rsid w:val="003F7FF1"/>
    <w:rsid w:val="00412601"/>
    <w:rsid w:val="00416AF1"/>
    <w:rsid w:val="00440EF0"/>
    <w:rsid w:val="004541B1"/>
    <w:rsid w:val="004565D3"/>
    <w:rsid w:val="004614A5"/>
    <w:rsid w:val="00466AA4"/>
    <w:rsid w:val="00467DF4"/>
    <w:rsid w:val="00471260"/>
    <w:rsid w:val="00480069"/>
    <w:rsid w:val="004855D4"/>
    <w:rsid w:val="00485F8D"/>
    <w:rsid w:val="00491CCA"/>
    <w:rsid w:val="00494A0C"/>
    <w:rsid w:val="004A6032"/>
    <w:rsid w:val="004C37C1"/>
    <w:rsid w:val="004C6DA2"/>
    <w:rsid w:val="004D6CC7"/>
    <w:rsid w:val="004E080E"/>
    <w:rsid w:val="004E1860"/>
    <w:rsid w:val="004E2BC8"/>
    <w:rsid w:val="004F3644"/>
    <w:rsid w:val="004F365F"/>
    <w:rsid w:val="004F6230"/>
    <w:rsid w:val="004F7F3C"/>
    <w:rsid w:val="0051263D"/>
    <w:rsid w:val="00526DFF"/>
    <w:rsid w:val="0053164F"/>
    <w:rsid w:val="0053366B"/>
    <w:rsid w:val="00555AAE"/>
    <w:rsid w:val="00556870"/>
    <w:rsid w:val="0056277F"/>
    <w:rsid w:val="00574D8E"/>
    <w:rsid w:val="0057646B"/>
    <w:rsid w:val="00586E15"/>
    <w:rsid w:val="005915D9"/>
    <w:rsid w:val="00591709"/>
    <w:rsid w:val="00591936"/>
    <w:rsid w:val="00593707"/>
    <w:rsid w:val="0059761D"/>
    <w:rsid w:val="005A5B98"/>
    <w:rsid w:val="005A7B19"/>
    <w:rsid w:val="005B48D1"/>
    <w:rsid w:val="005B6EB7"/>
    <w:rsid w:val="005B6F3C"/>
    <w:rsid w:val="005C00E0"/>
    <w:rsid w:val="005C7811"/>
    <w:rsid w:val="005D2A54"/>
    <w:rsid w:val="005D2A92"/>
    <w:rsid w:val="005D3959"/>
    <w:rsid w:val="005D4585"/>
    <w:rsid w:val="005F0096"/>
    <w:rsid w:val="005F4466"/>
    <w:rsid w:val="005F5687"/>
    <w:rsid w:val="00605CDB"/>
    <w:rsid w:val="00611ED3"/>
    <w:rsid w:val="006263B6"/>
    <w:rsid w:val="00631E3E"/>
    <w:rsid w:val="00632B36"/>
    <w:rsid w:val="006336D5"/>
    <w:rsid w:val="00633B76"/>
    <w:rsid w:val="00644EB4"/>
    <w:rsid w:val="00650C8E"/>
    <w:rsid w:val="006540E5"/>
    <w:rsid w:val="006546CE"/>
    <w:rsid w:val="00663861"/>
    <w:rsid w:val="0066786F"/>
    <w:rsid w:val="00672316"/>
    <w:rsid w:val="00673A81"/>
    <w:rsid w:val="00676985"/>
    <w:rsid w:val="00681530"/>
    <w:rsid w:val="006A0C10"/>
    <w:rsid w:val="006B3507"/>
    <w:rsid w:val="006B4592"/>
    <w:rsid w:val="006C1AAF"/>
    <w:rsid w:val="006C772C"/>
    <w:rsid w:val="006D07F1"/>
    <w:rsid w:val="006D099F"/>
    <w:rsid w:val="006D13DE"/>
    <w:rsid w:val="006D47C6"/>
    <w:rsid w:val="006F2E91"/>
    <w:rsid w:val="006F3DB3"/>
    <w:rsid w:val="00701B7B"/>
    <w:rsid w:val="00703884"/>
    <w:rsid w:val="00706BF6"/>
    <w:rsid w:val="00707BA5"/>
    <w:rsid w:val="00711C4F"/>
    <w:rsid w:val="00712A8B"/>
    <w:rsid w:val="00717805"/>
    <w:rsid w:val="00721C2C"/>
    <w:rsid w:val="0073189B"/>
    <w:rsid w:val="007411EA"/>
    <w:rsid w:val="00742ADC"/>
    <w:rsid w:val="0074661D"/>
    <w:rsid w:val="00746A88"/>
    <w:rsid w:val="00770C25"/>
    <w:rsid w:val="007746A3"/>
    <w:rsid w:val="007858CD"/>
    <w:rsid w:val="00787B7E"/>
    <w:rsid w:val="00791678"/>
    <w:rsid w:val="007A037B"/>
    <w:rsid w:val="007A154A"/>
    <w:rsid w:val="007B0A11"/>
    <w:rsid w:val="007B74D4"/>
    <w:rsid w:val="007C1FA9"/>
    <w:rsid w:val="007C21FC"/>
    <w:rsid w:val="007C46E0"/>
    <w:rsid w:val="007D1A20"/>
    <w:rsid w:val="007D51B0"/>
    <w:rsid w:val="007D6E05"/>
    <w:rsid w:val="007E0691"/>
    <w:rsid w:val="007F1508"/>
    <w:rsid w:val="007F3A43"/>
    <w:rsid w:val="007F6E18"/>
    <w:rsid w:val="008025EE"/>
    <w:rsid w:val="008038B6"/>
    <w:rsid w:val="00815474"/>
    <w:rsid w:val="00815AC7"/>
    <w:rsid w:val="00836204"/>
    <w:rsid w:val="00841814"/>
    <w:rsid w:val="008440FA"/>
    <w:rsid w:val="00846F6F"/>
    <w:rsid w:val="00851A61"/>
    <w:rsid w:val="00866EEF"/>
    <w:rsid w:val="00870653"/>
    <w:rsid w:val="00873481"/>
    <w:rsid w:val="00883748"/>
    <w:rsid w:val="008910F7"/>
    <w:rsid w:val="008A079E"/>
    <w:rsid w:val="008B0E92"/>
    <w:rsid w:val="008B13A2"/>
    <w:rsid w:val="008D4A0C"/>
    <w:rsid w:val="008D519D"/>
    <w:rsid w:val="008E19BC"/>
    <w:rsid w:val="008E1A9E"/>
    <w:rsid w:val="008F0485"/>
    <w:rsid w:val="008F08C8"/>
    <w:rsid w:val="008F7B6A"/>
    <w:rsid w:val="009007F9"/>
    <w:rsid w:val="00900F84"/>
    <w:rsid w:val="00906D19"/>
    <w:rsid w:val="009109B3"/>
    <w:rsid w:val="00910A0A"/>
    <w:rsid w:val="009129E4"/>
    <w:rsid w:val="00923F3B"/>
    <w:rsid w:val="00923F8F"/>
    <w:rsid w:val="00927D3A"/>
    <w:rsid w:val="00935B7C"/>
    <w:rsid w:val="00953C1A"/>
    <w:rsid w:val="00970A3D"/>
    <w:rsid w:val="00975937"/>
    <w:rsid w:val="00983C68"/>
    <w:rsid w:val="009959E1"/>
    <w:rsid w:val="00997805"/>
    <w:rsid w:val="009B0830"/>
    <w:rsid w:val="009C531E"/>
    <w:rsid w:val="009D15EB"/>
    <w:rsid w:val="009D3A4E"/>
    <w:rsid w:val="009D427A"/>
    <w:rsid w:val="009E3FD0"/>
    <w:rsid w:val="009F0985"/>
    <w:rsid w:val="00A0292F"/>
    <w:rsid w:val="00A035A0"/>
    <w:rsid w:val="00A060FD"/>
    <w:rsid w:val="00A06701"/>
    <w:rsid w:val="00A11292"/>
    <w:rsid w:val="00A23602"/>
    <w:rsid w:val="00A256BA"/>
    <w:rsid w:val="00A25AFD"/>
    <w:rsid w:val="00A32976"/>
    <w:rsid w:val="00A51B68"/>
    <w:rsid w:val="00A62F32"/>
    <w:rsid w:val="00A7114A"/>
    <w:rsid w:val="00A731CF"/>
    <w:rsid w:val="00A828C9"/>
    <w:rsid w:val="00A832AE"/>
    <w:rsid w:val="00A8573D"/>
    <w:rsid w:val="00A87724"/>
    <w:rsid w:val="00AB26DE"/>
    <w:rsid w:val="00AD75E9"/>
    <w:rsid w:val="00AE3679"/>
    <w:rsid w:val="00B0080A"/>
    <w:rsid w:val="00B01659"/>
    <w:rsid w:val="00B135C1"/>
    <w:rsid w:val="00B136CD"/>
    <w:rsid w:val="00B14FA6"/>
    <w:rsid w:val="00B2340C"/>
    <w:rsid w:val="00B24F3C"/>
    <w:rsid w:val="00B27133"/>
    <w:rsid w:val="00B36282"/>
    <w:rsid w:val="00B3654E"/>
    <w:rsid w:val="00B414C6"/>
    <w:rsid w:val="00B45E9F"/>
    <w:rsid w:val="00B4613A"/>
    <w:rsid w:val="00B504B0"/>
    <w:rsid w:val="00B627A7"/>
    <w:rsid w:val="00B71095"/>
    <w:rsid w:val="00B85B3C"/>
    <w:rsid w:val="00BA287C"/>
    <w:rsid w:val="00BB25EC"/>
    <w:rsid w:val="00BB7332"/>
    <w:rsid w:val="00BD2B7D"/>
    <w:rsid w:val="00BD50EA"/>
    <w:rsid w:val="00BE58C6"/>
    <w:rsid w:val="00BE5E4A"/>
    <w:rsid w:val="00BE6411"/>
    <w:rsid w:val="00BE7D84"/>
    <w:rsid w:val="00BF3D84"/>
    <w:rsid w:val="00C02FCF"/>
    <w:rsid w:val="00C06589"/>
    <w:rsid w:val="00C078AA"/>
    <w:rsid w:val="00C12D9E"/>
    <w:rsid w:val="00C1621D"/>
    <w:rsid w:val="00C1717D"/>
    <w:rsid w:val="00C21402"/>
    <w:rsid w:val="00C23494"/>
    <w:rsid w:val="00C255AE"/>
    <w:rsid w:val="00C32C3E"/>
    <w:rsid w:val="00C51171"/>
    <w:rsid w:val="00C65492"/>
    <w:rsid w:val="00C66909"/>
    <w:rsid w:val="00C67569"/>
    <w:rsid w:val="00C708DB"/>
    <w:rsid w:val="00C7096C"/>
    <w:rsid w:val="00C722F7"/>
    <w:rsid w:val="00C83C84"/>
    <w:rsid w:val="00CA3789"/>
    <w:rsid w:val="00CA6E75"/>
    <w:rsid w:val="00CB32D5"/>
    <w:rsid w:val="00CB452B"/>
    <w:rsid w:val="00CC30CE"/>
    <w:rsid w:val="00CD0DF6"/>
    <w:rsid w:val="00CF2C1A"/>
    <w:rsid w:val="00D13177"/>
    <w:rsid w:val="00D170BD"/>
    <w:rsid w:val="00D20800"/>
    <w:rsid w:val="00D24F67"/>
    <w:rsid w:val="00D27077"/>
    <w:rsid w:val="00D3692D"/>
    <w:rsid w:val="00D560AF"/>
    <w:rsid w:val="00D60B97"/>
    <w:rsid w:val="00D72210"/>
    <w:rsid w:val="00D72F93"/>
    <w:rsid w:val="00D750EB"/>
    <w:rsid w:val="00DB38A5"/>
    <w:rsid w:val="00DB7B3D"/>
    <w:rsid w:val="00DC49FB"/>
    <w:rsid w:val="00DC4AF5"/>
    <w:rsid w:val="00DC521A"/>
    <w:rsid w:val="00DC6154"/>
    <w:rsid w:val="00DD212B"/>
    <w:rsid w:val="00DD4C02"/>
    <w:rsid w:val="00DE1186"/>
    <w:rsid w:val="00DE33A8"/>
    <w:rsid w:val="00DE5EBB"/>
    <w:rsid w:val="00DE7CDB"/>
    <w:rsid w:val="00DF05DA"/>
    <w:rsid w:val="00E017E3"/>
    <w:rsid w:val="00E02923"/>
    <w:rsid w:val="00E10716"/>
    <w:rsid w:val="00E16F12"/>
    <w:rsid w:val="00E21C52"/>
    <w:rsid w:val="00E31897"/>
    <w:rsid w:val="00E31B13"/>
    <w:rsid w:val="00E36F82"/>
    <w:rsid w:val="00E4286D"/>
    <w:rsid w:val="00E542E2"/>
    <w:rsid w:val="00E61469"/>
    <w:rsid w:val="00E6182D"/>
    <w:rsid w:val="00E62BE9"/>
    <w:rsid w:val="00E64598"/>
    <w:rsid w:val="00E64AF1"/>
    <w:rsid w:val="00E67521"/>
    <w:rsid w:val="00E776E3"/>
    <w:rsid w:val="00E82FF5"/>
    <w:rsid w:val="00E85EE2"/>
    <w:rsid w:val="00E87B54"/>
    <w:rsid w:val="00E9210F"/>
    <w:rsid w:val="00E932A6"/>
    <w:rsid w:val="00EA791B"/>
    <w:rsid w:val="00EB1BAF"/>
    <w:rsid w:val="00EB22C4"/>
    <w:rsid w:val="00EB4D4E"/>
    <w:rsid w:val="00EB6FE6"/>
    <w:rsid w:val="00ED7697"/>
    <w:rsid w:val="00EE236C"/>
    <w:rsid w:val="00EF74B5"/>
    <w:rsid w:val="00F07998"/>
    <w:rsid w:val="00F13420"/>
    <w:rsid w:val="00F20A26"/>
    <w:rsid w:val="00F23C07"/>
    <w:rsid w:val="00F2428C"/>
    <w:rsid w:val="00F401F0"/>
    <w:rsid w:val="00F51721"/>
    <w:rsid w:val="00F53124"/>
    <w:rsid w:val="00F542AC"/>
    <w:rsid w:val="00F55552"/>
    <w:rsid w:val="00F70FDD"/>
    <w:rsid w:val="00F7553C"/>
    <w:rsid w:val="00F75EAF"/>
    <w:rsid w:val="00F97AF3"/>
    <w:rsid w:val="00F97B0B"/>
    <w:rsid w:val="00FA76E9"/>
    <w:rsid w:val="00FB778B"/>
    <w:rsid w:val="00FC1749"/>
    <w:rsid w:val="00FC3A73"/>
    <w:rsid w:val="00FD42A4"/>
    <w:rsid w:val="00FE54E3"/>
    <w:rsid w:val="00FF0601"/>
    <w:rsid w:val="00FF4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0650"/>
  <w15:chartTrackingRefBased/>
  <w15:docId w15:val="{D5BAE21D-FA49-48F7-B6E2-76E8BE9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66EEF"/>
    <w:pPr>
      <w:keepNext/>
      <w:keepLines/>
      <w:widowControl w:val="0"/>
      <w:suppressAutoHyphens/>
      <w:spacing w:before="240" w:after="0" w:line="240" w:lineRule="auto"/>
      <w:outlineLvl w:val="0"/>
    </w:pPr>
    <w:rPr>
      <w:rFonts w:asciiTheme="majorHAnsi" w:eastAsiaTheme="majorEastAsia" w:hAnsiTheme="majorHAnsi" w:cs="Mangal"/>
      <w:color w:val="365F91" w:themeColor="accent1" w:themeShade="BF"/>
      <w:kern w:val="1"/>
      <w:sz w:val="32"/>
      <w:szCs w:val="29"/>
      <w:lang w:eastAsia="hi-IN" w:bidi="hi-IN"/>
    </w:rPr>
  </w:style>
  <w:style w:type="paragraph" w:styleId="Titolo2">
    <w:name w:val="heading 2"/>
    <w:basedOn w:val="Normale"/>
    <w:next w:val="Normale"/>
    <w:link w:val="Titolo2Carattere"/>
    <w:uiPriority w:val="9"/>
    <w:unhideWhenUsed/>
    <w:qFormat/>
    <w:rsid w:val="00866EEF"/>
    <w:pPr>
      <w:keepNext/>
      <w:keepLines/>
      <w:widowControl w:val="0"/>
      <w:suppressAutoHyphens/>
      <w:spacing w:before="40" w:after="0" w:line="240" w:lineRule="auto"/>
      <w:outlineLvl w:val="1"/>
    </w:pPr>
    <w:rPr>
      <w:rFonts w:asciiTheme="majorHAnsi" w:eastAsiaTheme="majorEastAsia" w:hAnsiTheme="majorHAnsi" w:cs="Mangal"/>
      <w:color w:val="365F91" w:themeColor="accent1" w:themeShade="BF"/>
      <w:kern w:val="1"/>
      <w:sz w:val="26"/>
      <w:szCs w:val="23"/>
      <w:lang w:eastAsia="hi-IN" w:bidi="hi-IN"/>
    </w:rPr>
  </w:style>
  <w:style w:type="paragraph" w:styleId="Titolo3">
    <w:name w:val="heading 3"/>
    <w:basedOn w:val="Normale"/>
    <w:next w:val="Normale"/>
    <w:link w:val="Titolo3Carattere"/>
    <w:uiPriority w:val="9"/>
    <w:unhideWhenUsed/>
    <w:qFormat/>
    <w:rsid w:val="00866EEF"/>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1"/>
      <w:sz w:val="24"/>
      <w:szCs w:val="21"/>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040B"/>
    <w:pPr>
      <w:ind w:left="720"/>
      <w:contextualSpacing/>
    </w:pPr>
  </w:style>
  <w:style w:type="paragraph" w:customStyle="1" w:styleId="MDPI12title">
    <w:name w:val="MDPI_1.2_title"/>
    <w:next w:val="Normale"/>
    <w:qFormat/>
    <w:rsid w:val="0007040B"/>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styleId="Corpotesto">
    <w:name w:val="Body Text"/>
    <w:basedOn w:val="Normale"/>
    <w:link w:val="CorpotestoCarattere"/>
    <w:uiPriority w:val="1"/>
    <w:qFormat/>
    <w:rsid w:val="0007040B"/>
    <w:pPr>
      <w:widowControl w:val="0"/>
      <w:autoSpaceDE w:val="0"/>
      <w:autoSpaceDN w:val="0"/>
      <w:spacing w:after="0" w:line="240" w:lineRule="auto"/>
    </w:pPr>
    <w:rPr>
      <w:rFonts w:ascii="Book Antiqua" w:eastAsia="Book Antiqua" w:hAnsi="Book Antiqua" w:cs="Book Antiqua"/>
      <w:sz w:val="20"/>
      <w:szCs w:val="20"/>
      <w:lang w:val="en-US"/>
    </w:rPr>
  </w:style>
  <w:style w:type="character" w:customStyle="1" w:styleId="CorpotestoCarattere">
    <w:name w:val="Corpo testo Carattere"/>
    <w:basedOn w:val="Carpredefinitoparagrafo"/>
    <w:link w:val="Corpotesto"/>
    <w:uiPriority w:val="1"/>
    <w:rsid w:val="0007040B"/>
    <w:rPr>
      <w:rFonts w:ascii="Book Antiqua" w:eastAsia="Book Antiqua" w:hAnsi="Book Antiqua" w:cs="Book Antiqua"/>
      <w:sz w:val="20"/>
      <w:szCs w:val="20"/>
      <w:lang w:val="en-US"/>
    </w:rPr>
  </w:style>
  <w:style w:type="character" w:styleId="Collegamentoipertestuale">
    <w:name w:val="Hyperlink"/>
    <w:basedOn w:val="Carpredefinitoparagrafo"/>
    <w:uiPriority w:val="99"/>
    <w:unhideWhenUsed/>
    <w:rsid w:val="0007040B"/>
    <w:rPr>
      <w:color w:val="0000FF" w:themeColor="hyperlink"/>
      <w:u w:val="single"/>
    </w:rPr>
  </w:style>
  <w:style w:type="character" w:customStyle="1" w:styleId="Menzionenonrisolta1">
    <w:name w:val="Menzione non risolta1"/>
    <w:basedOn w:val="Carpredefinitoparagrafo"/>
    <w:uiPriority w:val="99"/>
    <w:semiHidden/>
    <w:unhideWhenUsed/>
    <w:rsid w:val="0007040B"/>
    <w:rPr>
      <w:color w:val="605E5C"/>
      <w:shd w:val="clear" w:color="auto" w:fill="E1DFDD"/>
    </w:rPr>
  </w:style>
  <w:style w:type="paragraph" w:styleId="Testonotaapidipagina">
    <w:name w:val="footnote text"/>
    <w:basedOn w:val="Normale"/>
    <w:link w:val="TestonotaapidipaginaCarattere"/>
    <w:uiPriority w:val="99"/>
    <w:unhideWhenUsed/>
    <w:rsid w:val="00FB77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B778B"/>
    <w:rPr>
      <w:sz w:val="20"/>
      <w:szCs w:val="20"/>
    </w:rPr>
  </w:style>
  <w:style w:type="character" w:styleId="Rimandonotaapidipagina">
    <w:name w:val="footnote reference"/>
    <w:basedOn w:val="Carpredefinitoparagrafo"/>
    <w:uiPriority w:val="99"/>
    <w:semiHidden/>
    <w:unhideWhenUsed/>
    <w:rsid w:val="00FB778B"/>
    <w:rPr>
      <w:vertAlign w:val="superscript"/>
    </w:rPr>
  </w:style>
  <w:style w:type="paragraph" w:customStyle="1" w:styleId="MDPI18keywords">
    <w:name w:val="MDPI_1.8_keywords"/>
    <w:basedOn w:val="Normale"/>
    <w:next w:val="Normale"/>
    <w:qFormat/>
    <w:rsid w:val="00CC30CE"/>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styleId="Intestazione">
    <w:name w:val="header"/>
    <w:basedOn w:val="Normale"/>
    <w:link w:val="IntestazioneCarattere"/>
    <w:uiPriority w:val="99"/>
    <w:unhideWhenUsed/>
    <w:rsid w:val="00712A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8B"/>
  </w:style>
  <w:style w:type="paragraph" w:styleId="Pidipagina">
    <w:name w:val="footer"/>
    <w:basedOn w:val="Normale"/>
    <w:link w:val="PidipaginaCarattere"/>
    <w:uiPriority w:val="99"/>
    <w:unhideWhenUsed/>
    <w:rsid w:val="00712A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8B"/>
  </w:style>
  <w:style w:type="character" w:customStyle="1" w:styleId="Titolo1Carattere">
    <w:name w:val="Titolo 1 Carattere"/>
    <w:basedOn w:val="Carpredefinitoparagrafo"/>
    <w:link w:val="Titolo1"/>
    <w:uiPriority w:val="9"/>
    <w:rsid w:val="00866EEF"/>
    <w:rPr>
      <w:rFonts w:asciiTheme="majorHAnsi" w:eastAsiaTheme="majorEastAsia" w:hAnsiTheme="majorHAnsi" w:cs="Mangal"/>
      <w:color w:val="365F91" w:themeColor="accent1" w:themeShade="BF"/>
      <w:kern w:val="1"/>
      <w:sz w:val="32"/>
      <w:szCs w:val="29"/>
      <w:lang w:eastAsia="hi-IN" w:bidi="hi-IN"/>
    </w:rPr>
  </w:style>
  <w:style w:type="character" w:customStyle="1" w:styleId="Titolo2Carattere">
    <w:name w:val="Titolo 2 Carattere"/>
    <w:basedOn w:val="Carpredefinitoparagrafo"/>
    <w:link w:val="Titolo2"/>
    <w:uiPriority w:val="9"/>
    <w:rsid w:val="00866EEF"/>
    <w:rPr>
      <w:rFonts w:asciiTheme="majorHAnsi" w:eastAsiaTheme="majorEastAsia" w:hAnsiTheme="majorHAnsi" w:cs="Mangal"/>
      <w:color w:val="365F91" w:themeColor="accent1" w:themeShade="BF"/>
      <w:kern w:val="1"/>
      <w:sz w:val="26"/>
      <w:szCs w:val="23"/>
      <w:lang w:eastAsia="hi-IN" w:bidi="hi-IN"/>
    </w:rPr>
  </w:style>
  <w:style w:type="character" w:customStyle="1" w:styleId="Titolo3Carattere">
    <w:name w:val="Titolo 3 Carattere"/>
    <w:basedOn w:val="Carpredefinitoparagrafo"/>
    <w:link w:val="Titolo3"/>
    <w:uiPriority w:val="9"/>
    <w:rsid w:val="00866EEF"/>
    <w:rPr>
      <w:rFonts w:asciiTheme="majorHAnsi" w:eastAsiaTheme="majorEastAsia" w:hAnsiTheme="majorHAnsi" w:cs="Mangal"/>
      <w:color w:val="243F60" w:themeColor="accent1" w:themeShade="7F"/>
      <w:kern w:val="1"/>
      <w:sz w:val="24"/>
      <w:szCs w:val="21"/>
      <w:lang w:eastAsia="hi-IN" w:bidi="hi-IN"/>
    </w:rPr>
  </w:style>
  <w:style w:type="numbering" w:customStyle="1" w:styleId="Nessunelenco1">
    <w:name w:val="Nessun elenco1"/>
    <w:next w:val="Nessunelenco"/>
    <w:uiPriority w:val="99"/>
    <w:semiHidden/>
    <w:unhideWhenUsed/>
    <w:rsid w:val="00866EEF"/>
  </w:style>
  <w:style w:type="paragraph" w:customStyle="1" w:styleId="Intestazione1">
    <w:name w:val="Intestazione1"/>
    <w:basedOn w:val="Normale"/>
    <w:next w:val="Corpotesto"/>
    <w:rsid w:val="00866EE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Elenco">
    <w:name w:val="List"/>
    <w:basedOn w:val="Corpotesto"/>
    <w:rsid w:val="00866EEF"/>
    <w:pPr>
      <w:suppressAutoHyphens/>
      <w:autoSpaceDE/>
      <w:autoSpaceDN/>
      <w:spacing w:after="120"/>
    </w:pPr>
    <w:rPr>
      <w:rFonts w:ascii="Times New Roman" w:eastAsia="SimSun" w:hAnsi="Times New Roman" w:cs="Mangal"/>
      <w:kern w:val="1"/>
      <w:sz w:val="24"/>
      <w:szCs w:val="24"/>
      <w:lang w:val="it-IT" w:eastAsia="hi-IN" w:bidi="hi-IN"/>
    </w:rPr>
  </w:style>
  <w:style w:type="paragraph" w:customStyle="1" w:styleId="Didascalia1">
    <w:name w:val="Didascalia1"/>
    <w:basedOn w:val="Normale"/>
    <w:rsid w:val="00866EEF"/>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ice">
    <w:name w:val="Indice"/>
    <w:basedOn w:val="Normale"/>
    <w:rsid w:val="00866EE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stofumetto">
    <w:name w:val="Balloon Text"/>
    <w:basedOn w:val="Normale"/>
    <w:link w:val="TestofumettoCarattere"/>
    <w:uiPriority w:val="99"/>
    <w:semiHidden/>
    <w:unhideWhenUsed/>
    <w:rsid w:val="00866EEF"/>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stofumettoCarattere">
    <w:name w:val="Testo fumetto Carattere"/>
    <w:basedOn w:val="Carpredefinitoparagrafo"/>
    <w:link w:val="Testofumetto"/>
    <w:uiPriority w:val="99"/>
    <w:semiHidden/>
    <w:rsid w:val="00866EEF"/>
    <w:rPr>
      <w:rFonts w:ascii="Tahoma" w:eastAsia="SimSun" w:hAnsi="Tahoma" w:cs="Mangal"/>
      <w:kern w:val="1"/>
      <w:sz w:val="16"/>
      <w:szCs w:val="14"/>
      <w:lang w:eastAsia="hi-IN" w:bidi="hi-IN"/>
    </w:rPr>
  </w:style>
  <w:style w:type="numbering" w:customStyle="1" w:styleId="Nessunelenco11">
    <w:name w:val="Nessun elenco11"/>
    <w:next w:val="Nessunelenco"/>
    <w:uiPriority w:val="99"/>
    <w:semiHidden/>
    <w:unhideWhenUsed/>
    <w:rsid w:val="00866EEF"/>
  </w:style>
  <w:style w:type="character" w:styleId="Testosegnaposto">
    <w:name w:val="Placeholder Text"/>
    <w:basedOn w:val="Carpredefinitoparagrafo"/>
    <w:uiPriority w:val="99"/>
    <w:semiHidden/>
    <w:rsid w:val="00866EEF"/>
    <w:rPr>
      <w:color w:val="808080"/>
    </w:rPr>
  </w:style>
  <w:style w:type="paragraph" w:styleId="NormaleWeb">
    <w:name w:val="Normal (Web)"/>
    <w:basedOn w:val="Normale"/>
    <w:uiPriority w:val="99"/>
    <w:unhideWhenUsed/>
    <w:rsid w:val="00866E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10">
    <w:name w:val="Menzione non risolta1"/>
    <w:basedOn w:val="Carpredefinitoparagrafo"/>
    <w:uiPriority w:val="99"/>
    <w:semiHidden/>
    <w:unhideWhenUsed/>
    <w:rsid w:val="00866EEF"/>
    <w:rPr>
      <w:color w:val="605E5C"/>
      <w:shd w:val="clear" w:color="auto" w:fill="E1DFDD"/>
    </w:rPr>
  </w:style>
  <w:style w:type="paragraph" w:styleId="Titolosommario">
    <w:name w:val="TOC Heading"/>
    <w:basedOn w:val="Titolo1"/>
    <w:next w:val="Normale"/>
    <w:uiPriority w:val="39"/>
    <w:unhideWhenUsed/>
    <w:qFormat/>
    <w:rsid w:val="00866EEF"/>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866EEF"/>
    <w:pPr>
      <w:widowControl w:val="0"/>
      <w:suppressAutoHyphens/>
      <w:spacing w:after="100" w:line="240" w:lineRule="auto"/>
    </w:pPr>
    <w:rPr>
      <w:rFonts w:ascii="Times New Roman" w:eastAsia="SimSun" w:hAnsi="Times New Roman" w:cs="Mangal"/>
      <w:kern w:val="1"/>
      <w:sz w:val="24"/>
      <w:szCs w:val="21"/>
      <w:lang w:eastAsia="hi-IN" w:bidi="hi-IN"/>
    </w:rPr>
  </w:style>
  <w:style w:type="paragraph" w:styleId="Sommario2">
    <w:name w:val="toc 2"/>
    <w:basedOn w:val="Normale"/>
    <w:next w:val="Normale"/>
    <w:autoRedefine/>
    <w:uiPriority w:val="39"/>
    <w:unhideWhenUsed/>
    <w:rsid w:val="00866EEF"/>
    <w:pPr>
      <w:widowControl w:val="0"/>
      <w:suppressAutoHyphens/>
      <w:spacing w:after="100" w:line="240" w:lineRule="auto"/>
      <w:ind w:left="240"/>
    </w:pPr>
    <w:rPr>
      <w:rFonts w:ascii="Times New Roman" w:eastAsia="SimSun" w:hAnsi="Times New Roman" w:cs="Mangal"/>
      <w:kern w:val="1"/>
      <w:sz w:val="24"/>
      <w:szCs w:val="21"/>
      <w:lang w:eastAsia="hi-IN" w:bidi="hi-IN"/>
    </w:rPr>
  </w:style>
  <w:style w:type="paragraph" w:styleId="Sommario3">
    <w:name w:val="toc 3"/>
    <w:basedOn w:val="Normale"/>
    <w:next w:val="Normale"/>
    <w:autoRedefine/>
    <w:uiPriority w:val="39"/>
    <w:unhideWhenUsed/>
    <w:rsid w:val="00866EEF"/>
    <w:pPr>
      <w:widowControl w:val="0"/>
      <w:suppressAutoHyphens/>
      <w:spacing w:after="100" w:line="240" w:lineRule="auto"/>
      <w:ind w:left="480"/>
    </w:pPr>
    <w:rPr>
      <w:rFonts w:ascii="Times New Roman" w:eastAsia="SimSun" w:hAnsi="Times New Roman" w:cs="Mangal"/>
      <w:kern w:val="1"/>
      <w:sz w:val="24"/>
      <w:szCs w:val="21"/>
      <w:lang w:eastAsia="hi-IN" w:bidi="hi-IN"/>
    </w:rPr>
  </w:style>
  <w:style w:type="character" w:styleId="Collegamentovisitato">
    <w:name w:val="FollowedHyperlink"/>
    <w:basedOn w:val="Carpredefinitoparagrafo"/>
    <w:uiPriority w:val="99"/>
    <w:semiHidden/>
    <w:unhideWhenUsed/>
    <w:rsid w:val="00CF2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papers.ssrn.com/sol3/papers.cfm?abstract_id=1666793" TargetMode="External"/><Relationship Id="rId26" Type="http://schemas.openxmlformats.org/officeDocument/2006/relationships/hyperlink" Target="https://ssrn.com/abstract=3132064" TargetMode="External"/><Relationship Id="rId39" Type="http://schemas.openxmlformats.org/officeDocument/2006/relationships/hyperlink" Target="http://fmwww.bc.edu/ec-c/f2010/228/EC228.f2010.nn12.pdf" TargetMode="External"/><Relationship Id="rId21" Type="http://schemas.openxmlformats.org/officeDocument/2006/relationships/hyperlink" Target="https://ihsmarkit.com/research-analysis/29092014-credit-the-isda-basis-reviewed.html" TargetMode="External"/><Relationship Id="rId34" Type="http://schemas.openxmlformats.org/officeDocument/2006/relationships/hyperlink" Target="https://www.cnbc.com/2018/12/17/major-global-markets-already-in-bear-market%20stoking-growth-fear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ilsole24ore.com/art/notizie/2016-06-22/brexit-o-no-l-instabilita-sara-prezzo-pagare-e-l-italia-rischia-piu-011057.shtml" TargetMode="External"/><Relationship Id="rId20" Type="http://schemas.openxmlformats.org/officeDocument/2006/relationships/hyperlink" Target="https://st.ilsole24ore.com/art/commenti-e-idee/2018-09-06/quanto-pesa-rischio-italexit-spread-124920.shtml" TargetMode="External"/><Relationship Id="rId29" Type="http://schemas.openxmlformats.org/officeDocument/2006/relationships/hyperlink" Target="https://www.ilsole24ore.com/art/debito-pubblico-l-incertezza-politica-ha-costo-extra-5-miliardi-AC7LA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imf.org/en/Publications/REO/EU/Issues/2017/11/06/Eurreo1117" TargetMode="External"/><Relationship Id="rId32" Type="http://schemas.openxmlformats.org/officeDocument/2006/relationships/hyperlink" Target="http://utenti.dises.univpm.it/palomba/Mat/DispensaESS.pdf" TargetMode="External"/><Relationship Id="rId37" Type="http://schemas.openxmlformats.org/officeDocument/2006/relationships/hyperlink" Target="https://www.panorama.it/news/economia/mps-cosa-cambia-ingresso-stat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rsaitaliana.it/notizie/sotto-la-lente/differenza-tra-credit-default-swap-e-spread.htm" TargetMode="External"/><Relationship Id="rId23" Type="http://schemas.openxmlformats.org/officeDocument/2006/relationships/hyperlink" Target="https://www.ilpost.it/2014/11/01/mps-condanne-crollo-in-borsa/" TargetMode="External"/><Relationship Id="rId28" Type="http://schemas.openxmlformats.org/officeDocument/2006/relationships/hyperlink" Target="https://st.ilsole24ore.com/art/finanza-e-mercati/2018-10-11/italexit-e-vera-paura-mercati-dice-cds-193517.shtml" TargetMode="External"/><Relationship Id="rId36" Type="http://schemas.openxmlformats.org/officeDocument/2006/relationships/hyperlink" Target="https://www.panorama.it/news/economia/mps-storia-di-una-crisi" TargetMode="External"/><Relationship Id="rId10" Type="http://schemas.openxmlformats.org/officeDocument/2006/relationships/image" Target="media/image3.emf"/><Relationship Id="rId19" Type="http://schemas.openxmlformats.org/officeDocument/2006/relationships/hyperlink" Target="https://onlinelibrary.wiley.com/doi/abs/10.1111/jmcb.12582" TargetMode="External"/><Relationship Id="rId31" Type="http://schemas.openxmlformats.org/officeDocument/2006/relationships/hyperlink" Target="http://www.dt.mef.gov.it/it/debito_pubblico/specialisti_titoli_stat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sciencedirect.com/science/article/abs/pii/S104244311400064X" TargetMode="External"/><Relationship Id="rId22" Type="http://schemas.openxmlformats.org/officeDocument/2006/relationships/hyperlink" Target="https://ihsmarkit.com/research-analysis/cds-redenomination.html" TargetMode="External"/><Relationship Id="rId27" Type="http://schemas.openxmlformats.org/officeDocument/2006/relationships/hyperlink" Target="https://dx.doi.org/10.2139/ssrn.3132064" TargetMode="External"/><Relationship Id="rId30" Type="http://schemas.openxmlformats.org/officeDocument/2006/relationships/hyperlink" Target="https://ihsmarkit.com/research-analysis/19092014-isda-2014-cds-definitions-a-robust-framework.html" TargetMode="External"/><Relationship Id="rId35" Type="http://schemas.openxmlformats.org/officeDocument/2006/relationships/hyperlink" Target="https://www.sciencedirect.com/science/article/abs/pii/S014861951630011X?via%3Dihub"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www.economiaepolitica.it/il-pensiero-economico/lorganetto-di-draghi-quarta-lezione-forward-guidance-e-quantitative-easing-2013-2015/" TargetMode="External"/><Relationship Id="rId25" Type="http://schemas.openxmlformats.org/officeDocument/2006/relationships/hyperlink" Target="https://www.isda.org/a/ydiDE/isda-2014-credit-definitions-faq-v12-clean.pdf" TargetMode="External"/><Relationship Id="rId33" Type="http://schemas.openxmlformats.org/officeDocument/2006/relationships/hyperlink" Target="https://st.ilsole24ore.com/art/finanza-e-mercati/2017-10-24/mps-si-chiude-decennio-tragico-perdite--20-miliardi-gli-azionisti-191229.shtml" TargetMode="External"/><Relationship Id="rId38" Type="http://schemas.openxmlformats.org/officeDocument/2006/relationships/hyperlink" Target="https://www.wallstreetitalia.com/mps-maxi-perdita-2014-aumento-capitale-pi-pesante-e-tesoro-diventa-azioni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42F1F-45ED-452B-80F8-46AC1652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25</Pages>
  <Words>8124</Words>
  <Characters>49644</Characters>
  <Application>Microsoft Office Word</Application>
  <DocSecurity>0</DocSecurity>
  <Lines>1985</Lines>
  <Paragraphs>1805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cinefra</dc:creator>
  <cp:keywords/>
  <dc:description/>
  <cp:lastModifiedBy>Michele</cp:lastModifiedBy>
  <cp:revision>8</cp:revision>
  <dcterms:created xsi:type="dcterms:W3CDTF">2021-01-17T10:19:00Z</dcterms:created>
  <dcterms:modified xsi:type="dcterms:W3CDTF">2021-01-17T18:22:00Z</dcterms:modified>
</cp:coreProperties>
</file>