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A1A4" w14:textId="66489824" w:rsidR="001D67A0" w:rsidRDefault="001D67A0" w:rsidP="001D67A0">
      <w:r>
        <w:rPr>
          <w:noProof/>
        </w:rPr>
        <mc:AlternateContent>
          <mc:Choice Requires="wps">
            <w:drawing>
              <wp:anchor distT="0" distB="0" distL="114300" distR="114300" simplePos="0" relativeHeight="251658240" behindDoc="0" locked="0" layoutInCell="1" allowOverlap="1" wp14:anchorId="6B7F8FA7" wp14:editId="0A019AF6">
                <wp:simplePos x="0" y="0"/>
                <wp:positionH relativeFrom="column">
                  <wp:posOffset>0</wp:posOffset>
                </wp:positionH>
                <wp:positionV relativeFrom="paragraph">
                  <wp:posOffset>0</wp:posOffset>
                </wp:positionV>
                <wp:extent cx="635000" cy="635000"/>
                <wp:effectExtent l="9525" t="9525" r="12700" b="12700"/>
                <wp:wrapNone/>
                <wp:docPr id="1" name="文本框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83C30" id="_x0000_t202" coordsize="21600,21600" o:spt="202" path="m,l,21600r21600,l21600,xe">
                <v:stroke joinstyle="miter"/>
                <v:path gradientshapeok="t" o:connecttype="rect"/>
              </v:shapetype>
              <v:shape id="文本框 1" o:spid="_x0000_s1026" type="#_x0000_t202"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">
                <o:lock v:ext="edit" selection="t"/>
              </v:shape>
            </w:pict>
          </mc:Fallback>
        </mc:AlternateContent>
      </w:r>
    </w:p>
    <w:p w14:paraId="0AAFCEFF" w14:textId="11D49A0B" w:rsidR="001D67A0" w:rsidRPr="00E064E9" w:rsidRDefault="00E064E9" w:rsidP="00E064E9">
      <w:pPr>
        <w:pStyle w:val="MDPI12title"/>
        <w:rPr>
          <w:rFonts w:ascii="黑体" w:eastAsia="黑体" w:hAnsi="黑体"/>
          <w:szCs w:val="36"/>
        </w:rPr>
      </w:pPr>
      <w:r w:rsidRPr="005D42E4">
        <w:t>The Impact of Tom Management Team Heterogeneity on Corporate Performance - An Empirical Study Based on Chinese Listed Companies from 2008-2019</w:t>
      </w:r>
      <w:r>
        <w:t>.</w:t>
      </w:r>
    </w:p>
    <w:p w14:paraId="15A4CBE1" w14:textId="77777777" w:rsidR="001D67A0" w:rsidRDefault="001D67A0" w:rsidP="001D67A0">
      <w:pPr>
        <w:jc w:val="center"/>
        <w:rPr>
          <w:rFonts w:eastAsia="楷体_GB2312"/>
          <w:sz w:val="18"/>
          <w:szCs w:val="18"/>
        </w:rPr>
      </w:pPr>
    </w:p>
    <w:p w14:paraId="6E2E35E6" w14:textId="7C3FA8C3" w:rsidR="001D67A0" w:rsidRDefault="001D67A0" w:rsidP="001D67A0">
      <w:pPr>
        <w:spacing w:line="440" w:lineRule="exact"/>
        <w:jc w:val="center"/>
        <w:rPr>
          <w:rFonts w:eastAsia="楷体_GB2312"/>
          <w:sz w:val="28"/>
          <w:szCs w:val="28"/>
          <w:vertAlign w:val="superscript"/>
        </w:rPr>
      </w:pPr>
      <w:proofErr w:type="spellStart"/>
      <w:r w:rsidRPr="00561F2A">
        <w:rPr>
          <w:rFonts w:eastAsia="楷体_GB2312" w:hint="eastAsia"/>
          <w:sz w:val="28"/>
          <w:szCs w:val="28"/>
        </w:rPr>
        <w:t>Jianbin</w:t>
      </w:r>
      <w:proofErr w:type="spellEnd"/>
      <w:r w:rsidR="005E62DA">
        <w:rPr>
          <w:rFonts w:eastAsia="楷体_GB2312"/>
          <w:sz w:val="28"/>
          <w:szCs w:val="28"/>
        </w:rPr>
        <w:t xml:space="preserve"> </w:t>
      </w:r>
      <w:r w:rsidR="005E62DA" w:rsidRPr="00561F2A">
        <w:rPr>
          <w:rFonts w:eastAsia="楷体_GB2312" w:hint="eastAsia"/>
          <w:sz w:val="28"/>
          <w:szCs w:val="28"/>
        </w:rPr>
        <w:t>Wei</w:t>
      </w:r>
      <w:r w:rsidR="005E62DA">
        <w:rPr>
          <w:rFonts w:eastAsia="楷体_GB2312"/>
          <w:sz w:val="28"/>
          <w:szCs w:val="28"/>
        </w:rPr>
        <w:t>,</w:t>
      </w:r>
      <w:r w:rsidR="00F75755">
        <w:rPr>
          <w:rFonts w:eastAsia="楷体_GB2312"/>
          <w:sz w:val="28"/>
          <w:szCs w:val="28"/>
        </w:rPr>
        <w:t xml:space="preserve"> </w:t>
      </w:r>
      <w:proofErr w:type="spellStart"/>
      <w:r w:rsidR="00F75755" w:rsidRPr="00F75755">
        <w:rPr>
          <w:rFonts w:eastAsia="楷体_GB2312"/>
          <w:sz w:val="28"/>
          <w:szCs w:val="28"/>
        </w:rPr>
        <w:t>Yanzhao</w:t>
      </w:r>
      <w:proofErr w:type="spellEnd"/>
      <w:r w:rsidR="00F75755" w:rsidRPr="00F75755">
        <w:rPr>
          <w:rFonts w:eastAsia="楷体_GB2312"/>
          <w:sz w:val="28"/>
          <w:szCs w:val="28"/>
        </w:rPr>
        <w:t xml:space="preserve"> Zhang</w:t>
      </w:r>
    </w:p>
    <w:p w14:paraId="7DD6BD79" w14:textId="77777777" w:rsidR="001D67A0" w:rsidRDefault="001D67A0" w:rsidP="001D67A0">
      <w:pPr>
        <w:jc w:val="center"/>
        <w:rPr>
          <w:rFonts w:eastAsia="楷体"/>
          <w:kern w:val="0"/>
          <w:sz w:val="18"/>
          <w:szCs w:val="18"/>
        </w:rPr>
      </w:pPr>
      <w:r w:rsidRPr="006A5725">
        <w:rPr>
          <w:rFonts w:eastAsia="楷体"/>
          <w:kern w:val="0"/>
          <w:sz w:val="18"/>
          <w:szCs w:val="18"/>
        </w:rPr>
        <w:t xml:space="preserve">(School of </w:t>
      </w:r>
      <w:r>
        <w:rPr>
          <w:rFonts w:eastAsia="楷体" w:hint="eastAsia"/>
          <w:kern w:val="0"/>
          <w:sz w:val="18"/>
          <w:szCs w:val="18"/>
        </w:rPr>
        <w:t xml:space="preserve">Economics and </w:t>
      </w:r>
      <w:r w:rsidRPr="006A5725">
        <w:rPr>
          <w:rFonts w:eastAsia="楷体"/>
          <w:kern w:val="0"/>
          <w:sz w:val="18"/>
          <w:szCs w:val="18"/>
        </w:rPr>
        <w:t xml:space="preserve">Management, </w:t>
      </w:r>
      <w:r>
        <w:rPr>
          <w:rFonts w:eastAsia="楷体" w:hint="eastAsia"/>
          <w:kern w:val="0"/>
          <w:sz w:val="18"/>
          <w:szCs w:val="18"/>
        </w:rPr>
        <w:t>Beijing University of Technology</w:t>
      </w:r>
      <w:r w:rsidRPr="006A5725">
        <w:rPr>
          <w:rFonts w:eastAsia="楷体"/>
          <w:kern w:val="0"/>
          <w:sz w:val="18"/>
          <w:szCs w:val="18"/>
        </w:rPr>
        <w:t xml:space="preserve">, </w:t>
      </w:r>
      <w:r>
        <w:rPr>
          <w:rFonts w:eastAsia="楷体" w:hint="eastAsia"/>
          <w:kern w:val="0"/>
          <w:sz w:val="18"/>
          <w:szCs w:val="18"/>
        </w:rPr>
        <w:t xml:space="preserve">Beijing </w:t>
      </w:r>
      <w:r>
        <w:rPr>
          <w:rFonts w:eastAsia="楷体"/>
          <w:kern w:val="0"/>
          <w:sz w:val="18"/>
          <w:szCs w:val="18"/>
        </w:rPr>
        <w:t>100124</w:t>
      </w:r>
      <w:r w:rsidRPr="006A5725">
        <w:rPr>
          <w:rFonts w:eastAsia="楷体"/>
          <w:kern w:val="0"/>
          <w:sz w:val="18"/>
          <w:szCs w:val="18"/>
        </w:rPr>
        <w:t>)</w:t>
      </w:r>
    </w:p>
    <w:p w14:paraId="322FD427" w14:textId="77777777" w:rsidR="001D67A0" w:rsidRPr="00AE2BCC" w:rsidRDefault="001D67A0" w:rsidP="001D67A0">
      <w:pPr>
        <w:jc w:val="center"/>
        <w:rPr>
          <w:rFonts w:eastAsia="楷体_GB2312"/>
          <w:sz w:val="18"/>
          <w:szCs w:val="18"/>
        </w:rPr>
      </w:pPr>
    </w:p>
    <w:p w14:paraId="2FAB7CFD" w14:textId="69139D23" w:rsidR="002D6C4A" w:rsidRDefault="001D67A0" w:rsidP="001D67A0">
      <w:pPr>
        <w:adjustRightInd w:val="0"/>
        <w:snapToGrid w:val="0"/>
        <w:ind w:firstLine="420"/>
        <w:rPr>
          <w:rFonts w:eastAsia="楷体"/>
          <w:kern w:val="0"/>
          <w:sz w:val="18"/>
          <w:szCs w:val="18"/>
        </w:rPr>
      </w:pPr>
      <w:r w:rsidRPr="006A5725">
        <w:rPr>
          <w:rFonts w:eastAsia="黑体"/>
          <w:b/>
          <w:sz w:val="18"/>
          <w:szCs w:val="18"/>
        </w:rPr>
        <w:t>Abstract:</w:t>
      </w:r>
      <w:r w:rsidRPr="0031187A">
        <w:rPr>
          <w:rFonts w:eastAsia="楷体"/>
          <w:kern w:val="0"/>
          <w:sz w:val="18"/>
          <w:szCs w:val="18"/>
        </w:rPr>
        <w:t xml:space="preserve"> </w:t>
      </w:r>
      <w:r w:rsidR="00E064E9" w:rsidRPr="002D2A01">
        <w:rPr>
          <w:szCs w:val="18"/>
        </w:rPr>
        <w:t>The study of TMT heterogeneity on corporate performance is a hot topic in corporate governance. However, the relationship between TMT heterogeneity and corporate performance is inconclusive, and there are fewer studies on TMT exogenous factors. Given this, this paper conducts a study using regression analysis based on the data of listed companies from 2008-2019 in the CSMAR database. The study finds that TMT functional background and educational heterogeneity have an "inverted U" effect on firm performance</w:t>
      </w:r>
      <w:r w:rsidR="00E064E9">
        <w:rPr>
          <w:szCs w:val="18"/>
        </w:rPr>
        <w:t>,</w:t>
      </w:r>
      <w:r w:rsidR="00E064E9" w:rsidRPr="002D2A01">
        <w:rPr>
          <w:szCs w:val="18"/>
        </w:rPr>
        <w:t xml:space="preserve"> and digital transformation has a positive effect on TMT heterogeneity. This study enriches the research on the impact of TMT heterogeneity on performance and explores the antecedent influences on heterogeneity. Based on the empirical results, we also propose management recommendations.</w:t>
      </w:r>
    </w:p>
    <w:p w14:paraId="17F3D7D1" w14:textId="77777777" w:rsidR="001D67A0" w:rsidRPr="006A5725" w:rsidRDefault="001D67A0" w:rsidP="001D67A0">
      <w:pPr>
        <w:adjustRightInd w:val="0"/>
        <w:snapToGrid w:val="0"/>
        <w:ind w:firstLine="420"/>
        <w:rPr>
          <w:b/>
          <w:sz w:val="18"/>
          <w:szCs w:val="18"/>
        </w:rPr>
      </w:pPr>
    </w:p>
    <w:p w14:paraId="00AB3DC7" w14:textId="57A587BF" w:rsidR="001D67A0" w:rsidRDefault="001D67A0" w:rsidP="001D67A0">
      <w:pPr>
        <w:ind w:firstLine="420"/>
        <w:rPr>
          <w:b/>
          <w:sz w:val="18"/>
          <w:szCs w:val="18"/>
        </w:rPr>
      </w:pPr>
      <w:r w:rsidRPr="006A5725">
        <w:rPr>
          <w:rFonts w:eastAsia="黑体"/>
          <w:b/>
          <w:sz w:val="18"/>
          <w:szCs w:val="18"/>
        </w:rPr>
        <w:t xml:space="preserve">Keywords: </w:t>
      </w:r>
      <w:r w:rsidR="00894793">
        <w:rPr>
          <w:rFonts w:eastAsia="楷体" w:hint="eastAsia"/>
          <w:szCs w:val="18"/>
        </w:rPr>
        <w:t>TMT</w:t>
      </w:r>
      <w:r w:rsidR="00894793">
        <w:rPr>
          <w:rFonts w:eastAsia="楷体"/>
          <w:szCs w:val="18"/>
        </w:rPr>
        <w:t xml:space="preserve"> </w:t>
      </w:r>
      <w:r w:rsidR="00894793">
        <w:rPr>
          <w:rFonts w:eastAsia="楷体" w:hint="eastAsia"/>
          <w:szCs w:val="18"/>
        </w:rPr>
        <w:t>heterogeneity</w:t>
      </w:r>
      <w:r w:rsidR="00894793" w:rsidRPr="00D945EC">
        <w:rPr>
          <w:szCs w:val="18"/>
        </w:rPr>
        <w:t xml:space="preserve">; </w:t>
      </w:r>
      <w:r w:rsidR="00894793">
        <w:rPr>
          <w:rFonts w:eastAsia="楷体" w:hint="eastAsia"/>
          <w:szCs w:val="18"/>
        </w:rPr>
        <w:t>s</w:t>
      </w:r>
      <w:r w:rsidR="00894793" w:rsidRPr="0008416D">
        <w:rPr>
          <w:rFonts w:eastAsia="楷体"/>
          <w:szCs w:val="18"/>
        </w:rPr>
        <w:t xml:space="preserve">trategic </w:t>
      </w:r>
      <w:r w:rsidR="00894793">
        <w:rPr>
          <w:rFonts w:eastAsia="楷体"/>
          <w:szCs w:val="18"/>
        </w:rPr>
        <w:t>m</w:t>
      </w:r>
      <w:r w:rsidR="00894793" w:rsidRPr="0008416D">
        <w:rPr>
          <w:rFonts w:eastAsia="楷体"/>
          <w:szCs w:val="18"/>
        </w:rPr>
        <w:t>anagement</w:t>
      </w:r>
      <w:r w:rsidR="00894793" w:rsidRPr="00D945EC">
        <w:rPr>
          <w:szCs w:val="18"/>
        </w:rPr>
        <w:t xml:space="preserve">; </w:t>
      </w:r>
      <w:r w:rsidR="00894793">
        <w:rPr>
          <w:rFonts w:eastAsia="楷体"/>
          <w:szCs w:val="18"/>
        </w:rPr>
        <w:t>c</w:t>
      </w:r>
      <w:r w:rsidR="00894793" w:rsidRPr="0008416D">
        <w:rPr>
          <w:rFonts w:eastAsia="楷体"/>
          <w:szCs w:val="18"/>
        </w:rPr>
        <w:t>ompetition</w:t>
      </w:r>
      <w:r w:rsidR="00894793" w:rsidRPr="00D945EC">
        <w:rPr>
          <w:szCs w:val="18"/>
        </w:rPr>
        <w:t xml:space="preserve">; </w:t>
      </w:r>
      <w:r w:rsidR="00894793" w:rsidRPr="0008416D">
        <w:rPr>
          <w:rFonts w:eastAsia="楷体"/>
          <w:szCs w:val="18"/>
        </w:rPr>
        <w:t xml:space="preserve">firm </w:t>
      </w:r>
      <w:r w:rsidR="00894793">
        <w:rPr>
          <w:rFonts w:eastAsia="楷体"/>
          <w:szCs w:val="18"/>
        </w:rPr>
        <w:t>p</w:t>
      </w:r>
      <w:r w:rsidR="00894793" w:rsidRPr="0008416D">
        <w:rPr>
          <w:rFonts w:eastAsia="楷体"/>
          <w:szCs w:val="18"/>
        </w:rPr>
        <w:t>erformance</w:t>
      </w:r>
    </w:p>
    <w:p w14:paraId="3EC82DE3" w14:textId="77777777" w:rsidR="001D67A0" w:rsidRDefault="001D67A0" w:rsidP="001D67A0">
      <w:pPr>
        <w:jc w:val="center"/>
        <w:rPr>
          <w:rFonts w:eastAsia="黑体"/>
          <w:b/>
          <w:sz w:val="18"/>
          <w:szCs w:val="18"/>
        </w:rPr>
      </w:pPr>
    </w:p>
    <w:p w14:paraId="1674C8A6" w14:textId="4DEF89C0" w:rsidR="001D67A0" w:rsidRDefault="00AE326D" w:rsidP="001D67A0">
      <w:pPr>
        <w:pStyle w:val="1"/>
        <w:ind w:left="0"/>
      </w:pPr>
      <w:bookmarkStart w:id="0" w:name="_Toc82596200"/>
      <w:r>
        <w:t>1</w:t>
      </w:r>
      <w:r w:rsidR="001D67A0" w:rsidRPr="004E30C1">
        <w:rPr>
          <w:rFonts w:hint="eastAsia"/>
        </w:rPr>
        <w:t xml:space="preserve"> Introduction</w:t>
      </w:r>
      <w:bookmarkEnd w:id="0"/>
    </w:p>
    <w:p w14:paraId="397F1725" w14:textId="3CBDDF1A" w:rsidR="00894793" w:rsidRDefault="00894793" w:rsidP="00450EC6">
      <w:pPr>
        <w:pStyle w:val="v"/>
      </w:pPr>
      <w:bookmarkStart w:id="1" w:name="_Hlk117000957"/>
      <w:bookmarkStart w:id="2" w:name="_GoBack"/>
      <w:r w:rsidRPr="00CA3F38">
        <w:t>In 1984, Hambrick and Mason proposed the " Upper Echelons Theory ", which suggests that the demographic characteristics of Top Management Teams (TMT) (e.g., age, tenure, education, heterogeneity) are a proxy for the underlying characteristics and perceptions of team members, and that member characteristics and perceptions affect the quality of team decisions and, ultimately, corporate performance [1]. However, there is no consensus among scholars on the impact of heterogeneity in top management teams on corporation performance. The debate on whether TMT is 'homogeneous' or 'heterogeneous' is currently based on the "information/decision-making perspective" and "social categorization perspective "[2-5]. The "</w:t>
      </w:r>
      <w:r>
        <w:t>i</w:t>
      </w:r>
      <w:r w:rsidRPr="00CA3F38">
        <w:t>nformation/decision-making perspective emphasizes the positive impact of heterogeneity. High heterogeneity means that team members have a broader pool of knowledge, skills, and resources. It helps TMT exchange and integrates information to produce high-quality, creative decisions that contribute to corporation growth [6]. The "social categorization perspective " focuses on the negative impact of heterogeneity. Based on the similarity of team members' characteristics, people classify team members as 'insiders' and "outsiders". And they tend to work with members who ha</w:t>
      </w:r>
      <w:r>
        <w:t>ve</w:t>
      </w:r>
      <w:r w:rsidRPr="00CA3F38">
        <w:t xml:space="preserve"> similar characteristic</w:t>
      </w:r>
      <w:r>
        <w:t>s</w:t>
      </w:r>
      <w:r w:rsidRPr="00CA3F38">
        <w:t xml:space="preserve"> and keep a distance from those others [4, 7, 8]. As a result, TMT with high heterogeneity ha</w:t>
      </w:r>
      <w:r>
        <w:t>s</w:t>
      </w:r>
      <w:r w:rsidRPr="00CA3F38">
        <w:t xml:space="preserve"> lower cohesion and negatively affect</w:t>
      </w:r>
      <w:r>
        <w:t>s</w:t>
      </w:r>
      <w:r w:rsidRPr="00CA3F38">
        <w:t xml:space="preserve"> corporate performance. </w:t>
      </w:r>
      <w:r w:rsidRPr="00BB38C0">
        <w:t>This difference is also reflected in the different empirical results</w:t>
      </w:r>
      <w:r>
        <w:t xml:space="preserve">. </w:t>
      </w:r>
      <w:proofErr w:type="spellStart"/>
      <w:r w:rsidRPr="00CA3F38">
        <w:t>Xueli</w:t>
      </w:r>
      <w:proofErr w:type="spellEnd"/>
      <w:r w:rsidRPr="00CA3F38">
        <w:t xml:space="preserve"> Wang et al. [9] found that heterogeneity in the functional background of TMT negatively affects corporation performance. </w:t>
      </w:r>
      <w:proofErr w:type="spellStart"/>
      <w:r w:rsidRPr="00CA3F38">
        <w:t>Xinming</w:t>
      </w:r>
      <w:proofErr w:type="spellEnd"/>
      <w:r w:rsidRPr="00CA3F38">
        <w:t xml:space="preserve"> Deng et al. [8] found that heterogeneity in the functional background of the TMT negatively affects the corporate performance of listed Chinese manufacturing companies. </w:t>
      </w:r>
      <w:proofErr w:type="spellStart"/>
      <w:r w:rsidRPr="00CA3F38">
        <w:t>Yimin</w:t>
      </w:r>
      <w:proofErr w:type="spellEnd"/>
      <w:r w:rsidRPr="00CA3F38">
        <w:t xml:space="preserve"> Wang et al. [10] found that heterogeneity in education and functional backgrounds positively influenced corporation performance based on Chinese pharmaceutical industry listed companies. Bengtsson et al. [11] found that heterogeneity in the functional </w:t>
      </w:r>
      <w:r w:rsidRPr="00CA3F38">
        <w:lastRenderedPageBreak/>
        <w:t xml:space="preserve">background of TMT positively influenced the competitiveness of teamwork, based on 315 companies' data published by Statistics Sweden. </w:t>
      </w:r>
      <w:proofErr w:type="spellStart"/>
      <w:r w:rsidRPr="00CA3F38">
        <w:t>Wangbin</w:t>
      </w:r>
      <w:proofErr w:type="spellEnd"/>
      <w:r w:rsidRPr="00CA3F38">
        <w:t xml:space="preserve"> Hu et al. [12] based on the questionnaire data from Tianjin "Entrepreneurship Centre" found that TMT heterogeneity in education and functional background had an "inverted U-shaped" relationship with corporate performance. The above-mentioned two </w:t>
      </w:r>
      <w:r>
        <w:t>i</w:t>
      </w:r>
      <w:r w:rsidRPr="00CA3F38">
        <w:t>nconsistent perspectives and empirical studies reveal that there is an unclear relationship between TMT heterogeneity and corporate performance [13].</w:t>
      </w:r>
    </w:p>
    <w:bookmarkEnd w:id="2"/>
    <w:p w14:paraId="4ADF1A7A" w14:textId="41950808" w:rsidR="00894793" w:rsidRDefault="00894793" w:rsidP="00450EC6">
      <w:pPr>
        <w:pStyle w:val="v"/>
      </w:pPr>
      <w:r w:rsidRPr="00CA3F38">
        <w:t>Given the current research situation, this paper considers that there are three areas for further improvement. Firstly, previous empirical studies tend to have a small sample size, cover a small number of industries and the data is mostly obtained from questionnaires. If the study only focuses on a specific field or industry and the number of observed enterprises is small, the results may be subject to change and the scope of application of the findings may be limited. It is also difficult to ensure the reliability and validity of data obtained using questionnaires</w:t>
      </w:r>
      <w:r>
        <w:t>.</w:t>
      </w:r>
      <w:r w:rsidRPr="00CA3F38">
        <w:t xml:space="preserve"> </w:t>
      </w:r>
      <w:r>
        <w:t>O</w:t>
      </w:r>
      <w:r w:rsidRPr="00CA3F38">
        <w:t>n one hand, respondents may fill in false information because it will be detrimental to their careers. On the other hand, there is often a "retrospective bias" in interviews or questionnaires, whereby managers attribute success to themselves and failures to external factors [8]. Therefore, it is difficult to draw realistic and valid conclusions by researching specific industries or using questionnaires to obtain sample data</w:t>
      </w:r>
      <w:r>
        <w:t>.</w:t>
      </w:r>
    </w:p>
    <w:p w14:paraId="229A693E" w14:textId="377D1BDA" w:rsidR="00894793" w:rsidRPr="00894793" w:rsidRDefault="00894793" w:rsidP="00450EC6">
      <w:pPr>
        <w:pStyle w:val="v"/>
        <w:rPr>
          <w:rFonts w:hint="eastAsia"/>
        </w:rPr>
      </w:pPr>
      <w:r w:rsidRPr="00CA3F38">
        <w:t>Secondly, most of the current research assumes that TMT heterogeneity has only a positive or negative one-sided effect on corporate performance. And only explores the linear relationship between TMT heterogeneity and corporate performance, but not the non-linear relationship between the two. In other words, these scholars do not consider both the "information/decision-making perspective" and the "social categorization perspective". This paper argues that both the "</w:t>
      </w:r>
      <w:r>
        <w:t>i</w:t>
      </w:r>
      <w:r w:rsidRPr="00CA3F38">
        <w:t>nformation/decision-making perspective" and the "social categorization perspective" have validity, which means the relationship between TMT heterogeneity and corporate performance is influenced by two opposing forces at the same time. Therefore, the relationship between TMT heterogeneity and corporate performance should have an "inverted U" shape. Specifically, at low levels of TMT heterogeneity, the " information/decision-making " effects are dominant. That means TMT has more comprehensive knowledge, skills, and resources. TMT heterogeneity is beneficial to corporate performance. As the level of heterogeneity increases beyond a "certain point", the "social categorization" effect dominates over the "informational/decision-making" effect. Excessive internal differences exacerbate divisions and increase conflict. TMT heterogeneity is detrimental to corporate performance.</w:t>
      </w:r>
    </w:p>
    <w:p w14:paraId="7C5DFCF3" w14:textId="29664C9D" w:rsidR="00894793" w:rsidRDefault="00894793" w:rsidP="00450EC6">
      <w:pPr>
        <w:pStyle w:val="v"/>
      </w:pPr>
      <w:r w:rsidRPr="00A24CB8">
        <w:t>Thirdly, although there has been a considerable amount of research on TMT heterogeneity, the direction of research has mainly focused on what factors are affected by TMT heterogeneity, while few studies have explored what factors affect TMT heterogeneity, that is, few studies have explored the causes of TMT heterogeneity [14].</w:t>
      </w:r>
    </w:p>
    <w:p w14:paraId="4E64FB9D" w14:textId="08866FB3" w:rsidR="00894793" w:rsidRDefault="00894793" w:rsidP="00450EC6">
      <w:pPr>
        <w:pStyle w:val="v"/>
      </w:pPr>
      <w:r w:rsidRPr="00A24CB8">
        <w:t>Given this, this paper will firstly explore the linear and non-linear effects of TMT educational and functional background heterogeneity on corporate performance based on the data in Chinese listed companies from 2008 to 2019. Second, this paper seeks to explore the impact of corporate digital transformation on TMT heterogeneity</w:t>
      </w:r>
      <w:r>
        <w:t>.</w:t>
      </w:r>
    </w:p>
    <w:p w14:paraId="0D2DEAA4" w14:textId="6608728D" w:rsidR="001D67A0" w:rsidRDefault="00AE326D" w:rsidP="001D67A0">
      <w:pPr>
        <w:pStyle w:val="1"/>
        <w:ind w:left="0"/>
      </w:pPr>
      <w:bookmarkStart w:id="3" w:name="_Toc82596201"/>
      <w:bookmarkEnd w:id="1"/>
      <w:r>
        <w:lastRenderedPageBreak/>
        <w:t>2</w:t>
      </w:r>
      <w:r w:rsidR="001D67A0">
        <w:rPr>
          <w:rFonts w:hint="eastAsia"/>
        </w:rPr>
        <w:t xml:space="preserve"> Literature review and research hypothesis</w:t>
      </w:r>
      <w:bookmarkEnd w:id="3"/>
    </w:p>
    <w:p w14:paraId="358F40F6" w14:textId="6E17E78F" w:rsidR="001D67A0" w:rsidRDefault="00AE326D" w:rsidP="001D67A0">
      <w:pPr>
        <w:pStyle w:val="2"/>
      </w:pPr>
      <w:bookmarkStart w:id="4" w:name="_Toc82596203"/>
      <w:r>
        <w:t>2</w:t>
      </w:r>
      <w:r w:rsidR="001D67A0" w:rsidRPr="00BE2853">
        <w:t>.</w:t>
      </w:r>
      <w:r w:rsidR="001D67A0">
        <w:t xml:space="preserve">1 </w:t>
      </w:r>
      <w:r w:rsidR="001D67A0">
        <w:rPr>
          <w:rFonts w:hint="eastAsia"/>
        </w:rPr>
        <w:t xml:space="preserve">Impact of </w:t>
      </w:r>
      <w:r w:rsidR="0069792A" w:rsidRPr="004D30A2">
        <w:t>functional backgrounds</w:t>
      </w:r>
      <w:r w:rsidR="001D67A0">
        <w:rPr>
          <w:rFonts w:hint="eastAsia"/>
        </w:rPr>
        <w:t xml:space="preserve"> </w:t>
      </w:r>
      <w:r w:rsidR="001D67A0" w:rsidRPr="00BE2853">
        <w:rPr>
          <w:rFonts w:hint="eastAsia"/>
        </w:rPr>
        <w:t xml:space="preserve">heterogeneity </w:t>
      </w:r>
      <w:r w:rsidR="001D67A0">
        <w:rPr>
          <w:rFonts w:hint="eastAsia"/>
        </w:rPr>
        <w:t xml:space="preserve">on </w:t>
      </w:r>
      <w:r w:rsidR="004C58BF" w:rsidRPr="004C58BF">
        <w:t xml:space="preserve">corporate </w:t>
      </w:r>
      <w:r w:rsidR="001D67A0" w:rsidRPr="00BE2853">
        <w:rPr>
          <w:rFonts w:hint="eastAsia"/>
        </w:rPr>
        <w:t xml:space="preserve">performance </w:t>
      </w:r>
      <w:bookmarkEnd w:id="4"/>
    </w:p>
    <w:p w14:paraId="2ACA1883" w14:textId="14A39E0A" w:rsidR="00894793" w:rsidRDefault="00894793" w:rsidP="00450EC6">
      <w:pPr>
        <w:pStyle w:val="v"/>
      </w:pPr>
      <w:r w:rsidRPr="003A5D04">
        <w:t xml:space="preserve">TMT functional background heterogeneity refers to the diversity of team members' previous experience in different industries or sectors. It </w:t>
      </w:r>
      <w:proofErr w:type="gramStart"/>
      <w:r w:rsidRPr="003A5D04">
        <w:t>can be seen as</w:t>
      </w:r>
      <w:proofErr w:type="gramEnd"/>
      <w:r w:rsidRPr="003A5D04">
        <w:t xml:space="preserve"> a reflection of the knowledge and skills of the members of the TMT in different areas [15]. Concerning the classification of functional backgrounds, current scholars mainly follow Hambrick and Mason's three-sector classification [1]. The classification of past work experience into "production", "managerial" and "peripheral" categories. "Production" includes positions in sales, R&amp;D, design, etc. "Management" includes positions in human resources management, operations management, etc. "Peripheral" includes support positions in law, finance, etc. [9].</w:t>
      </w:r>
    </w:p>
    <w:p w14:paraId="7BD31D2A" w14:textId="3533C313" w:rsidR="00894793" w:rsidRDefault="00894793" w:rsidP="00450EC6">
      <w:pPr>
        <w:pStyle w:val="v"/>
      </w:pPr>
      <w:r w:rsidRPr="008E4B9E">
        <w:t>Based on the "information/decision-making perspective", the heterogeneity of the functional backgrounds of TMT has a positive impact on corporate performance. Firstly, teams with higher functional heterogeneity have a broader pool of resources. The knowledge, skills, and competencies of team members are unique and non-redundant [6, 16]. This allows members to look at issues with different ideas and thoughts. And team members are better able to communicate, integrate and interact with each other to respond to environmental changes. As a result, TMT enables a more comprehensive and insightful evaluation of multiple options and ultimately decision-making [17, 18]. Secondly, heterogeneity can prevent teams from falling into "groupthink". Previous research has found that individuals tend to communicate with members from similar backgrounds. In less heterogeneous teams, knowledge, skills, and cognitive perspectives are closer and members will reach a consensus too quickly and easily. However, this consensus is often not negotiated, deliberated, and therefore not correct</w:t>
      </w:r>
      <w:r>
        <w:t xml:space="preserve"> </w:t>
      </w:r>
      <w:r w:rsidRPr="008E4B9E">
        <w:t>[6]. In more heterogeneous teams, TMT's cognitive conflicts stimulate constructive debate and explore uncharted territory for each other</w:t>
      </w:r>
      <w:r>
        <w:t xml:space="preserve"> </w:t>
      </w:r>
      <w:r w:rsidRPr="008E4B9E">
        <w:t>[19, 20].</w:t>
      </w:r>
      <w:r>
        <w:t xml:space="preserve"> </w:t>
      </w:r>
      <w:r w:rsidRPr="008E4B9E">
        <w:t>Thus</w:t>
      </w:r>
      <w:r>
        <w:t>,</w:t>
      </w:r>
      <w:r w:rsidRPr="008E4B9E">
        <w:t xml:space="preserve"> </w:t>
      </w:r>
      <w:r>
        <w:t>g</w:t>
      </w:r>
      <w:r w:rsidRPr="008E4B9E">
        <w:t>aining a broader, deeper perspective without falling into "groupthink" and causing poor decisions</w:t>
      </w:r>
      <w:r>
        <w:t xml:space="preserve"> </w:t>
      </w:r>
      <w:r w:rsidRPr="008E4B9E">
        <w:t>[17]. Thirdly, heterogeneity in functional backgrounds represents a broader range of contacts. Socially capital-rich teams can use their rich social networks to access more information about customers, suppliers, and government departments</w:t>
      </w:r>
      <w:r>
        <w:t xml:space="preserve"> </w:t>
      </w:r>
      <w:r w:rsidRPr="008E4B9E">
        <w:t xml:space="preserve">[19]. This expands the breadth and depth of knowledge and information, which ultimately has a positive impact on corporate performance. There is a wealth of empirical evidence to support this view. </w:t>
      </w:r>
      <w:proofErr w:type="spellStart"/>
      <w:r w:rsidRPr="008E4B9E">
        <w:t>Buly</w:t>
      </w:r>
      <w:proofErr w:type="spellEnd"/>
      <w:r w:rsidRPr="008E4B9E">
        <w:t xml:space="preserve"> et al.</w:t>
      </w:r>
      <w:r>
        <w:t xml:space="preserve"> </w:t>
      </w:r>
      <w:r w:rsidRPr="008E4B9E">
        <w:t xml:space="preserve">[21] found that heterogeneity in the functional background of the TMT has a positive effect on corporate performance and that this effect is influenced by CEO characteristics. Based on a meta-analysis of 82,278 independent samples, </w:t>
      </w:r>
      <w:proofErr w:type="spellStart"/>
      <w:r w:rsidRPr="008E4B9E">
        <w:t>Xiaoyu</w:t>
      </w:r>
      <w:proofErr w:type="spellEnd"/>
      <w:r w:rsidRPr="008E4B9E">
        <w:t xml:space="preserve"> Cui et al.</w:t>
      </w:r>
      <w:r>
        <w:t xml:space="preserve"> </w:t>
      </w:r>
      <w:r w:rsidRPr="008E4B9E">
        <w:t>[22]</w:t>
      </w:r>
      <w:r>
        <w:t xml:space="preserve"> </w:t>
      </w:r>
      <w:r w:rsidRPr="008E4B9E">
        <w:t>found that functional heterogeneity in TMT has a positive effect on organizational performance. In addition, this effect is stronger than educational heterogeneity and tenure heterogeneity. Cannella et al.</w:t>
      </w:r>
      <w:r>
        <w:t xml:space="preserve"> </w:t>
      </w:r>
      <w:r w:rsidRPr="008E4B9E">
        <w:t>[23] found that functional heterogeneity in TMT had a positive effect on corporate performance and that this effect was more pronounced in situations of high environmental uncertainty.</w:t>
      </w:r>
    </w:p>
    <w:p w14:paraId="06E07F72" w14:textId="5996C8AC" w:rsidR="00894793" w:rsidRDefault="00894793" w:rsidP="00450EC6">
      <w:pPr>
        <w:pStyle w:val="v"/>
      </w:pPr>
      <w:r w:rsidRPr="003E1BD0">
        <w:t xml:space="preserve">In contrast, those who support the </w:t>
      </w:r>
      <w:r w:rsidRPr="00CA3F38">
        <w:t>"</w:t>
      </w:r>
      <w:r w:rsidRPr="003E1BD0">
        <w:t>social categorization perspective</w:t>
      </w:r>
      <w:r w:rsidRPr="00CA3F38">
        <w:t>"</w:t>
      </w:r>
      <w:r w:rsidRPr="003E1BD0">
        <w:t xml:space="preserve"> argue that heterogeneity in TMT harms corporate performance. Firstly, due to past different work characterization, managers from different functional backgrounds may have different perceptions when faced with the same issue. Some studies have shown that heterogeneity among team members can even lead to fear and uncertainty [3]. This can make it difficult to reach a </w:t>
      </w:r>
      <w:r w:rsidRPr="003E1BD0">
        <w:lastRenderedPageBreak/>
        <w:t xml:space="preserve">consensus within the team, which in turn affects teamwork and reduces team cohesion and productivity [9, 18]. Secondly, as individuals tend to communicate with members from similar backgrounds, differences in professional backgrounds can lead to the formation of "small teams " within TMT. This will widen the psychological distance between members from different professional backgrounds and hinder the exchange and integration of information resources between team members. This phenomenon is particularly evident in societies with a high tendency towards collectivism [24]. Due to the "relationship orientation" of cultures with high collectivist tendencies, it is easy to reach a "superficial agreement" between different small teams for the sake of harmonious relationships. However different small teams may disagree with each other and confront each in secret. The result is increased disagreement and conflict within the team, reducing the efficiency of the corporate [6]. Thirdly, in the East Asian cultural sphere, the distance of power between countries is large. And there is a sense of hierarchy and a spirit of obedience within the team that can easily lead to a "one voice" situation [8]. As a result, members from different functional backgrounds are reluctant to raise their voices to secure their positions. They are more likely to choose to accept the views of their superiors or the majority directly. Ultimately leading to a negative impact of heterogeneity [25]. There is much empirical evidence to support this view. </w:t>
      </w:r>
      <w:proofErr w:type="spellStart"/>
      <w:r w:rsidRPr="003E1BD0">
        <w:t>Xinming</w:t>
      </w:r>
      <w:proofErr w:type="spellEnd"/>
      <w:r w:rsidRPr="003E1BD0">
        <w:t xml:space="preserve"> Deng et al. [8] found that functional background heterogeneity creates team conflict, which in turn can further negatively affect corporate performance. </w:t>
      </w:r>
      <w:proofErr w:type="spellStart"/>
      <w:r w:rsidRPr="003E1BD0">
        <w:t>Bingchi</w:t>
      </w:r>
      <w:proofErr w:type="spellEnd"/>
      <w:r w:rsidRPr="003E1BD0">
        <w:t xml:space="preserve"> Yao et al. [25] found that functional background heterogeneity in TMT harms corporate performance. In addition, this effect is more pronounced when the CEO has more power.</w:t>
      </w:r>
    </w:p>
    <w:p w14:paraId="44FF63C7" w14:textId="26067DFA" w:rsidR="00894793" w:rsidRDefault="00894793" w:rsidP="00450EC6">
      <w:pPr>
        <w:pStyle w:val="v"/>
      </w:pPr>
      <w:r w:rsidRPr="005C0A44">
        <w:t xml:space="preserve">A glance at scholars' research reveals that there has been a considerable amount of research on the heterogeneity of functional backgrounds of TMT and corporate performance, but still no unified conclusion has been reached. To address this phenomenon, this paper argues that two aspects can be discussed in depth. Firstly, top manager members usually have multiple work experiences. And top management members with multiple work experiences may look at issues from different perspectives. Although </w:t>
      </w:r>
      <w:proofErr w:type="spellStart"/>
      <w:r w:rsidRPr="005C0A44">
        <w:t>Xueli</w:t>
      </w:r>
      <w:proofErr w:type="spellEnd"/>
      <w:r w:rsidRPr="005C0A44">
        <w:t xml:space="preserve"> Wang et al. [9] have advocated for a focus on the " multi-functional " background of TMT members. Current research still only considers a single function of the executive. For example, </w:t>
      </w:r>
      <w:proofErr w:type="spellStart"/>
      <w:r w:rsidRPr="005C0A44">
        <w:t>Bingchi</w:t>
      </w:r>
      <w:proofErr w:type="spellEnd"/>
      <w:r w:rsidRPr="005C0A44">
        <w:t xml:space="preserve"> Yao et al. [25] emphasize the importance of the first job and therefore select the first job as the professional background. </w:t>
      </w:r>
      <w:proofErr w:type="spellStart"/>
      <w:r w:rsidRPr="005C0A44">
        <w:t>Haituo</w:t>
      </w:r>
      <w:proofErr w:type="spellEnd"/>
      <w:r w:rsidRPr="005C0A44">
        <w:t xml:space="preserve"> </w:t>
      </w:r>
      <w:proofErr w:type="spellStart"/>
      <w:r w:rsidRPr="005C0A44">
        <w:t>Qie</w:t>
      </w:r>
      <w:proofErr w:type="spellEnd"/>
      <w:r w:rsidRPr="005C0A44">
        <w:t xml:space="preserve"> et al. [26] classify executives by their most recent functional background. This paper argues that although it is reasonable to select the first and last job of a member. However, this choice does not adequately </w:t>
      </w:r>
      <w:proofErr w:type="gramStart"/>
      <w:r w:rsidRPr="005C0A44">
        <w:t>take into account</w:t>
      </w:r>
      <w:proofErr w:type="gramEnd"/>
      <w:r w:rsidRPr="005C0A44">
        <w:t xml:space="preserve"> the 'multi-functional' nature of the executive members. Therefore, this paper will take full account of the multiple functional backgrounds of top manager members in subsequent studies. Secondly, most of the current research has been conducted from a single perspective of </w:t>
      </w:r>
      <w:r w:rsidRPr="00CA3F38">
        <w:t>"</w:t>
      </w:r>
      <w:r w:rsidRPr="005C0A44">
        <w:t>information/decision-making</w:t>
      </w:r>
      <w:r w:rsidRPr="00CA3F38">
        <w:t>"</w:t>
      </w:r>
      <w:r w:rsidRPr="005C0A44">
        <w:t xml:space="preserve"> or </w:t>
      </w:r>
      <w:r w:rsidRPr="00CA3F38">
        <w:t>"</w:t>
      </w:r>
      <w:r w:rsidRPr="005C0A44">
        <w:t>social categorization</w:t>
      </w:r>
      <w:r w:rsidRPr="00CA3F38">
        <w:t>"</w:t>
      </w:r>
      <w:r w:rsidRPr="005C0A44">
        <w:t xml:space="preserve">. In other words, they only consider the linear effect of TMT heterogeneity on corporate performance. This paper argues that both effects are likely to have an impact on corporate performance. Specifically, at low levels of heterogeneity in the functional background of the TMT, the "information/decision-making perspective" plays a dominant role, where heterogeneity in the functional background of the TMT positively affects corporate performance. When the heterogeneity of the TMT's functional background is high, the "social </w:t>
      </w:r>
      <w:r w:rsidRPr="005C0A44">
        <w:lastRenderedPageBreak/>
        <w:t>categorization perspective " plays a dominant role, and the heterogeneity of the TMT's functional background negatively affects the firm's performance. Based on the above analysis, the following hypotheses are proposed.</w:t>
      </w:r>
    </w:p>
    <w:p w14:paraId="5708A512" w14:textId="481A1B80" w:rsidR="001D67A0" w:rsidRDefault="00894793" w:rsidP="00894793">
      <w:pPr>
        <w:pStyle w:val="v"/>
        <w:ind w:firstLine="422"/>
      </w:pPr>
      <w:r w:rsidRPr="00F160E6">
        <w:rPr>
          <w:b/>
        </w:rPr>
        <w:t xml:space="preserve">H1: </w:t>
      </w:r>
      <w:r w:rsidRPr="00F160E6">
        <w:t>Heterogeneity in the functional background of the TMT has an "inverted U" effect on corporate performance.</w:t>
      </w:r>
    </w:p>
    <w:p w14:paraId="01B179EF" w14:textId="0293FAC8" w:rsidR="001D67A0" w:rsidRDefault="00AE326D" w:rsidP="001D67A0">
      <w:pPr>
        <w:pStyle w:val="2"/>
      </w:pPr>
      <w:r>
        <w:t>2</w:t>
      </w:r>
      <w:r w:rsidR="001D67A0" w:rsidRPr="00BE2853">
        <w:t>.</w:t>
      </w:r>
      <w:r w:rsidR="001D67A0">
        <w:t xml:space="preserve">2 </w:t>
      </w:r>
      <w:r w:rsidR="001D67A0">
        <w:rPr>
          <w:rFonts w:hint="eastAsia"/>
        </w:rPr>
        <w:t xml:space="preserve">The impact of </w:t>
      </w:r>
      <w:r w:rsidR="00ED4AED">
        <w:rPr>
          <w:rFonts w:hint="eastAsia"/>
        </w:rPr>
        <w:t>educational background</w:t>
      </w:r>
      <w:r w:rsidR="001D67A0">
        <w:rPr>
          <w:rFonts w:hint="eastAsia"/>
        </w:rPr>
        <w:t xml:space="preserve"> </w:t>
      </w:r>
      <w:r w:rsidR="001D67A0" w:rsidRPr="00BE2853">
        <w:rPr>
          <w:rFonts w:hint="eastAsia"/>
        </w:rPr>
        <w:t xml:space="preserve">heterogeneity </w:t>
      </w:r>
      <w:r w:rsidR="001D67A0">
        <w:rPr>
          <w:rFonts w:hint="eastAsia"/>
        </w:rPr>
        <w:t xml:space="preserve">on </w:t>
      </w:r>
      <w:r w:rsidR="00165758">
        <w:rPr>
          <w:rFonts w:hint="eastAsia"/>
        </w:rPr>
        <w:t xml:space="preserve">corporate </w:t>
      </w:r>
      <w:r w:rsidR="001D67A0" w:rsidRPr="00BE2853">
        <w:rPr>
          <w:rFonts w:hint="eastAsia"/>
        </w:rPr>
        <w:t>performance</w:t>
      </w:r>
    </w:p>
    <w:p w14:paraId="4603C5AC" w14:textId="36EC7D08" w:rsidR="00894793" w:rsidRDefault="00894793" w:rsidP="00450EC6">
      <w:pPr>
        <w:pStyle w:val="v"/>
      </w:pPr>
      <w:r w:rsidRPr="00614551">
        <w:t xml:space="preserve">Educational heterogeneity in TMT refers to the degree of variation in the educational level of members. On the one hand, </w:t>
      </w:r>
      <w:r>
        <w:t>b</w:t>
      </w:r>
      <w:r w:rsidRPr="00614551">
        <w:t xml:space="preserve">ased on "information decision </w:t>
      </w:r>
      <w:r w:rsidRPr="005C0A44">
        <w:t xml:space="preserve">perspective </w:t>
      </w:r>
      <w:r w:rsidRPr="00614551">
        <w:t xml:space="preserve">", scholars have suggested that heterogeneity of </w:t>
      </w:r>
      <w:r>
        <w:t>TMT</w:t>
      </w:r>
      <w:r w:rsidRPr="00614551">
        <w:t xml:space="preserve"> members' education positively affe</w:t>
      </w:r>
      <w:r w:rsidRPr="00614551">
        <w:rPr>
          <w:rFonts w:hint="eastAsia"/>
        </w:rPr>
        <w:t>cts firm performance for the following reasons</w:t>
      </w:r>
      <w:r w:rsidRPr="00614551">
        <w:rPr>
          <w:rFonts w:ascii="宋体" w:hAnsi="宋体" w:cs="宋体" w:hint="eastAsia"/>
        </w:rPr>
        <w:t>：</w:t>
      </w:r>
      <w:r w:rsidRPr="00614551">
        <w:rPr>
          <w:rFonts w:hint="eastAsia"/>
        </w:rPr>
        <w:t xml:space="preserve"> Firstly, TMT with lower levels of educational heterogeneity tend to have a uniform cognitive structure and mental maps, which can limit the ability of TMT to find creative solutions in the business environmen</w:t>
      </w:r>
      <w:r w:rsidRPr="00614551">
        <w:t xml:space="preserve">t [27]. In teams with a high degree of TMT educational heterogeneity, members have a different depth and breadth of perspective and access to different sources of information, allowing them to access richer, more comprehensive sources of information and to analyze problems more deeply [22]. Secondly, those with higher education usually trust theoretical expertise, while those with lower education use more empirical knowledge to deal with problems [12, 22, 28]. The integration and analysis of collective cognition by team members enrich the depth and breadth of thinking. Ultimately, it improves the quality of team decisions and corporate performance. </w:t>
      </w:r>
      <w:proofErr w:type="spellStart"/>
      <w:r w:rsidRPr="00614551">
        <w:t>Xiaoyu</w:t>
      </w:r>
      <w:proofErr w:type="spellEnd"/>
      <w:r w:rsidRPr="00614551">
        <w:t xml:space="preserve"> Cui et al. [22] scholars validated this view based on the results of a Meta-analysis of 118 empirical papers. Díaz-Fernández et al.</w:t>
      </w:r>
      <w:r>
        <w:t xml:space="preserve"> </w:t>
      </w:r>
      <w:r w:rsidRPr="00614551">
        <w:t xml:space="preserve">[29] </w:t>
      </w:r>
      <w:r>
        <w:t xml:space="preserve">also </w:t>
      </w:r>
      <w:r w:rsidRPr="00614551">
        <w:t>found that educational heterogeneity has a significant positive effect on those firms engaged in international trade.</w:t>
      </w:r>
    </w:p>
    <w:p w14:paraId="70566E2D" w14:textId="433C689F" w:rsidR="00894793" w:rsidRDefault="00894793" w:rsidP="00450EC6">
      <w:pPr>
        <w:pStyle w:val="v"/>
      </w:pPr>
      <w:r w:rsidRPr="00BA45A7">
        <w:t xml:space="preserve">On the other hand, some scholars have argued the opposite from the "social categorization perspective". They argue that heterogeneity in the educational background of TMT members negatively affects corporate performance for the following reasons: Firstly, top management members with similar educational backgrounds have a more common language, which leads these individuals to trust and be closer to members with similar educational backgrounds. And will exclude and alienate members who have a large gap in education with them. This leads to a lack of communication and trust between members, which eventually leads to conflicts and disagreements and reduces team cohesion [12]. Secondly, the "social categorization perspective " suggests that different levels of education may lead to differences in cognition between members. For example, highly educated people usually believe in authoritative professional theories, while less educated people rely more on empirical knowledge, and this difference may further evolve into personal emotional conflicts [30]. This view is also supported by the empirical results. Bengtsson et al. [11] found that the heterogeneity of educational qualifications in TMT was detrimental to team competitiveness, and they hypothesized that the difference in educational qualifications would lead to differences in power and status, which in turn would lead to emotional conflicts among members. </w:t>
      </w:r>
      <w:proofErr w:type="spellStart"/>
      <w:r w:rsidRPr="00BA45A7">
        <w:t>Duangsheng</w:t>
      </w:r>
      <w:proofErr w:type="spellEnd"/>
      <w:r w:rsidRPr="00BA45A7">
        <w:t xml:space="preserve"> Li and </w:t>
      </w:r>
      <w:proofErr w:type="spellStart"/>
      <w:r w:rsidRPr="00BA45A7">
        <w:t>Xiaoyan</w:t>
      </w:r>
      <w:proofErr w:type="spellEnd"/>
      <w:r w:rsidRPr="00BA45A7">
        <w:t xml:space="preserve"> Wang [31] showed that heterogeneity in educational heterogeneity of TMT can intensify conflicts within the company and ultimately discourage corporate performance.</w:t>
      </w:r>
    </w:p>
    <w:p w14:paraId="716C9B62" w14:textId="713D2D40" w:rsidR="00894793" w:rsidRDefault="00894793" w:rsidP="00450EC6">
      <w:pPr>
        <w:pStyle w:val="v"/>
      </w:pPr>
      <w:r w:rsidRPr="00BA45A7">
        <w:t xml:space="preserve">A summary of the current research shows that the relationship between the educational heterogeneity of TMT and corporate performance is not yet clear. Given this, this study develops the following hypotheses from the </w:t>
      </w:r>
      <w:r w:rsidRPr="00BA45A7">
        <w:lastRenderedPageBreak/>
        <w:t>perspectives of "information/decision-making" and "social categorization". Specifically, at low levels of heterogeneity in the education of the TMT, the "information/decision-making perspective" plays a dominant role, where heterogeneity in the education of the TMT positively affects corporate performance. When the heterogeneity of the TMT's education is high, the "social categorization perspective " plays a dominant role, and the heterogeneity of the TMT's education negatively affects the firm's performance. Based on the above analysis, the following hypotheses are proposed:</w:t>
      </w:r>
    </w:p>
    <w:p w14:paraId="6F3FB54E" w14:textId="203ED97C" w:rsidR="00894793" w:rsidRDefault="00894793" w:rsidP="00450EC6">
      <w:pPr>
        <w:pStyle w:val="v"/>
        <w:ind w:firstLine="422"/>
      </w:pPr>
      <w:r w:rsidRPr="00BA45A7">
        <w:rPr>
          <w:b/>
        </w:rPr>
        <w:t xml:space="preserve">H2: </w:t>
      </w:r>
      <w:r w:rsidRPr="00BA45A7">
        <w:t>The heterogeneity of the TMT's education has an "inverted U" effect on corporate performance.</w:t>
      </w:r>
    </w:p>
    <w:p w14:paraId="709F073A" w14:textId="1951E1BF" w:rsidR="00855E51" w:rsidRDefault="00AE326D" w:rsidP="00855E51">
      <w:pPr>
        <w:pStyle w:val="2"/>
      </w:pPr>
      <w:r>
        <w:t>2</w:t>
      </w:r>
      <w:r w:rsidR="00855E51" w:rsidRPr="00BE2853">
        <w:t>.</w:t>
      </w:r>
      <w:r w:rsidR="00855E51">
        <w:t xml:space="preserve">3 </w:t>
      </w:r>
      <w:r w:rsidR="000010A0" w:rsidRPr="000010A0">
        <w:t>The Impact of Digital Transformation on TMT Heterogeneity</w:t>
      </w:r>
    </w:p>
    <w:p w14:paraId="42CA597A" w14:textId="239062D6" w:rsidR="00D355D1" w:rsidRPr="00D355D1" w:rsidRDefault="00D355D1" w:rsidP="00450EC6">
      <w:pPr>
        <w:pStyle w:val="v"/>
      </w:pPr>
      <w:r w:rsidRPr="00D72C78">
        <w:t xml:space="preserve">Currently, the impact of </w:t>
      </w:r>
      <w:r>
        <w:t>TMT</w:t>
      </w:r>
      <w:r w:rsidRPr="00D72C78">
        <w:t xml:space="preserve"> heterogeneity on corporate performance has been discussed in great depth, while research on the antecedent influences of </w:t>
      </w:r>
      <w:r>
        <w:t>TMT</w:t>
      </w:r>
      <w:r w:rsidRPr="00D72C78">
        <w:t xml:space="preserve"> heterogeneity is still relatively rare [14]. Pettigrew and Lawrence argue that an exploration of the antecedents of TMT heterogeneity is necessary [32, 33].</w:t>
      </w:r>
    </w:p>
    <w:p w14:paraId="51B8295F" w14:textId="685CE54F" w:rsidR="00D355D1" w:rsidRDefault="00D355D1" w:rsidP="00450EC6">
      <w:pPr>
        <w:pStyle w:val="v"/>
      </w:pPr>
      <w:r w:rsidRPr="00D72C78">
        <w:t>According to the A-S-A (Attraction-Selection-Attrition) theory, the characteristics of TMT will gradually evolve toward "homogeneity". While the increase of internal strategic changes and external uncertainties will break this "homogeneity" trend and make the team develop towards "heterogeneity"[34]. TMT is an important bridge between the company and the external environment [35]. The environment of high information iteration and intense competition means that companies need to face high levels of uncertainty and high risk. TMT with different background characteristics can provide the skills needed to address the complexity of the environment as well as a more holistic perspective. As a result, highly heterogeneous teams are more productive in turbulent environments [36].</w:t>
      </w:r>
    </w:p>
    <w:p w14:paraId="4ED5F9D0" w14:textId="01DD92E8" w:rsidR="00D355D1" w:rsidRDefault="00D355D1" w:rsidP="00450EC6">
      <w:pPr>
        <w:pStyle w:val="v"/>
        <w:rPr>
          <w:rFonts w:hint="eastAsia"/>
        </w:rPr>
      </w:pPr>
      <w:r w:rsidRPr="00D72C78">
        <w:t>Many previous studies support this view. Keck et al. found that changes in the business environment and strategic goals of firms trigger changes in the composition of TMT</w:t>
      </w:r>
      <w:r>
        <w:t xml:space="preserve"> </w:t>
      </w:r>
      <w:r w:rsidRPr="00D72C78">
        <w:t xml:space="preserve">[35, 37]. </w:t>
      </w:r>
      <w:proofErr w:type="spellStart"/>
      <w:r w:rsidRPr="00D72C78">
        <w:t>Sharfman</w:t>
      </w:r>
      <w:proofErr w:type="spellEnd"/>
      <w:r w:rsidRPr="00D72C78">
        <w:t xml:space="preserve"> et al. argue that making decisions in highly complex situations requires a professional and scientific knowledge base and a high level of information processing skills</w:t>
      </w:r>
      <w:r>
        <w:t xml:space="preserve"> </w:t>
      </w:r>
      <w:r w:rsidRPr="00D72C78">
        <w:t xml:space="preserve">[38]. </w:t>
      </w:r>
      <w:proofErr w:type="spellStart"/>
      <w:r w:rsidRPr="00D72C78">
        <w:t>Boeke</w:t>
      </w:r>
      <w:proofErr w:type="spellEnd"/>
      <w:r w:rsidRPr="00D72C78">
        <w:t xml:space="preserve"> et al. found that faster or slower firm growth leads to changes in TMT. In addition, board and management ownership has an impact on TMT heterogeneity</w:t>
      </w:r>
      <w:r>
        <w:t xml:space="preserve"> </w:t>
      </w:r>
      <w:r w:rsidRPr="00D72C78">
        <w:t>[39].</w:t>
      </w:r>
      <w:r>
        <w:t xml:space="preserve"> </w:t>
      </w:r>
      <w:r w:rsidRPr="00D72C78">
        <w:t>Nielsen et al validate the applicability of the ASA(Attraction-Selection-Attrition) theory based on panel data from 165 Swiss-listed companies. Their study also shows that the level of internationalization increases the positive impact on TMT heterogeneity [34]. By studying the entry and exit of executives at Dutch newspaper publishers, Boone et al found that a process of "homogenization" does occur within TMT and that this process is influenced by competitive pressures and environmental diversity in the industry</w:t>
      </w:r>
      <w:r>
        <w:t xml:space="preserve"> </w:t>
      </w:r>
      <w:r w:rsidRPr="00D72C78">
        <w:t>[14].</w:t>
      </w:r>
    </w:p>
    <w:p w14:paraId="32AA7F7E" w14:textId="5524C239" w:rsidR="00D355D1" w:rsidRDefault="00D355D1" w:rsidP="00450EC6">
      <w:pPr>
        <w:pStyle w:val="v"/>
      </w:pPr>
      <w:r w:rsidRPr="00D72C78">
        <w:t>Overall, current research on TMT antecedents is relatively scarce and has not yet reached a more uniform conclusion. Therefore, exploring the antecedents of TMT heterogeneity is helpful to improve the theoretical framework of the " Upper Echelons Theory"[36].</w:t>
      </w:r>
    </w:p>
    <w:p w14:paraId="150DD333" w14:textId="178EC61A" w:rsidR="00D355D1" w:rsidRDefault="00D355D1" w:rsidP="00450EC6">
      <w:pPr>
        <w:pStyle w:val="v"/>
      </w:pPr>
      <w:r w:rsidRPr="00D72C78">
        <w:t xml:space="preserve">In addition, no scholars are exploring the causes of the heterogeneity of executive members of listed companies from the perspective of China's digital economy. We argue that, in the context of the digital economy, data drive has had a significant impact on corporate goals, operational approaches, and corporate human resource management </w:t>
      </w:r>
      <w:r w:rsidRPr="00D72C78">
        <w:lastRenderedPageBreak/>
        <w:t xml:space="preserve">[40]. Facing the profound changes in the digital economy, driving organizational change and digital transformation through digital tools and platforms has become a strategic choice for most companies to improve business performance and seek sustainable competitive advantage [41]. More </w:t>
      </w:r>
      <w:r>
        <w:t>s</w:t>
      </w:r>
      <w:r w:rsidRPr="00D72C78">
        <w:t>pecifically, the application of new technologies (big data, cloud computing, blockchain, Internet of Things, etc.) has broken the boundaries of different industries and sectors, providing the possibility of cross-border operations, and corporations are facing increased competition from different fields. In other areas, traditional business is dominated by enterprises. And customers have a low sense of involvement in the production. However, as new technologies become widely available, the distance between corporations and consumers is closer, consumers can participate directly in the process of creation. Corporations need to meet the diversified needs of their customers.</w:t>
      </w:r>
    </w:p>
    <w:p w14:paraId="22981EB7" w14:textId="6C23D20E" w:rsidR="00D355D1" w:rsidRDefault="00D355D1" w:rsidP="00450EC6">
      <w:pPr>
        <w:pStyle w:val="v"/>
      </w:pPr>
      <w:r w:rsidRPr="00D72C78">
        <w:t>At the same time, the digital transformation of companies has also increased the demand for heterogeneous members. Firstly, the digital transformation of a Corporation is not simply a process of business reshaping, but a comprehensive change including organizational management, production management mode, business management mode, etc. [42].</w:t>
      </w:r>
      <w:r>
        <w:t xml:space="preserve"> </w:t>
      </w:r>
      <w:r w:rsidRPr="00D72C78">
        <w:t>Digital technology breaks down barriers between different business environments and functional departments, it promotes data integration between different segments, modules, and departments</w:t>
      </w:r>
      <w:r>
        <w:t xml:space="preserve"> </w:t>
      </w:r>
      <w:r w:rsidRPr="00D72C78">
        <w:t xml:space="preserve">[43]. Companies need to quickly adapt to changes in the business environment and achieve technology alignment. This process increases the requirements for the heterogeneous member, leading to higher levels of TMT heterogeneity [44]. Secondly, the current environment requires companies to quickly identify and meet the diverse and refined demands of consumers [45]. TMT heterogeneity can more quickly and accurately capture the differentiated user needs in different areas, helping companies tap into long-tail needs outside the traditional market [46], </w:t>
      </w:r>
      <w:r>
        <w:t xml:space="preserve">and </w:t>
      </w:r>
      <w:r w:rsidRPr="00D72C78">
        <w:t>ultimately improve business competitiveness. Therefore, the diversification of consumer needs caused by digital transformation will increase the demand for heterogeneous members.</w:t>
      </w:r>
    </w:p>
    <w:p w14:paraId="499D9B06" w14:textId="0975C24F" w:rsidR="00D355D1" w:rsidRDefault="00D355D1" w:rsidP="00450EC6">
      <w:pPr>
        <w:pStyle w:val="v"/>
      </w:pPr>
      <w:r w:rsidRPr="00D72C78">
        <w:t>This paper argues that as the digital transformation of enterprises deepens, there is a greater need for TMT to have open knowledge, information processing capabilities, and cognitive flexibility [37], which can lead to a break in the process of "homogenization" within the team and ultimately to an increase in the level of heterogeneity. Based on the above analysis, the following hypotheses are proposed:</w:t>
      </w:r>
    </w:p>
    <w:p w14:paraId="49C50171" w14:textId="0122489A" w:rsidR="00D355D1" w:rsidRDefault="00D355D1" w:rsidP="00450EC6">
      <w:pPr>
        <w:pStyle w:val="v"/>
        <w:ind w:firstLine="422"/>
      </w:pPr>
      <w:r w:rsidRPr="00D72C78">
        <w:rPr>
          <w:b/>
        </w:rPr>
        <w:t>H3:</w:t>
      </w:r>
      <w:r w:rsidRPr="00D72C78">
        <w:t xml:space="preserve"> Corporate digital transformation has a positive effect on TMT functional background heterogeneity.</w:t>
      </w:r>
    </w:p>
    <w:p w14:paraId="1B47E801" w14:textId="7B5EE0C7" w:rsidR="00D355D1" w:rsidRDefault="001F78F4" w:rsidP="00450EC6">
      <w:pPr>
        <w:pStyle w:val="v"/>
        <w:ind w:firstLine="422"/>
      </w:pPr>
      <w:r w:rsidRPr="00D72C78">
        <w:rPr>
          <w:b/>
        </w:rPr>
        <w:t>H4:</w:t>
      </w:r>
      <w:r w:rsidRPr="00D72C78">
        <w:t xml:space="preserve"> Corporate digital transformation has a positive effect on TMT educational heterogeneity.</w:t>
      </w:r>
    </w:p>
    <w:p w14:paraId="3844842B" w14:textId="00A17F1C" w:rsidR="0007106B" w:rsidRDefault="0059468F" w:rsidP="0059468F">
      <w:pPr>
        <w:jc w:val="center"/>
      </w:pPr>
      <w:r>
        <w:object w:dxaOrig="7651" w:dyaOrig="2761" w14:anchorId="1FA46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45pt;height:138.85pt" o:ole="">
            <v:imagedata r:id="rId8" o:title=""/>
          </v:shape>
          <o:OLEObject Type="Embed" ProgID="Visio.Drawing.15" ShapeID="_x0000_i1025" DrawAspect="Content" ObjectID="_1728658189" r:id="rId9"/>
        </w:object>
      </w:r>
    </w:p>
    <w:p w14:paraId="05514F1A" w14:textId="4B959C5B" w:rsidR="001A1BC0" w:rsidRDefault="006224F6" w:rsidP="006224F6">
      <w:pPr>
        <w:pStyle w:val="v1"/>
      </w:pPr>
      <w:r w:rsidRPr="006224F6">
        <w:lastRenderedPageBreak/>
        <w:t>Figure</w:t>
      </w:r>
      <w:r>
        <w:t xml:space="preserve">1 </w:t>
      </w:r>
      <w:r w:rsidRPr="006224F6">
        <w:t>Framework diagram</w:t>
      </w:r>
    </w:p>
    <w:p w14:paraId="32D97737" w14:textId="5083A0CB" w:rsidR="001D67A0" w:rsidRPr="00D51215" w:rsidRDefault="00AE326D" w:rsidP="001D67A0">
      <w:pPr>
        <w:pStyle w:val="1"/>
        <w:ind w:left="0"/>
        <w:rPr>
          <w:rFonts w:ascii="Times New Roman" w:eastAsia="宋体" w:hAnsi="Times New Roman"/>
          <w:b w:val="0"/>
          <w:color w:val="000000"/>
        </w:rPr>
      </w:pPr>
      <w:bookmarkStart w:id="5" w:name="_Toc82596208"/>
      <w:r>
        <w:rPr>
          <w:rFonts w:ascii="Times New Roman" w:eastAsia="宋体" w:hAnsi="Times New Roman"/>
          <w:b w:val="0"/>
          <w:color w:val="000000"/>
        </w:rPr>
        <w:t>3</w:t>
      </w:r>
      <w:r w:rsidR="001D67A0" w:rsidRPr="00D51215">
        <w:rPr>
          <w:rFonts w:ascii="Times New Roman" w:eastAsia="宋体" w:hAnsi="Times New Roman" w:hint="eastAsia"/>
          <w:b w:val="0"/>
          <w:color w:val="000000"/>
        </w:rPr>
        <w:t xml:space="preserve"> Description of the data</w:t>
      </w:r>
      <w:bookmarkEnd w:id="5"/>
    </w:p>
    <w:p w14:paraId="5BBF3A8B" w14:textId="2D71DC0F" w:rsidR="001D67A0" w:rsidRDefault="00AE326D" w:rsidP="001D67A0">
      <w:pPr>
        <w:pStyle w:val="2"/>
      </w:pPr>
      <w:bookmarkStart w:id="6" w:name="_Toc82596209"/>
      <w:r>
        <w:t>3</w:t>
      </w:r>
      <w:r w:rsidR="001D67A0" w:rsidRPr="00BE2853">
        <w:t xml:space="preserve">.1 </w:t>
      </w:r>
      <w:r w:rsidR="001D67A0" w:rsidRPr="00AC6DBC">
        <w:t xml:space="preserve">Sample </w:t>
      </w:r>
      <w:r w:rsidR="001D67A0" w:rsidRPr="00AC6DBC">
        <w:rPr>
          <w:rFonts w:hint="eastAsia"/>
        </w:rPr>
        <w:t>selection and data sources</w:t>
      </w:r>
      <w:bookmarkEnd w:id="6"/>
    </w:p>
    <w:p w14:paraId="5235BDDD" w14:textId="66C0920D" w:rsidR="001D67A0" w:rsidRDefault="001D67A0" w:rsidP="00450EC6">
      <w:pPr>
        <w:pStyle w:val="v"/>
      </w:pPr>
      <w:r>
        <w:rPr>
          <w:rFonts w:hint="eastAsia"/>
        </w:rPr>
        <w:t xml:space="preserve">This paper selects </w:t>
      </w:r>
      <w:r w:rsidRPr="00E37AE5">
        <w:rPr>
          <w:rFonts w:hint="eastAsia"/>
        </w:rPr>
        <w:t xml:space="preserve">all listed </w:t>
      </w:r>
      <w:r>
        <w:rPr>
          <w:rFonts w:hint="eastAsia"/>
        </w:rPr>
        <w:t xml:space="preserve">Chinese </w:t>
      </w:r>
      <w:r w:rsidRPr="00E37AE5">
        <w:rPr>
          <w:rFonts w:hint="eastAsia"/>
        </w:rPr>
        <w:t xml:space="preserve">A-share companies in the </w:t>
      </w:r>
      <w:r w:rsidR="00C1459C" w:rsidRPr="00E37AE5">
        <w:t>CSMAR</w:t>
      </w:r>
      <w:r w:rsidR="00C1459C" w:rsidRPr="00E37AE5">
        <w:rPr>
          <w:rFonts w:hint="eastAsia"/>
        </w:rPr>
        <w:t xml:space="preserve"> </w:t>
      </w:r>
      <w:r w:rsidRPr="00E37AE5">
        <w:rPr>
          <w:rFonts w:hint="eastAsia"/>
        </w:rPr>
        <w:t xml:space="preserve">database from 2008-2019 as the research sample. The data of A-share listed companies is complete, covers a wide range of industries, is universal, and can reflect the general characteristics of </w:t>
      </w:r>
      <w:r>
        <w:rPr>
          <w:rFonts w:hint="eastAsia"/>
        </w:rPr>
        <w:t xml:space="preserve">Chinese </w:t>
      </w:r>
      <w:r w:rsidRPr="00E37AE5">
        <w:rPr>
          <w:rFonts w:hint="eastAsia"/>
        </w:rPr>
        <w:t xml:space="preserve">companies, and is therefore of </w:t>
      </w:r>
      <w:r>
        <w:rPr>
          <w:rFonts w:hint="eastAsia"/>
        </w:rPr>
        <w:t>some relevance.</w:t>
      </w:r>
    </w:p>
    <w:p w14:paraId="72C1992E" w14:textId="4B563F8B" w:rsidR="001D67A0" w:rsidRDefault="00334D2E" w:rsidP="00450EC6">
      <w:pPr>
        <w:pStyle w:val="v"/>
      </w:pPr>
      <w:r w:rsidRPr="00334D2E">
        <w:t xml:space="preserve">This paper uses SAS and </w:t>
      </w:r>
      <w:r w:rsidR="00B8569E">
        <w:t>R</w:t>
      </w:r>
      <w:r w:rsidRPr="00334D2E">
        <w:t xml:space="preserve"> software to filter and process the data according to the following criteria</w:t>
      </w:r>
      <w:r>
        <w:t>: F</w:t>
      </w:r>
      <w:r w:rsidR="001D67A0">
        <w:rPr>
          <w:rFonts w:hint="eastAsia"/>
        </w:rPr>
        <w:t>irstly, the samples of listed companies in the financial category were deleted</w:t>
      </w:r>
      <w:r w:rsidR="001D67A0">
        <w:fldChar w:fldCharType="begin">
          <w:fldData xml:space="preserve">PEVuZE5vdGU+PENpdGU+PEF1dGhvcj7lp5rlhrDmuZw8L0F1dGhvcj48WWVhcj4yMDE1PC9ZZWFy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</w:fldData>
        </w:fldChar>
      </w:r>
      <w:r w:rsidR="009D62BF">
        <w:instrText xml:space="preserve"> ADDIN EN.CITE </w:instrText>
      </w:r>
      <w:r w:rsidR="009D62BF">
        <w:fldChar w:fldCharType="begin">
          <w:fldData xml:space="preserve">PEVuZE5vdGU+PENpdGU+PEF1dGhvcj7lp5rlhrDmuZw8L0F1dGhvcj48WWVhcj4yMDE1PC9ZZWFy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</w:fldData>
        </w:fldChar>
      </w:r>
      <w:r w:rsidR="009D62BF">
        <w:instrText xml:space="preserve"> ADDIN EN.CITE.DATA </w:instrText>
      </w:r>
      <w:r w:rsidR="009D62BF">
        <w:fldChar w:fldCharType="end"/>
      </w:r>
      <w:r w:rsidR="001D67A0">
        <w:fldChar w:fldCharType="separate"/>
      </w:r>
      <w:r w:rsidR="009D62BF">
        <w:rPr>
          <w:noProof/>
        </w:rPr>
        <w:t>[1]</w:t>
      </w:r>
      <w:r w:rsidR="001D67A0">
        <w:fldChar w:fldCharType="end"/>
      </w:r>
      <w:r w:rsidR="001D67A0">
        <w:rPr>
          <w:rFonts w:hint="eastAsia"/>
        </w:rPr>
        <w:t xml:space="preserve">; </w:t>
      </w:r>
      <w:r w:rsidR="006770C7">
        <w:t>S</w:t>
      </w:r>
      <w:r w:rsidR="001D67A0">
        <w:rPr>
          <w:rFonts w:hint="eastAsia"/>
        </w:rPr>
        <w:t xml:space="preserve">econdly, </w:t>
      </w:r>
      <w:r w:rsidR="001D67A0" w:rsidRPr="00E37AE5">
        <w:rPr>
          <w:rFonts w:hint="eastAsia"/>
        </w:rPr>
        <w:t xml:space="preserve">removing the sample of listed companies in </w:t>
      </w:r>
      <w:r w:rsidR="001D67A0" w:rsidRPr="00E37AE5">
        <w:t xml:space="preserve">ST </w:t>
      </w:r>
      <w:r w:rsidR="001D67A0" w:rsidRPr="00E37AE5">
        <w:rPr>
          <w:rFonts w:hint="eastAsia"/>
        </w:rPr>
        <w:t xml:space="preserve">and </w:t>
      </w:r>
      <w:r w:rsidR="001D67A0" w:rsidRPr="00E37AE5">
        <w:t>*ST</w:t>
      </w:r>
      <w:r w:rsidR="001D67A0" w:rsidRPr="00E37AE5">
        <w:rPr>
          <w:rFonts w:hint="eastAsia"/>
        </w:rPr>
        <w:t xml:space="preserve">; </w:t>
      </w:r>
      <w:r w:rsidR="006770C7">
        <w:t>T</w:t>
      </w:r>
      <w:r w:rsidR="001D67A0">
        <w:rPr>
          <w:rFonts w:hint="eastAsia"/>
        </w:rPr>
        <w:t xml:space="preserve">hirdly, removing the sample of companies with missing backgrounds of </w:t>
      </w:r>
      <w:r w:rsidR="003B6B7A">
        <w:rPr>
          <w:rFonts w:hint="eastAsia"/>
        </w:rPr>
        <w:t>TMT</w:t>
      </w:r>
      <w:r w:rsidR="001D67A0">
        <w:rPr>
          <w:rFonts w:hint="eastAsia"/>
        </w:rPr>
        <w:t xml:space="preserve"> members or company financial data. In addition, to eliminate the influence of extreme values, </w:t>
      </w:r>
      <w:r w:rsidR="001D67A0" w:rsidRPr="00E37AE5">
        <w:rPr>
          <w:rFonts w:hint="eastAsia"/>
        </w:rPr>
        <w:t xml:space="preserve">samples with Tobin's Q value greater than </w:t>
      </w:r>
      <w:r w:rsidR="001D67A0" w:rsidRPr="00E37AE5">
        <w:t xml:space="preserve">10 were </w:t>
      </w:r>
      <w:r w:rsidR="001D67A0" w:rsidRPr="00E37AE5">
        <w:rPr>
          <w:rFonts w:hint="eastAsia"/>
        </w:rPr>
        <w:t xml:space="preserve">removed. </w:t>
      </w:r>
      <w:r w:rsidR="001D67A0">
        <w:rPr>
          <w:rFonts w:hint="eastAsia"/>
        </w:rPr>
        <w:t xml:space="preserve">Finally, the study </w:t>
      </w:r>
      <w:r w:rsidR="001D67A0" w:rsidRPr="00E37AE5">
        <w:rPr>
          <w:rFonts w:hint="eastAsia"/>
        </w:rPr>
        <w:t xml:space="preserve">sample contains </w:t>
      </w:r>
      <w:r w:rsidR="001D67A0" w:rsidRPr="00E37AE5">
        <w:t xml:space="preserve">23,968 </w:t>
      </w:r>
      <w:r w:rsidR="001D67A0">
        <w:rPr>
          <w:rFonts w:hint="eastAsia"/>
        </w:rPr>
        <w:t xml:space="preserve">valid </w:t>
      </w:r>
      <w:r w:rsidR="001D67A0" w:rsidRPr="00E37AE5">
        <w:rPr>
          <w:rFonts w:hint="eastAsia"/>
        </w:rPr>
        <w:t xml:space="preserve">observations of </w:t>
      </w:r>
      <w:r w:rsidR="001D67A0" w:rsidRPr="00E37AE5">
        <w:t xml:space="preserve">3,107 </w:t>
      </w:r>
      <w:r w:rsidR="001D67A0">
        <w:rPr>
          <w:rFonts w:hint="eastAsia"/>
        </w:rPr>
        <w:t xml:space="preserve">listed </w:t>
      </w:r>
      <w:r w:rsidR="001D67A0" w:rsidRPr="00E37AE5">
        <w:rPr>
          <w:rFonts w:hint="eastAsia"/>
        </w:rPr>
        <w:t>companies</w:t>
      </w:r>
      <w:r w:rsidR="0042741C">
        <w:t>.</w:t>
      </w:r>
    </w:p>
    <w:p w14:paraId="081E6802" w14:textId="7B46D932" w:rsidR="001D67A0" w:rsidRDefault="00AE326D" w:rsidP="001D67A0">
      <w:pPr>
        <w:pStyle w:val="2"/>
      </w:pPr>
      <w:bookmarkStart w:id="7" w:name="_Toc82596210"/>
      <w:r>
        <w:t>3</w:t>
      </w:r>
      <w:r w:rsidR="001D67A0" w:rsidRPr="00BE2853">
        <w:t>.</w:t>
      </w:r>
      <w:r w:rsidR="001D67A0">
        <w:t xml:space="preserve">2 Variable </w:t>
      </w:r>
      <w:r w:rsidR="001D67A0">
        <w:rPr>
          <w:rFonts w:hint="eastAsia"/>
        </w:rPr>
        <w:t>design and description</w:t>
      </w:r>
      <w:bookmarkEnd w:id="7"/>
    </w:p>
    <w:p w14:paraId="1188D697" w14:textId="4EB3B3E4" w:rsidR="001D67A0" w:rsidRDefault="00D60E11" w:rsidP="00450EC6">
      <w:pPr>
        <w:pStyle w:val="v"/>
      </w:pPr>
      <w:r w:rsidRPr="007D7175">
        <w:t>Corporate performance</w:t>
      </w:r>
      <w:r>
        <w:t>.</w:t>
      </w:r>
      <w:r w:rsidRPr="007D7175">
        <w:t xml:space="preserve"> Scholars do not all share the same criteria for measuring corporate performance. </w:t>
      </w:r>
      <w:proofErr w:type="gramStart"/>
      <w:r w:rsidRPr="007D7175">
        <w:t xml:space="preserve">Generally speaking, </w:t>
      </w:r>
      <w:r>
        <w:t>a</w:t>
      </w:r>
      <w:r w:rsidRPr="007D7175">
        <w:t>ccounting</w:t>
      </w:r>
      <w:proofErr w:type="gramEnd"/>
      <w:r w:rsidRPr="007D7175">
        <w:t xml:space="preserve"> performance such as return on assets (ROA) is suitable for measuring a firm's short-term business performance, while Tobin's Q (Enterprise Market Value/ Enterprise replacement cost) measures the market value of a firm, reflecting the expected situation and growth potential of the firm [9, 25, 47]. This study uses Tobin's Q to measure firm performance, given the lagged effect of TMT composition on corporate performance. In addition, Tobin's Q distribution is too concentrated. Therefore, this paper uses the logarithm of Tobin's Q + 1 to measure corporate performance.</w:t>
      </w:r>
    </w:p>
    <w:p w14:paraId="499D2BBB" w14:textId="6AC77CA9" w:rsidR="001D67A0" w:rsidRDefault="00D60E11" w:rsidP="00450EC6">
      <w:pPr>
        <w:pStyle w:val="v"/>
      </w:pPr>
      <w:r w:rsidRPr="007D7175">
        <w:t>TMT heterogeneity</w:t>
      </w:r>
      <w:r>
        <w:t>.</w:t>
      </w:r>
      <w:r w:rsidRPr="007D7175">
        <w:t xml:space="preserve"> According to the classification of the CSMAR database, members of the TMT include CEOs, CFOs, general managers, chief engineers, department directors, and other senior members of the company. This paper focuses on the impact of educational heterogeneity and functional background heterogeneity of the TMT on corporate performance. This paper measures heterogeneity using the </w:t>
      </w:r>
      <w:proofErr w:type="spellStart"/>
      <w:r w:rsidRPr="007D7175">
        <w:t>Herfindal</w:t>
      </w:r>
      <w:proofErr w:type="spellEnd"/>
      <w:r w:rsidRPr="007D7175">
        <w:t xml:space="preserve"> Index [19</w:t>
      </w:r>
      <w:proofErr w:type="gramStart"/>
      <w:r w:rsidRPr="007D7175">
        <w:t>]</w:t>
      </w:r>
      <w:r>
        <w:t xml:space="preserve"> </w:t>
      </w:r>
      <w:r w:rsidRPr="007D7175">
        <w:t>:</w:t>
      </w:r>
      <w:proofErr w:type="gramEnd"/>
      <m:oMath>
        <m:r>
          <m:rPr>
            <m:sty m:val="p"/>
          </m:rPr>
          <w:rPr>
            <w:rFonts w:ascii="Cambria Math" w:hAnsi="Cambria Math"/>
          </w:rPr>
          <m:t>H</m:t>
        </m:r>
        <m:r>
          <m:rPr>
            <m:sty m:val="p"/>
          </m:rPr>
          <w:rPr>
            <w:rFonts w:ascii="Cambria Math" w:hAnsi="Cambria Math" w:hint="eastAsia"/>
          </w:rPr>
          <m:t>=</m:t>
        </m:r>
        <m:r>
          <m:rPr>
            <m:sty m:val="p"/>
          </m:rPr>
          <w:rPr>
            <w:rFonts w:ascii="Cambria Math" w:hAnsi="Cambria Math"/>
          </w:rPr>
          <m:t>1-</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p</m:t>
                </m:r>
              </m:e>
              <m:sub>
                <m:r>
                  <w:rPr>
                    <w:rFonts w:ascii="Cambria Math" w:hAnsi="Cambria Math"/>
                  </w:rPr>
                  <m:t>i</m:t>
                </m:r>
              </m:sub>
              <m:sup>
                <m:r>
                  <w:rPr>
                    <w:rFonts w:ascii="Cambria Math" w:hAnsi="Cambria Math"/>
                  </w:rPr>
                  <m:t>2</m:t>
                </m:r>
              </m:sup>
            </m:sSubSup>
          </m:e>
        </m:nary>
      </m:oMath>
      <w:r w:rsidRPr="007D7175">
        <w:t xml:space="preserve"> The higher the value of H, the higher the heterogeneity.</w:t>
      </w:r>
    </w:p>
    <w:p w14:paraId="2DA38CB6" w14:textId="7709FC6D" w:rsidR="001D67A0" w:rsidRDefault="007A3327" w:rsidP="00450EC6">
      <w:pPr>
        <w:pStyle w:val="v"/>
      </w:pPr>
      <w:r w:rsidRPr="0029345F">
        <w:t xml:space="preserve">Heterogeneity of functional backgrounds: This paper reclassifies the functional backgrounds of the members of the TMT, as the CSMAR database is too detailed. Specifically, the CSMAR database classifies members' functional backgrounds into nine categories, namely "1=Production, 2=R&amp;D, 3=Design, 4=HR, 5=Management, 6=Marketing, 7=Finance, 8=Finance, 9=Law". To address the situation where the classification of functional background data is too </w:t>
      </w:r>
      <w:proofErr w:type="gramStart"/>
      <w:r w:rsidRPr="009F3D3E">
        <w:t>scattered</w:t>
      </w:r>
      <w:proofErr w:type="gramEnd"/>
      <w:r w:rsidRPr="0029345F">
        <w:t xml:space="preserve"> and people have too much work experience. In this paper, the original functional backgrounds are first combined, and then the multiple work experiences of employees are classified. Firstly, we draw on Hambrick and Mason's three-sector classification [1] and the actual situation of the Chinese workplace, the functional backgrounds in the CSMAR database are combined into three categories: production, management, and peripheral. Specifically, the former 1, 2, 3</w:t>
      </w:r>
      <w:r>
        <w:t>,</w:t>
      </w:r>
      <w:r w:rsidRPr="0029345F">
        <w:t xml:space="preserve"> and 6 are classified as production-oriented, which are mainly responsible for the product and research products, based on improving the quality of the company's products; the former 4 and </w:t>
      </w:r>
      <w:r w:rsidRPr="0029345F">
        <w:lastRenderedPageBreak/>
        <w:t>5 are classified as management-oriented, which are mainly responsible for the company's daily affairs and personnel management to improve the efficiency of the company's internal operation; the former 7, 8 and 9 are classified as peripheral-oriented, which are responsible for the development of the company provide support work[1]. Secondly, those with production-oriented experience only are classified as category 1; those with management-oriented experience only are classified as category 2; those with peripheral-oriented work experience only are classified as category 3; those with production and management experience are classified as category 4; those with production and peripheral work experience are classified as category 5; those with management and peripheral work experience are classified as category 6; those with production, management</w:t>
      </w:r>
      <w:r>
        <w:t>,</w:t>
      </w:r>
      <w:r w:rsidRPr="0029345F">
        <w:t xml:space="preserve"> and peripheral work experience are classified as category 7; the others are classified as the category 8. Given the current situation that scholars only consider the first or last job of executives, the classification in this paper can fully </w:t>
      </w:r>
      <w:proofErr w:type="gramStart"/>
      <w:r w:rsidRPr="0029345F">
        <w:t>take into account</w:t>
      </w:r>
      <w:proofErr w:type="gramEnd"/>
      <w:r w:rsidRPr="0029345F">
        <w:t xml:space="preserve"> the "multi-functional" background of executives [9].</w:t>
      </w:r>
    </w:p>
    <w:p w14:paraId="7659EB8B" w14:textId="2381E968" w:rsidR="001D67A0" w:rsidRDefault="009D62BF" w:rsidP="00450EC6">
      <w:pPr>
        <w:pStyle w:val="v"/>
      </w:pPr>
      <w:r w:rsidRPr="006B66DF">
        <w:t>Educational heterogeneity: Based on the CSMAR database, the educational qualifications are classified into five categories: specialist and below; undergraduate; master's (including MBA, etc.); Ph.D.; and other (including null values).</w:t>
      </w:r>
    </w:p>
    <w:p w14:paraId="759305E2" w14:textId="73C0E762" w:rsidR="00431EF9" w:rsidRDefault="009D62BF" w:rsidP="00450EC6">
      <w:pPr>
        <w:pStyle w:val="v"/>
      </w:pPr>
      <w:r w:rsidRPr="00B32893">
        <w:t>Digital transformation: it is difficult to classify the various digital applications as they have currently penetrated various industries [48]. In this paper, we use the CSMAR database to measure the digital transformation of enterprises. The frequency of the terms "artificial intelligence technology, cloud computing technology, blockchain technology, big data technology, and digital technology application" in the reports of listed companies is measured by text analysis, and the degree of digital transformation of companies is measured by this method.</w:t>
      </w:r>
    </w:p>
    <w:p w14:paraId="72AE33FF" w14:textId="30D013AC" w:rsidR="001D67A0" w:rsidRPr="00B90546" w:rsidRDefault="009D62BF" w:rsidP="00450EC6">
      <w:pPr>
        <w:pStyle w:val="v"/>
      </w:pPr>
      <w:r w:rsidRPr="00043176">
        <w:t>Considering that corporate performance may be influenced by other factors, this paper controls for the following factors: the average age of the TMT, size of the TMT, size of the company, balance sheet ratio, number of years the company has been listed, return on assets, and the Shareholding ratio of the largest shareholder.</w:t>
      </w:r>
    </w:p>
    <w:p w14:paraId="200DAB42" w14:textId="11615121" w:rsidR="001D67A0" w:rsidRDefault="001D67A0" w:rsidP="001D67A0">
      <w:pPr>
        <w:pStyle w:val="v1"/>
      </w:pPr>
      <w:r w:rsidRPr="00B90546">
        <w:rPr>
          <w:rFonts w:hint="eastAsia"/>
        </w:rPr>
        <w:t>Table 1: Description of variables</w:t>
      </w:r>
    </w:p>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gridCol w:w="4115"/>
      </w:tblGrid>
      <w:tr w:rsidR="001D67A0" w:rsidRPr="00B90546" w14:paraId="38C978EB" w14:textId="77777777" w:rsidTr="007318BC">
        <w:trPr>
          <w:jc w:val="center"/>
        </w:trPr>
        <w:tc>
          <w:tcPr>
            <w:tcW w:w="1413" w:type="dxa"/>
            <w:tcBorders>
              <w:top w:val="single" w:sz="4" w:space="0" w:color="auto"/>
              <w:bottom w:val="single" w:sz="4" w:space="0" w:color="auto"/>
            </w:tcBorders>
            <w:vAlign w:val="center"/>
          </w:tcPr>
          <w:p w14:paraId="476FD2ED" w14:textId="77777777" w:rsidR="001D67A0" w:rsidRPr="00B90546" w:rsidRDefault="001D67A0" w:rsidP="007318BC">
            <w:pPr>
              <w:pStyle w:val="b"/>
              <w:rPr>
                <w:sz w:val="20"/>
                <w:szCs w:val="20"/>
              </w:rPr>
            </w:pPr>
            <w:r w:rsidRPr="00B90546">
              <w:rPr>
                <w:rFonts w:hint="eastAsia"/>
                <w:sz w:val="20"/>
                <w:szCs w:val="20"/>
              </w:rPr>
              <w:t>Variable type</w:t>
            </w:r>
          </w:p>
        </w:tc>
        <w:tc>
          <w:tcPr>
            <w:tcW w:w="2977" w:type="dxa"/>
            <w:tcBorders>
              <w:top w:val="single" w:sz="4" w:space="0" w:color="auto"/>
              <w:bottom w:val="single" w:sz="4" w:space="0" w:color="auto"/>
            </w:tcBorders>
            <w:vAlign w:val="center"/>
          </w:tcPr>
          <w:p w14:paraId="27FBA0AC" w14:textId="77777777" w:rsidR="001D67A0" w:rsidRPr="00B90546" w:rsidRDefault="001D67A0" w:rsidP="007318BC">
            <w:pPr>
              <w:pStyle w:val="b"/>
              <w:rPr>
                <w:sz w:val="20"/>
                <w:szCs w:val="20"/>
              </w:rPr>
            </w:pPr>
            <w:r w:rsidRPr="00B90546">
              <w:rPr>
                <w:rFonts w:hint="eastAsia"/>
                <w:sz w:val="20"/>
                <w:szCs w:val="20"/>
              </w:rPr>
              <w:t>Variable name</w:t>
            </w:r>
          </w:p>
        </w:tc>
        <w:tc>
          <w:tcPr>
            <w:tcW w:w="4115" w:type="dxa"/>
            <w:tcBorders>
              <w:top w:val="single" w:sz="4" w:space="0" w:color="auto"/>
              <w:bottom w:val="single" w:sz="4" w:space="0" w:color="auto"/>
            </w:tcBorders>
            <w:vAlign w:val="center"/>
          </w:tcPr>
          <w:p w14:paraId="7B4FA067" w14:textId="77777777" w:rsidR="001D67A0" w:rsidRPr="00B90546" w:rsidRDefault="001D67A0" w:rsidP="007318BC">
            <w:pPr>
              <w:pStyle w:val="b"/>
              <w:rPr>
                <w:sz w:val="20"/>
                <w:szCs w:val="20"/>
              </w:rPr>
            </w:pPr>
            <w:r w:rsidRPr="00B90546">
              <w:rPr>
                <w:rFonts w:hint="eastAsia"/>
                <w:sz w:val="20"/>
                <w:szCs w:val="20"/>
              </w:rPr>
              <w:t>Variable Description</w:t>
            </w:r>
          </w:p>
        </w:tc>
      </w:tr>
      <w:tr w:rsidR="001D67A0" w:rsidRPr="00B90546" w14:paraId="68AC9FC6" w14:textId="77777777" w:rsidTr="009D62BF">
        <w:trPr>
          <w:jc w:val="center"/>
        </w:trPr>
        <w:tc>
          <w:tcPr>
            <w:tcW w:w="1413" w:type="dxa"/>
            <w:tcBorders>
              <w:top w:val="single" w:sz="4" w:space="0" w:color="auto"/>
              <w:bottom w:val="single" w:sz="4" w:space="0" w:color="auto"/>
            </w:tcBorders>
            <w:vAlign w:val="center"/>
          </w:tcPr>
          <w:p w14:paraId="24309F9F" w14:textId="77777777" w:rsidR="001D67A0" w:rsidRPr="00B90546" w:rsidRDefault="001D67A0" w:rsidP="007318BC">
            <w:pPr>
              <w:pStyle w:val="b"/>
              <w:rPr>
                <w:sz w:val="20"/>
                <w:szCs w:val="20"/>
              </w:rPr>
            </w:pPr>
            <w:r w:rsidRPr="00B90546">
              <w:rPr>
                <w:rFonts w:hint="eastAsia"/>
                <w:sz w:val="20"/>
                <w:szCs w:val="20"/>
              </w:rPr>
              <w:t>Explained variables</w:t>
            </w:r>
          </w:p>
        </w:tc>
        <w:tc>
          <w:tcPr>
            <w:tcW w:w="2977" w:type="dxa"/>
            <w:tcBorders>
              <w:top w:val="single" w:sz="4" w:space="0" w:color="auto"/>
              <w:bottom w:val="single" w:sz="4" w:space="0" w:color="auto"/>
            </w:tcBorders>
            <w:vAlign w:val="center"/>
          </w:tcPr>
          <w:p w14:paraId="78685ED7" w14:textId="77777777" w:rsidR="001D67A0" w:rsidRPr="00B90546" w:rsidRDefault="001D67A0" w:rsidP="007318BC">
            <w:pPr>
              <w:pStyle w:val="b"/>
              <w:rPr>
                <w:sz w:val="20"/>
                <w:szCs w:val="20"/>
              </w:rPr>
            </w:pPr>
            <w:r w:rsidRPr="00B90546">
              <w:rPr>
                <w:rFonts w:hint="eastAsia"/>
                <w:sz w:val="20"/>
                <w:szCs w:val="20"/>
              </w:rPr>
              <w:t>Corporate Performance</w:t>
            </w:r>
          </w:p>
        </w:tc>
        <w:tc>
          <w:tcPr>
            <w:tcW w:w="4115" w:type="dxa"/>
            <w:tcBorders>
              <w:top w:val="single" w:sz="4" w:space="0" w:color="auto"/>
              <w:bottom w:val="single" w:sz="4" w:space="0" w:color="auto"/>
            </w:tcBorders>
            <w:vAlign w:val="center"/>
          </w:tcPr>
          <w:p w14:paraId="570B5444" w14:textId="77777777" w:rsidR="001D67A0" w:rsidRPr="00B90546" w:rsidRDefault="001D67A0" w:rsidP="007318BC">
            <w:pPr>
              <w:pStyle w:val="b"/>
              <w:rPr>
                <w:sz w:val="20"/>
                <w:szCs w:val="20"/>
              </w:rPr>
            </w:pPr>
            <w:proofErr w:type="gramStart"/>
            <w:r w:rsidRPr="00B90546">
              <w:rPr>
                <w:rFonts w:hint="eastAsia"/>
                <w:sz w:val="20"/>
                <w:szCs w:val="20"/>
              </w:rPr>
              <w:t>Log(</w:t>
            </w:r>
            <w:proofErr w:type="gramEnd"/>
            <w:r w:rsidRPr="00B90546">
              <w:rPr>
                <w:rFonts w:hint="eastAsia"/>
                <w:sz w:val="20"/>
                <w:szCs w:val="20"/>
              </w:rPr>
              <w:t xml:space="preserve">Tobin's Q + </w:t>
            </w:r>
            <w:r w:rsidRPr="00B90546">
              <w:rPr>
                <w:sz w:val="20"/>
                <w:szCs w:val="20"/>
              </w:rPr>
              <w:t>1</w:t>
            </w:r>
            <w:r w:rsidRPr="00B90546">
              <w:rPr>
                <w:rFonts w:hint="eastAsia"/>
                <w:sz w:val="20"/>
                <w:szCs w:val="20"/>
              </w:rPr>
              <w:t>)</w:t>
            </w:r>
          </w:p>
        </w:tc>
      </w:tr>
      <w:tr w:rsidR="001D67A0" w:rsidRPr="00B90546" w14:paraId="15F01A0D" w14:textId="77777777" w:rsidTr="009D62BF">
        <w:trPr>
          <w:jc w:val="center"/>
        </w:trPr>
        <w:tc>
          <w:tcPr>
            <w:tcW w:w="1413" w:type="dxa"/>
            <w:vMerge w:val="restart"/>
            <w:tcBorders>
              <w:top w:val="single" w:sz="4" w:space="0" w:color="auto"/>
            </w:tcBorders>
            <w:vAlign w:val="center"/>
          </w:tcPr>
          <w:p w14:paraId="417A5E6C" w14:textId="77777777" w:rsidR="001D67A0" w:rsidRPr="00B90546" w:rsidRDefault="001D67A0" w:rsidP="007318BC">
            <w:pPr>
              <w:pStyle w:val="b"/>
              <w:rPr>
                <w:sz w:val="20"/>
                <w:szCs w:val="20"/>
              </w:rPr>
            </w:pPr>
            <w:r w:rsidRPr="00B90546">
              <w:rPr>
                <w:rFonts w:hint="eastAsia"/>
                <w:sz w:val="20"/>
                <w:szCs w:val="20"/>
              </w:rPr>
              <w:t>Explanatory variables</w:t>
            </w:r>
          </w:p>
        </w:tc>
        <w:tc>
          <w:tcPr>
            <w:tcW w:w="2977" w:type="dxa"/>
            <w:tcBorders>
              <w:top w:val="single" w:sz="4" w:space="0" w:color="auto"/>
            </w:tcBorders>
            <w:vAlign w:val="center"/>
          </w:tcPr>
          <w:p w14:paraId="0E8539DE" w14:textId="2626303E" w:rsidR="001D67A0" w:rsidRPr="00B90546" w:rsidRDefault="00E10521" w:rsidP="007318BC">
            <w:pPr>
              <w:pStyle w:val="b"/>
              <w:rPr>
                <w:sz w:val="20"/>
                <w:szCs w:val="20"/>
              </w:rPr>
            </w:pPr>
            <w:r w:rsidRPr="00B90546">
              <w:rPr>
                <w:sz w:val="20"/>
                <w:szCs w:val="20"/>
              </w:rPr>
              <w:t>Functional background heterogeneity</w:t>
            </w:r>
          </w:p>
        </w:tc>
        <w:tc>
          <w:tcPr>
            <w:tcW w:w="4115" w:type="dxa"/>
            <w:tcBorders>
              <w:top w:val="single" w:sz="4" w:space="0" w:color="auto"/>
            </w:tcBorders>
            <w:vAlign w:val="center"/>
          </w:tcPr>
          <w:p w14:paraId="2809AAF4" w14:textId="77777777" w:rsidR="001D67A0" w:rsidRPr="00B90546" w:rsidRDefault="001D67A0" w:rsidP="007318BC">
            <w:pPr>
              <w:pStyle w:val="b"/>
              <w:rPr>
                <w:sz w:val="20"/>
                <w:szCs w:val="20"/>
              </w:rPr>
            </w:pPr>
            <m:oMathPara>
              <m:oMath>
                <m:r>
                  <m:rPr>
                    <m:sty m:val="p"/>
                  </m:rPr>
                  <w:rPr>
                    <w:sz w:val="20"/>
                    <w:szCs w:val="20"/>
                  </w:rPr>
                  <m:t>H</m:t>
                </m:r>
                <m:r>
                  <m:rPr>
                    <m:sty m:val="p"/>
                  </m:rPr>
                  <w:rPr>
                    <w:rFonts w:hint="eastAsia"/>
                    <w:sz w:val="20"/>
                    <w:szCs w:val="20"/>
                  </w:rPr>
                  <m:t>=</m:t>
                </m:r>
                <m:r>
                  <m:rPr>
                    <m:sty m:val="p"/>
                  </m:rPr>
                  <w:rPr>
                    <w:sz w:val="20"/>
                    <w:szCs w:val="20"/>
                  </w:rPr>
                  <m:t>1-</m:t>
                </m:r>
                <m:nary>
                  <m:naryPr>
                    <m:chr m:val="∑"/>
                    <m:limLoc m:val="subSup"/>
                    <m:ctrlPr>
                      <w:rPr>
                        <w:sz w:val="20"/>
                        <w:szCs w:val="20"/>
                      </w:rPr>
                    </m:ctrlPr>
                  </m:naryPr>
                  <m:sub>
                    <m:r>
                      <w:rPr>
                        <w:sz w:val="20"/>
                        <w:szCs w:val="20"/>
                      </w:rPr>
                      <m:t>i=1</m:t>
                    </m:r>
                  </m:sub>
                  <m:sup>
                    <m:r>
                      <w:rPr>
                        <w:sz w:val="20"/>
                        <w:szCs w:val="20"/>
                      </w:rPr>
                      <m:t>n</m:t>
                    </m:r>
                  </m:sup>
                  <m:e>
                    <m:sSubSup>
                      <m:sSubSupPr>
                        <m:ctrlPr>
                          <w:rPr>
                            <w:sz w:val="20"/>
                            <w:szCs w:val="20"/>
                          </w:rPr>
                        </m:ctrlPr>
                      </m:sSubSupPr>
                      <m:e>
                        <m:r>
                          <w:rPr>
                            <w:sz w:val="20"/>
                            <w:szCs w:val="20"/>
                          </w:rPr>
                          <m:t>p</m:t>
                        </m:r>
                      </m:e>
                      <m:sub>
                        <m:r>
                          <w:rPr>
                            <w:sz w:val="20"/>
                            <w:szCs w:val="20"/>
                          </w:rPr>
                          <m:t>i</m:t>
                        </m:r>
                      </m:sub>
                      <m:sup>
                        <m:r>
                          <m:rPr>
                            <m:sty m:val="p"/>
                          </m:rPr>
                          <w:rPr>
                            <w:sz w:val="20"/>
                            <w:szCs w:val="20"/>
                          </w:rPr>
                          <m:t>2</m:t>
                        </m:r>
                      </m:sup>
                    </m:sSubSup>
                  </m:e>
                </m:nary>
              </m:oMath>
            </m:oMathPara>
          </w:p>
        </w:tc>
      </w:tr>
      <w:tr w:rsidR="001D67A0" w:rsidRPr="00B90546" w14:paraId="219F277F" w14:textId="77777777" w:rsidTr="009D62BF">
        <w:trPr>
          <w:jc w:val="center"/>
        </w:trPr>
        <w:tc>
          <w:tcPr>
            <w:tcW w:w="1413" w:type="dxa"/>
            <w:vMerge/>
            <w:tcBorders>
              <w:bottom w:val="single" w:sz="4" w:space="0" w:color="auto"/>
            </w:tcBorders>
            <w:vAlign w:val="center"/>
          </w:tcPr>
          <w:p w14:paraId="37241C2C" w14:textId="77777777" w:rsidR="001D67A0" w:rsidRPr="00B90546" w:rsidRDefault="001D67A0" w:rsidP="007318BC">
            <w:pPr>
              <w:pStyle w:val="b"/>
              <w:rPr>
                <w:sz w:val="20"/>
                <w:szCs w:val="20"/>
              </w:rPr>
            </w:pPr>
          </w:p>
        </w:tc>
        <w:tc>
          <w:tcPr>
            <w:tcW w:w="2977" w:type="dxa"/>
            <w:tcBorders>
              <w:bottom w:val="single" w:sz="4" w:space="0" w:color="auto"/>
            </w:tcBorders>
            <w:vAlign w:val="center"/>
          </w:tcPr>
          <w:p w14:paraId="7F598757" w14:textId="1D56CA95" w:rsidR="001D67A0" w:rsidRPr="00B90546" w:rsidRDefault="00A709EB" w:rsidP="007318BC">
            <w:pPr>
              <w:pStyle w:val="b"/>
              <w:rPr>
                <w:sz w:val="20"/>
                <w:szCs w:val="20"/>
              </w:rPr>
            </w:pPr>
            <w:r w:rsidRPr="00B90546">
              <w:rPr>
                <w:sz w:val="20"/>
                <w:szCs w:val="20"/>
              </w:rPr>
              <w:t xml:space="preserve">Educational </w:t>
            </w:r>
            <w:r w:rsidR="00C92FD0" w:rsidRPr="00B90546">
              <w:rPr>
                <w:sz w:val="20"/>
                <w:szCs w:val="20"/>
              </w:rPr>
              <w:t>h</w:t>
            </w:r>
            <w:r w:rsidRPr="00B90546">
              <w:rPr>
                <w:sz w:val="20"/>
                <w:szCs w:val="20"/>
              </w:rPr>
              <w:t>eterogeneity</w:t>
            </w:r>
          </w:p>
        </w:tc>
        <w:tc>
          <w:tcPr>
            <w:tcW w:w="4115" w:type="dxa"/>
            <w:tcBorders>
              <w:bottom w:val="single" w:sz="4" w:space="0" w:color="auto"/>
            </w:tcBorders>
            <w:vAlign w:val="center"/>
          </w:tcPr>
          <w:p w14:paraId="28AA2020" w14:textId="77777777" w:rsidR="001D67A0" w:rsidRPr="00B90546" w:rsidRDefault="001D67A0" w:rsidP="007318BC">
            <w:pPr>
              <w:pStyle w:val="b"/>
              <w:rPr>
                <w:sz w:val="20"/>
                <w:szCs w:val="20"/>
              </w:rPr>
            </w:pPr>
            <m:oMathPara>
              <m:oMath>
                <m:r>
                  <m:rPr>
                    <m:sty m:val="p"/>
                  </m:rPr>
                  <w:rPr>
                    <w:sz w:val="20"/>
                    <w:szCs w:val="20"/>
                  </w:rPr>
                  <m:t>H</m:t>
                </m:r>
                <m:r>
                  <m:rPr>
                    <m:sty m:val="p"/>
                  </m:rPr>
                  <w:rPr>
                    <w:rFonts w:hint="eastAsia"/>
                    <w:sz w:val="20"/>
                    <w:szCs w:val="20"/>
                  </w:rPr>
                  <m:t>=</m:t>
                </m:r>
                <m:r>
                  <m:rPr>
                    <m:sty m:val="p"/>
                  </m:rPr>
                  <w:rPr>
                    <w:sz w:val="20"/>
                    <w:szCs w:val="20"/>
                  </w:rPr>
                  <m:t>1-</m:t>
                </m:r>
                <m:nary>
                  <m:naryPr>
                    <m:chr m:val="∑"/>
                    <m:limLoc m:val="subSup"/>
                    <m:ctrlPr>
                      <w:rPr>
                        <w:sz w:val="20"/>
                        <w:szCs w:val="20"/>
                      </w:rPr>
                    </m:ctrlPr>
                  </m:naryPr>
                  <m:sub>
                    <m:r>
                      <w:rPr>
                        <w:sz w:val="20"/>
                        <w:szCs w:val="20"/>
                      </w:rPr>
                      <m:t>i=1</m:t>
                    </m:r>
                  </m:sub>
                  <m:sup>
                    <m:r>
                      <w:rPr>
                        <w:sz w:val="20"/>
                        <w:szCs w:val="20"/>
                      </w:rPr>
                      <m:t>n</m:t>
                    </m:r>
                  </m:sup>
                  <m:e>
                    <m:sSubSup>
                      <m:sSubSupPr>
                        <m:ctrlPr>
                          <w:rPr>
                            <w:sz w:val="20"/>
                            <w:szCs w:val="20"/>
                          </w:rPr>
                        </m:ctrlPr>
                      </m:sSubSupPr>
                      <m:e>
                        <m:r>
                          <w:rPr>
                            <w:sz w:val="20"/>
                            <w:szCs w:val="20"/>
                          </w:rPr>
                          <m:t>p</m:t>
                        </m:r>
                      </m:e>
                      <m:sub>
                        <m:r>
                          <w:rPr>
                            <w:sz w:val="20"/>
                            <w:szCs w:val="20"/>
                          </w:rPr>
                          <m:t>i</m:t>
                        </m:r>
                      </m:sub>
                      <m:sup>
                        <m:r>
                          <m:rPr>
                            <m:sty m:val="p"/>
                          </m:rPr>
                          <w:rPr>
                            <w:sz w:val="20"/>
                            <w:szCs w:val="20"/>
                          </w:rPr>
                          <m:t>2</m:t>
                        </m:r>
                      </m:sup>
                    </m:sSubSup>
                  </m:e>
                </m:nary>
              </m:oMath>
            </m:oMathPara>
          </w:p>
        </w:tc>
      </w:tr>
      <w:tr w:rsidR="008951C1" w:rsidRPr="00B90546" w14:paraId="5F61421F" w14:textId="77777777" w:rsidTr="009D62BF">
        <w:trPr>
          <w:jc w:val="center"/>
        </w:trPr>
        <w:tc>
          <w:tcPr>
            <w:tcW w:w="1413" w:type="dxa"/>
            <w:vMerge w:val="restart"/>
            <w:tcBorders>
              <w:top w:val="single" w:sz="4" w:space="0" w:color="auto"/>
            </w:tcBorders>
            <w:vAlign w:val="center"/>
          </w:tcPr>
          <w:p w14:paraId="71BAEBA1" w14:textId="77777777" w:rsidR="008951C1" w:rsidRPr="00B90546" w:rsidRDefault="008951C1" w:rsidP="007318BC">
            <w:pPr>
              <w:pStyle w:val="b"/>
              <w:rPr>
                <w:sz w:val="20"/>
                <w:szCs w:val="20"/>
              </w:rPr>
            </w:pPr>
            <w:r w:rsidRPr="00B90546">
              <w:rPr>
                <w:rFonts w:hint="eastAsia"/>
                <w:sz w:val="20"/>
                <w:szCs w:val="20"/>
              </w:rPr>
              <w:t>Control variables</w:t>
            </w:r>
          </w:p>
        </w:tc>
        <w:tc>
          <w:tcPr>
            <w:tcW w:w="2977" w:type="dxa"/>
            <w:tcBorders>
              <w:top w:val="single" w:sz="4" w:space="0" w:color="auto"/>
            </w:tcBorders>
            <w:vAlign w:val="center"/>
          </w:tcPr>
          <w:p w14:paraId="2AEE7E0B" w14:textId="02781B50" w:rsidR="008951C1" w:rsidRPr="00B90546" w:rsidRDefault="008951C1" w:rsidP="007318BC">
            <w:pPr>
              <w:pStyle w:val="b"/>
              <w:rPr>
                <w:sz w:val="20"/>
                <w:szCs w:val="20"/>
              </w:rPr>
            </w:pPr>
            <w:r w:rsidRPr="00B90546">
              <w:rPr>
                <w:rFonts w:hint="eastAsia"/>
                <w:sz w:val="20"/>
                <w:szCs w:val="20"/>
              </w:rPr>
              <w:t xml:space="preserve">Average age </w:t>
            </w:r>
          </w:p>
        </w:tc>
        <w:tc>
          <w:tcPr>
            <w:tcW w:w="4115" w:type="dxa"/>
            <w:tcBorders>
              <w:top w:val="single" w:sz="4" w:space="0" w:color="auto"/>
            </w:tcBorders>
            <w:vAlign w:val="center"/>
          </w:tcPr>
          <w:p w14:paraId="1A663DE5" w14:textId="715B4866" w:rsidR="008951C1" w:rsidRPr="00B90546" w:rsidRDefault="008951C1" w:rsidP="007318BC">
            <w:pPr>
              <w:pStyle w:val="b"/>
              <w:rPr>
                <w:sz w:val="20"/>
                <w:szCs w:val="20"/>
              </w:rPr>
            </w:pPr>
            <w:r w:rsidRPr="00B90546">
              <w:rPr>
                <w:rFonts w:hint="eastAsia"/>
                <w:sz w:val="20"/>
                <w:szCs w:val="20"/>
              </w:rPr>
              <w:t>Total age of team members</w:t>
            </w:r>
            <w:r>
              <w:rPr>
                <w:sz w:val="20"/>
                <w:szCs w:val="20"/>
              </w:rPr>
              <w:t>/</w:t>
            </w:r>
            <w:r w:rsidRPr="00B90546">
              <w:rPr>
                <w:rFonts w:hint="eastAsia"/>
                <w:sz w:val="20"/>
                <w:szCs w:val="20"/>
              </w:rPr>
              <w:t>number of team members</w:t>
            </w:r>
          </w:p>
        </w:tc>
      </w:tr>
      <w:tr w:rsidR="008951C1" w:rsidRPr="00B90546" w14:paraId="3C70101D" w14:textId="77777777" w:rsidTr="007318BC">
        <w:trPr>
          <w:jc w:val="center"/>
        </w:trPr>
        <w:tc>
          <w:tcPr>
            <w:tcW w:w="1413" w:type="dxa"/>
            <w:vMerge/>
            <w:vAlign w:val="center"/>
          </w:tcPr>
          <w:p w14:paraId="3132877D" w14:textId="77777777" w:rsidR="008951C1" w:rsidRPr="00B90546" w:rsidRDefault="008951C1" w:rsidP="007318BC">
            <w:pPr>
              <w:pStyle w:val="b"/>
              <w:rPr>
                <w:sz w:val="20"/>
                <w:szCs w:val="20"/>
              </w:rPr>
            </w:pPr>
          </w:p>
        </w:tc>
        <w:tc>
          <w:tcPr>
            <w:tcW w:w="2977" w:type="dxa"/>
            <w:vAlign w:val="center"/>
          </w:tcPr>
          <w:p w14:paraId="7A849349" w14:textId="116E2131" w:rsidR="008951C1" w:rsidRPr="00B90546" w:rsidRDefault="008951C1" w:rsidP="007318BC">
            <w:pPr>
              <w:pStyle w:val="b"/>
              <w:rPr>
                <w:sz w:val="20"/>
                <w:szCs w:val="20"/>
              </w:rPr>
            </w:pPr>
            <w:r w:rsidRPr="00B90546">
              <w:rPr>
                <w:sz w:val="20"/>
                <w:szCs w:val="20"/>
              </w:rPr>
              <w:t>Number of TMT</w:t>
            </w:r>
          </w:p>
        </w:tc>
        <w:tc>
          <w:tcPr>
            <w:tcW w:w="4115" w:type="dxa"/>
            <w:vAlign w:val="center"/>
          </w:tcPr>
          <w:p w14:paraId="4B133F4B" w14:textId="55F55203" w:rsidR="008951C1" w:rsidRPr="00B90546" w:rsidRDefault="008951C1" w:rsidP="007318BC">
            <w:pPr>
              <w:pStyle w:val="b"/>
              <w:rPr>
                <w:sz w:val="20"/>
                <w:szCs w:val="20"/>
              </w:rPr>
            </w:pPr>
            <w:r w:rsidRPr="00B90546">
              <w:rPr>
                <w:rFonts w:hint="eastAsia"/>
                <w:sz w:val="20"/>
                <w:szCs w:val="20"/>
              </w:rPr>
              <w:t xml:space="preserve">Total number of </w:t>
            </w:r>
            <w:r>
              <w:rPr>
                <w:sz w:val="20"/>
                <w:szCs w:val="20"/>
              </w:rPr>
              <w:t xml:space="preserve">the </w:t>
            </w:r>
            <w:r w:rsidRPr="00B90546">
              <w:rPr>
                <w:rFonts w:hint="eastAsia"/>
                <w:sz w:val="20"/>
                <w:szCs w:val="20"/>
              </w:rPr>
              <w:t>senior management team</w:t>
            </w:r>
          </w:p>
        </w:tc>
      </w:tr>
      <w:tr w:rsidR="008951C1" w:rsidRPr="00B90546" w14:paraId="7FD5AB24" w14:textId="77777777" w:rsidTr="007318BC">
        <w:trPr>
          <w:jc w:val="center"/>
        </w:trPr>
        <w:tc>
          <w:tcPr>
            <w:tcW w:w="1413" w:type="dxa"/>
            <w:vMerge/>
            <w:vAlign w:val="center"/>
          </w:tcPr>
          <w:p w14:paraId="322709A5" w14:textId="77777777" w:rsidR="008951C1" w:rsidRPr="00B90546" w:rsidRDefault="008951C1" w:rsidP="007318BC">
            <w:pPr>
              <w:pStyle w:val="b"/>
              <w:rPr>
                <w:sz w:val="20"/>
                <w:szCs w:val="20"/>
              </w:rPr>
            </w:pPr>
          </w:p>
        </w:tc>
        <w:tc>
          <w:tcPr>
            <w:tcW w:w="2977" w:type="dxa"/>
            <w:vAlign w:val="center"/>
          </w:tcPr>
          <w:p w14:paraId="1EA9C201" w14:textId="66A5671F" w:rsidR="008951C1" w:rsidRPr="00B90546" w:rsidRDefault="008951C1" w:rsidP="007318BC">
            <w:pPr>
              <w:pStyle w:val="b"/>
              <w:rPr>
                <w:sz w:val="20"/>
                <w:szCs w:val="20"/>
              </w:rPr>
            </w:pPr>
            <w:r w:rsidRPr="00B90546">
              <w:rPr>
                <w:sz w:val="20"/>
                <w:szCs w:val="20"/>
              </w:rPr>
              <w:t>Enterprise scale</w:t>
            </w:r>
          </w:p>
        </w:tc>
        <w:tc>
          <w:tcPr>
            <w:tcW w:w="4115" w:type="dxa"/>
            <w:vAlign w:val="center"/>
          </w:tcPr>
          <w:p w14:paraId="718469A4" w14:textId="77777777" w:rsidR="008951C1" w:rsidRPr="00B90546" w:rsidRDefault="008951C1" w:rsidP="007318BC">
            <w:pPr>
              <w:pStyle w:val="b"/>
              <w:rPr>
                <w:sz w:val="20"/>
                <w:szCs w:val="20"/>
              </w:rPr>
            </w:pPr>
            <w:r w:rsidRPr="00B90546">
              <w:rPr>
                <w:rFonts w:hint="eastAsia"/>
                <w:sz w:val="20"/>
                <w:szCs w:val="20"/>
              </w:rPr>
              <w:t>Natural logarithm of the total assets of the business</w:t>
            </w:r>
          </w:p>
        </w:tc>
      </w:tr>
      <w:tr w:rsidR="008951C1" w:rsidRPr="00B90546" w14:paraId="73623EEA" w14:textId="77777777" w:rsidTr="007318BC">
        <w:trPr>
          <w:jc w:val="center"/>
        </w:trPr>
        <w:tc>
          <w:tcPr>
            <w:tcW w:w="1413" w:type="dxa"/>
            <w:vMerge/>
            <w:vAlign w:val="center"/>
          </w:tcPr>
          <w:p w14:paraId="431379F1" w14:textId="77777777" w:rsidR="008951C1" w:rsidRPr="00B90546" w:rsidRDefault="008951C1" w:rsidP="007318BC">
            <w:pPr>
              <w:pStyle w:val="b"/>
              <w:rPr>
                <w:sz w:val="20"/>
                <w:szCs w:val="20"/>
              </w:rPr>
            </w:pPr>
          </w:p>
        </w:tc>
        <w:tc>
          <w:tcPr>
            <w:tcW w:w="2977" w:type="dxa"/>
            <w:vAlign w:val="center"/>
          </w:tcPr>
          <w:p w14:paraId="5D39E1C0" w14:textId="302D27CF" w:rsidR="008951C1" w:rsidRPr="00B90546" w:rsidRDefault="008951C1" w:rsidP="004F6CCC">
            <w:pPr>
              <w:pStyle w:val="b"/>
              <w:rPr>
                <w:sz w:val="20"/>
                <w:szCs w:val="20"/>
              </w:rPr>
            </w:pPr>
            <w:r w:rsidRPr="004F6CCC">
              <w:rPr>
                <w:sz w:val="20"/>
                <w:szCs w:val="20"/>
              </w:rPr>
              <w:t>debt to asset ratio</w:t>
            </w:r>
          </w:p>
        </w:tc>
        <w:tc>
          <w:tcPr>
            <w:tcW w:w="4115" w:type="dxa"/>
            <w:vAlign w:val="center"/>
          </w:tcPr>
          <w:p w14:paraId="10965C5E" w14:textId="701AAC26" w:rsidR="008951C1" w:rsidRPr="00B90546" w:rsidRDefault="008951C1" w:rsidP="007318BC">
            <w:pPr>
              <w:pStyle w:val="b"/>
              <w:rPr>
                <w:sz w:val="20"/>
                <w:szCs w:val="20"/>
              </w:rPr>
            </w:pPr>
            <w:r w:rsidRPr="00B90546">
              <w:rPr>
                <w:rFonts w:hint="eastAsia"/>
                <w:sz w:val="20"/>
                <w:szCs w:val="20"/>
              </w:rPr>
              <w:t>business assets / liabilities * 100%</w:t>
            </w:r>
          </w:p>
        </w:tc>
      </w:tr>
      <w:tr w:rsidR="008951C1" w:rsidRPr="00B90546" w14:paraId="6D8A9C02" w14:textId="77777777" w:rsidTr="007318BC">
        <w:trPr>
          <w:jc w:val="center"/>
        </w:trPr>
        <w:tc>
          <w:tcPr>
            <w:tcW w:w="1413" w:type="dxa"/>
            <w:vMerge/>
            <w:vAlign w:val="center"/>
          </w:tcPr>
          <w:p w14:paraId="1B147CC3" w14:textId="77777777" w:rsidR="008951C1" w:rsidRPr="00B90546" w:rsidRDefault="008951C1" w:rsidP="007318BC">
            <w:pPr>
              <w:pStyle w:val="b"/>
              <w:rPr>
                <w:sz w:val="20"/>
                <w:szCs w:val="20"/>
              </w:rPr>
            </w:pPr>
          </w:p>
        </w:tc>
        <w:tc>
          <w:tcPr>
            <w:tcW w:w="2977" w:type="dxa"/>
            <w:vAlign w:val="center"/>
          </w:tcPr>
          <w:p w14:paraId="5470BBF4" w14:textId="77777777" w:rsidR="008951C1" w:rsidRPr="00B90546" w:rsidRDefault="008951C1" w:rsidP="007318BC">
            <w:pPr>
              <w:pStyle w:val="b"/>
              <w:rPr>
                <w:sz w:val="20"/>
                <w:szCs w:val="20"/>
              </w:rPr>
            </w:pPr>
            <w:r w:rsidRPr="00B90546">
              <w:rPr>
                <w:sz w:val="20"/>
                <w:szCs w:val="20"/>
              </w:rPr>
              <w:t>Number of years on the market</w:t>
            </w:r>
          </w:p>
          <w:p w14:paraId="7C031216" w14:textId="5CF14620" w:rsidR="008951C1" w:rsidRPr="00B90546" w:rsidRDefault="008951C1" w:rsidP="007318BC">
            <w:pPr>
              <w:pStyle w:val="b"/>
              <w:rPr>
                <w:sz w:val="20"/>
                <w:szCs w:val="20"/>
              </w:rPr>
            </w:pPr>
            <w:r w:rsidRPr="00B90546">
              <w:rPr>
                <w:sz w:val="20"/>
                <w:szCs w:val="20"/>
              </w:rPr>
              <w:t>Return on Assets</w:t>
            </w:r>
          </w:p>
        </w:tc>
        <w:tc>
          <w:tcPr>
            <w:tcW w:w="4115" w:type="dxa"/>
            <w:vAlign w:val="center"/>
          </w:tcPr>
          <w:p w14:paraId="5068FED6" w14:textId="3F5818BA" w:rsidR="008951C1" w:rsidRPr="00B90546" w:rsidRDefault="008951C1" w:rsidP="007318BC">
            <w:pPr>
              <w:pStyle w:val="b"/>
              <w:rPr>
                <w:sz w:val="20"/>
                <w:szCs w:val="20"/>
              </w:rPr>
            </w:pPr>
            <w:r w:rsidRPr="00B90546">
              <w:rPr>
                <w:rFonts w:hint="eastAsia"/>
                <w:sz w:val="20"/>
                <w:szCs w:val="20"/>
              </w:rPr>
              <w:t xml:space="preserve">Current year of business - </w:t>
            </w:r>
            <w:r>
              <w:rPr>
                <w:sz w:val="20"/>
                <w:szCs w:val="20"/>
              </w:rPr>
              <w:t xml:space="preserve">the </w:t>
            </w:r>
            <w:r w:rsidRPr="00B90546">
              <w:rPr>
                <w:rFonts w:hint="eastAsia"/>
                <w:sz w:val="20"/>
                <w:szCs w:val="20"/>
              </w:rPr>
              <w:t>year of listing</w:t>
            </w:r>
          </w:p>
          <w:p w14:paraId="1CD9E09D" w14:textId="258FDD5C" w:rsidR="008951C1" w:rsidRPr="00B90546" w:rsidRDefault="008951C1" w:rsidP="007318BC">
            <w:pPr>
              <w:pStyle w:val="b"/>
              <w:rPr>
                <w:sz w:val="20"/>
                <w:szCs w:val="20"/>
              </w:rPr>
            </w:pPr>
            <w:r w:rsidRPr="00B90546">
              <w:rPr>
                <w:sz w:val="20"/>
                <w:szCs w:val="20"/>
              </w:rPr>
              <w:t>Net profit / Total asset balance * 100%</w:t>
            </w:r>
          </w:p>
        </w:tc>
      </w:tr>
      <w:tr w:rsidR="008951C1" w:rsidRPr="00B90546" w14:paraId="0DA7AFAF" w14:textId="77777777" w:rsidTr="008951C1">
        <w:trPr>
          <w:jc w:val="center"/>
        </w:trPr>
        <w:tc>
          <w:tcPr>
            <w:tcW w:w="1413" w:type="dxa"/>
            <w:vMerge/>
            <w:tcBorders>
              <w:bottom w:val="single" w:sz="4" w:space="0" w:color="auto"/>
            </w:tcBorders>
            <w:vAlign w:val="center"/>
          </w:tcPr>
          <w:p w14:paraId="798FE2AC" w14:textId="77777777" w:rsidR="008951C1" w:rsidRPr="00B90546" w:rsidRDefault="008951C1" w:rsidP="007318BC">
            <w:pPr>
              <w:pStyle w:val="b"/>
              <w:rPr>
                <w:sz w:val="20"/>
                <w:szCs w:val="20"/>
              </w:rPr>
            </w:pPr>
          </w:p>
        </w:tc>
        <w:tc>
          <w:tcPr>
            <w:tcW w:w="2977" w:type="dxa"/>
            <w:tcBorders>
              <w:bottom w:val="single" w:sz="4" w:space="0" w:color="auto"/>
            </w:tcBorders>
            <w:vAlign w:val="center"/>
          </w:tcPr>
          <w:p w14:paraId="1FB7DC64" w14:textId="77777777" w:rsidR="008951C1" w:rsidRPr="00B90546" w:rsidRDefault="008951C1" w:rsidP="007318BC">
            <w:pPr>
              <w:pStyle w:val="b"/>
              <w:rPr>
                <w:sz w:val="20"/>
                <w:szCs w:val="20"/>
              </w:rPr>
            </w:pPr>
            <w:r w:rsidRPr="00B90546">
              <w:rPr>
                <w:sz w:val="20"/>
                <w:szCs w:val="20"/>
              </w:rPr>
              <w:t>Number of board meetings</w:t>
            </w:r>
          </w:p>
          <w:p w14:paraId="1FF7DAB2" w14:textId="5229BC24" w:rsidR="008951C1" w:rsidRPr="00B90546" w:rsidRDefault="008951C1" w:rsidP="00087A97">
            <w:pPr>
              <w:pStyle w:val="b"/>
              <w:rPr>
                <w:sz w:val="20"/>
                <w:szCs w:val="20"/>
              </w:rPr>
            </w:pPr>
            <w:r w:rsidRPr="00B90546">
              <w:rPr>
                <w:sz w:val="20"/>
                <w:szCs w:val="20"/>
              </w:rPr>
              <w:lastRenderedPageBreak/>
              <w:t>Digital Transformation</w:t>
            </w:r>
          </w:p>
        </w:tc>
        <w:tc>
          <w:tcPr>
            <w:tcW w:w="4115" w:type="dxa"/>
            <w:tcBorders>
              <w:bottom w:val="single" w:sz="4" w:space="0" w:color="auto"/>
            </w:tcBorders>
            <w:vAlign w:val="center"/>
          </w:tcPr>
          <w:p w14:paraId="1A62EE46" w14:textId="77777777" w:rsidR="008951C1" w:rsidRPr="00B90546" w:rsidRDefault="008951C1" w:rsidP="007318BC">
            <w:pPr>
              <w:pStyle w:val="b"/>
              <w:rPr>
                <w:sz w:val="20"/>
                <w:szCs w:val="20"/>
              </w:rPr>
            </w:pPr>
            <w:r w:rsidRPr="00B90546">
              <w:rPr>
                <w:sz w:val="20"/>
                <w:szCs w:val="20"/>
              </w:rPr>
              <w:lastRenderedPageBreak/>
              <w:t>Number of board meetings during the year</w:t>
            </w:r>
          </w:p>
          <w:p w14:paraId="028D9C09" w14:textId="4057699C" w:rsidR="008951C1" w:rsidRPr="00B90546" w:rsidRDefault="008951C1" w:rsidP="00087A97">
            <w:pPr>
              <w:pStyle w:val="b"/>
              <w:rPr>
                <w:sz w:val="20"/>
                <w:szCs w:val="20"/>
              </w:rPr>
            </w:pPr>
            <w:r w:rsidRPr="00B90546">
              <w:rPr>
                <w:sz w:val="20"/>
                <w:szCs w:val="20"/>
              </w:rPr>
              <w:lastRenderedPageBreak/>
              <w:t>The frequency of the terms in the reports of listed companies</w:t>
            </w:r>
          </w:p>
        </w:tc>
      </w:tr>
      <w:tr w:rsidR="009D62BF" w:rsidRPr="00B90546" w14:paraId="010218E3" w14:textId="77777777" w:rsidTr="008951C1">
        <w:trPr>
          <w:jc w:val="center"/>
        </w:trPr>
        <w:tc>
          <w:tcPr>
            <w:tcW w:w="1413" w:type="dxa"/>
            <w:tcBorders>
              <w:top w:val="single" w:sz="4" w:space="0" w:color="auto"/>
              <w:bottom w:val="single" w:sz="4" w:space="0" w:color="auto"/>
            </w:tcBorders>
            <w:vAlign w:val="center"/>
          </w:tcPr>
          <w:p w14:paraId="3F2576D3" w14:textId="249BEF47" w:rsidR="009D62BF" w:rsidRPr="00B90546" w:rsidRDefault="008951C1" w:rsidP="007318BC">
            <w:pPr>
              <w:pStyle w:val="b"/>
              <w:rPr>
                <w:sz w:val="20"/>
                <w:szCs w:val="20"/>
              </w:rPr>
            </w:pPr>
            <w:r w:rsidRPr="00B70CC4">
              <w:rPr>
                <w:sz w:val="20"/>
                <w:szCs w:val="20"/>
              </w:rPr>
              <w:lastRenderedPageBreak/>
              <w:t>antecedent</w:t>
            </w:r>
            <w:r w:rsidRPr="00B90546">
              <w:rPr>
                <w:rFonts w:hint="eastAsia"/>
                <w:sz w:val="20"/>
                <w:szCs w:val="20"/>
              </w:rPr>
              <w:t xml:space="preserve"> variables</w:t>
            </w:r>
          </w:p>
        </w:tc>
        <w:tc>
          <w:tcPr>
            <w:tcW w:w="2977" w:type="dxa"/>
            <w:tcBorders>
              <w:top w:val="single" w:sz="4" w:space="0" w:color="auto"/>
              <w:bottom w:val="single" w:sz="4" w:space="0" w:color="auto"/>
            </w:tcBorders>
            <w:vAlign w:val="center"/>
          </w:tcPr>
          <w:p w14:paraId="1B4C59DE" w14:textId="3A4E65CA" w:rsidR="009D62BF" w:rsidRPr="00B90546" w:rsidRDefault="008951C1" w:rsidP="007318BC">
            <w:pPr>
              <w:pStyle w:val="b"/>
              <w:rPr>
                <w:sz w:val="20"/>
                <w:szCs w:val="20"/>
              </w:rPr>
            </w:pPr>
            <w:r w:rsidRPr="00B90546">
              <w:rPr>
                <w:sz w:val="20"/>
                <w:szCs w:val="20"/>
              </w:rPr>
              <w:t>Digital Transformation</w:t>
            </w:r>
          </w:p>
        </w:tc>
        <w:tc>
          <w:tcPr>
            <w:tcW w:w="4115" w:type="dxa"/>
            <w:tcBorders>
              <w:top w:val="single" w:sz="4" w:space="0" w:color="auto"/>
              <w:bottom w:val="single" w:sz="4" w:space="0" w:color="auto"/>
            </w:tcBorders>
            <w:vAlign w:val="center"/>
          </w:tcPr>
          <w:p w14:paraId="5B204BA0" w14:textId="0B4FB03E" w:rsidR="009D62BF" w:rsidRPr="00B90546" w:rsidRDefault="008951C1" w:rsidP="007318BC">
            <w:pPr>
              <w:pStyle w:val="b"/>
              <w:rPr>
                <w:sz w:val="20"/>
                <w:szCs w:val="20"/>
              </w:rPr>
            </w:pPr>
            <w:r w:rsidRPr="00B90546">
              <w:rPr>
                <w:sz w:val="20"/>
                <w:szCs w:val="20"/>
              </w:rPr>
              <w:t>The frequency of the terms in the reports of listed companies</w:t>
            </w:r>
          </w:p>
        </w:tc>
      </w:tr>
    </w:tbl>
    <w:p w14:paraId="750B78B5" w14:textId="7986AC61" w:rsidR="001D67A0" w:rsidRPr="00B90546" w:rsidRDefault="00AE326D" w:rsidP="001D67A0">
      <w:pPr>
        <w:pStyle w:val="2"/>
      </w:pPr>
      <w:bookmarkStart w:id="8" w:name="_Toc82596211"/>
      <w:r>
        <w:t>3</w:t>
      </w:r>
      <w:r w:rsidR="001D67A0" w:rsidRPr="00B90546">
        <w:t>.</w:t>
      </w:r>
      <w:r w:rsidR="001D67A0" w:rsidRPr="00B90546">
        <w:rPr>
          <w:rFonts w:hint="eastAsia"/>
        </w:rPr>
        <w:t>3 Constructing the econometric model</w:t>
      </w:r>
      <w:bookmarkEnd w:id="8"/>
    </w:p>
    <w:p w14:paraId="5422A812" w14:textId="77777777" w:rsidR="001D67A0" w:rsidRPr="00B90546" w:rsidRDefault="001D67A0" w:rsidP="00450EC6">
      <w:pPr>
        <w:pStyle w:val="v"/>
      </w:pPr>
      <w:r w:rsidRPr="00B90546">
        <w:rPr>
          <w:rFonts w:hint="eastAsia"/>
        </w:rPr>
        <w:t>This paper constructs linear mixed regression models to test the research hypotheses.</w:t>
      </w:r>
    </w:p>
    <w:p w14:paraId="25A83A85" w14:textId="1879454D" w:rsidR="004A0BF4" w:rsidRPr="00B90546" w:rsidRDefault="001D67A0" w:rsidP="00450EC6">
      <w:pPr>
        <w:pStyle w:val="v"/>
      </w:pPr>
      <w:r w:rsidRPr="00B90546">
        <w:rPr>
          <w:rFonts w:hint="eastAsia"/>
        </w:rPr>
        <w:t xml:space="preserve">Model 1 shows the effect of functional background heterogeneity or educational heterogeneity in the </w:t>
      </w:r>
      <w:r w:rsidR="003B6B7A" w:rsidRPr="00B90546">
        <w:rPr>
          <w:rFonts w:hint="eastAsia"/>
        </w:rPr>
        <w:t>TMT</w:t>
      </w:r>
      <w:r w:rsidRPr="00B90546">
        <w:rPr>
          <w:rFonts w:hint="eastAsia"/>
        </w:rPr>
        <w:t xml:space="preserve"> on </w:t>
      </w:r>
      <w:r w:rsidR="00EA4460" w:rsidRPr="00B90546">
        <w:rPr>
          <w:rFonts w:hint="eastAsia"/>
        </w:rPr>
        <w:t>corporate performance</w:t>
      </w:r>
      <w:r w:rsidR="005956F4">
        <w:t>.</w:t>
      </w:r>
    </w:p>
    <w:p w14:paraId="3D650C4A" w14:textId="5523E2AC" w:rsidR="001D67A0" w:rsidRPr="00B90546" w:rsidRDefault="00405ED1" w:rsidP="001D67A0">
      <w:pPr>
        <w:rPr>
          <w:sz w:val="16"/>
        </w:rPr>
      </w:pPr>
      <m:oMath>
        <m:sSub>
          <m:sSubPr>
            <m:ctrlPr>
              <w:rPr>
                <w:rFonts w:ascii="Cambria Math" w:hAnsi="Cambria Math"/>
                <w:sz w:val="16"/>
              </w:rPr>
            </m:ctrlPr>
          </m:sSubPr>
          <m:e>
            <m:r>
              <m:rPr>
                <m:sty m:val="p"/>
              </m:rPr>
              <w:rPr>
                <w:rFonts w:ascii="Cambria Math" w:hAnsi="Cambria Math" w:hint="eastAsia"/>
                <w:sz w:val="20"/>
              </w:rPr>
              <m:t>Corporate Performance</m:t>
            </m:r>
          </m:e>
          <m:sub>
            <m:r>
              <w:rPr>
                <w:rFonts w:ascii="Cambria Math" w:hAnsi="Cambria Math"/>
                <w:sz w:val="16"/>
              </w:rPr>
              <m:t>it</m:t>
            </m:r>
          </m:sub>
        </m:sSub>
        <m:r>
          <m:rPr>
            <m:sty m:val="p"/>
          </m:rPr>
          <w:rPr>
            <w:rFonts w:ascii="Cambria Math" w:hAnsi="Cambria Math" w:hint="eastAsia"/>
            <w:sz w:val="16"/>
          </w:rPr>
          <m:t>=</m:t>
        </m:r>
        <m:sSub>
          <m:sSubPr>
            <m:ctrlPr>
              <w:rPr>
                <w:rFonts w:ascii="Cambria Math" w:hAnsi="Cambria Math"/>
                <w:sz w:val="16"/>
              </w:rPr>
            </m:ctrlPr>
          </m:sSubPr>
          <m:e>
            <m:r>
              <w:rPr>
                <w:rFonts w:ascii="Cambria Math" w:hAnsi="Cambria Math"/>
                <w:sz w:val="16"/>
              </w:rPr>
              <m:t>β</m:t>
            </m:r>
          </m:e>
          <m:sub>
            <m:r>
              <m:rPr>
                <m:sty m:val="p"/>
              </m:rPr>
              <w:rPr>
                <w:rFonts w:ascii="Cambria Math" w:hAnsi="Cambria Math"/>
                <w:sz w:val="16"/>
              </w:rPr>
              <m:t>1</m:t>
            </m:r>
          </m:sub>
        </m:sSub>
        <m:sSub>
          <m:sSubPr>
            <m:ctrlPr>
              <w:rPr>
                <w:rFonts w:ascii="Cambria Math" w:hAnsi="Cambria Math"/>
                <w:sz w:val="16"/>
              </w:rPr>
            </m:ctrlPr>
          </m:sSubPr>
          <m:e>
            <m:r>
              <m:rPr>
                <m:sty m:val="p"/>
              </m:rPr>
              <w:rPr>
                <w:rFonts w:ascii="Cambria Math" w:hAnsi="Cambria Math"/>
                <w:sz w:val="20"/>
              </w:rPr>
              <m:t>Functional background heterogeneity</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β</m:t>
            </m:r>
          </m:e>
          <m:sub>
            <m:r>
              <m:rPr>
                <m:sty m:val="p"/>
              </m:rPr>
              <w:rPr>
                <w:rFonts w:ascii="Cambria Math" w:hAnsi="Cambria Math"/>
                <w:sz w:val="16"/>
              </w:rPr>
              <m:t>2</m:t>
            </m:r>
          </m:sub>
        </m:sSub>
        <m:sSubSup>
          <m:sSubSupPr>
            <m:ctrlPr>
              <w:rPr>
                <w:rFonts w:ascii="Cambria Math" w:hAnsi="Cambria Math"/>
                <w:sz w:val="16"/>
              </w:rPr>
            </m:ctrlPr>
          </m:sSubSupPr>
          <m:e>
            <m:r>
              <m:rPr>
                <m:sty m:val="p"/>
              </m:rPr>
              <w:rPr>
                <w:rFonts w:ascii="Cambria Math" w:hAnsi="Cambria Math"/>
                <w:sz w:val="20"/>
              </w:rPr>
              <m:t>Functional background heterogeneity</m:t>
            </m:r>
          </m:e>
          <m:sub>
            <m:r>
              <w:rPr>
                <w:rFonts w:ascii="Cambria Math" w:hAnsi="Cambria Math"/>
                <w:sz w:val="16"/>
              </w:rPr>
              <m:t>it</m:t>
            </m:r>
          </m:sub>
          <m:sup>
            <m:r>
              <m:rPr>
                <m:sty m:val="p"/>
              </m:rPr>
              <w:rPr>
                <w:rFonts w:ascii="Cambria Math" w:hAnsi="Cambria Math"/>
                <w:sz w:val="16"/>
              </w:rPr>
              <m:t>2</m:t>
            </m:r>
          </m:sup>
        </m:sSubSup>
        <m:r>
          <m:rPr>
            <m:sty m:val="p"/>
          </m:rPr>
          <w:rPr>
            <w:rFonts w:ascii="Cambria Math" w:hAnsi="Cambria Math"/>
            <w:sz w:val="16"/>
          </w:rPr>
          <m:t>+</m:t>
        </m:r>
        <m:sSub>
          <m:sSubPr>
            <m:ctrlPr>
              <w:rPr>
                <w:rFonts w:ascii="Cambria Math" w:hAnsi="Cambria Math"/>
                <w:sz w:val="16"/>
              </w:rPr>
            </m:ctrlPr>
          </m:sSubPr>
          <m:e>
            <m:r>
              <w:rPr>
                <w:rFonts w:ascii="Cambria Math" w:hAnsi="Cambria Math" w:hint="eastAsia"/>
                <w:sz w:val="16"/>
              </w:rPr>
              <m:t>Σ</m:t>
            </m:r>
            <m:r>
              <m:rPr>
                <m:sty m:val="p"/>
              </m:rPr>
              <w:rPr>
                <w:rFonts w:ascii="Cambria Math" w:hAnsi="Cambria Math" w:hint="eastAsia"/>
                <w:sz w:val="20"/>
              </w:rPr>
              <m:t>Control variables</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μ</m:t>
            </m:r>
          </m:e>
          <m:sub>
            <m:r>
              <w:rPr>
                <w:rFonts w:ascii="Cambria Math" w:hAnsi="Cambria Math" w:hint="eastAsia"/>
                <w:sz w:val="16"/>
              </w:rPr>
              <m:t>i</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δ</m:t>
            </m:r>
          </m:e>
          <m:sub>
            <m:r>
              <w:rPr>
                <w:rFonts w:ascii="Cambria Math" w:hAnsi="Cambria Math" w:hint="eastAsia"/>
                <w:sz w:val="16"/>
              </w:rPr>
              <m:t>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ε</m:t>
            </m:r>
          </m:e>
          <m:sub>
            <m:r>
              <w:rPr>
                <w:rFonts w:ascii="Cambria Math" w:hAnsi="Cambria Math" w:hint="eastAsia"/>
                <w:sz w:val="16"/>
              </w:rPr>
              <m:t>it</m:t>
            </m:r>
          </m:sub>
        </m:sSub>
      </m:oMath>
      <w:r w:rsidR="001D67A0" w:rsidRPr="00B90546">
        <w:rPr>
          <w:rFonts w:hint="eastAsia"/>
          <w:sz w:val="16"/>
        </w:rPr>
        <w:t xml:space="preserve">          </w:t>
      </w:r>
      <w:r w:rsidR="00E75407" w:rsidRPr="00B90546">
        <w:rPr>
          <w:rFonts w:hint="eastAsia"/>
          <w:sz w:val="16"/>
        </w:rPr>
        <w:t xml:space="preserve">  </w:t>
      </w:r>
      <w:r w:rsidR="00E75407" w:rsidRPr="00B90546">
        <w:rPr>
          <w:sz w:val="16"/>
        </w:rPr>
        <w:t xml:space="preserve">                  </w:t>
      </w:r>
      <w:r w:rsidR="00E75407" w:rsidRPr="00B90546">
        <w:rPr>
          <w:rFonts w:hint="eastAsia"/>
          <w:sz w:val="16"/>
        </w:rPr>
        <w:t xml:space="preserve">     </w:t>
      </w:r>
      <w:r w:rsidR="00E75407" w:rsidRPr="00B90546">
        <w:rPr>
          <w:sz w:val="16"/>
        </w:rPr>
        <w:t xml:space="preserve">                  </w:t>
      </w:r>
      <w:r w:rsidR="00E75407" w:rsidRPr="00B90546">
        <w:rPr>
          <w:rFonts w:hint="eastAsia"/>
          <w:sz w:val="16"/>
        </w:rPr>
        <w:t xml:space="preserve">     </w:t>
      </w:r>
      <w:r w:rsidR="00E75407" w:rsidRPr="00B90546">
        <w:rPr>
          <w:sz w:val="16"/>
        </w:rPr>
        <w:t xml:space="preserve">                  </w:t>
      </w:r>
      <w:r w:rsidR="001D67A0" w:rsidRPr="00B90546">
        <w:rPr>
          <w:rFonts w:hint="eastAsia"/>
          <w:sz w:val="16"/>
        </w:rPr>
        <w:t xml:space="preserve">         (1)</w:t>
      </w:r>
    </w:p>
    <w:p w14:paraId="68953A4A" w14:textId="79A7D02C" w:rsidR="001D67A0" w:rsidRPr="00B90546" w:rsidRDefault="00405ED1" w:rsidP="001D67A0">
      <w:pPr>
        <w:rPr>
          <w:sz w:val="16"/>
        </w:rPr>
      </w:pPr>
      <m:oMath>
        <m:sSub>
          <m:sSubPr>
            <m:ctrlPr>
              <w:rPr>
                <w:rFonts w:ascii="Cambria Math" w:hAnsi="Cambria Math"/>
                <w:sz w:val="16"/>
              </w:rPr>
            </m:ctrlPr>
          </m:sSubPr>
          <m:e>
            <m:r>
              <m:rPr>
                <m:sty m:val="p"/>
              </m:rPr>
              <w:rPr>
                <w:rFonts w:ascii="Cambria Math" w:hAnsi="Cambria Math" w:hint="eastAsia"/>
                <w:sz w:val="20"/>
              </w:rPr>
              <m:t>Corporate Performance</m:t>
            </m:r>
          </m:e>
          <m:sub>
            <m:r>
              <w:rPr>
                <w:rFonts w:ascii="Cambria Math" w:hAnsi="Cambria Math"/>
                <w:sz w:val="16"/>
              </w:rPr>
              <m:t>it</m:t>
            </m:r>
          </m:sub>
        </m:sSub>
        <m:r>
          <m:rPr>
            <m:sty m:val="p"/>
          </m:rPr>
          <w:rPr>
            <w:rFonts w:ascii="Cambria Math" w:hAnsi="Cambria Math" w:hint="eastAsia"/>
            <w:sz w:val="16"/>
          </w:rPr>
          <m:t>=</m:t>
        </m:r>
        <m:sSub>
          <m:sSubPr>
            <m:ctrlPr>
              <w:rPr>
                <w:rFonts w:ascii="Cambria Math" w:hAnsi="Cambria Math"/>
                <w:sz w:val="16"/>
              </w:rPr>
            </m:ctrlPr>
          </m:sSubPr>
          <m:e>
            <m:r>
              <w:rPr>
                <w:rFonts w:ascii="Cambria Math" w:hAnsi="Cambria Math"/>
                <w:sz w:val="16"/>
              </w:rPr>
              <m:t>β</m:t>
            </m:r>
          </m:e>
          <m:sub>
            <m:r>
              <m:rPr>
                <m:sty m:val="p"/>
              </m:rPr>
              <w:rPr>
                <w:rFonts w:ascii="Cambria Math" w:hAnsi="Cambria Math"/>
                <w:sz w:val="16"/>
              </w:rPr>
              <m:t>1</m:t>
            </m:r>
          </m:sub>
        </m:sSub>
        <m:sSub>
          <m:sSubPr>
            <m:ctrlPr>
              <w:rPr>
                <w:rFonts w:ascii="Cambria Math" w:hAnsi="Cambria Math"/>
                <w:sz w:val="16"/>
              </w:rPr>
            </m:ctrlPr>
          </m:sSubPr>
          <m:e>
            <m:r>
              <m:rPr>
                <m:sty m:val="p"/>
              </m:rPr>
              <w:rPr>
                <w:rFonts w:ascii="Cambria Math" w:hAnsi="Cambria Math"/>
                <w:sz w:val="20"/>
              </w:rPr>
              <m:t>Educational heterogeneity</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β</m:t>
            </m:r>
          </m:e>
          <m:sub>
            <m:r>
              <m:rPr>
                <m:sty m:val="p"/>
              </m:rPr>
              <w:rPr>
                <w:rFonts w:ascii="Cambria Math" w:hAnsi="Cambria Math"/>
                <w:sz w:val="16"/>
              </w:rPr>
              <m:t>2</m:t>
            </m:r>
          </m:sub>
        </m:sSub>
        <m:sSubSup>
          <m:sSubSupPr>
            <m:ctrlPr>
              <w:rPr>
                <w:rFonts w:ascii="Cambria Math" w:hAnsi="Cambria Math"/>
                <w:sz w:val="16"/>
              </w:rPr>
            </m:ctrlPr>
          </m:sSubSupPr>
          <m:e>
            <m:r>
              <m:rPr>
                <m:sty m:val="p"/>
              </m:rPr>
              <w:rPr>
                <w:rFonts w:ascii="Cambria Math" w:hAnsi="Cambria Math"/>
                <w:sz w:val="20"/>
              </w:rPr>
              <m:t>Educational heterogeneity</m:t>
            </m:r>
          </m:e>
          <m:sub>
            <m:r>
              <w:rPr>
                <w:rFonts w:ascii="Cambria Math" w:hAnsi="Cambria Math"/>
                <w:sz w:val="16"/>
              </w:rPr>
              <m:t>it</m:t>
            </m:r>
          </m:sub>
          <m:sup>
            <m:r>
              <m:rPr>
                <m:sty m:val="p"/>
              </m:rPr>
              <w:rPr>
                <w:rFonts w:ascii="Cambria Math" w:hAnsi="Cambria Math"/>
                <w:sz w:val="16"/>
              </w:rPr>
              <m:t>2</m:t>
            </m:r>
          </m:sup>
        </m:sSubSup>
        <m:r>
          <m:rPr>
            <m:sty m:val="p"/>
          </m:rPr>
          <w:rPr>
            <w:rFonts w:ascii="Cambria Math" w:hAnsi="Cambria Math"/>
            <w:sz w:val="16"/>
          </w:rPr>
          <m:t>+</m:t>
        </m:r>
        <m:sSub>
          <m:sSubPr>
            <m:ctrlPr>
              <w:rPr>
                <w:rFonts w:ascii="Cambria Math" w:hAnsi="Cambria Math"/>
                <w:sz w:val="16"/>
              </w:rPr>
            </m:ctrlPr>
          </m:sSubPr>
          <m:e>
            <m:r>
              <w:rPr>
                <w:rFonts w:ascii="Cambria Math" w:hAnsi="Cambria Math" w:hint="eastAsia"/>
                <w:sz w:val="16"/>
              </w:rPr>
              <m:t>Σ</m:t>
            </m:r>
            <m:r>
              <m:rPr>
                <m:sty m:val="p"/>
              </m:rPr>
              <w:rPr>
                <w:rFonts w:ascii="Cambria Math" w:hAnsi="Cambria Math" w:hint="eastAsia"/>
                <w:sz w:val="20"/>
              </w:rPr>
              <m:t>Control variables</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μ</m:t>
            </m:r>
          </m:e>
          <m:sub>
            <m:r>
              <w:rPr>
                <w:rFonts w:ascii="Cambria Math" w:hAnsi="Cambria Math" w:hint="eastAsia"/>
                <w:sz w:val="16"/>
              </w:rPr>
              <m:t>i</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δ</m:t>
            </m:r>
          </m:e>
          <m:sub>
            <m:r>
              <w:rPr>
                <w:rFonts w:ascii="Cambria Math" w:hAnsi="Cambria Math" w:hint="eastAsia"/>
                <w:sz w:val="16"/>
              </w:rPr>
              <m:t>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ε</m:t>
            </m:r>
          </m:e>
          <m:sub>
            <m:r>
              <w:rPr>
                <w:rFonts w:ascii="Cambria Math" w:hAnsi="Cambria Math" w:hint="eastAsia"/>
                <w:sz w:val="16"/>
              </w:rPr>
              <m:t>it</m:t>
            </m:r>
          </m:sub>
        </m:sSub>
      </m:oMath>
      <w:r w:rsidR="001D67A0" w:rsidRPr="00B90546">
        <w:rPr>
          <w:rFonts w:hint="eastAsia"/>
          <w:sz w:val="16"/>
        </w:rPr>
        <w:t xml:space="preserve">                           </w:t>
      </w:r>
      <w:r w:rsidR="00E75407" w:rsidRPr="00B90546">
        <w:rPr>
          <w:rFonts w:hint="eastAsia"/>
          <w:sz w:val="16"/>
        </w:rPr>
        <w:t xml:space="preserve">  </w:t>
      </w:r>
      <w:r w:rsidR="00E75407" w:rsidRPr="00B90546">
        <w:rPr>
          <w:sz w:val="16"/>
        </w:rPr>
        <w:t xml:space="preserve">                  </w:t>
      </w:r>
      <w:r w:rsidR="00E75407" w:rsidRPr="00B90546">
        <w:rPr>
          <w:rFonts w:hint="eastAsia"/>
          <w:sz w:val="16"/>
        </w:rPr>
        <w:t xml:space="preserve">     </w:t>
      </w:r>
      <w:r w:rsidR="00E75407" w:rsidRPr="00B90546">
        <w:rPr>
          <w:sz w:val="16"/>
        </w:rPr>
        <w:t xml:space="preserve">                  </w:t>
      </w:r>
      <w:r w:rsidR="00E75407" w:rsidRPr="00B90546">
        <w:rPr>
          <w:rFonts w:hint="eastAsia"/>
          <w:sz w:val="16"/>
        </w:rPr>
        <w:t xml:space="preserve">     </w:t>
      </w:r>
      <w:r w:rsidR="00E75407" w:rsidRPr="00B90546">
        <w:rPr>
          <w:sz w:val="16"/>
        </w:rPr>
        <w:t xml:space="preserve">                  </w:t>
      </w:r>
      <w:r w:rsidR="00E75407" w:rsidRPr="00B90546">
        <w:rPr>
          <w:rFonts w:hint="eastAsia"/>
          <w:sz w:val="16"/>
        </w:rPr>
        <w:t xml:space="preserve">     </w:t>
      </w:r>
      <w:r w:rsidR="00E75407" w:rsidRPr="00B90546">
        <w:rPr>
          <w:sz w:val="16"/>
        </w:rPr>
        <w:t xml:space="preserve">     </w:t>
      </w:r>
      <w:r w:rsidR="001D67A0" w:rsidRPr="00B90546">
        <w:rPr>
          <w:rFonts w:hint="eastAsia"/>
          <w:sz w:val="16"/>
        </w:rPr>
        <w:t xml:space="preserve">     (</w:t>
      </w:r>
      <w:r w:rsidR="001D67A0" w:rsidRPr="00B90546">
        <w:rPr>
          <w:sz w:val="16"/>
        </w:rPr>
        <w:t>2</w:t>
      </w:r>
      <w:r w:rsidR="001D67A0" w:rsidRPr="00B90546">
        <w:rPr>
          <w:rFonts w:hint="eastAsia"/>
          <w:sz w:val="16"/>
        </w:rPr>
        <w:t>)</w:t>
      </w:r>
    </w:p>
    <w:p w14:paraId="3FEA06B2" w14:textId="1B55CB2B" w:rsidR="001D67A0" w:rsidRPr="00B90546" w:rsidRDefault="001D67A0" w:rsidP="00450EC6">
      <w:pPr>
        <w:pStyle w:val="v"/>
      </w:pPr>
      <w:r w:rsidRPr="00B90546">
        <w:rPr>
          <w:rFonts w:hint="eastAsia"/>
        </w:rPr>
        <w:t>where</w:t>
      </w: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hint="eastAsia"/>
                <w:sz w:val="20"/>
              </w:rPr>
              <m:t>Corporate Performance</m:t>
            </m:r>
          </m:e>
          <m:sub>
            <m:r>
              <w:rPr>
                <w:rFonts w:ascii="Cambria Math" w:hAnsi="Cambria Math"/>
              </w:rPr>
              <m:t>it</m:t>
            </m:r>
          </m:sub>
        </m:sSub>
      </m:oMath>
      <w:r w:rsidRPr="00B90546">
        <w:rPr>
          <w:rFonts w:hint="eastAsia"/>
        </w:rPr>
        <w:t xml:space="preserve"> is Tobin's Q value for the ith firm in year t, and</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B90546">
        <w:rPr>
          <w:rFonts w:hint="eastAsia"/>
        </w:rPr>
        <w:t xml:space="preserve"> is the parameter to be estimated.</w:t>
      </w:r>
      <m:oMath>
        <m:sSub>
          <m:sSubPr>
            <m:ctrlPr>
              <w:rPr>
                <w:rFonts w:ascii="Cambria Math" w:hAnsi="Cambria Math"/>
                <w:i/>
              </w:rPr>
            </m:ctrlPr>
          </m:sSubPr>
          <m:e>
            <m:r>
              <m:rPr>
                <m:sty m:val="p"/>
              </m:rPr>
              <w:rPr>
                <w:rFonts w:ascii="Cambria Math" w:hAnsi="Cambria Math"/>
                <w:sz w:val="20"/>
              </w:rPr>
              <m:t>Functional background heterogeneity</m:t>
            </m:r>
          </m:e>
          <m:sub>
            <m:r>
              <w:rPr>
                <w:rFonts w:ascii="Cambria Math" w:hAnsi="Cambria Math" w:hint="eastAsia"/>
              </w:rPr>
              <m:t>it</m:t>
            </m:r>
          </m:sub>
        </m:sSub>
      </m:oMath>
      <w:r w:rsidRPr="00B90546">
        <w:rPr>
          <w:rFonts w:hint="eastAsia"/>
        </w:rPr>
        <w:t xml:space="preserve"> and</w:t>
      </w:r>
      <m:oMath>
        <m:sSub>
          <m:sSubPr>
            <m:ctrlPr>
              <w:rPr>
                <w:rFonts w:ascii="Cambria Math" w:hAnsi="Cambria Math"/>
                <w:i/>
              </w:rPr>
            </m:ctrlPr>
          </m:sSubPr>
          <m:e>
            <m:r>
              <m:rPr>
                <m:sty m:val="p"/>
              </m:rPr>
              <w:rPr>
                <w:rFonts w:ascii="Cambria Math" w:hAnsi="Cambria Math"/>
                <w:sz w:val="20"/>
              </w:rPr>
              <m:t>Educational heterogeneity</m:t>
            </m:r>
          </m:e>
          <m:sub>
            <m:r>
              <w:rPr>
                <w:rFonts w:ascii="Cambria Math" w:hAnsi="Cambria Math" w:hint="eastAsia"/>
              </w:rPr>
              <m:t>it</m:t>
            </m:r>
          </m:sub>
        </m:sSub>
      </m:oMath>
      <w:r w:rsidRPr="00B90546">
        <w:rPr>
          <w:rFonts w:hint="eastAsia"/>
        </w:rPr>
        <w:t xml:space="preserve"> are both calculated by Herfindal, and</w:t>
      </w:r>
      <m:oMath>
        <m:sSub>
          <m:sSubPr>
            <m:ctrlPr>
              <w:rPr>
                <w:rFonts w:ascii="Cambria Math" w:hAnsi="Cambria Math"/>
                <w:i/>
              </w:rPr>
            </m:ctrlPr>
          </m:sSubPr>
          <m:e>
            <m:r>
              <w:rPr>
                <w:rFonts w:ascii="Cambria Math" w:hAnsi="Cambria Math" w:hint="eastAsia"/>
              </w:rPr>
              <m:t>Σ</m:t>
            </m:r>
            <m:r>
              <m:rPr>
                <m:sty m:val="p"/>
              </m:rPr>
              <w:rPr>
                <w:rFonts w:ascii="Cambria Math" w:hAnsi="Cambria Math" w:hint="eastAsia"/>
                <w:sz w:val="20"/>
              </w:rPr>
              <m:t>Control variables</m:t>
            </m:r>
          </m:e>
          <m:sub>
            <m:r>
              <w:rPr>
                <w:rFonts w:ascii="Cambria Math" w:hAnsi="Cambria Math" w:hint="eastAsia"/>
              </w:rPr>
              <m:t>it</m:t>
            </m:r>
          </m:sub>
        </m:sSub>
      </m:oMath>
      <w:r w:rsidRPr="00B90546">
        <w:rPr>
          <w:rFonts w:hint="eastAsia"/>
        </w:rPr>
        <w:t xml:space="preserve"> are the control variables for firm </w:t>
      </w:r>
      <w:proofErr w:type="spellStart"/>
      <w:r w:rsidR="00F9271A">
        <w:rPr>
          <w:rFonts w:hint="eastAsia"/>
        </w:rPr>
        <w:t>i</w:t>
      </w:r>
      <w:proofErr w:type="spellEnd"/>
      <w:r w:rsidRPr="00B90546">
        <w:rPr>
          <w:rFonts w:hint="eastAsia"/>
        </w:rPr>
        <w:t xml:space="preserve"> in year t.</w:t>
      </w:r>
      <m:oMath>
        <m:sSub>
          <m:sSubPr>
            <m:ctrlPr>
              <w:rPr>
                <w:rFonts w:ascii="Cambria Math" w:hAnsi="Cambria Math"/>
                <w:i/>
              </w:rPr>
            </m:ctrlPr>
          </m:sSubPr>
          <m:e>
            <m:r>
              <w:rPr>
                <w:rFonts w:ascii="Cambria Math" w:hAnsi="Cambria Math"/>
              </w:rPr>
              <m:t>μ</m:t>
            </m:r>
          </m:e>
          <m:sub>
            <m:r>
              <w:rPr>
                <w:rFonts w:ascii="Cambria Math" w:hAnsi="Cambria Math" w:hint="eastAsia"/>
              </w:rPr>
              <m:t>i</m:t>
            </m:r>
          </m:sub>
        </m:sSub>
      </m:oMath>
      <w:r w:rsidRPr="00B90546">
        <w:rPr>
          <w:rFonts w:hint="eastAsia"/>
        </w:rPr>
        <w:t xml:space="preserve"> measures additional firm-level heterogeneity, and</w:t>
      </w:r>
      <m:oMath>
        <m:sSub>
          <m:sSubPr>
            <m:ctrlPr>
              <w:rPr>
                <w:rFonts w:ascii="Cambria Math" w:hAnsi="Cambria Math"/>
                <w:i/>
              </w:rPr>
            </m:ctrlPr>
          </m:sSubPr>
          <m:e>
            <m:r>
              <w:rPr>
                <w:rFonts w:ascii="Cambria Math" w:hAnsi="Cambria Math"/>
              </w:rPr>
              <m:t>δ</m:t>
            </m:r>
          </m:e>
          <m:sub>
            <m:r>
              <w:rPr>
                <w:rFonts w:ascii="Cambria Math" w:hAnsi="Cambria Math" w:hint="eastAsia"/>
              </w:rPr>
              <m:t>t</m:t>
            </m:r>
          </m:sub>
        </m:sSub>
      </m:oMath>
      <w:r w:rsidRPr="00B90546">
        <w:rPr>
          <w:rFonts w:hint="eastAsia"/>
        </w:rPr>
        <w:t xml:space="preserve"> measures additional heterogeneity at the time level, and</w:t>
      </w:r>
      <m:oMath>
        <m:sSub>
          <m:sSubPr>
            <m:ctrlPr>
              <w:rPr>
                <w:rFonts w:ascii="Cambria Math" w:hAnsi="Cambria Math"/>
                <w:i/>
              </w:rPr>
            </m:ctrlPr>
          </m:sSubPr>
          <m:e>
            <m:r>
              <w:rPr>
                <w:rFonts w:ascii="Cambria Math" w:hAnsi="Cambria Math"/>
              </w:rPr>
              <m:t>ε</m:t>
            </m:r>
          </m:e>
          <m:sub>
            <m:r>
              <w:rPr>
                <w:rFonts w:ascii="Cambria Math" w:hAnsi="Cambria Math" w:hint="eastAsia"/>
              </w:rPr>
              <m:t>it</m:t>
            </m:r>
          </m:sub>
        </m:sSub>
      </m:oMath>
      <w:r w:rsidRPr="00B90546">
        <w:rPr>
          <w:rFonts w:hint="eastAsia"/>
        </w:rPr>
        <w:t xml:space="preserve"> measures heterogeneity at the observation side level.</w:t>
      </w:r>
    </w:p>
    <w:p w14:paraId="1A1F2DB9" w14:textId="36F8E9FD" w:rsidR="00EE464A" w:rsidRPr="00B90546" w:rsidRDefault="00EE464A" w:rsidP="00450EC6">
      <w:pPr>
        <w:pStyle w:val="v"/>
      </w:pPr>
      <w:r w:rsidRPr="00B90546">
        <w:t>Model 2 shows the impact of digital transformation on functional background heterogeneity or educational heterogeneity of the executive team</w:t>
      </w:r>
      <w:r w:rsidR="00053757">
        <w:t>.</w:t>
      </w:r>
    </w:p>
    <w:p w14:paraId="67699A38" w14:textId="28CEF581" w:rsidR="00F76D03" w:rsidRPr="00B90546" w:rsidRDefault="00405ED1" w:rsidP="00F76D03">
      <w:pPr>
        <w:rPr>
          <w:sz w:val="16"/>
        </w:rPr>
      </w:pPr>
      <m:oMath>
        <m:sSub>
          <m:sSubPr>
            <m:ctrlPr>
              <w:rPr>
                <w:rFonts w:ascii="Cambria Math" w:hAnsi="Cambria Math"/>
                <w:sz w:val="16"/>
              </w:rPr>
            </m:ctrlPr>
          </m:sSubPr>
          <m:e>
            <m:r>
              <m:rPr>
                <m:sty m:val="p"/>
              </m:rPr>
              <w:rPr>
                <w:rFonts w:ascii="Cambria Math" w:hAnsi="Cambria Math"/>
                <w:sz w:val="20"/>
              </w:rPr>
              <m:t>Functional background heterogeneity</m:t>
            </m:r>
          </m:e>
          <m:sub>
            <m:r>
              <w:rPr>
                <w:rFonts w:ascii="Cambria Math" w:hAnsi="Cambria Math"/>
                <w:sz w:val="16"/>
              </w:rPr>
              <m:t>it</m:t>
            </m:r>
          </m:sub>
        </m:sSub>
        <m:r>
          <m:rPr>
            <m:sty m:val="p"/>
          </m:rPr>
          <w:rPr>
            <w:rFonts w:ascii="Cambria Math" w:hAnsi="Cambria Math" w:hint="eastAsia"/>
            <w:sz w:val="16"/>
          </w:rPr>
          <m:t>=</m:t>
        </m:r>
        <m:sSub>
          <m:sSubPr>
            <m:ctrlPr>
              <w:rPr>
                <w:rFonts w:ascii="Cambria Math" w:hAnsi="Cambria Math"/>
                <w:sz w:val="16"/>
              </w:rPr>
            </m:ctrlPr>
          </m:sSubPr>
          <m:e>
            <m:r>
              <w:rPr>
                <w:rFonts w:ascii="Cambria Math" w:hAnsi="Cambria Math"/>
                <w:sz w:val="16"/>
              </w:rPr>
              <m:t>β</m:t>
            </m:r>
          </m:e>
          <m:sub>
            <m:r>
              <m:rPr>
                <m:sty m:val="p"/>
              </m:rPr>
              <w:rPr>
                <w:rFonts w:ascii="Cambria Math" w:hAnsi="Cambria Math"/>
                <w:sz w:val="16"/>
              </w:rPr>
              <m:t>1</m:t>
            </m:r>
          </m:sub>
        </m:sSub>
        <m:sSub>
          <m:sSubPr>
            <m:ctrlPr>
              <w:rPr>
                <w:rFonts w:ascii="Cambria Math" w:hAnsi="Cambria Math"/>
                <w:sz w:val="16"/>
              </w:rPr>
            </m:ctrlPr>
          </m:sSubPr>
          <m:e>
            <m:r>
              <m:rPr>
                <m:sty m:val="p"/>
              </m:rPr>
              <w:rPr>
                <w:rFonts w:ascii="Cambria Math" w:hAnsi="Cambria Math"/>
                <w:sz w:val="20"/>
              </w:rPr>
              <m:t>Digital Transformation</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hint="eastAsia"/>
                <w:sz w:val="16"/>
              </w:rPr>
              <m:t>Σ</m:t>
            </m:r>
            <m:r>
              <m:rPr>
                <m:sty m:val="p"/>
              </m:rPr>
              <w:rPr>
                <w:rFonts w:ascii="Cambria Math" w:hAnsi="Cambria Math" w:hint="eastAsia"/>
                <w:sz w:val="20"/>
              </w:rPr>
              <m:t>Control variables</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μ</m:t>
            </m:r>
          </m:e>
          <m:sub>
            <m:r>
              <w:rPr>
                <w:rFonts w:ascii="Cambria Math" w:hAnsi="Cambria Math" w:hint="eastAsia"/>
                <w:sz w:val="16"/>
              </w:rPr>
              <m:t>i</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δ</m:t>
            </m:r>
          </m:e>
          <m:sub>
            <m:r>
              <w:rPr>
                <w:rFonts w:ascii="Cambria Math" w:hAnsi="Cambria Math" w:hint="eastAsia"/>
                <w:sz w:val="16"/>
              </w:rPr>
              <m:t>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ε</m:t>
            </m:r>
          </m:e>
          <m:sub>
            <m:r>
              <w:rPr>
                <w:rFonts w:ascii="Cambria Math" w:hAnsi="Cambria Math" w:hint="eastAsia"/>
                <w:sz w:val="16"/>
              </w:rPr>
              <m:t>it</m:t>
            </m:r>
          </m:sub>
        </m:sSub>
      </m:oMath>
      <w:r w:rsidR="00F76D03" w:rsidRPr="00B90546">
        <w:rPr>
          <w:rFonts w:hint="eastAsia"/>
          <w:sz w:val="16"/>
        </w:rPr>
        <w:t xml:space="preserve"> </w:t>
      </w:r>
      <w:r w:rsidR="00F76D03" w:rsidRPr="00B90546">
        <w:rPr>
          <w:sz w:val="16"/>
        </w:rPr>
        <w:t xml:space="preserve">         </w:t>
      </w:r>
      <w:r w:rsidR="00F76D03" w:rsidRPr="00B90546">
        <w:rPr>
          <w:rFonts w:hint="eastAsia"/>
          <w:sz w:val="16"/>
        </w:rPr>
        <w:t>（</w:t>
      </w:r>
      <w:r w:rsidR="00F76D03" w:rsidRPr="00B90546">
        <w:rPr>
          <w:sz w:val="16"/>
        </w:rPr>
        <w:t>3</w:t>
      </w:r>
      <w:r w:rsidR="00F76D03" w:rsidRPr="00B90546">
        <w:rPr>
          <w:rFonts w:hint="eastAsia"/>
          <w:sz w:val="16"/>
        </w:rPr>
        <w:t>）</w:t>
      </w:r>
    </w:p>
    <w:p w14:paraId="594E502D" w14:textId="40924BBD" w:rsidR="00F76D03" w:rsidRPr="00B90546" w:rsidRDefault="00405ED1" w:rsidP="00F76D03">
      <w:pPr>
        <w:rPr>
          <w:sz w:val="16"/>
        </w:rPr>
      </w:pPr>
      <m:oMath>
        <m:sSub>
          <m:sSubPr>
            <m:ctrlPr>
              <w:rPr>
                <w:rFonts w:ascii="Cambria Math" w:hAnsi="Cambria Math"/>
                <w:sz w:val="16"/>
              </w:rPr>
            </m:ctrlPr>
          </m:sSubPr>
          <m:e>
            <m:r>
              <m:rPr>
                <m:sty m:val="p"/>
              </m:rPr>
              <w:rPr>
                <w:rFonts w:ascii="Cambria Math" w:hAnsi="Cambria Math"/>
                <w:sz w:val="20"/>
              </w:rPr>
              <m:t>Educational heterogeneity</m:t>
            </m:r>
          </m:e>
          <m:sub>
            <m:r>
              <w:rPr>
                <w:rFonts w:ascii="Cambria Math" w:hAnsi="Cambria Math"/>
                <w:sz w:val="16"/>
              </w:rPr>
              <m:t>it</m:t>
            </m:r>
          </m:sub>
        </m:sSub>
        <m:r>
          <m:rPr>
            <m:sty m:val="p"/>
          </m:rPr>
          <w:rPr>
            <w:rFonts w:ascii="Cambria Math" w:hAnsi="Cambria Math" w:hint="eastAsia"/>
            <w:sz w:val="16"/>
          </w:rPr>
          <m:t>=</m:t>
        </m:r>
        <m:sSub>
          <m:sSubPr>
            <m:ctrlPr>
              <w:rPr>
                <w:rFonts w:ascii="Cambria Math" w:hAnsi="Cambria Math"/>
                <w:sz w:val="16"/>
              </w:rPr>
            </m:ctrlPr>
          </m:sSubPr>
          <m:e>
            <m:r>
              <w:rPr>
                <w:rFonts w:ascii="Cambria Math" w:hAnsi="Cambria Math"/>
                <w:sz w:val="16"/>
              </w:rPr>
              <m:t>β</m:t>
            </m:r>
          </m:e>
          <m:sub>
            <m:r>
              <m:rPr>
                <m:sty m:val="p"/>
              </m:rPr>
              <w:rPr>
                <w:rFonts w:ascii="Cambria Math" w:hAnsi="Cambria Math"/>
                <w:sz w:val="16"/>
              </w:rPr>
              <m:t>1</m:t>
            </m:r>
          </m:sub>
        </m:sSub>
        <m:sSub>
          <m:sSubPr>
            <m:ctrlPr>
              <w:rPr>
                <w:rFonts w:ascii="Cambria Math" w:hAnsi="Cambria Math"/>
                <w:sz w:val="16"/>
              </w:rPr>
            </m:ctrlPr>
          </m:sSubPr>
          <m:e>
            <m:r>
              <m:rPr>
                <m:sty m:val="p"/>
              </m:rPr>
              <w:rPr>
                <w:rFonts w:ascii="Cambria Math" w:hAnsi="Cambria Math"/>
                <w:sz w:val="20"/>
              </w:rPr>
              <m:t>Digital Transformation</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hint="eastAsia"/>
                <w:sz w:val="16"/>
              </w:rPr>
              <m:t>Σ</m:t>
            </m:r>
            <m:r>
              <m:rPr>
                <m:sty m:val="p"/>
              </m:rPr>
              <w:rPr>
                <w:rFonts w:ascii="Cambria Math" w:hAnsi="Cambria Math" w:hint="eastAsia"/>
                <w:sz w:val="20"/>
              </w:rPr>
              <m:t>Control variables</m:t>
            </m:r>
          </m:e>
          <m:sub>
            <m:r>
              <w:rPr>
                <w:rFonts w:ascii="Cambria Math" w:hAnsi="Cambria Math" w:hint="eastAsia"/>
                <w:sz w:val="16"/>
              </w:rPr>
              <m:t>it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μ</m:t>
            </m:r>
          </m:e>
          <m:sub>
            <m:r>
              <w:rPr>
                <w:rFonts w:ascii="Cambria Math" w:hAnsi="Cambria Math" w:hint="eastAsia"/>
                <w:sz w:val="16"/>
              </w:rPr>
              <m:t>i</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δ</m:t>
            </m:r>
          </m:e>
          <m:sub>
            <m:r>
              <w:rPr>
                <w:rFonts w:ascii="Cambria Math" w:hAnsi="Cambria Math" w:hint="eastAsia"/>
                <w:sz w:val="16"/>
              </w:rPr>
              <m:t>t</m:t>
            </m:r>
          </m:sub>
        </m:sSub>
        <m:r>
          <m:rPr>
            <m:sty m:val="p"/>
          </m:rPr>
          <w:rPr>
            <w:rFonts w:ascii="Cambria Math" w:hAnsi="Cambria Math"/>
            <w:sz w:val="16"/>
          </w:rPr>
          <m:t>+</m:t>
        </m:r>
        <m:sSub>
          <m:sSubPr>
            <m:ctrlPr>
              <w:rPr>
                <w:rFonts w:ascii="Cambria Math" w:hAnsi="Cambria Math"/>
                <w:sz w:val="16"/>
              </w:rPr>
            </m:ctrlPr>
          </m:sSubPr>
          <m:e>
            <m:r>
              <w:rPr>
                <w:rFonts w:ascii="Cambria Math" w:hAnsi="Cambria Math"/>
                <w:sz w:val="16"/>
              </w:rPr>
              <m:t>ε</m:t>
            </m:r>
          </m:e>
          <m:sub>
            <m:r>
              <w:rPr>
                <w:rFonts w:ascii="Cambria Math" w:hAnsi="Cambria Math" w:hint="eastAsia"/>
                <w:sz w:val="16"/>
              </w:rPr>
              <m:t>it</m:t>
            </m:r>
          </m:sub>
        </m:sSub>
      </m:oMath>
      <w:r w:rsidR="00F76D03" w:rsidRPr="00B90546">
        <w:rPr>
          <w:sz w:val="16"/>
        </w:rPr>
        <w:t xml:space="preserve">      </w:t>
      </w:r>
      <w:r w:rsidR="002A29BD" w:rsidRPr="00B90546">
        <w:rPr>
          <w:sz w:val="16"/>
        </w:rPr>
        <w:t xml:space="preserve">   </w:t>
      </w:r>
      <w:r w:rsidR="00F76D03" w:rsidRPr="00B90546">
        <w:rPr>
          <w:sz w:val="16"/>
        </w:rPr>
        <w:t xml:space="preserve">            </w:t>
      </w:r>
      <w:r w:rsidR="00F76D03" w:rsidRPr="00B90546">
        <w:rPr>
          <w:rFonts w:hint="eastAsia"/>
          <w:sz w:val="16"/>
        </w:rPr>
        <w:t>（</w:t>
      </w:r>
      <w:r w:rsidR="00F76D03" w:rsidRPr="00B90546">
        <w:rPr>
          <w:sz w:val="16"/>
        </w:rPr>
        <w:t>4</w:t>
      </w:r>
      <w:r w:rsidR="00F76D03" w:rsidRPr="00B90546">
        <w:rPr>
          <w:rFonts w:hint="eastAsia"/>
          <w:sz w:val="16"/>
        </w:rPr>
        <w:t>）</w:t>
      </w:r>
    </w:p>
    <w:p w14:paraId="093D5F84" w14:textId="3CA2285B" w:rsidR="00E7528E" w:rsidRDefault="0072483B" w:rsidP="00450EC6">
      <w:pPr>
        <w:pStyle w:val="v"/>
      </w:pPr>
      <w:r w:rsidRPr="00B90546">
        <w:rPr>
          <w:rFonts w:hint="eastAsia"/>
        </w:rPr>
        <w:t xml:space="preserve">where </w:t>
      </w:r>
      <m:oMath>
        <m:sSub>
          <m:sSubPr>
            <m:ctrlPr>
              <w:rPr>
                <w:rFonts w:ascii="Cambria Math" w:hAnsi="Cambria Math"/>
              </w:rPr>
            </m:ctrlPr>
          </m:sSubPr>
          <m:e>
            <m:r>
              <m:rPr>
                <m:sty m:val="p"/>
              </m:rPr>
              <w:rPr>
                <w:rFonts w:ascii="Cambria Math" w:hAnsi="Cambria Math"/>
                <w:sz w:val="20"/>
              </w:rPr>
              <m:t>Digital Transformation</m:t>
            </m:r>
          </m:e>
          <m:sub>
            <m:r>
              <w:rPr>
                <w:rFonts w:ascii="Cambria Math" w:hAnsi="Cambria Math"/>
              </w:rPr>
              <m:t>it</m:t>
            </m:r>
          </m:sub>
        </m:sSub>
      </m:oMath>
      <w:r w:rsidRPr="00B90546">
        <w:rPr>
          <w:rFonts w:hint="eastAsia"/>
        </w:rPr>
        <w:t xml:space="preserve"> is the degree of digital transformation of the ith firm in year t. Other variables are the same as above.</w:t>
      </w:r>
    </w:p>
    <w:p w14:paraId="100F9E07" w14:textId="343C483F" w:rsidR="001D67A0" w:rsidRDefault="00AE326D" w:rsidP="001D67A0">
      <w:pPr>
        <w:pStyle w:val="1"/>
        <w:ind w:left="0"/>
      </w:pPr>
      <w:bookmarkStart w:id="9" w:name="_Toc82596212"/>
      <w:r>
        <w:t>4</w:t>
      </w:r>
      <w:r w:rsidR="001D67A0">
        <w:rPr>
          <w:rFonts w:hint="eastAsia"/>
        </w:rPr>
        <w:t xml:space="preserve"> Empirical evidence</w:t>
      </w:r>
      <w:bookmarkEnd w:id="9"/>
      <w:r w:rsidR="001D67A0">
        <w:rPr>
          <w:rFonts w:hint="eastAsia"/>
        </w:rPr>
        <w:t xml:space="preserve"> test</w:t>
      </w:r>
    </w:p>
    <w:p w14:paraId="422E3155" w14:textId="7D5B3F82" w:rsidR="001D67A0" w:rsidRDefault="00AE326D" w:rsidP="001D67A0">
      <w:pPr>
        <w:pStyle w:val="2"/>
      </w:pPr>
      <w:bookmarkStart w:id="10" w:name="_Toc82596213"/>
      <w:r>
        <w:t>4</w:t>
      </w:r>
      <w:r w:rsidR="001D67A0" w:rsidRPr="00BE2853">
        <w:t xml:space="preserve">.1 </w:t>
      </w:r>
      <w:r w:rsidR="001D67A0">
        <w:rPr>
          <w:rFonts w:hint="eastAsia"/>
        </w:rPr>
        <w:t>Descriptive statistics</w:t>
      </w:r>
      <w:bookmarkEnd w:id="10"/>
    </w:p>
    <w:p w14:paraId="01276BF7" w14:textId="77777777" w:rsidR="001D67A0" w:rsidRDefault="001D67A0" w:rsidP="001D67A0">
      <w:pPr>
        <w:pStyle w:val="v1"/>
      </w:pPr>
      <w:r w:rsidRPr="000C4F14">
        <w:rPr>
          <w:rFonts w:hint="eastAsia"/>
        </w:rPr>
        <w:t xml:space="preserve">Table </w:t>
      </w:r>
      <w:r>
        <w:t xml:space="preserve">2 </w:t>
      </w:r>
      <w:r w:rsidRPr="000C4F14">
        <w:rPr>
          <w:rFonts w:hint="eastAsia"/>
        </w:rPr>
        <w:t>Descriptive statistics of variables</w:t>
      </w:r>
    </w:p>
    <w:tbl>
      <w:tblPr>
        <w:tblStyle w:val="a8"/>
        <w:tblW w:w="0" w:type="auto"/>
        <w:jc w:val="center"/>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3686"/>
        <w:gridCol w:w="2410"/>
        <w:gridCol w:w="1275"/>
        <w:gridCol w:w="794"/>
        <w:gridCol w:w="945"/>
      </w:tblGrid>
      <w:tr w:rsidR="006562C5" w14:paraId="0AB3BA47" w14:textId="77777777" w:rsidTr="005169B6">
        <w:trPr>
          <w:jc w:val="center"/>
        </w:trPr>
        <w:tc>
          <w:tcPr>
            <w:tcW w:w="3686" w:type="dxa"/>
            <w:tcBorders>
              <w:bottom w:val="single" w:sz="0" w:space="0" w:color="000000"/>
            </w:tcBorders>
            <w:vAlign w:val="center"/>
          </w:tcPr>
          <w:p w14:paraId="3881B6F2" w14:textId="77777777" w:rsidR="006562C5" w:rsidRDefault="006562C5" w:rsidP="002D6C4A">
            <w:proofErr w:type="spellStart"/>
            <w:r>
              <w:t>VarName</w:t>
            </w:r>
            <w:proofErr w:type="spellEnd"/>
          </w:p>
        </w:tc>
        <w:tc>
          <w:tcPr>
            <w:tcW w:w="2410" w:type="dxa"/>
            <w:tcBorders>
              <w:bottom w:val="single" w:sz="0" w:space="0" w:color="000000"/>
            </w:tcBorders>
            <w:vAlign w:val="center"/>
          </w:tcPr>
          <w:p w14:paraId="63543D2D" w14:textId="77777777" w:rsidR="006562C5" w:rsidRDefault="006562C5" w:rsidP="002D6C4A">
            <w:pPr>
              <w:jc w:val="right"/>
            </w:pPr>
            <w:r>
              <w:t>Mean</w:t>
            </w:r>
          </w:p>
        </w:tc>
        <w:tc>
          <w:tcPr>
            <w:tcW w:w="1275" w:type="dxa"/>
            <w:tcBorders>
              <w:bottom w:val="single" w:sz="0" w:space="0" w:color="000000"/>
            </w:tcBorders>
            <w:vAlign w:val="center"/>
          </w:tcPr>
          <w:p w14:paraId="31BBCA54" w14:textId="77777777" w:rsidR="006562C5" w:rsidRDefault="006562C5" w:rsidP="002D6C4A">
            <w:pPr>
              <w:jc w:val="right"/>
            </w:pPr>
            <w:r>
              <w:t>SD</w:t>
            </w:r>
          </w:p>
        </w:tc>
        <w:tc>
          <w:tcPr>
            <w:tcW w:w="794" w:type="dxa"/>
            <w:tcBorders>
              <w:bottom w:val="single" w:sz="0" w:space="0" w:color="000000"/>
            </w:tcBorders>
            <w:vAlign w:val="center"/>
          </w:tcPr>
          <w:p w14:paraId="0C4DD056" w14:textId="77777777" w:rsidR="006562C5" w:rsidRDefault="006562C5" w:rsidP="002D6C4A">
            <w:pPr>
              <w:jc w:val="right"/>
            </w:pPr>
            <w:r>
              <w:t>Min</w:t>
            </w:r>
          </w:p>
        </w:tc>
        <w:tc>
          <w:tcPr>
            <w:tcW w:w="945" w:type="dxa"/>
            <w:tcBorders>
              <w:bottom w:val="single" w:sz="0" w:space="0" w:color="000000"/>
            </w:tcBorders>
            <w:vAlign w:val="center"/>
          </w:tcPr>
          <w:p w14:paraId="203E2239" w14:textId="77777777" w:rsidR="006562C5" w:rsidRDefault="006562C5" w:rsidP="002D6C4A">
            <w:pPr>
              <w:jc w:val="right"/>
            </w:pPr>
            <w:r>
              <w:t>Max</w:t>
            </w:r>
          </w:p>
        </w:tc>
      </w:tr>
      <w:tr w:rsidR="008A0B15" w14:paraId="694F9B30" w14:textId="77777777" w:rsidTr="005169B6">
        <w:trPr>
          <w:jc w:val="center"/>
        </w:trPr>
        <w:tc>
          <w:tcPr>
            <w:tcW w:w="3686" w:type="dxa"/>
            <w:tcBorders>
              <w:top w:val="single" w:sz="0" w:space="0" w:color="000000"/>
            </w:tcBorders>
            <w:vAlign w:val="center"/>
          </w:tcPr>
          <w:p w14:paraId="2BFDF9E8" w14:textId="79264A63" w:rsidR="008A0B15" w:rsidRDefault="008A0B15" w:rsidP="008A0B15">
            <w:r>
              <w:t>Corporate Performance</w:t>
            </w:r>
          </w:p>
        </w:tc>
        <w:tc>
          <w:tcPr>
            <w:tcW w:w="2410" w:type="dxa"/>
            <w:tcBorders>
              <w:top w:val="single" w:sz="0" w:space="0" w:color="000000"/>
            </w:tcBorders>
            <w:vAlign w:val="center"/>
          </w:tcPr>
          <w:p w14:paraId="4968F107" w14:textId="2D0B395F" w:rsidR="008A0B15" w:rsidRDefault="008A0B15" w:rsidP="008A0B15">
            <w:pPr>
              <w:jc w:val="right"/>
            </w:pPr>
            <w:r>
              <w:t>1.031</w:t>
            </w:r>
          </w:p>
        </w:tc>
        <w:tc>
          <w:tcPr>
            <w:tcW w:w="1275" w:type="dxa"/>
            <w:tcBorders>
              <w:top w:val="single" w:sz="0" w:space="0" w:color="000000"/>
            </w:tcBorders>
            <w:vAlign w:val="center"/>
          </w:tcPr>
          <w:p w14:paraId="59F378C7" w14:textId="27A1274A" w:rsidR="008A0B15" w:rsidRDefault="008A0B15" w:rsidP="008A0B15">
            <w:pPr>
              <w:jc w:val="right"/>
            </w:pPr>
            <w:r>
              <w:t>0.305</w:t>
            </w:r>
          </w:p>
        </w:tc>
        <w:tc>
          <w:tcPr>
            <w:tcW w:w="794" w:type="dxa"/>
            <w:tcBorders>
              <w:top w:val="single" w:sz="0" w:space="0" w:color="000000"/>
            </w:tcBorders>
            <w:vAlign w:val="center"/>
          </w:tcPr>
          <w:p w14:paraId="6C6D3EF6" w14:textId="30743DE4" w:rsidR="008A0B15" w:rsidRDefault="008A0B15" w:rsidP="008A0B15">
            <w:pPr>
              <w:jc w:val="right"/>
            </w:pPr>
            <w:r>
              <w:t>0.142</w:t>
            </w:r>
          </w:p>
        </w:tc>
        <w:tc>
          <w:tcPr>
            <w:tcW w:w="945" w:type="dxa"/>
            <w:tcBorders>
              <w:top w:val="single" w:sz="0" w:space="0" w:color="000000"/>
            </w:tcBorders>
            <w:vAlign w:val="center"/>
          </w:tcPr>
          <w:p w14:paraId="361546F3" w14:textId="513777CC" w:rsidR="008A0B15" w:rsidRDefault="008A0B15" w:rsidP="008A0B15">
            <w:pPr>
              <w:jc w:val="right"/>
            </w:pPr>
            <w:r>
              <w:t>2.398</w:t>
            </w:r>
          </w:p>
        </w:tc>
      </w:tr>
      <w:tr w:rsidR="008A0B15" w14:paraId="081EFDC9" w14:textId="77777777" w:rsidTr="005169B6">
        <w:trPr>
          <w:jc w:val="center"/>
        </w:trPr>
        <w:tc>
          <w:tcPr>
            <w:tcW w:w="3686" w:type="dxa"/>
            <w:vAlign w:val="center"/>
          </w:tcPr>
          <w:p w14:paraId="2E016225" w14:textId="6E68711E" w:rsidR="008A0B15" w:rsidRDefault="008A0B15" w:rsidP="008A0B15">
            <w:r>
              <w:t>Functional background heterogeneity</w:t>
            </w:r>
          </w:p>
        </w:tc>
        <w:tc>
          <w:tcPr>
            <w:tcW w:w="2410" w:type="dxa"/>
            <w:vAlign w:val="center"/>
          </w:tcPr>
          <w:p w14:paraId="061EF9E4" w14:textId="200A7D5B" w:rsidR="008A0B15" w:rsidRDefault="008A0B15" w:rsidP="008A0B15">
            <w:pPr>
              <w:jc w:val="right"/>
            </w:pPr>
            <w:r>
              <w:t>0.590</w:t>
            </w:r>
          </w:p>
        </w:tc>
        <w:tc>
          <w:tcPr>
            <w:tcW w:w="1275" w:type="dxa"/>
            <w:vAlign w:val="center"/>
          </w:tcPr>
          <w:p w14:paraId="6D654823" w14:textId="07128FE7" w:rsidR="008A0B15" w:rsidRDefault="008A0B15" w:rsidP="008A0B15">
            <w:pPr>
              <w:jc w:val="right"/>
            </w:pPr>
            <w:r>
              <w:t>0.129</w:t>
            </w:r>
          </w:p>
        </w:tc>
        <w:tc>
          <w:tcPr>
            <w:tcW w:w="794" w:type="dxa"/>
            <w:vAlign w:val="center"/>
          </w:tcPr>
          <w:p w14:paraId="618D5C47" w14:textId="70FC64F1" w:rsidR="008A0B15" w:rsidRDefault="008A0B15" w:rsidP="008A0B15">
            <w:pPr>
              <w:jc w:val="right"/>
            </w:pPr>
            <w:r>
              <w:t>0.000</w:t>
            </w:r>
          </w:p>
        </w:tc>
        <w:tc>
          <w:tcPr>
            <w:tcW w:w="945" w:type="dxa"/>
            <w:vAlign w:val="center"/>
          </w:tcPr>
          <w:p w14:paraId="0719E97C" w14:textId="6CC11CB4" w:rsidR="008A0B15" w:rsidRDefault="008A0B15" w:rsidP="008A0B15">
            <w:pPr>
              <w:jc w:val="right"/>
            </w:pPr>
            <w:r>
              <w:t>0.840</w:t>
            </w:r>
          </w:p>
        </w:tc>
      </w:tr>
      <w:tr w:rsidR="008A0B15" w14:paraId="1B0A0751" w14:textId="77777777" w:rsidTr="005169B6">
        <w:trPr>
          <w:jc w:val="center"/>
        </w:trPr>
        <w:tc>
          <w:tcPr>
            <w:tcW w:w="3686" w:type="dxa"/>
            <w:vAlign w:val="center"/>
          </w:tcPr>
          <w:p w14:paraId="27FAC34A" w14:textId="40E16A47" w:rsidR="008A0B15" w:rsidRDefault="008A0B15" w:rsidP="008A0B15">
            <w:r>
              <w:t>Education heterogeneity</w:t>
            </w:r>
          </w:p>
        </w:tc>
        <w:tc>
          <w:tcPr>
            <w:tcW w:w="2410" w:type="dxa"/>
            <w:vAlign w:val="center"/>
          </w:tcPr>
          <w:p w14:paraId="5A22BB5B" w14:textId="6342C6F5" w:rsidR="008A0B15" w:rsidRDefault="008A0B15" w:rsidP="008A0B15">
            <w:pPr>
              <w:jc w:val="right"/>
            </w:pPr>
            <w:r>
              <w:t>0.464</w:t>
            </w:r>
          </w:p>
        </w:tc>
        <w:tc>
          <w:tcPr>
            <w:tcW w:w="1275" w:type="dxa"/>
            <w:vAlign w:val="center"/>
          </w:tcPr>
          <w:p w14:paraId="017A8B39" w14:textId="52629A01" w:rsidR="008A0B15" w:rsidRDefault="008A0B15" w:rsidP="008A0B15">
            <w:pPr>
              <w:jc w:val="right"/>
            </w:pPr>
            <w:r>
              <w:t>0.195</w:t>
            </w:r>
          </w:p>
        </w:tc>
        <w:tc>
          <w:tcPr>
            <w:tcW w:w="794" w:type="dxa"/>
            <w:vAlign w:val="center"/>
          </w:tcPr>
          <w:p w14:paraId="553BB22B" w14:textId="3E21241B" w:rsidR="008A0B15" w:rsidRDefault="008A0B15" w:rsidP="008A0B15">
            <w:pPr>
              <w:jc w:val="right"/>
            </w:pPr>
            <w:r>
              <w:t>0.000</w:t>
            </w:r>
          </w:p>
        </w:tc>
        <w:tc>
          <w:tcPr>
            <w:tcW w:w="945" w:type="dxa"/>
            <w:vAlign w:val="center"/>
          </w:tcPr>
          <w:p w14:paraId="6E2EF8C1" w14:textId="0D928A79" w:rsidR="008A0B15" w:rsidRDefault="008A0B15" w:rsidP="008A0B15">
            <w:pPr>
              <w:jc w:val="right"/>
            </w:pPr>
            <w:r>
              <w:t>0.800</w:t>
            </w:r>
          </w:p>
        </w:tc>
      </w:tr>
      <w:tr w:rsidR="008A0B15" w14:paraId="35EA7769" w14:textId="77777777" w:rsidTr="005169B6">
        <w:trPr>
          <w:jc w:val="center"/>
        </w:trPr>
        <w:tc>
          <w:tcPr>
            <w:tcW w:w="3686" w:type="dxa"/>
            <w:vAlign w:val="center"/>
          </w:tcPr>
          <w:p w14:paraId="6AC763FF" w14:textId="563B565E" w:rsidR="008A0B15" w:rsidRDefault="008A0B15" w:rsidP="008A0B15">
            <w:r>
              <w:t>debt to asset ratio</w:t>
            </w:r>
          </w:p>
        </w:tc>
        <w:tc>
          <w:tcPr>
            <w:tcW w:w="2410" w:type="dxa"/>
            <w:vAlign w:val="center"/>
          </w:tcPr>
          <w:p w14:paraId="7E5428F7" w14:textId="212DED36" w:rsidR="008A0B15" w:rsidRDefault="008A0B15" w:rsidP="008A0B15">
            <w:pPr>
              <w:jc w:val="right"/>
            </w:pPr>
            <w:r>
              <w:t>0.424</w:t>
            </w:r>
          </w:p>
        </w:tc>
        <w:tc>
          <w:tcPr>
            <w:tcW w:w="1275" w:type="dxa"/>
            <w:vAlign w:val="center"/>
          </w:tcPr>
          <w:p w14:paraId="7DB48B54" w14:textId="54C1A519" w:rsidR="008A0B15" w:rsidRDefault="008A0B15" w:rsidP="008A0B15">
            <w:pPr>
              <w:jc w:val="right"/>
            </w:pPr>
            <w:r>
              <w:t>0.486</w:t>
            </w:r>
          </w:p>
        </w:tc>
        <w:tc>
          <w:tcPr>
            <w:tcW w:w="794" w:type="dxa"/>
            <w:vAlign w:val="center"/>
          </w:tcPr>
          <w:p w14:paraId="1252229C" w14:textId="06F319C5" w:rsidR="008A0B15" w:rsidRDefault="008A0B15" w:rsidP="008A0B15">
            <w:pPr>
              <w:jc w:val="right"/>
            </w:pPr>
            <w:r>
              <w:t>0.007</w:t>
            </w:r>
          </w:p>
        </w:tc>
        <w:tc>
          <w:tcPr>
            <w:tcW w:w="945" w:type="dxa"/>
            <w:vAlign w:val="center"/>
          </w:tcPr>
          <w:p w14:paraId="74066F58" w14:textId="525FD6FB" w:rsidR="008A0B15" w:rsidRDefault="008A0B15" w:rsidP="008A0B15">
            <w:pPr>
              <w:jc w:val="right"/>
            </w:pPr>
            <w:r>
              <w:t>58.082</w:t>
            </w:r>
          </w:p>
        </w:tc>
      </w:tr>
      <w:tr w:rsidR="008A0B15" w14:paraId="4BD4E583" w14:textId="77777777" w:rsidTr="005169B6">
        <w:trPr>
          <w:jc w:val="center"/>
        </w:trPr>
        <w:tc>
          <w:tcPr>
            <w:tcW w:w="3686" w:type="dxa"/>
            <w:vAlign w:val="center"/>
          </w:tcPr>
          <w:p w14:paraId="7EF3B51B" w14:textId="10B1CB38" w:rsidR="008A0B15" w:rsidRDefault="008A0B15" w:rsidP="008A0B15">
            <w:r>
              <w:t>Enterprise scale</w:t>
            </w:r>
          </w:p>
        </w:tc>
        <w:tc>
          <w:tcPr>
            <w:tcW w:w="2410" w:type="dxa"/>
            <w:vAlign w:val="center"/>
          </w:tcPr>
          <w:p w14:paraId="6677D553" w14:textId="681B77EC" w:rsidR="008A0B15" w:rsidRDefault="008A0B15" w:rsidP="008A0B15">
            <w:pPr>
              <w:jc w:val="right"/>
            </w:pPr>
            <w:r>
              <w:t>22.111</w:t>
            </w:r>
          </w:p>
        </w:tc>
        <w:tc>
          <w:tcPr>
            <w:tcW w:w="1275" w:type="dxa"/>
            <w:vAlign w:val="center"/>
          </w:tcPr>
          <w:p w14:paraId="1E3FCF8F" w14:textId="751356D8" w:rsidR="008A0B15" w:rsidRDefault="008A0B15" w:rsidP="008A0B15">
            <w:pPr>
              <w:jc w:val="right"/>
            </w:pPr>
            <w:r>
              <w:t>1.312</w:t>
            </w:r>
          </w:p>
        </w:tc>
        <w:tc>
          <w:tcPr>
            <w:tcW w:w="794" w:type="dxa"/>
            <w:vAlign w:val="center"/>
          </w:tcPr>
          <w:p w14:paraId="110A64D6" w14:textId="0EF2816F" w:rsidR="008A0B15" w:rsidRDefault="008A0B15" w:rsidP="008A0B15">
            <w:pPr>
              <w:jc w:val="right"/>
            </w:pPr>
            <w:r>
              <w:t>14.759</w:t>
            </w:r>
          </w:p>
        </w:tc>
        <w:tc>
          <w:tcPr>
            <w:tcW w:w="945" w:type="dxa"/>
            <w:vAlign w:val="center"/>
          </w:tcPr>
          <w:p w14:paraId="56CB2EF2" w14:textId="56579127" w:rsidR="008A0B15" w:rsidRDefault="008A0B15" w:rsidP="008A0B15">
            <w:pPr>
              <w:jc w:val="right"/>
            </w:pPr>
            <w:r>
              <w:t>28.636</w:t>
            </w:r>
          </w:p>
        </w:tc>
      </w:tr>
      <w:tr w:rsidR="008A0B15" w14:paraId="41236AB3" w14:textId="77777777" w:rsidTr="005169B6">
        <w:trPr>
          <w:jc w:val="center"/>
        </w:trPr>
        <w:tc>
          <w:tcPr>
            <w:tcW w:w="3686" w:type="dxa"/>
            <w:vAlign w:val="center"/>
          </w:tcPr>
          <w:p w14:paraId="4175A623" w14:textId="57FD56CB" w:rsidR="008A0B15" w:rsidRDefault="008A0B15" w:rsidP="008A0B15">
            <w:r>
              <w:t>Average age</w:t>
            </w:r>
          </w:p>
        </w:tc>
        <w:tc>
          <w:tcPr>
            <w:tcW w:w="2410" w:type="dxa"/>
            <w:vAlign w:val="center"/>
          </w:tcPr>
          <w:p w14:paraId="5973547F" w14:textId="2F885744" w:rsidR="008A0B15" w:rsidRDefault="008A0B15" w:rsidP="008A0B15">
            <w:pPr>
              <w:jc w:val="right"/>
            </w:pPr>
            <w:r>
              <w:t>46.933</w:t>
            </w:r>
          </w:p>
        </w:tc>
        <w:tc>
          <w:tcPr>
            <w:tcW w:w="1275" w:type="dxa"/>
            <w:vAlign w:val="center"/>
          </w:tcPr>
          <w:p w14:paraId="387D666D" w14:textId="41DED02F" w:rsidR="008A0B15" w:rsidRDefault="008A0B15" w:rsidP="008A0B15">
            <w:pPr>
              <w:jc w:val="right"/>
            </w:pPr>
            <w:r>
              <w:t>3.739</w:t>
            </w:r>
          </w:p>
        </w:tc>
        <w:tc>
          <w:tcPr>
            <w:tcW w:w="794" w:type="dxa"/>
            <w:vAlign w:val="center"/>
          </w:tcPr>
          <w:p w14:paraId="3DCF38B7" w14:textId="4DD6FA44" w:rsidR="008A0B15" w:rsidRDefault="008A0B15" w:rsidP="008A0B15">
            <w:pPr>
              <w:jc w:val="right"/>
            </w:pPr>
            <w:r>
              <w:t>32.333</w:t>
            </w:r>
          </w:p>
        </w:tc>
        <w:tc>
          <w:tcPr>
            <w:tcW w:w="945" w:type="dxa"/>
            <w:vAlign w:val="center"/>
          </w:tcPr>
          <w:p w14:paraId="51BFAB82" w14:textId="367B67A3" w:rsidR="008A0B15" w:rsidRDefault="008A0B15" w:rsidP="008A0B15">
            <w:pPr>
              <w:jc w:val="right"/>
            </w:pPr>
            <w:r>
              <w:t>61.000</w:t>
            </w:r>
          </w:p>
        </w:tc>
      </w:tr>
      <w:tr w:rsidR="008A0B15" w14:paraId="164A5AAD" w14:textId="77777777" w:rsidTr="005169B6">
        <w:trPr>
          <w:jc w:val="center"/>
        </w:trPr>
        <w:tc>
          <w:tcPr>
            <w:tcW w:w="3686" w:type="dxa"/>
            <w:vAlign w:val="center"/>
          </w:tcPr>
          <w:p w14:paraId="06C13204" w14:textId="3A0A20A8" w:rsidR="008A0B15" w:rsidRDefault="008A0B15" w:rsidP="008A0B15">
            <w:r>
              <w:t>Number of TMT</w:t>
            </w:r>
          </w:p>
        </w:tc>
        <w:tc>
          <w:tcPr>
            <w:tcW w:w="2410" w:type="dxa"/>
            <w:vAlign w:val="center"/>
          </w:tcPr>
          <w:p w14:paraId="3CA886E4" w14:textId="07B7D339" w:rsidR="008A0B15" w:rsidRDefault="008A0B15" w:rsidP="008A0B15">
            <w:pPr>
              <w:jc w:val="right"/>
            </w:pPr>
            <w:r>
              <w:t>7.213</w:t>
            </w:r>
          </w:p>
        </w:tc>
        <w:tc>
          <w:tcPr>
            <w:tcW w:w="1275" w:type="dxa"/>
            <w:vAlign w:val="center"/>
          </w:tcPr>
          <w:p w14:paraId="284B9E97" w14:textId="4C8E0893" w:rsidR="008A0B15" w:rsidRDefault="008A0B15" w:rsidP="008A0B15">
            <w:pPr>
              <w:jc w:val="right"/>
            </w:pPr>
            <w:r>
              <w:t>2.729</w:t>
            </w:r>
          </w:p>
        </w:tc>
        <w:tc>
          <w:tcPr>
            <w:tcW w:w="794" w:type="dxa"/>
            <w:vAlign w:val="center"/>
          </w:tcPr>
          <w:p w14:paraId="780FBE73" w14:textId="11CDF5A2" w:rsidR="008A0B15" w:rsidRDefault="008A0B15" w:rsidP="008A0B15">
            <w:pPr>
              <w:jc w:val="right"/>
            </w:pPr>
            <w:r>
              <w:t>1.000</w:t>
            </w:r>
          </w:p>
        </w:tc>
        <w:tc>
          <w:tcPr>
            <w:tcW w:w="945" w:type="dxa"/>
            <w:vAlign w:val="center"/>
          </w:tcPr>
          <w:p w14:paraId="0F0A3971" w14:textId="480119C6" w:rsidR="008A0B15" w:rsidRDefault="008A0B15" w:rsidP="008A0B15">
            <w:pPr>
              <w:jc w:val="right"/>
            </w:pPr>
            <w:r>
              <w:t>45.000</w:t>
            </w:r>
          </w:p>
        </w:tc>
      </w:tr>
      <w:tr w:rsidR="008A0B15" w14:paraId="7EBDCAEA" w14:textId="77777777" w:rsidTr="005169B6">
        <w:trPr>
          <w:jc w:val="center"/>
        </w:trPr>
        <w:tc>
          <w:tcPr>
            <w:tcW w:w="3686" w:type="dxa"/>
            <w:vAlign w:val="center"/>
          </w:tcPr>
          <w:p w14:paraId="3D856249" w14:textId="4975802F" w:rsidR="008A0B15" w:rsidRDefault="008A0B15" w:rsidP="008A0B15">
            <w:r>
              <w:t>Number of years on the market</w:t>
            </w:r>
          </w:p>
        </w:tc>
        <w:tc>
          <w:tcPr>
            <w:tcW w:w="2410" w:type="dxa"/>
            <w:vAlign w:val="center"/>
          </w:tcPr>
          <w:p w14:paraId="41185047" w14:textId="54B517A4" w:rsidR="008A0B15" w:rsidRDefault="008A0B15" w:rsidP="008A0B15">
            <w:pPr>
              <w:jc w:val="right"/>
            </w:pPr>
            <w:r>
              <w:t>9.044</w:t>
            </w:r>
          </w:p>
        </w:tc>
        <w:tc>
          <w:tcPr>
            <w:tcW w:w="1275" w:type="dxa"/>
            <w:vAlign w:val="center"/>
          </w:tcPr>
          <w:p w14:paraId="5CCC91C0" w14:textId="643E34D5" w:rsidR="008A0B15" w:rsidRDefault="008A0B15" w:rsidP="008A0B15">
            <w:pPr>
              <w:jc w:val="right"/>
            </w:pPr>
            <w:r>
              <w:t>6.809</w:t>
            </w:r>
          </w:p>
        </w:tc>
        <w:tc>
          <w:tcPr>
            <w:tcW w:w="794" w:type="dxa"/>
            <w:vAlign w:val="center"/>
          </w:tcPr>
          <w:p w14:paraId="2F006A69" w14:textId="1046F330" w:rsidR="008A0B15" w:rsidRDefault="008A0B15" w:rsidP="008A0B15">
            <w:pPr>
              <w:jc w:val="right"/>
            </w:pPr>
            <w:r>
              <w:t>-1.000</w:t>
            </w:r>
          </w:p>
        </w:tc>
        <w:tc>
          <w:tcPr>
            <w:tcW w:w="945" w:type="dxa"/>
            <w:vAlign w:val="center"/>
          </w:tcPr>
          <w:p w14:paraId="3DFF1B0E" w14:textId="5ACDC825" w:rsidR="008A0B15" w:rsidRDefault="008A0B15" w:rsidP="008A0B15">
            <w:pPr>
              <w:jc w:val="right"/>
            </w:pPr>
            <w:r>
              <w:t>29.000</w:t>
            </w:r>
          </w:p>
        </w:tc>
      </w:tr>
      <w:tr w:rsidR="008A0B15" w14:paraId="71951D71" w14:textId="77777777" w:rsidTr="005169B6">
        <w:trPr>
          <w:jc w:val="center"/>
        </w:trPr>
        <w:tc>
          <w:tcPr>
            <w:tcW w:w="3686" w:type="dxa"/>
            <w:vAlign w:val="center"/>
          </w:tcPr>
          <w:p w14:paraId="521E6340" w14:textId="1E0F3D09" w:rsidR="008A0B15" w:rsidRDefault="008A0B15" w:rsidP="008A0B15">
            <w:r>
              <w:t>Digital Transformation</w:t>
            </w:r>
          </w:p>
        </w:tc>
        <w:tc>
          <w:tcPr>
            <w:tcW w:w="2410" w:type="dxa"/>
            <w:vAlign w:val="center"/>
          </w:tcPr>
          <w:p w14:paraId="72D26BFC" w14:textId="63536350" w:rsidR="008A0B15" w:rsidRDefault="008A0B15" w:rsidP="008A0B15">
            <w:pPr>
              <w:jc w:val="right"/>
            </w:pPr>
            <w:r>
              <w:t>9.184</w:t>
            </w:r>
          </w:p>
        </w:tc>
        <w:tc>
          <w:tcPr>
            <w:tcW w:w="1275" w:type="dxa"/>
            <w:vAlign w:val="center"/>
          </w:tcPr>
          <w:p w14:paraId="0D85854E" w14:textId="10CD3773" w:rsidR="008A0B15" w:rsidRDefault="008A0B15" w:rsidP="008A0B15">
            <w:pPr>
              <w:jc w:val="right"/>
            </w:pPr>
            <w:r>
              <w:t>25.957</w:t>
            </w:r>
          </w:p>
        </w:tc>
        <w:tc>
          <w:tcPr>
            <w:tcW w:w="794" w:type="dxa"/>
            <w:vAlign w:val="center"/>
          </w:tcPr>
          <w:p w14:paraId="5657C465" w14:textId="2322C62A" w:rsidR="008A0B15" w:rsidRDefault="008A0B15" w:rsidP="008A0B15">
            <w:pPr>
              <w:jc w:val="right"/>
            </w:pPr>
            <w:r>
              <w:t>0.000</w:t>
            </w:r>
          </w:p>
        </w:tc>
        <w:tc>
          <w:tcPr>
            <w:tcW w:w="945" w:type="dxa"/>
            <w:vAlign w:val="center"/>
          </w:tcPr>
          <w:p w14:paraId="00164657" w14:textId="438E884F" w:rsidR="008A0B15" w:rsidRDefault="008A0B15" w:rsidP="008A0B15">
            <w:pPr>
              <w:jc w:val="right"/>
            </w:pPr>
            <w:r>
              <w:t>518.000</w:t>
            </w:r>
          </w:p>
        </w:tc>
      </w:tr>
      <w:tr w:rsidR="008A0B15" w14:paraId="3F3DC65A" w14:textId="77777777" w:rsidTr="005169B6">
        <w:trPr>
          <w:jc w:val="center"/>
        </w:trPr>
        <w:tc>
          <w:tcPr>
            <w:tcW w:w="3686" w:type="dxa"/>
            <w:vAlign w:val="center"/>
          </w:tcPr>
          <w:p w14:paraId="59090922" w14:textId="77777777" w:rsidR="008A0B15" w:rsidRDefault="008A0B15" w:rsidP="008A0B15">
            <w:r>
              <w:t>Number of board meetings</w:t>
            </w:r>
          </w:p>
          <w:p w14:paraId="00976DD8" w14:textId="4AB045E0" w:rsidR="008A0B15" w:rsidRDefault="008A0B15" w:rsidP="008A0B15">
            <w:r>
              <w:t>Return on assets</w:t>
            </w:r>
          </w:p>
        </w:tc>
        <w:tc>
          <w:tcPr>
            <w:tcW w:w="2410" w:type="dxa"/>
            <w:vAlign w:val="center"/>
          </w:tcPr>
          <w:p w14:paraId="236721EB" w14:textId="77777777" w:rsidR="008A0B15" w:rsidRDefault="008A0B15" w:rsidP="008A0B15">
            <w:pPr>
              <w:jc w:val="right"/>
            </w:pPr>
            <w:r>
              <w:t>5.846</w:t>
            </w:r>
          </w:p>
          <w:p w14:paraId="4C5DA70C" w14:textId="468CFF4D" w:rsidR="008A0B15" w:rsidRDefault="008A0B15" w:rsidP="008A0B15">
            <w:pPr>
              <w:jc w:val="right"/>
            </w:pPr>
            <w:r>
              <w:t>0.041</w:t>
            </w:r>
          </w:p>
        </w:tc>
        <w:tc>
          <w:tcPr>
            <w:tcW w:w="1275" w:type="dxa"/>
            <w:vAlign w:val="center"/>
          </w:tcPr>
          <w:p w14:paraId="4DA04308" w14:textId="77777777" w:rsidR="008A0B15" w:rsidRDefault="008A0B15" w:rsidP="008A0B15">
            <w:pPr>
              <w:jc w:val="right"/>
            </w:pPr>
            <w:r>
              <w:t>2.210</w:t>
            </w:r>
          </w:p>
          <w:p w14:paraId="3FDE5E50" w14:textId="18385A4F" w:rsidR="008A0B15" w:rsidRDefault="008A0B15" w:rsidP="008A0B15">
            <w:pPr>
              <w:jc w:val="right"/>
            </w:pPr>
            <w:r>
              <w:t>0.095</w:t>
            </w:r>
          </w:p>
        </w:tc>
        <w:tc>
          <w:tcPr>
            <w:tcW w:w="794" w:type="dxa"/>
            <w:vAlign w:val="center"/>
          </w:tcPr>
          <w:p w14:paraId="5B97C29D" w14:textId="77777777" w:rsidR="008A0B15" w:rsidRDefault="008A0B15" w:rsidP="008A0B15">
            <w:pPr>
              <w:jc w:val="right"/>
            </w:pPr>
            <w:r>
              <w:t>1.000</w:t>
            </w:r>
          </w:p>
          <w:p w14:paraId="50D4F808" w14:textId="6811ECC8" w:rsidR="008A0B15" w:rsidRDefault="008A0B15" w:rsidP="008A0B15">
            <w:pPr>
              <w:jc w:val="right"/>
            </w:pPr>
            <w:r>
              <w:t>-8.463</w:t>
            </w:r>
          </w:p>
        </w:tc>
        <w:tc>
          <w:tcPr>
            <w:tcW w:w="945" w:type="dxa"/>
            <w:vAlign w:val="center"/>
          </w:tcPr>
          <w:p w14:paraId="5B4DA29E" w14:textId="77777777" w:rsidR="008A0B15" w:rsidRDefault="008A0B15" w:rsidP="008A0B15">
            <w:pPr>
              <w:jc w:val="right"/>
            </w:pPr>
            <w:r>
              <w:t>20.000</w:t>
            </w:r>
          </w:p>
          <w:p w14:paraId="153C2400" w14:textId="4C646270" w:rsidR="008A0B15" w:rsidRDefault="008A0B15" w:rsidP="008A0B15">
            <w:pPr>
              <w:jc w:val="right"/>
            </w:pPr>
            <w:r>
              <w:t>0.946</w:t>
            </w:r>
          </w:p>
        </w:tc>
      </w:tr>
    </w:tbl>
    <w:p w14:paraId="552F5160" w14:textId="753B8D74" w:rsidR="001D67A0" w:rsidRDefault="001D67A0" w:rsidP="00450EC6">
      <w:pPr>
        <w:pStyle w:val="v"/>
      </w:pPr>
      <w:r w:rsidRPr="008B4B21">
        <w:rPr>
          <w:rFonts w:hint="eastAsia"/>
        </w:rPr>
        <w:t xml:space="preserve">Table </w:t>
      </w:r>
      <w:r>
        <w:t xml:space="preserve">2 </w:t>
      </w:r>
      <w:r>
        <w:rPr>
          <w:rFonts w:hint="eastAsia"/>
        </w:rPr>
        <w:t xml:space="preserve">gives the </w:t>
      </w:r>
      <w:r w:rsidRPr="008B4B21">
        <w:rPr>
          <w:rFonts w:hint="eastAsia"/>
        </w:rPr>
        <w:t xml:space="preserve">number of observations, </w:t>
      </w:r>
      <w:r>
        <w:rPr>
          <w:rFonts w:hint="eastAsia"/>
        </w:rPr>
        <w:t xml:space="preserve">mean, standard deviation, </w:t>
      </w:r>
      <w:r w:rsidR="00F9271A">
        <w:t xml:space="preserve">and </w:t>
      </w:r>
      <w:r>
        <w:rPr>
          <w:rFonts w:hint="eastAsia"/>
        </w:rPr>
        <w:t xml:space="preserve">minimum and maximum values for the </w:t>
      </w:r>
      <w:r w:rsidRPr="008B4B21">
        <w:rPr>
          <w:rFonts w:hint="eastAsia"/>
        </w:rPr>
        <w:t xml:space="preserve">variables </w:t>
      </w:r>
      <w:r>
        <w:rPr>
          <w:rFonts w:hint="eastAsia"/>
        </w:rPr>
        <w:t xml:space="preserve">used in this paper. The fluctuation range of the explanatory variable corporate performance is large with a maximum value </w:t>
      </w:r>
      <w:r w:rsidRPr="008B4B21">
        <w:rPr>
          <w:rFonts w:hint="eastAsia"/>
        </w:rPr>
        <w:t xml:space="preserve">of </w:t>
      </w:r>
      <w:r>
        <w:t xml:space="preserve">9.998 </w:t>
      </w:r>
      <w:r w:rsidRPr="008B4B21">
        <w:rPr>
          <w:rFonts w:hint="eastAsia"/>
        </w:rPr>
        <w:t xml:space="preserve">and a </w:t>
      </w:r>
      <w:r>
        <w:rPr>
          <w:rFonts w:hint="eastAsia"/>
        </w:rPr>
        <w:t>minimum value of 0</w:t>
      </w:r>
      <w:r>
        <w:t>.153</w:t>
      </w:r>
      <w:r w:rsidRPr="008B4B21">
        <w:rPr>
          <w:rFonts w:hint="eastAsia"/>
        </w:rPr>
        <w:t xml:space="preserve">; the mean value is </w:t>
      </w:r>
      <w:r>
        <w:t>1.957</w:t>
      </w:r>
      <w:r w:rsidRPr="008B4B21">
        <w:rPr>
          <w:rFonts w:hint="eastAsia"/>
        </w:rPr>
        <w:t xml:space="preserve">. The mean value of the </w:t>
      </w:r>
      <w:r>
        <w:rPr>
          <w:rFonts w:hint="eastAsia"/>
        </w:rPr>
        <w:t xml:space="preserve">core explanatory variable </w:t>
      </w:r>
      <w:r w:rsidR="003B6B7A">
        <w:rPr>
          <w:rFonts w:hint="eastAsia"/>
        </w:rPr>
        <w:t>TMT</w:t>
      </w:r>
      <w:r w:rsidRPr="008B4B21">
        <w:rPr>
          <w:rFonts w:hint="eastAsia"/>
        </w:rPr>
        <w:t xml:space="preserve"> </w:t>
      </w:r>
      <w:r>
        <w:rPr>
          <w:rFonts w:hint="eastAsia"/>
        </w:rPr>
        <w:t xml:space="preserve">educational heterogeneity is </w:t>
      </w:r>
      <w:r>
        <w:t>0.464</w:t>
      </w:r>
      <w:r w:rsidRPr="008B4B21">
        <w:rPr>
          <w:rFonts w:hint="eastAsia"/>
        </w:rPr>
        <w:t xml:space="preserve">; the mean value </w:t>
      </w:r>
      <w:r>
        <w:rPr>
          <w:rFonts w:hint="eastAsia"/>
        </w:rPr>
        <w:t xml:space="preserve">of </w:t>
      </w:r>
      <w:r w:rsidR="003B6B7A">
        <w:rPr>
          <w:rFonts w:hint="eastAsia"/>
        </w:rPr>
        <w:t>TMT</w:t>
      </w:r>
      <w:r w:rsidRPr="008B4B21">
        <w:rPr>
          <w:rFonts w:hint="eastAsia"/>
        </w:rPr>
        <w:t xml:space="preserve"> </w:t>
      </w:r>
      <w:r>
        <w:rPr>
          <w:rFonts w:hint="eastAsia"/>
        </w:rPr>
        <w:t xml:space="preserve">overseas </w:t>
      </w:r>
      <w:r w:rsidRPr="008B4B21">
        <w:rPr>
          <w:rFonts w:hint="eastAsia"/>
        </w:rPr>
        <w:t xml:space="preserve">background </w:t>
      </w:r>
      <w:r w:rsidRPr="008B4B21">
        <w:rPr>
          <w:rFonts w:hint="eastAsia"/>
        </w:rPr>
        <w:lastRenderedPageBreak/>
        <w:t xml:space="preserve">heterogeneity is </w:t>
      </w:r>
      <w:r w:rsidRPr="00F07270">
        <w:t>0.590</w:t>
      </w:r>
      <w:r w:rsidRPr="008B4B21">
        <w:rPr>
          <w:rFonts w:hint="eastAsia"/>
        </w:rPr>
        <w:t xml:space="preserve">, the </w:t>
      </w:r>
      <w:r>
        <w:rPr>
          <w:rFonts w:hint="eastAsia"/>
        </w:rPr>
        <w:t xml:space="preserve">level of educational heterogeneity and functional background heterogeneity lies approximately in the middle of the maximum and minimum values, indicating that Chinese listed </w:t>
      </w:r>
      <w:r w:rsidRPr="008B4B21">
        <w:rPr>
          <w:rFonts w:hint="eastAsia"/>
        </w:rPr>
        <w:t xml:space="preserve">companies The level of </w:t>
      </w:r>
      <w:r>
        <w:rPr>
          <w:rFonts w:hint="eastAsia"/>
        </w:rPr>
        <w:t xml:space="preserve">heterogeneity of the </w:t>
      </w:r>
      <w:r w:rsidR="003B6B7A">
        <w:rPr>
          <w:rFonts w:hint="eastAsia"/>
        </w:rPr>
        <w:t>TMT</w:t>
      </w:r>
      <w:r>
        <w:rPr>
          <w:rFonts w:hint="eastAsia"/>
        </w:rPr>
        <w:t xml:space="preserve">'s academic and functional </w:t>
      </w:r>
      <w:r w:rsidRPr="008B4B21">
        <w:rPr>
          <w:rFonts w:hint="eastAsia"/>
        </w:rPr>
        <w:t xml:space="preserve">backgrounds </w:t>
      </w:r>
      <w:r w:rsidR="00F9271A">
        <w:t>are</w:t>
      </w:r>
      <w:r w:rsidRPr="008B4B21">
        <w:rPr>
          <w:rFonts w:hint="eastAsia"/>
        </w:rPr>
        <w:t xml:space="preserve"> </w:t>
      </w:r>
      <w:r>
        <w:rPr>
          <w:rFonts w:hint="eastAsia"/>
        </w:rPr>
        <w:t>evenly distributed, covering people with multiple academic and functional backgrounds</w:t>
      </w:r>
      <w:r w:rsidRPr="008B4B21">
        <w:rPr>
          <w:rFonts w:hint="eastAsia"/>
        </w:rPr>
        <w:t xml:space="preserve">. Among the </w:t>
      </w:r>
      <w:r>
        <w:rPr>
          <w:rFonts w:hint="eastAsia"/>
        </w:rPr>
        <w:t>control variables</w:t>
      </w:r>
      <w:r w:rsidRPr="008B4B21">
        <w:rPr>
          <w:rFonts w:hint="eastAsia"/>
        </w:rPr>
        <w:t xml:space="preserve">, the average age of the </w:t>
      </w:r>
      <w:r w:rsidR="003B6B7A">
        <w:rPr>
          <w:rFonts w:hint="eastAsia"/>
        </w:rPr>
        <w:t>TMT</w:t>
      </w:r>
      <w:r w:rsidRPr="008B4B21">
        <w:rPr>
          <w:rFonts w:hint="eastAsia"/>
        </w:rPr>
        <w:t xml:space="preserve"> members is </w:t>
      </w:r>
      <w:r>
        <w:t xml:space="preserve">46.944 </w:t>
      </w:r>
      <w:r w:rsidRPr="008B4B21">
        <w:rPr>
          <w:rFonts w:hint="eastAsia"/>
        </w:rPr>
        <w:t>years old</w:t>
      </w:r>
      <w:r>
        <w:rPr>
          <w:rFonts w:hint="eastAsia"/>
        </w:rPr>
        <w:t xml:space="preserve">, and the </w:t>
      </w:r>
      <w:r w:rsidRPr="008B4B21">
        <w:rPr>
          <w:rFonts w:hint="eastAsia"/>
        </w:rPr>
        <w:t xml:space="preserve">size of the </w:t>
      </w:r>
      <w:r w:rsidR="003B6B7A">
        <w:rPr>
          <w:rFonts w:hint="eastAsia"/>
        </w:rPr>
        <w:t>TMT</w:t>
      </w:r>
      <w:r w:rsidRPr="008B4B21">
        <w:rPr>
          <w:rFonts w:hint="eastAsia"/>
        </w:rPr>
        <w:t xml:space="preserve"> ranges from </w:t>
      </w:r>
      <w:r>
        <w:t xml:space="preserve">1 </w:t>
      </w:r>
      <w:r w:rsidRPr="008B4B21">
        <w:rPr>
          <w:rFonts w:hint="eastAsia"/>
        </w:rPr>
        <w:t xml:space="preserve">to </w:t>
      </w:r>
      <w:r>
        <w:t xml:space="preserve">45 </w:t>
      </w:r>
      <w:r w:rsidRPr="008B4B21">
        <w:rPr>
          <w:rFonts w:hint="eastAsia"/>
        </w:rPr>
        <w:t xml:space="preserve">members, with an average size of </w:t>
      </w:r>
      <w:r>
        <w:rPr>
          <w:rFonts w:hint="eastAsia"/>
        </w:rPr>
        <w:t xml:space="preserve">7. </w:t>
      </w:r>
      <w:r w:rsidRPr="008B4B21">
        <w:rPr>
          <w:rFonts w:hint="eastAsia"/>
        </w:rPr>
        <w:t xml:space="preserve">Total assets were measured by taking the natural logarithm of the size of the firm, with a mean value of </w:t>
      </w:r>
      <w:r>
        <w:t xml:space="preserve">22.124. The </w:t>
      </w:r>
      <w:r w:rsidRPr="008B4B21">
        <w:rPr>
          <w:rFonts w:hint="eastAsia"/>
        </w:rPr>
        <w:t xml:space="preserve">average corporate gearing ratio was approximately </w:t>
      </w:r>
      <w:r>
        <w:t>41.</w:t>
      </w:r>
      <w:r w:rsidRPr="008B4B21">
        <w:rPr>
          <w:rFonts w:hint="eastAsia"/>
        </w:rPr>
        <w:t xml:space="preserve">7%, and the </w:t>
      </w:r>
      <w:r>
        <w:rPr>
          <w:rFonts w:hint="eastAsia"/>
        </w:rPr>
        <w:t xml:space="preserve">average </w:t>
      </w:r>
      <w:r w:rsidRPr="008B4B21">
        <w:rPr>
          <w:rFonts w:hint="eastAsia"/>
        </w:rPr>
        <w:t xml:space="preserve">time </w:t>
      </w:r>
      <w:r>
        <w:rPr>
          <w:rFonts w:hint="eastAsia"/>
        </w:rPr>
        <w:t xml:space="preserve">on </w:t>
      </w:r>
      <w:r w:rsidR="00F9271A">
        <w:t xml:space="preserve">the </w:t>
      </w:r>
      <w:r>
        <w:rPr>
          <w:rFonts w:hint="eastAsia"/>
        </w:rPr>
        <w:t xml:space="preserve">market for the selected sample </w:t>
      </w:r>
      <w:r w:rsidRPr="008B4B21">
        <w:rPr>
          <w:rFonts w:hint="eastAsia"/>
        </w:rPr>
        <w:t xml:space="preserve">firms was </w:t>
      </w:r>
      <w:r>
        <w:rPr>
          <w:rFonts w:hint="eastAsia"/>
        </w:rPr>
        <w:t xml:space="preserve">9 </w:t>
      </w:r>
      <w:r w:rsidRPr="008B4B21">
        <w:rPr>
          <w:rFonts w:hint="eastAsia"/>
        </w:rPr>
        <w:t>years</w:t>
      </w:r>
      <w:r>
        <w:rPr>
          <w:rFonts w:hint="eastAsia"/>
        </w:rPr>
        <w:t>.</w:t>
      </w:r>
    </w:p>
    <w:p w14:paraId="1351C238" w14:textId="77777777" w:rsidR="001D67A0" w:rsidRDefault="001D67A0" w:rsidP="00450EC6">
      <w:pPr>
        <w:pStyle w:val="v"/>
      </w:pPr>
    </w:p>
    <w:p w14:paraId="429498DD" w14:textId="77777777" w:rsidR="001D67A0" w:rsidRDefault="001D67A0" w:rsidP="001D67A0">
      <w:pPr>
        <w:pStyle w:val="2"/>
        <w:sectPr w:rsidR="001D67A0" w:rsidSect="008801A6">
          <w:pgSz w:w="11907" w:h="16160"/>
          <w:pgMar w:top="1474" w:right="1134" w:bottom="794" w:left="1134" w:header="1077" w:footer="567" w:gutter="0"/>
          <w:cols w:space="425"/>
          <w:docGrid w:type="lines" w:linePitch="286"/>
        </w:sectPr>
      </w:pPr>
    </w:p>
    <w:p w14:paraId="59B92ACE" w14:textId="10A4728B" w:rsidR="001D67A0" w:rsidRDefault="00AE326D" w:rsidP="001D67A0">
      <w:pPr>
        <w:pStyle w:val="2"/>
      </w:pPr>
      <w:bookmarkStart w:id="11" w:name="_Toc82596214"/>
      <w:r>
        <w:lastRenderedPageBreak/>
        <w:t>4</w:t>
      </w:r>
      <w:r w:rsidR="001D67A0" w:rsidRPr="00BE2853">
        <w:t>.</w:t>
      </w:r>
      <w:r w:rsidR="001D67A0">
        <w:t xml:space="preserve">2 </w:t>
      </w:r>
      <w:r w:rsidR="001D67A0">
        <w:rPr>
          <w:rFonts w:hint="eastAsia"/>
        </w:rPr>
        <w:t>Correlation analysis</w:t>
      </w:r>
      <w:bookmarkEnd w:id="11"/>
    </w:p>
    <w:p w14:paraId="2FABF67B" w14:textId="77777777" w:rsidR="001D67A0" w:rsidRPr="003B6EA4" w:rsidRDefault="001D67A0" w:rsidP="001D67A0">
      <w:pPr>
        <w:pStyle w:val="v1"/>
        <w:rPr>
          <w:sz w:val="13"/>
        </w:rPr>
      </w:pPr>
      <w:r w:rsidRPr="003B6EA4">
        <w:rPr>
          <w:rFonts w:hint="eastAsia"/>
          <w:sz w:val="13"/>
        </w:rPr>
        <w:t xml:space="preserve">Table 3 </w:t>
      </w:r>
      <w:r w:rsidRPr="003B6EA4">
        <w:rPr>
          <w:sz w:val="13"/>
        </w:rPr>
        <w:t xml:space="preserve">Variable </w:t>
      </w:r>
      <w:r w:rsidRPr="003B6EA4">
        <w:rPr>
          <w:rFonts w:hint="eastAsia"/>
          <w:sz w:val="13"/>
        </w:rPr>
        <w:t>correlation coefficient matrix</w:t>
      </w:r>
    </w:p>
    <w:tbl>
      <w:tblPr>
        <w:tblW w:w="5000" w:type="pct"/>
        <w:tblLook w:val="0000" w:firstRow="0" w:lastRow="0" w:firstColumn="0" w:lastColumn="0" w:noHBand="0" w:noVBand="0"/>
      </w:tblPr>
      <w:tblGrid>
        <w:gridCol w:w="1481"/>
        <w:gridCol w:w="1134"/>
        <w:gridCol w:w="1134"/>
        <w:gridCol w:w="1133"/>
        <w:gridCol w:w="1133"/>
        <w:gridCol w:w="1133"/>
        <w:gridCol w:w="1136"/>
        <w:gridCol w:w="1133"/>
        <w:gridCol w:w="1133"/>
        <w:gridCol w:w="1133"/>
        <w:gridCol w:w="1133"/>
        <w:gridCol w:w="1142"/>
      </w:tblGrid>
      <w:tr w:rsidR="003B6EA4" w14:paraId="040351CB" w14:textId="77777777" w:rsidTr="00405ED1">
        <w:tc>
          <w:tcPr>
            <w:tcW w:w="530" w:type="pct"/>
            <w:tcBorders>
              <w:top w:val="single" w:sz="4" w:space="0" w:color="auto"/>
              <w:left w:val="nil"/>
              <w:bottom w:val="single" w:sz="10" w:space="0" w:color="auto"/>
              <w:right w:val="nil"/>
            </w:tcBorders>
          </w:tcPr>
          <w:p w14:paraId="601D9FB8"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w:t>
            </w:r>
            <w:bookmarkStart w:id="12" w:name="_Hlk116931904"/>
            <w:r>
              <w:rPr>
                <w:rFonts w:ascii="Garamond" w:hAnsi="Garamond"/>
                <w:kern w:val="0"/>
                <w:sz w:val="20"/>
              </w:rPr>
              <w:t>Variables</w:t>
            </w:r>
          </w:p>
        </w:tc>
        <w:tc>
          <w:tcPr>
            <w:tcW w:w="406" w:type="pct"/>
            <w:tcBorders>
              <w:top w:val="single" w:sz="4" w:space="0" w:color="auto"/>
              <w:left w:val="nil"/>
              <w:bottom w:val="single" w:sz="10" w:space="0" w:color="auto"/>
              <w:right w:val="nil"/>
            </w:tcBorders>
          </w:tcPr>
          <w:p w14:paraId="6B85347A"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(1)</w:t>
            </w:r>
          </w:p>
        </w:tc>
        <w:tc>
          <w:tcPr>
            <w:tcW w:w="406" w:type="pct"/>
            <w:tcBorders>
              <w:top w:val="single" w:sz="4" w:space="0" w:color="auto"/>
              <w:left w:val="nil"/>
              <w:bottom w:val="single" w:sz="10" w:space="0" w:color="auto"/>
              <w:right w:val="nil"/>
            </w:tcBorders>
          </w:tcPr>
          <w:p w14:paraId="703B15F7"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(2)</w:t>
            </w:r>
          </w:p>
        </w:tc>
        <w:tc>
          <w:tcPr>
            <w:tcW w:w="406" w:type="pct"/>
            <w:tcBorders>
              <w:top w:val="single" w:sz="4" w:space="0" w:color="auto"/>
              <w:left w:val="nil"/>
              <w:bottom w:val="single" w:sz="10" w:space="0" w:color="auto"/>
              <w:right w:val="nil"/>
            </w:tcBorders>
          </w:tcPr>
          <w:p w14:paraId="25C6A96E"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(3)</w:t>
            </w:r>
          </w:p>
        </w:tc>
        <w:tc>
          <w:tcPr>
            <w:tcW w:w="406" w:type="pct"/>
            <w:tcBorders>
              <w:top w:val="single" w:sz="4" w:space="0" w:color="auto"/>
              <w:left w:val="nil"/>
              <w:bottom w:val="single" w:sz="10" w:space="0" w:color="auto"/>
              <w:right w:val="nil"/>
            </w:tcBorders>
          </w:tcPr>
          <w:p w14:paraId="515EAED0"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(4)</w:t>
            </w:r>
          </w:p>
        </w:tc>
        <w:tc>
          <w:tcPr>
            <w:tcW w:w="406" w:type="pct"/>
            <w:tcBorders>
              <w:top w:val="single" w:sz="4" w:space="0" w:color="auto"/>
              <w:left w:val="nil"/>
              <w:bottom w:val="single" w:sz="10" w:space="0" w:color="auto"/>
              <w:right w:val="nil"/>
            </w:tcBorders>
          </w:tcPr>
          <w:p w14:paraId="386530D6"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(5)</w:t>
            </w:r>
          </w:p>
        </w:tc>
        <w:tc>
          <w:tcPr>
            <w:tcW w:w="407" w:type="pct"/>
            <w:tcBorders>
              <w:top w:val="single" w:sz="4" w:space="0" w:color="auto"/>
              <w:left w:val="nil"/>
              <w:bottom w:val="single" w:sz="10" w:space="0" w:color="auto"/>
              <w:right w:val="nil"/>
            </w:tcBorders>
          </w:tcPr>
          <w:p w14:paraId="1D0F625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(6)</w:t>
            </w:r>
          </w:p>
        </w:tc>
        <w:tc>
          <w:tcPr>
            <w:tcW w:w="406" w:type="pct"/>
            <w:tcBorders>
              <w:top w:val="single" w:sz="4" w:space="0" w:color="auto"/>
              <w:left w:val="nil"/>
              <w:bottom w:val="single" w:sz="10" w:space="0" w:color="auto"/>
              <w:right w:val="nil"/>
            </w:tcBorders>
          </w:tcPr>
          <w:p w14:paraId="723BE929"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(7)</w:t>
            </w:r>
          </w:p>
        </w:tc>
        <w:tc>
          <w:tcPr>
            <w:tcW w:w="406" w:type="pct"/>
            <w:tcBorders>
              <w:top w:val="single" w:sz="4" w:space="0" w:color="auto"/>
              <w:left w:val="nil"/>
              <w:bottom w:val="single" w:sz="10" w:space="0" w:color="auto"/>
              <w:right w:val="nil"/>
            </w:tcBorders>
          </w:tcPr>
          <w:p w14:paraId="7F6CB005"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(8)</w:t>
            </w:r>
          </w:p>
        </w:tc>
        <w:tc>
          <w:tcPr>
            <w:tcW w:w="406" w:type="pct"/>
            <w:tcBorders>
              <w:top w:val="single" w:sz="4" w:space="0" w:color="auto"/>
              <w:left w:val="nil"/>
              <w:bottom w:val="single" w:sz="10" w:space="0" w:color="auto"/>
              <w:right w:val="nil"/>
            </w:tcBorders>
          </w:tcPr>
          <w:p w14:paraId="07A99FD7"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(9)</w:t>
            </w:r>
          </w:p>
        </w:tc>
        <w:tc>
          <w:tcPr>
            <w:tcW w:w="406" w:type="pct"/>
            <w:tcBorders>
              <w:top w:val="single" w:sz="4" w:space="0" w:color="auto"/>
              <w:left w:val="nil"/>
              <w:bottom w:val="single" w:sz="10" w:space="0" w:color="auto"/>
              <w:right w:val="nil"/>
            </w:tcBorders>
          </w:tcPr>
          <w:p w14:paraId="11659D80"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(10)</w:t>
            </w:r>
          </w:p>
        </w:tc>
        <w:tc>
          <w:tcPr>
            <w:tcW w:w="406" w:type="pct"/>
            <w:tcBorders>
              <w:top w:val="single" w:sz="4" w:space="0" w:color="auto"/>
              <w:left w:val="nil"/>
              <w:bottom w:val="single" w:sz="10" w:space="0" w:color="auto"/>
              <w:right w:val="nil"/>
            </w:tcBorders>
          </w:tcPr>
          <w:p w14:paraId="0257F94B"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 xml:space="preserve">  (11)</w:t>
            </w:r>
          </w:p>
        </w:tc>
      </w:tr>
      <w:tr w:rsidR="003B6EA4" w14:paraId="2B58869A" w14:textId="77777777" w:rsidTr="00405ED1">
        <w:trPr>
          <w:gridAfter w:val="10"/>
          <w:wAfter w:w="4064" w:type="pct"/>
        </w:trPr>
        <w:tc>
          <w:tcPr>
            <w:tcW w:w="530" w:type="pct"/>
            <w:tcBorders>
              <w:top w:val="nil"/>
              <w:left w:val="nil"/>
              <w:bottom w:val="nil"/>
              <w:right w:val="nil"/>
            </w:tcBorders>
          </w:tcPr>
          <w:p w14:paraId="0E659E49"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(1) debt to asset ratio</w:t>
            </w:r>
          </w:p>
        </w:tc>
        <w:tc>
          <w:tcPr>
            <w:tcW w:w="406" w:type="pct"/>
            <w:tcBorders>
              <w:top w:val="nil"/>
              <w:left w:val="nil"/>
              <w:bottom w:val="nil"/>
              <w:right w:val="nil"/>
            </w:tcBorders>
          </w:tcPr>
          <w:p w14:paraId="6B76103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05E765B8" w14:textId="77777777" w:rsidTr="00405ED1">
        <w:trPr>
          <w:gridAfter w:val="9"/>
          <w:wAfter w:w="3657" w:type="pct"/>
        </w:trPr>
        <w:tc>
          <w:tcPr>
            <w:tcW w:w="530" w:type="pct"/>
            <w:tcBorders>
              <w:top w:val="nil"/>
              <w:left w:val="nil"/>
              <w:bottom w:val="nil"/>
              <w:right w:val="nil"/>
            </w:tcBorders>
          </w:tcPr>
          <w:p w14:paraId="7E308CCC"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(2) Enterprise scale</w:t>
            </w:r>
          </w:p>
        </w:tc>
        <w:tc>
          <w:tcPr>
            <w:tcW w:w="406" w:type="pct"/>
            <w:tcBorders>
              <w:top w:val="nil"/>
              <w:left w:val="nil"/>
              <w:bottom w:val="nil"/>
              <w:right w:val="nil"/>
            </w:tcBorders>
          </w:tcPr>
          <w:p w14:paraId="2796598F"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0.500</w:t>
            </w:r>
          </w:p>
        </w:tc>
        <w:tc>
          <w:tcPr>
            <w:tcW w:w="406" w:type="pct"/>
            <w:tcBorders>
              <w:top w:val="nil"/>
              <w:left w:val="nil"/>
              <w:bottom w:val="nil"/>
              <w:right w:val="nil"/>
            </w:tcBorders>
          </w:tcPr>
          <w:p w14:paraId="4DF688B5"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3B854EBA" w14:textId="77777777" w:rsidTr="00405ED1">
        <w:trPr>
          <w:gridAfter w:val="8"/>
          <w:wAfter w:w="3251" w:type="pct"/>
        </w:trPr>
        <w:tc>
          <w:tcPr>
            <w:tcW w:w="530" w:type="pct"/>
            <w:tcBorders>
              <w:top w:val="nil"/>
              <w:left w:val="nil"/>
              <w:bottom w:val="nil"/>
              <w:right w:val="nil"/>
            </w:tcBorders>
          </w:tcPr>
          <w:p w14:paraId="1935EEC8"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(3) Number of board meetings</w:t>
            </w:r>
          </w:p>
        </w:tc>
        <w:tc>
          <w:tcPr>
            <w:tcW w:w="406" w:type="pct"/>
            <w:tcBorders>
              <w:top w:val="nil"/>
              <w:left w:val="nil"/>
              <w:bottom w:val="nil"/>
              <w:right w:val="nil"/>
            </w:tcBorders>
          </w:tcPr>
          <w:p w14:paraId="4516253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-0.062</w:t>
            </w:r>
          </w:p>
        </w:tc>
        <w:tc>
          <w:tcPr>
            <w:tcW w:w="406" w:type="pct"/>
            <w:tcBorders>
              <w:top w:val="nil"/>
              <w:left w:val="nil"/>
              <w:bottom w:val="nil"/>
              <w:right w:val="nil"/>
            </w:tcBorders>
          </w:tcPr>
          <w:p w14:paraId="7D9E1EB8"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0.041</w:t>
            </w:r>
          </w:p>
        </w:tc>
        <w:tc>
          <w:tcPr>
            <w:tcW w:w="406" w:type="pct"/>
            <w:tcBorders>
              <w:top w:val="nil"/>
              <w:left w:val="nil"/>
              <w:bottom w:val="nil"/>
              <w:right w:val="nil"/>
            </w:tcBorders>
          </w:tcPr>
          <w:p w14:paraId="360D6916"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65874F06" w14:textId="77777777" w:rsidTr="00405ED1">
        <w:trPr>
          <w:gridAfter w:val="7"/>
          <w:wAfter w:w="2845" w:type="pct"/>
        </w:trPr>
        <w:tc>
          <w:tcPr>
            <w:tcW w:w="530" w:type="pct"/>
            <w:tcBorders>
              <w:top w:val="nil"/>
              <w:left w:val="nil"/>
              <w:bottom w:val="nil"/>
              <w:right w:val="nil"/>
            </w:tcBorders>
          </w:tcPr>
          <w:p w14:paraId="042A1854"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(4) Average age</w:t>
            </w:r>
          </w:p>
        </w:tc>
        <w:tc>
          <w:tcPr>
            <w:tcW w:w="406" w:type="pct"/>
            <w:tcBorders>
              <w:top w:val="nil"/>
              <w:left w:val="nil"/>
              <w:bottom w:val="nil"/>
              <w:right w:val="nil"/>
            </w:tcBorders>
          </w:tcPr>
          <w:p w14:paraId="5DF4116D"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0.136</w:t>
            </w:r>
          </w:p>
        </w:tc>
        <w:tc>
          <w:tcPr>
            <w:tcW w:w="406" w:type="pct"/>
            <w:tcBorders>
              <w:top w:val="nil"/>
              <w:left w:val="nil"/>
              <w:bottom w:val="nil"/>
              <w:right w:val="nil"/>
            </w:tcBorders>
          </w:tcPr>
          <w:p w14:paraId="774D644D"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0.345</w:t>
            </w:r>
          </w:p>
        </w:tc>
        <w:tc>
          <w:tcPr>
            <w:tcW w:w="406" w:type="pct"/>
            <w:tcBorders>
              <w:top w:val="nil"/>
              <w:left w:val="nil"/>
              <w:bottom w:val="nil"/>
              <w:right w:val="nil"/>
            </w:tcBorders>
          </w:tcPr>
          <w:p w14:paraId="6F0DD8C7"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-0.003</w:t>
            </w:r>
          </w:p>
        </w:tc>
        <w:tc>
          <w:tcPr>
            <w:tcW w:w="406" w:type="pct"/>
            <w:tcBorders>
              <w:top w:val="nil"/>
              <w:left w:val="nil"/>
              <w:bottom w:val="nil"/>
              <w:right w:val="nil"/>
            </w:tcBorders>
          </w:tcPr>
          <w:p w14:paraId="01423F69"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693695D3" w14:textId="77777777" w:rsidTr="00405ED1">
        <w:trPr>
          <w:gridAfter w:val="6"/>
          <w:wAfter w:w="2438" w:type="pct"/>
        </w:trPr>
        <w:tc>
          <w:tcPr>
            <w:tcW w:w="530" w:type="pct"/>
            <w:tcBorders>
              <w:top w:val="nil"/>
              <w:left w:val="nil"/>
              <w:bottom w:val="nil"/>
              <w:right w:val="nil"/>
            </w:tcBorders>
          </w:tcPr>
          <w:p w14:paraId="12EF75A5"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(5) Number of TMT</w:t>
            </w:r>
          </w:p>
        </w:tc>
        <w:tc>
          <w:tcPr>
            <w:tcW w:w="406" w:type="pct"/>
            <w:tcBorders>
              <w:top w:val="nil"/>
              <w:left w:val="nil"/>
              <w:bottom w:val="nil"/>
              <w:right w:val="nil"/>
            </w:tcBorders>
          </w:tcPr>
          <w:p w14:paraId="0780FF6E"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0.154</w:t>
            </w:r>
          </w:p>
        </w:tc>
        <w:tc>
          <w:tcPr>
            <w:tcW w:w="406" w:type="pct"/>
            <w:tcBorders>
              <w:top w:val="nil"/>
              <w:left w:val="nil"/>
              <w:bottom w:val="nil"/>
              <w:right w:val="nil"/>
            </w:tcBorders>
          </w:tcPr>
          <w:p w14:paraId="7AD3D32F"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0.317</w:t>
            </w:r>
          </w:p>
        </w:tc>
        <w:tc>
          <w:tcPr>
            <w:tcW w:w="406" w:type="pct"/>
            <w:tcBorders>
              <w:top w:val="nil"/>
              <w:left w:val="nil"/>
              <w:bottom w:val="nil"/>
              <w:right w:val="nil"/>
            </w:tcBorders>
          </w:tcPr>
          <w:p w14:paraId="2B59A311"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0.070</w:t>
            </w:r>
          </w:p>
        </w:tc>
        <w:tc>
          <w:tcPr>
            <w:tcW w:w="406" w:type="pct"/>
            <w:tcBorders>
              <w:top w:val="nil"/>
              <w:left w:val="nil"/>
              <w:bottom w:val="nil"/>
              <w:right w:val="nil"/>
            </w:tcBorders>
          </w:tcPr>
          <w:p w14:paraId="28D199B8"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0.130</w:t>
            </w:r>
          </w:p>
        </w:tc>
        <w:tc>
          <w:tcPr>
            <w:tcW w:w="406" w:type="pct"/>
            <w:tcBorders>
              <w:top w:val="nil"/>
              <w:left w:val="nil"/>
              <w:bottom w:val="nil"/>
              <w:right w:val="nil"/>
            </w:tcBorders>
          </w:tcPr>
          <w:p w14:paraId="0C02F9D2"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349A741D" w14:textId="77777777" w:rsidTr="00405ED1">
        <w:trPr>
          <w:gridAfter w:val="5"/>
          <w:wAfter w:w="2032" w:type="pct"/>
        </w:trPr>
        <w:tc>
          <w:tcPr>
            <w:tcW w:w="530" w:type="pct"/>
            <w:tcBorders>
              <w:top w:val="nil"/>
              <w:left w:val="nil"/>
              <w:bottom w:val="nil"/>
              <w:right w:val="nil"/>
            </w:tcBorders>
          </w:tcPr>
          <w:p w14:paraId="6E1EA3C1"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(6) Number of years on the market</w:t>
            </w:r>
          </w:p>
        </w:tc>
        <w:tc>
          <w:tcPr>
            <w:tcW w:w="406" w:type="pct"/>
            <w:tcBorders>
              <w:top w:val="nil"/>
              <w:left w:val="nil"/>
              <w:bottom w:val="nil"/>
              <w:right w:val="nil"/>
            </w:tcBorders>
          </w:tcPr>
          <w:p w14:paraId="287D16BB"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0.368</w:t>
            </w:r>
          </w:p>
        </w:tc>
        <w:tc>
          <w:tcPr>
            <w:tcW w:w="406" w:type="pct"/>
            <w:tcBorders>
              <w:top w:val="nil"/>
              <w:left w:val="nil"/>
              <w:bottom w:val="nil"/>
              <w:right w:val="nil"/>
            </w:tcBorders>
          </w:tcPr>
          <w:p w14:paraId="61DDC1E6"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0.374</w:t>
            </w:r>
          </w:p>
        </w:tc>
        <w:tc>
          <w:tcPr>
            <w:tcW w:w="406" w:type="pct"/>
            <w:tcBorders>
              <w:top w:val="nil"/>
              <w:left w:val="nil"/>
              <w:bottom w:val="nil"/>
              <w:right w:val="nil"/>
            </w:tcBorders>
          </w:tcPr>
          <w:p w14:paraId="136476B7"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-0.147</w:t>
            </w:r>
          </w:p>
        </w:tc>
        <w:tc>
          <w:tcPr>
            <w:tcW w:w="406" w:type="pct"/>
            <w:tcBorders>
              <w:top w:val="nil"/>
              <w:left w:val="nil"/>
              <w:bottom w:val="nil"/>
              <w:right w:val="nil"/>
            </w:tcBorders>
          </w:tcPr>
          <w:p w14:paraId="102AFC03"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0.254</w:t>
            </w:r>
          </w:p>
        </w:tc>
        <w:tc>
          <w:tcPr>
            <w:tcW w:w="406" w:type="pct"/>
            <w:tcBorders>
              <w:top w:val="nil"/>
              <w:left w:val="nil"/>
              <w:bottom w:val="nil"/>
              <w:right w:val="nil"/>
            </w:tcBorders>
          </w:tcPr>
          <w:p w14:paraId="5C12B509"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0.025</w:t>
            </w:r>
          </w:p>
        </w:tc>
        <w:tc>
          <w:tcPr>
            <w:tcW w:w="407" w:type="pct"/>
            <w:tcBorders>
              <w:top w:val="nil"/>
              <w:left w:val="nil"/>
              <w:bottom w:val="nil"/>
              <w:right w:val="nil"/>
            </w:tcBorders>
          </w:tcPr>
          <w:p w14:paraId="54B8121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6DA810C6" w14:textId="77777777" w:rsidTr="00405ED1">
        <w:trPr>
          <w:gridAfter w:val="4"/>
          <w:wAfter w:w="1625" w:type="pct"/>
        </w:trPr>
        <w:tc>
          <w:tcPr>
            <w:tcW w:w="530" w:type="pct"/>
            <w:tcBorders>
              <w:top w:val="nil"/>
              <w:left w:val="nil"/>
              <w:bottom w:val="nil"/>
              <w:right w:val="nil"/>
            </w:tcBorders>
          </w:tcPr>
          <w:p w14:paraId="24655720"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(7) Education heterogeneity</w:t>
            </w:r>
          </w:p>
        </w:tc>
        <w:tc>
          <w:tcPr>
            <w:tcW w:w="406" w:type="pct"/>
            <w:tcBorders>
              <w:top w:val="nil"/>
              <w:left w:val="nil"/>
              <w:bottom w:val="nil"/>
              <w:right w:val="nil"/>
            </w:tcBorders>
          </w:tcPr>
          <w:p w14:paraId="5ECC3141"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-0.085</w:t>
            </w:r>
          </w:p>
        </w:tc>
        <w:tc>
          <w:tcPr>
            <w:tcW w:w="406" w:type="pct"/>
            <w:tcBorders>
              <w:top w:val="nil"/>
              <w:left w:val="nil"/>
              <w:bottom w:val="nil"/>
              <w:right w:val="nil"/>
            </w:tcBorders>
          </w:tcPr>
          <w:p w14:paraId="5A8A6127"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-0.088</w:t>
            </w:r>
          </w:p>
        </w:tc>
        <w:tc>
          <w:tcPr>
            <w:tcW w:w="406" w:type="pct"/>
            <w:tcBorders>
              <w:top w:val="nil"/>
              <w:left w:val="nil"/>
              <w:bottom w:val="nil"/>
              <w:right w:val="nil"/>
            </w:tcBorders>
          </w:tcPr>
          <w:p w14:paraId="09BE0D82"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0.083</w:t>
            </w:r>
          </w:p>
        </w:tc>
        <w:tc>
          <w:tcPr>
            <w:tcW w:w="406" w:type="pct"/>
            <w:tcBorders>
              <w:top w:val="nil"/>
              <w:left w:val="nil"/>
              <w:bottom w:val="nil"/>
              <w:right w:val="nil"/>
            </w:tcBorders>
          </w:tcPr>
          <w:p w14:paraId="5B18DCC3"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-0.004</w:t>
            </w:r>
          </w:p>
        </w:tc>
        <w:tc>
          <w:tcPr>
            <w:tcW w:w="406" w:type="pct"/>
            <w:tcBorders>
              <w:top w:val="nil"/>
              <w:left w:val="nil"/>
              <w:bottom w:val="nil"/>
              <w:right w:val="nil"/>
            </w:tcBorders>
          </w:tcPr>
          <w:p w14:paraId="63DA08F1"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0.122</w:t>
            </w:r>
          </w:p>
        </w:tc>
        <w:tc>
          <w:tcPr>
            <w:tcW w:w="407" w:type="pct"/>
            <w:tcBorders>
              <w:top w:val="nil"/>
              <w:left w:val="nil"/>
              <w:bottom w:val="nil"/>
              <w:right w:val="nil"/>
            </w:tcBorders>
          </w:tcPr>
          <w:p w14:paraId="3E95F92A"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-0.286</w:t>
            </w:r>
          </w:p>
        </w:tc>
        <w:tc>
          <w:tcPr>
            <w:tcW w:w="406" w:type="pct"/>
            <w:tcBorders>
              <w:top w:val="nil"/>
              <w:left w:val="nil"/>
              <w:bottom w:val="nil"/>
              <w:right w:val="nil"/>
            </w:tcBorders>
          </w:tcPr>
          <w:p w14:paraId="1A84A48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604CCB5F" w14:textId="77777777" w:rsidTr="00405ED1">
        <w:trPr>
          <w:gridAfter w:val="3"/>
          <w:wAfter w:w="1219" w:type="pct"/>
        </w:trPr>
        <w:tc>
          <w:tcPr>
            <w:tcW w:w="530" w:type="pct"/>
            <w:tcBorders>
              <w:top w:val="nil"/>
              <w:left w:val="nil"/>
              <w:bottom w:val="nil"/>
              <w:right w:val="nil"/>
            </w:tcBorders>
          </w:tcPr>
          <w:p w14:paraId="63987E4E"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(8) Functional background heterogeneity</w:t>
            </w:r>
          </w:p>
        </w:tc>
        <w:tc>
          <w:tcPr>
            <w:tcW w:w="406" w:type="pct"/>
            <w:tcBorders>
              <w:top w:val="nil"/>
              <w:left w:val="nil"/>
              <w:bottom w:val="nil"/>
              <w:right w:val="nil"/>
            </w:tcBorders>
          </w:tcPr>
          <w:p w14:paraId="6C325245"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0.031</w:t>
            </w:r>
          </w:p>
        </w:tc>
        <w:tc>
          <w:tcPr>
            <w:tcW w:w="406" w:type="pct"/>
            <w:tcBorders>
              <w:top w:val="nil"/>
              <w:left w:val="nil"/>
              <w:bottom w:val="nil"/>
              <w:right w:val="nil"/>
            </w:tcBorders>
          </w:tcPr>
          <w:p w14:paraId="618B1C66"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0.065</w:t>
            </w:r>
          </w:p>
        </w:tc>
        <w:tc>
          <w:tcPr>
            <w:tcW w:w="406" w:type="pct"/>
            <w:tcBorders>
              <w:top w:val="nil"/>
              <w:left w:val="nil"/>
              <w:bottom w:val="nil"/>
              <w:right w:val="nil"/>
            </w:tcBorders>
          </w:tcPr>
          <w:p w14:paraId="30CD4E4C"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0.081</w:t>
            </w:r>
          </w:p>
        </w:tc>
        <w:tc>
          <w:tcPr>
            <w:tcW w:w="406" w:type="pct"/>
            <w:tcBorders>
              <w:top w:val="nil"/>
              <w:left w:val="nil"/>
              <w:bottom w:val="nil"/>
              <w:right w:val="nil"/>
            </w:tcBorders>
          </w:tcPr>
          <w:p w14:paraId="4F4179E6"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-0.059</w:t>
            </w:r>
          </w:p>
        </w:tc>
        <w:tc>
          <w:tcPr>
            <w:tcW w:w="406" w:type="pct"/>
            <w:tcBorders>
              <w:top w:val="nil"/>
              <w:left w:val="nil"/>
              <w:bottom w:val="nil"/>
              <w:right w:val="nil"/>
            </w:tcBorders>
          </w:tcPr>
          <w:p w14:paraId="1DEE408D"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0.160</w:t>
            </w:r>
          </w:p>
        </w:tc>
        <w:tc>
          <w:tcPr>
            <w:tcW w:w="407" w:type="pct"/>
            <w:tcBorders>
              <w:top w:val="nil"/>
              <w:left w:val="nil"/>
              <w:bottom w:val="nil"/>
              <w:right w:val="nil"/>
            </w:tcBorders>
          </w:tcPr>
          <w:p w14:paraId="582F2C73"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-0.003</w:t>
            </w:r>
          </w:p>
        </w:tc>
        <w:tc>
          <w:tcPr>
            <w:tcW w:w="406" w:type="pct"/>
            <w:tcBorders>
              <w:top w:val="nil"/>
              <w:left w:val="nil"/>
              <w:bottom w:val="nil"/>
              <w:right w:val="nil"/>
            </w:tcBorders>
          </w:tcPr>
          <w:p w14:paraId="24C91FB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0.035</w:t>
            </w:r>
          </w:p>
        </w:tc>
        <w:tc>
          <w:tcPr>
            <w:tcW w:w="406" w:type="pct"/>
            <w:tcBorders>
              <w:top w:val="nil"/>
              <w:left w:val="nil"/>
              <w:bottom w:val="nil"/>
              <w:right w:val="nil"/>
            </w:tcBorders>
          </w:tcPr>
          <w:p w14:paraId="52D213C2"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2A000B3A" w14:textId="77777777" w:rsidTr="00405ED1">
        <w:trPr>
          <w:gridAfter w:val="2"/>
          <w:wAfter w:w="813" w:type="pct"/>
        </w:trPr>
        <w:tc>
          <w:tcPr>
            <w:tcW w:w="530" w:type="pct"/>
            <w:tcBorders>
              <w:top w:val="nil"/>
              <w:left w:val="nil"/>
              <w:bottom w:val="nil"/>
              <w:right w:val="nil"/>
            </w:tcBorders>
          </w:tcPr>
          <w:p w14:paraId="7D22E9CE"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(9) Corporate Performance</w:t>
            </w:r>
          </w:p>
        </w:tc>
        <w:tc>
          <w:tcPr>
            <w:tcW w:w="406" w:type="pct"/>
            <w:tcBorders>
              <w:top w:val="nil"/>
              <w:left w:val="nil"/>
              <w:bottom w:val="nil"/>
              <w:right w:val="nil"/>
            </w:tcBorders>
          </w:tcPr>
          <w:p w14:paraId="3F706C10"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-0.323</w:t>
            </w:r>
          </w:p>
        </w:tc>
        <w:tc>
          <w:tcPr>
            <w:tcW w:w="406" w:type="pct"/>
            <w:tcBorders>
              <w:top w:val="nil"/>
              <w:left w:val="nil"/>
              <w:bottom w:val="nil"/>
              <w:right w:val="nil"/>
            </w:tcBorders>
          </w:tcPr>
          <w:p w14:paraId="56EE6EC3"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-0.430</w:t>
            </w:r>
          </w:p>
        </w:tc>
        <w:tc>
          <w:tcPr>
            <w:tcW w:w="406" w:type="pct"/>
            <w:tcBorders>
              <w:top w:val="nil"/>
              <w:left w:val="nil"/>
              <w:bottom w:val="nil"/>
              <w:right w:val="nil"/>
            </w:tcBorders>
          </w:tcPr>
          <w:p w14:paraId="141C1D96"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-0.009</w:t>
            </w:r>
          </w:p>
        </w:tc>
        <w:tc>
          <w:tcPr>
            <w:tcW w:w="406" w:type="pct"/>
            <w:tcBorders>
              <w:top w:val="nil"/>
              <w:left w:val="nil"/>
              <w:bottom w:val="nil"/>
              <w:right w:val="nil"/>
            </w:tcBorders>
          </w:tcPr>
          <w:p w14:paraId="15A7C8CE"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-0.112</w:t>
            </w:r>
          </w:p>
        </w:tc>
        <w:tc>
          <w:tcPr>
            <w:tcW w:w="406" w:type="pct"/>
            <w:tcBorders>
              <w:top w:val="nil"/>
              <w:left w:val="nil"/>
              <w:bottom w:val="nil"/>
              <w:right w:val="nil"/>
            </w:tcBorders>
          </w:tcPr>
          <w:p w14:paraId="60CF3AFC"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-0.100</w:t>
            </w:r>
          </w:p>
        </w:tc>
        <w:tc>
          <w:tcPr>
            <w:tcW w:w="407" w:type="pct"/>
            <w:tcBorders>
              <w:top w:val="nil"/>
              <w:left w:val="nil"/>
              <w:bottom w:val="nil"/>
              <w:right w:val="nil"/>
            </w:tcBorders>
          </w:tcPr>
          <w:p w14:paraId="0916BF93"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-0.083</w:t>
            </w:r>
          </w:p>
        </w:tc>
        <w:tc>
          <w:tcPr>
            <w:tcW w:w="406" w:type="pct"/>
            <w:tcBorders>
              <w:top w:val="nil"/>
              <w:left w:val="nil"/>
              <w:bottom w:val="nil"/>
              <w:right w:val="nil"/>
            </w:tcBorders>
          </w:tcPr>
          <w:p w14:paraId="48C01EB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0.014</w:t>
            </w:r>
          </w:p>
        </w:tc>
        <w:tc>
          <w:tcPr>
            <w:tcW w:w="406" w:type="pct"/>
            <w:tcBorders>
              <w:top w:val="nil"/>
              <w:left w:val="nil"/>
              <w:bottom w:val="nil"/>
              <w:right w:val="nil"/>
            </w:tcBorders>
          </w:tcPr>
          <w:p w14:paraId="0D66B0FE"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-0.034</w:t>
            </w:r>
          </w:p>
        </w:tc>
        <w:tc>
          <w:tcPr>
            <w:tcW w:w="406" w:type="pct"/>
            <w:tcBorders>
              <w:top w:val="nil"/>
              <w:left w:val="nil"/>
              <w:bottom w:val="nil"/>
              <w:right w:val="nil"/>
            </w:tcBorders>
          </w:tcPr>
          <w:p w14:paraId="37A0AC55"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76072187" w14:textId="77777777" w:rsidTr="00405ED1">
        <w:trPr>
          <w:gridAfter w:val="1"/>
          <w:wAfter w:w="406" w:type="pct"/>
        </w:trPr>
        <w:tc>
          <w:tcPr>
            <w:tcW w:w="530" w:type="pct"/>
            <w:tcBorders>
              <w:top w:val="nil"/>
              <w:left w:val="nil"/>
              <w:bottom w:val="nil"/>
              <w:right w:val="nil"/>
            </w:tcBorders>
          </w:tcPr>
          <w:p w14:paraId="5EBB7B72"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(10) Digital Transformation</w:t>
            </w:r>
          </w:p>
        </w:tc>
        <w:tc>
          <w:tcPr>
            <w:tcW w:w="406" w:type="pct"/>
            <w:tcBorders>
              <w:top w:val="nil"/>
              <w:left w:val="nil"/>
              <w:bottom w:val="nil"/>
              <w:right w:val="nil"/>
            </w:tcBorders>
          </w:tcPr>
          <w:p w14:paraId="597BBA46"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-0.066</w:t>
            </w:r>
          </w:p>
        </w:tc>
        <w:tc>
          <w:tcPr>
            <w:tcW w:w="406" w:type="pct"/>
            <w:tcBorders>
              <w:top w:val="nil"/>
              <w:left w:val="nil"/>
              <w:bottom w:val="nil"/>
              <w:right w:val="nil"/>
            </w:tcBorders>
          </w:tcPr>
          <w:p w14:paraId="7AA604EA"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0.018</w:t>
            </w:r>
          </w:p>
        </w:tc>
        <w:tc>
          <w:tcPr>
            <w:tcW w:w="406" w:type="pct"/>
            <w:tcBorders>
              <w:top w:val="nil"/>
              <w:left w:val="nil"/>
              <w:bottom w:val="nil"/>
              <w:right w:val="nil"/>
            </w:tcBorders>
          </w:tcPr>
          <w:p w14:paraId="4E177E0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0.172</w:t>
            </w:r>
          </w:p>
        </w:tc>
        <w:tc>
          <w:tcPr>
            <w:tcW w:w="406" w:type="pct"/>
            <w:tcBorders>
              <w:top w:val="nil"/>
              <w:left w:val="nil"/>
              <w:bottom w:val="nil"/>
              <w:right w:val="nil"/>
            </w:tcBorders>
          </w:tcPr>
          <w:p w14:paraId="764A46C7"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-0.018</w:t>
            </w:r>
          </w:p>
        </w:tc>
        <w:tc>
          <w:tcPr>
            <w:tcW w:w="406" w:type="pct"/>
            <w:tcBorders>
              <w:top w:val="nil"/>
              <w:left w:val="nil"/>
              <w:bottom w:val="nil"/>
              <w:right w:val="nil"/>
            </w:tcBorders>
          </w:tcPr>
          <w:p w14:paraId="1A8A2CA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0.066</w:t>
            </w:r>
          </w:p>
        </w:tc>
        <w:tc>
          <w:tcPr>
            <w:tcW w:w="407" w:type="pct"/>
            <w:tcBorders>
              <w:top w:val="nil"/>
              <w:left w:val="nil"/>
              <w:bottom w:val="nil"/>
              <w:right w:val="nil"/>
            </w:tcBorders>
          </w:tcPr>
          <w:p w14:paraId="41DF5C3B"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-0.027</w:t>
            </w:r>
          </w:p>
        </w:tc>
        <w:tc>
          <w:tcPr>
            <w:tcW w:w="406" w:type="pct"/>
            <w:tcBorders>
              <w:top w:val="nil"/>
              <w:left w:val="nil"/>
              <w:bottom w:val="nil"/>
              <w:right w:val="nil"/>
            </w:tcBorders>
          </w:tcPr>
          <w:p w14:paraId="30E2164E"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0.032</w:t>
            </w:r>
          </w:p>
        </w:tc>
        <w:tc>
          <w:tcPr>
            <w:tcW w:w="406" w:type="pct"/>
            <w:tcBorders>
              <w:top w:val="nil"/>
              <w:left w:val="nil"/>
              <w:bottom w:val="nil"/>
              <w:right w:val="nil"/>
            </w:tcBorders>
          </w:tcPr>
          <w:p w14:paraId="6C7E8420"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0.033</w:t>
            </w:r>
          </w:p>
        </w:tc>
        <w:tc>
          <w:tcPr>
            <w:tcW w:w="406" w:type="pct"/>
            <w:tcBorders>
              <w:top w:val="nil"/>
              <w:left w:val="nil"/>
              <w:bottom w:val="nil"/>
              <w:right w:val="nil"/>
            </w:tcBorders>
          </w:tcPr>
          <w:p w14:paraId="4C9FBF01"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0.090</w:t>
            </w:r>
          </w:p>
        </w:tc>
        <w:tc>
          <w:tcPr>
            <w:tcW w:w="406" w:type="pct"/>
            <w:tcBorders>
              <w:top w:val="nil"/>
              <w:left w:val="nil"/>
              <w:bottom w:val="nil"/>
              <w:right w:val="nil"/>
            </w:tcBorders>
          </w:tcPr>
          <w:p w14:paraId="276F5B1D"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3CF763AB" w14:textId="77777777" w:rsidTr="00405ED1">
        <w:tc>
          <w:tcPr>
            <w:tcW w:w="530" w:type="pct"/>
            <w:tcBorders>
              <w:top w:val="nil"/>
              <w:left w:val="nil"/>
              <w:bottom w:val="nil"/>
              <w:right w:val="nil"/>
            </w:tcBorders>
          </w:tcPr>
          <w:p w14:paraId="0A9E2884" w14:textId="77777777" w:rsidR="003B6EA4" w:rsidRDefault="003B6EA4" w:rsidP="002D6C4A">
            <w:pPr>
              <w:autoSpaceDE w:val="0"/>
              <w:autoSpaceDN w:val="0"/>
              <w:adjustRightInd w:val="0"/>
              <w:jc w:val="left"/>
              <w:rPr>
                <w:rFonts w:ascii="Garamond" w:hAnsi="Garamond"/>
                <w:kern w:val="0"/>
                <w:sz w:val="20"/>
              </w:rPr>
            </w:pPr>
            <w:r>
              <w:rPr>
                <w:rFonts w:ascii="Garamond" w:hAnsi="Garamond"/>
                <w:kern w:val="0"/>
                <w:sz w:val="20"/>
              </w:rPr>
              <w:t xml:space="preserve"> (11) </w:t>
            </w:r>
            <w:r w:rsidRPr="00FD1F00">
              <w:rPr>
                <w:rFonts w:ascii="Garamond" w:hAnsi="Garamond"/>
                <w:kern w:val="0"/>
                <w:sz w:val="20"/>
              </w:rPr>
              <w:t xml:space="preserve">Return on </w:t>
            </w:r>
            <w:r w:rsidRPr="00FD1F00">
              <w:rPr>
                <w:rFonts w:ascii="Garamond" w:hAnsi="Garamond"/>
                <w:kern w:val="0"/>
                <w:sz w:val="20"/>
              </w:rPr>
              <w:lastRenderedPageBreak/>
              <w:t>assets</w:t>
            </w:r>
          </w:p>
        </w:tc>
        <w:tc>
          <w:tcPr>
            <w:tcW w:w="406" w:type="pct"/>
            <w:tcBorders>
              <w:top w:val="nil"/>
              <w:left w:val="nil"/>
              <w:bottom w:val="nil"/>
              <w:right w:val="nil"/>
            </w:tcBorders>
          </w:tcPr>
          <w:p w14:paraId="7084F5CA"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lastRenderedPageBreak/>
              <w:t>-0.338</w:t>
            </w:r>
          </w:p>
        </w:tc>
        <w:tc>
          <w:tcPr>
            <w:tcW w:w="406" w:type="pct"/>
            <w:tcBorders>
              <w:top w:val="nil"/>
              <w:left w:val="nil"/>
              <w:bottom w:val="nil"/>
              <w:right w:val="nil"/>
            </w:tcBorders>
          </w:tcPr>
          <w:p w14:paraId="37D63C2C"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-0.053</w:t>
            </w:r>
          </w:p>
        </w:tc>
        <w:tc>
          <w:tcPr>
            <w:tcW w:w="406" w:type="pct"/>
            <w:tcBorders>
              <w:top w:val="nil"/>
              <w:left w:val="nil"/>
              <w:bottom w:val="nil"/>
              <w:right w:val="nil"/>
            </w:tcBorders>
          </w:tcPr>
          <w:p w14:paraId="30CF2C24"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-0.025</w:t>
            </w:r>
          </w:p>
        </w:tc>
        <w:tc>
          <w:tcPr>
            <w:tcW w:w="406" w:type="pct"/>
            <w:tcBorders>
              <w:top w:val="nil"/>
              <w:left w:val="nil"/>
              <w:bottom w:val="nil"/>
              <w:right w:val="nil"/>
            </w:tcBorders>
          </w:tcPr>
          <w:p w14:paraId="16DD37D9"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-0.028</w:t>
            </w:r>
          </w:p>
        </w:tc>
        <w:tc>
          <w:tcPr>
            <w:tcW w:w="406" w:type="pct"/>
            <w:tcBorders>
              <w:top w:val="nil"/>
              <w:left w:val="nil"/>
              <w:bottom w:val="nil"/>
              <w:right w:val="nil"/>
            </w:tcBorders>
          </w:tcPr>
          <w:p w14:paraId="3FB44058"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-0.014</w:t>
            </w:r>
          </w:p>
        </w:tc>
        <w:tc>
          <w:tcPr>
            <w:tcW w:w="407" w:type="pct"/>
            <w:tcBorders>
              <w:top w:val="nil"/>
              <w:left w:val="nil"/>
              <w:bottom w:val="nil"/>
              <w:right w:val="nil"/>
            </w:tcBorders>
          </w:tcPr>
          <w:p w14:paraId="011558DF"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-0.151</w:t>
            </w:r>
          </w:p>
        </w:tc>
        <w:tc>
          <w:tcPr>
            <w:tcW w:w="406" w:type="pct"/>
            <w:tcBorders>
              <w:top w:val="nil"/>
              <w:left w:val="nil"/>
              <w:bottom w:val="nil"/>
              <w:right w:val="nil"/>
            </w:tcBorders>
          </w:tcPr>
          <w:p w14:paraId="2AFF21E1"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0.008</w:t>
            </w:r>
          </w:p>
        </w:tc>
        <w:tc>
          <w:tcPr>
            <w:tcW w:w="406" w:type="pct"/>
            <w:tcBorders>
              <w:top w:val="nil"/>
              <w:left w:val="nil"/>
              <w:bottom w:val="nil"/>
              <w:right w:val="nil"/>
            </w:tcBorders>
          </w:tcPr>
          <w:p w14:paraId="18C3776E"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-0.031</w:t>
            </w:r>
          </w:p>
        </w:tc>
        <w:tc>
          <w:tcPr>
            <w:tcW w:w="406" w:type="pct"/>
            <w:tcBorders>
              <w:top w:val="nil"/>
              <w:left w:val="nil"/>
              <w:bottom w:val="nil"/>
              <w:right w:val="nil"/>
            </w:tcBorders>
          </w:tcPr>
          <w:p w14:paraId="1DC968E7"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0.235</w:t>
            </w:r>
          </w:p>
        </w:tc>
        <w:tc>
          <w:tcPr>
            <w:tcW w:w="406" w:type="pct"/>
            <w:tcBorders>
              <w:top w:val="nil"/>
              <w:left w:val="nil"/>
              <w:bottom w:val="nil"/>
              <w:right w:val="nil"/>
            </w:tcBorders>
          </w:tcPr>
          <w:p w14:paraId="52CA2F02"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-0.040</w:t>
            </w:r>
          </w:p>
        </w:tc>
        <w:tc>
          <w:tcPr>
            <w:tcW w:w="406" w:type="pct"/>
            <w:tcBorders>
              <w:top w:val="nil"/>
              <w:left w:val="nil"/>
              <w:bottom w:val="nil"/>
              <w:right w:val="nil"/>
            </w:tcBorders>
          </w:tcPr>
          <w:p w14:paraId="317A540E" w14:textId="77777777" w:rsidR="003B6EA4" w:rsidRDefault="003B6EA4" w:rsidP="002D6C4A">
            <w:pPr>
              <w:autoSpaceDE w:val="0"/>
              <w:autoSpaceDN w:val="0"/>
              <w:adjustRightInd w:val="0"/>
              <w:jc w:val="right"/>
              <w:rPr>
                <w:rFonts w:ascii="Garamond" w:hAnsi="Garamond"/>
                <w:kern w:val="0"/>
                <w:sz w:val="20"/>
              </w:rPr>
            </w:pPr>
            <w:r>
              <w:rPr>
                <w:rFonts w:ascii="Garamond" w:hAnsi="Garamond"/>
                <w:kern w:val="0"/>
                <w:sz w:val="20"/>
              </w:rPr>
              <w:t>1.000</w:t>
            </w:r>
          </w:p>
        </w:tc>
      </w:tr>
      <w:tr w:rsidR="003B6EA4" w14:paraId="0E10980F" w14:textId="77777777" w:rsidTr="00405ED1">
        <w:tc>
          <w:tcPr>
            <w:tcW w:w="5000" w:type="pct"/>
            <w:gridSpan w:val="12"/>
            <w:tcBorders>
              <w:top w:val="single" w:sz="6" w:space="0" w:color="auto"/>
              <w:left w:val="nil"/>
              <w:bottom w:val="nil"/>
              <w:right w:val="nil"/>
            </w:tcBorders>
          </w:tcPr>
          <w:p w14:paraId="79B77501" w14:textId="77777777" w:rsidR="003B6EA4" w:rsidRDefault="003B6EA4" w:rsidP="002D6C4A">
            <w:pPr>
              <w:autoSpaceDE w:val="0"/>
              <w:autoSpaceDN w:val="0"/>
              <w:adjustRightInd w:val="0"/>
              <w:jc w:val="left"/>
              <w:rPr>
                <w:rFonts w:ascii="Garamond" w:hAnsi="Garamond"/>
                <w:kern w:val="0"/>
                <w:sz w:val="20"/>
              </w:rPr>
            </w:pPr>
          </w:p>
        </w:tc>
      </w:tr>
      <w:bookmarkEnd w:id="12"/>
    </w:tbl>
    <w:p w14:paraId="74C115B9" w14:textId="571DD88E" w:rsidR="00B467C0" w:rsidRPr="006B27D9" w:rsidRDefault="00B467C0" w:rsidP="001D67A0">
      <w:pPr>
        <w:widowControl/>
        <w:jc w:val="left"/>
        <w:rPr>
          <w:b/>
          <w:bCs/>
          <w:kern w:val="44"/>
          <w:sz w:val="44"/>
          <w:szCs w:val="44"/>
        </w:rPr>
        <w:sectPr w:rsidR="00B467C0" w:rsidRPr="006B27D9" w:rsidSect="007318BC">
          <w:pgSz w:w="16838" w:h="11906" w:orient="landscape"/>
          <w:pgMar w:top="1800" w:right="1440" w:bottom="1800" w:left="1440" w:header="851" w:footer="992" w:gutter="0"/>
          <w:cols w:space="425"/>
          <w:docGrid w:type="lines" w:linePitch="312"/>
        </w:sectPr>
      </w:pPr>
    </w:p>
    <w:p w14:paraId="2E6B631A" w14:textId="2934C2A3" w:rsidR="001D67A0" w:rsidRDefault="001D67A0" w:rsidP="00450EC6">
      <w:pPr>
        <w:pStyle w:val="v"/>
        <w:rPr>
          <w:b/>
          <w:bCs/>
          <w:sz w:val="28"/>
          <w:szCs w:val="24"/>
        </w:rPr>
      </w:pPr>
      <w:r w:rsidRPr="0053193B">
        <w:rPr>
          <w:rFonts w:hint="eastAsia"/>
        </w:rPr>
        <w:lastRenderedPageBreak/>
        <w:t xml:space="preserve">Table </w:t>
      </w:r>
      <w:r>
        <w:t xml:space="preserve">2 </w:t>
      </w:r>
      <w:r w:rsidRPr="0053193B">
        <w:rPr>
          <w:rFonts w:hint="eastAsia"/>
        </w:rPr>
        <w:t xml:space="preserve">reports the results of the correlation analysis matrix for </w:t>
      </w:r>
      <w:r>
        <w:rPr>
          <w:rFonts w:hint="eastAsia"/>
        </w:rPr>
        <w:t xml:space="preserve">the variables used in this paper. In addition, this paper examined the covariance of the independent </w:t>
      </w:r>
      <w:r w:rsidRPr="0053193B">
        <w:rPr>
          <w:rFonts w:hint="eastAsia"/>
        </w:rPr>
        <w:t xml:space="preserve">variables and </w:t>
      </w:r>
      <w:r>
        <w:rPr>
          <w:rFonts w:hint="eastAsia"/>
        </w:rPr>
        <w:t xml:space="preserve">found that the </w:t>
      </w:r>
      <w:r w:rsidRPr="0053193B">
        <w:rPr>
          <w:rFonts w:hint="eastAsia"/>
        </w:rPr>
        <w:t xml:space="preserve">VIF coefficients were all below 3 and much less than 10, </w:t>
      </w:r>
      <w:r>
        <w:rPr>
          <w:rFonts w:hint="eastAsia"/>
        </w:rPr>
        <w:t xml:space="preserve">so there was </w:t>
      </w:r>
      <w:r w:rsidRPr="0053193B">
        <w:rPr>
          <w:rFonts w:hint="eastAsia"/>
        </w:rPr>
        <w:t xml:space="preserve">no problem </w:t>
      </w:r>
      <w:r w:rsidR="00F9271A">
        <w:t>with</w:t>
      </w:r>
      <w:r w:rsidRPr="0053193B">
        <w:rPr>
          <w:rFonts w:hint="eastAsia"/>
        </w:rPr>
        <w:t xml:space="preserve"> multicollinearity.</w:t>
      </w:r>
    </w:p>
    <w:p w14:paraId="68C5B0E3" w14:textId="7B802349" w:rsidR="001D67A0" w:rsidRDefault="00AE326D" w:rsidP="001D67A0">
      <w:pPr>
        <w:pStyle w:val="2"/>
      </w:pPr>
      <w:bookmarkStart w:id="13" w:name="_Toc82596215"/>
      <w:r>
        <w:t>4</w:t>
      </w:r>
      <w:r w:rsidR="001D67A0" w:rsidRPr="00DE1703">
        <w:t>.</w:t>
      </w:r>
      <w:r w:rsidR="001D67A0" w:rsidRPr="00DE1703">
        <w:rPr>
          <w:rFonts w:hint="eastAsia"/>
        </w:rPr>
        <w:t>3 Regression analysis</w:t>
      </w:r>
      <w:bookmarkEnd w:id="13"/>
    </w:p>
    <w:p w14:paraId="031FE982" w14:textId="2C77B234" w:rsidR="001D67A0" w:rsidRDefault="00AE326D" w:rsidP="001D67A0">
      <w:r>
        <w:rPr>
          <w:sz w:val="18"/>
          <w:szCs w:val="18"/>
        </w:rPr>
        <w:t>4</w:t>
      </w:r>
      <w:r w:rsidR="001D67A0" w:rsidRPr="00117EF4">
        <w:rPr>
          <w:sz w:val="18"/>
          <w:szCs w:val="18"/>
        </w:rPr>
        <w:t xml:space="preserve">.3.1 </w:t>
      </w:r>
      <w:r w:rsidR="001D67A0" w:rsidRPr="00117EF4">
        <w:rPr>
          <w:rFonts w:hint="eastAsia"/>
          <w:sz w:val="18"/>
          <w:szCs w:val="18"/>
        </w:rPr>
        <w:t xml:space="preserve">Analysis of regression results on </w:t>
      </w:r>
      <w:r w:rsidR="001D67A0" w:rsidRPr="000A432F">
        <w:rPr>
          <w:rFonts w:hint="eastAsia"/>
          <w:sz w:val="18"/>
          <w:szCs w:val="18"/>
        </w:rPr>
        <w:t xml:space="preserve">functional background, educational </w:t>
      </w:r>
      <w:r w:rsidR="001D67A0">
        <w:rPr>
          <w:rFonts w:hint="eastAsia"/>
          <w:sz w:val="18"/>
          <w:szCs w:val="18"/>
        </w:rPr>
        <w:t xml:space="preserve">heterogeneity of the </w:t>
      </w:r>
      <w:r w:rsidR="003B6B7A">
        <w:rPr>
          <w:rFonts w:hint="eastAsia"/>
          <w:sz w:val="18"/>
          <w:szCs w:val="18"/>
        </w:rPr>
        <w:t>TMT</w:t>
      </w:r>
      <w:r w:rsidR="00F9271A">
        <w:rPr>
          <w:sz w:val="18"/>
          <w:szCs w:val="18"/>
        </w:rPr>
        <w:t>,</w:t>
      </w:r>
      <w:r w:rsidR="001D67A0">
        <w:rPr>
          <w:rFonts w:hint="eastAsia"/>
          <w:sz w:val="18"/>
          <w:szCs w:val="18"/>
        </w:rPr>
        <w:t xml:space="preserve"> and </w:t>
      </w:r>
      <w:r w:rsidR="00EA4460">
        <w:rPr>
          <w:rFonts w:hint="eastAsia"/>
          <w:sz w:val="18"/>
          <w:szCs w:val="18"/>
        </w:rPr>
        <w:t>corporate performance</w:t>
      </w:r>
      <w:r w:rsidR="001D67A0" w:rsidRPr="00117EF4">
        <w:rPr>
          <w:rFonts w:hint="eastAsia"/>
          <w:sz w:val="18"/>
          <w:szCs w:val="18"/>
        </w:rPr>
        <w:t>.</w:t>
      </w:r>
    </w:p>
    <w:p w14:paraId="7A4DC90F" w14:textId="53291D50" w:rsidR="001D67A0" w:rsidRDefault="001D67A0" w:rsidP="001D67A0">
      <w:pPr>
        <w:pStyle w:val="v1"/>
      </w:pPr>
      <w:r w:rsidRPr="000C4F14">
        <w:rPr>
          <w:rFonts w:hint="eastAsia"/>
        </w:rPr>
        <w:t xml:space="preserve">Table </w:t>
      </w:r>
      <w:r>
        <w:t>4</w:t>
      </w:r>
      <w:r w:rsidRPr="000C4F14">
        <w:rPr>
          <w:rFonts w:hint="eastAsia"/>
        </w:rPr>
        <w:t xml:space="preserve">: Regression results of </w:t>
      </w:r>
      <w:r>
        <w:rPr>
          <w:rFonts w:hint="eastAsia"/>
        </w:rPr>
        <w:t xml:space="preserve">functional </w:t>
      </w:r>
      <w:r w:rsidRPr="000C4F14">
        <w:rPr>
          <w:rFonts w:hint="eastAsia"/>
        </w:rPr>
        <w:t>background</w:t>
      </w:r>
      <w:r>
        <w:rPr>
          <w:rFonts w:hint="eastAsia"/>
        </w:rPr>
        <w:t xml:space="preserve">, educational </w:t>
      </w:r>
      <w:r w:rsidRPr="000C4F14">
        <w:rPr>
          <w:rFonts w:hint="eastAsia"/>
        </w:rPr>
        <w:t xml:space="preserve">heterogeneity of the </w:t>
      </w:r>
      <w:r w:rsidR="003B6B7A">
        <w:rPr>
          <w:rFonts w:hint="eastAsia"/>
        </w:rPr>
        <w:t>TMT</w:t>
      </w:r>
      <w:r w:rsidRPr="000C4F14">
        <w:rPr>
          <w:rFonts w:hint="eastAsia"/>
        </w:rPr>
        <w:t xml:space="preserve"> and </w:t>
      </w:r>
      <w:r w:rsidR="00EA4460">
        <w:rPr>
          <w:rFonts w:hint="eastAsia"/>
        </w:rPr>
        <w:t>corporate performance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93"/>
        <w:gridCol w:w="1013"/>
        <w:gridCol w:w="1028"/>
      </w:tblGrid>
      <w:tr w:rsidR="00A63D7D" w14:paraId="7723ADA0" w14:textId="77777777" w:rsidTr="00696C79">
        <w:trPr>
          <w:tblCellSpacing w:w="15" w:type="dxa"/>
          <w:jc w:val="center"/>
        </w:trPr>
        <w:tc>
          <w:tcPr>
            <w:tcW w:w="0" w:type="auto"/>
            <w:tcBorders>
              <w:top w:val="single" w:sz="4" w:space="0" w:color="auto"/>
              <w:bottom w:val="single" w:sz="4" w:space="0" w:color="auto"/>
            </w:tcBorders>
            <w:vAlign w:val="center"/>
            <w:hideMark/>
          </w:tcPr>
          <w:p w14:paraId="7A89A213" w14:textId="77777777" w:rsidR="00A63D7D" w:rsidRDefault="00A63D7D" w:rsidP="004A6EFC">
            <w:pPr>
              <w:widowControl/>
              <w:jc w:val="left"/>
              <w:rPr>
                <w:rFonts w:eastAsia="Times New Roman"/>
                <w:sz w:val="20"/>
              </w:rPr>
            </w:pPr>
          </w:p>
        </w:tc>
        <w:tc>
          <w:tcPr>
            <w:tcW w:w="0" w:type="auto"/>
            <w:gridSpan w:val="2"/>
            <w:tcBorders>
              <w:top w:val="single" w:sz="4" w:space="0" w:color="auto"/>
              <w:bottom w:val="single" w:sz="4" w:space="0" w:color="auto"/>
            </w:tcBorders>
            <w:vAlign w:val="center"/>
            <w:hideMark/>
          </w:tcPr>
          <w:p w14:paraId="0D1B9B5B" w14:textId="55899144" w:rsidR="00A63D7D" w:rsidRDefault="005169B6" w:rsidP="002D6C4A">
            <w:pPr>
              <w:jc w:val="center"/>
              <w:rPr>
                <w:rFonts w:eastAsia="Times New Roman"/>
                <w:sz w:val="24"/>
                <w:szCs w:val="24"/>
              </w:rPr>
            </w:pPr>
            <w:r>
              <w:rPr>
                <w:rFonts w:eastAsia="Times New Roman"/>
              </w:rPr>
              <w:t>Corporate Performance</w:t>
            </w:r>
          </w:p>
        </w:tc>
      </w:tr>
      <w:tr w:rsidR="00A63D7D" w14:paraId="5FAB6711" w14:textId="77777777" w:rsidTr="00696C79">
        <w:trPr>
          <w:tblCellSpacing w:w="15" w:type="dxa"/>
          <w:jc w:val="center"/>
        </w:trPr>
        <w:tc>
          <w:tcPr>
            <w:tcW w:w="0" w:type="auto"/>
            <w:vAlign w:val="center"/>
            <w:hideMark/>
          </w:tcPr>
          <w:p w14:paraId="10DB8228" w14:textId="5303029C" w:rsidR="00A63D7D" w:rsidRDefault="005169B6" w:rsidP="002D6C4A">
            <w:pPr>
              <w:jc w:val="left"/>
              <w:rPr>
                <w:rFonts w:eastAsia="Times New Roman"/>
                <w:sz w:val="24"/>
                <w:szCs w:val="24"/>
              </w:rPr>
            </w:pPr>
            <w:r>
              <w:rPr>
                <w:rFonts w:eastAsia="Times New Roman"/>
              </w:rPr>
              <w:t>Functional background heterogeneity</w:t>
            </w:r>
          </w:p>
        </w:tc>
        <w:tc>
          <w:tcPr>
            <w:tcW w:w="0" w:type="auto"/>
            <w:vAlign w:val="center"/>
            <w:hideMark/>
          </w:tcPr>
          <w:p w14:paraId="501CEA35" w14:textId="77777777" w:rsidR="00A63D7D" w:rsidRDefault="00A63D7D" w:rsidP="002D6C4A">
            <w:pPr>
              <w:jc w:val="center"/>
              <w:rPr>
                <w:rFonts w:eastAsia="Times New Roman"/>
              </w:rPr>
            </w:pPr>
            <w:r>
              <w:rPr>
                <w:rFonts w:eastAsia="Times New Roman"/>
              </w:rPr>
              <w:t>0.17</w:t>
            </w:r>
            <w:r>
              <w:rPr>
                <w:rFonts w:eastAsia="Times New Roman"/>
                <w:vertAlign w:val="superscript"/>
              </w:rPr>
              <w:t>**</w:t>
            </w:r>
          </w:p>
        </w:tc>
        <w:tc>
          <w:tcPr>
            <w:tcW w:w="0" w:type="auto"/>
            <w:vAlign w:val="center"/>
            <w:hideMark/>
          </w:tcPr>
          <w:p w14:paraId="0051DD82" w14:textId="77777777" w:rsidR="00A63D7D" w:rsidRDefault="00A63D7D" w:rsidP="002D6C4A">
            <w:pPr>
              <w:jc w:val="center"/>
              <w:rPr>
                <w:rFonts w:eastAsia="Times New Roman"/>
              </w:rPr>
            </w:pPr>
          </w:p>
        </w:tc>
      </w:tr>
      <w:tr w:rsidR="00A63D7D" w14:paraId="5E4F1BBD" w14:textId="77777777" w:rsidTr="00696C79">
        <w:trPr>
          <w:tblCellSpacing w:w="15" w:type="dxa"/>
          <w:jc w:val="center"/>
        </w:trPr>
        <w:tc>
          <w:tcPr>
            <w:tcW w:w="0" w:type="auto"/>
            <w:vAlign w:val="center"/>
            <w:hideMark/>
          </w:tcPr>
          <w:p w14:paraId="4D9DE2C6" w14:textId="77777777" w:rsidR="00A63D7D" w:rsidRDefault="00A63D7D" w:rsidP="002D6C4A">
            <w:pPr>
              <w:jc w:val="center"/>
              <w:rPr>
                <w:rFonts w:eastAsia="Times New Roman"/>
                <w:sz w:val="20"/>
              </w:rPr>
            </w:pPr>
          </w:p>
        </w:tc>
        <w:tc>
          <w:tcPr>
            <w:tcW w:w="0" w:type="auto"/>
            <w:vAlign w:val="center"/>
            <w:hideMark/>
          </w:tcPr>
          <w:p w14:paraId="3D11A7DD" w14:textId="6395751D" w:rsidR="00A63D7D" w:rsidRDefault="00A93D12" w:rsidP="002D6C4A">
            <w:pPr>
              <w:jc w:val="center"/>
              <w:rPr>
                <w:rFonts w:eastAsia="Times New Roman"/>
                <w:sz w:val="24"/>
                <w:szCs w:val="24"/>
              </w:rPr>
            </w:pPr>
            <w:r>
              <w:rPr>
                <w:rFonts w:eastAsia="Times New Roman"/>
              </w:rPr>
              <w:t>(</w:t>
            </w:r>
            <w:r w:rsidR="00A63D7D">
              <w:rPr>
                <w:rFonts w:eastAsia="Times New Roman"/>
              </w:rPr>
              <w:t>2.48</w:t>
            </w:r>
            <w:r>
              <w:rPr>
                <w:rFonts w:eastAsia="Times New Roman"/>
              </w:rPr>
              <w:t>)</w:t>
            </w:r>
          </w:p>
        </w:tc>
        <w:tc>
          <w:tcPr>
            <w:tcW w:w="0" w:type="auto"/>
            <w:vAlign w:val="center"/>
            <w:hideMark/>
          </w:tcPr>
          <w:p w14:paraId="69618C45" w14:textId="77777777" w:rsidR="00A63D7D" w:rsidRDefault="00A63D7D" w:rsidP="002D6C4A">
            <w:pPr>
              <w:jc w:val="center"/>
              <w:rPr>
                <w:rFonts w:eastAsia="Times New Roman"/>
              </w:rPr>
            </w:pPr>
          </w:p>
        </w:tc>
      </w:tr>
      <w:tr w:rsidR="00A63D7D" w14:paraId="5E75C32A" w14:textId="77777777" w:rsidTr="00696C79">
        <w:trPr>
          <w:tblCellSpacing w:w="15" w:type="dxa"/>
          <w:jc w:val="center"/>
        </w:trPr>
        <w:tc>
          <w:tcPr>
            <w:tcW w:w="0" w:type="auto"/>
            <w:vAlign w:val="center"/>
            <w:hideMark/>
          </w:tcPr>
          <w:p w14:paraId="1BE81859" w14:textId="50C49CD8" w:rsidR="00A63D7D" w:rsidRPr="0001030F" w:rsidRDefault="00A63D7D" w:rsidP="002D6C4A">
            <w:pPr>
              <w:jc w:val="left"/>
              <w:rPr>
                <w:rFonts w:eastAsia="Times New Roman"/>
                <w:sz w:val="24"/>
                <w:szCs w:val="24"/>
                <w:vertAlign w:val="superscript"/>
              </w:rPr>
            </w:pPr>
            <w:proofErr w:type="gramStart"/>
            <w:r>
              <w:rPr>
                <w:rFonts w:eastAsia="Times New Roman"/>
              </w:rPr>
              <w:t>I(</w:t>
            </w:r>
            <w:proofErr w:type="gramEnd"/>
            <w:r w:rsidR="005169B6">
              <w:rPr>
                <w:rFonts w:eastAsia="Times New Roman"/>
              </w:rPr>
              <w:t>Functional background heterogeneity</w:t>
            </w:r>
            <w:r>
              <w:rPr>
                <w:rFonts w:eastAsia="Times New Roman"/>
              </w:rPr>
              <w:t>)</w:t>
            </w:r>
            <w:r w:rsidR="0001030F">
              <w:rPr>
                <w:rFonts w:eastAsia="Times New Roman"/>
                <w:vertAlign w:val="superscript"/>
              </w:rPr>
              <w:t>2</w:t>
            </w:r>
          </w:p>
        </w:tc>
        <w:tc>
          <w:tcPr>
            <w:tcW w:w="0" w:type="auto"/>
            <w:vAlign w:val="center"/>
            <w:hideMark/>
          </w:tcPr>
          <w:p w14:paraId="31FADD62" w14:textId="77777777" w:rsidR="00A63D7D" w:rsidRDefault="00A63D7D" w:rsidP="002D6C4A">
            <w:pPr>
              <w:jc w:val="center"/>
              <w:rPr>
                <w:rFonts w:eastAsia="Times New Roman"/>
              </w:rPr>
            </w:pPr>
            <w:r>
              <w:rPr>
                <w:rFonts w:eastAsia="Times New Roman"/>
              </w:rPr>
              <w:t>-0.17</w:t>
            </w:r>
            <w:r>
              <w:rPr>
                <w:rFonts w:eastAsia="Times New Roman"/>
                <w:vertAlign w:val="superscript"/>
              </w:rPr>
              <w:t>***</w:t>
            </w:r>
          </w:p>
        </w:tc>
        <w:tc>
          <w:tcPr>
            <w:tcW w:w="0" w:type="auto"/>
            <w:vAlign w:val="center"/>
            <w:hideMark/>
          </w:tcPr>
          <w:p w14:paraId="000BC449" w14:textId="77777777" w:rsidR="00A63D7D" w:rsidRDefault="00A63D7D" w:rsidP="002D6C4A">
            <w:pPr>
              <w:jc w:val="center"/>
              <w:rPr>
                <w:rFonts w:eastAsia="Times New Roman"/>
              </w:rPr>
            </w:pPr>
          </w:p>
        </w:tc>
      </w:tr>
      <w:tr w:rsidR="00A63D7D" w14:paraId="4336A667" w14:textId="77777777" w:rsidTr="00696C79">
        <w:trPr>
          <w:tblCellSpacing w:w="15" w:type="dxa"/>
          <w:jc w:val="center"/>
        </w:trPr>
        <w:tc>
          <w:tcPr>
            <w:tcW w:w="0" w:type="auto"/>
            <w:vAlign w:val="center"/>
            <w:hideMark/>
          </w:tcPr>
          <w:p w14:paraId="66CD0743" w14:textId="77777777" w:rsidR="00A63D7D" w:rsidRDefault="00A63D7D" w:rsidP="002D6C4A">
            <w:pPr>
              <w:jc w:val="center"/>
              <w:rPr>
                <w:rFonts w:eastAsia="Times New Roman"/>
                <w:sz w:val="20"/>
              </w:rPr>
            </w:pPr>
          </w:p>
        </w:tc>
        <w:tc>
          <w:tcPr>
            <w:tcW w:w="0" w:type="auto"/>
            <w:vAlign w:val="center"/>
            <w:hideMark/>
          </w:tcPr>
          <w:p w14:paraId="629C771F" w14:textId="4E7B71E7" w:rsidR="00A63D7D" w:rsidRDefault="00A93D12" w:rsidP="002D6C4A">
            <w:pPr>
              <w:jc w:val="center"/>
              <w:rPr>
                <w:rFonts w:eastAsia="Times New Roman"/>
                <w:sz w:val="24"/>
                <w:szCs w:val="24"/>
              </w:rPr>
            </w:pPr>
            <w:r>
              <w:rPr>
                <w:rFonts w:eastAsia="Times New Roman"/>
              </w:rPr>
              <w:t>(</w:t>
            </w:r>
            <w:r w:rsidR="00A63D7D">
              <w:rPr>
                <w:rFonts w:eastAsia="Times New Roman"/>
              </w:rPr>
              <w:t>-2.60</w:t>
            </w:r>
            <w:r>
              <w:rPr>
                <w:rFonts w:eastAsia="Times New Roman"/>
              </w:rPr>
              <w:t>)</w:t>
            </w:r>
          </w:p>
        </w:tc>
        <w:tc>
          <w:tcPr>
            <w:tcW w:w="0" w:type="auto"/>
            <w:vAlign w:val="center"/>
            <w:hideMark/>
          </w:tcPr>
          <w:p w14:paraId="2792BBAD" w14:textId="77777777" w:rsidR="00A63D7D" w:rsidRDefault="00A63D7D" w:rsidP="002D6C4A">
            <w:pPr>
              <w:jc w:val="center"/>
              <w:rPr>
                <w:rFonts w:eastAsia="Times New Roman"/>
              </w:rPr>
            </w:pPr>
          </w:p>
        </w:tc>
      </w:tr>
      <w:tr w:rsidR="00A63D7D" w14:paraId="48ECD41C" w14:textId="77777777" w:rsidTr="00696C79">
        <w:trPr>
          <w:tblCellSpacing w:w="15" w:type="dxa"/>
          <w:jc w:val="center"/>
        </w:trPr>
        <w:tc>
          <w:tcPr>
            <w:tcW w:w="0" w:type="auto"/>
            <w:vAlign w:val="center"/>
            <w:hideMark/>
          </w:tcPr>
          <w:p w14:paraId="229A8CFE" w14:textId="183C0288" w:rsidR="00A63D7D" w:rsidRDefault="005169B6" w:rsidP="002D6C4A">
            <w:pPr>
              <w:jc w:val="left"/>
              <w:rPr>
                <w:rFonts w:eastAsia="Times New Roman"/>
                <w:sz w:val="24"/>
                <w:szCs w:val="24"/>
              </w:rPr>
            </w:pPr>
            <w:r>
              <w:rPr>
                <w:rFonts w:eastAsia="Times New Roman"/>
              </w:rPr>
              <w:t>Education heterogeneity</w:t>
            </w:r>
          </w:p>
        </w:tc>
        <w:tc>
          <w:tcPr>
            <w:tcW w:w="0" w:type="auto"/>
            <w:vAlign w:val="center"/>
            <w:hideMark/>
          </w:tcPr>
          <w:p w14:paraId="1E1FC25E" w14:textId="77777777" w:rsidR="00A63D7D" w:rsidRDefault="00A63D7D" w:rsidP="002D6C4A">
            <w:pPr>
              <w:rPr>
                <w:rFonts w:eastAsia="Times New Roman"/>
              </w:rPr>
            </w:pPr>
          </w:p>
        </w:tc>
        <w:tc>
          <w:tcPr>
            <w:tcW w:w="0" w:type="auto"/>
            <w:vAlign w:val="center"/>
            <w:hideMark/>
          </w:tcPr>
          <w:p w14:paraId="43705EAC" w14:textId="77777777" w:rsidR="00A63D7D" w:rsidRDefault="00A63D7D" w:rsidP="002D6C4A">
            <w:pPr>
              <w:jc w:val="center"/>
              <w:rPr>
                <w:rFonts w:eastAsia="Times New Roman"/>
                <w:sz w:val="24"/>
                <w:szCs w:val="24"/>
              </w:rPr>
            </w:pPr>
            <w:r>
              <w:rPr>
                <w:rFonts w:eastAsia="Times New Roman"/>
              </w:rPr>
              <w:t>0.10</w:t>
            </w:r>
            <w:r>
              <w:rPr>
                <w:rFonts w:eastAsia="Times New Roman"/>
                <w:vertAlign w:val="superscript"/>
              </w:rPr>
              <w:t>***</w:t>
            </w:r>
          </w:p>
        </w:tc>
      </w:tr>
      <w:tr w:rsidR="00A63D7D" w14:paraId="6CE8695A" w14:textId="77777777" w:rsidTr="00696C79">
        <w:trPr>
          <w:tblCellSpacing w:w="15" w:type="dxa"/>
          <w:jc w:val="center"/>
        </w:trPr>
        <w:tc>
          <w:tcPr>
            <w:tcW w:w="0" w:type="auto"/>
            <w:vAlign w:val="center"/>
            <w:hideMark/>
          </w:tcPr>
          <w:p w14:paraId="40921807" w14:textId="77777777" w:rsidR="00A63D7D" w:rsidRDefault="00A63D7D" w:rsidP="002D6C4A">
            <w:pPr>
              <w:jc w:val="center"/>
              <w:rPr>
                <w:rFonts w:eastAsia="Times New Roman"/>
              </w:rPr>
            </w:pPr>
          </w:p>
        </w:tc>
        <w:tc>
          <w:tcPr>
            <w:tcW w:w="0" w:type="auto"/>
            <w:vAlign w:val="center"/>
            <w:hideMark/>
          </w:tcPr>
          <w:p w14:paraId="3FB0A6ED" w14:textId="77777777" w:rsidR="00A63D7D" w:rsidRDefault="00A63D7D" w:rsidP="002D6C4A">
            <w:pPr>
              <w:rPr>
                <w:rFonts w:eastAsia="Times New Roman"/>
                <w:sz w:val="20"/>
              </w:rPr>
            </w:pPr>
          </w:p>
        </w:tc>
        <w:tc>
          <w:tcPr>
            <w:tcW w:w="0" w:type="auto"/>
            <w:vAlign w:val="center"/>
            <w:hideMark/>
          </w:tcPr>
          <w:p w14:paraId="77009887" w14:textId="70CD9CA8" w:rsidR="00A63D7D" w:rsidRDefault="00A93D12" w:rsidP="002D6C4A">
            <w:pPr>
              <w:jc w:val="center"/>
              <w:rPr>
                <w:rFonts w:eastAsia="Times New Roman"/>
                <w:sz w:val="24"/>
                <w:szCs w:val="24"/>
              </w:rPr>
            </w:pPr>
            <w:r>
              <w:rPr>
                <w:rFonts w:eastAsia="Times New Roman"/>
              </w:rPr>
              <w:t>(</w:t>
            </w:r>
            <w:r w:rsidR="00A63D7D">
              <w:rPr>
                <w:rFonts w:eastAsia="Times New Roman"/>
              </w:rPr>
              <w:t>2.83</w:t>
            </w:r>
            <w:r>
              <w:rPr>
                <w:rFonts w:eastAsia="Times New Roman"/>
              </w:rPr>
              <w:t>)</w:t>
            </w:r>
          </w:p>
        </w:tc>
      </w:tr>
      <w:tr w:rsidR="00A63D7D" w14:paraId="067C6B85" w14:textId="77777777" w:rsidTr="00696C79">
        <w:trPr>
          <w:tblCellSpacing w:w="15" w:type="dxa"/>
          <w:jc w:val="center"/>
        </w:trPr>
        <w:tc>
          <w:tcPr>
            <w:tcW w:w="0" w:type="auto"/>
            <w:vAlign w:val="center"/>
            <w:hideMark/>
          </w:tcPr>
          <w:p w14:paraId="2B1E9AB5" w14:textId="0E6AFBD2" w:rsidR="00A63D7D" w:rsidRDefault="00A63D7D" w:rsidP="002D6C4A">
            <w:pPr>
              <w:jc w:val="left"/>
              <w:rPr>
                <w:rFonts w:eastAsia="Times New Roman"/>
              </w:rPr>
            </w:pPr>
            <w:proofErr w:type="gramStart"/>
            <w:r>
              <w:rPr>
                <w:rFonts w:eastAsia="Times New Roman"/>
              </w:rPr>
              <w:t>I(</w:t>
            </w:r>
            <w:proofErr w:type="gramEnd"/>
            <w:r w:rsidR="005169B6">
              <w:rPr>
                <w:rFonts w:eastAsia="Times New Roman"/>
              </w:rPr>
              <w:t>Education heterogeneity</w:t>
            </w:r>
            <w:r>
              <w:rPr>
                <w:rFonts w:eastAsia="Times New Roman"/>
              </w:rPr>
              <w:t>)</w:t>
            </w:r>
            <w:r w:rsidR="0001030F">
              <w:rPr>
                <w:rFonts w:eastAsia="Times New Roman"/>
                <w:vertAlign w:val="superscript"/>
              </w:rPr>
              <w:t xml:space="preserve"> 2</w:t>
            </w:r>
          </w:p>
        </w:tc>
        <w:tc>
          <w:tcPr>
            <w:tcW w:w="0" w:type="auto"/>
            <w:vAlign w:val="center"/>
            <w:hideMark/>
          </w:tcPr>
          <w:p w14:paraId="5021D2B7" w14:textId="77777777" w:rsidR="00A63D7D" w:rsidRDefault="00A63D7D" w:rsidP="002D6C4A">
            <w:pPr>
              <w:rPr>
                <w:rFonts w:eastAsia="Times New Roman"/>
              </w:rPr>
            </w:pPr>
          </w:p>
        </w:tc>
        <w:tc>
          <w:tcPr>
            <w:tcW w:w="0" w:type="auto"/>
            <w:vAlign w:val="center"/>
            <w:hideMark/>
          </w:tcPr>
          <w:p w14:paraId="3C9DA2D4" w14:textId="77777777" w:rsidR="00A63D7D" w:rsidRDefault="00A63D7D" w:rsidP="002D6C4A">
            <w:pPr>
              <w:jc w:val="center"/>
              <w:rPr>
                <w:rFonts w:eastAsia="Times New Roman"/>
                <w:sz w:val="24"/>
                <w:szCs w:val="24"/>
              </w:rPr>
            </w:pPr>
            <w:r>
              <w:rPr>
                <w:rFonts w:eastAsia="Times New Roman"/>
              </w:rPr>
              <w:t>-0.11</w:t>
            </w:r>
            <w:r>
              <w:rPr>
                <w:rFonts w:eastAsia="Times New Roman"/>
                <w:vertAlign w:val="superscript"/>
              </w:rPr>
              <w:t>**</w:t>
            </w:r>
          </w:p>
        </w:tc>
      </w:tr>
      <w:tr w:rsidR="00A63D7D" w14:paraId="75A036AD" w14:textId="77777777" w:rsidTr="00696C79">
        <w:trPr>
          <w:tblCellSpacing w:w="15" w:type="dxa"/>
          <w:jc w:val="center"/>
        </w:trPr>
        <w:tc>
          <w:tcPr>
            <w:tcW w:w="0" w:type="auto"/>
            <w:vAlign w:val="center"/>
            <w:hideMark/>
          </w:tcPr>
          <w:p w14:paraId="6E35923F" w14:textId="77777777" w:rsidR="00A63D7D" w:rsidRDefault="00A63D7D" w:rsidP="002D6C4A">
            <w:pPr>
              <w:jc w:val="center"/>
              <w:rPr>
                <w:rFonts w:eastAsia="Times New Roman"/>
              </w:rPr>
            </w:pPr>
          </w:p>
        </w:tc>
        <w:tc>
          <w:tcPr>
            <w:tcW w:w="0" w:type="auto"/>
            <w:vAlign w:val="center"/>
            <w:hideMark/>
          </w:tcPr>
          <w:p w14:paraId="18387F4A" w14:textId="77777777" w:rsidR="00A63D7D" w:rsidRDefault="00A63D7D" w:rsidP="002D6C4A">
            <w:pPr>
              <w:rPr>
                <w:rFonts w:eastAsia="Times New Roman"/>
                <w:sz w:val="20"/>
              </w:rPr>
            </w:pPr>
          </w:p>
        </w:tc>
        <w:tc>
          <w:tcPr>
            <w:tcW w:w="0" w:type="auto"/>
            <w:vAlign w:val="center"/>
            <w:hideMark/>
          </w:tcPr>
          <w:p w14:paraId="4A77EBDC" w14:textId="1AFFCEE5" w:rsidR="00A63D7D" w:rsidRDefault="00A93D12" w:rsidP="002D6C4A">
            <w:pPr>
              <w:jc w:val="center"/>
              <w:rPr>
                <w:rFonts w:eastAsia="Times New Roman"/>
                <w:sz w:val="24"/>
                <w:szCs w:val="24"/>
              </w:rPr>
            </w:pPr>
            <w:r>
              <w:rPr>
                <w:rFonts w:eastAsia="Times New Roman"/>
              </w:rPr>
              <w:t>(</w:t>
            </w:r>
            <w:r w:rsidR="00A63D7D">
              <w:rPr>
                <w:rFonts w:eastAsia="Times New Roman"/>
              </w:rPr>
              <w:t>-2.36</w:t>
            </w:r>
            <w:r>
              <w:rPr>
                <w:rFonts w:eastAsia="Times New Roman"/>
              </w:rPr>
              <w:t>)</w:t>
            </w:r>
          </w:p>
        </w:tc>
      </w:tr>
      <w:tr w:rsidR="00A63D7D" w14:paraId="578372F0" w14:textId="77777777" w:rsidTr="00696C79">
        <w:trPr>
          <w:tblCellSpacing w:w="15" w:type="dxa"/>
          <w:jc w:val="center"/>
        </w:trPr>
        <w:tc>
          <w:tcPr>
            <w:tcW w:w="0" w:type="auto"/>
            <w:vAlign w:val="center"/>
            <w:hideMark/>
          </w:tcPr>
          <w:p w14:paraId="1E5E904C" w14:textId="497DF37F" w:rsidR="00A63D7D" w:rsidRDefault="005169B6" w:rsidP="002D6C4A">
            <w:pPr>
              <w:jc w:val="left"/>
              <w:rPr>
                <w:rFonts w:eastAsia="Times New Roman"/>
              </w:rPr>
            </w:pPr>
            <w:r>
              <w:rPr>
                <w:rFonts w:eastAsia="Times New Roman"/>
              </w:rPr>
              <w:t>debt to asset ratio</w:t>
            </w:r>
          </w:p>
        </w:tc>
        <w:tc>
          <w:tcPr>
            <w:tcW w:w="0" w:type="auto"/>
            <w:vAlign w:val="center"/>
            <w:hideMark/>
          </w:tcPr>
          <w:p w14:paraId="2CD27A6B" w14:textId="77777777" w:rsidR="00A63D7D" w:rsidRDefault="00A63D7D" w:rsidP="002D6C4A">
            <w:pPr>
              <w:jc w:val="center"/>
              <w:rPr>
                <w:rFonts w:eastAsia="Times New Roman"/>
              </w:rPr>
            </w:pPr>
            <w:r>
              <w:rPr>
                <w:rFonts w:eastAsia="Times New Roman"/>
              </w:rPr>
              <w:t>0.12</w:t>
            </w:r>
            <w:r>
              <w:rPr>
                <w:rFonts w:eastAsia="Times New Roman"/>
                <w:vertAlign w:val="superscript"/>
              </w:rPr>
              <w:t>***</w:t>
            </w:r>
          </w:p>
        </w:tc>
        <w:tc>
          <w:tcPr>
            <w:tcW w:w="0" w:type="auto"/>
            <w:vAlign w:val="center"/>
            <w:hideMark/>
          </w:tcPr>
          <w:p w14:paraId="21AF274D" w14:textId="77777777" w:rsidR="00A63D7D" w:rsidRDefault="00A63D7D" w:rsidP="002D6C4A">
            <w:pPr>
              <w:jc w:val="center"/>
              <w:rPr>
                <w:rFonts w:eastAsia="Times New Roman"/>
              </w:rPr>
            </w:pPr>
            <w:r>
              <w:rPr>
                <w:rFonts w:eastAsia="Times New Roman"/>
              </w:rPr>
              <w:t>0.13</w:t>
            </w:r>
            <w:r>
              <w:rPr>
                <w:rFonts w:eastAsia="Times New Roman"/>
                <w:vertAlign w:val="superscript"/>
              </w:rPr>
              <w:t>***</w:t>
            </w:r>
          </w:p>
        </w:tc>
      </w:tr>
      <w:tr w:rsidR="00A63D7D" w14:paraId="2178A13F" w14:textId="77777777" w:rsidTr="00696C79">
        <w:trPr>
          <w:tblCellSpacing w:w="15" w:type="dxa"/>
          <w:jc w:val="center"/>
        </w:trPr>
        <w:tc>
          <w:tcPr>
            <w:tcW w:w="0" w:type="auto"/>
            <w:vAlign w:val="center"/>
            <w:hideMark/>
          </w:tcPr>
          <w:p w14:paraId="68DD4357" w14:textId="77777777" w:rsidR="00A63D7D" w:rsidRDefault="00A63D7D" w:rsidP="002D6C4A">
            <w:pPr>
              <w:jc w:val="center"/>
              <w:rPr>
                <w:rFonts w:eastAsia="Times New Roman"/>
              </w:rPr>
            </w:pPr>
          </w:p>
        </w:tc>
        <w:tc>
          <w:tcPr>
            <w:tcW w:w="0" w:type="auto"/>
            <w:vAlign w:val="center"/>
            <w:hideMark/>
          </w:tcPr>
          <w:p w14:paraId="0B6D5EDD" w14:textId="62B0F664" w:rsidR="00A63D7D" w:rsidRDefault="00A93D12" w:rsidP="002D6C4A">
            <w:pPr>
              <w:jc w:val="center"/>
              <w:rPr>
                <w:rFonts w:eastAsia="Times New Roman"/>
                <w:sz w:val="24"/>
                <w:szCs w:val="24"/>
              </w:rPr>
            </w:pPr>
            <w:r>
              <w:rPr>
                <w:rFonts w:eastAsia="Times New Roman"/>
              </w:rPr>
              <w:t>(</w:t>
            </w:r>
            <w:r w:rsidR="00A63D7D">
              <w:rPr>
                <w:rFonts w:eastAsia="Times New Roman"/>
              </w:rPr>
              <w:t>9.73</w:t>
            </w:r>
            <w:r>
              <w:rPr>
                <w:rFonts w:eastAsia="Times New Roman"/>
              </w:rPr>
              <w:t>)</w:t>
            </w:r>
          </w:p>
        </w:tc>
        <w:tc>
          <w:tcPr>
            <w:tcW w:w="0" w:type="auto"/>
            <w:vAlign w:val="center"/>
            <w:hideMark/>
          </w:tcPr>
          <w:p w14:paraId="7DDCFA3B" w14:textId="39E933F1" w:rsidR="00A63D7D" w:rsidRDefault="00A93D12" w:rsidP="002D6C4A">
            <w:pPr>
              <w:jc w:val="center"/>
              <w:rPr>
                <w:rFonts w:eastAsia="Times New Roman"/>
              </w:rPr>
            </w:pPr>
            <w:r>
              <w:rPr>
                <w:rFonts w:eastAsia="Times New Roman"/>
              </w:rPr>
              <w:t>(</w:t>
            </w:r>
            <w:r w:rsidR="00A63D7D">
              <w:rPr>
                <w:rFonts w:eastAsia="Times New Roman"/>
              </w:rPr>
              <w:t>10.34</w:t>
            </w:r>
            <w:r>
              <w:rPr>
                <w:rFonts w:eastAsia="Times New Roman"/>
              </w:rPr>
              <w:t>)</w:t>
            </w:r>
          </w:p>
        </w:tc>
      </w:tr>
      <w:tr w:rsidR="00A63D7D" w14:paraId="6AE578A5" w14:textId="77777777" w:rsidTr="00696C79">
        <w:trPr>
          <w:tblCellSpacing w:w="15" w:type="dxa"/>
          <w:jc w:val="center"/>
        </w:trPr>
        <w:tc>
          <w:tcPr>
            <w:tcW w:w="0" w:type="auto"/>
            <w:vAlign w:val="center"/>
            <w:hideMark/>
          </w:tcPr>
          <w:p w14:paraId="2BCEB273" w14:textId="6C88F72F" w:rsidR="00A63D7D" w:rsidRDefault="005169B6" w:rsidP="002D6C4A">
            <w:pPr>
              <w:jc w:val="left"/>
              <w:rPr>
                <w:rFonts w:eastAsia="Times New Roman"/>
              </w:rPr>
            </w:pPr>
            <w:r>
              <w:rPr>
                <w:rFonts w:eastAsia="Times New Roman"/>
              </w:rPr>
              <w:t>Enterprise scale</w:t>
            </w:r>
          </w:p>
        </w:tc>
        <w:tc>
          <w:tcPr>
            <w:tcW w:w="0" w:type="auto"/>
            <w:vAlign w:val="center"/>
            <w:hideMark/>
          </w:tcPr>
          <w:p w14:paraId="33A0A0F9" w14:textId="77777777" w:rsidR="00A63D7D" w:rsidRDefault="00A63D7D" w:rsidP="002D6C4A">
            <w:pPr>
              <w:jc w:val="center"/>
              <w:rPr>
                <w:rFonts w:eastAsia="Times New Roman"/>
              </w:rPr>
            </w:pPr>
            <w:r>
              <w:rPr>
                <w:rFonts w:eastAsia="Times New Roman"/>
              </w:rPr>
              <w:t>-0.13</w:t>
            </w:r>
            <w:r>
              <w:rPr>
                <w:rFonts w:eastAsia="Times New Roman"/>
                <w:vertAlign w:val="superscript"/>
              </w:rPr>
              <w:t>***</w:t>
            </w:r>
          </w:p>
        </w:tc>
        <w:tc>
          <w:tcPr>
            <w:tcW w:w="0" w:type="auto"/>
            <w:vAlign w:val="center"/>
            <w:hideMark/>
          </w:tcPr>
          <w:p w14:paraId="344C36F7" w14:textId="77777777" w:rsidR="00A63D7D" w:rsidRDefault="00A63D7D" w:rsidP="002D6C4A">
            <w:pPr>
              <w:jc w:val="center"/>
              <w:rPr>
                <w:rFonts w:eastAsia="Times New Roman"/>
              </w:rPr>
            </w:pPr>
            <w:r>
              <w:rPr>
                <w:rFonts w:eastAsia="Times New Roman"/>
              </w:rPr>
              <w:t>-0.13</w:t>
            </w:r>
            <w:r>
              <w:rPr>
                <w:rFonts w:eastAsia="Times New Roman"/>
                <w:vertAlign w:val="superscript"/>
              </w:rPr>
              <w:t>***</w:t>
            </w:r>
          </w:p>
        </w:tc>
      </w:tr>
      <w:tr w:rsidR="00A63D7D" w14:paraId="116B97C8" w14:textId="77777777" w:rsidTr="00696C79">
        <w:trPr>
          <w:tblCellSpacing w:w="15" w:type="dxa"/>
          <w:jc w:val="center"/>
        </w:trPr>
        <w:tc>
          <w:tcPr>
            <w:tcW w:w="0" w:type="auto"/>
            <w:vAlign w:val="center"/>
            <w:hideMark/>
          </w:tcPr>
          <w:p w14:paraId="005246C2" w14:textId="77777777" w:rsidR="00A63D7D" w:rsidRDefault="00A63D7D" w:rsidP="002D6C4A">
            <w:pPr>
              <w:jc w:val="center"/>
              <w:rPr>
                <w:rFonts w:eastAsia="Times New Roman"/>
              </w:rPr>
            </w:pPr>
          </w:p>
        </w:tc>
        <w:tc>
          <w:tcPr>
            <w:tcW w:w="0" w:type="auto"/>
            <w:vAlign w:val="center"/>
            <w:hideMark/>
          </w:tcPr>
          <w:p w14:paraId="6F713AD8" w14:textId="71B403F6" w:rsidR="00A63D7D" w:rsidRDefault="00A93D12" w:rsidP="002D6C4A">
            <w:pPr>
              <w:jc w:val="center"/>
              <w:rPr>
                <w:rFonts w:eastAsia="Times New Roman"/>
                <w:sz w:val="24"/>
                <w:szCs w:val="24"/>
              </w:rPr>
            </w:pPr>
            <w:r>
              <w:rPr>
                <w:rFonts w:eastAsia="Times New Roman"/>
              </w:rPr>
              <w:t>(</w:t>
            </w:r>
            <w:r w:rsidR="00A63D7D">
              <w:rPr>
                <w:rFonts w:eastAsia="Times New Roman"/>
              </w:rPr>
              <w:t>-54.21</w:t>
            </w:r>
            <w:r>
              <w:rPr>
                <w:rFonts w:eastAsia="Times New Roman"/>
              </w:rPr>
              <w:t>)</w:t>
            </w:r>
          </w:p>
        </w:tc>
        <w:tc>
          <w:tcPr>
            <w:tcW w:w="0" w:type="auto"/>
            <w:vAlign w:val="center"/>
            <w:hideMark/>
          </w:tcPr>
          <w:p w14:paraId="65EB5D6A" w14:textId="427A87AE" w:rsidR="00A63D7D" w:rsidRDefault="00A93D12" w:rsidP="002D6C4A">
            <w:pPr>
              <w:jc w:val="center"/>
              <w:rPr>
                <w:rFonts w:eastAsia="Times New Roman"/>
              </w:rPr>
            </w:pPr>
            <w:r>
              <w:rPr>
                <w:rFonts w:eastAsia="Times New Roman"/>
              </w:rPr>
              <w:t>(</w:t>
            </w:r>
            <w:r w:rsidR="00A63D7D">
              <w:rPr>
                <w:rFonts w:eastAsia="Times New Roman"/>
              </w:rPr>
              <w:t>-53.46</w:t>
            </w:r>
            <w:r>
              <w:rPr>
                <w:rFonts w:eastAsia="Times New Roman"/>
              </w:rPr>
              <w:t>)</w:t>
            </w:r>
          </w:p>
        </w:tc>
      </w:tr>
      <w:tr w:rsidR="00A63D7D" w14:paraId="29F1F022" w14:textId="77777777" w:rsidTr="00696C79">
        <w:trPr>
          <w:tblCellSpacing w:w="15" w:type="dxa"/>
          <w:jc w:val="center"/>
        </w:trPr>
        <w:tc>
          <w:tcPr>
            <w:tcW w:w="0" w:type="auto"/>
            <w:vAlign w:val="center"/>
            <w:hideMark/>
          </w:tcPr>
          <w:p w14:paraId="67AA9930" w14:textId="5C90EC6A" w:rsidR="00A63D7D" w:rsidRDefault="005169B6" w:rsidP="002D6C4A">
            <w:pPr>
              <w:jc w:val="left"/>
              <w:rPr>
                <w:rFonts w:eastAsia="Times New Roman"/>
              </w:rPr>
            </w:pPr>
            <w:r>
              <w:rPr>
                <w:rFonts w:eastAsia="Times New Roman"/>
              </w:rPr>
              <w:t>Average age</w:t>
            </w:r>
          </w:p>
        </w:tc>
        <w:tc>
          <w:tcPr>
            <w:tcW w:w="0" w:type="auto"/>
            <w:vAlign w:val="center"/>
            <w:hideMark/>
          </w:tcPr>
          <w:p w14:paraId="16C3B5DC" w14:textId="77777777" w:rsidR="00A63D7D" w:rsidRDefault="00A63D7D" w:rsidP="002D6C4A">
            <w:pPr>
              <w:jc w:val="center"/>
              <w:rPr>
                <w:rFonts w:eastAsia="Times New Roman"/>
              </w:rPr>
            </w:pPr>
            <w:r>
              <w:rPr>
                <w:rFonts w:eastAsia="Times New Roman"/>
              </w:rPr>
              <w:t>-0.001</w:t>
            </w:r>
            <w:r>
              <w:rPr>
                <w:rFonts w:eastAsia="Times New Roman"/>
                <w:vertAlign w:val="superscript"/>
              </w:rPr>
              <w:t>*</w:t>
            </w:r>
          </w:p>
        </w:tc>
        <w:tc>
          <w:tcPr>
            <w:tcW w:w="0" w:type="auto"/>
            <w:vAlign w:val="center"/>
            <w:hideMark/>
          </w:tcPr>
          <w:p w14:paraId="6D247037" w14:textId="77777777" w:rsidR="00A63D7D" w:rsidRDefault="00A63D7D" w:rsidP="002D6C4A">
            <w:pPr>
              <w:jc w:val="center"/>
              <w:rPr>
                <w:rFonts w:eastAsia="Times New Roman"/>
              </w:rPr>
            </w:pPr>
            <w:r>
              <w:rPr>
                <w:rFonts w:eastAsia="Times New Roman"/>
              </w:rPr>
              <w:t>-0.001</w:t>
            </w:r>
            <w:r>
              <w:rPr>
                <w:rFonts w:eastAsia="Times New Roman"/>
                <w:vertAlign w:val="superscript"/>
              </w:rPr>
              <w:t>**</w:t>
            </w:r>
          </w:p>
        </w:tc>
      </w:tr>
      <w:tr w:rsidR="00A63D7D" w14:paraId="2AAEDBDE" w14:textId="77777777" w:rsidTr="00696C79">
        <w:trPr>
          <w:tblCellSpacing w:w="15" w:type="dxa"/>
          <w:jc w:val="center"/>
        </w:trPr>
        <w:tc>
          <w:tcPr>
            <w:tcW w:w="0" w:type="auto"/>
            <w:vAlign w:val="center"/>
            <w:hideMark/>
          </w:tcPr>
          <w:p w14:paraId="41960F75" w14:textId="77777777" w:rsidR="00A63D7D" w:rsidRDefault="00A63D7D" w:rsidP="002D6C4A">
            <w:pPr>
              <w:jc w:val="center"/>
              <w:rPr>
                <w:rFonts w:eastAsia="Times New Roman"/>
              </w:rPr>
            </w:pPr>
          </w:p>
        </w:tc>
        <w:tc>
          <w:tcPr>
            <w:tcW w:w="0" w:type="auto"/>
            <w:vAlign w:val="center"/>
            <w:hideMark/>
          </w:tcPr>
          <w:p w14:paraId="34DBE3CE" w14:textId="2208E7D5" w:rsidR="00A63D7D" w:rsidRDefault="00A93D12" w:rsidP="002D6C4A">
            <w:pPr>
              <w:jc w:val="center"/>
              <w:rPr>
                <w:rFonts w:eastAsia="Times New Roman"/>
                <w:sz w:val="24"/>
                <w:szCs w:val="24"/>
              </w:rPr>
            </w:pPr>
            <w:r>
              <w:rPr>
                <w:rFonts w:eastAsia="Times New Roman"/>
              </w:rPr>
              <w:t>(</w:t>
            </w:r>
            <w:r w:rsidR="00A63D7D">
              <w:rPr>
                <w:rFonts w:eastAsia="Times New Roman"/>
              </w:rPr>
              <w:t>-1.74</w:t>
            </w:r>
            <w:r>
              <w:rPr>
                <w:rFonts w:eastAsia="Times New Roman"/>
              </w:rPr>
              <w:t>)</w:t>
            </w:r>
          </w:p>
        </w:tc>
        <w:tc>
          <w:tcPr>
            <w:tcW w:w="0" w:type="auto"/>
            <w:vAlign w:val="center"/>
            <w:hideMark/>
          </w:tcPr>
          <w:p w14:paraId="72BF29AE" w14:textId="4AB2ACC5" w:rsidR="00A63D7D" w:rsidRDefault="00A93D12" w:rsidP="002D6C4A">
            <w:pPr>
              <w:jc w:val="center"/>
              <w:rPr>
                <w:rFonts w:eastAsia="Times New Roman"/>
              </w:rPr>
            </w:pPr>
            <w:r>
              <w:rPr>
                <w:rFonts w:eastAsia="Times New Roman"/>
              </w:rPr>
              <w:t>(</w:t>
            </w:r>
            <w:r w:rsidR="00A63D7D">
              <w:rPr>
                <w:rFonts w:eastAsia="Times New Roman"/>
              </w:rPr>
              <w:t>-2.50</w:t>
            </w:r>
            <w:r>
              <w:rPr>
                <w:rFonts w:eastAsia="Times New Roman"/>
              </w:rPr>
              <w:t>)</w:t>
            </w:r>
          </w:p>
        </w:tc>
      </w:tr>
      <w:tr w:rsidR="00A63D7D" w14:paraId="3A97DC0E" w14:textId="77777777" w:rsidTr="00696C79">
        <w:trPr>
          <w:tblCellSpacing w:w="15" w:type="dxa"/>
          <w:jc w:val="center"/>
        </w:trPr>
        <w:tc>
          <w:tcPr>
            <w:tcW w:w="0" w:type="auto"/>
            <w:vAlign w:val="center"/>
            <w:hideMark/>
          </w:tcPr>
          <w:p w14:paraId="11359D9B" w14:textId="1230A0CF" w:rsidR="00A63D7D" w:rsidRDefault="005169B6" w:rsidP="002D6C4A">
            <w:pPr>
              <w:jc w:val="left"/>
              <w:rPr>
                <w:rFonts w:eastAsia="Times New Roman"/>
              </w:rPr>
            </w:pPr>
            <w:r>
              <w:rPr>
                <w:rFonts w:eastAsia="Times New Roman"/>
              </w:rPr>
              <w:t>Number of TMT</w:t>
            </w:r>
          </w:p>
        </w:tc>
        <w:tc>
          <w:tcPr>
            <w:tcW w:w="0" w:type="auto"/>
            <w:vAlign w:val="center"/>
            <w:hideMark/>
          </w:tcPr>
          <w:p w14:paraId="50EC0180" w14:textId="77777777" w:rsidR="00A63D7D" w:rsidRDefault="00A63D7D" w:rsidP="002D6C4A">
            <w:pPr>
              <w:jc w:val="center"/>
              <w:rPr>
                <w:rFonts w:eastAsia="Times New Roman"/>
              </w:rPr>
            </w:pPr>
            <w:r>
              <w:rPr>
                <w:rFonts w:eastAsia="Times New Roman"/>
              </w:rPr>
              <w:t>-0.0002</w:t>
            </w:r>
          </w:p>
        </w:tc>
        <w:tc>
          <w:tcPr>
            <w:tcW w:w="0" w:type="auto"/>
            <w:vAlign w:val="center"/>
            <w:hideMark/>
          </w:tcPr>
          <w:p w14:paraId="09025C34" w14:textId="77777777" w:rsidR="00A63D7D" w:rsidRDefault="00A63D7D" w:rsidP="002D6C4A">
            <w:pPr>
              <w:jc w:val="center"/>
              <w:rPr>
                <w:rFonts w:eastAsia="Times New Roman"/>
              </w:rPr>
            </w:pPr>
            <w:r>
              <w:rPr>
                <w:rFonts w:eastAsia="Times New Roman"/>
              </w:rPr>
              <w:t>-0.0004</w:t>
            </w:r>
          </w:p>
        </w:tc>
      </w:tr>
      <w:tr w:rsidR="00A63D7D" w14:paraId="6E6B87B3" w14:textId="77777777" w:rsidTr="00696C79">
        <w:trPr>
          <w:tblCellSpacing w:w="15" w:type="dxa"/>
          <w:jc w:val="center"/>
        </w:trPr>
        <w:tc>
          <w:tcPr>
            <w:tcW w:w="0" w:type="auto"/>
            <w:vAlign w:val="center"/>
            <w:hideMark/>
          </w:tcPr>
          <w:p w14:paraId="6EE1E285" w14:textId="77777777" w:rsidR="00A63D7D" w:rsidRDefault="00A63D7D" w:rsidP="002D6C4A">
            <w:pPr>
              <w:jc w:val="center"/>
              <w:rPr>
                <w:rFonts w:eastAsia="Times New Roman"/>
              </w:rPr>
            </w:pPr>
          </w:p>
        </w:tc>
        <w:tc>
          <w:tcPr>
            <w:tcW w:w="0" w:type="auto"/>
            <w:vAlign w:val="center"/>
            <w:hideMark/>
          </w:tcPr>
          <w:p w14:paraId="6ABBF58F" w14:textId="295B39E0" w:rsidR="00A63D7D" w:rsidRDefault="00A93D12" w:rsidP="002D6C4A">
            <w:pPr>
              <w:jc w:val="center"/>
              <w:rPr>
                <w:rFonts w:eastAsia="Times New Roman"/>
                <w:sz w:val="24"/>
                <w:szCs w:val="24"/>
              </w:rPr>
            </w:pPr>
            <w:r>
              <w:rPr>
                <w:rFonts w:eastAsia="Times New Roman"/>
              </w:rPr>
              <w:t>(</w:t>
            </w:r>
            <w:r w:rsidR="00A63D7D">
              <w:rPr>
                <w:rFonts w:eastAsia="Times New Roman"/>
              </w:rPr>
              <w:t>-0.25</w:t>
            </w:r>
            <w:r>
              <w:rPr>
                <w:rFonts w:eastAsia="Times New Roman"/>
              </w:rPr>
              <w:t>)</w:t>
            </w:r>
          </w:p>
        </w:tc>
        <w:tc>
          <w:tcPr>
            <w:tcW w:w="0" w:type="auto"/>
            <w:vAlign w:val="center"/>
            <w:hideMark/>
          </w:tcPr>
          <w:p w14:paraId="47C868DB" w14:textId="439AEBF7" w:rsidR="00A63D7D" w:rsidRDefault="00A93D12" w:rsidP="002D6C4A">
            <w:pPr>
              <w:jc w:val="center"/>
              <w:rPr>
                <w:rFonts w:eastAsia="Times New Roman"/>
              </w:rPr>
            </w:pPr>
            <w:r>
              <w:rPr>
                <w:rFonts w:eastAsia="Times New Roman"/>
              </w:rPr>
              <w:t>(</w:t>
            </w:r>
            <w:r w:rsidR="00A63D7D">
              <w:rPr>
                <w:rFonts w:eastAsia="Times New Roman"/>
              </w:rPr>
              <w:t>-0.56</w:t>
            </w:r>
            <w:r>
              <w:rPr>
                <w:rFonts w:eastAsia="Times New Roman"/>
              </w:rPr>
              <w:t>)</w:t>
            </w:r>
          </w:p>
        </w:tc>
      </w:tr>
      <w:tr w:rsidR="00A63D7D" w14:paraId="23C5F5DD" w14:textId="77777777" w:rsidTr="00696C79">
        <w:trPr>
          <w:tblCellSpacing w:w="15" w:type="dxa"/>
          <w:jc w:val="center"/>
        </w:trPr>
        <w:tc>
          <w:tcPr>
            <w:tcW w:w="0" w:type="auto"/>
            <w:vAlign w:val="center"/>
            <w:hideMark/>
          </w:tcPr>
          <w:p w14:paraId="2E41DEAE" w14:textId="1A1C6D17" w:rsidR="00A63D7D" w:rsidRDefault="005169B6" w:rsidP="002D6C4A">
            <w:pPr>
              <w:jc w:val="left"/>
              <w:rPr>
                <w:rFonts w:eastAsia="Times New Roman"/>
              </w:rPr>
            </w:pPr>
            <w:r>
              <w:rPr>
                <w:rFonts w:eastAsia="Times New Roman"/>
              </w:rPr>
              <w:t>Number of years on the market</w:t>
            </w:r>
          </w:p>
        </w:tc>
        <w:tc>
          <w:tcPr>
            <w:tcW w:w="0" w:type="auto"/>
            <w:vAlign w:val="center"/>
            <w:hideMark/>
          </w:tcPr>
          <w:p w14:paraId="30088E68" w14:textId="77777777" w:rsidR="00A63D7D" w:rsidRDefault="00A63D7D" w:rsidP="002D6C4A">
            <w:pPr>
              <w:jc w:val="center"/>
              <w:rPr>
                <w:rFonts w:eastAsia="Times New Roman"/>
              </w:rPr>
            </w:pPr>
            <w:r>
              <w:rPr>
                <w:rFonts w:eastAsia="Times New Roman"/>
              </w:rPr>
              <w:t>0.01</w:t>
            </w:r>
            <w:r>
              <w:rPr>
                <w:rFonts w:eastAsia="Times New Roman"/>
                <w:vertAlign w:val="superscript"/>
              </w:rPr>
              <w:t>***</w:t>
            </w:r>
          </w:p>
        </w:tc>
        <w:tc>
          <w:tcPr>
            <w:tcW w:w="0" w:type="auto"/>
            <w:vAlign w:val="center"/>
            <w:hideMark/>
          </w:tcPr>
          <w:p w14:paraId="534BF369" w14:textId="77777777" w:rsidR="00A63D7D" w:rsidRDefault="00A63D7D" w:rsidP="002D6C4A">
            <w:pPr>
              <w:jc w:val="center"/>
              <w:rPr>
                <w:rFonts w:eastAsia="Times New Roman"/>
              </w:rPr>
            </w:pPr>
            <w:r>
              <w:rPr>
                <w:rFonts w:eastAsia="Times New Roman"/>
              </w:rPr>
              <w:t>0.01</w:t>
            </w:r>
            <w:r>
              <w:rPr>
                <w:rFonts w:eastAsia="Times New Roman"/>
                <w:vertAlign w:val="superscript"/>
              </w:rPr>
              <w:t>***</w:t>
            </w:r>
          </w:p>
        </w:tc>
      </w:tr>
      <w:tr w:rsidR="00A63D7D" w14:paraId="46E14ACF" w14:textId="77777777" w:rsidTr="00696C79">
        <w:trPr>
          <w:tblCellSpacing w:w="15" w:type="dxa"/>
          <w:jc w:val="center"/>
        </w:trPr>
        <w:tc>
          <w:tcPr>
            <w:tcW w:w="0" w:type="auto"/>
            <w:vAlign w:val="center"/>
            <w:hideMark/>
          </w:tcPr>
          <w:p w14:paraId="7C75D647" w14:textId="77777777" w:rsidR="00A63D7D" w:rsidRDefault="00A63D7D" w:rsidP="002D6C4A">
            <w:pPr>
              <w:jc w:val="center"/>
              <w:rPr>
                <w:rFonts w:eastAsia="Times New Roman"/>
              </w:rPr>
            </w:pPr>
          </w:p>
        </w:tc>
        <w:tc>
          <w:tcPr>
            <w:tcW w:w="0" w:type="auto"/>
            <w:vAlign w:val="center"/>
            <w:hideMark/>
          </w:tcPr>
          <w:p w14:paraId="4FAA6E6F" w14:textId="2BC8035E" w:rsidR="00A63D7D" w:rsidRDefault="00A93D12" w:rsidP="002D6C4A">
            <w:pPr>
              <w:jc w:val="center"/>
              <w:rPr>
                <w:rFonts w:eastAsia="Times New Roman"/>
                <w:sz w:val="24"/>
                <w:szCs w:val="24"/>
              </w:rPr>
            </w:pPr>
            <w:r>
              <w:rPr>
                <w:rFonts w:eastAsia="Times New Roman"/>
              </w:rPr>
              <w:t>(</w:t>
            </w:r>
            <w:r w:rsidR="00A63D7D">
              <w:rPr>
                <w:rFonts w:eastAsia="Times New Roman"/>
              </w:rPr>
              <w:t>13.08</w:t>
            </w:r>
            <w:r>
              <w:rPr>
                <w:rFonts w:eastAsia="Times New Roman"/>
              </w:rPr>
              <w:t>)</w:t>
            </w:r>
          </w:p>
        </w:tc>
        <w:tc>
          <w:tcPr>
            <w:tcW w:w="0" w:type="auto"/>
            <w:vAlign w:val="center"/>
            <w:hideMark/>
          </w:tcPr>
          <w:p w14:paraId="585B6FEA" w14:textId="33360172" w:rsidR="00A63D7D" w:rsidRDefault="00A93D12" w:rsidP="002D6C4A">
            <w:pPr>
              <w:jc w:val="center"/>
              <w:rPr>
                <w:rFonts w:eastAsia="Times New Roman"/>
              </w:rPr>
            </w:pPr>
            <w:r>
              <w:rPr>
                <w:rFonts w:eastAsia="Times New Roman"/>
              </w:rPr>
              <w:t>(</w:t>
            </w:r>
            <w:r w:rsidR="00A63D7D">
              <w:rPr>
                <w:rFonts w:eastAsia="Times New Roman"/>
              </w:rPr>
              <w:t>13.20</w:t>
            </w:r>
            <w:r>
              <w:rPr>
                <w:rFonts w:eastAsia="Times New Roman"/>
              </w:rPr>
              <w:t>)</w:t>
            </w:r>
          </w:p>
        </w:tc>
      </w:tr>
      <w:tr w:rsidR="00A63D7D" w14:paraId="186BA6B2" w14:textId="77777777" w:rsidTr="00696C79">
        <w:trPr>
          <w:tblCellSpacing w:w="15" w:type="dxa"/>
          <w:jc w:val="center"/>
        </w:trPr>
        <w:tc>
          <w:tcPr>
            <w:tcW w:w="0" w:type="auto"/>
            <w:vAlign w:val="center"/>
            <w:hideMark/>
          </w:tcPr>
          <w:p w14:paraId="4BFFC921" w14:textId="25317FDB" w:rsidR="00A63D7D" w:rsidRDefault="00741FAE" w:rsidP="002D6C4A">
            <w:pPr>
              <w:jc w:val="left"/>
              <w:rPr>
                <w:rFonts w:eastAsia="Times New Roman"/>
              </w:rPr>
            </w:pPr>
            <w:r>
              <w:rPr>
                <w:rFonts w:eastAsia="Times New Roman"/>
              </w:rPr>
              <w:t>R</w:t>
            </w:r>
            <w:r w:rsidR="00C432CA">
              <w:rPr>
                <w:rFonts w:eastAsia="Times New Roman"/>
              </w:rPr>
              <w:t>eturn</w:t>
            </w:r>
            <w:r>
              <w:rPr>
                <w:rFonts w:eastAsia="Times New Roman"/>
              </w:rPr>
              <w:t xml:space="preserve"> </w:t>
            </w:r>
            <w:r w:rsidR="00C432CA">
              <w:rPr>
                <w:rFonts w:eastAsia="Times New Roman"/>
              </w:rPr>
              <w:t>on</w:t>
            </w:r>
            <w:r>
              <w:rPr>
                <w:rFonts w:eastAsia="Times New Roman"/>
              </w:rPr>
              <w:t xml:space="preserve"> </w:t>
            </w:r>
            <w:r w:rsidR="00C432CA">
              <w:rPr>
                <w:rFonts w:eastAsia="Times New Roman"/>
              </w:rPr>
              <w:t>assets</w:t>
            </w:r>
          </w:p>
        </w:tc>
        <w:tc>
          <w:tcPr>
            <w:tcW w:w="0" w:type="auto"/>
            <w:vAlign w:val="center"/>
            <w:hideMark/>
          </w:tcPr>
          <w:p w14:paraId="2ED3E057" w14:textId="77777777" w:rsidR="00A63D7D" w:rsidRDefault="00A63D7D" w:rsidP="002D6C4A">
            <w:pPr>
              <w:jc w:val="center"/>
              <w:rPr>
                <w:rFonts w:eastAsia="Times New Roman"/>
              </w:rPr>
            </w:pPr>
            <w:r>
              <w:rPr>
                <w:rFonts w:eastAsia="Times New Roman"/>
              </w:rPr>
              <w:t>0.49</w:t>
            </w:r>
            <w:r>
              <w:rPr>
                <w:rFonts w:eastAsia="Times New Roman"/>
                <w:vertAlign w:val="superscript"/>
              </w:rPr>
              <w:t>***</w:t>
            </w:r>
          </w:p>
        </w:tc>
        <w:tc>
          <w:tcPr>
            <w:tcW w:w="0" w:type="auto"/>
            <w:vAlign w:val="center"/>
            <w:hideMark/>
          </w:tcPr>
          <w:p w14:paraId="11522BEC" w14:textId="77777777" w:rsidR="00A63D7D" w:rsidRDefault="00A63D7D" w:rsidP="002D6C4A">
            <w:pPr>
              <w:jc w:val="center"/>
              <w:rPr>
                <w:rFonts w:eastAsia="Times New Roman"/>
              </w:rPr>
            </w:pPr>
            <w:r>
              <w:rPr>
                <w:rFonts w:eastAsia="Times New Roman"/>
              </w:rPr>
              <w:t>0.49</w:t>
            </w:r>
            <w:r>
              <w:rPr>
                <w:rFonts w:eastAsia="Times New Roman"/>
                <w:vertAlign w:val="superscript"/>
              </w:rPr>
              <w:t>***</w:t>
            </w:r>
          </w:p>
        </w:tc>
      </w:tr>
      <w:tr w:rsidR="00A63D7D" w14:paraId="4C1FCCAA" w14:textId="77777777" w:rsidTr="00696C79">
        <w:trPr>
          <w:tblCellSpacing w:w="15" w:type="dxa"/>
          <w:jc w:val="center"/>
        </w:trPr>
        <w:tc>
          <w:tcPr>
            <w:tcW w:w="0" w:type="auto"/>
            <w:vAlign w:val="center"/>
            <w:hideMark/>
          </w:tcPr>
          <w:p w14:paraId="74E6C9B6" w14:textId="77777777" w:rsidR="00A63D7D" w:rsidRDefault="00A63D7D" w:rsidP="002D6C4A">
            <w:pPr>
              <w:jc w:val="center"/>
              <w:rPr>
                <w:rFonts w:eastAsia="Times New Roman"/>
              </w:rPr>
            </w:pPr>
          </w:p>
        </w:tc>
        <w:tc>
          <w:tcPr>
            <w:tcW w:w="0" w:type="auto"/>
            <w:vAlign w:val="center"/>
            <w:hideMark/>
          </w:tcPr>
          <w:p w14:paraId="54D53D28" w14:textId="39E23327" w:rsidR="00A63D7D" w:rsidRDefault="00A93D12" w:rsidP="002D6C4A">
            <w:pPr>
              <w:jc w:val="center"/>
              <w:rPr>
                <w:rFonts w:eastAsia="Times New Roman"/>
                <w:sz w:val="24"/>
                <w:szCs w:val="24"/>
              </w:rPr>
            </w:pPr>
            <w:r>
              <w:rPr>
                <w:rFonts w:eastAsia="Times New Roman"/>
              </w:rPr>
              <w:t>(</w:t>
            </w:r>
            <w:r w:rsidR="00A63D7D">
              <w:rPr>
                <w:rFonts w:eastAsia="Times New Roman"/>
              </w:rPr>
              <w:t>23.41</w:t>
            </w:r>
            <w:r>
              <w:rPr>
                <w:rFonts w:eastAsia="Times New Roman"/>
              </w:rPr>
              <w:t>)</w:t>
            </w:r>
          </w:p>
        </w:tc>
        <w:tc>
          <w:tcPr>
            <w:tcW w:w="0" w:type="auto"/>
            <w:vAlign w:val="center"/>
            <w:hideMark/>
          </w:tcPr>
          <w:p w14:paraId="1398130E" w14:textId="35D1369C" w:rsidR="00A63D7D" w:rsidRDefault="00A93D12" w:rsidP="002D6C4A">
            <w:pPr>
              <w:jc w:val="center"/>
              <w:rPr>
                <w:rFonts w:eastAsia="Times New Roman"/>
              </w:rPr>
            </w:pPr>
            <w:r>
              <w:rPr>
                <w:rFonts w:eastAsia="Times New Roman"/>
              </w:rPr>
              <w:t>(</w:t>
            </w:r>
            <w:r w:rsidR="00A63D7D">
              <w:rPr>
                <w:rFonts w:eastAsia="Times New Roman"/>
              </w:rPr>
              <w:t>23.51</w:t>
            </w:r>
            <w:r>
              <w:rPr>
                <w:rFonts w:eastAsia="Times New Roman"/>
              </w:rPr>
              <w:t>)</w:t>
            </w:r>
          </w:p>
        </w:tc>
      </w:tr>
      <w:tr w:rsidR="00A63D7D" w14:paraId="6DEEABDF" w14:textId="77777777" w:rsidTr="00696C79">
        <w:trPr>
          <w:tblCellSpacing w:w="15" w:type="dxa"/>
          <w:jc w:val="center"/>
        </w:trPr>
        <w:tc>
          <w:tcPr>
            <w:tcW w:w="0" w:type="auto"/>
            <w:vAlign w:val="center"/>
            <w:hideMark/>
          </w:tcPr>
          <w:p w14:paraId="7AFB61A8" w14:textId="77777777" w:rsidR="00A63D7D" w:rsidRDefault="00A63D7D" w:rsidP="002D6C4A">
            <w:pPr>
              <w:jc w:val="left"/>
              <w:rPr>
                <w:rFonts w:eastAsia="Times New Roman"/>
              </w:rPr>
            </w:pPr>
            <w:r>
              <w:rPr>
                <w:rFonts w:eastAsia="Times New Roman"/>
              </w:rPr>
              <w:t>Constant</w:t>
            </w:r>
          </w:p>
        </w:tc>
        <w:tc>
          <w:tcPr>
            <w:tcW w:w="0" w:type="auto"/>
            <w:vAlign w:val="center"/>
            <w:hideMark/>
          </w:tcPr>
          <w:p w14:paraId="18DE6A50" w14:textId="77777777" w:rsidR="00A63D7D" w:rsidRDefault="00A63D7D" w:rsidP="002D6C4A">
            <w:pPr>
              <w:jc w:val="center"/>
              <w:rPr>
                <w:rFonts w:eastAsia="Times New Roman"/>
              </w:rPr>
            </w:pPr>
            <w:r>
              <w:rPr>
                <w:rFonts w:eastAsia="Times New Roman"/>
              </w:rPr>
              <w:t>3.87</w:t>
            </w:r>
            <w:r>
              <w:rPr>
                <w:rFonts w:eastAsia="Times New Roman"/>
                <w:vertAlign w:val="superscript"/>
              </w:rPr>
              <w:t>***</w:t>
            </w:r>
          </w:p>
        </w:tc>
        <w:tc>
          <w:tcPr>
            <w:tcW w:w="0" w:type="auto"/>
            <w:vAlign w:val="center"/>
            <w:hideMark/>
          </w:tcPr>
          <w:p w14:paraId="27A13157" w14:textId="77777777" w:rsidR="00A63D7D" w:rsidRDefault="00A63D7D" w:rsidP="002D6C4A">
            <w:pPr>
              <w:jc w:val="center"/>
              <w:rPr>
                <w:rFonts w:eastAsia="Times New Roman"/>
              </w:rPr>
            </w:pPr>
            <w:r>
              <w:rPr>
                <w:rFonts w:eastAsia="Times New Roman"/>
              </w:rPr>
              <w:t>3.89</w:t>
            </w:r>
            <w:r>
              <w:rPr>
                <w:rFonts w:eastAsia="Times New Roman"/>
                <w:vertAlign w:val="superscript"/>
              </w:rPr>
              <w:t>***</w:t>
            </w:r>
          </w:p>
        </w:tc>
      </w:tr>
      <w:tr w:rsidR="00A63D7D" w14:paraId="3A663219" w14:textId="77777777" w:rsidTr="00696C79">
        <w:trPr>
          <w:tblCellSpacing w:w="15" w:type="dxa"/>
          <w:jc w:val="center"/>
        </w:trPr>
        <w:tc>
          <w:tcPr>
            <w:tcW w:w="0" w:type="auto"/>
            <w:tcBorders>
              <w:bottom w:val="single" w:sz="4" w:space="0" w:color="auto"/>
            </w:tcBorders>
            <w:vAlign w:val="center"/>
            <w:hideMark/>
          </w:tcPr>
          <w:p w14:paraId="78447EF9" w14:textId="77777777" w:rsidR="00A63D7D" w:rsidRDefault="00A63D7D" w:rsidP="002D6C4A">
            <w:pPr>
              <w:jc w:val="center"/>
              <w:rPr>
                <w:rFonts w:eastAsia="Times New Roman"/>
              </w:rPr>
            </w:pPr>
          </w:p>
        </w:tc>
        <w:tc>
          <w:tcPr>
            <w:tcW w:w="0" w:type="auto"/>
            <w:tcBorders>
              <w:bottom w:val="single" w:sz="4" w:space="0" w:color="auto"/>
            </w:tcBorders>
            <w:vAlign w:val="center"/>
            <w:hideMark/>
          </w:tcPr>
          <w:p w14:paraId="76C80520" w14:textId="3628D78A" w:rsidR="00A63D7D" w:rsidRDefault="00A93D12" w:rsidP="002D6C4A">
            <w:pPr>
              <w:jc w:val="center"/>
              <w:rPr>
                <w:rFonts w:eastAsia="Times New Roman"/>
                <w:sz w:val="24"/>
                <w:szCs w:val="24"/>
              </w:rPr>
            </w:pPr>
            <w:r>
              <w:rPr>
                <w:rFonts w:eastAsia="Times New Roman"/>
              </w:rPr>
              <w:t>(</w:t>
            </w:r>
            <w:r w:rsidR="00A63D7D">
              <w:rPr>
                <w:rFonts w:eastAsia="Times New Roman"/>
              </w:rPr>
              <w:t>55.54</w:t>
            </w:r>
            <w:r>
              <w:rPr>
                <w:rFonts w:eastAsia="Times New Roman"/>
              </w:rPr>
              <w:t>)</w:t>
            </w:r>
          </w:p>
        </w:tc>
        <w:tc>
          <w:tcPr>
            <w:tcW w:w="0" w:type="auto"/>
            <w:tcBorders>
              <w:bottom w:val="single" w:sz="4" w:space="0" w:color="auto"/>
            </w:tcBorders>
            <w:vAlign w:val="center"/>
            <w:hideMark/>
          </w:tcPr>
          <w:p w14:paraId="72798167" w14:textId="57E18CF1" w:rsidR="00A63D7D" w:rsidRDefault="00A93D12" w:rsidP="002D6C4A">
            <w:pPr>
              <w:jc w:val="center"/>
              <w:rPr>
                <w:rFonts w:eastAsia="Times New Roman"/>
              </w:rPr>
            </w:pPr>
            <w:r>
              <w:rPr>
                <w:rFonts w:eastAsia="Times New Roman"/>
              </w:rPr>
              <w:t>(</w:t>
            </w:r>
            <w:r w:rsidR="00A63D7D">
              <w:rPr>
                <w:rFonts w:eastAsia="Times New Roman"/>
              </w:rPr>
              <w:t>57.27</w:t>
            </w:r>
            <w:r>
              <w:rPr>
                <w:rFonts w:eastAsia="Times New Roman"/>
              </w:rPr>
              <w:t>)</w:t>
            </w:r>
          </w:p>
        </w:tc>
      </w:tr>
    </w:tbl>
    <w:p w14:paraId="5F5324F8" w14:textId="67AD8093" w:rsidR="001D67A0" w:rsidRDefault="001D67A0" w:rsidP="001D67A0">
      <w:r w:rsidRPr="007A0F8B">
        <w:rPr>
          <w:rFonts w:hAnsi="宋体" w:hint="eastAsia"/>
          <w:sz w:val="15"/>
          <w:szCs w:val="15"/>
        </w:rPr>
        <w:t xml:space="preserve">Number of observations </w:t>
      </w:r>
      <w:r w:rsidRPr="00F34158">
        <w:rPr>
          <w:rFonts w:hAnsi="宋体"/>
          <w:sz w:val="15"/>
          <w:szCs w:val="15"/>
        </w:rPr>
        <w:t xml:space="preserve">23,968 </w:t>
      </w:r>
      <w:r w:rsidRPr="007A0F8B">
        <w:rPr>
          <w:rFonts w:hAnsi="宋体" w:hint="eastAsia"/>
          <w:sz w:val="15"/>
          <w:szCs w:val="15"/>
        </w:rPr>
        <w:t xml:space="preserve">Number of groups </w:t>
      </w:r>
      <w:r>
        <w:rPr>
          <w:rFonts w:hAnsi="宋体"/>
          <w:sz w:val="15"/>
          <w:szCs w:val="15"/>
        </w:rPr>
        <w:t xml:space="preserve">3107 </w:t>
      </w:r>
      <w:r w:rsidRPr="007A0F8B">
        <w:rPr>
          <w:rFonts w:hAnsi="宋体" w:hint="eastAsia"/>
          <w:sz w:val="15"/>
          <w:szCs w:val="15"/>
        </w:rPr>
        <w:t xml:space="preserve">t-values </w:t>
      </w:r>
      <w:r w:rsidRPr="007A0F8B">
        <w:rPr>
          <w:rFonts w:hAnsi="宋体"/>
          <w:sz w:val="15"/>
          <w:szCs w:val="15"/>
        </w:rPr>
        <w:t>in brackets *** p&lt;0.01, ** p&lt;0.05, * p&lt;0.1</w:t>
      </w:r>
    </w:p>
    <w:p w14:paraId="03B0C390" w14:textId="1F6EB337" w:rsidR="001D67A0" w:rsidRDefault="004962D7" w:rsidP="00450EC6">
      <w:pPr>
        <w:pStyle w:val="v"/>
      </w:pPr>
      <w:r w:rsidRPr="004962D7">
        <w:t xml:space="preserve">As the regression results in columns 1 and 2 of Table 4 show, the heterogeneity in </w:t>
      </w:r>
      <w:r w:rsidR="00F9271A">
        <w:t xml:space="preserve">the </w:t>
      </w:r>
      <w:r w:rsidRPr="004962D7">
        <w:t xml:space="preserve">functional background of </w:t>
      </w:r>
      <w:r w:rsidR="00F9271A">
        <w:t>TMT</w:t>
      </w:r>
      <w:r w:rsidRPr="004962D7">
        <w:t xml:space="preserve"> is significant at the 1% level and the heterogeneity in education is significant at the 5% level, thus validating H1 and H2. i.e., the heterogeneity in </w:t>
      </w:r>
      <w:r w:rsidR="00F9271A">
        <w:t xml:space="preserve">the </w:t>
      </w:r>
      <w:r w:rsidRPr="004962D7">
        <w:t xml:space="preserve">functional background of </w:t>
      </w:r>
      <w:r w:rsidR="00F9271A">
        <w:t>TMT</w:t>
      </w:r>
      <w:r w:rsidRPr="004962D7">
        <w:t>, the heterogeneity in education</w:t>
      </w:r>
      <w:r w:rsidR="00F9271A">
        <w:t>,</w:t>
      </w:r>
      <w:r w:rsidRPr="004962D7">
        <w:t xml:space="preserve"> and the performance of the firm have </w:t>
      </w:r>
      <w:r w:rsidR="00F9271A">
        <w:t xml:space="preserve">an </w:t>
      </w:r>
      <w:r w:rsidRPr="004962D7">
        <w:t>"inverted U" type relationship. The relationship between functional background heterogeneity, education heterogeneity</w:t>
      </w:r>
      <w:r w:rsidR="00F9271A">
        <w:t>,</w:t>
      </w:r>
      <w:r w:rsidRPr="004962D7">
        <w:t xml:space="preserve"> and corporate performance is "inverted U".</w:t>
      </w:r>
    </w:p>
    <w:p w14:paraId="00FF44CD" w14:textId="79F7F73A" w:rsidR="00C130DC" w:rsidRDefault="00716A70" w:rsidP="001D67A0">
      <w:pPr>
        <w:jc w:val="center"/>
      </w:pPr>
      <w:r w:rsidRPr="00716A70">
        <w:rPr>
          <w:noProof/>
        </w:rPr>
        <w:lastRenderedPageBreak/>
        <w:drawing>
          <wp:inline distT="0" distB="0" distL="0" distR="0" wp14:anchorId="38D47185" wp14:editId="5770943D">
            <wp:extent cx="3562066" cy="2296087"/>
            <wp:effectExtent l="0" t="0" r="635" b="9525"/>
            <wp:docPr id="3" name="图形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3567809" cy="2299789"/>
                    </a:xfrm>
                    <a:prstGeom prst="rect">
                      <a:avLst/>
                    </a:prstGeom>
                  </pic:spPr>
                </pic:pic>
              </a:graphicData>
            </a:graphic>
          </wp:inline>
        </w:drawing>
      </w:r>
    </w:p>
    <w:p w14:paraId="2F4B198B" w14:textId="1EE94DDB" w:rsidR="001D67A0" w:rsidRDefault="001D67A0" w:rsidP="001D67A0">
      <w:pPr>
        <w:pStyle w:val="v1"/>
      </w:pPr>
      <w:r w:rsidRPr="00ED5824">
        <w:rPr>
          <w:rFonts w:hint="eastAsia"/>
        </w:rPr>
        <w:t xml:space="preserve">Figure 2 </w:t>
      </w:r>
      <w:r>
        <w:rPr>
          <w:rFonts w:hint="eastAsia"/>
        </w:rPr>
        <w:t xml:space="preserve">Diagram showing the relationship between </w:t>
      </w:r>
      <w:r w:rsidRPr="00ED5824">
        <w:rPr>
          <w:rFonts w:hint="eastAsia"/>
        </w:rPr>
        <w:t xml:space="preserve">functional background heterogeneity of the </w:t>
      </w:r>
      <w:r w:rsidR="003B6B7A">
        <w:rPr>
          <w:rFonts w:hint="eastAsia"/>
        </w:rPr>
        <w:t>TMT</w:t>
      </w:r>
      <w:r w:rsidRPr="00ED5824">
        <w:rPr>
          <w:rFonts w:hint="eastAsia"/>
        </w:rPr>
        <w:t xml:space="preserve"> </w:t>
      </w:r>
      <w:r>
        <w:rPr>
          <w:rFonts w:hint="eastAsia"/>
        </w:rPr>
        <w:t>and corporate performance</w:t>
      </w:r>
    </w:p>
    <w:p w14:paraId="6F1FC61B" w14:textId="3B66C08E" w:rsidR="001D67A0" w:rsidRDefault="00B13502" w:rsidP="001D67A0">
      <w:pPr>
        <w:jc w:val="center"/>
      </w:pPr>
      <w:r w:rsidRPr="00B13502">
        <w:rPr>
          <w:noProof/>
        </w:rPr>
        <w:drawing>
          <wp:inline distT="0" distB="0" distL="0" distR="0" wp14:anchorId="6FF5DEBA" wp14:editId="75B9D976">
            <wp:extent cx="3485222" cy="2246554"/>
            <wp:effectExtent l="0" t="0" r="1270" b="1905"/>
            <wp:docPr id="4" name="图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3514991" cy="2265743"/>
                    </a:xfrm>
                    <a:prstGeom prst="rect">
                      <a:avLst/>
                    </a:prstGeom>
                  </pic:spPr>
                </pic:pic>
              </a:graphicData>
            </a:graphic>
          </wp:inline>
        </w:drawing>
      </w:r>
    </w:p>
    <w:p w14:paraId="30FFE721" w14:textId="2656C570" w:rsidR="001D67A0" w:rsidRDefault="001D67A0" w:rsidP="001D67A0">
      <w:pPr>
        <w:pStyle w:val="v1"/>
      </w:pPr>
      <w:r w:rsidRPr="00ED5824">
        <w:rPr>
          <w:rFonts w:hint="eastAsia"/>
        </w:rPr>
        <w:t xml:space="preserve">Figure </w:t>
      </w:r>
      <w:r>
        <w:t xml:space="preserve">3 </w:t>
      </w:r>
      <w:r>
        <w:rPr>
          <w:rFonts w:hint="eastAsia"/>
        </w:rPr>
        <w:t xml:space="preserve">Graph showing the relationship between </w:t>
      </w:r>
      <w:r w:rsidRPr="00ED5824">
        <w:rPr>
          <w:rFonts w:hint="eastAsia"/>
        </w:rPr>
        <w:t xml:space="preserve">executive </w:t>
      </w:r>
      <w:r>
        <w:rPr>
          <w:rFonts w:hint="eastAsia"/>
        </w:rPr>
        <w:t xml:space="preserve">education </w:t>
      </w:r>
      <w:r w:rsidRPr="00ED5824">
        <w:rPr>
          <w:rFonts w:hint="eastAsia"/>
        </w:rPr>
        <w:t xml:space="preserve">heterogeneity </w:t>
      </w:r>
      <w:r>
        <w:rPr>
          <w:rFonts w:hint="eastAsia"/>
        </w:rPr>
        <w:t xml:space="preserve">and </w:t>
      </w:r>
      <w:r w:rsidR="00EA4460">
        <w:rPr>
          <w:rFonts w:hint="eastAsia"/>
        </w:rPr>
        <w:t>corporate performance</w:t>
      </w:r>
    </w:p>
    <w:p w14:paraId="6864D95D" w14:textId="159C4DAE" w:rsidR="00B216A4" w:rsidRDefault="00AE326D" w:rsidP="00B216A4">
      <w:r>
        <w:t>4</w:t>
      </w:r>
      <w:r w:rsidR="00B216A4" w:rsidRPr="00B216A4">
        <w:t xml:space="preserve">.3.2 Analysis of regression results of digital transformation on </w:t>
      </w:r>
      <w:r w:rsidR="00F9271A">
        <w:t xml:space="preserve">the </w:t>
      </w:r>
      <w:r w:rsidR="00B216A4" w:rsidRPr="00B216A4">
        <w:t>functional background and educational heterogeneity of the executive team.</w:t>
      </w:r>
    </w:p>
    <w:p w14:paraId="1F52823D" w14:textId="31A17764" w:rsidR="002240C9" w:rsidRPr="00D20E13" w:rsidRDefault="002240C9" w:rsidP="002240C9">
      <w:pPr>
        <w:pStyle w:val="v1"/>
      </w:pPr>
      <w:r w:rsidRPr="002240C9">
        <w:t xml:space="preserve">Table </w:t>
      </w:r>
      <w:r w:rsidR="00261903">
        <w:t>5</w:t>
      </w:r>
      <w:r w:rsidRPr="002240C9">
        <w:t>: Regression results of digital transformation and heterogeneity of functional background and education of the executive team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94"/>
        <w:gridCol w:w="3198"/>
        <w:gridCol w:w="2122"/>
      </w:tblGrid>
      <w:tr w:rsidR="004A2B7C" w14:paraId="1A142166" w14:textId="77777777" w:rsidTr="00A53985">
        <w:trPr>
          <w:tblCellSpacing w:w="15" w:type="dxa"/>
          <w:jc w:val="center"/>
        </w:trPr>
        <w:tc>
          <w:tcPr>
            <w:tcW w:w="0" w:type="auto"/>
            <w:tcBorders>
              <w:top w:val="single" w:sz="4" w:space="0" w:color="auto"/>
              <w:bottom w:val="single" w:sz="4" w:space="0" w:color="auto"/>
            </w:tcBorders>
            <w:vAlign w:val="center"/>
            <w:hideMark/>
          </w:tcPr>
          <w:p w14:paraId="11E73335" w14:textId="77777777" w:rsidR="004A2B7C" w:rsidRDefault="004A2B7C" w:rsidP="001659D7">
            <w:pPr>
              <w:widowControl/>
              <w:jc w:val="left"/>
              <w:rPr>
                <w:rFonts w:eastAsia="Times New Roman"/>
                <w:sz w:val="20"/>
              </w:rPr>
            </w:pPr>
          </w:p>
        </w:tc>
        <w:tc>
          <w:tcPr>
            <w:tcW w:w="0" w:type="auto"/>
            <w:tcBorders>
              <w:top w:val="single" w:sz="4" w:space="0" w:color="auto"/>
              <w:bottom w:val="single" w:sz="4" w:space="0" w:color="auto"/>
            </w:tcBorders>
            <w:vAlign w:val="center"/>
            <w:hideMark/>
          </w:tcPr>
          <w:p w14:paraId="6DA44607" w14:textId="6AE07095" w:rsidR="004A2B7C" w:rsidRDefault="005169B6" w:rsidP="002D6C4A">
            <w:pPr>
              <w:jc w:val="center"/>
              <w:rPr>
                <w:rFonts w:eastAsia="Times New Roman"/>
                <w:sz w:val="24"/>
                <w:szCs w:val="24"/>
              </w:rPr>
            </w:pPr>
            <w:r>
              <w:rPr>
                <w:rFonts w:eastAsia="Times New Roman"/>
              </w:rPr>
              <w:t>Functional background heterogeneity</w:t>
            </w:r>
          </w:p>
        </w:tc>
        <w:tc>
          <w:tcPr>
            <w:tcW w:w="0" w:type="auto"/>
            <w:tcBorders>
              <w:top w:val="single" w:sz="4" w:space="0" w:color="auto"/>
              <w:bottom w:val="single" w:sz="4" w:space="0" w:color="auto"/>
            </w:tcBorders>
            <w:vAlign w:val="center"/>
            <w:hideMark/>
          </w:tcPr>
          <w:p w14:paraId="521F6936" w14:textId="618B8B6B" w:rsidR="004A2B7C" w:rsidRDefault="005169B6" w:rsidP="002D6C4A">
            <w:pPr>
              <w:jc w:val="center"/>
              <w:rPr>
                <w:rFonts w:eastAsia="Times New Roman"/>
              </w:rPr>
            </w:pPr>
            <w:r>
              <w:rPr>
                <w:rFonts w:eastAsia="Times New Roman"/>
              </w:rPr>
              <w:t>Education heterogeneity</w:t>
            </w:r>
          </w:p>
        </w:tc>
      </w:tr>
      <w:tr w:rsidR="004A2B7C" w14:paraId="73F53297" w14:textId="77777777" w:rsidTr="004A2B7C">
        <w:trPr>
          <w:tblCellSpacing w:w="15" w:type="dxa"/>
          <w:jc w:val="center"/>
        </w:trPr>
        <w:tc>
          <w:tcPr>
            <w:tcW w:w="0" w:type="auto"/>
            <w:vAlign w:val="center"/>
            <w:hideMark/>
          </w:tcPr>
          <w:p w14:paraId="76F4BEC6" w14:textId="57E3F2CB" w:rsidR="004A2B7C" w:rsidRDefault="005169B6" w:rsidP="002D6C4A">
            <w:pPr>
              <w:jc w:val="left"/>
              <w:rPr>
                <w:rFonts w:eastAsia="Times New Roman"/>
                <w:sz w:val="24"/>
                <w:szCs w:val="24"/>
              </w:rPr>
            </w:pPr>
            <w:r>
              <w:rPr>
                <w:rFonts w:eastAsia="Times New Roman"/>
              </w:rPr>
              <w:t>Digital Transformation</w:t>
            </w:r>
          </w:p>
        </w:tc>
        <w:tc>
          <w:tcPr>
            <w:tcW w:w="0" w:type="auto"/>
            <w:vAlign w:val="center"/>
            <w:hideMark/>
          </w:tcPr>
          <w:p w14:paraId="2647AA7E" w14:textId="77777777" w:rsidR="004A2B7C" w:rsidRDefault="004A2B7C" w:rsidP="002D6C4A">
            <w:pPr>
              <w:jc w:val="center"/>
              <w:rPr>
                <w:rFonts w:eastAsia="Times New Roman"/>
              </w:rPr>
            </w:pPr>
            <w:r>
              <w:rPr>
                <w:rFonts w:eastAsia="Times New Roman"/>
              </w:rPr>
              <w:t>0.0002</w:t>
            </w:r>
            <w:r>
              <w:rPr>
                <w:rFonts w:eastAsia="Times New Roman"/>
                <w:vertAlign w:val="superscript"/>
              </w:rPr>
              <w:t>***</w:t>
            </w:r>
          </w:p>
        </w:tc>
        <w:tc>
          <w:tcPr>
            <w:tcW w:w="0" w:type="auto"/>
            <w:vAlign w:val="center"/>
            <w:hideMark/>
          </w:tcPr>
          <w:p w14:paraId="2664614B" w14:textId="77777777" w:rsidR="004A2B7C" w:rsidRDefault="004A2B7C" w:rsidP="002D6C4A">
            <w:pPr>
              <w:jc w:val="center"/>
              <w:rPr>
                <w:rFonts w:eastAsia="Times New Roman"/>
              </w:rPr>
            </w:pPr>
            <w:r>
              <w:rPr>
                <w:rFonts w:eastAsia="Times New Roman"/>
              </w:rPr>
              <w:t>0.0002</w:t>
            </w:r>
            <w:r>
              <w:rPr>
                <w:rFonts w:eastAsia="Times New Roman"/>
                <w:vertAlign w:val="superscript"/>
              </w:rPr>
              <w:t>**</w:t>
            </w:r>
          </w:p>
        </w:tc>
      </w:tr>
      <w:tr w:rsidR="004A2B7C" w14:paraId="79A12A9B" w14:textId="77777777" w:rsidTr="004A2B7C">
        <w:trPr>
          <w:tblCellSpacing w:w="15" w:type="dxa"/>
          <w:jc w:val="center"/>
        </w:trPr>
        <w:tc>
          <w:tcPr>
            <w:tcW w:w="0" w:type="auto"/>
            <w:vAlign w:val="center"/>
            <w:hideMark/>
          </w:tcPr>
          <w:p w14:paraId="20A2BB7A" w14:textId="77777777" w:rsidR="004A2B7C" w:rsidRDefault="004A2B7C" w:rsidP="002D6C4A">
            <w:pPr>
              <w:jc w:val="center"/>
              <w:rPr>
                <w:rFonts w:eastAsia="Times New Roman"/>
              </w:rPr>
            </w:pPr>
          </w:p>
        </w:tc>
        <w:tc>
          <w:tcPr>
            <w:tcW w:w="0" w:type="auto"/>
            <w:vAlign w:val="center"/>
            <w:hideMark/>
          </w:tcPr>
          <w:p w14:paraId="1DFEEB19" w14:textId="739AD20E" w:rsidR="004A2B7C" w:rsidRDefault="00A93D12" w:rsidP="002D6C4A">
            <w:pPr>
              <w:jc w:val="center"/>
              <w:rPr>
                <w:rFonts w:eastAsia="Times New Roman"/>
                <w:sz w:val="24"/>
                <w:szCs w:val="24"/>
              </w:rPr>
            </w:pPr>
            <w:r>
              <w:rPr>
                <w:rFonts w:eastAsia="Times New Roman"/>
              </w:rPr>
              <w:t>(</w:t>
            </w:r>
            <w:r w:rsidR="004A2B7C">
              <w:rPr>
                <w:rFonts w:eastAsia="Times New Roman"/>
              </w:rPr>
              <w:t>2.79</w:t>
            </w:r>
            <w:r w:rsidR="00B55E61">
              <w:rPr>
                <w:rFonts w:eastAsia="Times New Roman"/>
              </w:rPr>
              <w:t>)</w:t>
            </w:r>
          </w:p>
        </w:tc>
        <w:tc>
          <w:tcPr>
            <w:tcW w:w="0" w:type="auto"/>
            <w:vAlign w:val="center"/>
            <w:hideMark/>
          </w:tcPr>
          <w:p w14:paraId="578DE543" w14:textId="157951FC" w:rsidR="004A2B7C" w:rsidRDefault="00A93D12" w:rsidP="002D6C4A">
            <w:pPr>
              <w:jc w:val="center"/>
              <w:rPr>
                <w:rFonts w:eastAsia="Times New Roman"/>
              </w:rPr>
            </w:pPr>
            <w:r>
              <w:rPr>
                <w:rFonts w:eastAsia="Times New Roman"/>
              </w:rPr>
              <w:t>(</w:t>
            </w:r>
            <w:r w:rsidR="004A2B7C">
              <w:rPr>
                <w:rFonts w:eastAsia="Times New Roman"/>
              </w:rPr>
              <w:t>2.01</w:t>
            </w:r>
            <w:r w:rsidR="00B55E61">
              <w:rPr>
                <w:rFonts w:eastAsia="Times New Roman"/>
              </w:rPr>
              <w:t>)</w:t>
            </w:r>
          </w:p>
        </w:tc>
      </w:tr>
      <w:tr w:rsidR="004A2B7C" w14:paraId="30CCB6C9" w14:textId="77777777" w:rsidTr="004A2B7C">
        <w:trPr>
          <w:tblCellSpacing w:w="15" w:type="dxa"/>
          <w:jc w:val="center"/>
        </w:trPr>
        <w:tc>
          <w:tcPr>
            <w:tcW w:w="0" w:type="auto"/>
            <w:vAlign w:val="center"/>
            <w:hideMark/>
          </w:tcPr>
          <w:p w14:paraId="36EC7265" w14:textId="31017344" w:rsidR="004A2B7C" w:rsidRDefault="005169B6" w:rsidP="002D6C4A">
            <w:pPr>
              <w:jc w:val="left"/>
              <w:rPr>
                <w:rFonts w:eastAsia="Times New Roman"/>
              </w:rPr>
            </w:pPr>
            <w:r>
              <w:rPr>
                <w:rFonts w:eastAsia="Times New Roman"/>
              </w:rPr>
              <w:t>debt to asset ratio</w:t>
            </w:r>
          </w:p>
        </w:tc>
        <w:tc>
          <w:tcPr>
            <w:tcW w:w="0" w:type="auto"/>
            <w:vAlign w:val="center"/>
            <w:hideMark/>
          </w:tcPr>
          <w:p w14:paraId="27ED70B9" w14:textId="77777777" w:rsidR="004A2B7C" w:rsidRDefault="004A2B7C" w:rsidP="002D6C4A">
            <w:pPr>
              <w:jc w:val="center"/>
              <w:rPr>
                <w:rFonts w:eastAsia="Times New Roman"/>
              </w:rPr>
            </w:pPr>
            <w:r>
              <w:rPr>
                <w:rFonts w:eastAsia="Times New Roman"/>
              </w:rPr>
              <w:t>-0.001</w:t>
            </w:r>
          </w:p>
        </w:tc>
        <w:tc>
          <w:tcPr>
            <w:tcW w:w="0" w:type="auto"/>
            <w:vAlign w:val="center"/>
            <w:hideMark/>
          </w:tcPr>
          <w:p w14:paraId="5B0A2F7D" w14:textId="77777777" w:rsidR="004A2B7C" w:rsidRDefault="004A2B7C" w:rsidP="002D6C4A">
            <w:pPr>
              <w:jc w:val="center"/>
              <w:rPr>
                <w:rFonts w:eastAsia="Times New Roman"/>
              </w:rPr>
            </w:pPr>
            <w:r>
              <w:rPr>
                <w:rFonts w:eastAsia="Times New Roman"/>
              </w:rPr>
              <w:t>-0.003</w:t>
            </w:r>
          </w:p>
        </w:tc>
      </w:tr>
      <w:tr w:rsidR="004A2B7C" w14:paraId="7CFEA088" w14:textId="77777777" w:rsidTr="004A2B7C">
        <w:trPr>
          <w:tblCellSpacing w:w="15" w:type="dxa"/>
          <w:jc w:val="center"/>
        </w:trPr>
        <w:tc>
          <w:tcPr>
            <w:tcW w:w="0" w:type="auto"/>
            <w:vAlign w:val="center"/>
            <w:hideMark/>
          </w:tcPr>
          <w:p w14:paraId="388D17D5" w14:textId="77777777" w:rsidR="004A2B7C" w:rsidRDefault="004A2B7C" w:rsidP="002D6C4A">
            <w:pPr>
              <w:jc w:val="center"/>
              <w:rPr>
                <w:rFonts w:eastAsia="Times New Roman"/>
              </w:rPr>
            </w:pPr>
          </w:p>
        </w:tc>
        <w:tc>
          <w:tcPr>
            <w:tcW w:w="0" w:type="auto"/>
            <w:vAlign w:val="center"/>
            <w:hideMark/>
          </w:tcPr>
          <w:p w14:paraId="17D825EA" w14:textId="426D1990" w:rsidR="004A2B7C" w:rsidRDefault="00A93D12" w:rsidP="002D6C4A">
            <w:pPr>
              <w:jc w:val="center"/>
              <w:rPr>
                <w:rFonts w:eastAsia="Times New Roman"/>
                <w:sz w:val="24"/>
                <w:szCs w:val="24"/>
              </w:rPr>
            </w:pPr>
            <w:r>
              <w:rPr>
                <w:rFonts w:eastAsia="Times New Roman"/>
              </w:rPr>
              <w:t>(</w:t>
            </w:r>
            <w:r w:rsidR="004A2B7C">
              <w:rPr>
                <w:rFonts w:eastAsia="Times New Roman"/>
              </w:rPr>
              <w:t>-0.73</w:t>
            </w:r>
            <w:r w:rsidR="002B20A3">
              <w:rPr>
                <w:rFonts w:eastAsia="Times New Roman"/>
              </w:rPr>
              <w:t>)</w:t>
            </w:r>
          </w:p>
        </w:tc>
        <w:tc>
          <w:tcPr>
            <w:tcW w:w="0" w:type="auto"/>
            <w:vAlign w:val="center"/>
            <w:hideMark/>
          </w:tcPr>
          <w:p w14:paraId="5A334C30" w14:textId="377D8F53" w:rsidR="004A2B7C" w:rsidRDefault="00A93D12" w:rsidP="002D6C4A">
            <w:pPr>
              <w:jc w:val="center"/>
              <w:rPr>
                <w:rFonts w:eastAsia="Times New Roman"/>
              </w:rPr>
            </w:pPr>
            <w:r>
              <w:rPr>
                <w:rFonts w:eastAsia="Times New Roman"/>
              </w:rPr>
              <w:t>(</w:t>
            </w:r>
            <w:r w:rsidR="004A2B7C">
              <w:rPr>
                <w:rFonts w:eastAsia="Times New Roman"/>
              </w:rPr>
              <w:t>-1.26</w:t>
            </w:r>
            <w:r w:rsidR="00B55E61">
              <w:rPr>
                <w:rFonts w:eastAsia="Times New Roman"/>
              </w:rPr>
              <w:t>)</w:t>
            </w:r>
          </w:p>
        </w:tc>
      </w:tr>
      <w:tr w:rsidR="004A2B7C" w14:paraId="015CB975" w14:textId="77777777" w:rsidTr="004A2B7C">
        <w:trPr>
          <w:tblCellSpacing w:w="15" w:type="dxa"/>
          <w:jc w:val="center"/>
        </w:trPr>
        <w:tc>
          <w:tcPr>
            <w:tcW w:w="0" w:type="auto"/>
            <w:vAlign w:val="center"/>
            <w:hideMark/>
          </w:tcPr>
          <w:p w14:paraId="4F616C1B" w14:textId="4543CDB0" w:rsidR="004A2B7C" w:rsidRDefault="007A2942" w:rsidP="002D6C4A">
            <w:pPr>
              <w:jc w:val="left"/>
              <w:rPr>
                <w:rFonts w:eastAsia="Times New Roman"/>
              </w:rPr>
            </w:pPr>
            <w:r>
              <w:rPr>
                <w:rFonts w:eastAsia="Times New Roman"/>
              </w:rPr>
              <w:t>Return on assets</w:t>
            </w:r>
          </w:p>
        </w:tc>
        <w:tc>
          <w:tcPr>
            <w:tcW w:w="0" w:type="auto"/>
            <w:vAlign w:val="center"/>
            <w:hideMark/>
          </w:tcPr>
          <w:p w14:paraId="677D1475" w14:textId="77777777" w:rsidR="004A2B7C" w:rsidRDefault="004A2B7C" w:rsidP="002D6C4A">
            <w:pPr>
              <w:jc w:val="center"/>
              <w:rPr>
                <w:rFonts w:eastAsia="Times New Roman"/>
              </w:rPr>
            </w:pPr>
            <w:r>
              <w:rPr>
                <w:rFonts w:eastAsia="Times New Roman"/>
              </w:rPr>
              <w:t>-0.02</w:t>
            </w:r>
          </w:p>
        </w:tc>
        <w:tc>
          <w:tcPr>
            <w:tcW w:w="0" w:type="auto"/>
            <w:vAlign w:val="center"/>
            <w:hideMark/>
          </w:tcPr>
          <w:p w14:paraId="4486C5BD" w14:textId="77777777" w:rsidR="004A2B7C" w:rsidRDefault="004A2B7C" w:rsidP="002D6C4A">
            <w:pPr>
              <w:jc w:val="center"/>
              <w:rPr>
                <w:rFonts w:eastAsia="Times New Roman"/>
              </w:rPr>
            </w:pPr>
            <w:r>
              <w:rPr>
                <w:rFonts w:eastAsia="Times New Roman"/>
              </w:rPr>
              <w:t>-0.003</w:t>
            </w:r>
          </w:p>
        </w:tc>
      </w:tr>
      <w:tr w:rsidR="004A2B7C" w14:paraId="1913E290" w14:textId="77777777" w:rsidTr="004A2B7C">
        <w:trPr>
          <w:tblCellSpacing w:w="15" w:type="dxa"/>
          <w:jc w:val="center"/>
        </w:trPr>
        <w:tc>
          <w:tcPr>
            <w:tcW w:w="0" w:type="auto"/>
            <w:vAlign w:val="center"/>
            <w:hideMark/>
          </w:tcPr>
          <w:p w14:paraId="5D437027" w14:textId="77777777" w:rsidR="004A2B7C" w:rsidRDefault="004A2B7C" w:rsidP="002D6C4A">
            <w:pPr>
              <w:jc w:val="center"/>
              <w:rPr>
                <w:rFonts w:eastAsia="Times New Roman"/>
              </w:rPr>
            </w:pPr>
          </w:p>
        </w:tc>
        <w:tc>
          <w:tcPr>
            <w:tcW w:w="0" w:type="auto"/>
            <w:vAlign w:val="center"/>
            <w:hideMark/>
          </w:tcPr>
          <w:p w14:paraId="7F328047" w14:textId="3298310A" w:rsidR="004A2B7C" w:rsidRDefault="00A93D12" w:rsidP="002D6C4A">
            <w:pPr>
              <w:jc w:val="center"/>
              <w:rPr>
                <w:rFonts w:eastAsia="Times New Roman"/>
                <w:sz w:val="24"/>
                <w:szCs w:val="24"/>
              </w:rPr>
            </w:pPr>
            <w:r>
              <w:rPr>
                <w:rFonts w:eastAsia="Times New Roman"/>
              </w:rPr>
              <w:t>(</w:t>
            </w:r>
            <w:r w:rsidR="004A2B7C">
              <w:rPr>
                <w:rFonts w:eastAsia="Times New Roman"/>
              </w:rPr>
              <w:t>-1.24</w:t>
            </w:r>
            <w:r w:rsidR="00B55E61">
              <w:rPr>
                <w:rFonts w:eastAsia="Times New Roman"/>
              </w:rPr>
              <w:t>)</w:t>
            </w:r>
          </w:p>
        </w:tc>
        <w:tc>
          <w:tcPr>
            <w:tcW w:w="0" w:type="auto"/>
            <w:vAlign w:val="center"/>
            <w:hideMark/>
          </w:tcPr>
          <w:p w14:paraId="4F700F9D" w14:textId="53CB2005" w:rsidR="004A2B7C" w:rsidRDefault="00A93D12" w:rsidP="002D6C4A">
            <w:pPr>
              <w:jc w:val="center"/>
              <w:rPr>
                <w:rFonts w:eastAsia="Times New Roman"/>
              </w:rPr>
            </w:pPr>
            <w:r>
              <w:rPr>
                <w:rFonts w:eastAsia="Times New Roman"/>
              </w:rPr>
              <w:t>(</w:t>
            </w:r>
            <w:r w:rsidR="004A2B7C">
              <w:rPr>
                <w:rFonts w:eastAsia="Times New Roman"/>
              </w:rPr>
              <w:t>-0.18</w:t>
            </w:r>
            <w:r w:rsidR="00B55E61">
              <w:rPr>
                <w:rFonts w:eastAsia="Times New Roman"/>
              </w:rPr>
              <w:t>)</w:t>
            </w:r>
          </w:p>
        </w:tc>
      </w:tr>
      <w:tr w:rsidR="004A2B7C" w14:paraId="12E84CE6" w14:textId="77777777" w:rsidTr="004A2B7C">
        <w:trPr>
          <w:tblCellSpacing w:w="15" w:type="dxa"/>
          <w:jc w:val="center"/>
        </w:trPr>
        <w:tc>
          <w:tcPr>
            <w:tcW w:w="0" w:type="auto"/>
            <w:vAlign w:val="center"/>
            <w:hideMark/>
          </w:tcPr>
          <w:p w14:paraId="2AE770B3" w14:textId="03FCD52A" w:rsidR="004A2B7C" w:rsidRDefault="005169B6" w:rsidP="002D6C4A">
            <w:pPr>
              <w:jc w:val="left"/>
              <w:rPr>
                <w:rFonts w:eastAsia="Times New Roman"/>
              </w:rPr>
            </w:pPr>
            <w:r>
              <w:rPr>
                <w:rFonts w:eastAsia="Times New Roman"/>
              </w:rPr>
              <w:t>Number of TMT</w:t>
            </w:r>
          </w:p>
        </w:tc>
        <w:tc>
          <w:tcPr>
            <w:tcW w:w="0" w:type="auto"/>
            <w:vAlign w:val="center"/>
            <w:hideMark/>
          </w:tcPr>
          <w:p w14:paraId="0BDB5A53" w14:textId="77777777" w:rsidR="004A2B7C" w:rsidRDefault="004A2B7C" w:rsidP="002D6C4A">
            <w:pPr>
              <w:jc w:val="center"/>
              <w:rPr>
                <w:rFonts w:eastAsia="Times New Roman"/>
              </w:rPr>
            </w:pPr>
            <w:r>
              <w:rPr>
                <w:rFonts w:eastAsia="Times New Roman"/>
              </w:rPr>
              <w:t>0.003</w:t>
            </w:r>
            <w:r>
              <w:rPr>
                <w:rFonts w:eastAsia="Times New Roman"/>
                <w:vertAlign w:val="superscript"/>
              </w:rPr>
              <w:t>***</w:t>
            </w:r>
          </w:p>
        </w:tc>
        <w:tc>
          <w:tcPr>
            <w:tcW w:w="0" w:type="auto"/>
            <w:vAlign w:val="center"/>
            <w:hideMark/>
          </w:tcPr>
          <w:p w14:paraId="7924C6B7" w14:textId="77777777" w:rsidR="004A2B7C" w:rsidRDefault="004A2B7C" w:rsidP="002D6C4A">
            <w:pPr>
              <w:jc w:val="center"/>
              <w:rPr>
                <w:rFonts w:eastAsia="Times New Roman"/>
              </w:rPr>
            </w:pPr>
            <w:r>
              <w:rPr>
                <w:rFonts w:eastAsia="Times New Roman"/>
              </w:rPr>
              <w:t>0.003</w:t>
            </w:r>
            <w:r>
              <w:rPr>
                <w:rFonts w:eastAsia="Times New Roman"/>
                <w:vertAlign w:val="superscript"/>
              </w:rPr>
              <w:t>***</w:t>
            </w:r>
          </w:p>
        </w:tc>
      </w:tr>
      <w:tr w:rsidR="004A2B7C" w14:paraId="619A049E" w14:textId="77777777" w:rsidTr="004A2B7C">
        <w:trPr>
          <w:tblCellSpacing w:w="15" w:type="dxa"/>
          <w:jc w:val="center"/>
        </w:trPr>
        <w:tc>
          <w:tcPr>
            <w:tcW w:w="0" w:type="auto"/>
            <w:vAlign w:val="center"/>
            <w:hideMark/>
          </w:tcPr>
          <w:p w14:paraId="74DAD51D" w14:textId="77777777" w:rsidR="004A2B7C" w:rsidRDefault="004A2B7C" w:rsidP="002D6C4A">
            <w:pPr>
              <w:jc w:val="center"/>
              <w:rPr>
                <w:rFonts w:eastAsia="Times New Roman"/>
              </w:rPr>
            </w:pPr>
          </w:p>
        </w:tc>
        <w:tc>
          <w:tcPr>
            <w:tcW w:w="0" w:type="auto"/>
            <w:vAlign w:val="center"/>
            <w:hideMark/>
          </w:tcPr>
          <w:p w14:paraId="0A2EB745" w14:textId="139E2294" w:rsidR="004A2B7C" w:rsidRDefault="00A93D12" w:rsidP="002D6C4A">
            <w:pPr>
              <w:jc w:val="center"/>
              <w:rPr>
                <w:rFonts w:eastAsia="Times New Roman"/>
                <w:sz w:val="24"/>
                <w:szCs w:val="24"/>
              </w:rPr>
            </w:pPr>
            <w:r>
              <w:rPr>
                <w:rFonts w:eastAsia="Times New Roman"/>
              </w:rPr>
              <w:t>(</w:t>
            </w:r>
            <w:r w:rsidR="004A2B7C">
              <w:rPr>
                <w:rFonts w:eastAsia="Times New Roman"/>
              </w:rPr>
              <w:t>5.54</w:t>
            </w:r>
            <w:r w:rsidR="00B55E61">
              <w:rPr>
                <w:rFonts w:eastAsia="Times New Roman"/>
              </w:rPr>
              <w:t>)</w:t>
            </w:r>
          </w:p>
        </w:tc>
        <w:tc>
          <w:tcPr>
            <w:tcW w:w="0" w:type="auto"/>
            <w:vAlign w:val="center"/>
            <w:hideMark/>
          </w:tcPr>
          <w:p w14:paraId="3D397DC0" w14:textId="34A1485B" w:rsidR="004A2B7C" w:rsidRDefault="00A93D12" w:rsidP="002D6C4A">
            <w:pPr>
              <w:jc w:val="center"/>
              <w:rPr>
                <w:rFonts w:eastAsia="Times New Roman"/>
              </w:rPr>
            </w:pPr>
            <w:r>
              <w:rPr>
                <w:rFonts w:eastAsia="Times New Roman"/>
              </w:rPr>
              <w:t>(</w:t>
            </w:r>
            <w:r w:rsidR="004A2B7C">
              <w:rPr>
                <w:rFonts w:eastAsia="Times New Roman"/>
              </w:rPr>
              <w:t>4.15</w:t>
            </w:r>
            <w:r w:rsidR="00B55E61">
              <w:rPr>
                <w:rFonts w:eastAsia="Times New Roman"/>
              </w:rPr>
              <w:t>)</w:t>
            </w:r>
          </w:p>
        </w:tc>
      </w:tr>
      <w:tr w:rsidR="004A2B7C" w14:paraId="6F9D7C6A" w14:textId="77777777" w:rsidTr="004A2B7C">
        <w:trPr>
          <w:tblCellSpacing w:w="15" w:type="dxa"/>
          <w:jc w:val="center"/>
        </w:trPr>
        <w:tc>
          <w:tcPr>
            <w:tcW w:w="0" w:type="auto"/>
            <w:vAlign w:val="center"/>
            <w:hideMark/>
          </w:tcPr>
          <w:p w14:paraId="6CB00161" w14:textId="188269C5" w:rsidR="004A2B7C" w:rsidRDefault="005169B6" w:rsidP="002D6C4A">
            <w:pPr>
              <w:jc w:val="left"/>
              <w:rPr>
                <w:rFonts w:eastAsia="Times New Roman"/>
              </w:rPr>
            </w:pPr>
            <w:r>
              <w:rPr>
                <w:rFonts w:eastAsia="Times New Roman"/>
              </w:rPr>
              <w:t>Number of board meetings</w:t>
            </w:r>
          </w:p>
        </w:tc>
        <w:tc>
          <w:tcPr>
            <w:tcW w:w="0" w:type="auto"/>
            <w:vAlign w:val="center"/>
            <w:hideMark/>
          </w:tcPr>
          <w:p w14:paraId="3731DA3A" w14:textId="77777777" w:rsidR="004A2B7C" w:rsidRDefault="004A2B7C" w:rsidP="002D6C4A">
            <w:pPr>
              <w:jc w:val="center"/>
              <w:rPr>
                <w:rFonts w:eastAsia="Times New Roman"/>
              </w:rPr>
            </w:pPr>
            <w:r>
              <w:rPr>
                <w:rFonts w:eastAsia="Times New Roman"/>
              </w:rPr>
              <w:t>0.0005</w:t>
            </w:r>
          </w:p>
        </w:tc>
        <w:tc>
          <w:tcPr>
            <w:tcW w:w="0" w:type="auto"/>
            <w:vAlign w:val="center"/>
            <w:hideMark/>
          </w:tcPr>
          <w:p w14:paraId="0E8DC3CE" w14:textId="77777777" w:rsidR="004A2B7C" w:rsidRDefault="004A2B7C" w:rsidP="002D6C4A">
            <w:pPr>
              <w:jc w:val="center"/>
              <w:rPr>
                <w:rFonts w:eastAsia="Times New Roman"/>
              </w:rPr>
            </w:pPr>
            <w:r>
              <w:rPr>
                <w:rFonts w:eastAsia="Times New Roman"/>
              </w:rPr>
              <w:t>0.0003</w:t>
            </w:r>
          </w:p>
        </w:tc>
      </w:tr>
      <w:tr w:rsidR="004A2B7C" w14:paraId="6FB369FE" w14:textId="77777777" w:rsidTr="004A2B7C">
        <w:trPr>
          <w:tblCellSpacing w:w="15" w:type="dxa"/>
          <w:jc w:val="center"/>
        </w:trPr>
        <w:tc>
          <w:tcPr>
            <w:tcW w:w="0" w:type="auto"/>
            <w:vAlign w:val="center"/>
            <w:hideMark/>
          </w:tcPr>
          <w:p w14:paraId="07BAF2C3" w14:textId="77777777" w:rsidR="004A2B7C" w:rsidRDefault="004A2B7C" w:rsidP="002D6C4A">
            <w:pPr>
              <w:jc w:val="center"/>
              <w:rPr>
                <w:rFonts w:eastAsia="Times New Roman"/>
              </w:rPr>
            </w:pPr>
          </w:p>
        </w:tc>
        <w:tc>
          <w:tcPr>
            <w:tcW w:w="0" w:type="auto"/>
            <w:vAlign w:val="center"/>
            <w:hideMark/>
          </w:tcPr>
          <w:p w14:paraId="29FFC6E2" w14:textId="5D81C2F6" w:rsidR="004A2B7C" w:rsidRDefault="00A93D12" w:rsidP="002D6C4A">
            <w:pPr>
              <w:jc w:val="center"/>
              <w:rPr>
                <w:rFonts w:eastAsia="Times New Roman"/>
                <w:sz w:val="24"/>
                <w:szCs w:val="24"/>
              </w:rPr>
            </w:pPr>
            <w:r>
              <w:rPr>
                <w:rFonts w:eastAsia="Times New Roman"/>
              </w:rPr>
              <w:t>(</w:t>
            </w:r>
            <w:r w:rsidR="004A2B7C">
              <w:rPr>
                <w:rFonts w:eastAsia="Times New Roman"/>
              </w:rPr>
              <w:t>0.74</w:t>
            </w:r>
            <w:r w:rsidR="00B55E61">
              <w:rPr>
                <w:rFonts w:eastAsia="Times New Roman"/>
              </w:rPr>
              <w:t>)</w:t>
            </w:r>
          </w:p>
        </w:tc>
        <w:tc>
          <w:tcPr>
            <w:tcW w:w="0" w:type="auto"/>
            <w:vAlign w:val="center"/>
            <w:hideMark/>
          </w:tcPr>
          <w:p w14:paraId="547D8DBD" w14:textId="2A619491" w:rsidR="004A2B7C" w:rsidRDefault="00A93D12" w:rsidP="002D6C4A">
            <w:pPr>
              <w:jc w:val="center"/>
              <w:rPr>
                <w:rFonts w:eastAsia="Times New Roman"/>
              </w:rPr>
            </w:pPr>
            <w:r>
              <w:rPr>
                <w:rFonts w:eastAsia="Times New Roman"/>
              </w:rPr>
              <w:t>(</w:t>
            </w:r>
            <w:r w:rsidR="004A2B7C">
              <w:rPr>
                <w:rFonts w:eastAsia="Times New Roman"/>
              </w:rPr>
              <w:t>0.34</w:t>
            </w:r>
            <w:r w:rsidR="00B55E61">
              <w:rPr>
                <w:rFonts w:eastAsia="Times New Roman"/>
              </w:rPr>
              <w:t>)</w:t>
            </w:r>
          </w:p>
        </w:tc>
      </w:tr>
      <w:tr w:rsidR="004A2B7C" w14:paraId="59DFFA1E" w14:textId="77777777" w:rsidTr="004A2B7C">
        <w:trPr>
          <w:tblCellSpacing w:w="15" w:type="dxa"/>
          <w:jc w:val="center"/>
        </w:trPr>
        <w:tc>
          <w:tcPr>
            <w:tcW w:w="0" w:type="auto"/>
            <w:vAlign w:val="center"/>
            <w:hideMark/>
          </w:tcPr>
          <w:p w14:paraId="50F62969" w14:textId="2694B491" w:rsidR="004A2B7C" w:rsidRDefault="005169B6" w:rsidP="002D6C4A">
            <w:pPr>
              <w:jc w:val="left"/>
              <w:rPr>
                <w:rFonts w:eastAsia="Times New Roman"/>
              </w:rPr>
            </w:pPr>
            <w:r>
              <w:rPr>
                <w:rFonts w:eastAsia="Times New Roman"/>
              </w:rPr>
              <w:lastRenderedPageBreak/>
              <w:t>Number of years on the market</w:t>
            </w:r>
          </w:p>
        </w:tc>
        <w:tc>
          <w:tcPr>
            <w:tcW w:w="0" w:type="auto"/>
            <w:vAlign w:val="center"/>
            <w:hideMark/>
          </w:tcPr>
          <w:p w14:paraId="0E9F8FF8" w14:textId="77777777" w:rsidR="004A2B7C" w:rsidRDefault="004A2B7C" w:rsidP="002D6C4A">
            <w:pPr>
              <w:jc w:val="center"/>
              <w:rPr>
                <w:rFonts w:eastAsia="Times New Roman"/>
              </w:rPr>
            </w:pPr>
            <w:r>
              <w:rPr>
                <w:rFonts w:eastAsia="Times New Roman"/>
              </w:rPr>
              <w:t>0.0002</w:t>
            </w:r>
          </w:p>
        </w:tc>
        <w:tc>
          <w:tcPr>
            <w:tcW w:w="0" w:type="auto"/>
            <w:vAlign w:val="center"/>
            <w:hideMark/>
          </w:tcPr>
          <w:p w14:paraId="1A62C303" w14:textId="77777777" w:rsidR="004A2B7C" w:rsidRDefault="004A2B7C" w:rsidP="002D6C4A">
            <w:pPr>
              <w:jc w:val="center"/>
              <w:rPr>
                <w:rFonts w:eastAsia="Times New Roman"/>
              </w:rPr>
            </w:pPr>
            <w:r>
              <w:rPr>
                <w:rFonts w:eastAsia="Times New Roman"/>
              </w:rPr>
              <w:t>-0.01</w:t>
            </w:r>
            <w:r>
              <w:rPr>
                <w:rFonts w:eastAsia="Times New Roman"/>
                <w:vertAlign w:val="superscript"/>
              </w:rPr>
              <w:t>***</w:t>
            </w:r>
          </w:p>
        </w:tc>
      </w:tr>
      <w:tr w:rsidR="004A2B7C" w14:paraId="00F101A5" w14:textId="77777777" w:rsidTr="004A2B7C">
        <w:trPr>
          <w:tblCellSpacing w:w="15" w:type="dxa"/>
          <w:jc w:val="center"/>
        </w:trPr>
        <w:tc>
          <w:tcPr>
            <w:tcW w:w="0" w:type="auto"/>
            <w:vAlign w:val="center"/>
            <w:hideMark/>
          </w:tcPr>
          <w:p w14:paraId="008B3B4D" w14:textId="77777777" w:rsidR="004A2B7C" w:rsidRDefault="004A2B7C" w:rsidP="002D6C4A">
            <w:pPr>
              <w:jc w:val="center"/>
              <w:rPr>
                <w:rFonts w:eastAsia="Times New Roman"/>
              </w:rPr>
            </w:pPr>
          </w:p>
        </w:tc>
        <w:tc>
          <w:tcPr>
            <w:tcW w:w="0" w:type="auto"/>
            <w:vAlign w:val="center"/>
            <w:hideMark/>
          </w:tcPr>
          <w:p w14:paraId="786EA9BF" w14:textId="56213A6C" w:rsidR="004A2B7C" w:rsidRDefault="00A93D12" w:rsidP="002D6C4A">
            <w:pPr>
              <w:jc w:val="center"/>
              <w:rPr>
                <w:rFonts w:eastAsia="Times New Roman"/>
                <w:sz w:val="24"/>
                <w:szCs w:val="24"/>
              </w:rPr>
            </w:pPr>
            <w:r>
              <w:rPr>
                <w:rFonts w:eastAsia="Times New Roman"/>
              </w:rPr>
              <w:t>(</w:t>
            </w:r>
            <w:r w:rsidR="004A2B7C">
              <w:rPr>
                <w:rFonts w:eastAsia="Times New Roman"/>
              </w:rPr>
              <w:t>0.46</w:t>
            </w:r>
            <w:r w:rsidR="00B55E61">
              <w:rPr>
                <w:rFonts w:eastAsia="Times New Roman"/>
              </w:rPr>
              <w:t>)</w:t>
            </w:r>
          </w:p>
        </w:tc>
        <w:tc>
          <w:tcPr>
            <w:tcW w:w="0" w:type="auto"/>
            <w:vAlign w:val="center"/>
            <w:hideMark/>
          </w:tcPr>
          <w:p w14:paraId="48730E1B" w14:textId="7C8D396B" w:rsidR="004A2B7C" w:rsidRDefault="00A93D12" w:rsidP="002D6C4A">
            <w:pPr>
              <w:jc w:val="center"/>
              <w:rPr>
                <w:rFonts w:eastAsia="Times New Roman"/>
              </w:rPr>
            </w:pPr>
            <w:r>
              <w:rPr>
                <w:rFonts w:eastAsia="Times New Roman"/>
              </w:rPr>
              <w:t>(</w:t>
            </w:r>
            <w:r w:rsidR="004A2B7C">
              <w:rPr>
                <w:rFonts w:eastAsia="Times New Roman"/>
              </w:rPr>
              <w:t>-22.00</w:t>
            </w:r>
            <w:r w:rsidR="00B55E61">
              <w:rPr>
                <w:rFonts w:eastAsia="Times New Roman"/>
              </w:rPr>
              <w:t>)</w:t>
            </w:r>
          </w:p>
        </w:tc>
      </w:tr>
      <w:tr w:rsidR="004A2B7C" w14:paraId="460CA507" w14:textId="77777777" w:rsidTr="004A2B7C">
        <w:trPr>
          <w:tblCellSpacing w:w="15" w:type="dxa"/>
          <w:jc w:val="center"/>
        </w:trPr>
        <w:tc>
          <w:tcPr>
            <w:tcW w:w="0" w:type="auto"/>
            <w:vAlign w:val="center"/>
            <w:hideMark/>
          </w:tcPr>
          <w:p w14:paraId="38D8D6A2" w14:textId="77777777" w:rsidR="004A2B7C" w:rsidRDefault="004A2B7C" w:rsidP="002D6C4A">
            <w:pPr>
              <w:jc w:val="left"/>
              <w:rPr>
                <w:rFonts w:eastAsia="Times New Roman"/>
              </w:rPr>
            </w:pPr>
            <w:r>
              <w:rPr>
                <w:rFonts w:eastAsia="Times New Roman"/>
              </w:rPr>
              <w:t>Constant</w:t>
            </w:r>
          </w:p>
        </w:tc>
        <w:tc>
          <w:tcPr>
            <w:tcW w:w="0" w:type="auto"/>
            <w:vAlign w:val="center"/>
            <w:hideMark/>
          </w:tcPr>
          <w:p w14:paraId="71AEC776" w14:textId="77777777" w:rsidR="004A2B7C" w:rsidRDefault="004A2B7C" w:rsidP="002D6C4A">
            <w:pPr>
              <w:jc w:val="center"/>
              <w:rPr>
                <w:rFonts w:eastAsia="Times New Roman"/>
              </w:rPr>
            </w:pPr>
            <w:r>
              <w:rPr>
                <w:rFonts w:eastAsia="Times New Roman"/>
              </w:rPr>
              <w:t>0.56</w:t>
            </w:r>
            <w:r>
              <w:rPr>
                <w:rFonts w:eastAsia="Times New Roman"/>
                <w:vertAlign w:val="superscript"/>
              </w:rPr>
              <w:t>***</w:t>
            </w:r>
          </w:p>
        </w:tc>
        <w:tc>
          <w:tcPr>
            <w:tcW w:w="0" w:type="auto"/>
            <w:vAlign w:val="center"/>
            <w:hideMark/>
          </w:tcPr>
          <w:p w14:paraId="5926F187" w14:textId="77777777" w:rsidR="004A2B7C" w:rsidRDefault="004A2B7C" w:rsidP="002D6C4A">
            <w:pPr>
              <w:jc w:val="center"/>
              <w:rPr>
                <w:rFonts w:eastAsia="Times New Roman"/>
              </w:rPr>
            </w:pPr>
            <w:r>
              <w:rPr>
                <w:rFonts w:eastAsia="Times New Roman"/>
              </w:rPr>
              <w:t>0.51</w:t>
            </w:r>
            <w:r>
              <w:rPr>
                <w:rFonts w:eastAsia="Times New Roman"/>
                <w:vertAlign w:val="superscript"/>
              </w:rPr>
              <w:t>***</w:t>
            </w:r>
          </w:p>
        </w:tc>
      </w:tr>
      <w:tr w:rsidR="004A2B7C" w14:paraId="596C9BA6" w14:textId="77777777" w:rsidTr="001659D7">
        <w:trPr>
          <w:tblCellSpacing w:w="15" w:type="dxa"/>
          <w:jc w:val="center"/>
        </w:trPr>
        <w:tc>
          <w:tcPr>
            <w:tcW w:w="0" w:type="auto"/>
            <w:tcBorders>
              <w:bottom w:val="single" w:sz="4" w:space="0" w:color="auto"/>
            </w:tcBorders>
            <w:vAlign w:val="center"/>
            <w:hideMark/>
          </w:tcPr>
          <w:p w14:paraId="6E23E757" w14:textId="77777777" w:rsidR="004A2B7C" w:rsidRDefault="004A2B7C" w:rsidP="002D6C4A">
            <w:pPr>
              <w:jc w:val="center"/>
              <w:rPr>
                <w:rFonts w:eastAsia="Times New Roman"/>
              </w:rPr>
            </w:pPr>
          </w:p>
        </w:tc>
        <w:tc>
          <w:tcPr>
            <w:tcW w:w="0" w:type="auto"/>
            <w:tcBorders>
              <w:bottom w:val="single" w:sz="4" w:space="0" w:color="auto"/>
            </w:tcBorders>
            <w:vAlign w:val="center"/>
            <w:hideMark/>
          </w:tcPr>
          <w:p w14:paraId="726EE0B9" w14:textId="32BFF6BA" w:rsidR="004A2B7C" w:rsidRDefault="00A93D12" w:rsidP="002D6C4A">
            <w:pPr>
              <w:jc w:val="center"/>
              <w:rPr>
                <w:rFonts w:eastAsia="Times New Roman"/>
                <w:sz w:val="24"/>
                <w:szCs w:val="24"/>
              </w:rPr>
            </w:pPr>
            <w:r>
              <w:rPr>
                <w:rFonts w:eastAsia="Times New Roman"/>
              </w:rPr>
              <w:t>(</w:t>
            </w:r>
            <w:r w:rsidR="004A2B7C">
              <w:rPr>
                <w:rFonts w:eastAsia="Times New Roman"/>
              </w:rPr>
              <w:t>76.69</w:t>
            </w:r>
            <w:r w:rsidR="00190489">
              <w:rPr>
                <w:rFonts w:eastAsia="Times New Roman"/>
              </w:rPr>
              <w:t>)</w:t>
            </w:r>
          </w:p>
        </w:tc>
        <w:tc>
          <w:tcPr>
            <w:tcW w:w="0" w:type="auto"/>
            <w:tcBorders>
              <w:bottom w:val="single" w:sz="4" w:space="0" w:color="auto"/>
            </w:tcBorders>
            <w:vAlign w:val="center"/>
            <w:hideMark/>
          </w:tcPr>
          <w:p w14:paraId="22B01D9C" w14:textId="09690F19" w:rsidR="004A2B7C" w:rsidRDefault="00A93D12" w:rsidP="002D6C4A">
            <w:pPr>
              <w:jc w:val="center"/>
              <w:rPr>
                <w:rFonts w:eastAsia="Times New Roman"/>
              </w:rPr>
            </w:pPr>
            <w:r>
              <w:rPr>
                <w:rFonts w:eastAsia="Times New Roman"/>
              </w:rPr>
              <w:t>(</w:t>
            </w:r>
            <w:r w:rsidR="004A2B7C">
              <w:rPr>
                <w:rFonts w:eastAsia="Times New Roman"/>
              </w:rPr>
              <w:t>61.27</w:t>
            </w:r>
            <w:r w:rsidR="00190489">
              <w:rPr>
                <w:rFonts w:eastAsia="Times New Roman"/>
              </w:rPr>
              <w:t>)</w:t>
            </w:r>
          </w:p>
        </w:tc>
      </w:tr>
    </w:tbl>
    <w:p w14:paraId="29A25F46" w14:textId="76A9CFA4" w:rsidR="00336B69" w:rsidRDefault="00336B69" w:rsidP="00336B69">
      <w:r w:rsidRPr="007A0F8B">
        <w:rPr>
          <w:rFonts w:hAnsi="宋体" w:hint="eastAsia"/>
          <w:sz w:val="15"/>
          <w:szCs w:val="15"/>
        </w:rPr>
        <w:t xml:space="preserve">Number of observations </w:t>
      </w:r>
      <w:r w:rsidRPr="00F34158">
        <w:rPr>
          <w:rFonts w:hAnsi="宋体"/>
          <w:sz w:val="15"/>
          <w:szCs w:val="15"/>
        </w:rPr>
        <w:t xml:space="preserve">23,968 </w:t>
      </w:r>
      <w:r w:rsidRPr="007A0F8B">
        <w:rPr>
          <w:rFonts w:hAnsi="宋体" w:hint="eastAsia"/>
          <w:sz w:val="15"/>
          <w:szCs w:val="15"/>
        </w:rPr>
        <w:t xml:space="preserve">Number of groups </w:t>
      </w:r>
      <w:r>
        <w:rPr>
          <w:rFonts w:hAnsi="宋体"/>
          <w:sz w:val="15"/>
          <w:szCs w:val="15"/>
        </w:rPr>
        <w:t xml:space="preserve">3107 </w:t>
      </w:r>
      <w:r w:rsidRPr="007A0F8B">
        <w:rPr>
          <w:rFonts w:hAnsi="宋体" w:hint="eastAsia"/>
          <w:sz w:val="15"/>
          <w:szCs w:val="15"/>
        </w:rPr>
        <w:t xml:space="preserve">t-values </w:t>
      </w:r>
      <w:r w:rsidRPr="007A0F8B">
        <w:rPr>
          <w:rFonts w:hAnsi="宋体"/>
          <w:sz w:val="15"/>
          <w:szCs w:val="15"/>
        </w:rPr>
        <w:t>in brackets *** p&lt;0.01, ** p&lt;0.05, * p&lt;0.1</w:t>
      </w:r>
    </w:p>
    <w:p w14:paraId="01A8EEFB" w14:textId="2BBAA4A4" w:rsidR="00313DF2" w:rsidRPr="00336B69" w:rsidRDefault="00C907A1" w:rsidP="00450EC6">
      <w:pPr>
        <w:pStyle w:val="v"/>
      </w:pPr>
      <w:r w:rsidRPr="00C907A1">
        <w:t>As the regression results in columns 1 and 2 in Table 5 show, digital transformation and executive team functional background heterogeneity are significant at the 1% level; digital transformation and educational heterogeneity are significant at the 5% level, thus validating H3 and H4. i.e., digital transformation has a positive effect on executive team functional background heterogeneity and educational heterogeneity.</w:t>
      </w:r>
    </w:p>
    <w:p w14:paraId="6452B76D" w14:textId="0CD02AF8" w:rsidR="001D67A0" w:rsidRDefault="00AE326D" w:rsidP="001D67A0">
      <w:pPr>
        <w:pStyle w:val="1"/>
        <w:ind w:left="0"/>
      </w:pPr>
      <w:bookmarkStart w:id="14" w:name="_Toc82596217"/>
      <w:r>
        <w:t>5</w:t>
      </w:r>
      <w:r w:rsidR="001D67A0">
        <w:rPr>
          <w:rFonts w:hint="eastAsia"/>
        </w:rPr>
        <w:t xml:space="preserve"> Research findings and insights</w:t>
      </w:r>
      <w:bookmarkEnd w:id="14"/>
    </w:p>
    <w:p w14:paraId="5453B3A7" w14:textId="79CB5B53" w:rsidR="001D67A0" w:rsidRDefault="00AE326D" w:rsidP="001D67A0">
      <w:pPr>
        <w:pStyle w:val="2"/>
      </w:pPr>
      <w:bookmarkStart w:id="15" w:name="_Toc82596218"/>
      <w:r>
        <w:t>5</w:t>
      </w:r>
      <w:r w:rsidR="001D67A0" w:rsidRPr="00BE2853">
        <w:t xml:space="preserve">.1 </w:t>
      </w:r>
      <w:r w:rsidR="001D67A0">
        <w:rPr>
          <w:rFonts w:hint="eastAsia"/>
        </w:rPr>
        <w:t>Research findings</w:t>
      </w:r>
      <w:bookmarkEnd w:id="15"/>
      <w:r w:rsidR="001D67A0">
        <w:rPr>
          <w:rFonts w:hint="eastAsia"/>
        </w:rPr>
        <w:t xml:space="preserve"> </w:t>
      </w:r>
    </w:p>
    <w:p w14:paraId="30A60AB8" w14:textId="72F16874" w:rsidR="009D28C7" w:rsidRDefault="0027065E" w:rsidP="00450EC6">
      <w:pPr>
        <w:pStyle w:val="v"/>
      </w:pPr>
      <w:r w:rsidRPr="0027065E">
        <w:t>The impact of TMT heterogeneity on corporate performance has been a hot topic, yet research results are mixed and there are few studies on the antecedents of TMT heterogeneity.</w:t>
      </w:r>
    </w:p>
    <w:p w14:paraId="205F7DB6" w14:textId="6ED193D8" w:rsidR="00EA4F34" w:rsidRDefault="00F9271A" w:rsidP="00450EC6">
      <w:pPr>
        <w:pStyle w:val="v"/>
      </w:pPr>
      <w:r>
        <w:t>Given</w:t>
      </w:r>
      <w:r w:rsidR="00333AA8" w:rsidRPr="00333AA8">
        <w:t xml:space="preserve"> this, this paper uses the CSMAR database of companies from 2008-2019 as the basis. The empirical study using SAS and R software concludes the following: First, the heterogeneity of TMT education and functional background has an "inverted U" effect on firm performance. In other words, when the level of heterogeneity is low, it has a positive impact on firm performance; while as the level of heterogeneity increases beyond a certain "specific point", heterogeneity h</w:t>
      </w:r>
      <w:r>
        <w:t>urts</w:t>
      </w:r>
      <w:r w:rsidR="00333AA8" w:rsidRPr="00333AA8">
        <w:t xml:space="preserve"> firm performance. Second, digital transformation has a positive effect on TMT educational and functional background heterogeneity, and this finding suggests that the demand for heterogeneous members increases when companies are in a complex and competitive business environment.</w:t>
      </w:r>
      <w:r w:rsidR="00B47404">
        <w:t xml:space="preserve"> </w:t>
      </w:r>
    </w:p>
    <w:p w14:paraId="24746B5F" w14:textId="623ED2E4" w:rsidR="003E149D" w:rsidRDefault="00AE326D" w:rsidP="003E149D">
      <w:pPr>
        <w:pStyle w:val="2"/>
      </w:pPr>
      <w:r>
        <w:t>5</w:t>
      </w:r>
      <w:r w:rsidR="003E149D" w:rsidRPr="00BE2853">
        <w:t>.</w:t>
      </w:r>
      <w:r w:rsidR="00F076CE">
        <w:t>2</w:t>
      </w:r>
      <w:r w:rsidR="003E149D" w:rsidRPr="00BE2853">
        <w:t xml:space="preserve"> </w:t>
      </w:r>
      <w:r w:rsidR="003E149D">
        <w:rPr>
          <w:rFonts w:hint="eastAsia"/>
        </w:rPr>
        <w:t>implications</w:t>
      </w:r>
    </w:p>
    <w:p w14:paraId="08F902FF" w14:textId="1CFA2811" w:rsidR="00B03F80" w:rsidRDefault="00947B62" w:rsidP="00450EC6">
      <w:pPr>
        <w:pStyle w:val="v"/>
      </w:pPr>
      <w:r>
        <w:t xml:space="preserve">First, </w:t>
      </w:r>
      <w:r>
        <w:rPr>
          <w:rFonts w:hint="eastAsia"/>
        </w:rPr>
        <w:t>t</w:t>
      </w:r>
      <w:r w:rsidR="001D67A0">
        <w:rPr>
          <w:rFonts w:hint="eastAsia"/>
        </w:rPr>
        <w:t xml:space="preserve">his study </w:t>
      </w:r>
      <w:r w:rsidR="001D67A0" w:rsidRPr="00BF51B5">
        <w:rPr>
          <w:rFonts w:hint="eastAsia"/>
        </w:rPr>
        <w:t xml:space="preserve">breaks through the linear framework of heterogeneity theory and reveals the non-linear relationship between </w:t>
      </w:r>
      <w:r w:rsidR="00E75312">
        <w:t xml:space="preserve">TMT </w:t>
      </w:r>
      <w:r w:rsidR="001D67A0" w:rsidRPr="00BF51B5">
        <w:rPr>
          <w:rFonts w:hint="eastAsia"/>
        </w:rPr>
        <w:t xml:space="preserve">heterogeneity and corporate performance. The heterogeneity of functional backgrounds and educational attainment of the </w:t>
      </w:r>
      <w:r w:rsidR="003B6B7A">
        <w:rPr>
          <w:rFonts w:hint="eastAsia"/>
        </w:rPr>
        <w:t>TMT</w:t>
      </w:r>
      <w:r w:rsidR="001D67A0" w:rsidRPr="00BF51B5">
        <w:rPr>
          <w:rFonts w:hint="eastAsia"/>
        </w:rPr>
        <w:t xml:space="preserve"> has an "inverted U" effect on corporate performance</w:t>
      </w:r>
      <w:r w:rsidR="00573B87">
        <w:t>.</w:t>
      </w:r>
      <w:r w:rsidR="0066325F">
        <w:t xml:space="preserve"> </w:t>
      </w:r>
      <w:r w:rsidR="00B03F80" w:rsidRPr="00B03F80">
        <w:t>This finding is a breakthrough from the existing research framework of "higher level of heterogeneity is better" in</w:t>
      </w:r>
      <w:r w:rsidR="00B03F80">
        <w:t xml:space="preserve"> </w:t>
      </w:r>
      <w:r w:rsidR="00F9271A">
        <w:t xml:space="preserve">the </w:t>
      </w:r>
      <w:r w:rsidR="00B03F80" w:rsidRPr="00B03F80">
        <w:t>"</w:t>
      </w:r>
      <w:r w:rsidR="007A4C7E" w:rsidRPr="007A4C7E">
        <w:t>information/decision-making perspective</w:t>
      </w:r>
      <w:r w:rsidR="00B03F80" w:rsidRPr="00B03F80">
        <w:t xml:space="preserve"> " or "lower level of heterogeneity is better" in</w:t>
      </w:r>
      <w:r w:rsidR="00B03F80">
        <w:t xml:space="preserve"> </w:t>
      </w:r>
      <w:r w:rsidR="00F9271A">
        <w:t xml:space="preserve">the </w:t>
      </w:r>
      <w:r w:rsidR="00B03F80" w:rsidRPr="00B03F80">
        <w:t>"</w:t>
      </w:r>
      <w:r w:rsidR="007A4C7E" w:rsidRPr="007A4C7E">
        <w:t>social categorization perspective</w:t>
      </w:r>
      <w:r w:rsidR="00B03F80" w:rsidRPr="00B03F80">
        <w:t xml:space="preserve"> ".</w:t>
      </w:r>
      <w:r w:rsidR="009466D0">
        <w:t xml:space="preserve"> </w:t>
      </w:r>
      <w:r w:rsidR="00264133" w:rsidRPr="00264133">
        <w:t>This finding also reveals more precisely the applicability of both theories to Chinese listed companies.</w:t>
      </w:r>
    </w:p>
    <w:p w14:paraId="25BEEF5D" w14:textId="50B615C7" w:rsidR="001D67A0" w:rsidRDefault="001E40D6" w:rsidP="00450EC6">
      <w:pPr>
        <w:pStyle w:val="v"/>
      </w:pPr>
      <w:r w:rsidRPr="00C47F97">
        <w:t>Second, the conclusions drawn have stronger external validity. Although there is a wealth of research on the relationship between TMT heterogeneity and corporate performance, the findings are mixed</w:t>
      </w:r>
      <w:r>
        <w:t xml:space="preserve"> </w:t>
      </w:r>
      <w:r w:rsidRPr="00C47F97">
        <w:t xml:space="preserve">[13] The reasons for this are that many scholars have selected companies in a </w:t>
      </w:r>
      <w:proofErr w:type="gramStart"/>
      <w:r w:rsidRPr="00C47F97">
        <w:t>particular industry</w:t>
      </w:r>
      <w:proofErr w:type="gramEnd"/>
      <w:r w:rsidRPr="00C47F97">
        <w:t xml:space="preserve"> or sector as their sample, resulting in findings that are valid only for certain industries. Or their research is only selected for a short period, which makes it difficult to reflect on the </w:t>
      </w:r>
      <w:r w:rsidRPr="00C47F97">
        <w:lastRenderedPageBreak/>
        <w:t>development of the company and the changing trends</w:t>
      </w:r>
      <w:r>
        <w:t xml:space="preserve"> </w:t>
      </w:r>
      <w:r w:rsidRPr="00C47F97">
        <w:t xml:space="preserve">[16, 25]. This paper selects all listed A-share companies in the CSMAR database from 2008-2019 as the research sample, selecting </w:t>
      </w:r>
      <w:proofErr w:type="gramStart"/>
      <w:r w:rsidRPr="00C47F97">
        <w:t>a large number of</w:t>
      </w:r>
      <w:proofErr w:type="gramEnd"/>
      <w:r w:rsidRPr="00C47F97">
        <w:t xml:space="preserve"> listed companies and covering a wide range of industries, the conclusions drawn have stronger external validity and enrich the empirical research results on TMT heterogeneity and corporate performance.</w:t>
      </w:r>
    </w:p>
    <w:p w14:paraId="57468DDA" w14:textId="114EFEF7" w:rsidR="00772F9F" w:rsidRDefault="001E40D6" w:rsidP="00450EC6">
      <w:pPr>
        <w:pStyle w:val="v"/>
      </w:pPr>
      <w:r w:rsidRPr="005D5010">
        <w:t>Third, the antecedents of TMT heterogeneity are explored. "</w:t>
      </w:r>
      <w:r>
        <w:t>TMT</w:t>
      </w:r>
      <w:r w:rsidRPr="005D5010">
        <w:t xml:space="preserve"> heterogeneity" is a complete concept, but the current literature has mainly explored the possibility that TMT heterogeneity may have some impact [14]. The results of this paper demonstrate that digital transformation leads to higher levels of TMT heterogeneity, which expands the study of TMT heterogeneity antecedents and enriches the theoretical framework of the Upper Echelons Theory.</w:t>
      </w:r>
    </w:p>
    <w:p w14:paraId="28F198BB" w14:textId="46E07610" w:rsidR="001D67A0" w:rsidRDefault="00AE326D" w:rsidP="001D67A0">
      <w:pPr>
        <w:pStyle w:val="2"/>
      </w:pPr>
      <w:bookmarkStart w:id="16" w:name="_Toc82596219"/>
      <w:r>
        <w:t>5</w:t>
      </w:r>
      <w:r w:rsidR="001D67A0" w:rsidRPr="00BE2853">
        <w:t>.</w:t>
      </w:r>
      <w:r>
        <w:t>3</w:t>
      </w:r>
      <w:r w:rsidR="001D67A0">
        <w:t xml:space="preserve"> </w:t>
      </w:r>
      <w:r w:rsidR="001D67A0">
        <w:rPr>
          <w:rFonts w:hint="eastAsia"/>
        </w:rPr>
        <w:t>Management Insights</w:t>
      </w:r>
      <w:bookmarkEnd w:id="16"/>
    </w:p>
    <w:p w14:paraId="577CFE85" w14:textId="355963BD" w:rsidR="001D67A0" w:rsidRDefault="001E40D6" w:rsidP="00450EC6">
      <w:pPr>
        <w:pStyle w:val="v"/>
      </w:pPr>
      <w:r w:rsidRPr="00BA5E59">
        <w:t>Based on the hypotheses confirmed in this study, this paper offers the following management insights. The "inverted U" shaped relationship between TMT functional background, educational heterogeneity, and corporate performance suggest</w:t>
      </w:r>
      <w:r>
        <w:t>s</w:t>
      </w:r>
      <w:r w:rsidRPr="00BA5E59">
        <w:t xml:space="preserve"> that TMT heterogeneity should be at the "middle" level. On the one hand, the different functional and educational backgrounds of TMT can bring knowledge, experience, and perspectives from different fields and perspectives. This facilitates mutual learning among members and ultimately improves the quality of decision-making and implementation. On the other hand, when the characteristics of TMT members are too different, they can easily form "cliques" and lead to conflicts. Therefore, companies should optimize the structure of their TMT according to their current composition, keeping the heterogeneity of the team members as " middle " as possible.</w:t>
      </w:r>
    </w:p>
    <w:p w14:paraId="550F9902" w14:textId="7D8A53EF" w:rsidR="005B39CC" w:rsidRDefault="001E40D6" w:rsidP="00450EC6">
      <w:pPr>
        <w:pStyle w:val="v"/>
      </w:pPr>
      <w:r w:rsidRPr="00BA5E59">
        <w:t>In addition, as digital transformation continues, the demand for digital talent increases. Therefore, companies need to build a team with diverse backgrounds and skills to respond to the new business environment and the diverse needs of consumers to maintain their competitiveness.</w:t>
      </w:r>
    </w:p>
    <w:p w14:paraId="713D242F" w14:textId="4E2FCBF9" w:rsidR="001D67A0" w:rsidRDefault="00AE326D" w:rsidP="001D67A0">
      <w:pPr>
        <w:pStyle w:val="2"/>
      </w:pPr>
      <w:r>
        <w:t>5</w:t>
      </w:r>
      <w:r w:rsidR="001D67A0" w:rsidRPr="00BE2853">
        <w:t>.</w:t>
      </w:r>
      <w:r>
        <w:t>4</w:t>
      </w:r>
      <w:r w:rsidR="001D67A0">
        <w:t xml:space="preserve"> </w:t>
      </w:r>
      <w:r w:rsidR="001D67A0">
        <w:rPr>
          <w:rFonts w:hint="eastAsia"/>
        </w:rPr>
        <w:t>Research outlook</w:t>
      </w:r>
    </w:p>
    <w:p w14:paraId="51A2002E" w14:textId="02C9663A" w:rsidR="001D67A0" w:rsidRDefault="001D67A0" w:rsidP="00450EC6">
      <w:pPr>
        <w:pStyle w:val="v"/>
      </w:pPr>
      <w:r>
        <w:rPr>
          <w:rFonts w:hint="eastAsia"/>
        </w:rPr>
        <w:t xml:space="preserve">As companies do not fully disclose the background information of their </w:t>
      </w:r>
      <w:r w:rsidR="003B6B7A">
        <w:rPr>
          <w:rFonts w:hint="eastAsia"/>
        </w:rPr>
        <w:t>TMT</w:t>
      </w:r>
      <w:r>
        <w:rPr>
          <w:rFonts w:hint="eastAsia"/>
        </w:rPr>
        <w:t xml:space="preserve"> members, and certain characteristics of executive members are difficult to measure (e.g. executive personality, risk appetite, values, etc.), this paper selects functional background and </w:t>
      </w:r>
      <w:r w:rsidR="00561177">
        <w:rPr>
          <w:rFonts w:hint="eastAsia"/>
        </w:rPr>
        <w:t>educational heterogeneity</w:t>
      </w:r>
      <w:r>
        <w:rPr>
          <w:rFonts w:hint="eastAsia"/>
        </w:rPr>
        <w:t xml:space="preserve"> of </w:t>
      </w:r>
      <w:r w:rsidR="003B6B7A">
        <w:rPr>
          <w:rFonts w:hint="eastAsia"/>
        </w:rPr>
        <w:t>TMT</w:t>
      </w:r>
      <w:r>
        <w:rPr>
          <w:rFonts w:hint="eastAsia"/>
        </w:rPr>
        <w:t xml:space="preserve"> for this study. Future research can be conducted through questionnaires and interviews to address the less observable characteristics of </w:t>
      </w:r>
      <w:r w:rsidR="003B6B7A">
        <w:rPr>
          <w:rFonts w:hint="eastAsia"/>
        </w:rPr>
        <w:t>TMT</w:t>
      </w:r>
      <w:r>
        <w:rPr>
          <w:rFonts w:hint="eastAsia"/>
        </w:rPr>
        <w:t xml:space="preserve"> members such as "personality and values".</w:t>
      </w:r>
    </w:p>
    <w:p w14:paraId="4EEDCE22" w14:textId="77777777" w:rsidR="001D67A0" w:rsidRDefault="001D67A0" w:rsidP="001D67A0">
      <w:pPr>
        <w:jc w:val="center"/>
        <w:rPr>
          <w:rFonts w:asciiTheme="minorHAnsi" w:eastAsia="黑体" w:hAnsiTheme="minorHAnsi" w:cstheme="minorBidi"/>
          <w:b/>
          <w:sz w:val="18"/>
          <w:szCs w:val="18"/>
        </w:rPr>
      </w:pPr>
      <w:bookmarkStart w:id="17" w:name="_Toc82596221"/>
      <w:r w:rsidRPr="00192566">
        <w:rPr>
          <w:rFonts w:asciiTheme="minorHAnsi" w:eastAsia="黑体" w:hAnsiTheme="minorHAnsi" w:cstheme="minorBidi" w:hint="eastAsia"/>
          <w:b/>
          <w:sz w:val="18"/>
          <w:szCs w:val="18"/>
        </w:rPr>
        <w:t>References</w:t>
      </w:r>
      <w:bookmarkEnd w:id="17"/>
    </w:p>
    <w:p w14:paraId="61523743" w14:textId="77777777" w:rsidR="00F00D29" w:rsidRPr="00DB58B2" w:rsidRDefault="00F00D29" w:rsidP="00F00D29">
      <w:pPr>
        <w:pStyle w:val="EndNoteBibliography"/>
        <w:ind w:left="720" w:hanging="720"/>
      </w:pPr>
      <w:r w:rsidRPr="00DB58B2">
        <w:t>1.</w:t>
      </w:r>
      <w:r w:rsidRPr="00DB58B2">
        <w:tab/>
        <w:t xml:space="preserve">Hambrick, D. C.; Mason, P. A., Upper Echelons: The Organization as a Reflection of Its Top Managers. </w:t>
      </w:r>
      <w:r w:rsidRPr="00DB58B2">
        <w:rPr>
          <w:i/>
        </w:rPr>
        <w:t xml:space="preserve">The Academy of Management Review </w:t>
      </w:r>
      <w:r w:rsidRPr="00DB58B2">
        <w:rPr>
          <w:b/>
        </w:rPr>
        <w:t>1984,</w:t>
      </w:r>
      <w:r w:rsidRPr="00DB58B2">
        <w:t xml:space="preserve"> 9, (2), 193-206.</w:t>
      </w:r>
    </w:p>
    <w:p w14:paraId="2A1EFC8D" w14:textId="77777777" w:rsidR="00F00D29" w:rsidRPr="00DB58B2" w:rsidRDefault="00F00D29" w:rsidP="00F00D29">
      <w:pPr>
        <w:pStyle w:val="EndNoteBibliography"/>
        <w:ind w:left="720" w:hanging="720"/>
      </w:pPr>
      <w:r w:rsidRPr="00DB58B2">
        <w:t>2.</w:t>
      </w:r>
      <w:r w:rsidRPr="00DB58B2">
        <w:tab/>
        <w:t xml:space="preserve">Richard, O. C.; Shelor, R. M., Linking top management team age heterogeneity to firm performance: Juxtaposing two mid-range theories. </w:t>
      </w:r>
      <w:r w:rsidRPr="00DB58B2">
        <w:rPr>
          <w:i/>
        </w:rPr>
        <w:t xml:space="preserve">International Journal </w:t>
      </w:r>
      <w:r w:rsidRPr="00DB58B2">
        <w:rPr>
          <w:i/>
        </w:rPr>
        <w:lastRenderedPageBreak/>
        <w:t xml:space="preserve">of Human Resource Management </w:t>
      </w:r>
      <w:r w:rsidRPr="00DB58B2">
        <w:rPr>
          <w:b/>
        </w:rPr>
        <w:t>2002,</w:t>
      </w:r>
      <w:r w:rsidRPr="00DB58B2">
        <w:t xml:space="preserve"> 13, (6), 958-974.</w:t>
      </w:r>
    </w:p>
    <w:p w14:paraId="01CB86B1" w14:textId="77777777" w:rsidR="00F00D29" w:rsidRPr="00DB58B2" w:rsidRDefault="00F00D29" w:rsidP="00F00D29">
      <w:pPr>
        <w:pStyle w:val="EndNoteBibliography"/>
        <w:ind w:left="720" w:hanging="720"/>
      </w:pPr>
      <w:r w:rsidRPr="00DB58B2">
        <w:t>3.</w:t>
      </w:r>
      <w:r w:rsidRPr="00DB58B2">
        <w:tab/>
        <w:t xml:space="preserve">Homberg, F.; Bui, H. T., Top management team diversity: A systematic review. </w:t>
      </w:r>
      <w:r w:rsidRPr="00DB58B2">
        <w:rPr>
          <w:i/>
        </w:rPr>
        <w:t xml:space="preserve">Group &amp; Organization Management </w:t>
      </w:r>
      <w:r w:rsidRPr="00DB58B2">
        <w:rPr>
          <w:b/>
        </w:rPr>
        <w:t>2013,</w:t>
      </w:r>
      <w:r w:rsidRPr="00DB58B2">
        <w:t xml:space="preserve"> 38, (4), 455-479.</w:t>
      </w:r>
    </w:p>
    <w:p w14:paraId="77FAE321" w14:textId="77777777" w:rsidR="00F00D29" w:rsidRPr="00DB58B2" w:rsidRDefault="00F00D29" w:rsidP="00F00D29">
      <w:pPr>
        <w:pStyle w:val="EndNoteBibliography"/>
        <w:ind w:left="720" w:hanging="720"/>
      </w:pPr>
      <w:r w:rsidRPr="00DB58B2">
        <w:t>4.</w:t>
      </w:r>
      <w:r w:rsidRPr="00DB58B2">
        <w:tab/>
        <w:t xml:space="preserve">Watson, W. E.; Johnson, L.; Merritt, D., Team orientation, self-orientation, and diversity in task groups: Their connection to team performance over time. </w:t>
      </w:r>
      <w:r w:rsidRPr="00DB58B2">
        <w:rPr>
          <w:i/>
        </w:rPr>
        <w:t xml:space="preserve">Group &amp; organization management </w:t>
      </w:r>
      <w:r w:rsidRPr="000F28A6">
        <w:rPr>
          <w:b/>
        </w:rPr>
        <w:t>1998,</w:t>
      </w:r>
      <w:r w:rsidRPr="00DB58B2">
        <w:t xml:space="preserve"> 23, (2), 161-188.</w:t>
      </w:r>
    </w:p>
    <w:p w14:paraId="6EE856FC" w14:textId="77777777" w:rsidR="00F00D29" w:rsidRPr="00DB58B2" w:rsidRDefault="00F00D29" w:rsidP="00F00D29">
      <w:pPr>
        <w:pStyle w:val="EndNoteBibliography"/>
        <w:ind w:left="720" w:hanging="720"/>
      </w:pPr>
      <w:r w:rsidRPr="00DB58B2">
        <w:rPr>
          <w:rFonts w:hint="eastAsia"/>
        </w:rPr>
        <w:t>5.</w:t>
      </w:r>
      <w:r w:rsidRPr="00DB58B2">
        <w:rPr>
          <w:rFonts w:hint="eastAsia"/>
        </w:rPr>
        <w:tab/>
      </w:r>
      <w:r>
        <w:rPr>
          <w:rFonts w:hint="eastAsia"/>
        </w:rPr>
        <w:t>Hu</w:t>
      </w:r>
      <w:r>
        <w:t>, F.;</w:t>
      </w:r>
      <w:r w:rsidRPr="00DB58B2">
        <w:rPr>
          <w:rFonts w:hint="eastAsia"/>
        </w:rPr>
        <w:t xml:space="preserve"> </w:t>
      </w:r>
      <w:r>
        <w:rPr>
          <w:rFonts w:hint="eastAsia"/>
        </w:rPr>
        <w:t>Z</w:t>
      </w:r>
      <w:r>
        <w:t>hao H.</w:t>
      </w:r>
      <w:r w:rsidRPr="00DB58B2">
        <w:rPr>
          <w:rFonts w:hint="eastAsia"/>
        </w:rPr>
        <w:t xml:space="preserve">; </w:t>
      </w:r>
      <w:r>
        <w:rPr>
          <w:rFonts w:hint="eastAsia"/>
        </w:rPr>
        <w:t>L</w:t>
      </w:r>
      <w:r>
        <w:t>iu C.</w:t>
      </w:r>
      <w:r w:rsidRPr="00DB58B2">
        <w:rPr>
          <w:rFonts w:hint="eastAsia"/>
        </w:rPr>
        <w:t xml:space="preserve"> </w:t>
      </w:r>
      <w:r w:rsidRPr="00D322D9">
        <w:t>Effect of Solver Diversity on the Performance of Online Innovation Contests</w:t>
      </w:r>
      <w:r w:rsidRPr="00DB58B2">
        <w:rPr>
          <w:rFonts w:hint="eastAsia"/>
        </w:rPr>
        <w:t xml:space="preserve">. </w:t>
      </w:r>
      <w:r w:rsidRPr="00A60E00">
        <w:rPr>
          <w:i/>
        </w:rPr>
        <w:t>R&amp;D MANAGEMENT</w:t>
      </w:r>
      <w:r w:rsidRPr="00D322D9">
        <w:rPr>
          <w:rFonts w:hint="eastAsia"/>
        </w:rPr>
        <w:t xml:space="preserve"> </w:t>
      </w:r>
      <w:r w:rsidRPr="000F28A6">
        <w:rPr>
          <w:rFonts w:hint="eastAsia"/>
          <w:b/>
        </w:rPr>
        <w:t>2020,</w:t>
      </w:r>
      <w:r w:rsidRPr="00DB58B2">
        <w:rPr>
          <w:rFonts w:hint="eastAsia"/>
        </w:rPr>
        <w:t xml:space="preserve"> 32, (01), 89-100.</w:t>
      </w:r>
    </w:p>
    <w:p w14:paraId="625DE4FA" w14:textId="77777777" w:rsidR="00F00D29" w:rsidRPr="00DB58B2" w:rsidRDefault="00F00D29" w:rsidP="00F00D29">
      <w:pPr>
        <w:pStyle w:val="EndNoteBibliography"/>
        <w:ind w:left="720" w:hanging="720"/>
      </w:pPr>
      <w:r w:rsidRPr="00DB58B2">
        <w:t>6.</w:t>
      </w:r>
      <w:r w:rsidRPr="00DB58B2">
        <w:tab/>
        <w:t xml:space="preserve">Van Knippenberg, D.; De Dreu, C. K.; Homan, A. C., Work group diversity and group performance: an integrative model and research agenda. </w:t>
      </w:r>
      <w:r w:rsidRPr="00DB58B2">
        <w:rPr>
          <w:i/>
        </w:rPr>
        <w:t xml:space="preserve">Journal of applied psychology </w:t>
      </w:r>
      <w:r w:rsidRPr="00DB58B2">
        <w:rPr>
          <w:b/>
        </w:rPr>
        <w:t>2004,</w:t>
      </w:r>
      <w:r w:rsidRPr="00DB58B2">
        <w:t xml:space="preserve"> 89, (6), 1008.</w:t>
      </w:r>
    </w:p>
    <w:p w14:paraId="47262628" w14:textId="77777777" w:rsidR="00F00D29" w:rsidRPr="00DB58B2" w:rsidRDefault="00F00D29" w:rsidP="00F00D29">
      <w:pPr>
        <w:pStyle w:val="EndNoteBibliography"/>
        <w:ind w:left="720" w:hanging="720"/>
      </w:pPr>
      <w:r w:rsidRPr="00DB58B2">
        <w:t>7.</w:t>
      </w:r>
      <w:r w:rsidRPr="00DB58B2">
        <w:tab/>
        <w:t xml:space="preserve">Hogg, M. A.; Reid, S. A., Social identity, self-categorization, and the communication of group norms. </w:t>
      </w:r>
      <w:r w:rsidRPr="00DB58B2">
        <w:rPr>
          <w:i/>
        </w:rPr>
        <w:t xml:space="preserve">Communication theory </w:t>
      </w:r>
      <w:r w:rsidRPr="00DB58B2">
        <w:rPr>
          <w:b/>
        </w:rPr>
        <w:t>2006,</w:t>
      </w:r>
      <w:r w:rsidRPr="00DB58B2">
        <w:t xml:space="preserve"> 16, (1), 7-30.</w:t>
      </w:r>
    </w:p>
    <w:p w14:paraId="1D92B67B" w14:textId="77777777" w:rsidR="00F00D29" w:rsidRPr="00DB58B2" w:rsidRDefault="00F00D29" w:rsidP="00F00D29">
      <w:pPr>
        <w:pStyle w:val="EndNoteBibliography"/>
        <w:ind w:left="720" w:hanging="720"/>
      </w:pPr>
      <w:r w:rsidRPr="00DB58B2">
        <w:rPr>
          <w:rFonts w:hint="eastAsia"/>
        </w:rPr>
        <w:t>8.</w:t>
      </w:r>
      <w:r w:rsidRPr="00DB58B2">
        <w:rPr>
          <w:rFonts w:hint="eastAsia"/>
        </w:rPr>
        <w:tab/>
      </w:r>
      <w:r w:rsidRPr="001139ED">
        <w:t>D</w:t>
      </w:r>
      <w:r>
        <w:t>eng,</w:t>
      </w:r>
      <w:r w:rsidRPr="001139ED">
        <w:t xml:space="preserve"> X</w:t>
      </w:r>
      <w:r>
        <w:t>.</w:t>
      </w:r>
      <w:r w:rsidRPr="00DB58B2">
        <w:rPr>
          <w:rFonts w:hint="eastAsia"/>
        </w:rPr>
        <w:t xml:space="preserve">; </w:t>
      </w:r>
      <w:r>
        <w:rPr>
          <w:rFonts w:hint="eastAsia"/>
        </w:rPr>
        <w:t>L</w:t>
      </w:r>
      <w:r>
        <w:t>iu, Y.</w:t>
      </w:r>
      <w:r w:rsidRPr="00DB58B2">
        <w:rPr>
          <w:rFonts w:hint="eastAsia"/>
        </w:rPr>
        <w:t xml:space="preserve">; </w:t>
      </w:r>
      <w:r>
        <w:rPr>
          <w:rFonts w:hint="eastAsia"/>
        </w:rPr>
        <w:t>L</w:t>
      </w:r>
      <w:r>
        <w:t>ong, X.</w:t>
      </w:r>
      <w:r w:rsidRPr="00DB58B2">
        <w:rPr>
          <w:rFonts w:hint="eastAsia"/>
        </w:rPr>
        <w:t xml:space="preserve">; </w:t>
      </w:r>
      <w:r>
        <w:rPr>
          <w:rFonts w:hint="eastAsia"/>
        </w:rPr>
        <w:t>L</w:t>
      </w:r>
      <w:r>
        <w:t>uo,Z.</w:t>
      </w:r>
      <w:r w:rsidRPr="00DB58B2">
        <w:rPr>
          <w:rFonts w:hint="eastAsia"/>
        </w:rPr>
        <w:t xml:space="preserve">; </w:t>
      </w:r>
      <w:r>
        <w:rPr>
          <w:rFonts w:hint="eastAsia"/>
        </w:rPr>
        <w:t>L</w:t>
      </w:r>
      <w:r>
        <w:t>uo,H.</w:t>
      </w:r>
      <w:r w:rsidRPr="00DB58B2">
        <w:rPr>
          <w:rFonts w:hint="eastAsia"/>
        </w:rPr>
        <w:t xml:space="preserve"> </w:t>
      </w:r>
      <w:r>
        <w:t>The impact of TMT functional heterogeneity on corporate performance: The mediating effect of managerial cognition and group conflict</w:t>
      </w:r>
      <w:r w:rsidRPr="00DB58B2">
        <w:rPr>
          <w:rFonts w:hint="eastAsia"/>
        </w:rPr>
        <w:t xml:space="preserve">. </w:t>
      </w:r>
      <w:r w:rsidRPr="00760889">
        <w:rPr>
          <w:i/>
        </w:rPr>
        <w:t>Journal of Industrial Engineering/Engineering Management</w:t>
      </w:r>
      <w:r w:rsidRPr="00DB58B2">
        <w:rPr>
          <w:rFonts w:hint="eastAsia"/>
          <w:i/>
        </w:rPr>
        <w:t xml:space="preserve"> </w:t>
      </w:r>
      <w:r w:rsidRPr="00DB58B2">
        <w:rPr>
          <w:rFonts w:hint="eastAsia"/>
          <w:b/>
        </w:rPr>
        <w:t>2020,</w:t>
      </w:r>
      <w:r w:rsidRPr="00DB58B2">
        <w:rPr>
          <w:rFonts w:hint="eastAsia"/>
        </w:rPr>
        <w:t xml:space="preserve"> 34, (03), 32-44.</w:t>
      </w:r>
    </w:p>
    <w:p w14:paraId="206F6061" w14:textId="77777777" w:rsidR="00F00D29" w:rsidRPr="00DB58B2" w:rsidRDefault="00F00D29" w:rsidP="00F00D29">
      <w:pPr>
        <w:pStyle w:val="EndNoteBibliography"/>
        <w:ind w:left="720" w:hanging="720"/>
      </w:pPr>
      <w:r w:rsidRPr="00DB58B2">
        <w:rPr>
          <w:rFonts w:hint="eastAsia"/>
        </w:rPr>
        <w:t>9.</w:t>
      </w:r>
      <w:r w:rsidRPr="00DB58B2">
        <w:rPr>
          <w:rFonts w:hint="eastAsia"/>
        </w:rPr>
        <w:tab/>
      </w:r>
      <w:r>
        <w:t>Wang, X.</w:t>
      </w:r>
      <w:r w:rsidRPr="00DB58B2">
        <w:rPr>
          <w:rFonts w:hint="eastAsia"/>
        </w:rPr>
        <w:t xml:space="preserve">; </w:t>
      </w:r>
      <w:r>
        <w:rPr>
          <w:rFonts w:hint="eastAsia"/>
        </w:rPr>
        <w:t>M</w:t>
      </w:r>
      <w:r>
        <w:t>a, L.</w:t>
      </w:r>
      <w:r w:rsidRPr="00DB58B2">
        <w:rPr>
          <w:rFonts w:hint="eastAsia"/>
        </w:rPr>
        <w:t xml:space="preserve">; </w:t>
      </w:r>
      <w:r>
        <w:rPr>
          <w:rFonts w:hint="eastAsia"/>
        </w:rPr>
        <w:t>W</w:t>
      </w:r>
      <w:r>
        <w:t>ang, Y.</w:t>
      </w:r>
      <w:r w:rsidRPr="00DB58B2">
        <w:rPr>
          <w:rFonts w:hint="eastAsia"/>
        </w:rPr>
        <w:t xml:space="preserve"> </w:t>
      </w:r>
      <w:r>
        <w:t>The Impact of TMT Functional Background on Firm Performance: Evidence from IT Public Listed Companies in China</w:t>
      </w:r>
      <w:r w:rsidRPr="00DB58B2">
        <w:rPr>
          <w:rFonts w:hint="eastAsia"/>
        </w:rPr>
        <w:t xml:space="preserve">. </w:t>
      </w:r>
      <w:r w:rsidRPr="00E00B28">
        <w:rPr>
          <w:i/>
        </w:rPr>
        <w:t>Nankai Business Review</w:t>
      </w:r>
      <w:r w:rsidRPr="00DB58B2">
        <w:rPr>
          <w:rFonts w:hint="eastAsia"/>
          <w:i/>
        </w:rPr>
        <w:t xml:space="preserve"> </w:t>
      </w:r>
      <w:r w:rsidRPr="00DB58B2">
        <w:rPr>
          <w:rFonts w:hint="eastAsia"/>
          <w:b/>
        </w:rPr>
        <w:t>2013,</w:t>
      </w:r>
      <w:r w:rsidRPr="00DB58B2">
        <w:rPr>
          <w:rFonts w:hint="eastAsia"/>
        </w:rPr>
        <w:t xml:space="preserve"> 16, (04), 80-93.</w:t>
      </w:r>
    </w:p>
    <w:p w14:paraId="6BD13EF4" w14:textId="77777777" w:rsidR="00F00D29" w:rsidRPr="00DB58B2" w:rsidRDefault="00F00D29" w:rsidP="00F00D29">
      <w:pPr>
        <w:pStyle w:val="EndNoteBibliography"/>
        <w:ind w:left="720" w:hanging="720"/>
      </w:pPr>
      <w:r w:rsidRPr="00DB58B2">
        <w:rPr>
          <w:rFonts w:hint="eastAsia"/>
        </w:rPr>
        <w:t>10.</w:t>
      </w:r>
      <w:r w:rsidRPr="00DB58B2">
        <w:rPr>
          <w:rFonts w:hint="eastAsia"/>
        </w:rPr>
        <w:tab/>
      </w:r>
      <w:r>
        <w:rPr>
          <w:rFonts w:hint="eastAsia"/>
        </w:rPr>
        <w:t>W</w:t>
      </w:r>
      <w:r>
        <w:t>ang Y.</w:t>
      </w:r>
      <w:r w:rsidRPr="00DB58B2">
        <w:rPr>
          <w:rFonts w:hint="eastAsia"/>
        </w:rPr>
        <w:t xml:space="preserve">; </w:t>
      </w:r>
      <w:r>
        <w:rPr>
          <w:rFonts w:hint="eastAsia"/>
        </w:rPr>
        <w:t>W</w:t>
      </w:r>
      <w:r>
        <w:t>ang Y.</w:t>
      </w:r>
      <w:r w:rsidRPr="00DB58B2">
        <w:rPr>
          <w:rFonts w:hint="eastAsia"/>
        </w:rPr>
        <w:t xml:space="preserve">; </w:t>
      </w:r>
      <w:r>
        <w:rPr>
          <w:rFonts w:hint="eastAsia"/>
        </w:rPr>
        <w:t>C</w:t>
      </w:r>
      <w:r>
        <w:t>heng H.</w:t>
      </w:r>
      <w:r w:rsidRPr="00DB58B2">
        <w:rPr>
          <w:rFonts w:hint="eastAsia"/>
        </w:rPr>
        <w:t xml:space="preserve"> </w:t>
      </w:r>
      <w:r w:rsidRPr="00E33DFA">
        <w:rPr>
          <w:rFonts w:hint="eastAsia"/>
        </w:rPr>
        <w:t>Top management team heterogeneity</w:t>
      </w:r>
      <w:r w:rsidRPr="00E33DFA">
        <w:rPr>
          <w:rFonts w:hint="eastAsia"/>
        </w:rPr>
        <w:t>，</w:t>
      </w:r>
      <w:r w:rsidRPr="00E33DFA">
        <w:rPr>
          <w:rFonts w:hint="eastAsia"/>
        </w:rPr>
        <w:t>strategic ambidexterity and firm performance</w:t>
      </w:r>
      <w:r w:rsidRPr="00DB58B2">
        <w:rPr>
          <w:rFonts w:hint="eastAsia"/>
          <w:i/>
        </w:rPr>
        <w:t xml:space="preserve"> </w:t>
      </w:r>
      <w:r w:rsidRPr="00DB58B2">
        <w:rPr>
          <w:rFonts w:hint="eastAsia"/>
          <w:b/>
        </w:rPr>
        <w:t>2015,</w:t>
      </w:r>
      <w:r w:rsidRPr="00DB58B2">
        <w:rPr>
          <w:rFonts w:hint="eastAsia"/>
        </w:rPr>
        <w:t xml:space="preserve"> 36, (11), 89-97.</w:t>
      </w:r>
    </w:p>
    <w:p w14:paraId="55690F0D" w14:textId="77777777" w:rsidR="00F00D29" w:rsidRPr="00DB58B2" w:rsidRDefault="00F00D29" w:rsidP="00F00D29">
      <w:pPr>
        <w:pStyle w:val="EndNoteBibliography"/>
        <w:ind w:left="720" w:hanging="720"/>
      </w:pPr>
      <w:r w:rsidRPr="00DB58B2">
        <w:t>11.</w:t>
      </w:r>
      <w:r w:rsidRPr="00DB58B2">
        <w:tab/>
        <w:t xml:space="preserve">Bengtsson, M.; Raza-Ullah, T.; Srivastava, M. K., Looking different vs thinking differently: Impact of TMT diversity on coopetition capability. </w:t>
      </w:r>
      <w:r w:rsidRPr="00DB58B2">
        <w:rPr>
          <w:i/>
        </w:rPr>
        <w:t xml:space="preserve">Long Range Planning </w:t>
      </w:r>
      <w:r w:rsidRPr="00DB58B2">
        <w:rPr>
          <w:b/>
        </w:rPr>
        <w:t>2020,</w:t>
      </w:r>
      <w:r w:rsidRPr="00DB58B2">
        <w:t xml:space="preserve"> 53, (1), 101857.</w:t>
      </w:r>
    </w:p>
    <w:p w14:paraId="3A733BAB" w14:textId="77777777" w:rsidR="00F00D29" w:rsidRPr="00DB58B2" w:rsidRDefault="00F00D29" w:rsidP="00F00D29">
      <w:pPr>
        <w:pStyle w:val="EndNoteBibliography"/>
        <w:ind w:left="720" w:hanging="720"/>
      </w:pPr>
      <w:r w:rsidRPr="00DB58B2">
        <w:rPr>
          <w:rFonts w:hint="eastAsia"/>
        </w:rPr>
        <w:t>12.</w:t>
      </w:r>
      <w:r w:rsidRPr="00DB58B2">
        <w:rPr>
          <w:rFonts w:hint="eastAsia"/>
        </w:rPr>
        <w:tab/>
      </w:r>
      <w:r>
        <w:rPr>
          <w:rFonts w:hint="eastAsia"/>
        </w:rPr>
        <w:t>H</w:t>
      </w:r>
      <w:r>
        <w:t>u W.</w:t>
      </w:r>
      <w:r w:rsidRPr="00DB58B2">
        <w:rPr>
          <w:rFonts w:hint="eastAsia"/>
        </w:rPr>
        <w:t xml:space="preserve">; </w:t>
      </w:r>
      <w:r>
        <w:rPr>
          <w:rFonts w:hint="eastAsia"/>
        </w:rPr>
        <w:t>Z</w:t>
      </w:r>
      <w:r>
        <w:t>hang Y.</w:t>
      </w:r>
      <w:r w:rsidRPr="00DB58B2">
        <w:rPr>
          <w:rFonts w:hint="eastAsia"/>
        </w:rPr>
        <w:t xml:space="preserve">; </w:t>
      </w:r>
      <w:r>
        <w:rPr>
          <w:rFonts w:hint="eastAsia"/>
        </w:rPr>
        <w:t>Y</w:t>
      </w:r>
      <w:r>
        <w:t>ang J.</w:t>
      </w:r>
      <w:r w:rsidRPr="00DB58B2">
        <w:rPr>
          <w:rFonts w:hint="eastAsia"/>
        </w:rPr>
        <w:t xml:space="preserve"> </w:t>
      </w:r>
      <w:r w:rsidRPr="005C2AF9">
        <w:t>The Micro-processes of the Change in the Cognition of the Management of Firms:A longitudinal Case Study on the Two National Sengong Groups</w:t>
      </w:r>
      <w:r w:rsidRPr="00DB58B2">
        <w:rPr>
          <w:rFonts w:hint="eastAsia"/>
        </w:rPr>
        <w:t xml:space="preserve">. </w:t>
      </w:r>
      <w:r w:rsidRPr="004673BC">
        <w:rPr>
          <w:i/>
        </w:rPr>
        <w:t>MANAGEMENT WORLD</w:t>
      </w:r>
      <w:r w:rsidRPr="00DB58B2">
        <w:rPr>
          <w:rFonts w:hint="eastAsia"/>
          <w:i/>
        </w:rPr>
        <w:t xml:space="preserve"> </w:t>
      </w:r>
      <w:r w:rsidRPr="00DB58B2">
        <w:rPr>
          <w:rFonts w:hint="eastAsia"/>
          <w:b/>
        </w:rPr>
        <w:t>2014</w:t>
      </w:r>
      <w:r w:rsidRPr="00DB58B2">
        <w:rPr>
          <w:rFonts w:hint="eastAsia"/>
        </w:rPr>
        <w:t>, (06), 92-109+187-188.</w:t>
      </w:r>
    </w:p>
    <w:p w14:paraId="71C4CFB5" w14:textId="77777777" w:rsidR="00F00D29" w:rsidRPr="00DB58B2" w:rsidRDefault="00F00D29" w:rsidP="00F00D29">
      <w:pPr>
        <w:pStyle w:val="EndNoteBibliography"/>
        <w:ind w:left="720" w:hanging="720"/>
      </w:pPr>
      <w:r w:rsidRPr="00DB58B2">
        <w:t>13.</w:t>
      </w:r>
      <w:r w:rsidRPr="00DB58B2">
        <w:tab/>
        <w:t xml:space="preserve">Horwitz, S. K.; Horwitz, I. B., The effects of team diversity on team outcomes: A meta-analytic review of team demography. </w:t>
      </w:r>
      <w:r w:rsidRPr="00DB58B2">
        <w:rPr>
          <w:i/>
        </w:rPr>
        <w:t xml:space="preserve">Journal of management </w:t>
      </w:r>
      <w:r w:rsidRPr="00DB58B2">
        <w:rPr>
          <w:b/>
        </w:rPr>
        <w:t>2007,</w:t>
      </w:r>
      <w:r w:rsidRPr="00DB58B2">
        <w:t xml:space="preserve"> 33, (6), 987-1015.</w:t>
      </w:r>
    </w:p>
    <w:p w14:paraId="266142A0" w14:textId="77777777" w:rsidR="00F00D29" w:rsidRPr="00DB58B2" w:rsidRDefault="00F00D29" w:rsidP="00F00D29">
      <w:pPr>
        <w:pStyle w:val="EndNoteBibliography"/>
        <w:ind w:left="720" w:hanging="720"/>
      </w:pPr>
      <w:r w:rsidRPr="00DB58B2">
        <w:t>14.</w:t>
      </w:r>
      <w:r w:rsidRPr="00DB58B2">
        <w:tab/>
        <w:t xml:space="preserve">Boone, C.; Van Olffen, W.; Van Witteloostuijn, A.; De Brabander, B., The genesis of top management team diversity: Selective turnover among top management teams in Dutch newspaper publishing, 1970–94. </w:t>
      </w:r>
      <w:r w:rsidRPr="00DB58B2">
        <w:rPr>
          <w:i/>
        </w:rPr>
        <w:t xml:space="preserve">Academy of Management Journal </w:t>
      </w:r>
      <w:r w:rsidRPr="00DB58B2">
        <w:rPr>
          <w:b/>
        </w:rPr>
        <w:t>2004,</w:t>
      </w:r>
      <w:r w:rsidRPr="00DB58B2">
        <w:t xml:space="preserve"> 47, (5), 633-656.</w:t>
      </w:r>
    </w:p>
    <w:p w14:paraId="7C45AEF1" w14:textId="77777777" w:rsidR="00F00D29" w:rsidRPr="00DB58B2" w:rsidRDefault="00F00D29" w:rsidP="00F00D29">
      <w:pPr>
        <w:pStyle w:val="EndNoteBibliography"/>
        <w:ind w:left="720" w:hanging="720"/>
      </w:pPr>
      <w:r w:rsidRPr="00DB58B2">
        <w:rPr>
          <w:rFonts w:hint="eastAsia"/>
        </w:rPr>
        <w:t>15.</w:t>
      </w:r>
      <w:r w:rsidRPr="00DB58B2">
        <w:rPr>
          <w:rFonts w:hint="eastAsia"/>
        </w:rPr>
        <w:tab/>
      </w:r>
      <w:r>
        <w:rPr>
          <w:rFonts w:hint="eastAsia"/>
        </w:rPr>
        <w:t>H</w:t>
      </w:r>
      <w:r>
        <w:t>uang Y.</w:t>
      </w:r>
      <w:r w:rsidRPr="00DB58B2">
        <w:rPr>
          <w:rFonts w:hint="eastAsia"/>
        </w:rPr>
        <w:t xml:space="preserve">; </w:t>
      </w:r>
      <w:r>
        <w:rPr>
          <w:rFonts w:hint="eastAsia"/>
        </w:rPr>
        <w:t>Y</w:t>
      </w:r>
      <w:r>
        <w:t>ang N.</w:t>
      </w:r>
      <w:r w:rsidRPr="00DB58B2">
        <w:rPr>
          <w:rFonts w:hint="eastAsia"/>
        </w:rPr>
        <w:t xml:space="preserve">; </w:t>
      </w:r>
      <w:r>
        <w:rPr>
          <w:rFonts w:hint="eastAsia"/>
        </w:rPr>
        <w:t>Z</w:t>
      </w:r>
      <w:r>
        <w:t>hang C.</w:t>
      </w:r>
      <w:r w:rsidRPr="00DB58B2">
        <w:rPr>
          <w:rFonts w:hint="eastAsia"/>
        </w:rPr>
        <w:t xml:space="preserve">, </w:t>
      </w:r>
      <w:r w:rsidRPr="00E7049C">
        <w:t>Influence of the Top Management Team Heterogeneity and the Firm Performance———To Focus on Ownership Concentration</w:t>
      </w:r>
      <w:r w:rsidRPr="00DB58B2">
        <w:rPr>
          <w:rFonts w:hint="eastAsia"/>
        </w:rPr>
        <w:t xml:space="preserve">. </w:t>
      </w:r>
      <w:r w:rsidRPr="007F1E59">
        <w:rPr>
          <w:i/>
        </w:rPr>
        <w:t>Management Review</w:t>
      </w:r>
      <w:r w:rsidRPr="00DB58B2">
        <w:rPr>
          <w:rFonts w:hint="eastAsia"/>
          <w:i/>
        </w:rPr>
        <w:t xml:space="preserve"> </w:t>
      </w:r>
      <w:r w:rsidRPr="00DB58B2">
        <w:rPr>
          <w:rFonts w:hint="eastAsia"/>
          <w:b/>
        </w:rPr>
        <w:t>2011,</w:t>
      </w:r>
      <w:r w:rsidRPr="00DB58B2">
        <w:rPr>
          <w:rFonts w:hint="eastAsia"/>
        </w:rPr>
        <w:t xml:space="preserve"> 23, (11), 120-125+168.</w:t>
      </w:r>
    </w:p>
    <w:p w14:paraId="185543F2" w14:textId="77777777" w:rsidR="00F00D29" w:rsidRPr="00DB58B2" w:rsidRDefault="00F00D29" w:rsidP="00F00D29">
      <w:pPr>
        <w:pStyle w:val="EndNoteBibliography"/>
        <w:ind w:left="720" w:hanging="720"/>
      </w:pPr>
      <w:r w:rsidRPr="00DB58B2">
        <w:rPr>
          <w:rFonts w:hint="eastAsia"/>
        </w:rPr>
        <w:t>16.</w:t>
      </w:r>
      <w:r w:rsidRPr="00DB58B2">
        <w:rPr>
          <w:rFonts w:hint="eastAsia"/>
        </w:rPr>
        <w:tab/>
      </w:r>
      <w:r>
        <w:rPr>
          <w:rFonts w:hint="eastAsia"/>
        </w:rPr>
        <w:t>S</w:t>
      </w:r>
      <w:r>
        <w:t>un K.</w:t>
      </w:r>
      <w:r w:rsidRPr="00DB58B2">
        <w:rPr>
          <w:rFonts w:hint="eastAsia"/>
        </w:rPr>
        <w:t xml:space="preserve">; </w:t>
      </w:r>
      <w:r>
        <w:rPr>
          <w:rFonts w:hint="eastAsia"/>
        </w:rPr>
        <w:t>L</w:t>
      </w:r>
      <w:r>
        <w:t>iu X.</w:t>
      </w:r>
      <w:r w:rsidRPr="00DB58B2">
        <w:rPr>
          <w:rFonts w:hint="eastAsia"/>
        </w:rPr>
        <w:t xml:space="preserve">; </w:t>
      </w:r>
      <w:r>
        <w:rPr>
          <w:rFonts w:hint="eastAsia"/>
        </w:rPr>
        <w:t>X</w:t>
      </w:r>
      <w:r>
        <w:t>ie B.</w:t>
      </w:r>
      <w:r w:rsidRPr="00DB58B2">
        <w:rPr>
          <w:rFonts w:hint="eastAsia"/>
        </w:rPr>
        <w:t xml:space="preserve">, </w:t>
      </w:r>
      <w:r w:rsidRPr="0087246B">
        <w:rPr>
          <w:rFonts w:hint="eastAsia"/>
        </w:rPr>
        <w:t>TMT characteristics</w:t>
      </w:r>
      <w:r w:rsidRPr="0087246B">
        <w:rPr>
          <w:rFonts w:hint="eastAsia"/>
        </w:rPr>
        <w:t>，</w:t>
      </w:r>
      <w:r w:rsidRPr="0087246B">
        <w:rPr>
          <w:rFonts w:hint="eastAsia"/>
        </w:rPr>
        <w:t>pay gap and performance of new ventures</w:t>
      </w:r>
      <w:r w:rsidRPr="00DB58B2">
        <w:rPr>
          <w:rFonts w:hint="eastAsia"/>
        </w:rPr>
        <w:t xml:space="preserve">. </w:t>
      </w:r>
      <w:r w:rsidRPr="0071437B">
        <w:rPr>
          <w:rFonts w:hint="eastAsia"/>
          <w:i/>
        </w:rPr>
        <w:t xml:space="preserve">Science </w:t>
      </w:r>
      <w:r w:rsidRPr="0071437B">
        <w:rPr>
          <w:rFonts w:hint="eastAsia"/>
          <w:i/>
        </w:rPr>
        <w:t>Ｒ</w:t>
      </w:r>
      <w:r w:rsidRPr="0071437B">
        <w:rPr>
          <w:rFonts w:hint="eastAsia"/>
          <w:i/>
        </w:rPr>
        <w:t>esearch Management</w:t>
      </w:r>
      <w:r w:rsidRPr="00DB58B2">
        <w:rPr>
          <w:rFonts w:hint="eastAsia"/>
          <w:i/>
        </w:rPr>
        <w:t xml:space="preserve"> </w:t>
      </w:r>
      <w:r w:rsidRPr="00DB58B2">
        <w:rPr>
          <w:rFonts w:hint="eastAsia"/>
          <w:b/>
        </w:rPr>
        <w:t>2019,</w:t>
      </w:r>
      <w:r w:rsidRPr="00DB58B2">
        <w:rPr>
          <w:rFonts w:hint="eastAsia"/>
        </w:rPr>
        <w:t xml:space="preserve"> 40, (02), 116-125.</w:t>
      </w:r>
    </w:p>
    <w:p w14:paraId="1A1C6013" w14:textId="77777777" w:rsidR="00F00D29" w:rsidRPr="00DB58B2" w:rsidRDefault="00F00D29" w:rsidP="00F00D29">
      <w:pPr>
        <w:pStyle w:val="EndNoteBibliography"/>
        <w:ind w:left="720" w:hanging="720"/>
      </w:pPr>
      <w:r w:rsidRPr="00DB58B2">
        <w:rPr>
          <w:rFonts w:hint="eastAsia"/>
        </w:rPr>
        <w:t>17.</w:t>
      </w:r>
      <w:r w:rsidRPr="00DB58B2">
        <w:rPr>
          <w:rFonts w:hint="eastAsia"/>
        </w:rPr>
        <w:tab/>
      </w:r>
      <w:r>
        <w:t>Huang H.</w:t>
      </w:r>
      <w:r w:rsidRPr="00DB58B2">
        <w:rPr>
          <w:rFonts w:hint="eastAsia"/>
        </w:rPr>
        <w:t xml:space="preserve">; </w:t>
      </w:r>
      <w:r>
        <w:rPr>
          <w:rFonts w:hint="eastAsia"/>
        </w:rPr>
        <w:t>Z</w:t>
      </w:r>
      <w:r>
        <w:t>hang H.</w:t>
      </w:r>
      <w:r w:rsidRPr="00DB58B2">
        <w:rPr>
          <w:rFonts w:hint="eastAsia"/>
        </w:rPr>
        <w:t xml:space="preserve">; </w:t>
      </w:r>
      <w:r>
        <w:rPr>
          <w:rFonts w:hint="eastAsia"/>
        </w:rPr>
        <w:t>C</w:t>
      </w:r>
      <w:r>
        <w:t>hen X.</w:t>
      </w:r>
      <w:r w:rsidRPr="00DB58B2">
        <w:rPr>
          <w:rFonts w:hint="eastAsia"/>
        </w:rPr>
        <w:t xml:space="preserve">, </w:t>
      </w:r>
      <w:r w:rsidRPr="008D046E">
        <w:t>TMT Functional Diversity of New Ventures and Firm Performance:Based on the Social Network</w:t>
      </w:r>
      <w:r w:rsidRPr="00DB58B2">
        <w:rPr>
          <w:rFonts w:hint="eastAsia"/>
        </w:rPr>
        <w:t xml:space="preserve">. </w:t>
      </w:r>
      <w:r w:rsidRPr="000377F9">
        <w:rPr>
          <w:i/>
        </w:rPr>
        <w:t>Business and Management Journal</w:t>
      </w:r>
      <w:r w:rsidRPr="00DB58B2">
        <w:rPr>
          <w:rFonts w:hint="eastAsia"/>
          <w:i/>
        </w:rPr>
        <w:t xml:space="preserve"> </w:t>
      </w:r>
      <w:r w:rsidRPr="00DB58B2">
        <w:rPr>
          <w:rFonts w:hint="eastAsia"/>
          <w:b/>
        </w:rPr>
        <w:t>2019,</w:t>
      </w:r>
      <w:r w:rsidRPr="00DB58B2">
        <w:rPr>
          <w:rFonts w:hint="eastAsia"/>
        </w:rPr>
        <w:t xml:space="preserve"> </w:t>
      </w:r>
      <w:r w:rsidRPr="00DB58B2">
        <w:t>41, (11), 92-108.</w:t>
      </w:r>
    </w:p>
    <w:p w14:paraId="4D9E857B" w14:textId="77777777" w:rsidR="00F00D29" w:rsidRPr="00DB58B2" w:rsidRDefault="00F00D29" w:rsidP="00F00D29">
      <w:pPr>
        <w:pStyle w:val="EndNoteBibliography"/>
        <w:ind w:left="720" w:hanging="720"/>
      </w:pPr>
      <w:r w:rsidRPr="00DB58B2">
        <w:rPr>
          <w:rFonts w:hint="eastAsia"/>
        </w:rPr>
        <w:t>18.</w:t>
      </w:r>
      <w:r w:rsidRPr="00DB58B2">
        <w:rPr>
          <w:rFonts w:hint="eastAsia"/>
        </w:rPr>
        <w:tab/>
      </w:r>
      <w:r>
        <w:rPr>
          <w:rFonts w:hint="eastAsia"/>
        </w:rPr>
        <w:t>Z</w:t>
      </w:r>
      <w:r>
        <w:t>hang Z.</w:t>
      </w:r>
      <w:r w:rsidRPr="00DB58B2">
        <w:rPr>
          <w:rFonts w:hint="eastAsia"/>
        </w:rPr>
        <w:t xml:space="preserve">; </w:t>
      </w:r>
      <w:r>
        <w:rPr>
          <w:rFonts w:hint="eastAsia"/>
        </w:rPr>
        <w:t>X</w:t>
      </w:r>
      <w:r>
        <w:t>iang S.</w:t>
      </w:r>
      <w:r w:rsidRPr="00DB58B2">
        <w:rPr>
          <w:rFonts w:hint="eastAsia"/>
        </w:rPr>
        <w:t xml:space="preserve">; </w:t>
      </w:r>
      <w:r>
        <w:rPr>
          <w:rFonts w:hint="eastAsia"/>
        </w:rPr>
        <w:t>C</w:t>
      </w:r>
      <w:r>
        <w:t>ao D.</w:t>
      </w:r>
      <w:r w:rsidRPr="00DB58B2">
        <w:rPr>
          <w:rFonts w:hint="eastAsia"/>
        </w:rPr>
        <w:t xml:space="preserve"> </w:t>
      </w:r>
      <w:r w:rsidRPr="001D5CAF">
        <w:rPr>
          <w:rFonts w:hint="eastAsia"/>
        </w:rPr>
        <w:t xml:space="preserve">Top Management Team Heterogeneity and </w:t>
      </w:r>
      <w:r w:rsidRPr="001D5CAF">
        <w:rPr>
          <w:rFonts w:hint="eastAsia"/>
        </w:rPr>
        <w:lastRenderedPageBreak/>
        <w:t xml:space="preserve">Corporate Social </w:t>
      </w:r>
      <w:r w:rsidRPr="001D5CAF">
        <w:rPr>
          <w:rFonts w:hint="eastAsia"/>
        </w:rPr>
        <w:t>Ｒ</w:t>
      </w:r>
      <w:r w:rsidRPr="001D5CAF">
        <w:rPr>
          <w:rFonts w:hint="eastAsia"/>
        </w:rPr>
        <w:t>esponsibility</w:t>
      </w:r>
      <w:r w:rsidRPr="001D5CAF">
        <w:rPr>
          <w:rFonts w:hint="eastAsia"/>
        </w:rPr>
        <w:t>—</w:t>
      </w:r>
      <w:r w:rsidRPr="001D5CAF">
        <w:rPr>
          <w:rFonts w:hint="eastAsia"/>
        </w:rPr>
        <w:t>Based on Behavioral Integration Study of Budget Management</w:t>
      </w:r>
      <w:r w:rsidRPr="00DB58B2">
        <w:rPr>
          <w:rFonts w:hint="eastAsia"/>
        </w:rPr>
        <w:t xml:space="preserve">. </w:t>
      </w:r>
      <w:r w:rsidRPr="001D5CAF">
        <w:rPr>
          <w:rFonts w:hint="eastAsia"/>
          <w:i/>
        </w:rPr>
        <w:t xml:space="preserve">Management </w:t>
      </w:r>
      <w:r w:rsidRPr="001D5CAF">
        <w:rPr>
          <w:rFonts w:hint="eastAsia"/>
          <w:i/>
        </w:rPr>
        <w:t>Ｒ</w:t>
      </w:r>
      <w:r w:rsidRPr="001D5CAF">
        <w:rPr>
          <w:rFonts w:hint="eastAsia"/>
          <w:i/>
        </w:rPr>
        <w:t>eview</w:t>
      </w:r>
      <w:r w:rsidRPr="00DB58B2">
        <w:rPr>
          <w:rFonts w:hint="eastAsia"/>
          <w:i/>
        </w:rPr>
        <w:t xml:space="preserve"> </w:t>
      </w:r>
      <w:r w:rsidRPr="00DB58B2">
        <w:rPr>
          <w:rFonts w:hint="eastAsia"/>
          <w:b/>
        </w:rPr>
        <w:t>2018,</w:t>
      </w:r>
      <w:r w:rsidRPr="00DB58B2">
        <w:rPr>
          <w:rFonts w:hint="eastAsia"/>
        </w:rPr>
        <w:t xml:space="preserve"> 30, (04), 120-131.</w:t>
      </w:r>
    </w:p>
    <w:p w14:paraId="55738B96" w14:textId="77777777" w:rsidR="00F00D29" w:rsidRPr="00DB58B2" w:rsidRDefault="00F00D29" w:rsidP="00F00D29">
      <w:pPr>
        <w:pStyle w:val="EndNoteBibliography"/>
        <w:ind w:left="720" w:hanging="720"/>
      </w:pPr>
      <w:r w:rsidRPr="00DB58B2">
        <w:rPr>
          <w:rFonts w:hint="eastAsia"/>
        </w:rPr>
        <w:t>19.</w:t>
      </w:r>
      <w:r w:rsidRPr="00DB58B2">
        <w:rPr>
          <w:rFonts w:hint="eastAsia"/>
        </w:rPr>
        <w:tab/>
      </w:r>
      <w:r>
        <w:rPr>
          <w:rFonts w:hint="eastAsia"/>
        </w:rPr>
        <w:t>W</w:t>
      </w:r>
      <w:r>
        <w:t>ang X.</w:t>
      </w:r>
      <w:r w:rsidRPr="00DB58B2">
        <w:rPr>
          <w:rFonts w:hint="eastAsia"/>
        </w:rPr>
        <w:t xml:space="preserve">; </w:t>
      </w:r>
      <w:r>
        <w:rPr>
          <w:rFonts w:hint="eastAsia"/>
        </w:rPr>
        <w:t>X</w:t>
      </w:r>
      <w:r>
        <w:t>ing Y.</w:t>
      </w:r>
      <w:r w:rsidRPr="00DB58B2">
        <w:rPr>
          <w:rFonts w:hint="eastAsia"/>
        </w:rPr>
        <w:t xml:space="preserve"> </w:t>
      </w:r>
      <w:r w:rsidRPr="00980E4E">
        <w:t>A Dual-dimensional Analysis of the Diversity of Top Management Team Effect on Enterprise Innovation Ability—Empirical Test Based on the Data of Second Board Market Enterprise</w:t>
      </w:r>
      <w:r w:rsidRPr="00DB58B2">
        <w:rPr>
          <w:rFonts w:hint="eastAsia"/>
        </w:rPr>
        <w:t xml:space="preserve">. </w:t>
      </w:r>
      <w:r w:rsidRPr="00980E4E">
        <w:rPr>
          <w:rFonts w:hint="eastAsia"/>
          <w:i/>
        </w:rPr>
        <w:t xml:space="preserve">Management </w:t>
      </w:r>
      <w:r w:rsidRPr="00980E4E">
        <w:rPr>
          <w:rFonts w:hint="eastAsia"/>
          <w:i/>
        </w:rPr>
        <w:t>Ｒ</w:t>
      </w:r>
      <w:r w:rsidRPr="00980E4E">
        <w:rPr>
          <w:rFonts w:hint="eastAsia"/>
          <w:i/>
        </w:rPr>
        <w:t>eview</w:t>
      </w:r>
      <w:r w:rsidRPr="00DB58B2">
        <w:rPr>
          <w:rFonts w:hint="eastAsia"/>
          <w:i/>
        </w:rPr>
        <w:t xml:space="preserve"> </w:t>
      </w:r>
      <w:r w:rsidRPr="00DB58B2">
        <w:rPr>
          <w:rFonts w:hint="eastAsia"/>
          <w:b/>
        </w:rPr>
        <w:t>2020,</w:t>
      </w:r>
      <w:r w:rsidRPr="00DB58B2">
        <w:rPr>
          <w:rFonts w:hint="eastAsia"/>
        </w:rPr>
        <w:t xml:space="preserve"> 32, (12), 101-111.</w:t>
      </w:r>
    </w:p>
    <w:p w14:paraId="4CBED368" w14:textId="77777777" w:rsidR="00F00D29" w:rsidRPr="00DB58B2" w:rsidRDefault="00F00D29" w:rsidP="00F00D29">
      <w:pPr>
        <w:pStyle w:val="EndNoteBibliography"/>
        <w:ind w:left="720" w:hanging="720"/>
      </w:pPr>
      <w:r w:rsidRPr="00DB58B2">
        <w:rPr>
          <w:rFonts w:hint="eastAsia"/>
        </w:rPr>
        <w:t>20.</w:t>
      </w:r>
      <w:r w:rsidRPr="00DB58B2">
        <w:rPr>
          <w:rFonts w:hint="eastAsia"/>
        </w:rPr>
        <w:tab/>
      </w:r>
      <w:r>
        <w:rPr>
          <w:rFonts w:hint="eastAsia"/>
        </w:rPr>
        <w:t>S</w:t>
      </w:r>
      <w:r>
        <w:t>un Y.</w:t>
      </w:r>
      <w:r w:rsidRPr="00DB58B2">
        <w:rPr>
          <w:rFonts w:hint="eastAsia"/>
        </w:rPr>
        <w:t xml:space="preserve">; </w:t>
      </w:r>
      <w:r>
        <w:rPr>
          <w:rFonts w:hint="eastAsia"/>
        </w:rPr>
        <w:t>C</w:t>
      </w:r>
      <w:r>
        <w:t>hen S.</w:t>
      </w:r>
      <w:r w:rsidRPr="00DB58B2">
        <w:rPr>
          <w:rFonts w:hint="eastAsia"/>
        </w:rPr>
        <w:t xml:space="preserve">; </w:t>
      </w:r>
      <w:r>
        <w:rPr>
          <w:rFonts w:hint="eastAsia"/>
        </w:rPr>
        <w:t>Z</w:t>
      </w:r>
      <w:r>
        <w:t>hang Y.</w:t>
      </w:r>
      <w:r w:rsidRPr="00DB58B2">
        <w:rPr>
          <w:rFonts w:hint="eastAsia"/>
        </w:rPr>
        <w:t xml:space="preserve"> </w:t>
      </w:r>
      <w:r w:rsidRPr="00DF2B70">
        <w:rPr>
          <w:rFonts w:hint="eastAsia"/>
        </w:rPr>
        <w:t>Top Management Team Heterogeneity</w:t>
      </w:r>
      <w:r w:rsidRPr="00DF2B70">
        <w:rPr>
          <w:rFonts w:hint="eastAsia"/>
        </w:rPr>
        <w:t>，</w:t>
      </w:r>
      <w:r w:rsidRPr="00DF2B70">
        <w:rPr>
          <w:rFonts w:hint="eastAsia"/>
        </w:rPr>
        <w:t xml:space="preserve">Faultlines and Corporate </w:t>
      </w:r>
      <w:r w:rsidRPr="00DF2B70">
        <w:rPr>
          <w:rFonts w:hint="eastAsia"/>
        </w:rPr>
        <w:t>Ｒ</w:t>
      </w:r>
      <w:r w:rsidRPr="00DF2B70">
        <w:rPr>
          <w:rFonts w:hint="eastAsia"/>
        </w:rPr>
        <w:t>isk-taking</w:t>
      </w:r>
      <w:r w:rsidRPr="00DB58B2">
        <w:rPr>
          <w:rFonts w:hint="eastAsia"/>
        </w:rPr>
        <w:t xml:space="preserve">. </w:t>
      </w:r>
      <w:r w:rsidRPr="007E0AFF">
        <w:rPr>
          <w:rFonts w:hint="eastAsia"/>
          <w:i/>
        </w:rPr>
        <w:t xml:space="preserve">Management </w:t>
      </w:r>
      <w:r w:rsidRPr="007E0AFF">
        <w:rPr>
          <w:rFonts w:hint="eastAsia"/>
          <w:i/>
        </w:rPr>
        <w:t>Ｒ</w:t>
      </w:r>
      <w:r w:rsidRPr="007E0AFF">
        <w:rPr>
          <w:rFonts w:hint="eastAsia"/>
          <w:i/>
        </w:rPr>
        <w:t>eview</w:t>
      </w:r>
      <w:r w:rsidRPr="00DB58B2">
        <w:rPr>
          <w:rFonts w:hint="eastAsia"/>
          <w:i/>
        </w:rPr>
        <w:t xml:space="preserve"> </w:t>
      </w:r>
      <w:r w:rsidRPr="00DB58B2">
        <w:rPr>
          <w:rFonts w:hint="eastAsia"/>
          <w:b/>
        </w:rPr>
        <w:t>2019,</w:t>
      </w:r>
      <w:r w:rsidRPr="00DB58B2">
        <w:rPr>
          <w:rFonts w:hint="eastAsia"/>
        </w:rPr>
        <w:t xml:space="preserve"> 31, (08), 157-168.</w:t>
      </w:r>
    </w:p>
    <w:p w14:paraId="4FC1156C" w14:textId="77777777" w:rsidR="00F00D29" w:rsidRPr="00DB58B2" w:rsidRDefault="00F00D29" w:rsidP="00F00D29">
      <w:pPr>
        <w:pStyle w:val="EndNoteBibliography"/>
        <w:ind w:left="720" w:hanging="720"/>
      </w:pPr>
      <w:r w:rsidRPr="00DB58B2">
        <w:t>21.</w:t>
      </w:r>
      <w:r w:rsidRPr="00DB58B2">
        <w:tab/>
        <w:t xml:space="preserve">Buyl, T.; Boone, C.; Hendriks, W.; Matthyssens, P., Top management team functional diversity and firm performance: The moderating role of CEO characteristics. </w:t>
      </w:r>
      <w:r w:rsidRPr="00DB58B2">
        <w:rPr>
          <w:i/>
        </w:rPr>
        <w:t xml:space="preserve">Journal of management studies </w:t>
      </w:r>
      <w:r w:rsidRPr="00DB58B2">
        <w:rPr>
          <w:b/>
        </w:rPr>
        <w:t>2011,</w:t>
      </w:r>
      <w:r w:rsidRPr="00DB58B2">
        <w:t xml:space="preserve"> 48, (1), 151-177.</w:t>
      </w:r>
    </w:p>
    <w:p w14:paraId="3D5FA581" w14:textId="77777777" w:rsidR="00F00D29" w:rsidRPr="00DB58B2" w:rsidRDefault="00F00D29" w:rsidP="00F00D29">
      <w:pPr>
        <w:pStyle w:val="EndNoteBibliography"/>
        <w:ind w:left="720" w:hanging="720"/>
      </w:pPr>
      <w:r w:rsidRPr="00DB58B2">
        <w:rPr>
          <w:rFonts w:hint="eastAsia"/>
        </w:rPr>
        <w:t>22.</w:t>
      </w:r>
      <w:r w:rsidRPr="00DB58B2">
        <w:rPr>
          <w:rFonts w:hint="eastAsia"/>
        </w:rPr>
        <w:tab/>
      </w:r>
      <w:r>
        <w:rPr>
          <w:rFonts w:hint="eastAsia"/>
        </w:rPr>
        <w:t>C</w:t>
      </w:r>
      <w:r>
        <w:t>ui X.</w:t>
      </w:r>
      <w:r w:rsidRPr="00DB58B2">
        <w:rPr>
          <w:rFonts w:hint="eastAsia"/>
        </w:rPr>
        <w:t xml:space="preserve">; </w:t>
      </w:r>
      <w:r>
        <w:rPr>
          <w:rFonts w:hint="eastAsia"/>
        </w:rPr>
        <w:t>C</w:t>
      </w:r>
      <w:r>
        <w:t>hen C.</w:t>
      </w:r>
      <w:r w:rsidRPr="00DB58B2">
        <w:rPr>
          <w:rFonts w:hint="eastAsia"/>
        </w:rPr>
        <w:t xml:space="preserve">; </w:t>
      </w:r>
      <w:r>
        <w:rPr>
          <w:rFonts w:hint="eastAsia"/>
        </w:rPr>
        <w:t>S</w:t>
      </w:r>
      <w:r>
        <w:t>u T.</w:t>
      </w:r>
      <w:r w:rsidRPr="00DB58B2">
        <w:rPr>
          <w:rFonts w:hint="eastAsia"/>
        </w:rPr>
        <w:t xml:space="preserve"> </w:t>
      </w:r>
      <w:r w:rsidRPr="003C7193">
        <w:t>A Study on How TMT Heterogeneity Affects Organizational Performance:A Meta- Analytic Examination</w:t>
      </w:r>
      <w:r w:rsidRPr="00DB58B2">
        <w:rPr>
          <w:rFonts w:hint="eastAsia"/>
        </w:rPr>
        <w:t xml:space="preserve">. </w:t>
      </w:r>
      <w:r w:rsidRPr="00696C95">
        <w:rPr>
          <w:rFonts w:hint="eastAsia"/>
          <w:i/>
        </w:rPr>
        <w:t xml:space="preserve">Management </w:t>
      </w:r>
      <w:r w:rsidRPr="00696C95">
        <w:rPr>
          <w:rFonts w:hint="eastAsia"/>
          <w:i/>
        </w:rPr>
        <w:t>Ｒ</w:t>
      </w:r>
      <w:r w:rsidRPr="00696C95">
        <w:rPr>
          <w:rFonts w:hint="eastAsia"/>
          <w:i/>
        </w:rPr>
        <w:t>eview</w:t>
      </w:r>
      <w:r w:rsidRPr="00DB58B2">
        <w:rPr>
          <w:rFonts w:hint="eastAsia"/>
          <w:i/>
        </w:rPr>
        <w:t xml:space="preserve"> </w:t>
      </w:r>
      <w:r w:rsidRPr="00DB58B2">
        <w:rPr>
          <w:rFonts w:hint="eastAsia"/>
          <w:b/>
        </w:rPr>
        <w:t>2018,</w:t>
      </w:r>
      <w:r w:rsidRPr="00DB58B2">
        <w:rPr>
          <w:rFonts w:hint="eastAsia"/>
        </w:rPr>
        <w:t xml:space="preserve"> 30, (09), 152-163.</w:t>
      </w:r>
    </w:p>
    <w:p w14:paraId="195D1477" w14:textId="77777777" w:rsidR="00F00D29" w:rsidRPr="00DB58B2" w:rsidRDefault="00F00D29" w:rsidP="00F00D29">
      <w:pPr>
        <w:pStyle w:val="EndNoteBibliography"/>
        <w:ind w:left="720" w:hanging="720"/>
      </w:pPr>
      <w:r w:rsidRPr="00DB58B2">
        <w:t>23.</w:t>
      </w:r>
      <w:r w:rsidRPr="00DB58B2">
        <w:tab/>
        <w:t xml:space="preserve">Cannella Jr, A. A.; Park, J.-H.; Lee, H.-U., Top management team functional background diversity and firm performance: Examining the roles of team member colocation and environmental uncertainty. </w:t>
      </w:r>
      <w:r w:rsidRPr="00DB58B2">
        <w:rPr>
          <w:i/>
        </w:rPr>
        <w:t xml:space="preserve">Academy of management Journal </w:t>
      </w:r>
      <w:r w:rsidRPr="00DB58B2">
        <w:rPr>
          <w:b/>
        </w:rPr>
        <w:t>2008,</w:t>
      </w:r>
      <w:r w:rsidRPr="00DB58B2">
        <w:t xml:space="preserve"> 51, (4), 768-784.</w:t>
      </w:r>
    </w:p>
    <w:p w14:paraId="22E6E177" w14:textId="77777777" w:rsidR="00F00D29" w:rsidRPr="00DB58B2" w:rsidRDefault="00F00D29" w:rsidP="00F00D29">
      <w:pPr>
        <w:pStyle w:val="EndNoteBibliography"/>
        <w:ind w:left="720" w:hanging="720"/>
      </w:pPr>
      <w:r w:rsidRPr="00DB58B2">
        <w:rPr>
          <w:rFonts w:hint="eastAsia"/>
        </w:rPr>
        <w:t>24.</w:t>
      </w:r>
      <w:r w:rsidRPr="00DB58B2">
        <w:rPr>
          <w:rFonts w:hint="eastAsia"/>
        </w:rPr>
        <w:tab/>
      </w:r>
      <w:r>
        <w:rPr>
          <w:rFonts w:hint="eastAsia"/>
        </w:rPr>
        <w:t>Z</w:t>
      </w:r>
      <w:r>
        <w:t>hang P.</w:t>
      </w:r>
      <w:r w:rsidRPr="00DB58B2">
        <w:rPr>
          <w:rFonts w:hint="eastAsia"/>
        </w:rPr>
        <w:t xml:space="preserve"> </w:t>
      </w:r>
      <w:r w:rsidRPr="00A74142">
        <w:t>Research on Top Management Team Heterogeneity and Firm Performanc</w:t>
      </w:r>
      <w:r w:rsidRPr="00DB58B2">
        <w:rPr>
          <w:rFonts w:hint="eastAsia"/>
        </w:rPr>
        <w:t xml:space="preserve">. </w:t>
      </w:r>
      <w:r w:rsidRPr="009134C1">
        <w:rPr>
          <w:i/>
        </w:rPr>
        <w:t>Management Review</w:t>
      </w:r>
      <w:r w:rsidRPr="00DB58B2">
        <w:rPr>
          <w:rFonts w:hint="eastAsia"/>
          <w:i/>
        </w:rPr>
        <w:t xml:space="preserve"> </w:t>
      </w:r>
      <w:r w:rsidRPr="00DB58B2">
        <w:rPr>
          <w:rFonts w:hint="eastAsia"/>
          <w:b/>
        </w:rPr>
        <w:t>2006</w:t>
      </w:r>
      <w:r w:rsidRPr="00DB58B2">
        <w:rPr>
          <w:rFonts w:hint="eastAsia"/>
        </w:rPr>
        <w:t>, (05), 54-61+64.</w:t>
      </w:r>
    </w:p>
    <w:p w14:paraId="0E64499B" w14:textId="77777777" w:rsidR="00F00D29" w:rsidRPr="00DB58B2" w:rsidRDefault="00F00D29" w:rsidP="00F00D29">
      <w:pPr>
        <w:pStyle w:val="EndNoteBibliography"/>
        <w:ind w:left="720" w:hanging="720"/>
      </w:pPr>
      <w:r w:rsidRPr="00DB58B2">
        <w:rPr>
          <w:rFonts w:hint="eastAsia"/>
        </w:rPr>
        <w:t>25.</w:t>
      </w:r>
      <w:r w:rsidRPr="00DB58B2">
        <w:rPr>
          <w:rFonts w:hint="eastAsia"/>
        </w:rPr>
        <w:tab/>
      </w:r>
      <w:r>
        <w:rPr>
          <w:rFonts w:hint="eastAsia"/>
        </w:rPr>
        <w:t>Y</w:t>
      </w:r>
      <w:r>
        <w:t>ao B.</w:t>
      </w:r>
      <w:r w:rsidRPr="00DB58B2">
        <w:rPr>
          <w:rFonts w:hint="eastAsia"/>
        </w:rPr>
        <w:t xml:space="preserve">; </w:t>
      </w:r>
      <w:r>
        <w:rPr>
          <w:rFonts w:hint="eastAsia"/>
        </w:rPr>
        <w:t>M</w:t>
      </w:r>
      <w:r>
        <w:t>a L.</w:t>
      </w:r>
      <w:r w:rsidRPr="00DB58B2">
        <w:rPr>
          <w:rFonts w:hint="eastAsia"/>
        </w:rPr>
        <w:t xml:space="preserve">; </w:t>
      </w:r>
      <w:r>
        <w:rPr>
          <w:rFonts w:hint="eastAsia"/>
        </w:rPr>
        <w:t>W</w:t>
      </w:r>
      <w:r>
        <w:t>ang X.</w:t>
      </w:r>
      <w:r w:rsidRPr="00DB58B2">
        <w:rPr>
          <w:rFonts w:hint="eastAsia"/>
        </w:rPr>
        <w:t xml:space="preserve">; </w:t>
      </w:r>
      <w:r>
        <w:rPr>
          <w:rFonts w:hint="eastAsia"/>
        </w:rPr>
        <w:t>L</w:t>
      </w:r>
      <w:r>
        <w:t>i B.</w:t>
      </w:r>
      <w:r w:rsidRPr="00DB58B2">
        <w:rPr>
          <w:rFonts w:hint="eastAsia"/>
        </w:rPr>
        <w:t xml:space="preserve"> </w:t>
      </w:r>
      <w:r w:rsidRPr="00975383">
        <w:t>Functional Diversity in Top Management Team and Firm Performance:The Moderating Role of CEO Power</w:t>
      </w:r>
      <w:r w:rsidRPr="00DB58B2">
        <w:rPr>
          <w:rFonts w:hint="eastAsia"/>
        </w:rPr>
        <w:t xml:space="preserve">. </w:t>
      </w:r>
      <w:r w:rsidRPr="00F61885">
        <w:rPr>
          <w:i/>
        </w:rPr>
        <w:t>China Soft Science</w:t>
      </w:r>
      <w:r w:rsidRPr="00DB58B2">
        <w:rPr>
          <w:rFonts w:hint="eastAsia"/>
          <w:i/>
        </w:rPr>
        <w:t xml:space="preserve"> </w:t>
      </w:r>
      <w:r w:rsidRPr="00DB58B2">
        <w:rPr>
          <w:rFonts w:hint="eastAsia"/>
          <w:b/>
        </w:rPr>
        <w:t>2015,</w:t>
      </w:r>
      <w:r w:rsidRPr="00DB58B2">
        <w:rPr>
          <w:rFonts w:hint="eastAsia"/>
        </w:rPr>
        <w:t xml:space="preserve"> 2015, (02), 117-126.</w:t>
      </w:r>
    </w:p>
    <w:p w14:paraId="38687BB4" w14:textId="77777777" w:rsidR="00F00D29" w:rsidRPr="00DB58B2" w:rsidRDefault="00F00D29" w:rsidP="00F00D29">
      <w:pPr>
        <w:pStyle w:val="EndNoteBibliography"/>
        <w:ind w:left="720" w:hanging="720"/>
      </w:pPr>
      <w:r w:rsidRPr="00DB58B2">
        <w:rPr>
          <w:rFonts w:hint="eastAsia"/>
        </w:rPr>
        <w:t>26.</w:t>
      </w:r>
      <w:r w:rsidRPr="00DB58B2">
        <w:rPr>
          <w:rFonts w:hint="eastAsia"/>
        </w:rPr>
        <w:tab/>
      </w:r>
      <w:r>
        <w:rPr>
          <w:rFonts w:hint="eastAsia"/>
        </w:rPr>
        <w:t>Q</w:t>
      </w:r>
      <w:r>
        <w:t>ie H.</w:t>
      </w:r>
      <w:r w:rsidRPr="00DB58B2">
        <w:rPr>
          <w:rFonts w:hint="eastAsia"/>
        </w:rPr>
        <w:t xml:space="preserve">; </w:t>
      </w:r>
      <w:r>
        <w:rPr>
          <w:rFonts w:hint="eastAsia"/>
        </w:rPr>
        <w:t>Q</w:t>
      </w:r>
      <w:r>
        <w:t>i M.</w:t>
      </w:r>
      <w:r w:rsidRPr="00DB58B2">
        <w:rPr>
          <w:rFonts w:hint="eastAsia"/>
        </w:rPr>
        <w:t xml:space="preserve">; </w:t>
      </w:r>
      <w:r>
        <w:t>Li X.</w:t>
      </w:r>
      <w:r w:rsidRPr="00DB58B2">
        <w:rPr>
          <w:rFonts w:hint="eastAsia"/>
        </w:rPr>
        <w:t xml:space="preserve">; </w:t>
      </w:r>
      <w:r>
        <w:rPr>
          <w:rFonts w:hint="eastAsia"/>
        </w:rPr>
        <w:t>W</w:t>
      </w:r>
      <w:r>
        <w:t>ang W.</w:t>
      </w:r>
      <w:r w:rsidRPr="00DB58B2">
        <w:rPr>
          <w:rFonts w:hint="eastAsia"/>
        </w:rPr>
        <w:t xml:space="preserve">, </w:t>
      </w:r>
      <w:r w:rsidRPr="00C65C47">
        <w:t>Harmony in difference: research on the influence of heterogeneity of top management team functional background on the</w:t>
      </w:r>
      <w:r>
        <w:t xml:space="preserve"> </w:t>
      </w:r>
      <w:r w:rsidRPr="00C65C47">
        <w:t>enterprises</w:t>
      </w:r>
      <w:r>
        <w:t xml:space="preserve"> </w:t>
      </w:r>
      <w:r w:rsidRPr="00C65C47">
        <w:t>performance of cross—border technology Mergers&amp;Acquisitions</w:t>
      </w:r>
      <w:r w:rsidRPr="00DB58B2">
        <w:rPr>
          <w:rFonts w:hint="eastAsia"/>
        </w:rPr>
        <w:t xml:space="preserve">. </w:t>
      </w:r>
      <w:r w:rsidRPr="00CA11BE">
        <w:t>Science &amp; Technology Progress and Policy</w:t>
      </w:r>
      <w:r w:rsidRPr="00C65C47">
        <w:rPr>
          <w:rFonts w:hint="eastAsia"/>
        </w:rPr>
        <w:t xml:space="preserve"> 2021,</w:t>
      </w:r>
      <w:r w:rsidRPr="00DB58B2">
        <w:rPr>
          <w:rFonts w:hint="eastAsia"/>
        </w:rPr>
        <w:t xml:space="preserve"> 38, (21), 8</w:t>
      </w:r>
      <w:r w:rsidRPr="00DB58B2">
        <w:t>3-91.</w:t>
      </w:r>
    </w:p>
    <w:p w14:paraId="1B5E6B4E" w14:textId="77777777" w:rsidR="00F00D29" w:rsidRPr="00DB58B2" w:rsidRDefault="00F00D29" w:rsidP="00F00D29">
      <w:pPr>
        <w:pStyle w:val="EndNoteBibliography"/>
        <w:ind w:left="720" w:hanging="720"/>
      </w:pPr>
      <w:r w:rsidRPr="00DB58B2">
        <w:t>27.</w:t>
      </w:r>
      <w:r w:rsidRPr="00DB58B2">
        <w:tab/>
        <w:t xml:space="preserve">Auh, S.; Menguc, B., Top management team diversity and innovativeness: The moderating role of interfunctional coordination. </w:t>
      </w:r>
      <w:r w:rsidRPr="00DB58B2">
        <w:rPr>
          <w:i/>
        </w:rPr>
        <w:t xml:space="preserve">Industrial Marketing Management </w:t>
      </w:r>
      <w:r w:rsidRPr="00DB58B2">
        <w:rPr>
          <w:b/>
        </w:rPr>
        <w:t>2005,</w:t>
      </w:r>
      <w:r w:rsidRPr="00DB58B2">
        <w:t xml:space="preserve"> 34, (3), 249-261.</w:t>
      </w:r>
    </w:p>
    <w:p w14:paraId="10474AAF" w14:textId="77777777" w:rsidR="00F00D29" w:rsidRPr="00DB58B2" w:rsidRDefault="00F00D29" w:rsidP="00F00D29">
      <w:pPr>
        <w:pStyle w:val="EndNoteBibliography"/>
        <w:ind w:left="720" w:hanging="720"/>
      </w:pPr>
      <w:r w:rsidRPr="00DB58B2">
        <w:t>28.</w:t>
      </w:r>
      <w:r w:rsidRPr="00DB58B2">
        <w:tab/>
        <w:t xml:space="preserve">Simons, T.; Pelled, L. H.; Smith, K. A., Making use of difference: Diversity, debate, and decision comprehensiveness in top management teams. </w:t>
      </w:r>
      <w:r w:rsidRPr="00DB58B2">
        <w:rPr>
          <w:i/>
        </w:rPr>
        <w:t xml:space="preserve">Academy of management journal </w:t>
      </w:r>
      <w:r w:rsidRPr="00DB58B2">
        <w:rPr>
          <w:b/>
        </w:rPr>
        <w:t>1999,</w:t>
      </w:r>
      <w:r w:rsidRPr="00DB58B2">
        <w:t xml:space="preserve"> 42, (6), 662-673.</w:t>
      </w:r>
    </w:p>
    <w:p w14:paraId="1A08C9A8" w14:textId="77777777" w:rsidR="00F00D29" w:rsidRPr="00DB58B2" w:rsidRDefault="00F00D29" w:rsidP="00F00D29">
      <w:pPr>
        <w:pStyle w:val="EndNoteBibliography"/>
        <w:ind w:left="720" w:hanging="720"/>
      </w:pPr>
      <w:r w:rsidRPr="00DB58B2">
        <w:rPr>
          <w:rFonts w:hint="eastAsia"/>
        </w:rPr>
        <w:t>29.</w:t>
      </w:r>
      <w:r w:rsidRPr="00DB58B2">
        <w:rPr>
          <w:rFonts w:hint="eastAsia"/>
        </w:rPr>
        <w:tab/>
        <w:t>D</w:t>
      </w:r>
      <w:r w:rsidRPr="00DB58B2">
        <w:rPr>
          <w:rFonts w:hint="eastAsia"/>
        </w:rPr>
        <w:t>í</w:t>
      </w:r>
      <w:r w:rsidRPr="00DB58B2">
        <w:rPr>
          <w:rFonts w:hint="eastAsia"/>
        </w:rPr>
        <w:t>az</w:t>
      </w:r>
      <w:r w:rsidRPr="00DB58B2">
        <w:rPr>
          <w:rFonts w:hint="eastAsia"/>
        </w:rPr>
        <w:t>‐</w:t>
      </w:r>
      <w:r w:rsidRPr="00DB58B2">
        <w:rPr>
          <w:rFonts w:hint="eastAsia"/>
        </w:rPr>
        <w:t>Fern</w:t>
      </w:r>
      <w:r w:rsidRPr="00DB58B2">
        <w:rPr>
          <w:rFonts w:hint="eastAsia"/>
        </w:rPr>
        <w:t>á</w:t>
      </w:r>
      <w:r w:rsidRPr="00DB58B2">
        <w:rPr>
          <w:rFonts w:hint="eastAsia"/>
        </w:rPr>
        <w:t>ndez, M. C.; Gonz</w:t>
      </w:r>
      <w:r w:rsidRPr="00DB58B2">
        <w:rPr>
          <w:rFonts w:hint="eastAsia"/>
        </w:rPr>
        <w:t>á</w:t>
      </w:r>
      <w:r w:rsidRPr="00DB58B2">
        <w:rPr>
          <w:rFonts w:hint="eastAsia"/>
        </w:rPr>
        <w:t>lez</w:t>
      </w:r>
      <w:r w:rsidRPr="00DB58B2">
        <w:rPr>
          <w:rFonts w:hint="eastAsia"/>
        </w:rPr>
        <w:t>‐</w:t>
      </w:r>
      <w:r w:rsidRPr="00DB58B2">
        <w:rPr>
          <w:rFonts w:hint="eastAsia"/>
        </w:rPr>
        <w:t>Rodr</w:t>
      </w:r>
      <w:r w:rsidRPr="00DB58B2">
        <w:rPr>
          <w:rFonts w:hint="eastAsia"/>
        </w:rPr>
        <w:t>í</w:t>
      </w:r>
      <w:r w:rsidRPr="00DB58B2">
        <w:rPr>
          <w:rFonts w:hint="eastAsia"/>
        </w:rPr>
        <w:t>guez, M. R.; Simonetti, B., The moderating role of top management team diversit</w:t>
      </w:r>
      <w:r w:rsidRPr="00DB58B2">
        <w:t xml:space="preserve">y in strategic change in a multicultural context. </w:t>
      </w:r>
      <w:r w:rsidRPr="00DB58B2">
        <w:rPr>
          <w:i/>
        </w:rPr>
        <w:t xml:space="preserve">European Management Review </w:t>
      </w:r>
      <w:r w:rsidRPr="00DB58B2">
        <w:rPr>
          <w:b/>
        </w:rPr>
        <w:t>2019,</w:t>
      </w:r>
      <w:r w:rsidRPr="00DB58B2">
        <w:t xml:space="preserve"> 16, (4), 957-973.</w:t>
      </w:r>
    </w:p>
    <w:p w14:paraId="5E2D00B4" w14:textId="77777777" w:rsidR="00F00D29" w:rsidRPr="00DB58B2" w:rsidRDefault="00F00D29" w:rsidP="00F00D29">
      <w:pPr>
        <w:pStyle w:val="EndNoteBibliography"/>
        <w:ind w:left="720" w:hanging="720"/>
      </w:pPr>
      <w:r w:rsidRPr="00DB58B2">
        <w:rPr>
          <w:rFonts w:hint="eastAsia"/>
        </w:rPr>
        <w:t>30.</w:t>
      </w:r>
      <w:r w:rsidRPr="00DB58B2">
        <w:rPr>
          <w:rFonts w:hint="eastAsia"/>
        </w:rPr>
        <w:tab/>
      </w:r>
      <w:r>
        <w:rPr>
          <w:rFonts w:hint="eastAsia"/>
        </w:rPr>
        <w:t>L</w:t>
      </w:r>
      <w:r>
        <w:t>e Y.</w:t>
      </w:r>
      <w:r w:rsidRPr="00DB58B2">
        <w:rPr>
          <w:rFonts w:hint="eastAsia"/>
        </w:rPr>
        <w:t xml:space="preserve">; </w:t>
      </w:r>
      <w:r>
        <w:rPr>
          <w:rFonts w:hint="eastAsia"/>
        </w:rPr>
        <w:t>W</w:t>
      </w:r>
      <w:r>
        <w:t>an J.</w:t>
      </w:r>
      <w:r w:rsidRPr="00DB58B2">
        <w:rPr>
          <w:rFonts w:hint="eastAsia"/>
        </w:rPr>
        <w:t xml:space="preserve">; </w:t>
      </w:r>
      <w:r>
        <w:rPr>
          <w:rFonts w:hint="eastAsia"/>
        </w:rPr>
        <w:t>Z</w:t>
      </w:r>
      <w:r>
        <w:t>hang Y.</w:t>
      </w:r>
      <w:r w:rsidRPr="00DB58B2">
        <w:rPr>
          <w:rFonts w:hint="eastAsia"/>
        </w:rPr>
        <w:t xml:space="preserve"> </w:t>
      </w:r>
      <w:r w:rsidRPr="002D197E">
        <w:rPr>
          <w:rFonts w:hint="eastAsia"/>
        </w:rPr>
        <w:t>Top management team heterogeneity</w:t>
      </w:r>
      <w:r w:rsidRPr="002D197E">
        <w:rPr>
          <w:rFonts w:hint="eastAsia"/>
        </w:rPr>
        <w:t>，</w:t>
      </w:r>
      <w:r w:rsidRPr="002D197E">
        <w:rPr>
          <w:rFonts w:hint="eastAsia"/>
        </w:rPr>
        <w:t>government support and megaproject performance</w:t>
      </w:r>
      <w:r w:rsidRPr="00DB58B2">
        <w:rPr>
          <w:rFonts w:hint="eastAsia"/>
        </w:rPr>
        <w:t xml:space="preserve">. </w:t>
      </w:r>
      <w:r w:rsidRPr="00C00488">
        <w:rPr>
          <w:rFonts w:hint="eastAsia"/>
          <w:i/>
        </w:rPr>
        <w:t xml:space="preserve">Science </w:t>
      </w:r>
      <w:r w:rsidRPr="00C00488">
        <w:rPr>
          <w:rFonts w:hint="eastAsia"/>
          <w:i/>
        </w:rPr>
        <w:t>Ｒ</w:t>
      </w:r>
      <w:r w:rsidRPr="00C00488">
        <w:rPr>
          <w:rFonts w:hint="eastAsia"/>
          <w:i/>
        </w:rPr>
        <w:t>esearch Management</w:t>
      </w:r>
      <w:r w:rsidRPr="00DB58B2">
        <w:rPr>
          <w:rFonts w:hint="eastAsia"/>
          <w:i/>
        </w:rPr>
        <w:t xml:space="preserve"> </w:t>
      </w:r>
      <w:r w:rsidRPr="00DB58B2">
        <w:rPr>
          <w:rFonts w:hint="eastAsia"/>
          <w:b/>
        </w:rPr>
        <w:t>2021,</w:t>
      </w:r>
      <w:r w:rsidRPr="00DB58B2">
        <w:rPr>
          <w:rFonts w:hint="eastAsia"/>
        </w:rPr>
        <w:t xml:space="preserve"> 42, (08), 201-208.</w:t>
      </w:r>
    </w:p>
    <w:p w14:paraId="7F80EEF3" w14:textId="77777777" w:rsidR="00F00D29" w:rsidRPr="00DB58B2" w:rsidRDefault="00F00D29" w:rsidP="00F00D29">
      <w:pPr>
        <w:pStyle w:val="EndNoteBibliography"/>
        <w:ind w:left="720" w:hanging="720"/>
      </w:pPr>
      <w:r w:rsidRPr="00DB58B2">
        <w:rPr>
          <w:rFonts w:hint="eastAsia"/>
        </w:rPr>
        <w:t>31.</w:t>
      </w:r>
      <w:r w:rsidRPr="00DB58B2">
        <w:rPr>
          <w:rFonts w:hint="eastAsia"/>
        </w:rPr>
        <w:tab/>
      </w:r>
      <w:r>
        <w:t>Li D.</w:t>
      </w:r>
      <w:r w:rsidRPr="00DB58B2">
        <w:rPr>
          <w:rFonts w:hint="eastAsia"/>
        </w:rPr>
        <w:t xml:space="preserve">; </w:t>
      </w:r>
      <w:r>
        <w:rPr>
          <w:rFonts w:hint="eastAsia"/>
        </w:rPr>
        <w:t>W</w:t>
      </w:r>
      <w:r>
        <w:t>ang X.</w:t>
      </w:r>
      <w:r w:rsidRPr="00DB58B2">
        <w:rPr>
          <w:rFonts w:hint="eastAsia"/>
        </w:rPr>
        <w:t xml:space="preserve"> </w:t>
      </w:r>
      <w:r w:rsidRPr="00C10C3C">
        <w:rPr>
          <w:rFonts w:hint="eastAsia"/>
        </w:rPr>
        <w:t>TMT Heterogeneity</w:t>
      </w:r>
      <w:r w:rsidRPr="00C10C3C">
        <w:rPr>
          <w:rFonts w:hint="eastAsia"/>
        </w:rPr>
        <w:t>，</w:t>
      </w:r>
      <w:r w:rsidRPr="00C10C3C">
        <w:rPr>
          <w:rFonts w:hint="eastAsia"/>
        </w:rPr>
        <w:t>Incentive Mechanism and R</w:t>
      </w:r>
      <w:r w:rsidRPr="00C10C3C">
        <w:rPr>
          <w:rFonts w:hint="eastAsia"/>
        </w:rPr>
        <w:t>＆</w:t>
      </w:r>
      <w:r w:rsidRPr="00C10C3C">
        <w:rPr>
          <w:rFonts w:hint="eastAsia"/>
        </w:rPr>
        <w:t>D Investment Behavior of Enterprises:Empirical Data from GEM Listed Companies</w:t>
      </w:r>
      <w:r w:rsidRPr="00DB58B2">
        <w:rPr>
          <w:rFonts w:hint="eastAsia"/>
        </w:rPr>
        <w:t xml:space="preserve">. </w:t>
      </w:r>
      <w:r w:rsidRPr="005C74C3">
        <w:rPr>
          <w:i/>
        </w:rPr>
        <w:t>On Economic Problems</w:t>
      </w:r>
      <w:r w:rsidRPr="00DB58B2">
        <w:rPr>
          <w:rFonts w:hint="eastAsia"/>
          <w:i/>
        </w:rPr>
        <w:t xml:space="preserve"> </w:t>
      </w:r>
      <w:r w:rsidRPr="00DB58B2">
        <w:rPr>
          <w:rFonts w:hint="eastAsia"/>
          <w:b/>
        </w:rPr>
        <w:t>2019</w:t>
      </w:r>
      <w:r w:rsidRPr="00DB58B2">
        <w:rPr>
          <w:rFonts w:hint="eastAsia"/>
        </w:rPr>
        <w:t>, (02), 58-68.</w:t>
      </w:r>
    </w:p>
    <w:p w14:paraId="105BE042" w14:textId="77777777" w:rsidR="00F00D29" w:rsidRPr="00DB58B2" w:rsidRDefault="00F00D29" w:rsidP="00F00D29">
      <w:pPr>
        <w:pStyle w:val="EndNoteBibliography"/>
        <w:ind w:left="720" w:hanging="720"/>
      </w:pPr>
      <w:r w:rsidRPr="00DB58B2">
        <w:t>32.</w:t>
      </w:r>
      <w:r w:rsidRPr="00DB58B2">
        <w:tab/>
        <w:t xml:space="preserve">Pettigrew, A. M., On studying managerial elites. </w:t>
      </w:r>
      <w:r w:rsidRPr="00DB58B2">
        <w:rPr>
          <w:i/>
        </w:rPr>
        <w:t xml:space="preserve">Strategic management journal </w:t>
      </w:r>
      <w:r w:rsidRPr="00DB58B2">
        <w:rPr>
          <w:b/>
        </w:rPr>
        <w:lastRenderedPageBreak/>
        <w:t>1992,</w:t>
      </w:r>
      <w:r w:rsidRPr="00DB58B2">
        <w:t xml:space="preserve"> 13, (S2), 163-182.</w:t>
      </w:r>
    </w:p>
    <w:p w14:paraId="2FB700BF" w14:textId="77777777" w:rsidR="00F00D29" w:rsidRPr="00DB58B2" w:rsidRDefault="00F00D29" w:rsidP="00F00D29">
      <w:pPr>
        <w:pStyle w:val="EndNoteBibliography"/>
        <w:ind w:left="720" w:hanging="720"/>
      </w:pPr>
      <w:r w:rsidRPr="00DB58B2">
        <w:t>33.</w:t>
      </w:r>
      <w:r w:rsidRPr="00DB58B2">
        <w:tab/>
        <w:t xml:space="preserve">Lawrence, B. S., Perspective—The black box of organizational demography. </w:t>
      </w:r>
      <w:r w:rsidRPr="00DB58B2">
        <w:rPr>
          <w:i/>
        </w:rPr>
        <w:t xml:space="preserve">Organization science </w:t>
      </w:r>
      <w:r w:rsidRPr="00DB58B2">
        <w:rPr>
          <w:b/>
        </w:rPr>
        <w:t>1997,</w:t>
      </w:r>
      <w:r w:rsidRPr="00DB58B2">
        <w:t xml:space="preserve"> 8, (1), 1-22.</w:t>
      </w:r>
    </w:p>
    <w:p w14:paraId="1AA45EC7" w14:textId="77777777" w:rsidR="00F00D29" w:rsidRPr="00DB58B2" w:rsidRDefault="00F00D29" w:rsidP="00F00D29">
      <w:pPr>
        <w:pStyle w:val="EndNoteBibliography"/>
        <w:ind w:left="720" w:hanging="720"/>
      </w:pPr>
      <w:r w:rsidRPr="00DB58B2">
        <w:t>34.</w:t>
      </w:r>
      <w:r w:rsidRPr="00DB58B2">
        <w:tab/>
        <w:t xml:space="preserve">Nielsen, S., Why do top management teams look the way they do? A multilevel exploration of the antecedents of TMT heterogeneity. </w:t>
      </w:r>
      <w:r w:rsidRPr="00DB58B2">
        <w:rPr>
          <w:i/>
        </w:rPr>
        <w:t xml:space="preserve">Strategic Organization </w:t>
      </w:r>
      <w:r w:rsidRPr="00DB58B2">
        <w:rPr>
          <w:b/>
        </w:rPr>
        <w:t>2009,</w:t>
      </w:r>
      <w:r w:rsidRPr="00DB58B2">
        <w:t xml:space="preserve"> 7, (3), 277-305.</w:t>
      </w:r>
    </w:p>
    <w:p w14:paraId="2ED4C565" w14:textId="77777777" w:rsidR="00F00D29" w:rsidRPr="00DB58B2" w:rsidRDefault="00F00D29" w:rsidP="00F00D29">
      <w:pPr>
        <w:pStyle w:val="EndNoteBibliography"/>
        <w:ind w:left="720" w:hanging="720"/>
      </w:pPr>
      <w:r w:rsidRPr="00DB58B2">
        <w:t>35.</w:t>
      </w:r>
      <w:r w:rsidRPr="00DB58B2">
        <w:tab/>
        <w:t xml:space="preserve">Keck, S. L.; Tushman, M. L., Environmental and organizational context and executive team structure. </w:t>
      </w:r>
      <w:r w:rsidRPr="00DB58B2">
        <w:rPr>
          <w:i/>
        </w:rPr>
        <w:t xml:space="preserve">Academy of management journal </w:t>
      </w:r>
      <w:r w:rsidRPr="00DB58B2">
        <w:rPr>
          <w:b/>
        </w:rPr>
        <w:t>1993,</w:t>
      </w:r>
      <w:r w:rsidRPr="00DB58B2">
        <w:t xml:space="preserve"> 36, (6), 1314-1344.</w:t>
      </w:r>
    </w:p>
    <w:p w14:paraId="33A58A03" w14:textId="77777777" w:rsidR="00F00D29" w:rsidRPr="00DB58B2" w:rsidRDefault="00F00D29" w:rsidP="00F00D29">
      <w:pPr>
        <w:pStyle w:val="EndNoteBibliography"/>
        <w:ind w:left="720" w:hanging="720"/>
      </w:pPr>
      <w:r w:rsidRPr="00DB58B2">
        <w:t>36.</w:t>
      </w:r>
      <w:r w:rsidRPr="00DB58B2">
        <w:tab/>
        <w:t xml:space="preserve">Carpenter, M. A., The implications of strategy and social context for the relationship between top management team heterogeneity and firm performance. </w:t>
      </w:r>
      <w:r w:rsidRPr="00DB58B2">
        <w:rPr>
          <w:i/>
        </w:rPr>
        <w:t xml:space="preserve">Strategic Management Journal </w:t>
      </w:r>
      <w:r w:rsidRPr="00DB58B2">
        <w:rPr>
          <w:b/>
        </w:rPr>
        <w:t>2002,</w:t>
      </w:r>
      <w:r w:rsidRPr="00DB58B2">
        <w:t xml:space="preserve"> 23, (3), 275-284.</w:t>
      </w:r>
    </w:p>
    <w:p w14:paraId="70AC5227" w14:textId="77777777" w:rsidR="00F00D29" w:rsidRPr="00DB58B2" w:rsidRDefault="00F00D29" w:rsidP="00F00D29">
      <w:pPr>
        <w:pStyle w:val="EndNoteBibliography"/>
        <w:ind w:left="720" w:hanging="720"/>
      </w:pPr>
      <w:r w:rsidRPr="00DB58B2">
        <w:t>37.</w:t>
      </w:r>
      <w:r w:rsidRPr="00DB58B2">
        <w:tab/>
        <w:t xml:space="preserve">Keck, S. L., Top management team structure: Differential effects by environmental context. </w:t>
      </w:r>
      <w:r w:rsidRPr="00DB58B2">
        <w:rPr>
          <w:i/>
        </w:rPr>
        <w:t xml:space="preserve">Organization science </w:t>
      </w:r>
      <w:r w:rsidRPr="00DB58B2">
        <w:rPr>
          <w:b/>
        </w:rPr>
        <w:t>1997,</w:t>
      </w:r>
      <w:r w:rsidRPr="00DB58B2">
        <w:t xml:space="preserve"> 8, (2), 143-156.</w:t>
      </w:r>
    </w:p>
    <w:p w14:paraId="1DD8A3CC" w14:textId="77777777" w:rsidR="00F00D29" w:rsidRPr="00DB58B2" w:rsidRDefault="00F00D29" w:rsidP="00F00D29">
      <w:pPr>
        <w:pStyle w:val="EndNoteBibliography"/>
        <w:ind w:left="720" w:hanging="720"/>
      </w:pPr>
      <w:r w:rsidRPr="00DB58B2">
        <w:t>38.</w:t>
      </w:r>
      <w:r w:rsidRPr="00DB58B2">
        <w:tab/>
        <w:t xml:space="preserve">Sharfman, M. P.; Dean, J. W., Conceptualizing and Measuring the Organizational Environment: A Multidimensional Approach. </w:t>
      </w:r>
      <w:r w:rsidRPr="00DB58B2">
        <w:rPr>
          <w:i/>
        </w:rPr>
        <w:t xml:space="preserve">Journal of Management </w:t>
      </w:r>
      <w:r w:rsidRPr="00DB58B2">
        <w:rPr>
          <w:b/>
        </w:rPr>
        <w:t>1991,</w:t>
      </w:r>
      <w:r w:rsidRPr="00DB58B2">
        <w:t xml:space="preserve"> 17, (4), 681-700.</w:t>
      </w:r>
    </w:p>
    <w:p w14:paraId="1B1085E1" w14:textId="77777777" w:rsidR="00F00D29" w:rsidRPr="00DB58B2" w:rsidRDefault="00F00D29" w:rsidP="00F00D29">
      <w:pPr>
        <w:pStyle w:val="EndNoteBibliography"/>
        <w:ind w:left="720" w:hanging="720"/>
      </w:pPr>
      <w:r w:rsidRPr="00DB58B2">
        <w:t>39.</w:t>
      </w:r>
      <w:r w:rsidRPr="00DB58B2">
        <w:tab/>
        <w:t xml:space="preserve">Boeker, W.; Wiltbank, R., New venture evolution and managerial capabilities. </w:t>
      </w:r>
      <w:r w:rsidRPr="00DB58B2">
        <w:rPr>
          <w:i/>
        </w:rPr>
        <w:t xml:space="preserve">Organization Science </w:t>
      </w:r>
      <w:r w:rsidRPr="00DB58B2">
        <w:rPr>
          <w:b/>
        </w:rPr>
        <w:t>2005,</w:t>
      </w:r>
      <w:r w:rsidRPr="00DB58B2">
        <w:t xml:space="preserve"> 16, (2), 123-133.</w:t>
      </w:r>
    </w:p>
    <w:p w14:paraId="63ECC820" w14:textId="77777777" w:rsidR="00F00D29" w:rsidRPr="00DB58B2" w:rsidRDefault="00F00D29" w:rsidP="00F00D29">
      <w:pPr>
        <w:pStyle w:val="EndNoteBibliography"/>
        <w:ind w:left="720" w:hanging="720"/>
      </w:pPr>
      <w:r w:rsidRPr="00DB58B2">
        <w:rPr>
          <w:rFonts w:hint="eastAsia"/>
        </w:rPr>
        <w:t>40.</w:t>
      </w:r>
      <w:r w:rsidRPr="00DB58B2">
        <w:rPr>
          <w:rFonts w:hint="eastAsia"/>
        </w:rPr>
        <w:tab/>
      </w:r>
      <w:r>
        <w:t>Qi Y.</w:t>
      </w:r>
      <w:r w:rsidRPr="00DB58B2">
        <w:rPr>
          <w:rFonts w:hint="eastAsia"/>
        </w:rPr>
        <w:t xml:space="preserve">; </w:t>
      </w:r>
      <w:r>
        <w:rPr>
          <w:rFonts w:hint="eastAsia"/>
        </w:rPr>
        <w:t>X</w:t>
      </w:r>
      <w:r>
        <w:t>iao X.</w:t>
      </w:r>
      <w:r w:rsidRPr="00DB58B2">
        <w:rPr>
          <w:rFonts w:hint="eastAsia"/>
        </w:rPr>
        <w:t xml:space="preserve"> </w:t>
      </w:r>
      <w:r w:rsidRPr="00C522E7">
        <w:t>Transformation of Enterprise Management in the Era of Digital Economy</w:t>
      </w:r>
      <w:r w:rsidRPr="00DB58B2">
        <w:rPr>
          <w:rFonts w:hint="eastAsia"/>
        </w:rPr>
        <w:t xml:space="preserve">. </w:t>
      </w:r>
      <w:r w:rsidRPr="0060750B">
        <w:rPr>
          <w:i/>
        </w:rPr>
        <w:t>Journal of Management World</w:t>
      </w:r>
      <w:r w:rsidRPr="00DB58B2">
        <w:rPr>
          <w:rFonts w:hint="eastAsia"/>
          <w:i/>
        </w:rPr>
        <w:t xml:space="preserve"> </w:t>
      </w:r>
      <w:r w:rsidRPr="00DB58B2">
        <w:rPr>
          <w:rFonts w:hint="eastAsia"/>
          <w:b/>
        </w:rPr>
        <w:t>2020,</w:t>
      </w:r>
      <w:r w:rsidRPr="00DB58B2">
        <w:rPr>
          <w:rFonts w:hint="eastAsia"/>
        </w:rPr>
        <w:t xml:space="preserve"> 36, (06), 135-152+250.</w:t>
      </w:r>
    </w:p>
    <w:p w14:paraId="0DC66718" w14:textId="77777777" w:rsidR="00F00D29" w:rsidRPr="00DB58B2" w:rsidRDefault="00F00D29" w:rsidP="00F00D29">
      <w:pPr>
        <w:pStyle w:val="EndNoteBibliography"/>
        <w:ind w:left="720" w:hanging="720"/>
      </w:pPr>
      <w:r w:rsidRPr="00DB58B2">
        <w:rPr>
          <w:rFonts w:hint="eastAsia"/>
        </w:rPr>
        <w:t>41.</w:t>
      </w:r>
      <w:r w:rsidRPr="00DB58B2">
        <w:rPr>
          <w:rFonts w:hint="eastAsia"/>
        </w:rPr>
        <w:tab/>
      </w:r>
      <w:r>
        <w:t>Chen Q.</w:t>
      </w:r>
      <w:r w:rsidRPr="00DB58B2">
        <w:rPr>
          <w:rFonts w:hint="eastAsia"/>
        </w:rPr>
        <w:t xml:space="preserve">; </w:t>
      </w:r>
      <w:r>
        <w:t>Wang Y.</w:t>
      </w:r>
      <w:r w:rsidRPr="00DB58B2">
        <w:rPr>
          <w:rFonts w:hint="eastAsia"/>
        </w:rPr>
        <w:t xml:space="preserve"> </w:t>
      </w:r>
      <w:r>
        <w:rPr>
          <w:rFonts w:hint="eastAsia"/>
        </w:rPr>
        <w:t>W</w:t>
      </w:r>
      <w:r>
        <w:t>an M.</w:t>
      </w:r>
      <w:r w:rsidRPr="00DB58B2">
        <w:rPr>
          <w:rFonts w:hint="eastAsia"/>
        </w:rPr>
        <w:t xml:space="preserve"> </w:t>
      </w:r>
      <w:r w:rsidRPr="00352390">
        <w:t>Research on Peer Effect of Enterprise Digital Transformation and Influence Factors</w:t>
      </w:r>
      <w:r w:rsidRPr="00DB58B2">
        <w:rPr>
          <w:rFonts w:hint="eastAsia"/>
        </w:rPr>
        <w:t xml:space="preserve">. </w:t>
      </w:r>
      <w:r w:rsidRPr="00C772C8">
        <w:rPr>
          <w:i/>
        </w:rPr>
        <w:t>Chinese Journal of Management</w:t>
      </w:r>
      <w:r w:rsidRPr="00DB58B2">
        <w:rPr>
          <w:rFonts w:hint="eastAsia"/>
          <w:i/>
        </w:rPr>
        <w:t xml:space="preserve"> </w:t>
      </w:r>
      <w:r w:rsidRPr="00DB58B2">
        <w:rPr>
          <w:rFonts w:hint="eastAsia"/>
          <w:b/>
        </w:rPr>
        <w:t>2021,</w:t>
      </w:r>
      <w:r w:rsidRPr="00DB58B2">
        <w:rPr>
          <w:rFonts w:hint="eastAsia"/>
        </w:rPr>
        <w:t xml:space="preserve"> 18, (05), 653-663.</w:t>
      </w:r>
    </w:p>
    <w:p w14:paraId="0F6DB3AD" w14:textId="77777777" w:rsidR="00F00D29" w:rsidRPr="00DB58B2" w:rsidRDefault="00F00D29" w:rsidP="00F00D29">
      <w:pPr>
        <w:pStyle w:val="EndNoteBibliography"/>
        <w:ind w:left="720" w:hanging="720"/>
      </w:pPr>
      <w:r w:rsidRPr="00DB58B2">
        <w:rPr>
          <w:rFonts w:hint="eastAsia"/>
        </w:rPr>
        <w:t>42.</w:t>
      </w:r>
      <w:r w:rsidRPr="00DB58B2">
        <w:rPr>
          <w:rFonts w:hint="eastAsia"/>
        </w:rPr>
        <w:tab/>
      </w:r>
      <w:r>
        <w:rPr>
          <w:rFonts w:hint="eastAsia"/>
        </w:rPr>
        <w:t>L</w:t>
      </w:r>
      <w:r>
        <w:t>iu S.</w:t>
      </w:r>
      <w:r w:rsidRPr="00DB58B2">
        <w:rPr>
          <w:rFonts w:hint="eastAsia"/>
        </w:rPr>
        <w:t xml:space="preserve">; </w:t>
      </w:r>
      <w:r>
        <w:t>Yan J.</w:t>
      </w:r>
      <w:r w:rsidRPr="00DB58B2">
        <w:rPr>
          <w:rFonts w:hint="eastAsia"/>
        </w:rPr>
        <w:t xml:space="preserve">; </w:t>
      </w:r>
      <w:r>
        <w:rPr>
          <w:rFonts w:hint="eastAsia"/>
        </w:rPr>
        <w:t>Z</w:t>
      </w:r>
      <w:r>
        <w:t>hang S.</w:t>
      </w:r>
      <w:r w:rsidRPr="00DB58B2">
        <w:rPr>
          <w:rFonts w:hint="eastAsia"/>
        </w:rPr>
        <w:t xml:space="preserve">; </w:t>
      </w:r>
      <w:r>
        <w:rPr>
          <w:rFonts w:hint="eastAsia"/>
        </w:rPr>
        <w:t>L</w:t>
      </w:r>
      <w:r>
        <w:t>in H.</w:t>
      </w:r>
      <w:r w:rsidRPr="00DB58B2">
        <w:rPr>
          <w:rFonts w:hint="eastAsia"/>
        </w:rPr>
        <w:t xml:space="preserve"> </w:t>
      </w:r>
      <w:r w:rsidRPr="00721DE1">
        <w:t>Can Corporate Digital Transformation Promote Input-Output Efficiency?</w:t>
      </w:r>
      <w:r w:rsidRPr="00DB58B2">
        <w:rPr>
          <w:rFonts w:hint="eastAsia"/>
        </w:rPr>
        <w:t xml:space="preserve"> </w:t>
      </w:r>
      <w:r w:rsidRPr="00B57F52">
        <w:rPr>
          <w:i/>
        </w:rPr>
        <w:t>Journal of Management World</w:t>
      </w:r>
      <w:r w:rsidRPr="00DB58B2">
        <w:rPr>
          <w:rFonts w:hint="eastAsia"/>
          <w:i/>
        </w:rPr>
        <w:t xml:space="preserve"> </w:t>
      </w:r>
      <w:r w:rsidRPr="00DB58B2">
        <w:rPr>
          <w:rFonts w:hint="eastAsia"/>
          <w:b/>
        </w:rPr>
        <w:t>2021,</w:t>
      </w:r>
      <w:r w:rsidRPr="00DB58B2">
        <w:rPr>
          <w:rFonts w:hint="eastAsia"/>
        </w:rPr>
        <w:t xml:space="preserve"> 37, (05), 170-190+13.</w:t>
      </w:r>
    </w:p>
    <w:p w14:paraId="7E92B0E9" w14:textId="77777777" w:rsidR="00F00D29" w:rsidRPr="00DB58B2" w:rsidRDefault="00F00D29" w:rsidP="00F00D29">
      <w:pPr>
        <w:pStyle w:val="EndNoteBibliography"/>
        <w:ind w:left="720" w:hanging="720"/>
      </w:pPr>
      <w:r w:rsidRPr="00DB58B2">
        <w:rPr>
          <w:rFonts w:hint="eastAsia"/>
        </w:rPr>
        <w:t>43.</w:t>
      </w:r>
      <w:r w:rsidRPr="00DB58B2">
        <w:rPr>
          <w:rFonts w:hint="eastAsia"/>
        </w:rPr>
        <w:tab/>
      </w:r>
      <w:r>
        <w:rPr>
          <w:rFonts w:hint="eastAsia"/>
        </w:rPr>
        <w:t>S</w:t>
      </w:r>
      <w:r>
        <w:t>un Z.</w:t>
      </w:r>
      <w:r w:rsidRPr="00DB58B2">
        <w:rPr>
          <w:rFonts w:hint="eastAsia"/>
        </w:rPr>
        <w:t xml:space="preserve">; </w:t>
      </w:r>
      <w:r>
        <w:rPr>
          <w:rFonts w:hint="eastAsia"/>
        </w:rPr>
        <w:t>H</w:t>
      </w:r>
      <w:r>
        <w:t>ou Y.</w:t>
      </w:r>
      <w:r w:rsidRPr="00DB58B2">
        <w:rPr>
          <w:rFonts w:hint="eastAsia"/>
        </w:rPr>
        <w:t xml:space="preserve"> </w:t>
      </w:r>
      <w:r w:rsidRPr="00DF4E1E">
        <w:t>How Does Industrial Intelligence Reshape the Employment Structure of ChineseLabor Force</w:t>
      </w:r>
      <w:r w:rsidRPr="00DB58B2">
        <w:rPr>
          <w:rFonts w:hint="eastAsia"/>
        </w:rPr>
        <w:t xml:space="preserve">. </w:t>
      </w:r>
      <w:r w:rsidRPr="007C48C7">
        <w:rPr>
          <w:i/>
        </w:rPr>
        <w:t>China Industrial Economics</w:t>
      </w:r>
      <w:r w:rsidRPr="00DB58B2">
        <w:rPr>
          <w:rFonts w:hint="eastAsia"/>
          <w:i/>
        </w:rPr>
        <w:t xml:space="preserve"> </w:t>
      </w:r>
      <w:r w:rsidRPr="00DB58B2">
        <w:rPr>
          <w:rFonts w:hint="eastAsia"/>
          <w:b/>
        </w:rPr>
        <w:t>2019</w:t>
      </w:r>
      <w:r w:rsidRPr="00DB58B2">
        <w:rPr>
          <w:rFonts w:hint="eastAsia"/>
        </w:rPr>
        <w:t>, (05), 61-79.</w:t>
      </w:r>
    </w:p>
    <w:p w14:paraId="5C99DC45" w14:textId="77777777" w:rsidR="00F00D29" w:rsidRPr="00DB58B2" w:rsidRDefault="00F00D29" w:rsidP="00F00D29">
      <w:pPr>
        <w:pStyle w:val="EndNoteBibliography"/>
        <w:ind w:left="720" w:hanging="720"/>
      </w:pPr>
      <w:r w:rsidRPr="00DB58B2">
        <w:rPr>
          <w:rFonts w:hint="eastAsia"/>
        </w:rPr>
        <w:t>44.</w:t>
      </w:r>
      <w:r w:rsidRPr="00DB58B2">
        <w:rPr>
          <w:rFonts w:hint="eastAsia"/>
        </w:rPr>
        <w:tab/>
      </w:r>
      <w:r>
        <w:rPr>
          <w:rFonts w:hint="eastAsia"/>
        </w:rPr>
        <w:t>X</w:t>
      </w:r>
      <w:r>
        <w:t>iao J.</w:t>
      </w:r>
      <w:r w:rsidRPr="00DB58B2">
        <w:rPr>
          <w:rFonts w:hint="eastAsia"/>
        </w:rPr>
        <w:t xml:space="preserve">; </w:t>
      </w:r>
      <w:r>
        <w:rPr>
          <w:rFonts w:hint="eastAsia"/>
        </w:rPr>
        <w:t>W</w:t>
      </w:r>
      <w:r>
        <w:t>u X.</w:t>
      </w:r>
      <w:r w:rsidRPr="00DB58B2">
        <w:rPr>
          <w:rFonts w:hint="eastAsia"/>
        </w:rPr>
        <w:t xml:space="preserve">; </w:t>
      </w:r>
      <w:r>
        <w:rPr>
          <w:rFonts w:hint="eastAsia"/>
        </w:rPr>
        <w:t>X</w:t>
      </w:r>
      <w:r>
        <w:t>ie K.</w:t>
      </w:r>
      <w:r w:rsidRPr="00DB58B2">
        <w:rPr>
          <w:rFonts w:hint="eastAsia"/>
        </w:rPr>
        <w:t xml:space="preserve">; </w:t>
      </w:r>
      <w:r>
        <w:rPr>
          <w:rFonts w:hint="eastAsia"/>
        </w:rPr>
        <w:t>W</w:t>
      </w:r>
      <w:r>
        <w:t>u Y.</w:t>
      </w:r>
      <w:r w:rsidRPr="00DB58B2">
        <w:rPr>
          <w:rFonts w:hint="eastAsia"/>
        </w:rPr>
        <w:t xml:space="preserve"> </w:t>
      </w:r>
      <w:r w:rsidRPr="0031254C">
        <w:t>IT-Driven Transformation of Chinese Manufacturing:A Longitudinal Case Study on Leap-Forward Strategic Change of Midea Intelligent Manufacturing</w:t>
      </w:r>
      <w:r w:rsidRPr="00DB58B2">
        <w:rPr>
          <w:rFonts w:hint="eastAsia"/>
        </w:rPr>
        <w:t xml:space="preserve">. </w:t>
      </w:r>
      <w:r w:rsidRPr="008F4710">
        <w:rPr>
          <w:i/>
        </w:rPr>
        <w:t>Journal of Management World</w:t>
      </w:r>
      <w:r w:rsidRPr="00DB58B2">
        <w:rPr>
          <w:i/>
        </w:rPr>
        <w:t xml:space="preserve"> </w:t>
      </w:r>
      <w:r w:rsidRPr="00DB58B2">
        <w:rPr>
          <w:b/>
        </w:rPr>
        <w:t>2021,</w:t>
      </w:r>
      <w:r w:rsidRPr="00DB58B2">
        <w:t xml:space="preserve"> 37, (03), 161-179+225+11.</w:t>
      </w:r>
    </w:p>
    <w:p w14:paraId="15A42633" w14:textId="77777777" w:rsidR="00F00D29" w:rsidRPr="00DB58B2" w:rsidRDefault="00F00D29" w:rsidP="00F00D29">
      <w:pPr>
        <w:pStyle w:val="EndNoteBibliography"/>
        <w:ind w:left="720" w:hanging="720"/>
      </w:pPr>
      <w:r w:rsidRPr="00DB58B2">
        <w:t>45.</w:t>
      </w:r>
      <w:r w:rsidRPr="00DB58B2">
        <w:tab/>
        <w:t xml:space="preserve">Coviello, N. E.; Joseph, R. M., Creating major innovations with customers: Insights from small and young technology firms. </w:t>
      </w:r>
      <w:r w:rsidRPr="00DB58B2">
        <w:rPr>
          <w:i/>
        </w:rPr>
        <w:t xml:space="preserve">Journal of Marketing </w:t>
      </w:r>
      <w:r w:rsidRPr="00DB58B2">
        <w:rPr>
          <w:b/>
        </w:rPr>
        <w:t>2012,</w:t>
      </w:r>
      <w:r w:rsidRPr="00DB58B2">
        <w:t xml:space="preserve"> 76, (6), 87-104.</w:t>
      </w:r>
    </w:p>
    <w:p w14:paraId="555A31EA" w14:textId="77777777" w:rsidR="00F00D29" w:rsidRPr="00DB58B2" w:rsidRDefault="00F00D29" w:rsidP="00F00D29">
      <w:pPr>
        <w:pStyle w:val="EndNoteBibliography"/>
        <w:ind w:left="720" w:hanging="720"/>
      </w:pPr>
      <w:r w:rsidRPr="00DB58B2">
        <w:t>46.</w:t>
      </w:r>
      <w:r w:rsidRPr="00DB58B2">
        <w:tab/>
        <w:t xml:space="preserve">Abebe, M. A., Top team composition and corporate turnaround under environmental stability and turbulence. </w:t>
      </w:r>
      <w:r w:rsidRPr="00DB58B2">
        <w:rPr>
          <w:i/>
        </w:rPr>
        <w:t xml:space="preserve">Leadership &amp; Organization Development Journal </w:t>
      </w:r>
      <w:r w:rsidRPr="00DB58B2">
        <w:rPr>
          <w:b/>
        </w:rPr>
        <w:t>2010</w:t>
      </w:r>
      <w:r w:rsidRPr="00DB58B2">
        <w:t>.</w:t>
      </w:r>
    </w:p>
    <w:p w14:paraId="0039D17A" w14:textId="77777777" w:rsidR="00F00D29" w:rsidRPr="00DB58B2" w:rsidRDefault="00F00D29" w:rsidP="00F00D29">
      <w:pPr>
        <w:pStyle w:val="EndNoteBibliography"/>
        <w:ind w:left="720" w:hanging="720"/>
      </w:pPr>
      <w:r w:rsidRPr="00DB58B2">
        <w:rPr>
          <w:rFonts w:hint="eastAsia"/>
        </w:rPr>
        <w:t>47.</w:t>
      </w:r>
      <w:r w:rsidRPr="00DB58B2">
        <w:rPr>
          <w:rFonts w:hint="eastAsia"/>
        </w:rPr>
        <w:tab/>
      </w:r>
      <w:r>
        <w:t>Sun H.</w:t>
      </w:r>
      <w:r w:rsidRPr="00DB58B2">
        <w:rPr>
          <w:rFonts w:hint="eastAsia"/>
        </w:rPr>
        <w:t xml:space="preserve">; </w:t>
      </w:r>
      <w:r>
        <w:rPr>
          <w:rFonts w:hint="eastAsia"/>
        </w:rPr>
        <w:t>Y</w:t>
      </w:r>
      <w:r>
        <w:t>ao Z.</w:t>
      </w:r>
      <w:r w:rsidRPr="00DB58B2">
        <w:rPr>
          <w:rFonts w:hint="eastAsia"/>
        </w:rPr>
        <w:t xml:space="preserve">; </w:t>
      </w:r>
      <w:r>
        <w:rPr>
          <w:rFonts w:hint="eastAsia"/>
        </w:rPr>
        <w:t>Y</w:t>
      </w:r>
      <w:r>
        <w:t>an M.</w:t>
      </w:r>
      <w:r w:rsidRPr="00DB58B2">
        <w:rPr>
          <w:rFonts w:hint="eastAsia"/>
        </w:rPr>
        <w:t xml:space="preserve"> </w:t>
      </w:r>
      <w:r w:rsidRPr="00AA5927">
        <w:t>The Effect of Demographic Traits of TMT on Performance of Textile and IT Corporations</w:t>
      </w:r>
      <w:r w:rsidRPr="00DB58B2">
        <w:rPr>
          <w:rFonts w:hint="eastAsia"/>
        </w:rPr>
        <w:t xml:space="preserve">. </w:t>
      </w:r>
      <w:r w:rsidRPr="00C94163">
        <w:rPr>
          <w:i/>
        </w:rPr>
        <w:t>Nankai Business Review</w:t>
      </w:r>
      <w:r w:rsidRPr="00DB58B2">
        <w:rPr>
          <w:rFonts w:hint="eastAsia"/>
          <w:i/>
        </w:rPr>
        <w:t xml:space="preserve"> </w:t>
      </w:r>
      <w:r w:rsidRPr="00DB58B2">
        <w:rPr>
          <w:rFonts w:hint="eastAsia"/>
          <w:b/>
        </w:rPr>
        <w:t>2006</w:t>
      </w:r>
      <w:r w:rsidRPr="00DB58B2">
        <w:rPr>
          <w:rFonts w:hint="eastAsia"/>
        </w:rPr>
        <w:t>, (06), 61-67.</w:t>
      </w:r>
    </w:p>
    <w:p w14:paraId="4DC7FED3" w14:textId="59D991DC" w:rsidR="001D67A0" w:rsidRPr="004278CF" w:rsidRDefault="00F00D29" w:rsidP="001E40D6">
      <w:pPr>
        <w:pStyle w:val="EndNoteBibliography"/>
        <w:ind w:left="720" w:hanging="720"/>
        <w:rPr>
          <w:b/>
          <w:sz w:val="15"/>
          <w:szCs w:val="27"/>
          <w:shd w:val="clear" w:color="auto" w:fill="F5F5F5"/>
        </w:rPr>
      </w:pPr>
      <w:r w:rsidRPr="00DB58B2">
        <w:rPr>
          <w:rFonts w:hint="eastAsia"/>
        </w:rPr>
        <w:t>48.</w:t>
      </w:r>
      <w:r w:rsidRPr="00DB58B2">
        <w:rPr>
          <w:rFonts w:hint="eastAsia"/>
        </w:rPr>
        <w:tab/>
      </w:r>
      <w:r>
        <w:rPr>
          <w:rFonts w:hint="eastAsia"/>
        </w:rPr>
        <w:t>Z</w:t>
      </w:r>
      <w:r>
        <w:t>hao C.</w:t>
      </w:r>
      <w:r w:rsidRPr="00DB58B2">
        <w:rPr>
          <w:rFonts w:hint="eastAsia"/>
        </w:rPr>
        <w:t xml:space="preserve">; </w:t>
      </w:r>
      <w:r>
        <w:t>Wang W.</w:t>
      </w:r>
      <w:r w:rsidRPr="00DB58B2">
        <w:rPr>
          <w:rFonts w:hint="eastAsia"/>
        </w:rPr>
        <w:t xml:space="preserve">; </w:t>
      </w:r>
      <w:r>
        <w:rPr>
          <w:rFonts w:hint="eastAsia"/>
        </w:rPr>
        <w:t>L</w:t>
      </w:r>
      <w:r>
        <w:t>i X.</w:t>
      </w:r>
      <w:r w:rsidRPr="00DB58B2">
        <w:rPr>
          <w:rFonts w:hint="eastAsia"/>
        </w:rPr>
        <w:t xml:space="preserve">, </w:t>
      </w:r>
      <w:r w:rsidRPr="00612E8B">
        <w:t xml:space="preserve">How Does Digital Transformation Affect the Total </w:t>
      </w:r>
      <w:r w:rsidRPr="00612E8B">
        <w:lastRenderedPageBreak/>
        <w:t>Factor Productivity of Enterprises?</w:t>
      </w:r>
      <w:r w:rsidRPr="00DB58B2">
        <w:rPr>
          <w:rFonts w:hint="eastAsia"/>
        </w:rPr>
        <w:t xml:space="preserve"> </w:t>
      </w:r>
      <w:r w:rsidRPr="0023215F">
        <w:rPr>
          <w:i/>
        </w:rPr>
        <w:t>Finance &amp; Trade Economics</w:t>
      </w:r>
      <w:r w:rsidRPr="00DB58B2">
        <w:rPr>
          <w:rFonts w:hint="eastAsia"/>
          <w:i/>
        </w:rPr>
        <w:t xml:space="preserve"> </w:t>
      </w:r>
      <w:r w:rsidRPr="00DB58B2">
        <w:rPr>
          <w:rFonts w:hint="eastAsia"/>
          <w:b/>
        </w:rPr>
        <w:t>2021,</w:t>
      </w:r>
      <w:r w:rsidRPr="00DB58B2">
        <w:rPr>
          <w:rFonts w:hint="eastAsia"/>
        </w:rPr>
        <w:t xml:space="preserve"> 42, (07), 114-129.</w:t>
      </w:r>
      <w:r w:rsidR="001D67A0" w:rsidRPr="00DD32D2">
        <w:fldChar w:fldCharType="begin"/>
      </w:r>
      <w:r w:rsidR="001D67A0" w:rsidRPr="00DD32D2">
        <w:instrText xml:space="preserve"> ADDIN EN.REFLIST </w:instrText>
      </w:r>
      <w:r w:rsidR="001D67A0" w:rsidRPr="00DD32D2">
        <w:fldChar w:fldCharType="separate"/>
      </w:r>
      <w:r w:rsidR="001D67A0" w:rsidRPr="00DD32D2">
        <w:fldChar w:fldCharType="end"/>
      </w:r>
    </w:p>
    <w:p w14:paraId="7D76FD65" w14:textId="0658DD65" w:rsidR="006A716E" w:rsidRDefault="006A716E"/>
    <w:sectPr w:rsidR="006A716E" w:rsidSect="007318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54BBA" w14:textId="77777777" w:rsidR="00E6316D" w:rsidRDefault="00E6316D" w:rsidP="001D67A0">
      <w:r>
        <w:separator/>
      </w:r>
    </w:p>
  </w:endnote>
  <w:endnote w:type="continuationSeparator" w:id="0">
    <w:p w14:paraId="0989721E" w14:textId="77777777" w:rsidR="00E6316D" w:rsidRDefault="00E6316D" w:rsidP="001D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10" w:usb3="00000000" w:csb0="00040000" w:csb1="00000000"/>
  </w:font>
  <w:font w:name="方正大黑简体">
    <w:altName w:val="宋体"/>
    <w:charset w:val="86"/>
    <w:family w:val="auto"/>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楷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C67E4" w14:textId="77777777" w:rsidR="00E6316D" w:rsidRDefault="00E6316D" w:rsidP="001D67A0">
      <w:r>
        <w:separator/>
      </w:r>
    </w:p>
  </w:footnote>
  <w:footnote w:type="continuationSeparator" w:id="0">
    <w:p w14:paraId="310DFFF0" w14:textId="77777777" w:rsidR="00E6316D" w:rsidRDefault="00E6316D" w:rsidP="001D6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5523"/>
    <w:multiLevelType w:val="hybridMultilevel"/>
    <w:tmpl w:val="749602CA"/>
    <w:lvl w:ilvl="0" w:tplc="5DCE2C3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F419C9"/>
    <w:multiLevelType w:val="hybridMultilevel"/>
    <w:tmpl w:val="B6624926"/>
    <w:lvl w:ilvl="0" w:tplc="34368578">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76305B"/>
    <w:multiLevelType w:val="hybridMultilevel"/>
    <w:tmpl w:val="EB24783C"/>
    <w:lvl w:ilvl="0" w:tplc="E4A896A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5A5378F"/>
    <w:multiLevelType w:val="hybridMultilevel"/>
    <w:tmpl w:val="1F44E0D8"/>
    <w:lvl w:ilvl="0" w:tplc="D722ADF4">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B9E2D2C"/>
    <w:multiLevelType w:val="hybridMultilevel"/>
    <w:tmpl w:val="AE64C712"/>
    <w:lvl w:ilvl="0" w:tplc="9AAEB2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151351C"/>
    <w:multiLevelType w:val="hybridMultilevel"/>
    <w:tmpl w:val="ACB4145E"/>
    <w:lvl w:ilvl="0" w:tplc="BF2EBC5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MLEwMjOysLAwNDNW0lEKTi0uzszPAymwqAUA9Zq2zSwAAAA="/>
    <w:docVar w:name="EN.InstantFormat" w:val="&lt;ENInstantFormat&gt;&lt;Enabled&gt;1&lt;/Enabled&gt;&lt;ScanUnformatted&gt;1&lt;/ScanUnformatted&gt;&lt;ScanChanges&gt;1&lt;/ScanChanges&gt;&lt;Suspended&gt;0&lt;/Suspended&gt;&lt;/ENInstantFormat&gt;"/>
    <w:docVar w:name="EN.Layout" w:val="&lt;ENLayout&gt;&lt;Style&gt;Sustainabilit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2x5tepx09dx4exw5d5a9rgzdfat9d05we5&quot;&gt;My EndNote Library&lt;record-ids&gt;&lt;item&gt;4&lt;/item&gt;&lt;/record-ids&gt;&lt;/item&gt;&lt;/Libraries&gt;"/>
  </w:docVars>
  <w:rsids>
    <w:rsidRoot w:val="00E33CC8"/>
    <w:rsid w:val="0000071B"/>
    <w:rsid w:val="000010A0"/>
    <w:rsid w:val="0000325B"/>
    <w:rsid w:val="000048B2"/>
    <w:rsid w:val="000055EB"/>
    <w:rsid w:val="00005ADA"/>
    <w:rsid w:val="0001030F"/>
    <w:rsid w:val="00012457"/>
    <w:rsid w:val="000151CE"/>
    <w:rsid w:val="00015DEF"/>
    <w:rsid w:val="00016EFA"/>
    <w:rsid w:val="000178FA"/>
    <w:rsid w:val="00020368"/>
    <w:rsid w:val="000258FC"/>
    <w:rsid w:val="00025E4D"/>
    <w:rsid w:val="00030961"/>
    <w:rsid w:val="00030DF0"/>
    <w:rsid w:val="00040012"/>
    <w:rsid w:val="0004123B"/>
    <w:rsid w:val="00042355"/>
    <w:rsid w:val="00050D59"/>
    <w:rsid w:val="00053757"/>
    <w:rsid w:val="00054A91"/>
    <w:rsid w:val="00056457"/>
    <w:rsid w:val="0006028B"/>
    <w:rsid w:val="00060D6A"/>
    <w:rsid w:val="00060D95"/>
    <w:rsid w:val="00060E86"/>
    <w:rsid w:val="00064CA6"/>
    <w:rsid w:val="00065913"/>
    <w:rsid w:val="0006732C"/>
    <w:rsid w:val="00070449"/>
    <w:rsid w:val="0007106B"/>
    <w:rsid w:val="00073F55"/>
    <w:rsid w:val="0007672E"/>
    <w:rsid w:val="00080522"/>
    <w:rsid w:val="0008416D"/>
    <w:rsid w:val="00087A97"/>
    <w:rsid w:val="00087CCD"/>
    <w:rsid w:val="00087DB8"/>
    <w:rsid w:val="0009059D"/>
    <w:rsid w:val="00090CC0"/>
    <w:rsid w:val="00093873"/>
    <w:rsid w:val="000A2BF2"/>
    <w:rsid w:val="000A5285"/>
    <w:rsid w:val="000B6D88"/>
    <w:rsid w:val="000B71E6"/>
    <w:rsid w:val="000C34B6"/>
    <w:rsid w:val="000C37D7"/>
    <w:rsid w:val="000C5942"/>
    <w:rsid w:val="000C7450"/>
    <w:rsid w:val="000D0A4F"/>
    <w:rsid w:val="000D4E7A"/>
    <w:rsid w:val="000D5869"/>
    <w:rsid w:val="000D58EF"/>
    <w:rsid w:val="000D7656"/>
    <w:rsid w:val="000E1580"/>
    <w:rsid w:val="000E310D"/>
    <w:rsid w:val="000F11D1"/>
    <w:rsid w:val="000F2640"/>
    <w:rsid w:val="000F2C71"/>
    <w:rsid w:val="000F3AA4"/>
    <w:rsid w:val="000F52F9"/>
    <w:rsid w:val="0010061C"/>
    <w:rsid w:val="00101BA7"/>
    <w:rsid w:val="001041AB"/>
    <w:rsid w:val="001056DD"/>
    <w:rsid w:val="00106652"/>
    <w:rsid w:val="0011502D"/>
    <w:rsid w:val="001179F6"/>
    <w:rsid w:val="00121ADC"/>
    <w:rsid w:val="00121E0A"/>
    <w:rsid w:val="00122316"/>
    <w:rsid w:val="00122C77"/>
    <w:rsid w:val="001271AA"/>
    <w:rsid w:val="00127A4C"/>
    <w:rsid w:val="00127D25"/>
    <w:rsid w:val="00127E0D"/>
    <w:rsid w:val="00131B7B"/>
    <w:rsid w:val="00132C0D"/>
    <w:rsid w:val="00141925"/>
    <w:rsid w:val="00144BB6"/>
    <w:rsid w:val="001457BC"/>
    <w:rsid w:val="00151865"/>
    <w:rsid w:val="00153AD9"/>
    <w:rsid w:val="001603BA"/>
    <w:rsid w:val="00162FD4"/>
    <w:rsid w:val="00164FA5"/>
    <w:rsid w:val="00165758"/>
    <w:rsid w:val="001659D7"/>
    <w:rsid w:val="00165BF4"/>
    <w:rsid w:val="00170ECE"/>
    <w:rsid w:val="00171460"/>
    <w:rsid w:val="00173023"/>
    <w:rsid w:val="00173C04"/>
    <w:rsid w:val="00174053"/>
    <w:rsid w:val="00177A65"/>
    <w:rsid w:val="001821D0"/>
    <w:rsid w:val="00186972"/>
    <w:rsid w:val="00186D8B"/>
    <w:rsid w:val="00190428"/>
    <w:rsid w:val="00190489"/>
    <w:rsid w:val="00193BCE"/>
    <w:rsid w:val="0019715C"/>
    <w:rsid w:val="00197FBF"/>
    <w:rsid w:val="001A1BC0"/>
    <w:rsid w:val="001A2C88"/>
    <w:rsid w:val="001A4075"/>
    <w:rsid w:val="001B0D18"/>
    <w:rsid w:val="001C0069"/>
    <w:rsid w:val="001C11AB"/>
    <w:rsid w:val="001C25C1"/>
    <w:rsid w:val="001C3D52"/>
    <w:rsid w:val="001C4132"/>
    <w:rsid w:val="001D06D2"/>
    <w:rsid w:val="001D0A99"/>
    <w:rsid w:val="001D23FB"/>
    <w:rsid w:val="001D6215"/>
    <w:rsid w:val="001D67A0"/>
    <w:rsid w:val="001D7648"/>
    <w:rsid w:val="001E2FED"/>
    <w:rsid w:val="001E380E"/>
    <w:rsid w:val="001E40D6"/>
    <w:rsid w:val="001E4DB8"/>
    <w:rsid w:val="001E7F04"/>
    <w:rsid w:val="001F08A6"/>
    <w:rsid w:val="001F203B"/>
    <w:rsid w:val="001F3401"/>
    <w:rsid w:val="001F35A3"/>
    <w:rsid w:val="001F408F"/>
    <w:rsid w:val="001F77B7"/>
    <w:rsid w:val="001F78F4"/>
    <w:rsid w:val="00200F98"/>
    <w:rsid w:val="002157FE"/>
    <w:rsid w:val="00216B27"/>
    <w:rsid w:val="002240C9"/>
    <w:rsid w:val="002262CB"/>
    <w:rsid w:val="00226B08"/>
    <w:rsid w:val="00227846"/>
    <w:rsid w:val="00231FC8"/>
    <w:rsid w:val="00235930"/>
    <w:rsid w:val="00237CD7"/>
    <w:rsid w:val="00243745"/>
    <w:rsid w:val="002438F8"/>
    <w:rsid w:val="00247779"/>
    <w:rsid w:val="00251197"/>
    <w:rsid w:val="002521A8"/>
    <w:rsid w:val="002572C7"/>
    <w:rsid w:val="00261903"/>
    <w:rsid w:val="00264133"/>
    <w:rsid w:val="0026429C"/>
    <w:rsid w:val="00265CD2"/>
    <w:rsid w:val="00265D79"/>
    <w:rsid w:val="0027065E"/>
    <w:rsid w:val="002747B9"/>
    <w:rsid w:val="00277637"/>
    <w:rsid w:val="002871D5"/>
    <w:rsid w:val="002875F0"/>
    <w:rsid w:val="00291DB1"/>
    <w:rsid w:val="002953D7"/>
    <w:rsid w:val="00296CC1"/>
    <w:rsid w:val="00297A44"/>
    <w:rsid w:val="002A0E94"/>
    <w:rsid w:val="002A14F5"/>
    <w:rsid w:val="002A29BD"/>
    <w:rsid w:val="002A3691"/>
    <w:rsid w:val="002A7807"/>
    <w:rsid w:val="002A7B59"/>
    <w:rsid w:val="002B1C6B"/>
    <w:rsid w:val="002B20A3"/>
    <w:rsid w:val="002B488B"/>
    <w:rsid w:val="002B79F1"/>
    <w:rsid w:val="002C551D"/>
    <w:rsid w:val="002C6536"/>
    <w:rsid w:val="002C725D"/>
    <w:rsid w:val="002D1F12"/>
    <w:rsid w:val="002D31BA"/>
    <w:rsid w:val="002D45DA"/>
    <w:rsid w:val="002D6C4A"/>
    <w:rsid w:val="002E0316"/>
    <w:rsid w:val="002E0E18"/>
    <w:rsid w:val="002E2B56"/>
    <w:rsid w:val="002E2C1E"/>
    <w:rsid w:val="002E3ADA"/>
    <w:rsid w:val="002E3B4A"/>
    <w:rsid w:val="002E6BF3"/>
    <w:rsid w:val="002F043F"/>
    <w:rsid w:val="002F0A08"/>
    <w:rsid w:val="002F2B97"/>
    <w:rsid w:val="002F3D8E"/>
    <w:rsid w:val="002F6FE4"/>
    <w:rsid w:val="0030567F"/>
    <w:rsid w:val="00307962"/>
    <w:rsid w:val="00310188"/>
    <w:rsid w:val="0031187A"/>
    <w:rsid w:val="00311AAD"/>
    <w:rsid w:val="0031206B"/>
    <w:rsid w:val="00313DF2"/>
    <w:rsid w:val="00323760"/>
    <w:rsid w:val="00325D61"/>
    <w:rsid w:val="003314C0"/>
    <w:rsid w:val="003330FA"/>
    <w:rsid w:val="00333AA8"/>
    <w:rsid w:val="00334956"/>
    <w:rsid w:val="00334D2E"/>
    <w:rsid w:val="003354B8"/>
    <w:rsid w:val="00336B69"/>
    <w:rsid w:val="0033761A"/>
    <w:rsid w:val="00345EBE"/>
    <w:rsid w:val="00350741"/>
    <w:rsid w:val="003546F0"/>
    <w:rsid w:val="00354C37"/>
    <w:rsid w:val="00355ADD"/>
    <w:rsid w:val="00355B74"/>
    <w:rsid w:val="0035666E"/>
    <w:rsid w:val="00360DD2"/>
    <w:rsid w:val="00361C3A"/>
    <w:rsid w:val="00361F5D"/>
    <w:rsid w:val="0036452C"/>
    <w:rsid w:val="00364AF4"/>
    <w:rsid w:val="003652AC"/>
    <w:rsid w:val="003738F5"/>
    <w:rsid w:val="00373DD5"/>
    <w:rsid w:val="0037475D"/>
    <w:rsid w:val="003747E5"/>
    <w:rsid w:val="003748FA"/>
    <w:rsid w:val="00374D61"/>
    <w:rsid w:val="00375626"/>
    <w:rsid w:val="00375EC1"/>
    <w:rsid w:val="0037626D"/>
    <w:rsid w:val="0038118B"/>
    <w:rsid w:val="0038218A"/>
    <w:rsid w:val="003821DB"/>
    <w:rsid w:val="00385732"/>
    <w:rsid w:val="003922B1"/>
    <w:rsid w:val="00393B01"/>
    <w:rsid w:val="00395454"/>
    <w:rsid w:val="00396022"/>
    <w:rsid w:val="003A1F20"/>
    <w:rsid w:val="003A3B64"/>
    <w:rsid w:val="003A4E40"/>
    <w:rsid w:val="003A571A"/>
    <w:rsid w:val="003B1418"/>
    <w:rsid w:val="003B60BB"/>
    <w:rsid w:val="003B6B7A"/>
    <w:rsid w:val="003B6EA4"/>
    <w:rsid w:val="003B7615"/>
    <w:rsid w:val="003B778F"/>
    <w:rsid w:val="003C0C0B"/>
    <w:rsid w:val="003C211D"/>
    <w:rsid w:val="003C2B69"/>
    <w:rsid w:val="003C4AFB"/>
    <w:rsid w:val="003C73C0"/>
    <w:rsid w:val="003D0C38"/>
    <w:rsid w:val="003D1126"/>
    <w:rsid w:val="003D1DFD"/>
    <w:rsid w:val="003D23D1"/>
    <w:rsid w:val="003D37CA"/>
    <w:rsid w:val="003D59D5"/>
    <w:rsid w:val="003D6CE6"/>
    <w:rsid w:val="003E149D"/>
    <w:rsid w:val="003E1A28"/>
    <w:rsid w:val="003E3ECD"/>
    <w:rsid w:val="003E6463"/>
    <w:rsid w:val="003F06CD"/>
    <w:rsid w:val="003F557B"/>
    <w:rsid w:val="003F74C8"/>
    <w:rsid w:val="003F7AD7"/>
    <w:rsid w:val="00402FDE"/>
    <w:rsid w:val="004053F2"/>
    <w:rsid w:val="00405840"/>
    <w:rsid w:val="00405E1A"/>
    <w:rsid w:val="00405ED1"/>
    <w:rsid w:val="004061AD"/>
    <w:rsid w:val="00411763"/>
    <w:rsid w:val="004129CC"/>
    <w:rsid w:val="00414014"/>
    <w:rsid w:val="00414AF8"/>
    <w:rsid w:val="00416C28"/>
    <w:rsid w:val="0042741C"/>
    <w:rsid w:val="0042772F"/>
    <w:rsid w:val="004278CF"/>
    <w:rsid w:val="00431C36"/>
    <w:rsid w:val="00431EF9"/>
    <w:rsid w:val="00432D53"/>
    <w:rsid w:val="00436A09"/>
    <w:rsid w:val="00437827"/>
    <w:rsid w:val="00447829"/>
    <w:rsid w:val="00450353"/>
    <w:rsid w:val="00450EC6"/>
    <w:rsid w:val="004512E3"/>
    <w:rsid w:val="00452F98"/>
    <w:rsid w:val="0045503C"/>
    <w:rsid w:val="00455FFF"/>
    <w:rsid w:val="004574F5"/>
    <w:rsid w:val="00460DB6"/>
    <w:rsid w:val="00461F94"/>
    <w:rsid w:val="00462176"/>
    <w:rsid w:val="00464334"/>
    <w:rsid w:val="00467C40"/>
    <w:rsid w:val="00470131"/>
    <w:rsid w:val="00475146"/>
    <w:rsid w:val="00477DC7"/>
    <w:rsid w:val="0048530C"/>
    <w:rsid w:val="004915AB"/>
    <w:rsid w:val="00494A11"/>
    <w:rsid w:val="004962D7"/>
    <w:rsid w:val="004A0BF4"/>
    <w:rsid w:val="004A2B7C"/>
    <w:rsid w:val="004A34AE"/>
    <w:rsid w:val="004A58D5"/>
    <w:rsid w:val="004A5EB1"/>
    <w:rsid w:val="004A6EFC"/>
    <w:rsid w:val="004A7108"/>
    <w:rsid w:val="004A7895"/>
    <w:rsid w:val="004B02A3"/>
    <w:rsid w:val="004B5FB9"/>
    <w:rsid w:val="004C035C"/>
    <w:rsid w:val="004C0DA1"/>
    <w:rsid w:val="004C1CCD"/>
    <w:rsid w:val="004C21FD"/>
    <w:rsid w:val="004C29DD"/>
    <w:rsid w:val="004C330A"/>
    <w:rsid w:val="004C373A"/>
    <w:rsid w:val="004C3A37"/>
    <w:rsid w:val="004C58BF"/>
    <w:rsid w:val="004C5FE8"/>
    <w:rsid w:val="004C76BF"/>
    <w:rsid w:val="004C7777"/>
    <w:rsid w:val="004D30A2"/>
    <w:rsid w:val="004D378E"/>
    <w:rsid w:val="004D4E9C"/>
    <w:rsid w:val="004D58C1"/>
    <w:rsid w:val="004D5FBC"/>
    <w:rsid w:val="004E04EC"/>
    <w:rsid w:val="004E2061"/>
    <w:rsid w:val="004E50B4"/>
    <w:rsid w:val="004E6C86"/>
    <w:rsid w:val="004E75CD"/>
    <w:rsid w:val="004F227B"/>
    <w:rsid w:val="004F68C5"/>
    <w:rsid w:val="004F6CCC"/>
    <w:rsid w:val="00500E6A"/>
    <w:rsid w:val="00503D07"/>
    <w:rsid w:val="0050419F"/>
    <w:rsid w:val="00506234"/>
    <w:rsid w:val="00506C27"/>
    <w:rsid w:val="0051303E"/>
    <w:rsid w:val="005144D6"/>
    <w:rsid w:val="0051516F"/>
    <w:rsid w:val="005169B6"/>
    <w:rsid w:val="005177C8"/>
    <w:rsid w:val="00521CD0"/>
    <w:rsid w:val="0052226A"/>
    <w:rsid w:val="00523F19"/>
    <w:rsid w:val="005250C3"/>
    <w:rsid w:val="00525363"/>
    <w:rsid w:val="00526CBB"/>
    <w:rsid w:val="00526DAA"/>
    <w:rsid w:val="00531041"/>
    <w:rsid w:val="005313F2"/>
    <w:rsid w:val="00532AC1"/>
    <w:rsid w:val="005330C3"/>
    <w:rsid w:val="00533E73"/>
    <w:rsid w:val="0053600D"/>
    <w:rsid w:val="005372F6"/>
    <w:rsid w:val="005379D3"/>
    <w:rsid w:val="00537A95"/>
    <w:rsid w:val="00541446"/>
    <w:rsid w:val="00542502"/>
    <w:rsid w:val="00543153"/>
    <w:rsid w:val="0054541D"/>
    <w:rsid w:val="0054593E"/>
    <w:rsid w:val="00545FD2"/>
    <w:rsid w:val="00546E24"/>
    <w:rsid w:val="005473AE"/>
    <w:rsid w:val="00550AD8"/>
    <w:rsid w:val="00552113"/>
    <w:rsid w:val="00556A8D"/>
    <w:rsid w:val="0056076C"/>
    <w:rsid w:val="00560A2D"/>
    <w:rsid w:val="00561177"/>
    <w:rsid w:val="005629DD"/>
    <w:rsid w:val="00563FA6"/>
    <w:rsid w:val="00573B87"/>
    <w:rsid w:val="00576015"/>
    <w:rsid w:val="005770F3"/>
    <w:rsid w:val="005806EC"/>
    <w:rsid w:val="00580EE7"/>
    <w:rsid w:val="00581C56"/>
    <w:rsid w:val="00585A19"/>
    <w:rsid w:val="00585CA9"/>
    <w:rsid w:val="00592DA9"/>
    <w:rsid w:val="0059468F"/>
    <w:rsid w:val="00594F46"/>
    <w:rsid w:val="005956F4"/>
    <w:rsid w:val="005A1C24"/>
    <w:rsid w:val="005A4098"/>
    <w:rsid w:val="005A70A0"/>
    <w:rsid w:val="005B0A6D"/>
    <w:rsid w:val="005B247F"/>
    <w:rsid w:val="005B39CC"/>
    <w:rsid w:val="005B4CF4"/>
    <w:rsid w:val="005B786D"/>
    <w:rsid w:val="005C020F"/>
    <w:rsid w:val="005C2520"/>
    <w:rsid w:val="005C2A85"/>
    <w:rsid w:val="005C32EF"/>
    <w:rsid w:val="005C3709"/>
    <w:rsid w:val="005C40E2"/>
    <w:rsid w:val="005C7A5C"/>
    <w:rsid w:val="005D0ACF"/>
    <w:rsid w:val="005D33EF"/>
    <w:rsid w:val="005D79B2"/>
    <w:rsid w:val="005E02C0"/>
    <w:rsid w:val="005E0793"/>
    <w:rsid w:val="005E356F"/>
    <w:rsid w:val="005E3654"/>
    <w:rsid w:val="005E3EB6"/>
    <w:rsid w:val="005E61F4"/>
    <w:rsid w:val="005E62DA"/>
    <w:rsid w:val="005E6F07"/>
    <w:rsid w:val="005E7A83"/>
    <w:rsid w:val="005F7162"/>
    <w:rsid w:val="005F780A"/>
    <w:rsid w:val="006025ED"/>
    <w:rsid w:val="0060283B"/>
    <w:rsid w:val="00603ED1"/>
    <w:rsid w:val="0060711A"/>
    <w:rsid w:val="006125F8"/>
    <w:rsid w:val="0061418C"/>
    <w:rsid w:val="00621120"/>
    <w:rsid w:val="006214A4"/>
    <w:rsid w:val="006224F6"/>
    <w:rsid w:val="00622532"/>
    <w:rsid w:val="006264BC"/>
    <w:rsid w:val="00627033"/>
    <w:rsid w:val="00627E2E"/>
    <w:rsid w:val="006317D3"/>
    <w:rsid w:val="00633723"/>
    <w:rsid w:val="00645A6F"/>
    <w:rsid w:val="00647AFD"/>
    <w:rsid w:val="00650260"/>
    <w:rsid w:val="006517AC"/>
    <w:rsid w:val="006520D1"/>
    <w:rsid w:val="0065249D"/>
    <w:rsid w:val="00653D77"/>
    <w:rsid w:val="0065576A"/>
    <w:rsid w:val="006562C5"/>
    <w:rsid w:val="006565FA"/>
    <w:rsid w:val="00660F52"/>
    <w:rsid w:val="0066325F"/>
    <w:rsid w:val="00666005"/>
    <w:rsid w:val="00667E59"/>
    <w:rsid w:val="00670886"/>
    <w:rsid w:val="00672335"/>
    <w:rsid w:val="006749FB"/>
    <w:rsid w:val="006758BA"/>
    <w:rsid w:val="006770C7"/>
    <w:rsid w:val="0067759F"/>
    <w:rsid w:val="0068275E"/>
    <w:rsid w:val="006917F3"/>
    <w:rsid w:val="00696C79"/>
    <w:rsid w:val="0069792A"/>
    <w:rsid w:val="006A00BF"/>
    <w:rsid w:val="006A130A"/>
    <w:rsid w:val="006A340A"/>
    <w:rsid w:val="006A357F"/>
    <w:rsid w:val="006A6AE8"/>
    <w:rsid w:val="006A716E"/>
    <w:rsid w:val="006A7EF3"/>
    <w:rsid w:val="006B2FD0"/>
    <w:rsid w:val="006B40D2"/>
    <w:rsid w:val="006B4893"/>
    <w:rsid w:val="006B49FF"/>
    <w:rsid w:val="006B573B"/>
    <w:rsid w:val="006B7096"/>
    <w:rsid w:val="006C0899"/>
    <w:rsid w:val="006C0AED"/>
    <w:rsid w:val="006C2B64"/>
    <w:rsid w:val="006C33F0"/>
    <w:rsid w:val="006C5500"/>
    <w:rsid w:val="006C778A"/>
    <w:rsid w:val="006D07BB"/>
    <w:rsid w:val="006D17AF"/>
    <w:rsid w:val="006D1FD4"/>
    <w:rsid w:val="006D43B9"/>
    <w:rsid w:val="006D5B6F"/>
    <w:rsid w:val="006D760C"/>
    <w:rsid w:val="006E2C16"/>
    <w:rsid w:val="006E47C7"/>
    <w:rsid w:val="006E4CB1"/>
    <w:rsid w:val="006E581C"/>
    <w:rsid w:val="006E7275"/>
    <w:rsid w:val="006F0F86"/>
    <w:rsid w:val="006F6206"/>
    <w:rsid w:val="006F68C7"/>
    <w:rsid w:val="00701D41"/>
    <w:rsid w:val="007025C4"/>
    <w:rsid w:val="007038B6"/>
    <w:rsid w:val="007061BE"/>
    <w:rsid w:val="00706928"/>
    <w:rsid w:val="00707DB9"/>
    <w:rsid w:val="00710CB3"/>
    <w:rsid w:val="00710F3D"/>
    <w:rsid w:val="00711445"/>
    <w:rsid w:val="0071223B"/>
    <w:rsid w:val="00713028"/>
    <w:rsid w:val="007133DB"/>
    <w:rsid w:val="0071482E"/>
    <w:rsid w:val="00716A70"/>
    <w:rsid w:val="0072094B"/>
    <w:rsid w:val="00722646"/>
    <w:rsid w:val="007243D0"/>
    <w:rsid w:val="0072483B"/>
    <w:rsid w:val="00724ACE"/>
    <w:rsid w:val="007250A2"/>
    <w:rsid w:val="00727876"/>
    <w:rsid w:val="00727956"/>
    <w:rsid w:val="007318BC"/>
    <w:rsid w:val="00735870"/>
    <w:rsid w:val="00737270"/>
    <w:rsid w:val="00737420"/>
    <w:rsid w:val="00740312"/>
    <w:rsid w:val="00741CEB"/>
    <w:rsid w:val="00741FAE"/>
    <w:rsid w:val="00743150"/>
    <w:rsid w:val="007442DA"/>
    <w:rsid w:val="0074750C"/>
    <w:rsid w:val="00752886"/>
    <w:rsid w:val="00752B42"/>
    <w:rsid w:val="00752C29"/>
    <w:rsid w:val="00752DFA"/>
    <w:rsid w:val="0075347A"/>
    <w:rsid w:val="00754846"/>
    <w:rsid w:val="00754AA5"/>
    <w:rsid w:val="00763B7C"/>
    <w:rsid w:val="007676C4"/>
    <w:rsid w:val="00770154"/>
    <w:rsid w:val="007706B8"/>
    <w:rsid w:val="007721FE"/>
    <w:rsid w:val="00772F9F"/>
    <w:rsid w:val="00780758"/>
    <w:rsid w:val="007835D5"/>
    <w:rsid w:val="007841E9"/>
    <w:rsid w:val="007862DD"/>
    <w:rsid w:val="007908B6"/>
    <w:rsid w:val="00790B4F"/>
    <w:rsid w:val="00794FD1"/>
    <w:rsid w:val="007950FE"/>
    <w:rsid w:val="007A15F4"/>
    <w:rsid w:val="007A2942"/>
    <w:rsid w:val="007A3327"/>
    <w:rsid w:val="007A4C7E"/>
    <w:rsid w:val="007A4F5E"/>
    <w:rsid w:val="007A51A8"/>
    <w:rsid w:val="007A578F"/>
    <w:rsid w:val="007A7EE6"/>
    <w:rsid w:val="007B5DEB"/>
    <w:rsid w:val="007B7FC1"/>
    <w:rsid w:val="007C10FF"/>
    <w:rsid w:val="007C151C"/>
    <w:rsid w:val="007C1F04"/>
    <w:rsid w:val="007C2839"/>
    <w:rsid w:val="007C4682"/>
    <w:rsid w:val="007C68D0"/>
    <w:rsid w:val="007D0F38"/>
    <w:rsid w:val="007D29BB"/>
    <w:rsid w:val="007D2F51"/>
    <w:rsid w:val="007D3BC7"/>
    <w:rsid w:val="007D48F5"/>
    <w:rsid w:val="007D531B"/>
    <w:rsid w:val="007D71ED"/>
    <w:rsid w:val="007D7F8E"/>
    <w:rsid w:val="007E0155"/>
    <w:rsid w:val="007E24E4"/>
    <w:rsid w:val="007E2DB0"/>
    <w:rsid w:val="007F3F66"/>
    <w:rsid w:val="00800F48"/>
    <w:rsid w:val="008024BA"/>
    <w:rsid w:val="0080306F"/>
    <w:rsid w:val="00806C76"/>
    <w:rsid w:val="00812E0A"/>
    <w:rsid w:val="0081793E"/>
    <w:rsid w:val="00817971"/>
    <w:rsid w:val="008206CB"/>
    <w:rsid w:val="00821B91"/>
    <w:rsid w:val="00821D72"/>
    <w:rsid w:val="0082585D"/>
    <w:rsid w:val="00825B02"/>
    <w:rsid w:val="00830CCE"/>
    <w:rsid w:val="0083121A"/>
    <w:rsid w:val="008369BD"/>
    <w:rsid w:val="0084101A"/>
    <w:rsid w:val="00841759"/>
    <w:rsid w:val="008423CB"/>
    <w:rsid w:val="00843B3B"/>
    <w:rsid w:val="00844BAA"/>
    <w:rsid w:val="008452F5"/>
    <w:rsid w:val="00845C37"/>
    <w:rsid w:val="00850026"/>
    <w:rsid w:val="0085007B"/>
    <w:rsid w:val="00851A6A"/>
    <w:rsid w:val="00853E3E"/>
    <w:rsid w:val="0085552C"/>
    <w:rsid w:val="00855E51"/>
    <w:rsid w:val="0085746E"/>
    <w:rsid w:val="00857AF3"/>
    <w:rsid w:val="00857BD9"/>
    <w:rsid w:val="00857E52"/>
    <w:rsid w:val="00860D83"/>
    <w:rsid w:val="00865846"/>
    <w:rsid w:val="008708CA"/>
    <w:rsid w:val="0087422C"/>
    <w:rsid w:val="00876E63"/>
    <w:rsid w:val="00877A3B"/>
    <w:rsid w:val="008801A6"/>
    <w:rsid w:val="0088605E"/>
    <w:rsid w:val="0088772C"/>
    <w:rsid w:val="0089100C"/>
    <w:rsid w:val="00894793"/>
    <w:rsid w:val="008951C1"/>
    <w:rsid w:val="00896043"/>
    <w:rsid w:val="008A0AF8"/>
    <w:rsid w:val="008A0B15"/>
    <w:rsid w:val="008A1776"/>
    <w:rsid w:val="008A3F6F"/>
    <w:rsid w:val="008A4FED"/>
    <w:rsid w:val="008A5619"/>
    <w:rsid w:val="008A56FC"/>
    <w:rsid w:val="008A71D5"/>
    <w:rsid w:val="008B1086"/>
    <w:rsid w:val="008B33F3"/>
    <w:rsid w:val="008B3774"/>
    <w:rsid w:val="008C228E"/>
    <w:rsid w:val="008C2544"/>
    <w:rsid w:val="008C2869"/>
    <w:rsid w:val="008C2A6E"/>
    <w:rsid w:val="008C2DFA"/>
    <w:rsid w:val="008C4826"/>
    <w:rsid w:val="008C7327"/>
    <w:rsid w:val="008D02B4"/>
    <w:rsid w:val="008D0389"/>
    <w:rsid w:val="008D064D"/>
    <w:rsid w:val="008D150B"/>
    <w:rsid w:val="008D4F79"/>
    <w:rsid w:val="008E0498"/>
    <w:rsid w:val="008E2F7F"/>
    <w:rsid w:val="008E5025"/>
    <w:rsid w:val="008E57CF"/>
    <w:rsid w:val="008E7911"/>
    <w:rsid w:val="008F01EA"/>
    <w:rsid w:val="008F029A"/>
    <w:rsid w:val="008F0BF2"/>
    <w:rsid w:val="008F26D5"/>
    <w:rsid w:val="008F43C5"/>
    <w:rsid w:val="008F5577"/>
    <w:rsid w:val="008F5B3E"/>
    <w:rsid w:val="009017C1"/>
    <w:rsid w:val="009028DB"/>
    <w:rsid w:val="00902F5B"/>
    <w:rsid w:val="009059A6"/>
    <w:rsid w:val="00905C7E"/>
    <w:rsid w:val="00905F93"/>
    <w:rsid w:val="00907AFC"/>
    <w:rsid w:val="009123D8"/>
    <w:rsid w:val="00913B91"/>
    <w:rsid w:val="009218CD"/>
    <w:rsid w:val="0092511F"/>
    <w:rsid w:val="009251D8"/>
    <w:rsid w:val="0092661B"/>
    <w:rsid w:val="00931280"/>
    <w:rsid w:val="00932862"/>
    <w:rsid w:val="00934659"/>
    <w:rsid w:val="009356FD"/>
    <w:rsid w:val="00940E68"/>
    <w:rsid w:val="009428AB"/>
    <w:rsid w:val="00942C6C"/>
    <w:rsid w:val="009445A4"/>
    <w:rsid w:val="00945524"/>
    <w:rsid w:val="00946013"/>
    <w:rsid w:val="00946130"/>
    <w:rsid w:val="009466D0"/>
    <w:rsid w:val="00947B62"/>
    <w:rsid w:val="00950092"/>
    <w:rsid w:val="00951765"/>
    <w:rsid w:val="0095195F"/>
    <w:rsid w:val="00954AE6"/>
    <w:rsid w:val="00954E28"/>
    <w:rsid w:val="00955804"/>
    <w:rsid w:val="00955BF8"/>
    <w:rsid w:val="00962DDB"/>
    <w:rsid w:val="00965D7A"/>
    <w:rsid w:val="0096630B"/>
    <w:rsid w:val="00971D9A"/>
    <w:rsid w:val="00971FCB"/>
    <w:rsid w:val="00972A0D"/>
    <w:rsid w:val="009749B4"/>
    <w:rsid w:val="00975501"/>
    <w:rsid w:val="00976528"/>
    <w:rsid w:val="009770AE"/>
    <w:rsid w:val="00981BBA"/>
    <w:rsid w:val="00982D1B"/>
    <w:rsid w:val="00983638"/>
    <w:rsid w:val="00990C07"/>
    <w:rsid w:val="00990CA1"/>
    <w:rsid w:val="00991557"/>
    <w:rsid w:val="00992C14"/>
    <w:rsid w:val="009974CD"/>
    <w:rsid w:val="009A05F6"/>
    <w:rsid w:val="009A3023"/>
    <w:rsid w:val="009A4D14"/>
    <w:rsid w:val="009A535B"/>
    <w:rsid w:val="009A7F7C"/>
    <w:rsid w:val="009B26F8"/>
    <w:rsid w:val="009B4628"/>
    <w:rsid w:val="009B4BA9"/>
    <w:rsid w:val="009B545B"/>
    <w:rsid w:val="009B54CB"/>
    <w:rsid w:val="009B7B13"/>
    <w:rsid w:val="009C1237"/>
    <w:rsid w:val="009C140B"/>
    <w:rsid w:val="009C62E4"/>
    <w:rsid w:val="009C6814"/>
    <w:rsid w:val="009C6D15"/>
    <w:rsid w:val="009D28C7"/>
    <w:rsid w:val="009D4A02"/>
    <w:rsid w:val="009D6228"/>
    <w:rsid w:val="009D62BF"/>
    <w:rsid w:val="009D6873"/>
    <w:rsid w:val="009D7187"/>
    <w:rsid w:val="009E0CF4"/>
    <w:rsid w:val="009E2D58"/>
    <w:rsid w:val="009E40E3"/>
    <w:rsid w:val="009E431A"/>
    <w:rsid w:val="009E459D"/>
    <w:rsid w:val="009E57AC"/>
    <w:rsid w:val="009E646F"/>
    <w:rsid w:val="009F1FC3"/>
    <w:rsid w:val="009F26BC"/>
    <w:rsid w:val="009F2FC1"/>
    <w:rsid w:val="009F58BF"/>
    <w:rsid w:val="009F78A8"/>
    <w:rsid w:val="00A14E11"/>
    <w:rsid w:val="00A16AE5"/>
    <w:rsid w:val="00A2003A"/>
    <w:rsid w:val="00A20851"/>
    <w:rsid w:val="00A2119B"/>
    <w:rsid w:val="00A22B52"/>
    <w:rsid w:val="00A26D5C"/>
    <w:rsid w:val="00A30758"/>
    <w:rsid w:val="00A30CD3"/>
    <w:rsid w:val="00A35164"/>
    <w:rsid w:val="00A4199A"/>
    <w:rsid w:val="00A41D21"/>
    <w:rsid w:val="00A42F13"/>
    <w:rsid w:val="00A43952"/>
    <w:rsid w:val="00A45491"/>
    <w:rsid w:val="00A45B24"/>
    <w:rsid w:val="00A47F30"/>
    <w:rsid w:val="00A47FA7"/>
    <w:rsid w:val="00A53985"/>
    <w:rsid w:val="00A54CC3"/>
    <w:rsid w:val="00A627B2"/>
    <w:rsid w:val="00A63D7D"/>
    <w:rsid w:val="00A66981"/>
    <w:rsid w:val="00A67C5B"/>
    <w:rsid w:val="00A703CC"/>
    <w:rsid w:val="00A709EB"/>
    <w:rsid w:val="00A72AA3"/>
    <w:rsid w:val="00A73FAF"/>
    <w:rsid w:val="00A755E0"/>
    <w:rsid w:val="00A834C6"/>
    <w:rsid w:val="00A83710"/>
    <w:rsid w:val="00A84710"/>
    <w:rsid w:val="00A85549"/>
    <w:rsid w:val="00A86298"/>
    <w:rsid w:val="00A872D1"/>
    <w:rsid w:val="00A93D12"/>
    <w:rsid w:val="00A9541C"/>
    <w:rsid w:val="00A95E64"/>
    <w:rsid w:val="00A973DA"/>
    <w:rsid w:val="00AA0852"/>
    <w:rsid w:val="00AA0AC6"/>
    <w:rsid w:val="00AA0B4C"/>
    <w:rsid w:val="00AA1BED"/>
    <w:rsid w:val="00AA382D"/>
    <w:rsid w:val="00AA38F5"/>
    <w:rsid w:val="00AA6F5F"/>
    <w:rsid w:val="00AA70D5"/>
    <w:rsid w:val="00AA7235"/>
    <w:rsid w:val="00AA7C76"/>
    <w:rsid w:val="00AB06BD"/>
    <w:rsid w:val="00AB12ED"/>
    <w:rsid w:val="00AB1601"/>
    <w:rsid w:val="00AB2ED7"/>
    <w:rsid w:val="00AB4F1E"/>
    <w:rsid w:val="00AB5F98"/>
    <w:rsid w:val="00AB6818"/>
    <w:rsid w:val="00AB709A"/>
    <w:rsid w:val="00AC0E07"/>
    <w:rsid w:val="00AC3388"/>
    <w:rsid w:val="00AC6AFB"/>
    <w:rsid w:val="00AD044C"/>
    <w:rsid w:val="00AD05B2"/>
    <w:rsid w:val="00AD34DB"/>
    <w:rsid w:val="00AD51E7"/>
    <w:rsid w:val="00AE2419"/>
    <w:rsid w:val="00AE2C2B"/>
    <w:rsid w:val="00AE326D"/>
    <w:rsid w:val="00AE38EC"/>
    <w:rsid w:val="00AE39D0"/>
    <w:rsid w:val="00AE58C8"/>
    <w:rsid w:val="00AE7259"/>
    <w:rsid w:val="00AF0C61"/>
    <w:rsid w:val="00AF10FF"/>
    <w:rsid w:val="00AF25F5"/>
    <w:rsid w:val="00AF33D8"/>
    <w:rsid w:val="00AF5B85"/>
    <w:rsid w:val="00B001E0"/>
    <w:rsid w:val="00B0052F"/>
    <w:rsid w:val="00B028E5"/>
    <w:rsid w:val="00B0310E"/>
    <w:rsid w:val="00B03F80"/>
    <w:rsid w:val="00B0548A"/>
    <w:rsid w:val="00B05AD0"/>
    <w:rsid w:val="00B06873"/>
    <w:rsid w:val="00B1008D"/>
    <w:rsid w:val="00B104F0"/>
    <w:rsid w:val="00B1251F"/>
    <w:rsid w:val="00B13502"/>
    <w:rsid w:val="00B15FC2"/>
    <w:rsid w:val="00B168D5"/>
    <w:rsid w:val="00B202E9"/>
    <w:rsid w:val="00B216A4"/>
    <w:rsid w:val="00B2292B"/>
    <w:rsid w:val="00B2426E"/>
    <w:rsid w:val="00B31D5E"/>
    <w:rsid w:val="00B32A91"/>
    <w:rsid w:val="00B36764"/>
    <w:rsid w:val="00B36ECC"/>
    <w:rsid w:val="00B37003"/>
    <w:rsid w:val="00B4085B"/>
    <w:rsid w:val="00B41552"/>
    <w:rsid w:val="00B41F60"/>
    <w:rsid w:val="00B42B73"/>
    <w:rsid w:val="00B43DDB"/>
    <w:rsid w:val="00B45588"/>
    <w:rsid w:val="00B467C0"/>
    <w:rsid w:val="00B47404"/>
    <w:rsid w:val="00B5287D"/>
    <w:rsid w:val="00B52AC1"/>
    <w:rsid w:val="00B55E61"/>
    <w:rsid w:val="00B654D2"/>
    <w:rsid w:val="00B65697"/>
    <w:rsid w:val="00B66DC0"/>
    <w:rsid w:val="00B7323B"/>
    <w:rsid w:val="00B75263"/>
    <w:rsid w:val="00B76A4D"/>
    <w:rsid w:val="00B80602"/>
    <w:rsid w:val="00B81F3A"/>
    <w:rsid w:val="00B83DF1"/>
    <w:rsid w:val="00B8569E"/>
    <w:rsid w:val="00B85FC4"/>
    <w:rsid w:val="00B86FE7"/>
    <w:rsid w:val="00B876B5"/>
    <w:rsid w:val="00B90546"/>
    <w:rsid w:val="00B9170F"/>
    <w:rsid w:val="00B93D59"/>
    <w:rsid w:val="00B93EC6"/>
    <w:rsid w:val="00B93EF5"/>
    <w:rsid w:val="00BA1385"/>
    <w:rsid w:val="00BB0837"/>
    <w:rsid w:val="00BB346F"/>
    <w:rsid w:val="00BB4758"/>
    <w:rsid w:val="00BB56F2"/>
    <w:rsid w:val="00BB605C"/>
    <w:rsid w:val="00BC1858"/>
    <w:rsid w:val="00BC4036"/>
    <w:rsid w:val="00BC7123"/>
    <w:rsid w:val="00BD0163"/>
    <w:rsid w:val="00BD3ECC"/>
    <w:rsid w:val="00BD45C2"/>
    <w:rsid w:val="00BD49CA"/>
    <w:rsid w:val="00BD65B3"/>
    <w:rsid w:val="00BE24AE"/>
    <w:rsid w:val="00BE2E4A"/>
    <w:rsid w:val="00BE3477"/>
    <w:rsid w:val="00BE4312"/>
    <w:rsid w:val="00BE4A3E"/>
    <w:rsid w:val="00BE5F8C"/>
    <w:rsid w:val="00BF1075"/>
    <w:rsid w:val="00BF1078"/>
    <w:rsid w:val="00BF2602"/>
    <w:rsid w:val="00BF30D2"/>
    <w:rsid w:val="00BF3582"/>
    <w:rsid w:val="00BF4F09"/>
    <w:rsid w:val="00BF64F2"/>
    <w:rsid w:val="00C01B34"/>
    <w:rsid w:val="00C01DF7"/>
    <w:rsid w:val="00C027B8"/>
    <w:rsid w:val="00C05B63"/>
    <w:rsid w:val="00C05CB9"/>
    <w:rsid w:val="00C064BE"/>
    <w:rsid w:val="00C06730"/>
    <w:rsid w:val="00C0734C"/>
    <w:rsid w:val="00C07D52"/>
    <w:rsid w:val="00C10D9C"/>
    <w:rsid w:val="00C119CE"/>
    <w:rsid w:val="00C12A5B"/>
    <w:rsid w:val="00C12DB4"/>
    <w:rsid w:val="00C130DC"/>
    <w:rsid w:val="00C1459C"/>
    <w:rsid w:val="00C21172"/>
    <w:rsid w:val="00C2177E"/>
    <w:rsid w:val="00C22D1F"/>
    <w:rsid w:val="00C23831"/>
    <w:rsid w:val="00C270B2"/>
    <w:rsid w:val="00C2751B"/>
    <w:rsid w:val="00C309F4"/>
    <w:rsid w:val="00C30CD9"/>
    <w:rsid w:val="00C3201C"/>
    <w:rsid w:val="00C34185"/>
    <w:rsid w:val="00C432CA"/>
    <w:rsid w:val="00C43F78"/>
    <w:rsid w:val="00C51096"/>
    <w:rsid w:val="00C5736B"/>
    <w:rsid w:val="00C57563"/>
    <w:rsid w:val="00C57E07"/>
    <w:rsid w:val="00C61F42"/>
    <w:rsid w:val="00C62B0F"/>
    <w:rsid w:val="00C6392C"/>
    <w:rsid w:val="00C64B4B"/>
    <w:rsid w:val="00C65BCC"/>
    <w:rsid w:val="00C65C35"/>
    <w:rsid w:val="00C70AD9"/>
    <w:rsid w:val="00C70C7B"/>
    <w:rsid w:val="00C70E55"/>
    <w:rsid w:val="00C71E7B"/>
    <w:rsid w:val="00C77DC8"/>
    <w:rsid w:val="00C81A03"/>
    <w:rsid w:val="00C81F27"/>
    <w:rsid w:val="00C83397"/>
    <w:rsid w:val="00C859F7"/>
    <w:rsid w:val="00C907A1"/>
    <w:rsid w:val="00C90F3B"/>
    <w:rsid w:val="00C92FD0"/>
    <w:rsid w:val="00C9375F"/>
    <w:rsid w:val="00C951BB"/>
    <w:rsid w:val="00C9537D"/>
    <w:rsid w:val="00C96B7F"/>
    <w:rsid w:val="00C9748F"/>
    <w:rsid w:val="00CA5448"/>
    <w:rsid w:val="00CA574D"/>
    <w:rsid w:val="00CA57A7"/>
    <w:rsid w:val="00CA5BC8"/>
    <w:rsid w:val="00CA7FCB"/>
    <w:rsid w:val="00CB2845"/>
    <w:rsid w:val="00CD0E45"/>
    <w:rsid w:val="00CD1D48"/>
    <w:rsid w:val="00CD3B66"/>
    <w:rsid w:val="00CD602B"/>
    <w:rsid w:val="00CD6F65"/>
    <w:rsid w:val="00CD7595"/>
    <w:rsid w:val="00CE102F"/>
    <w:rsid w:val="00CE1FB5"/>
    <w:rsid w:val="00CE46ED"/>
    <w:rsid w:val="00CE497B"/>
    <w:rsid w:val="00CE77C8"/>
    <w:rsid w:val="00CE7D1A"/>
    <w:rsid w:val="00CF187A"/>
    <w:rsid w:val="00CF26EA"/>
    <w:rsid w:val="00CF2942"/>
    <w:rsid w:val="00CF2F4A"/>
    <w:rsid w:val="00CF71F3"/>
    <w:rsid w:val="00CF7F48"/>
    <w:rsid w:val="00D00CEA"/>
    <w:rsid w:val="00D00F2F"/>
    <w:rsid w:val="00D0504F"/>
    <w:rsid w:val="00D052EC"/>
    <w:rsid w:val="00D07F12"/>
    <w:rsid w:val="00D07F15"/>
    <w:rsid w:val="00D1205F"/>
    <w:rsid w:val="00D14299"/>
    <w:rsid w:val="00D179FA"/>
    <w:rsid w:val="00D20E13"/>
    <w:rsid w:val="00D21A89"/>
    <w:rsid w:val="00D238BF"/>
    <w:rsid w:val="00D325A7"/>
    <w:rsid w:val="00D3424D"/>
    <w:rsid w:val="00D34E3F"/>
    <w:rsid w:val="00D355D1"/>
    <w:rsid w:val="00D35F6D"/>
    <w:rsid w:val="00D3645F"/>
    <w:rsid w:val="00D40B6B"/>
    <w:rsid w:val="00D427F9"/>
    <w:rsid w:val="00D4557A"/>
    <w:rsid w:val="00D50645"/>
    <w:rsid w:val="00D51215"/>
    <w:rsid w:val="00D538C9"/>
    <w:rsid w:val="00D5409A"/>
    <w:rsid w:val="00D54DA8"/>
    <w:rsid w:val="00D57CDF"/>
    <w:rsid w:val="00D606BD"/>
    <w:rsid w:val="00D60E11"/>
    <w:rsid w:val="00D635F0"/>
    <w:rsid w:val="00D670AC"/>
    <w:rsid w:val="00D725A2"/>
    <w:rsid w:val="00D72A77"/>
    <w:rsid w:val="00D73F9D"/>
    <w:rsid w:val="00D75209"/>
    <w:rsid w:val="00D80010"/>
    <w:rsid w:val="00D81E3B"/>
    <w:rsid w:val="00D82508"/>
    <w:rsid w:val="00D8324B"/>
    <w:rsid w:val="00D86DA3"/>
    <w:rsid w:val="00D90664"/>
    <w:rsid w:val="00D91297"/>
    <w:rsid w:val="00D92B89"/>
    <w:rsid w:val="00D9628A"/>
    <w:rsid w:val="00D97847"/>
    <w:rsid w:val="00DA1DEB"/>
    <w:rsid w:val="00DA5100"/>
    <w:rsid w:val="00DB03F5"/>
    <w:rsid w:val="00DB2EBA"/>
    <w:rsid w:val="00DB58B2"/>
    <w:rsid w:val="00DB6661"/>
    <w:rsid w:val="00DB75D5"/>
    <w:rsid w:val="00DC00F3"/>
    <w:rsid w:val="00DC094C"/>
    <w:rsid w:val="00DC0B6B"/>
    <w:rsid w:val="00DC296B"/>
    <w:rsid w:val="00DC300D"/>
    <w:rsid w:val="00DC5C7B"/>
    <w:rsid w:val="00DD10DC"/>
    <w:rsid w:val="00DD1EFE"/>
    <w:rsid w:val="00DD4A49"/>
    <w:rsid w:val="00DD6546"/>
    <w:rsid w:val="00DE100C"/>
    <w:rsid w:val="00DE43DC"/>
    <w:rsid w:val="00DF4BF5"/>
    <w:rsid w:val="00DF7DF3"/>
    <w:rsid w:val="00E02B37"/>
    <w:rsid w:val="00E03DA5"/>
    <w:rsid w:val="00E064E9"/>
    <w:rsid w:val="00E10353"/>
    <w:rsid w:val="00E10521"/>
    <w:rsid w:val="00E10DB6"/>
    <w:rsid w:val="00E10EFC"/>
    <w:rsid w:val="00E13154"/>
    <w:rsid w:val="00E1623A"/>
    <w:rsid w:val="00E26CC1"/>
    <w:rsid w:val="00E26DD4"/>
    <w:rsid w:val="00E31968"/>
    <w:rsid w:val="00E3205F"/>
    <w:rsid w:val="00E323E9"/>
    <w:rsid w:val="00E33CC8"/>
    <w:rsid w:val="00E34BE6"/>
    <w:rsid w:val="00E35272"/>
    <w:rsid w:val="00E362CA"/>
    <w:rsid w:val="00E36E5E"/>
    <w:rsid w:val="00E41BBA"/>
    <w:rsid w:val="00E437FF"/>
    <w:rsid w:val="00E4393F"/>
    <w:rsid w:val="00E45C2D"/>
    <w:rsid w:val="00E473CF"/>
    <w:rsid w:val="00E51B35"/>
    <w:rsid w:val="00E61FF8"/>
    <w:rsid w:val="00E6316D"/>
    <w:rsid w:val="00E65956"/>
    <w:rsid w:val="00E67B8F"/>
    <w:rsid w:val="00E72140"/>
    <w:rsid w:val="00E73A70"/>
    <w:rsid w:val="00E7528E"/>
    <w:rsid w:val="00E75312"/>
    <w:rsid w:val="00E75407"/>
    <w:rsid w:val="00E76835"/>
    <w:rsid w:val="00E80BEA"/>
    <w:rsid w:val="00E82EC6"/>
    <w:rsid w:val="00E9070C"/>
    <w:rsid w:val="00E93414"/>
    <w:rsid w:val="00E94F17"/>
    <w:rsid w:val="00E9570C"/>
    <w:rsid w:val="00E97646"/>
    <w:rsid w:val="00EA123F"/>
    <w:rsid w:val="00EA3853"/>
    <w:rsid w:val="00EA4460"/>
    <w:rsid w:val="00EA4F34"/>
    <w:rsid w:val="00EB0E99"/>
    <w:rsid w:val="00EB3F13"/>
    <w:rsid w:val="00EB4467"/>
    <w:rsid w:val="00EB5963"/>
    <w:rsid w:val="00EB6329"/>
    <w:rsid w:val="00EB7B00"/>
    <w:rsid w:val="00EC0410"/>
    <w:rsid w:val="00EC6643"/>
    <w:rsid w:val="00ED121E"/>
    <w:rsid w:val="00ED4AED"/>
    <w:rsid w:val="00ED4D8C"/>
    <w:rsid w:val="00EE1B32"/>
    <w:rsid w:val="00EE464A"/>
    <w:rsid w:val="00EE7E8C"/>
    <w:rsid w:val="00EF40CC"/>
    <w:rsid w:val="00EF62DD"/>
    <w:rsid w:val="00EF6412"/>
    <w:rsid w:val="00F00D29"/>
    <w:rsid w:val="00F056CE"/>
    <w:rsid w:val="00F076CE"/>
    <w:rsid w:val="00F11B62"/>
    <w:rsid w:val="00F1477B"/>
    <w:rsid w:val="00F15DA0"/>
    <w:rsid w:val="00F17191"/>
    <w:rsid w:val="00F21724"/>
    <w:rsid w:val="00F25EA7"/>
    <w:rsid w:val="00F30DDD"/>
    <w:rsid w:val="00F315B2"/>
    <w:rsid w:val="00F32980"/>
    <w:rsid w:val="00F33C59"/>
    <w:rsid w:val="00F35BA1"/>
    <w:rsid w:val="00F428C4"/>
    <w:rsid w:val="00F4539B"/>
    <w:rsid w:val="00F46696"/>
    <w:rsid w:val="00F5222C"/>
    <w:rsid w:val="00F528A9"/>
    <w:rsid w:val="00F52EA1"/>
    <w:rsid w:val="00F53929"/>
    <w:rsid w:val="00F54A63"/>
    <w:rsid w:val="00F627E2"/>
    <w:rsid w:val="00F6340D"/>
    <w:rsid w:val="00F64B12"/>
    <w:rsid w:val="00F654D2"/>
    <w:rsid w:val="00F7092A"/>
    <w:rsid w:val="00F719C2"/>
    <w:rsid w:val="00F72F57"/>
    <w:rsid w:val="00F73717"/>
    <w:rsid w:val="00F73AA6"/>
    <w:rsid w:val="00F75755"/>
    <w:rsid w:val="00F75BB5"/>
    <w:rsid w:val="00F76D03"/>
    <w:rsid w:val="00F81B45"/>
    <w:rsid w:val="00F82C68"/>
    <w:rsid w:val="00F836D5"/>
    <w:rsid w:val="00F87B7A"/>
    <w:rsid w:val="00F9271A"/>
    <w:rsid w:val="00F93342"/>
    <w:rsid w:val="00F94263"/>
    <w:rsid w:val="00F95303"/>
    <w:rsid w:val="00F96FFE"/>
    <w:rsid w:val="00F970A5"/>
    <w:rsid w:val="00FA01ED"/>
    <w:rsid w:val="00FA06B5"/>
    <w:rsid w:val="00FA5C58"/>
    <w:rsid w:val="00FA6CF5"/>
    <w:rsid w:val="00FB171B"/>
    <w:rsid w:val="00FB29C8"/>
    <w:rsid w:val="00FB48A1"/>
    <w:rsid w:val="00FB65B8"/>
    <w:rsid w:val="00FC1298"/>
    <w:rsid w:val="00FC19BD"/>
    <w:rsid w:val="00FC3B95"/>
    <w:rsid w:val="00FC41F1"/>
    <w:rsid w:val="00FC4939"/>
    <w:rsid w:val="00FC6151"/>
    <w:rsid w:val="00FC7068"/>
    <w:rsid w:val="00FD0361"/>
    <w:rsid w:val="00FD0D99"/>
    <w:rsid w:val="00FD0EF6"/>
    <w:rsid w:val="00FD114D"/>
    <w:rsid w:val="00FD1EEA"/>
    <w:rsid w:val="00FE08BF"/>
    <w:rsid w:val="00FE116D"/>
    <w:rsid w:val="00FE4F14"/>
    <w:rsid w:val="00FE5498"/>
    <w:rsid w:val="00FE5E07"/>
    <w:rsid w:val="00FE73AE"/>
    <w:rsid w:val="00FE7DE6"/>
    <w:rsid w:val="00FF0B79"/>
    <w:rsid w:val="00FF0C04"/>
    <w:rsid w:val="00FF1FEC"/>
    <w:rsid w:val="00FF4F09"/>
    <w:rsid w:val="00FF51F1"/>
    <w:rsid w:val="00FF6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7251F"/>
  <w15:chartTrackingRefBased/>
  <w15:docId w15:val="{5F5EF50A-D945-4788-96AD-27723059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67A0"/>
    <w:pPr>
      <w:widowControl w:val="0"/>
      <w:jc w:val="both"/>
    </w:pPr>
  </w:style>
  <w:style w:type="paragraph" w:styleId="1">
    <w:name w:val="heading 1"/>
    <w:basedOn w:val="a"/>
    <w:next w:val="a"/>
    <w:link w:val="10"/>
    <w:autoRedefine/>
    <w:qFormat/>
    <w:rsid w:val="001D67A0"/>
    <w:pPr>
      <w:keepNext/>
      <w:keepLines/>
      <w:ind w:left="357"/>
      <w:outlineLvl w:val="0"/>
    </w:pPr>
    <w:rPr>
      <w:rFonts w:asciiTheme="minorHAnsi" w:eastAsia="黑体" w:hAnsiTheme="minorHAnsi" w:cstheme="minorBidi"/>
      <w:b/>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67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D67A0"/>
    <w:rPr>
      <w:sz w:val="18"/>
      <w:szCs w:val="18"/>
    </w:rPr>
  </w:style>
  <w:style w:type="paragraph" w:styleId="a5">
    <w:name w:val="footer"/>
    <w:basedOn w:val="a"/>
    <w:link w:val="a6"/>
    <w:rsid w:val="001D67A0"/>
    <w:pPr>
      <w:tabs>
        <w:tab w:val="center" w:pos="4153"/>
        <w:tab w:val="right" w:pos="8306"/>
      </w:tabs>
      <w:snapToGrid w:val="0"/>
      <w:jc w:val="left"/>
    </w:pPr>
    <w:rPr>
      <w:sz w:val="18"/>
      <w:szCs w:val="18"/>
    </w:rPr>
  </w:style>
  <w:style w:type="character" w:customStyle="1" w:styleId="a6">
    <w:name w:val="页脚 字符"/>
    <w:basedOn w:val="a0"/>
    <w:link w:val="a5"/>
    <w:rsid w:val="001D67A0"/>
    <w:rPr>
      <w:sz w:val="18"/>
      <w:szCs w:val="18"/>
    </w:rPr>
  </w:style>
  <w:style w:type="character" w:customStyle="1" w:styleId="10">
    <w:name w:val="标题 1 字符"/>
    <w:basedOn w:val="a0"/>
    <w:link w:val="1"/>
    <w:rsid w:val="001D67A0"/>
    <w:rPr>
      <w:rFonts w:asciiTheme="minorHAnsi" w:eastAsia="黑体" w:hAnsiTheme="minorHAnsi" w:cstheme="minorBidi"/>
      <w:b/>
      <w:szCs w:val="21"/>
    </w:rPr>
  </w:style>
  <w:style w:type="paragraph" w:customStyle="1" w:styleId="v">
    <w:name w:val="v正文"/>
    <w:basedOn w:val="a"/>
    <w:link w:val="v0"/>
    <w:autoRedefine/>
    <w:qFormat/>
    <w:rsid w:val="00450EC6"/>
    <w:pPr>
      <w:spacing w:line="400" w:lineRule="exact"/>
      <w:ind w:firstLineChars="200" w:firstLine="420"/>
    </w:pPr>
    <w:rPr>
      <w:rFonts w:cstheme="minorBidi"/>
      <w:color w:val="000000"/>
      <w:szCs w:val="21"/>
    </w:rPr>
  </w:style>
  <w:style w:type="paragraph" w:styleId="TOC">
    <w:name w:val="TOC Heading"/>
    <w:basedOn w:val="1"/>
    <w:next w:val="a"/>
    <w:uiPriority w:val="39"/>
    <w:unhideWhenUsed/>
    <w:qFormat/>
    <w:rsid w:val="001D67A0"/>
    <w:pPr>
      <w:widowControl/>
      <w:spacing w:before="240" w:line="259" w:lineRule="auto"/>
      <w:jc w:val="left"/>
      <w:outlineLvl w:val="9"/>
    </w:pPr>
    <w:rPr>
      <w:rFonts w:asciiTheme="majorHAnsi" w:eastAsiaTheme="majorEastAsia" w:hAnsiTheme="majorHAnsi" w:cstheme="majorBidi"/>
      <w:b w:val="0"/>
      <w:bCs/>
      <w:color w:val="2F5496" w:themeColor="accent1" w:themeShade="BF"/>
      <w:kern w:val="0"/>
      <w:sz w:val="32"/>
      <w:szCs w:val="32"/>
    </w:rPr>
  </w:style>
  <w:style w:type="character" w:customStyle="1" w:styleId="v0">
    <w:name w:val="v正文 字符"/>
    <w:basedOn w:val="a0"/>
    <w:link w:val="v"/>
    <w:qFormat/>
    <w:rsid w:val="00450EC6"/>
    <w:rPr>
      <w:rFonts w:cstheme="minorBidi"/>
      <w:color w:val="000000"/>
      <w:szCs w:val="21"/>
    </w:rPr>
  </w:style>
  <w:style w:type="paragraph" w:styleId="TOC1">
    <w:name w:val="toc 1"/>
    <w:basedOn w:val="a"/>
    <w:next w:val="a"/>
    <w:autoRedefine/>
    <w:uiPriority w:val="39"/>
    <w:rsid w:val="001D67A0"/>
  </w:style>
  <w:style w:type="character" w:styleId="a7">
    <w:name w:val="Hyperlink"/>
    <w:basedOn w:val="a0"/>
    <w:uiPriority w:val="99"/>
    <w:unhideWhenUsed/>
    <w:rsid w:val="001D67A0"/>
    <w:rPr>
      <w:color w:val="0563C1" w:themeColor="hyperlink"/>
      <w:u w:val="single"/>
    </w:rPr>
  </w:style>
  <w:style w:type="paragraph" w:customStyle="1" w:styleId="2">
    <w:name w:val="标题2"/>
    <w:basedOn w:val="a"/>
    <w:link w:val="20"/>
    <w:autoRedefine/>
    <w:qFormat/>
    <w:rsid w:val="001D67A0"/>
    <w:pPr>
      <w:outlineLvl w:val="1"/>
    </w:pPr>
    <w:rPr>
      <w:rFonts w:asciiTheme="minorHAnsi" w:eastAsia="黑体" w:hAnsiTheme="minorHAnsi" w:cstheme="minorBidi"/>
      <w:b/>
      <w:sz w:val="18"/>
      <w:szCs w:val="18"/>
    </w:rPr>
  </w:style>
  <w:style w:type="table" w:styleId="a8">
    <w:name w:val="Table Grid"/>
    <w:basedOn w:val="a1"/>
    <w:uiPriority w:val="59"/>
    <w:rsid w:val="001D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2 字符"/>
    <w:basedOn w:val="a0"/>
    <w:link w:val="2"/>
    <w:rsid w:val="001D67A0"/>
    <w:rPr>
      <w:rFonts w:asciiTheme="minorHAnsi" w:eastAsia="黑体" w:hAnsiTheme="minorHAnsi" w:cstheme="minorBidi"/>
      <w:b/>
      <w:sz w:val="18"/>
      <w:szCs w:val="18"/>
    </w:rPr>
  </w:style>
  <w:style w:type="paragraph" w:styleId="TOC2">
    <w:name w:val="toc 2"/>
    <w:basedOn w:val="a"/>
    <w:next w:val="a"/>
    <w:autoRedefine/>
    <w:uiPriority w:val="39"/>
    <w:rsid w:val="001D67A0"/>
    <w:pPr>
      <w:ind w:leftChars="200" w:left="420"/>
    </w:pPr>
  </w:style>
  <w:style w:type="paragraph" w:styleId="a9">
    <w:name w:val="List Paragraph"/>
    <w:basedOn w:val="a"/>
    <w:link w:val="aa"/>
    <w:uiPriority w:val="34"/>
    <w:qFormat/>
    <w:rsid w:val="001D67A0"/>
    <w:pPr>
      <w:ind w:firstLineChars="200" w:firstLine="420"/>
    </w:pPr>
  </w:style>
  <w:style w:type="paragraph" w:customStyle="1" w:styleId="EndNoteBibliographyTitle">
    <w:name w:val="EndNote Bibliography Title"/>
    <w:basedOn w:val="a"/>
    <w:link w:val="EndNoteBibliographyTitle0"/>
    <w:rsid w:val="001D67A0"/>
    <w:pPr>
      <w:jc w:val="center"/>
    </w:pPr>
    <w:rPr>
      <w:noProof/>
      <w:color w:val="000000"/>
      <w:sz w:val="24"/>
      <w:szCs w:val="21"/>
    </w:rPr>
  </w:style>
  <w:style w:type="character" w:customStyle="1" w:styleId="EndNoteBibliographyTitle0">
    <w:name w:val="EndNote Bibliography Title 字符"/>
    <w:basedOn w:val="v0"/>
    <w:link w:val="EndNoteBibliographyTitle"/>
    <w:rsid w:val="001D67A0"/>
    <w:rPr>
      <w:rFonts w:cstheme="minorBidi"/>
      <w:noProof/>
      <w:color w:val="000000"/>
      <w:sz w:val="24"/>
      <w:szCs w:val="21"/>
    </w:rPr>
  </w:style>
  <w:style w:type="paragraph" w:customStyle="1" w:styleId="EndNoteBibliography">
    <w:name w:val="EndNote Bibliography"/>
    <w:basedOn w:val="a"/>
    <w:link w:val="EndNoteBibliography0"/>
    <w:rsid w:val="001D67A0"/>
    <w:rPr>
      <w:noProof/>
      <w:color w:val="000000"/>
      <w:sz w:val="24"/>
      <w:szCs w:val="21"/>
    </w:rPr>
  </w:style>
  <w:style w:type="character" w:customStyle="1" w:styleId="EndNoteBibliography0">
    <w:name w:val="EndNote Bibliography 字符"/>
    <w:basedOn w:val="v0"/>
    <w:link w:val="EndNoteBibliography"/>
    <w:rsid w:val="001D67A0"/>
    <w:rPr>
      <w:rFonts w:cstheme="minorBidi"/>
      <w:noProof/>
      <w:color w:val="000000"/>
      <w:sz w:val="24"/>
      <w:szCs w:val="21"/>
    </w:rPr>
  </w:style>
  <w:style w:type="character" w:styleId="ab">
    <w:name w:val="annotation reference"/>
    <w:basedOn w:val="a0"/>
    <w:rsid w:val="001D67A0"/>
    <w:rPr>
      <w:sz w:val="21"/>
      <w:szCs w:val="21"/>
    </w:rPr>
  </w:style>
  <w:style w:type="paragraph" w:styleId="ac">
    <w:name w:val="annotation text"/>
    <w:basedOn w:val="a"/>
    <w:link w:val="ad"/>
    <w:rsid w:val="001D67A0"/>
    <w:pPr>
      <w:jc w:val="left"/>
    </w:pPr>
  </w:style>
  <w:style w:type="character" w:customStyle="1" w:styleId="ad">
    <w:name w:val="批注文字 字符"/>
    <w:basedOn w:val="a0"/>
    <w:link w:val="ac"/>
    <w:rsid w:val="001D67A0"/>
  </w:style>
  <w:style w:type="paragraph" w:styleId="ae">
    <w:name w:val="annotation subject"/>
    <w:basedOn w:val="ac"/>
    <w:next w:val="ac"/>
    <w:link w:val="af"/>
    <w:semiHidden/>
    <w:unhideWhenUsed/>
    <w:rsid w:val="001D67A0"/>
    <w:rPr>
      <w:b/>
      <w:bCs/>
    </w:rPr>
  </w:style>
  <w:style w:type="character" w:customStyle="1" w:styleId="af">
    <w:name w:val="批注主题 字符"/>
    <w:basedOn w:val="ad"/>
    <w:link w:val="ae"/>
    <w:semiHidden/>
    <w:rsid w:val="001D67A0"/>
    <w:rPr>
      <w:b/>
      <w:bCs/>
    </w:rPr>
  </w:style>
  <w:style w:type="paragraph" w:styleId="af0">
    <w:name w:val="Balloon Text"/>
    <w:basedOn w:val="a"/>
    <w:link w:val="af1"/>
    <w:semiHidden/>
    <w:unhideWhenUsed/>
    <w:rsid w:val="001D67A0"/>
    <w:rPr>
      <w:sz w:val="18"/>
      <w:szCs w:val="18"/>
    </w:rPr>
  </w:style>
  <w:style w:type="character" w:customStyle="1" w:styleId="af1">
    <w:name w:val="批注框文本 字符"/>
    <w:basedOn w:val="a0"/>
    <w:link w:val="af0"/>
    <w:semiHidden/>
    <w:rsid w:val="001D67A0"/>
    <w:rPr>
      <w:sz w:val="18"/>
      <w:szCs w:val="18"/>
    </w:rPr>
  </w:style>
  <w:style w:type="character" w:customStyle="1" w:styleId="abstract-text">
    <w:name w:val="abstract-text"/>
    <w:basedOn w:val="a0"/>
    <w:rsid w:val="001D67A0"/>
  </w:style>
  <w:style w:type="paragraph" w:customStyle="1" w:styleId="v1">
    <w:name w:val="v表"/>
    <w:basedOn w:val="a"/>
    <w:autoRedefine/>
    <w:qFormat/>
    <w:rsid w:val="001D67A0"/>
    <w:pPr>
      <w:jc w:val="center"/>
    </w:pPr>
    <w:rPr>
      <w:rFonts w:asciiTheme="minorHAnsi" w:eastAsia="黑体" w:hAnsiTheme="minorHAnsi" w:cstheme="minorBidi"/>
      <w:b/>
      <w:sz w:val="15"/>
      <w:szCs w:val="15"/>
    </w:rPr>
  </w:style>
  <w:style w:type="paragraph" w:customStyle="1" w:styleId="b">
    <w:name w:val="b表"/>
    <w:basedOn w:val="a"/>
    <w:autoRedefine/>
    <w:qFormat/>
    <w:rsid w:val="001D67A0"/>
    <w:pPr>
      <w:jc w:val="center"/>
    </w:pPr>
    <w:rPr>
      <w:rFonts w:ascii="Cambria Math" w:hAnsi="Cambria Math" w:cstheme="minorBidi"/>
      <w:bCs/>
      <w:sz w:val="15"/>
      <w:szCs w:val="15"/>
    </w:rPr>
  </w:style>
  <w:style w:type="paragraph" w:customStyle="1" w:styleId="v2">
    <w:name w:val="v参考文献"/>
    <w:basedOn w:val="EndNoteBibliography"/>
    <w:autoRedefine/>
    <w:qFormat/>
    <w:rsid w:val="001D67A0"/>
    <w:pPr>
      <w:ind w:left="300" w:hangingChars="200" w:hanging="300"/>
    </w:pPr>
    <w:rPr>
      <w:sz w:val="15"/>
    </w:rPr>
  </w:style>
  <w:style w:type="paragraph" w:styleId="af2">
    <w:name w:val="Body Text Indent"/>
    <w:basedOn w:val="a"/>
    <w:link w:val="af3"/>
    <w:rsid w:val="001D67A0"/>
    <w:pPr>
      <w:spacing w:line="360" w:lineRule="exact"/>
      <w:ind w:firstLineChars="200" w:firstLine="420"/>
    </w:pPr>
    <w:rPr>
      <w:rFonts w:eastAsia="楷体_GB2312"/>
      <w:szCs w:val="21"/>
    </w:rPr>
  </w:style>
  <w:style w:type="character" w:customStyle="1" w:styleId="af3">
    <w:name w:val="正文文本缩进 字符"/>
    <w:basedOn w:val="a0"/>
    <w:link w:val="af2"/>
    <w:rsid w:val="001D67A0"/>
    <w:rPr>
      <w:rFonts w:eastAsia="楷体_GB2312"/>
      <w:szCs w:val="21"/>
    </w:rPr>
  </w:style>
  <w:style w:type="paragraph" w:styleId="af4">
    <w:name w:val="Body Text"/>
    <w:basedOn w:val="a"/>
    <w:link w:val="af5"/>
    <w:rsid w:val="001D67A0"/>
    <w:pPr>
      <w:spacing w:line="0" w:lineRule="atLeast"/>
      <w:jc w:val="center"/>
    </w:pPr>
    <w:rPr>
      <w:rFonts w:eastAsia="方正大黑简体"/>
      <w:sz w:val="52"/>
      <w:szCs w:val="24"/>
    </w:rPr>
  </w:style>
  <w:style w:type="character" w:customStyle="1" w:styleId="af5">
    <w:name w:val="正文文本 字符"/>
    <w:basedOn w:val="a0"/>
    <w:link w:val="af4"/>
    <w:rsid w:val="001D67A0"/>
    <w:rPr>
      <w:rFonts w:eastAsia="方正大黑简体"/>
      <w:sz w:val="52"/>
      <w:szCs w:val="24"/>
    </w:rPr>
  </w:style>
  <w:style w:type="paragraph" w:styleId="af6">
    <w:name w:val="Title"/>
    <w:basedOn w:val="a"/>
    <w:next w:val="a"/>
    <w:link w:val="af7"/>
    <w:qFormat/>
    <w:rsid w:val="001D67A0"/>
    <w:pPr>
      <w:spacing w:before="240" w:after="60"/>
      <w:jc w:val="center"/>
      <w:outlineLvl w:val="0"/>
    </w:pPr>
    <w:rPr>
      <w:rFonts w:asciiTheme="majorHAnsi" w:eastAsiaTheme="majorEastAsia" w:hAnsiTheme="majorHAnsi" w:cstheme="majorBidi"/>
      <w:b/>
      <w:bCs/>
      <w:sz w:val="32"/>
      <w:szCs w:val="32"/>
    </w:rPr>
  </w:style>
  <w:style w:type="character" w:customStyle="1" w:styleId="af7">
    <w:name w:val="标题 字符"/>
    <w:basedOn w:val="a0"/>
    <w:link w:val="af6"/>
    <w:rsid w:val="001D67A0"/>
    <w:rPr>
      <w:rFonts w:asciiTheme="majorHAnsi" w:eastAsiaTheme="majorEastAsia" w:hAnsiTheme="majorHAnsi" w:cstheme="majorBidi"/>
      <w:b/>
      <w:bCs/>
      <w:sz w:val="32"/>
      <w:szCs w:val="32"/>
    </w:rPr>
  </w:style>
  <w:style w:type="character" w:styleId="af8">
    <w:name w:val="Strong"/>
    <w:basedOn w:val="a0"/>
    <w:uiPriority w:val="22"/>
    <w:qFormat/>
    <w:rsid w:val="001D67A0"/>
    <w:rPr>
      <w:b/>
      <w:bCs/>
    </w:rPr>
  </w:style>
  <w:style w:type="character" w:styleId="af9">
    <w:name w:val="Emphasis"/>
    <w:basedOn w:val="a0"/>
    <w:uiPriority w:val="20"/>
    <w:qFormat/>
    <w:rsid w:val="001D67A0"/>
    <w:rPr>
      <w:i/>
      <w:iCs/>
    </w:rPr>
  </w:style>
  <w:style w:type="paragraph" w:styleId="afa">
    <w:name w:val="Revision"/>
    <w:hidden/>
    <w:uiPriority w:val="99"/>
    <w:semiHidden/>
    <w:rsid w:val="001D67A0"/>
  </w:style>
  <w:style w:type="character" w:styleId="afb">
    <w:name w:val="Placeholder Text"/>
    <w:basedOn w:val="a0"/>
    <w:uiPriority w:val="99"/>
    <w:semiHidden/>
    <w:rsid w:val="001D67A0"/>
    <w:rPr>
      <w:color w:val="808080"/>
    </w:rPr>
  </w:style>
  <w:style w:type="paragraph" w:styleId="afc">
    <w:name w:val="No Spacing"/>
    <w:uiPriority w:val="1"/>
    <w:qFormat/>
    <w:rsid w:val="001D67A0"/>
    <w:pPr>
      <w:widowControl w:val="0"/>
      <w:jc w:val="both"/>
    </w:pPr>
  </w:style>
  <w:style w:type="paragraph" w:styleId="afd">
    <w:name w:val="footnote text"/>
    <w:basedOn w:val="a"/>
    <w:link w:val="afe"/>
    <w:rsid w:val="001D67A0"/>
    <w:pPr>
      <w:snapToGrid w:val="0"/>
      <w:jc w:val="left"/>
    </w:pPr>
    <w:rPr>
      <w:sz w:val="18"/>
      <w:szCs w:val="18"/>
    </w:rPr>
  </w:style>
  <w:style w:type="character" w:customStyle="1" w:styleId="afe">
    <w:name w:val="脚注文本 字符"/>
    <w:basedOn w:val="a0"/>
    <w:link w:val="afd"/>
    <w:rsid w:val="001D67A0"/>
    <w:rPr>
      <w:sz w:val="18"/>
      <w:szCs w:val="18"/>
    </w:rPr>
  </w:style>
  <w:style w:type="character" w:styleId="aff">
    <w:name w:val="footnote reference"/>
    <w:basedOn w:val="a0"/>
    <w:rsid w:val="001D67A0"/>
    <w:rPr>
      <w:vertAlign w:val="superscript"/>
    </w:rPr>
  </w:style>
  <w:style w:type="character" w:customStyle="1" w:styleId="aa">
    <w:name w:val="列表段落 字符"/>
    <w:basedOn w:val="a0"/>
    <w:link w:val="a9"/>
    <w:uiPriority w:val="34"/>
    <w:rsid w:val="00550AD8"/>
  </w:style>
  <w:style w:type="paragraph" w:customStyle="1" w:styleId="MDPI12title">
    <w:name w:val="MDPI_1.2_title"/>
    <w:next w:val="a"/>
    <w:qFormat/>
    <w:rsid w:val="00E064E9"/>
    <w:pPr>
      <w:adjustRightInd w:val="0"/>
      <w:snapToGrid w:val="0"/>
      <w:spacing w:after="240" w:line="240" w:lineRule="atLeast"/>
    </w:pPr>
    <w:rPr>
      <w:rFonts w:ascii="Palatino Linotype" w:eastAsia="Times New Roman" w:hAnsi="Palatino Linotype"/>
      <w:b/>
      <w:snapToGrid w:val="0"/>
      <w:color w:val="000000"/>
      <w:kern w:val="0"/>
      <w:sz w:val="36"/>
      <w:lang w:eastAsia="de-DE" w:bidi="en-US"/>
    </w:rPr>
  </w:style>
  <w:style w:type="paragraph" w:customStyle="1" w:styleId="MDPI42tablebody">
    <w:name w:val="MDPI_4.2_table_body"/>
    <w:qFormat/>
    <w:rsid w:val="009D62BF"/>
    <w:pPr>
      <w:adjustRightInd w:val="0"/>
      <w:snapToGrid w:val="0"/>
      <w:spacing w:line="260" w:lineRule="atLeast"/>
      <w:jc w:val="center"/>
    </w:pPr>
    <w:rPr>
      <w:rFonts w:ascii="Palatino Linotype" w:eastAsia="Times New Roman" w:hAnsi="Palatino Linotype"/>
      <w:snapToGrid w:val="0"/>
      <w:color w:val="000000"/>
      <w:kern w:val="0"/>
      <w:sz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1167">
      <w:bodyDiv w:val="1"/>
      <w:marLeft w:val="0"/>
      <w:marRight w:val="0"/>
      <w:marTop w:val="0"/>
      <w:marBottom w:val="0"/>
      <w:divBdr>
        <w:top w:val="none" w:sz="0" w:space="0" w:color="auto"/>
        <w:left w:val="none" w:sz="0" w:space="0" w:color="auto"/>
        <w:bottom w:val="none" w:sz="0" w:space="0" w:color="auto"/>
        <w:right w:val="none" w:sz="0" w:space="0" w:color="auto"/>
      </w:divBdr>
    </w:div>
    <w:div w:id="478428277">
      <w:bodyDiv w:val="1"/>
      <w:marLeft w:val="0"/>
      <w:marRight w:val="0"/>
      <w:marTop w:val="0"/>
      <w:marBottom w:val="0"/>
      <w:divBdr>
        <w:top w:val="none" w:sz="0" w:space="0" w:color="auto"/>
        <w:left w:val="none" w:sz="0" w:space="0" w:color="auto"/>
        <w:bottom w:val="none" w:sz="0" w:space="0" w:color="auto"/>
        <w:right w:val="none" w:sz="0" w:space="0" w:color="auto"/>
      </w:divBdr>
    </w:div>
    <w:div w:id="660347942">
      <w:bodyDiv w:val="1"/>
      <w:marLeft w:val="0"/>
      <w:marRight w:val="0"/>
      <w:marTop w:val="0"/>
      <w:marBottom w:val="0"/>
      <w:divBdr>
        <w:top w:val="none" w:sz="0" w:space="0" w:color="auto"/>
        <w:left w:val="none" w:sz="0" w:space="0" w:color="auto"/>
        <w:bottom w:val="none" w:sz="0" w:space="0" w:color="auto"/>
        <w:right w:val="none" w:sz="0" w:space="0" w:color="auto"/>
      </w:divBdr>
    </w:div>
    <w:div w:id="1161316542">
      <w:bodyDiv w:val="1"/>
      <w:marLeft w:val="0"/>
      <w:marRight w:val="0"/>
      <w:marTop w:val="0"/>
      <w:marBottom w:val="0"/>
      <w:divBdr>
        <w:top w:val="none" w:sz="0" w:space="0" w:color="auto"/>
        <w:left w:val="none" w:sz="0" w:space="0" w:color="auto"/>
        <w:bottom w:val="none" w:sz="0" w:space="0" w:color="auto"/>
        <w:right w:val="none" w:sz="0" w:space="0" w:color="auto"/>
      </w:divBdr>
    </w:div>
    <w:div w:id="1563249787">
      <w:bodyDiv w:val="1"/>
      <w:marLeft w:val="0"/>
      <w:marRight w:val="0"/>
      <w:marTop w:val="0"/>
      <w:marBottom w:val="0"/>
      <w:divBdr>
        <w:top w:val="none" w:sz="0" w:space="0" w:color="auto"/>
        <w:left w:val="none" w:sz="0" w:space="0" w:color="auto"/>
        <w:bottom w:val="none" w:sz="0" w:space="0" w:color="auto"/>
        <w:right w:val="none" w:sz="0" w:space="0" w:color="auto"/>
      </w:divBdr>
    </w:div>
    <w:div w:id="18337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35B4-8228-4E0B-9C83-CF1ABD9F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21</Pages>
  <Words>7802</Words>
  <Characters>44478</Characters>
  <Application>Microsoft Office Word</Application>
  <DocSecurity>0</DocSecurity>
  <Lines>370</Lines>
  <Paragraphs>104</Paragraphs>
  <ScaleCrop>false</ScaleCrop>
  <Company/>
  <LinksUpToDate>false</LinksUpToDate>
  <CharactersWithSpaces>52176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 w</dc:creator>
  <cp:keywords/>
  <dc:description/>
  <cp:lastModifiedBy>魏 w</cp:lastModifiedBy>
  <cp:revision>1138</cp:revision>
  <dcterms:created xsi:type="dcterms:W3CDTF">2022-10-14T07:15:00Z</dcterms:created>
  <dcterms:modified xsi:type="dcterms:W3CDTF">2022-10-30T10:03:00Z</dcterms:modified>
</cp:coreProperties>
</file>