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9734" w14:textId="22973079" w:rsidR="006F0595" w:rsidRPr="004760F1" w:rsidRDefault="006F0595" w:rsidP="006F0595">
      <w:pPr>
        <w:jc w:val="center"/>
        <w:rPr>
          <w:rFonts w:ascii="Times New Roman" w:hAnsi="Times New Roman" w:cs="Times New Roman" w:hint="eastAsia"/>
          <w:b/>
          <w:sz w:val="36"/>
          <w:szCs w:val="36"/>
        </w:rPr>
      </w:pPr>
      <w:r w:rsidRPr="004760F1">
        <w:rPr>
          <w:rFonts w:ascii="Times New Roman" w:hAnsi="Times New Roman" w:cs="Times New Roman"/>
          <w:b/>
          <w:sz w:val="36"/>
          <w:szCs w:val="36"/>
        </w:rPr>
        <w:t xml:space="preserve">The Impact of China’s Capital Market Opening Up to the Domestic </w:t>
      </w:r>
      <w:r w:rsidR="00C47998">
        <w:rPr>
          <w:rFonts w:ascii="Times New Roman" w:hAnsi="Times New Roman" w:cs="Times New Roman"/>
          <w:b/>
          <w:sz w:val="36"/>
          <w:szCs w:val="36"/>
        </w:rPr>
        <w:t xml:space="preserve">Stock Idiosyncratic </w:t>
      </w:r>
      <w:r w:rsidR="00D7569D">
        <w:rPr>
          <w:rFonts w:ascii="Times New Roman" w:hAnsi="Times New Roman" w:cs="Times New Roman"/>
          <w:b/>
          <w:sz w:val="36"/>
          <w:szCs w:val="36"/>
        </w:rPr>
        <w:t>Risk</w:t>
      </w:r>
    </w:p>
    <w:p w14:paraId="15DE512F" w14:textId="3B9B491C" w:rsidR="00A34A9C" w:rsidRPr="004760F1" w:rsidRDefault="00A34A9C">
      <w:pPr>
        <w:rPr>
          <w:rFonts w:ascii="Times New Roman" w:hAnsi="Times New Roman" w:cs="Times New Roman"/>
        </w:rPr>
      </w:pPr>
    </w:p>
    <w:p w14:paraId="4F5091D6" w14:textId="04C567BD" w:rsidR="006F0595" w:rsidRPr="004760F1" w:rsidRDefault="006F0595" w:rsidP="006F0595">
      <w:pPr>
        <w:jc w:val="center"/>
        <w:rPr>
          <w:rFonts w:ascii="Times New Roman" w:hAnsi="Times New Roman" w:cs="Times New Roman"/>
          <w:b/>
          <w:bCs/>
        </w:rPr>
      </w:pPr>
      <w:proofErr w:type="spellStart"/>
      <w:r w:rsidRPr="004760F1">
        <w:rPr>
          <w:rFonts w:ascii="Times New Roman" w:hAnsi="Times New Roman" w:cs="Times New Roman"/>
          <w:b/>
          <w:bCs/>
        </w:rPr>
        <w:t>Chenpeng</w:t>
      </w:r>
      <w:proofErr w:type="spellEnd"/>
      <w:r w:rsidRPr="004760F1">
        <w:rPr>
          <w:rFonts w:ascii="Times New Roman" w:hAnsi="Times New Roman" w:cs="Times New Roman"/>
          <w:b/>
          <w:bCs/>
        </w:rPr>
        <w:t xml:space="preserve"> Du</w:t>
      </w:r>
      <w:r w:rsidR="00746CC7" w:rsidRPr="004760F1">
        <w:rPr>
          <w:rStyle w:val="ab"/>
          <w:rFonts w:ascii="Times New Roman" w:hAnsi="Times New Roman" w:cs="Times New Roman"/>
          <w:b/>
          <w:bCs/>
        </w:rPr>
        <w:footnoteReference w:id="1"/>
      </w:r>
    </w:p>
    <w:p w14:paraId="14692C08" w14:textId="21CADAE4" w:rsidR="006F0595" w:rsidRPr="004760F1" w:rsidRDefault="006F0595">
      <w:pPr>
        <w:rPr>
          <w:rFonts w:ascii="Times New Roman" w:hAnsi="Times New Roman" w:cs="Times New Roman"/>
        </w:rPr>
      </w:pPr>
    </w:p>
    <w:p w14:paraId="7E3C2834" w14:textId="6E5D410D" w:rsidR="006F0595" w:rsidRPr="004760F1" w:rsidRDefault="006F0595" w:rsidP="006F0595">
      <w:pPr>
        <w:jc w:val="center"/>
        <w:rPr>
          <w:rFonts w:ascii="Times New Roman" w:hAnsi="Times New Roman" w:cs="Times New Roman"/>
          <w:b/>
          <w:bCs/>
        </w:rPr>
      </w:pPr>
      <w:r w:rsidRPr="004760F1">
        <w:rPr>
          <w:rFonts w:ascii="Times New Roman" w:hAnsi="Times New Roman" w:cs="Times New Roman"/>
          <w:b/>
          <w:bCs/>
        </w:rPr>
        <w:t>Abstract</w:t>
      </w:r>
    </w:p>
    <w:p w14:paraId="369B7413" w14:textId="77777777" w:rsidR="003925E6" w:rsidRPr="004760F1" w:rsidRDefault="003925E6" w:rsidP="003925E6">
      <w:pPr>
        <w:pStyle w:val="a3"/>
        <w:widowControl w:val="0"/>
        <w:spacing w:line="400" w:lineRule="exact"/>
        <w:ind w:firstLineChars="0" w:firstLine="0"/>
        <w:jc w:val="both"/>
        <w:rPr>
          <w:rFonts w:ascii="Times New Roman" w:hAnsi="Times New Roman" w:cs="Times New Roman"/>
        </w:rPr>
      </w:pPr>
    </w:p>
    <w:p w14:paraId="3003E5B2" w14:textId="7B762A5C" w:rsidR="00B11366" w:rsidRPr="004760F1" w:rsidRDefault="00F60990" w:rsidP="003925E6">
      <w:pPr>
        <w:pStyle w:val="a3"/>
        <w:widowControl w:val="0"/>
        <w:spacing w:line="400" w:lineRule="exact"/>
        <w:ind w:firstLineChars="0" w:firstLine="0"/>
        <w:jc w:val="both"/>
        <w:rPr>
          <w:rFonts w:ascii="Times New Roman" w:hAnsi="Times New Roman" w:cs="Times New Roman"/>
        </w:rPr>
      </w:pPr>
      <w:r w:rsidRPr="004760F1">
        <w:rPr>
          <w:rFonts w:ascii="Times New Roman" w:hAnsi="Times New Roman" w:cs="Times New Roman"/>
        </w:rPr>
        <w:t xml:space="preserve">In this paper </w:t>
      </w:r>
      <w:r w:rsidR="003925E6" w:rsidRPr="004760F1">
        <w:rPr>
          <w:rFonts w:ascii="Times New Roman" w:hAnsi="Times New Roman" w:cs="Times New Roman"/>
        </w:rPr>
        <w:t xml:space="preserve">we </w:t>
      </w:r>
      <w:r w:rsidR="00B11366" w:rsidRPr="004760F1">
        <w:rPr>
          <w:rFonts w:ascii="Times New Roman" w:hAnsi="Times New Roman" w:cs="Times New Roman"/>
        </w:rPr>
        <w:t xml:space="preserve">studied impact of </w:t>
      </w:r>
      <w:r w:rsidR="00442638" w:rsidRPr="004760F1">
        <w:rPr>
          <w:rFonts w:ascii="Times New Roman" w:hAnsi="Times New Roman" w:cs="Times New Roman"/>
        </w:rPr>
        <w:t>an</w:t>
      </w:r>
      <w:r w:rsidR="003925E6" w:rsidRPr="004760F1">
        <w:rPr>
          <w:rFonts w:ascii="Times New Roman" w:hAnsi="Times New Roman" w:cs="Times New Roman"/>
        </w:rPr>
        <w:t xml:space="preserve"> </w:t>
      </w:r>
      <w:r w:rsidR="00BF6330" w:rsidRPr="004760F1">
        <w:rPr>
          <w:rFonts w:ascii="Times New Roman" w:hAnsi="Times New Roman" w:cs="Times New Roman"/>
        </w:rPr>
        <w:t xml:space="preserve">exogenous </w:t>
      </w:r>
      <w:r w:rsidR="003925E6" w:rsidRPr="004760F1">
        <w:rPr>
          <w:rFonts w:ascii="Times New Roman" w:hAnsi="Times New Roman" w:cs="Times New Roman"/>
        </w:rPr>
        <w:t>events that represents China’s capital market opening up: the</w:t>
      </w:r>
      <w:r w:rsidR="00B11366" w:rsidRPr="004760F1">
        <w:rPr>
          <w:rFonts w:ascii="Times New Roman" w:hAnsi="Times New Roman" w:cs="Times New Roman"/>
        </w:rPr>
        <w:t xml:space="preserve"> "A shares included in MSCI index" </w:t>
      </w:r>
      <w:r w:rsidR="003925E6" w:rsidRPr="004760F1">
        <w:rPr>
          <w:rFonts w:ascii="Times New Roman" w:hAnsi="Times New Roman" w:cs="Times New Roman"/>
        </w:rPr>
        <w:t>for</w:t>
      </w:r>
      <w:r w:rsidR="00B11366" w:rsidRPr="004760F1">
        <w:rPr>
          <w:rFonts w:ascii="Times New Roman" w:hAnsi="Times New Roman" w:cs="Times New Roman"/>
        </w:rPr>
        <w:t xml:space="preserve"> </w:t>
      </w:r>
      <w:r w:rsidR="003925E6" w:rsidRPr="004760F1">
        <w:rPr>
          <w:rFonts w:ascii="Times New Roman" w:hAnsi="Times New Roman" w:cs="Times New Roman"/>
        </w:rPr>
        <w:t xml:space="preserve">China’s </w:t>
      </w:r>
      <w:r w:rsidR="00B11366" w:rsidRPr="004760F1">
        <w:rPr>
          <w:rFonts w:ascii="Times New Roman" w:hAnsi="Times New Roman" w:cs="Times New Roman"/>
        </w:rPr>
        <w:t xml:space="preserve">domestic </w:t>
      </w:r>
      <w:r w:rsidR="003925E6" w:rsidRPr="004760F1">
        <w:rPr>
          <w:rFonts w:ascii="Times New Roman" w:hAnsi="Times New Roman" w:cs="Times New Roman"/>
        </w:rPr>
        <w:t>S</w:t>
      </w:r>
      <w:r w:rsidR="00B11366" w:rsidRPr="004760F1">
        <w:rPr>
          <w:rFonts w:ascii="Times New Roman" w:hAnsi="Times New Roman" w:cs="Times New Roman"/>
        </w:rPr>
        <w:t xml:space="preserve">tock assets </w:t>
      </w:r>
      <w:proofErr w:type="gramStart"/>
      <w:r w:rsidR="00B11366" w:rsidRPr="004760F1">
        <w:rPr>
          <w:rFonts w:ascii="Times New Roman" w:hAnsi="Times New Roman" w:cs="Times New Roman"/>
        </w:rPr>
        <w:t>By</w:t>
      </w:r>
      <w:proofErr w:type="gramEnd"/>
      <w:r w:rsidR="00B11366" w:rsidRPr="004760F1">
        <w:rPr>
          <w:rFonts w:ascii="Times New Roman" w:hAnsi="Times New Roman" w:cs="Times New Roman"/>
        </w:rPr>
        <w:t xml:space="preserve"> constructing the Diff in Diff (DID) model</w:t>
      </w:r>
      <w:r w:rsidR="00D308DA" w:rsidRPr="004760F1">
        <w:rPr>
          <w:rFonts w:ascii="Times New Roman" w:hAnsi="Times New Roman" w:cs="Times New Roman"/>
        </w:rPr>
        <w:t xml:space="preserve">, </w:t>
      </w:r>
      <w:r w:rsidR="00B11366" w:rsidRPr="004760F1">
        <w:rPr>
          <w:rFonts w:ascii="Times New Roman" w:hAnsi="Times New Roman" w:cs="Times New Roman"/>
        </w:rPr>
        <w:t xml:space="preserve">it is found that </w:t>
      </w:r>
      <w:r w:rsidR="003925E6" w:rsidRPr="004760F1">
        <w:rPr>
          <w:rFonts w:ascii="Times New Roman" w:hAnsi="Times New Roman" w:cs="Times New Roman"/>
        </w:rPr>
        <w:t xml:space="preserve">event have </w:t>
      </w:r>
      <w:r w:rsidR="00B11366" w:rsidRPr="004760F1">
        <w:rPr>
          <w:rFonts w:ascii="Times New Roman" w:hAnsi="Times New Roman" w:cs="Times New Roman"/>
        </w:rPr>
        <w:t xml:space="preserve">significantly reduce the idiosyncratic </w:t>
      </w:r>
      <w:r w:rsidR="00D7569D">
        <w:rPr>
          <w:rFonts w:ascii="Times New Roman" w:hAnsi="Times New Roman" w:cs="Times New Roman"/>
        </w:rPr>
        <w:t>risk</w:t>
      </w:r>
      <w:r w:rsidR="00B11366" w:rsidRPr="004760F1">
        <w:rPr>
          <w:rFonts w:ascii="Times New Roman" w:hAnsi="Times New Roman" w:cs="Times New Roman"/>
        </w:rPr>
        <w:t xml:space="preserve"> of the stocks</w:t>
      </w:r>
      <w:r w:rsidR="003925E6" w:rsidRPr="004760F1">
        <w:rPr>
          <w:rFonts w:ascii="Times New Roman" w:hAnsi="Times New Roman" w:cs="Times New Roman"/>
        </w:rPr>
        <w:t xml:space="preserve"> </w:t>
      </w:r>
      <w:r w:rsidR="00B11366" w:rsidRPr="004760F1">
        <w:rPr>
          <w:rFonts w:ascii="Times New Roman" w:hAnsi="Times New Roman" w:cs="Times New Roman"/>
        </w:rPr>
        <w:t>that’s been included in</w:t>
      </w:r>
      <w:r w:rsidR="003925E6" w:rsidRPr="004760F1">
        <w:rPr>
          <w:rFonts w:ascii="Times New Roman" w:hAnsi="Times New Roman" w:cs="Times New Roman"/>
        </w:rPr>
        <w:t>to</w:t>
      </w:r>
      <w:r w:rsidR="00B11366" w:rsidRPr="004760F1">
        <w:rPr>
          <w:rFonts w:ascii="Times New Roman" w:hAnsi="Times New Roman" w:cs="Times New Roman"/>
        </w:rPr>
        <w:t xml:space="preserve"> the index</w:t>
      </w:r>
      <w:r w:rsidR="00864622" w:rsidRPr="004760F1">
        <w:rPr>
          <w:rFonts w:ascii="Times New Roman" w:hAnsi="Times New Roman" w:cs="Times New Roman"/>
        </w:rPr>
        <w:t>, which</w:t>
      </w:r>
      <w:r w:rsidR="00BC1E5C" w:rsidRPr="004760F1">
        <w:rPr>
          <w:rFonts w:ascii="Times New Roman" w:hAnsi="Times New Roman" w:cs="Times New Roman"/>
        </w:rPr>
        <w:t xml:space="preserve"> proved that the overall advantages of the capital market opening up policy outweigh the disadvantages.</w:t>
      </w:r>
    </w:p>
    <w:p w14:paraId="42FA0DDC" w14:textId="77777777" w:rsidR="006F0595" w:rsidRPr="004760F1" w:rsidRDefault="006F0595" w:rsidP="006F0595">
      <w:pPr>
        <w:pStyle w:val="a3"/>
        <w:widowControl w:val="0"/>
        <w:spacing w:line="400" w:lineRule="exact"/>
        <w:ind w:firstLineChars="0" w:firstLine="0"/>
        <w:rPr>
          <w:rFonts w:ascii="Times New Roman" w:hAnsi="Times New Roman" w:cs="Times New Roman"/>
          <w:b/>
        </w:rPr>
      </w:pPr>
    </w:p>
    <w:p w14:paraId="0DF27B2E" w14:textId="3D961F21" w:rsidR="006F0595" w:rsidRPr="004760F1" w:rsidRDefault="006F0595" w:rsidP="006F0595">
      <w:pPr>
        <w:pStyle w:val="a3"/>
        <w:widowControl w:val="0"/>
        <w:spacing w:line="400" w:lineRule="exact"/>
        <w:ind w:firstLineChars="0" w:firstLine="0"/>
        <w:rPr>
          <w:rFonts w:ascii="Times New Roman" w:hAnsi="Times New Roman" w:cs="Times New Roman"/>
        </w:rPr>
      </w:pPr>
      <w:r w:rsidRPr="004760F1">
        <w:rPr>
          <w:rFonts w:ascii="Times New Roman" w:hAnsi="Times New Roman" w:cs="Times New Roman"/>
          <w:b/>
        </w:rPr>
        <w:t>Keywords:</w:t>
      </w:r>
      <w:r w:rsidRPr="004760F1">
        <w:rPr>
          <w:rFonts w:ascii="Times New Roman" w:hAnsi="Times New Roman" w:cs="Times New Roman"/>
        </w:rPr>
        <w:t xml:space="preserve"> Capital market </w:t>
      </w:r>
      <w:proofErr w:type="gramStart"/>
      <w:r w:rsidRPr="004760F1">
        <w:rPr>
          <w:rFonts w:ascii="Times New Roman" w:hAnsi="Times New Roman" w:cs="Times New Roman"/>
        </w:rPr>
        <w:t>opening up</w:t>
      </w:r>
      <w:proofErr w:type="gramEnd"/>
      <w:r w:rsidRPr="004760F1">
        <w:rPr>
          <w:rFonts w:ascii="Times New Roman" w:hAnsi="Times New Roman" w:cs="Times New Roman"/>
        </w:rPr>
        <w:t>; Idiosyncratic risk; Liquidity</w:t>
      </w:r>
    </w:p>
    <w:p w14:paraId="0A9584D7" w14:textId="77777777" w:rsidR="006F0595" w:rsidRPr="004760F1" w:rsidRDefault="006F0595">
      <w:pPr>
        <w:rPr>
          <w:rFonts w:ascii="Times New Roman" w:hAnsi="Times New Roman" w:cs="Times New Roman"/>
        </w:rPr>
      </w:pPr>
    </w:p>
    <w:p w14:paraId="64F6E350" w14:textId="6E7B4DAD" w:rsidR="006F0595" w:rsidRPr="004760F1" w:rsidRDefault="006F0595">
      <w:pPr>
        <w:rPr>
          <w:rFonts w:ascii="Times New Roman" w:hAnsi="Times New Roman" w:cs="Times New Roman"/>
        </w:rPr>
      </w:pPr>
    </w:p>
    <w:p w14:paraId="0B5FC8FB" w14:textId="74AE04A5" w:rsidR="006F0595" w:rsidRPr="004760F1" w:rsidRDefault="006F0595">
      <w:pPr>
        <w:rPr>
          <w:rFonts w:ascii="Times New Roman" w:hAnsi="Times New Roman" w:cs="Times New Roman"/>
        </w:rPr>
      </w:pPr>
    </w:p>
    <w:p w14:paraId="52F52860" w14:textId="221ABD39" w:rsidR="006F0595" w:rsidRPr="004760F1" w:rsidRDefault="006F0595">
      <w:pPr>
        <w:rPr>
          <w:rFonts w:ascii="Times New Roman" w:hAnsi="Times New Roman" w:cs="Times New Roman"/>
        </w:rPr>
      </w:pPr>
    </w:p>
    <w:p w14:paraId="76D9FF15" w14:textId="241BBE7E" w:rsidR="006F0595" w:rsidRPr="004760F1" w:rsidRDefault="006F0595">
      <w:pPr>
        <w:rPr>
          <w:rFonts w:ascii="Times New Roman" w:hAnsi="Times New Roman" w:cs="Times New Roman"/>
        </w:rPr>
      </w:pPr>
    </w:p>
    <w:p w14:paraId="5767B6F9" w14:textId="40E34812" w:rsidR="006F0595" w:rsidRPr="004760F1" w:rsidRDefault="006F0595">
      <w:pPr>
        <w:rPr>
          <w:rFonts w:ascii="Times New Roman" w:hAnsi="Times New Roman" w:cs="Times New Roman"/>
        </w:rPr>
      </w:pPr>
    </w:p>
    <w:p w14:paraId="6A50BDAB" w14:textId="4FC6D62E" w:rsidR="006F0595" w:rsidRPr="004760F1" w:rsidRDefault="006F0595">
      <w:pPr>
        <w:rPr>
          <w:rFonts w:ascii="Times New Roman" w:hAnsi="Times New Roman" w:cs="Times New Roman"/>
        </w:rPr>
      </w:pPr>
    </w:p>
    <w:p w14:paraId="1A1393C8" w14:textId="2A83DF1E" w:rsidR="00746CC7" w:rsidRPr="004760F1" w:rsidRDefault="00746CC7">
      <w:pPr>
        <w:rPr>
          <w:rFonts w:ascii="Times New Roman" w:hAnsi="Times New Roman" w:cs="Times New Roman"/>
        </w:rPr>
      </w:pPr>
    </w:p>
    <w:p w14:paraId="2013573E" w14:textId="2106BB18" w:rsidR="00EC6FE3" w:rsidRPr="004760F1" w:rsidRDefault="00EC6FE3">
      <w:pPr>
        <w:rPr>
          <w:rFonts w:ascii="Times New Roman" w:hAnsi="Times New Roman" w:cs="Times New Roman"/>
        </w:rPr>
      </w:pPr>
    </w:p>
    <w:p w14:paraId="1A444BD5" w14:textId="491DE220" w:rsidR="00EC6FE3" w:rsidRPr="004760F1" w:rsidRDefault="00EC6FE3">
      <w:pPr>
        <w:rPr>
          <w:rFonts w:ascii="Times New Roman" w:hAnsi="Times New Roman" w:cs="Times New Roman"/>
        </w:rPr>
      </w:pPr>
    </w:p>
    <w:p w14:paraId="1A78C4DD" w14:textId="26250098" w:rsidR="00EC6FE3" w:rsidRPr="004760F1" w:rsidRDefault="00EC6FE3">
      <w:pPr>
        <w:rPr>
          <w:rFonts w:ascii="Times New Roman" w:hAnsi="Times New Roman" w:cs="Times New Roman"/>
        </w:rPr>
      </w:pPr>
    </w:p>
    <w:p w14:paraId="7494846F" w14:textId="00A97F87" w:rsidR="00EC6FE3" w:rsidRPr="004760F1" w:rsidRDefault="00EC6FE3">
      <w:pPr>
        <w:rPr>
          <w:rFonts w:ascii="Times New Roman" w:hAnsi="Times New Roman" w:cs="Times New Roman"/>
        </w:rPr>
      </w:pPr>
    </w:p>
    <w:p w14:paraId="018E126C" w14:textId="4AD85967" w:rsidR="00EC6FE3" w:rsidRPr="004760F1" w:rsidRDefault="00EC6FE3">
      <w:pPr>
        <w:rPr>
          <w:rFonts w:ascii="Times New Roman" w:hAnsi="Times New Roman" w:cs="Times New Roman"/>
        </w:rPr>
      </w:pPr>
    </w:p>
    <w:p w14:paraId="68EA8EAB" w14:textId="77777777" w:rsidR="000D7C0D" w:rsidRPr="004760F1" w:rsidRDefault="000D7C0D">
      <w:pPr>
        <w:rPr>
          <w:rFonts w:ascii="Times New Roman" w:hAnsi="Times New Roman" w:cs="Times New Roman"/>
        </w:rPr>
      </w:pPr>
    </w:p>
    <w:p w14:paraId="698CAAAF" w14:textId="547CF149" w:rsidR="00746CC7" w:rsidRPr="004760F1" w:rsidRDefault="00746CC7">
      <w:pPr>
        <w:rPr>
          <w:rFonts w:ascii="Times New Roman" w:hAnsi="Times New Roman" w:cs="Times New Roman"/>
        </w:rPr>
      </w:pPr>
    </w:p>
    <w:p w14:paraId="58416512" w14:textId="5FCF3E6D" w:rsidR="00746CC7" w:rsidRPr="004760F1" w:rsidRDefault="00746CC7">
      <w:pPr>
        <w:rPr>
          <w:rFonts w:ascii="Times New Roman" w:hAnsi="Times New Roman" w:cs="Times New Roman"/>
        </w:rPr>
      </w:pPr>
    </w:p>
    <w:p w14:paraId="2C9AC21A" w14:textId="48152581" w:rsidR="00746CC7" w:rsidRPr="004760F1" w:rsidRDefault="00746CC7">
      <w:pPr>
        <w:rPr>
          <w:rFonts w:ascii="Times New Roman" w:hAnsi="Times New Roman" w:cs="Times New Roman"/>
        </w:rPr>
      </w:pPr>
    </w:p>
    <w:p w14:paraId="0FD0AC93" w14:textId="46EA039B" w:rsidR="00746CC7" w:rsidRPr="0010108B" w:rsidRDefault="00514917" w:rsidP="00514917">
      <w:pPr>
        <w:rPr>
          <w:rFonts w:ascii="Times New Roman" w:hAnsi="Times New Roman" w:cs="Times New Roman"/>
          <w:b/>
          <w:bCs/>
          <w:sz w:val="28"/>
          <w:szCs w:val="28"/>
        </w:rPr>
      </w:pPr>
      <w:r w:rsidRPr="0010108B">
        <w:rPr>
          <w:rFonts w:ascii="Times New Roman" w:hAnsi="Times New Roman" w:cs="Times New Roman"/>
          <w:b/>
          <w:bCs/>
          <w:sz w:val="28"/>
          <w:szCs w:val="28"/>
        </w:rPr>
        <w:lastRenderedPageBreak/>
        <w:t xml:space="preserve">1. </w:t>
      </w:r>
      <w:r w:rsidR="00746CC7" w:rsidRPr="0010108B">
        <w:rPr>
          <w:rFonts w:ascii="Times New Roman" w:hAnsi="Times New Roman" w:cs="Times New Roman"/>
          <w:b/>
          <w:bCs/>
          <w:sz w:val="28"/>
          <w:szCs w:val="28"/>
        </w:rPr>
        <w:t>Introduction</w:t>
      </w:r>
    </w:p>
    <w:p w14:paraId="6EC47662" w14:textId="76FF099B" w:rsidR="00746CC7" w:rsidRPr="004760F1" w:rsidRDefault="002A40F7" w:rsidP="00746CC7">
      <w:pPr>
        <w:rPr>
          <w:rFonts w:ascii="Times New Roman" w:hAnsi="Times New Roman" w:cs="Times New Roman"/>
          <w:b/>
          <w:bCs/>
        </w:rPr>
      </w:pPr>
      <w:r w:rsidRPr="004760F1">
        <w:rPr>
          <w:rFonts w:ascii="Times New Roman" w:hAnsi="Times New Roman" w:cs="Times New Roman"/>
          <w:b/>
          <w:bCs/>
        </w:rPr>
        <w:t xml:space="preserve">1.1 </w:t>
      </w:r>
      <w:proofErr w:type="spellStart"/>
      <w:r w:rsidR="006B5B59" w:rsidRPr="004760F1">
        <w:rPr>
          <w:rFonts w:ascii="Times New Roman" w:hAnsi="Times New Roman" w:cs="Times New Roman"/>
          <w:b/>
          <w:bCs/>
        </w:rPr>
        <w:t>B</w:t>
      </w:r>
      <w:r w:rsidRPr="004760F1">
        <w:rPr>
          <w:rFonts w:ascii="Times New Roman" w:hAnsi="Times New Roman" w:cs="Times New Roman"/>
          <w:b/>
          <w:bCs/>
        </w:rPr>
        <w:t>ackgroud</w:t>
      </w:r>
      <w:proofErr w:type="spellEnd"/>
    </w:p>
    <w:p w14:paraId="4F6A1C19" w14:textId="373D2664" w:rsidR="002A40F7" w:rsidRPr="004760F1" w:rsidRDefault="002A40F7" w:rsidP="002A40F7">
      <w:pPr>
        <w:jc w:val="both"/>
        <w:rPr>
          <w:rFonts w:ascii="Times New Roman" w:hAnsi="Times New Roman" w:cs="Times New Roman"/>
        </w:rPr>
      </w:pPr>
      <w:r w:rsidRPr="004760F1">
        <w:rPr>
          <w:rFonts w:ascii="Times New Roman" w:hAnsi="Times New Roman" w:cs="Times New Roman"/>
        </w:rPr>
        <w:t xml:space="preserve">Historically, the opening of the capital market to the outside world has always been an important part of the </w:t>
      </w:r>
      <w:proofErr w:type="gramStart"/>
      <w:r w:rsidRPr="004760F1">
        <w:rPr>
          <w:rFonts w:ascii="Times New Roman" w:hAnsi="Times New Roman" w:cs="Times New Roman"/>
        </w:rPr>
        <w:t>opening up</w:t>
      </w:r>
      <w:proofErr w:type="gramEnd"/>
      <w:r w:rsidRPr="004760F1">
        <w:rPr>
          <w:rFonts w:ascii="Times New Roman" w:hAnsi="Times New Roman" w:cs="Times New Roman"/>
        </w:rPr>
        <w:t xml:space="preserve"> of the financial industry</w:t>
      </w:r>
      <w:r w:rsidR="00C50AE5" w:rsidRPr="004760F1">
        <w:rPr>
          <w:rFonts w:ascii="Times New Roman" w:hAnsi="Times New Roman" w:cs="Times New Roman"/>
        </w:rPr>
        <w:t xml:space="preserve"> in China</w:t>
      </w:r>
      <w:r w:rsidRPr="004760F1">
        <w:rPr>
          <w:rFonts w:ascii="Times New Roman" w:hAnsi="Times New Roman" w:cs="Times New Roman"/>
        </w:rPr>
        <w:t xml:space="preserve">. Since 2004, </w:t>
      </w:r>
      <w:r w:rsidR="00C50AE5" w:rsidRPr="004760F1">
        <w:rPr>
          <w:rFonts w:ascii="Times New Roman" w:hAnsi="Times New Roman" w:cs="Times New Roman"/>
        </w:rPr>
        <w:t xml:space="preserve">China’s policy makers </w:t>
      </w:r>
      <w:proofErr w:type="gramStart"/>
      <w:r w:rsidRPr="004760F1">
        <w:rPr>
          <w:rFonts w:ascii="Times New Roman" w:hAnsi="Times New Roman" w:cs="Times New Roman"/>
        </w:rPr>
        <w:t>has</w:t>
      </w:r>
      <w:proofErr w:type="gramEnd"/>
      <w:r w:rsidRPr="004760F1">
        <w:rPr>
          <w:rFonts w:ascii="Times New Roman" w:hAnsi="Times New Roman" w:cs="Times New Roman"/>
        </w:rPr>
        <w:t xml:space="preserve"> introduced a series of measures to help China's capital market open to the outside world</w:t>
      </w:r>
      <w:r w:rsidR="00C50AE5" w:rsidRPr="004760F1">
        <w:rPr>
          <w:rFonts w:ascii="Times New Roman" w:hAnsi="Times New Roman" w:cs="Times New Roman"/>
        </w:rPr>
        <w:t xml:space="preserve">, </w:t>
      </w:r>
      <w:r w:rsidRPr="004760F1">
        <w:rPr>
          <w:rFonts w:ascii="Times New Roman" w:hAnsi="Times New Roman" w:cs="Times New Roman"/>
        </w:rPr>
        <w:t>such as the improvement of listed company governance, the reform of the issuance system, and the active introduction of QFII</w:t>
      </w:r>
      <w:r w:rsidR="005D347D">
        <w:rPr>
          <w:rFonts w:ascii="Times New Roman" w:hAnsi="Times New Roman" w:cs="Times New Roman"/>
        </w:rPr>
        <w:t>/RQFII</w:t>
      </w:r>
      <w:r w:rsidR="00C50AE5" w:rsidRPr="004760F1">
        <w:rPr>
          <w:rFonts w:ascii="Times New Roman" w:hAnsi="Times New Roman" w:cs="Times New Roman"/>
        </w:rPr>
        <w:t xml:space="preserve"> scheme, and</w:t>
      </w:r>
      <w:r w:rsidRPr="004760F1">
        <w:rPr>
          <w:rFonts w:ascii="Times New Roman" w:hAnsi="Times New Roman" w:cs="Times New Roman"/>
        </w:rPr>
        <w:t xml:space="preserve"> the Shanghai-Hong Kong Stock Connect, Shenzhen-Hong Kong Stock Connect, Bond Connect</w:t>
      </w:r>
      <w:r w:rsidR="00C50AE5" w:rsidRPr="004760F1">
        <w:rPr>
          <w:rFonts w:ascii="Times New Roman" w:hAnsi="Times New Roman" w:cs="Times New Roman"/>
        </w:rPr>
        <w:t xml:space="preserve"> etc.</w:t>
      </w:r>
      <w:r w:rsidRPr="004760F1">
        <w:rPr>
          <w:rFonts w:ascii="Times New Roman" w:hAnsi="Times New Roman" w:cs="Times New Roman"/>
        </w:rPr>
        <w:t xml:space="preserve"> After rapid development in the past two decades, China's capital market has become the second largest capital market in the world after the United States. The overall scale of stocks and bonds is the second in the world, and the scale of </w:t>
      </w:r>
      <w:r w:rsidR="00C50AE5" w:rsidRPr="004760F1">
        <w:rPr>
          <w:rFonts w:ascii="Times New Roman" w:hAnsi="Times New Roman" w:cs="Times New Roman"/>
        </w:rPr>
        <w:t>government</w:t>
      </w:r>
      <w:r w:rsidRPr="004760F1">
        <w:rPr>
          <w:rFonts w:ascii="Times New Roman" w:hAnsi="Times New Roman" w:cs="Times New Roman"/>
        </w:rPr>
        <w:t xml:space="preserve"> bonds is the third (Figure 1-1). </w:t>
      </w:r>
      <w:r w:rsidR="00C50AE5" w:rsidRPr="004760F1">
        <w:rPr>
          <w:rFonts w:ascii="Times New Roman" w:hAnsi="Times New Roman" w:cs="Times New Roman"/>
        </w:rPr>
        <w:t>Capital market</w:t>
      </w:r>
      <w:r w:rsidRPr="004760F1">
        <w:rPr>
          <w:rFonts w:ascii="Times New Roman" w:hAnsi="Times New Roman" w:cs="Times New Roman"/>
        </w:rPr>
        <w:t xml:space="preserve"> has played a very important role in promoting the rise of China's economy.</w:t>
      </w:r>
    </w:p>
    <w:p w14:paraId="19E7D3E4" w14:textId="2A21F7B7" w:rsidR="002A40F7" w:rsidRPr="004760F1" w:rsidRDefault="002D2E7A" w:rsidP="002D2E7A">
      <w:pPr>
        <w:pStyle w:val="ac"/>
        <w:ind w:left="120" w:hangingChars="50" w:hanging="120"/>
        <w:rPr>
          <w:rFonts w:ascii="Times New Roman" w:hAnsi="Times New Roman" w:cs="Times New Roman" w:hint="eastAsia"/>
        </w:rPr>
      </w:pPr>
      <w:r w:rsidRPr="00061B14">
        <w:rPr>
          <w:noProof/>
        </w:rPr>
        <w:drawing>
          <wp:inline distT="0" distB="0" distL="0" distR="0" wp14:anchorId="338AF5B3" wp14:editId="32DCE746">
            <wp:extent cx="5170066" cy="2208179"/>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6881" cy="2215361"/>
                    </a:xfrm>
                    <a:prstGeom prst="rect">
                      <a:avLst/>
                    </a:prstGeom>
                  </pic:spPr>
                </pic:pic>
              </a:graphicData>
            </a:graphic>
          </wp:inline>
        </w:drawing>
      </w:r>
    </w:p>
    <w:p w14:paraId="39585C86" w14:textId="0DE24731" w:rsidR="00274943" w:rsidRPr="004760F1" w:rsidRDefault="00274943" w:rsidP="002D2E7A">
      <w:pPr>
        <w:jc w:val="center"/>
        <w:rPr>
          <w:rFonts w:ascii="Times New Roman" w:hAnsi="Times New Roman" w:cs="Times New Roman"/>
        </w:rPr>
      </w:pPr>
      <w:r w:rsidRPr="004760F1">
        <w:rPr>
          <w:rFonts w:ascii="Times New Roman" w:hAnsi="Times New Roman" w:cs="Times New Roman"/>
          <w:noProof/>
          <w:color w:val="000000" w:themeColor="text1"/>
          <w:shd w:val="clear" w:color="auto" w:fill="FFFFFF"/>
        </w:rPr>
        <w:drawing>
          <wp:inline distT="0" distB="0" distL="0" distR="0" wp14:anchorId="3CD1D35B" wp14:editId="1692C47B">
            <wp:extent cx="5083603" cy="26459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5655" cy="2662605"/>
                    </a:xfrm>
                    <a:prstGeom prst="rect">
                      <a:avLst/>
                    </a:prstGeom>
                  </pic:spPr>
                </pic:pic>
              </a:graphicData>
            </a:graphic>
          </wp:inline>
        </w:drawing>
      </w:r>
    </w:p>
    <w:p w14:paraId="6DB87F9B" w14:textId="4373EA85" w:rsidR="002A40F7" w:rsidRPr="002D2E7A" w:rsidRDefault="002D2E7A" w:rsidP="002D2E7A">
      <w:pPr>
        <w:jc w:val="center"/>
        <w:rPr>
          <w:rFonts w:ascii="Times New Roman" w:hAnsi="Times New Roman" w:cs="Times New Roman"/>
          <w:sz w:val="22"/>
          <w:szCs w:val="22"/>
        </w:rPr>
      </w:pPr>
      <w:bookmarkStart w:id="0" w:name="_Toc90686340"/>
      <w:bookmarkStart w:id="1" w:name="_Toc92320734"/>
      <w:r w:rsidRPr="002D2E7A">
        <w:rPr>
          <w:rFonts w:ascii="Times New Roman" w:hAnsi="Times New Roman" w:cs="Times New Roman"/>
          <w:sz w:val="22"/>
          <w:szCs w:val="22"/>
        </w:rPr>
        <w:t>Figure</w:t>
      </w:r>
      <w:r w:rsidR="002A40F7" w:rsidRPr="002D2E7A">
        <w:rPr>
          <w:rFonts w:ascii="Times New Roman" w:hAnsi="Times New Roman" w:cs="Times New Roman"/>
          <w:sz w:val="22"/>
          <w:szCs w:val="22"/>
        </w:rPr>
        <w:t xml:space="preserve"> </w:t>
      </w:r>
      <w:r w:rsidR="00135D0C" w:rsidRPr="002D2E7A">
        <w:rPr>
          <w:rFonts w:ascii="Times New Roman" w:hAnsi="Times New Roman" w:cs="Times New Roman"/>
          <w:noProof/>
          <w:sz w:val="22"/>
          <w:szCs w:val="22"/>
        </w:rPr>
        <w:fldChar w:fldCharType="begin"/>
      </w:r>
      <w:r w:rsidR="00135D0C" w:rsidRPr="002D2E7A">
        <w:rPr>
          <w:rFonts w:ascii="Times New Roman" w:hAnsi="Times New Roman" w:cs="Times New Roman"/>
          <w:noProof/>
          <w:sz w:val="22"/>
          <w:szCs w:val="22"/>
        </w:rPr>
        <w:instrText xml:space="preserve"> STYLEREF 1 \s </w:instrText>
      </w:r>
      <w:r w:rsidR="00135D0C" w:rsidRPr="002D2E7A">
        <w:rPr>
          <w:rFonts w:ascii="Times New Roman" w:hAnsi="Times New Roman" w:cs="Times New Roman"/>
          <w:noProof/>
          <w:sz w:val="22"/>
          <w:szCs w:val="22"/>
        </w:rPr>
        <w:fldChar w:fldCharType="separate"/>
      </w:r>
      <w:r w:rsidR="002A40F7" w:rsidRPr="002D2E7A">
        <w:rPr>
          <w:rFonts w:ascii="Times New Roman" w:hAnsi="Times New Roman" w:cs="Times New Roman"/>
          <w:noProof/>
          <w:sz w:val="22"/>
          <w:szCs w:val="22"/>
        </w:rPr>
        <w:t>1</w:t>
      </w:r>
      <w:r w:rsidR="00135D0C" w:rsidRPr="002D2E7A">
        <w:rPr>
          <w:rFonts w:ascii="Times New Roman" w:hAnsi="Times New Roman" w:cs="Times New Roman"/>
          <w:noProof/>
          <w:sz w:val="22"/>
          <w:szCs w:val="22"/>
        </w:rPr>
        <w:fldChar w:fldCharType="end"/>
      </w:r>
      <w:r w:rsidR="002A40F7" w:rsidRPr="002D2E7A">
        <w:rPr>
          <w:rFonts w:ascii="Times New Roman" w:hAnsi="Times New Roman" w:cs="Times New Roman"/>
          <w:sz w:val="22"/>
          <w:szCs w:val="22"/>
        </w:rPr>
        <w:noBreakHyphen/>
      </w:r>
      <w:r w:rsidR="002A40F7" w:rsidRPr="002D2E7A">
        <w:rPr>
          <w:rFonts w:ascii="Times New Roman" w:hAnsi="Times New Roman" w:cs="Times New Roman"/>
          <w:sz w:val="22"/>
          <w:szCs w:val="22"/>
        </w:rPr>
        <w:fldChar w:fldCharType="begin"/>
      </w:r>
      <w:r w:rsidR="002A40F7" w:rsidRPr="002D2E7A">
        <w:rPr>
          <w:rFonts w:ascii="Times New Roman" w:hAnsi="Times New Roman" w:cs="Times New Roman"/>
          <w:sz w:val="22"/>
          <w:szCs w:val="22"/>
        </w:rPr>
        <w:instrText xml:space="preserve"> SEQ </w:instrText>
      </w:r>
      <w:r w:rsidR="002A40F7" w:rsidRPr="002D2E7A">
        <w:rPr>
          <w:rFonts w:ascii="Times New Roman" w:hAnsi="Times New Roman" w:cs="Times New Roman"/>
          <w:sz w:val="22"/>
          <w:szCs w:val="22"/>
        </w:rPr>
        <w:instrText>图</w:instrText>
      </w:r>
      <w:r w:rsidR="002A40F7" w:rsidRPr="002D2E7A">
        <w:rPr>
          <w:rFonts w:ascii="Times New Roman" w:hAnsi="Times New Roman" w:cs="Times New Roman"/>
          <w:sz w:val="22"/>
          <w:szCs w:val="22"/>
        </w:rPr>
        <w:instrText xml:space="preserve"> \* ARABIC \s 1 </w:instrText>
      </w:r>
      <w:r w:rsidR="002A40F7" w:rsidRPr="002D2E7A">
        <w:rPr>
          <w:rFonts w:ascii="Times New Roman" w:hAnsi="Times New Roman" w:cs="Times New Roman"/>
          <w:sz w:val="22"/>
          <w:szCs w:val="22"/>
        </w:rPr>
        <w:fldChar w:fldCharType="separate"/>
      </w:r>
      <w:r w:rsidR="002A40F7" w:rsidRPr="002D2E7A">
        <w:rPr>
          <w:rFonts w:ascii="Times New Roman" w:hAnsi="Times New Roman" w:cs="Times New Roman"/>
          <w:noProof/>
          <w:sz w:val="22"/>
          <w:szCs w:val="22"/>
        </w:rPr>
        <w:t>1</w:t>
      </w:r>
      <w:r w:rsidR="002A40F7" w:rsidRPr="002D2E7A">
        <w:rPr>
          <w:rFonts w:ascii="Times New Roman" w:hAnsi="Times New Roman" w:cs="Times New Roman"/>
          <w:sz w:val="22"/>
          <w:szCs w:val="22"/>
        </w:rPr>
        <w:fldChar w:fldCharType="end"/>
      </w:r>
      <w:r w:rsidR="002A40F7" w:rsidRPr="002D2E7A">
        <w:rPr>
          <w:rFonts w:ascii="Times New Roman" w:hAnsi="Times New Roman" w:cs="Times New Roman"/>
          <w:sz w:val="22"/>
          <w:szCs w:val="22"/>
        </w:rPr>
        <w:t xml:space="preserve">  </w:t>
      </w:r>
      <w:r w:rsidRPr="002D2E7A">
        <w:rPr>
          <w:rFonts w:ascii="Times New Roman" w:hAnsi="Times New Roman" w:cs="Times New Roman"/>
          <w:sz w:val="22"/>
          <w:szCs w:val="22"/>
        </w:rPr>
        <w:t>China’s Capital Market size</w:t>
      </w:r>
      <w:bookmarkEnd w:id="0"/>
      <w:bookmarkEnd w:id="1"/>
    </w:p>
    <w:p w14:paraId="0E831D2E" w14:textId="345FB23B" w:rsidR="00746CC7" w:rsidRPr="004760F1" w:rsidRDefault="005D347D" w:rsidP="002A40F7">
      <w:pPr>
        <w:jc w:val="both"/>
        <w:rPr>
          <w:rFonts w:ascii="Times New Roman" w:hAnsi="Times New Roman" w:cs="Times New Roman"/>
        </w:rPr>
      </w:pPr>
      <w:r>
        <w:rPr>
          <w:rFonts w:ascii="Times New Roman" w:hAnsi="Times New Roman" w:cs="Times New Roman"/>
        </w:rPr>
        <w:t xml:space="preserve">However, </w:t>
      </w:r>
      <w:r w:rsidR="002A40F7" w:rsidRPr="004760F1">
        <w:rPr>
          <w:rFonts w:ascii="Times New Roman" w:hAnsi="Times New Roman" w:cs="Times New Roman"/>
        </w:rPr>
        <w:t xml:space="preserve">Chinese assets </w:t>
      </w:r>
      <w:r>
        <w:rPr>
          <w:rFonts w:ascii="Times New Roman" w:hAnsi="Times New Roman" w:cs="Times New Roman"/>
        </w:rPr>
        <w:t xml:space="preserve">proportion </w:t>
      </w:r>
      <w:r w:rsidR="002A40F7" w:rsidRPr="004760F1">
        <w:rPr>
          <w:rFonts w:ascii="Times New Roman" w:hAnsi="Times New Roman" w:cs="Times New Roman"/>
        </w:rPr>
        <w:t>in foreign investors' portfolios</w:t>
      </w:r>
      <w:r>
        <w:rPr>
          <w:rFonts w:ascii="Times New Roman" w:hAnsi="Times New Roman" w:cs="Times New Roman"/>
        </w:rPr>
        <w:t xml:space="preserve"> </w:t>
      </w:r>
      <w:r w:rsidR="002A40F7" w:rsidRPr="004760F1">
        <w:rPr>
          <w:rFonts w:ascii="Times New Roman" w:hAnsi="Times New Roman" w:cs="Times New Roman"/>
        </w:rPr>
        <w:t>were even less than 1%</w:t>
      </w:r>
      <w:r w:rsidR="004200AA" w:rsidRPr="004760F1">
        <w:rPr>
          <w:rFonts w:ascii="Times New Roman" w:hAnsi="Times New Roman" w:cs="Times New Roman"/>
        </w:rPr>
        <w:t xml:space="preserve"> as of 2019</w:t>
      </w:r>
      <w:r>
        <w:rPr>
          <w:rFonts w:ascii="Times New Roman" w:hAnsi="Times New Roman" w:cs="Times New Roman"/>
        </w:rPr>
        <w:t>, which</w:t>
      </w:r>
      <w:r w:rsidRPr="004760F1">
        <w:rPr>
          <w:rFonts w:ascii="Times New Roman" w:hAnsi="Times New Roman" w:cs="Times New Roman"/>
        </w:rPr>
        <w:t xml:space="preserve"> does not match China's capital market size and economic scale </w:t>
      </w:r>
      <w:r>
        <w:rPr>
          <w:rFonts w:ascii="Times New Roman" w:hAnsi="Times New Roman" w:cs="Times New Roman"/>
        </w:rPr>
        <w:t>ranking in the world.</w:t>
      </w:r>
      <w:r w:rsidR="002A40F7" w:rsidRPr="004760F1">
        <w:rPr>
          <w:rFonts w:ascii="Times New Roman" w:hAnsi="Times New Roman" w:cs="Times New Roman"/>
        </w:rPr>
        <w:t xml:space="preserve"> The main reason is that there are too few channels</w:t>
      </w:r>
      <w:r w:rsidR="00C50AE5" w:rsidRPr="004760F1">
        <w:rPr>
          <w:rFonts w:ascii="Times New Roman" w:hAnsi="Times New Roman" w:cs="Times New Roman"/>
        </w:rPr>
        <w:t xml:space="preserve"> and thus too few assets </w:t>
      </w:r>
      <w:r w:rsidR="004200AA" w:rsidRPr="004760F1">
        <w:rPr>
          <w:rFonts w:ascii="Times New Roman" w:hAnsi="Times New Roman" w:cs="Times New Roman"/>
        </w:rPr>
        <w:t>investable</w:t>
      </w:r>
      <w:r w:rsidR="002A40F7" w:rsidRPr="004760F1">
        <w:rPr>
          <w:rFonts w:ascii="Times New Roman" w:hAnsi="Times New Roman" w:cs="Times New Roman"/>
        </w:rPr>
        <w:t xml:space="preserve"> for foreign investors. This situation did not change substantially until the opening of the </w:t>
      </w:r>
      <w:r w:rsidR="00232CF1">
        <w:rPr>
          <w:rFonts w:ascii="Times New Roman" w:hAnsi="Times New Roman" w:cs="Times New Roman"/>
        </w:rPr>
        <w:t>B</w:t>
      </w:r>
      <w:r w:rsidR="002A40F7" w:rsidRPr="004760F1">
        <w:rPr>
          <w:rFonts w:ascii="Times New Roman" w:hAnsi="Times New Roman" w:cs="Times New Roman"/>
        </w:rPr>
        <w:t xml:space="preserve">ond market and the opening of the Shanghai and Shenzhen-Hong Kong Stock Connect in 2016. </w:t>
      </w:r>
      <w:r w:rsidR="00C50AE5" w:rsidRPr="004760F1">
        <w:rPr>
          <w:rFonts w:ascii="Times New Roman" w:hAnsi="Times New Roman" w:cs="Times New Roman"/>
        </w:rPr>
        <w:t>After 2016, the investable assets by foreign investors</w:t>
      </w:r>
      <w:r w:rsidR="002A40F7" w:rsidRPr="004760F1">
        <w:rPr>
          <w:rFonts w:ascii="Times New Roman" w:hAnsi="Times New Roman" w:cs="Times New Roman"/>
        </w:rPr>
        <w:t xml:space="preserve"> </w:t>
      </w:r>
      <w:proofErr w:type="gramStart"/>
      <w:r w:rsidR="002A40F7" w:rsidRPr="004760F1">
        <w:rPr>
          <w:rFonts w:ascii="Times New Roman" w:hAnsi="Times New Roman" w:cs="Times New Roman"/>
        </w:rPr>
        <w:t>has</w:t>
      </w:r>
      <w:proofErr w:type="gramEnd"/>
      <w:r w:rsidR="002A40F7" w:rsidRPr="004760F1">
        <w:rPr>
          <w:rFonts w:ascii="Times New Roman" w:hAnsi="Times New Roman" w:cs="Times New Roman"/>
        </w:rPr>
        <w:t xml:space="preserve"> reached more than 90% of the entire domestic capital market</w:t>
      </w:r>
      <w:r w:rsidR="00593EAA">
        <w:rPr>
          <w:rFonts w:ascii="Times New Roman" w:hAnsi="Times New Roman" w:cs="Times New Roman"/>
        </w:rPr>
        <w:t xml:space="preserve"> (Figure 1-1)</w:t>
      </w:r>
      <w:r w:rsidR="002A40F7" w:rsidRPr="004760F1">
        <w:rPr>
          <w:rFonts w:ascii="Times New Roman" w:hAnsi="Times New Roman" w:cs="Times New Roman"/>
        </w:rPr>
        <w:t xml:space="preserve">. The "A shares included in the MSCI index" </w:t>
      </w:r>
      <w:r w:rsidR="00C30794">
        <w:rPr>
          <w:rFonts w:ascii="Times New Roman" w:hAnsi="Times New Roman" w:cs="Times New Roman"/>
        </w:rPr>
        <w:t>event</w:t>
      </w:r>
      <w:r w:rsidR="00C30794">
        <w:rPr>
          <w:rFonts w:ascii="Times New Roman" w:hAnsi="Times New Roman" w:cs="Times New Roman" w:hint="eastAsia"/>
        </w:rPr>
        <w:t xml:space="preserve"> </w:t>
      </w:r>
      <w:r w:rsidR="00C30794">
        <w:rPr>
          <w:rFonts w:ascii="Times New Roman" w:hAnsi="Times New Roman" w:cs="Times New Roman"/>
        </w:rPr>
        <w:t xml:space="preserve">starting from 2018 </w:t>
      </w:r>
      <w:r w:rsidR="00C30794">
        <w:rPr>
          <w:rFonts w:ascii="Times New Roman" w:hAnsi="Times New Roman" w:cs="Times New Roman" w:hint="eastAsia"/>
        </w:rPr>
        <w:t>i</w:t>
      </w:r>
      <w:r w:rsidR="00C30794">
        <w:rPr>
          <w:rFonts w:ascii="Times New Roman" w:hAnsi="Times New Roman" w:cs="Times New Roman"/>
        </w:rPr>
        <w:t xml:space="preserve">s a </w:t>
      </w:r>
      <w:r w:rsidR="00C30794">
        <w:rPr>
          <w:rFonts w:ascii="Times New Roman" w:hAnsi="Times New Roman" w:cs="Times New Roman"/>
        </w:rPr>
        <w:t>c</w:t>
      </w:r>
      <w:r w:rsidR="00C30794" w:rsidRPr="004760F1">
        <w:rPr>
          <w:rFonts w:ascii="Times New Roman" w:hAnsi="Times New Roman" w:cs="Times New Roman"/>
        </w:rPr>
        <w:t>lassic exogenous event</w:t>
      </w:r>
      <w:r w:rsidR="00C30794">
        <w:rPr>
          <w:rFonts w:ascii="Times New Roman" w:hAnsi="Times New Roman" w:cs="Times New Roman"/>
        </w:rPr>
        <w:t xml:space="preserve"> that has</w:t>
      </w:r>
      <w:r w:rsidR="002A40F7" w:rsidRPr="004760F1">
        <w:rPr>
          <w:rFonts w:ascii="Times New Roman" w:hAnsi="Times New Roman" w:cs="Times New Roman"/>
        </w:rPr>
        <w:t xml:space="preserve"> further improved the degree of openness of China's capital market</w:t>
      </w:r>
      <w:r w:rsidR="00A00DA1" w:rsidRPr="004760F1">
        <w:rPr>
          <w:rFonts w:ascii="Times New Roman" w:hAnsi="Times New Roman" w:cs="Times New Roman"/>
        </w:rPr>
        <w:t>. Th</w:t>
      </w:r>
      <w:r w:rsidR="00DF6119">
        <w:rPr>
          <w:rFonts w:ascii="Times New Roman" w:hAnsi="Times New Roman" w:cs="Times New Roman"/>
        </w:rPr>
        <w:t>e inclusion</w:t>
      </w:r>
      <w:r w:rsidR="00A00DA1" w:rsidRPr="004760F1">
        <w:rPr>
          <w:rFonts w:ascii="Times New Roman" w:hAnsi="Times New Roman" w:cs="Times New Roman"/>
        </w:rPr>
        <w:t xml:space="preserve"> event </w:t>
      </w:r>
      <w:r w:rsidR="00DF6119">
        <w:rPr>
          <w:rFonts w:ascii="Times New Roman" w:hAnsi="Times New Roman" w:cs="Times New Roman"/>
        </w:rPr>
        <w:t>was</w:t>
      </w:r>
      <w:r w:rsidR="00A00DA1" w:rsidRPr="004760F1">
        <w:rPr>
          <w:rFonts w:ascii="Times New Roman" w:hAnsi="Times New Roman" w:cs="Times New Roman"/>
        </w:rPr>
        <w:t xml:space="preserve"> </w:t>
      </w:r>
      <w:r w:rsidR="002A40F7" w:rsidRPr="004760F1">
        <w:rPr>
          <w:rFonts w:ascii="Times New Roman" w:hAnsi="Times New Roman" w:cs="Times New Roman"/>
        </w:rPr>
        <w:t xml:space="preserve">expected to </w:t>
      </w:r>
      <w:r w:rsidR="00A00DA1" w:rsidRPr="004760F1">
        <w:rPr>
          <w:rFonts w:ascii="Times New Roman" w:hAnsi="Times New Roman" w:cs="Times New Roman"/>
        </w:rPr>
        <w:t xml:space="preserve">bring </w:t>
      </w:r>
      <w:r w:rsidR="002A40F7" w:rsidRPr="004760F1">
        <w:rPr>
          <w:rFonts w:ascii="Times New Roman" w:hAnsi="Times New Roman" w:cs="Times New Roman"/>
        </w:rPr>
        <w:t>hundreds of billions of dollars of external capital</w:t>
      </w:r>
      <w:r w:rsidR="00A00DA1" w:rsidRPr="004760F1">
        <w:rPr>
          <w:rFonts w:ascii="Times New Roman" w:hAnsi="Times New Roman" w:cs="Times New Roman"/>
        </w:rPr>
        <w:t xml:space="preserve"> to </w:t>
      </w:r>
      <w:r w:rsidR="002A40F7" w:rsidRPr="004760F1">
        <w:rPr>
          <w:rFonts w:ascii="Times New Roman" w:hAnsi="Times New Roman" w:cs="Times New Roman"/>
        </w:rPr>
        <w:t>China</w:t>
      </w:r>
      <w:r w:rsidR="00A00DA1" w:rsidRPr="004760F1">
        <w:rPr>
          <w:rFonts w:ascii="Times New Roman" w:hAnsi="Times New Roman" w:cs="Times New Roman"/>
        </w:rPr>
        <w:t xml:space="preserve"> in next 5 years, </w:t>
      </w:r>
      <w:r w:rsidR="002A40F7" w:rsidRPr="004760F1">
        <w:rPr>
          <w:rFonts w:ascii="Times New Roman" w:hAnsi="Times New Roman" w:cs="Times New Roman"/>
        </w:rPr>
        <w:t>and the proportion of foreign investors is expected to increase significantly</w:t>
      </w:r>
      <w:r w:rsidR="00A00DA1" w:rsidRPr="004760F1">
        <w:rPr>
          <w:rFonts w:ascii="Times New Roman" w:hAnsi="Times New Roman" w:cs="Times New Roman"/>
        </w:rPr>
        <w:t>.</w:t>
      </w:r>
    </w:p>
    <w:p w14:paraId="6C83042D" w14:textId="5D8842E3" w:rsidR="00746CC7" w:rsidRPr="00DF6119" w:rsidRDefault="00746CC7" w:rsidP="002A40F7">
      <w:pPr>
        <w:jc w:val="both"/>
        <w:rPr>
          <w:rFonts w:ascii="Times New Roman" w:hAnsi="Times New Roman" w:cs="Times New Roman"/>
        </w:rPr>
      </w:pPr>
    </w:p>
    <w:p w14:paraId="055B3B9F" w14:textId="167D3C3B" w:rsidR="00746CC7" w:rsidRPr="004760F1" w:rsidRDefault="00E26776" w:rsidP="002A40F7">
      <w:pPr>
        <w:jc w:val="both"/>
        <w:rPr>
          <w:rFonts w:ascii="Times New Roman" w:hAnsi="Times New Roman" w:cs="Times New Roman"/>
          <w:b/>
          <w:bCs/>
        </w:rPr>
      </w:pPr>
      <w:r w:rsidRPr="004760F1">
        <w:rPr>
          <w:rFonts w:ascii="Times New Roman" w:hAnsi="Times New Roman" w:cs="Times New Roman"/>
          <w:b/>
          <w:bCs/>
        </w:rPr>
        <w:t>1.2 The representative events of capital market opening</w:t>
      </w:r>
      <w:r w:rsidR="00B4056A">
        <w:rPr>
          <w:rFonts w:ascii="Times New Roman" w:hAnsi="Times New Roman" w:cs="Times New Roman" w:hint="eastAsia"/>
          <w:b/>
          <w:bCs/>
        </w:rPr>
        <w:t>:</w:t>
      </w:r>
      <w:r w:rsidRPr="004760F1">
        <w:rPr>
          <w:rFonts w:ascii="Times New Roman" w:hAnsi="Times New Roman" w:cs="Times New Roman"/>
          <w:b/>
          <w:bCs/>
        </w:rPr>
        <w:t xml:space="preserve"> "A shares included in the MSCI index"</w:t>
      </w:r>
    </w:p>
    <w:p w14:paraId="7966FEE1" w14:textId="591A0567" w:rsidR="00746CC7" w:rsidRPr="004760F1" w:rsidRDefault="00BA411A" w:rsidP="002A40F7">
      <w:pPr>
        <w:jc w:val="both"/>
        <w:rPr>
          <w:rFonts w:ascii="Times New Roman" w:hAnsi="Times New Roman" w:cs="Times New Roman"/>
        </w:rPr>
      </w:pPr>
      <w:r w:rsidRPr="004760F1">
        <w:rPr>
          <w:rFonts w:ascii="Times New Roman" w:hAnsi="Times New Roman" w:cs="Times New Roman"/>
        </w:rPr>
        <w:t xml:space="preserve">The full name of MSCI is Morgan Stanley Capital International, a well-known index company in the United States. A series of MSCI indexes it has launched are widely used by institutional investors as investment benchmarks. The most important of the indices it compiles and is tracked by the most institutional investors are three indices compiled by region: MSCI All Country World (ACWI), MSCI ACWI </w:t>
      </w:r>
      <w:proofErr w:type="spellStart"/>
      <w:r w:rsidRPr="004760F1">
        <w:rPr>
          <w:rFonts w:ascii="Times New Roman" w:hAnsi="Times New Roman" w:cs="Times New Roman"/>
        </w:rPr>
        <w:t>exUS</w:t>
      </w:r>
      <w:proofErr w:type="spellEnd"/>
      <w:r w:rsidRPr="004760F1">
        <w:rPr>
          <w:rFonts w:ascii="Times New Roman" w:hAnsi="Times New Roman" w:cs="Times New Roman"/>
        </w:rPr>
        <w:t xml:space="preserve"> and MSCI Emerging Markets. In the past two decades, the scale of China's economy and capital market has grown rapidly, and there </w:t>
      </w:r>
      <w:r w:rsidR="004D198A" w:rsidRPr="004760F1">
        <w:rPr>
          <w:rFonts w:ascii="Times New Roman" w:hAnsi="Times New Roman" w:cs="Times New Roman"/>
        </w:rPr>
        <w:t>was</w:t>
      </w:r>
      <w:r w:rsidRPr="004760F1">
        <w:rPr>
          <w:rFonts w:ascii="Times New Roman" w:hAnsi="Times New Roman" w:cs="Times New Roman"/>
        </w:rPr>
        <w:t xml:space="preserve"> a strong demand for </w:t>
      </w:r>
      <w:r w:rsidR="004D198A" w:rsidRPr="004760F1">
        <w:rPr>
          <w:rFonts w:ascii="Times New Roman" w:hAnsi="Times New Roman" w:cs="Times New Roman"/>
        </w:rPr>
        <w:t>foreign investors</w:t>
      </w:r>
      <w:r w:rsidRPr="004760F1">
        <w:rPr>
          <w:rFonts w:ascii="Times New Roman" w:hAnsi="Times New Roman" w:cs="Times New Roman"/>
        </w:rPr>
        <w:t xml:space="preserve"> to </w:t>
      </w:r>
      <w:r w:rsidR="004D198A" w:rsidRPr="004760F1">
        <w:rPr>
          <w:rFonts w:ascii="Times New Roman" w:hAnsi="Times New Roman" w:cs="Times New Roman"/>
        </w:rPr>
        <w:t>get</w:t>
      </w:r>
      <w:r w:rsidRPr="004760F1">
        <w:rPr>
          <w:rFonts w:ascii="Times New Roman" w:hAnsi="Times New Roman" w:cs="Times New Roman"/>
        </w:rPr>
        <w:t xml:space="preserve"> exposure to China and </w:t>
      </w:r>
      <w:r w:rsidR="004D198A" w:rsidRPr="004760F1">
        <w:rPr>
          <w:rFonts w:ascii="Times New Roman" w:hAnsi="Times New Roman" w:cs="Times New Roman"/>
        </w:rPr>
        <w:t>share the growth</w:t>
      </w:r>
      <w:r w:rsidRPr="004760F1">
        <w:rPr>
          <w:rFonts w:ascii="Times New Roman" w:hAnsi="Times New Roman" w:cs="Times New Roman"/>
        </w:rPr>
        <w:t xml:space="preserve"> of China's economic</w:t>
      </w:r>
      <w:r w:rsidR="00473F8B" w:rsidRPr="004760F1">
        <w:rPr>
          <w:rFonts w:ascii="Times New Roman" w:hAnsi="Times New Roman" w:cs="Times New Roman"/>
        </w:rPr>
        <w:t>, however, t</w:t>
      </w:r>
      <w:r w:rsidR="00FB4ADD" w:rsidRPr="004760F1">
        <w:rPr>
          <w:rFonts w:ascii="Times New Roman" w:hAnsi="Times New Roman" w:cs="Times New Roman"/>
        </w:rPr>
        <w:t xml:space="preserve">hree previous attempts </w:t>
      </w:r>
      <w:r w:rsidR="00473F8B" w:rsidRPr="004760F1">
        <w:rPr>
          <w:rFonts w:ascii="Times New Roman" w:hAnsi="Times New Roman" w:cs="Times New Roman"/>
        </w:rPr>
        <w:t xml:space="preserve">to add China’s stock into MSCI index </w:t>
      </w:r>
      <w:r w:rsidR="00FB4ADD" w:rsidRPr="004760F1">
        <w:rPr>
          <w:rFonts w:ascii="Times New Roman" w:hAnsi="Times New Roman" w:cs="Times New Roman"/>
        </w:rPr>
        <w:t>had failed.</w:t>
      </w:r>
      <w:r w:rsidR="001223BD" w:rsidRPr="004760F1">
        <w:rPr>
          <w:rFonts w:ascii="Times New Roman" w:hAnsi="Times New Roman" w:cs="Times New Roman"/>
        </w:rPr>
        <w:t xml:space="preserve"> </w:t>
      </w:r>
      <w:r w:rsidRPr="004760F1">
        <w:rPr>
          <w:rFonts w:ascii="Times New Roman" w:hAnsi="Times New Roman" w:cs="Times New Roman"/>
        </w:rPr>
        <w:t xml:space="preserve">During this period, in order to promote the internationalization of China's capital market, the regulators have carried out supporting reforms on </w:t>
      </w:r>
      <w:proofErr w:type="gramStart"/>
      <w:r w:rsidRPr="004760F1">
        <w:rPr>
          <w:rFonts w:ascii="Times New Roman" w:hAnsi="Times New Roman" w:cs="Times New Roman"/>
        </w:rPr>
        <w:t>a number of</w:t>
      </w:r>
      <w:proofErr w:type="gramEnd"/>
      <w:r w:rsidRPr="004760F1">
        <w:rPr>
          <w:rFonts w:ascii="Times New Roman" w:hAnsi="Times New Roman" w:cs="Times New Roman"/>
        </w:rPr>
        <w:t xml:space="preserve"> basic policies, such as the QFII and RQFII systems, shortening the suspension and resumption period to reduce trading suspension resistance, relaxing foreign investment access conditions, and shortening approvals</w:t>
      </w:r>
      <w:r w:rsidR="001223BD" w:rsidRPr="004760F1">
        <w:rPr>
          <w:rFonts w:ascii="Times New Roman" w:hAnsi="Times New Roman" w:cs="Times New Roman"/>
        </w:rPr>
        <w:t xml:space="preserve"> t</w:t>
      </w:r>
      <w:r w:rsidRPr="004760F1">
        <w:rPr>
          <w:rFonts w:ascii="Times New Roman" w:hAnsi="Times New Roman" w:cs="Times New Roman"/>
        </w:rPr>
        <w:t xml:space="preserve">ime limit, expand investment scope etc. With the gradual resolution of the concerns of many foreign investors, MSCI finally announced in 2017 that it had successfully included A shares in its emerging market index in a new round of market consultation. The specific implementation plan </w:t>
      </w:r>
      <w:r w:rsidR="00435C4C" w:rsidRPr="004760F1">
        <w:rPr>
          <w:rFonts w:ascii="Times New Roman" w:hAnsi="Times New Roman" w:cs="Times New Roman"/>
        </w:rPr>
        <w:t>was</w:t>
      </w:r>
      <w:r w:rsidRPr="004760F1">
        <w:rPr>
          <w:rFonts w:ascii="Times New Roman" w:hAnsi="Times New Roman" w:cs="Times New Roman"/>
        </w:rPr>
        <w:t xml:space="preserve"> that the first inclusion ratio (inclusion factor) is 5%, and the implementation </w:t>
      </w:r>
      <w:r w:rsidR="00435C4C" w:rsidRPr="004760F1">
        <w:rPr>
          <w:rFonts w:ascii="Times New Roman" w:hAnsi="Times New Roman" w:cs="Times New Roman"/>
        </w:rPr>
        <w:t>will be</w:t>
      </w:r>
      <w:r w:rsidRPr="004760F1">
        <w:rPr>
          <w:rFonts w:ascii="Times New Roman" w:hAnsi="Times New Roman" w:cs="Times New Roman"/>
        </w:rPr>
        <w:t xml:space="preserve"> carried out in two </w:t>
      </w:r>
      <w:r w:rsidR="00771D0A" w:rsidRPr="004760F1">
        <w:rPr>
          <w:rFonts w:ascii="Times New Roman" w:hAnsi="Times New Roman" w:cs="Times New Roman"/>
        </w:rPr>
        <w:t>batches</w:t>
      </w:r>
      <w:r w:rsidR="00435C4C" w:rsidRPr="004760F1">
        <w:rPr>
          <w:rFonts w:ascii="Times New Roman" w:hAnsi="Times New Roman" w:cs="Times New Roman"/>
        </w:rPr>
        <w:t>:</w:t>
      </w:r>
      <w:r w:rsidRPr="004760F1">
        <w:rPr>
          <w:rFonts w:ascii="Times New Roman" w:hAnsi="Times New Roman" w:cs="Times New Roman"/>
        </w:rPr>
        <w:t xml:space="preserve"> the first 2.5% </w:t>
      </w:r>
      <w:r w:rsidR="00435C4C" w:rsidRPr="004760F1">
        <w:rPr>
          <w:rFonts w:ascii="Times New Roman" w:hAnsi="Times New Roman" w:cs="Times New Roman"/>
        </w:rPr>
        <w:t xml:space="preserve">will be </w:t>
      </w:r>
      <w:r w:rsidRPr="004760F1">
        <w:rPr>
          <w:rFonts w:ascii="Times New Roman" w:hAnsi="Times New Roman" w:cs="Times New Roman"/>
        </w:rPr>
        <w:t xml:space="preserve">announced on May 14, 2018 </w:t>
      </w:r>
      <w:r w:rsidR="00F945DB" w:rsidRPr="004760F1">
        <w:rPr>
          <w:rFonts w:ascii="Times New Roman" w:hAnsi="Times New Roman" w:cs="Times New Roman"/>
        </w:rPr>
        <w:t>and t</w:t>
      </w:r>
      <w:r w:rsidRPr="004760F1">
        <w:rPr>
          <w:rFonts w:ascii="Times New Roman" w:hAnsi="Times New Roman" w:cs="Times New Roman"/>
        </w:rPr>
        <w:t>he specific stock list and weights are officially implemented on</w:t>
      </w:r>
      <w:r w:rsidR="00435C4C" w:rsidRPr="004760F1">
        <w:rPr>
          <w:rFonts w:ascii="Times New Roman" w:hAnsi="Times New Roman" w:cs="Times New Roman"/>
        </w:rPr>
        <w:t xml:space="preserve"> the close of</w:t>
      </w:r>
      <w:r w:rsidRPr="004760F1">
        <w:rPr>
          <w:rFonts w:ascii="Times New Roman" w:hAnsi="Times New Roman" w:cs="Times New Roman"/>
        </w:rPr>
        <w:t xml:space="preserve"> May 31, 2018; The second 2.5% </w:t>
      </w:r>
      <w:r w:rsidR="00AA677C" w:rsidRPr="004760F1">
        <w:rPr>
          <w:rFonts w:ascii="Times New Roman" w:hAnsi="Times New Roman" w:cs="Times New Roman"/>
        </w:rPr>
        <w:t>will be</w:t>
      </w:r>
      <w:r w:rsidRPr="004760F1">
        <w:rPr>
          <w:rFonts w:ascii="Times New Roman" w:hAnsi="Times New Roman" w:cs="Times New Roman"/>
        </w:rPr>
        <w:t xml:space="preserve"> announced on August 13, 2018 and implemented on </w:t>
      </w:r>
      <w:r w:rsidR="00AA677C" w:rsidRPr="004760F1">
        <w:rPr>
          <w:rFonts w:ascii="Times New Roman" w:hAnsi="Times New Roman" w:cs="Times New Roman"/>
        </w:rPr>
        <w:t xml:space="preserve">close of </w:t>
      </w:r>
      <w:r w:rsidRPr="004760F1">
        <w:rPr>
          <w:rFonts w:ascii="Times New Roman" w:hAnsi="Times New Roman" w:cs="Times New Roman"/>
        </w:rPr>
        <w:t>September 3. If the effect is good after the implementation, it is expected that MSCI will continue to gradually increase the inclusion ratio (</w:t>
      </w:r>
      <w:proofErr w:type="gramStart"/>
      <w:r w:rsidR="00AA677C" w:rsidRPr="004760F1">
        <w:rPr>
          <w:rFonts w:ascii="Times New Roman" w:hAnsi="Times New Roman" w:cs="Times New Roman"/>
        </w:rPr>
        <w:t xml:space="preserve">actually </w:t>
      </w:r>
      <w:r w:rsidRPr="004760F1">
        <w:rPr>
          <w:rFonts w:ascii="Times New Roman" w:hAnsi="Times New Roman" w:cs="Times New Roman"/>
        </w:rPr>
        <w:t>the</w:t>
      </w:r>
      <w:proofErr w:type="gramEnd"/>
      <w:r w:rsidRPr="004760F1">
        <w:rPr>
          <w:rFonts w:ascii="Times New Roman" w:hAnsi="Times New Roman" w:cs="Times New Roman"/>
        </w:rPr>
        <w:t xml:space="preserve"> subsequent MSCI increase</w:t>
      </w:r>
      <w:r w:rsidR="00AA677C" w:rsidRPr="004760F1">
        <w:rPr>
          <w:rFonts w:ascii="Times New Roman" w:hAnsi="Times New Roman" w:cs="Times New Roman"/>
        </w:rPr>
        <w:t>d</w:t>
      </w:r>
      <w:r w:rsidRPr="004760F1">
        <w:rPr>
          <w:rFonts w:ascii="Times New Roman" w:hAnsi="Times New Roman" w:cs="Times New Roman"/>
        </w:rPr>
        <w:t xml:space="preserve"> the inclusion factor to 10%, 15% and 20% on May 28, August 27 and November 26, 2019, respectively).</w:t>
      </w:r>
    </w:p>
    <w:p w14:paraId="2AE5096D" w14:textId="6B746F2B" w:rsidR="00E26776" w:rsidRPr="004760F1" w:rsidRDefault="00B67F55" w:rsidP="002A40F7">
      <w:pPr>
        <w:jc w:val="both"/>
        <w:rPr>
          <w:rFonts w:ascii="Times New Roman" w:hAnsi="Times New Roman" w:cs="Times New Roman"/>
        </w:rPr>
      </w:pPr>
      <w:r w:rsidRPr="004760F1">
        <w:rPr>
          <w:rFonts w:ascii="Times New Roman" w:hAnsi="Times New Roman" w:cs="Times New Roman"/>
        </w:rPr>
        <w:t>The most direct impact of "A-share inclusion in the MSCI index" is that it will introduce a massive and long-term capital inflow to the A-share market. MSCI indexes are the investment benchmarks most used by global institutional institutions, and there is a huge amount of capital tracking these indexes: as of 2017, the global asset management scale based on the MSCI index was 12.4 trillion US dollars, of which ETF products were 700 billion US dollars. The scale of funds tracking the MSCI Global Index is US$3.7 trillion, of which passive funds are about US$350 billion</w:t>
      </w:r>
      <w:r w:rsidR="00204F2C" w:rsidRPr="004760F1">
        <w:rPr>
          <w:rFonts w:ascii="Times New Roman" w:hAnsi="Times New Roman" w:cs="Times New Roman"/>
        </w:rPr>
        <w:t>.</w:t>
      </w:r>
      <w:r w:rsidRPr="004760F1">
        <w:rPr>
          <w:rFonts w:ascii="Times New Roman" w:hAnsi="Times New Roman" w:cs="Times New Roman"/>
        </w:rPr>
        <w:t xml:space="preserve"> </w:t>
      </w:r>
      <w:r w:rsidR="00204F2C" w:rsidRPr="004760F1">
        <w:rPr>
          <w:rFonts w:ascii="Times New Roman" w:hAnsi="Times New Roman" w:cs="Times New Roman"/>
        </w:rPr>
        <w:t>T</w:t>
      </w:r>
      <w:r w:rsidRPr="004760F1">
        <w:rPr>
          <w:rFonts w:ascii="Times New Roman" w:hAnsi="Times New Roman" w:cs="Times New Roman"/>
        </w:rPr>
        <w:t>he funds tracking the MSCI Emerging Markets Index are</w:t>
      </w:r>
      <w:r w:rsidR="00204F2C" w:rsidRPr="004760F1">
        <w:rPr>
          <w:rFonts w:ascii="Times New Roman" w:hAnsi="Times New Roman" w:cs="Times New Roman"/>
        </w:rPr>
        <w:t xml:space="preserve"> at scale of</w:t>
      </w:r>
      <w:r w:rsidRPr="004760F1">
        <w:rPr>
          <w:rFonts w:ascii="Times New Roman" w:hAnsi="Times New Roman" w:cs="Times New Roman"/>
        </w:rPr>
        <w:t xml:space="preserve"> US$1.9 trillion, of which passive funds are about US$200 billion. Although the initial capital inflow </w:t>
      </w:r>
      <w:r w:rsidR="00204F2C" w:rsidRPr="004760F1">
        <w:rPr>
          <w:rFonts w:ascii="Times New Roman" w:hAnsi="Times New Roman" w:cs="Times New Roman"/>
        </w:rPr>
        <w:t>to</w:t>
      </w:r>
      <w:r w:rsidRPr="004760F1">
        <w:rPr>
          <w:rFonts w:ascii="Times New Roman" w:hAnsi="Times New Roman" w:cs="Times New Roman"/>
        </w:rPr>
        <w:t xml:space="preserve"> A-shares is limited, it is expected to bring </w:t>
      </w:r>
      <w:r w:rsidR="00204F2C" w:rsidRPr="004760F1">
        <w:rPr>
          <w:rFonts w:ascii="Times New Roman" w:hAnsi="Times New Roman" w:cs="Times New Roman"/>
        </w:rPr>
        <w:t xml:space="preserve">a </w:t>
      </w:r>
      <w:proofErr w:type="gramStart"/>
      <w:r w:rsidR="00204F2C" w:rsidRPr="004760F1">
        <w:rPr>
          <w:rFonts w:ascii="Times New Roman" w:hAnsi="Times New Roman" w:cs="Times New Roman"/>
        </w:rPr>
        <w:t>total capital</w:t>
      </w:r>
      <w:r w:rsidRPr="004760F1">
        <w:rPr>
          <w:rFonts w:ascii="Times New Roman" w:hAnsi="Times New Roman" w:cs="Times New Roman"/>
        </w:rPr>
        <w:t xml:space="preserve"> inflows</w:t>
      </w:r>
      <w:proofErr w:type="gramEnd"/>
      <w:r w:rsidRPr="004760F1">
        <w:rPr>
          <w:rFonts w:ascii="Times New Roman" w:hAnsi="Times New Roman" w:cs="Times New Roman"/>
        </w:rPr>
        <w:t xml:space="preserve"> of US$210 billion in the next five years, which is conducive to the long-term healthy development of the A-share market.</w:t>
      </w:r>
    </w:p>
    <w:p w14:paraId="39641BA8" w14:textId="40A97C05" w:rsidR="002D7074" w:rsidRPr="004760F1" w:rsidRDefault="002D7074" w:rsidP="002A40F7">
      <w:pPr>
        <w:jc w:val="both"/>
        <w:rPr>
          <w:rFonts w:ascii="Times New Roman" w:hAnsi="Times New Roman" w:cs="Times New Roman"/>
        </w:rPr>
      </w:pPr>
    </w:p>
    <w:p w14:paraId="36CFBBB0" w14:textId="339044BB" w:rsidR="002D7074" w:rsidRPr="00BC3017" w:rsidRDefault="002D7074" w:rsidP="002A40F7">
      <w:pPr>
        <w:jc w:val="both"/>
        <w:rPr>
          <w:rFonts w:ascii="Times New Roman" w:hAnsi="Times New Roman" w:cs="Times New Roman"/>
          <w:b/>
          <w:bCs/>
          <w:sz w:val="28"/>
          <w:szCs w:val="28"/>
        </w:rPr>
      </w:pPr>
      <w:r w:rsidRPr="00BC3017">
        <w:rPr>
          <w:rFonts w:ascii="Times New Roman" w:hAnsi="Times New Roman" w:cs="Times New Roman"/>
          <w:b/>
          <w:bCs/>
          <w:sz w:val="28"/>
          <w:szCs w:val="28"/>
        </w:rPr>
        <w:t>2. Literature review</w:t>
      </w:r>
    </w:p>
    <w:p w14:paraId="45F8A70C" w14:textId="77777777" w:rsidR="00520BE3" w:rsidRPr="004760F1" w:rsidRDefault="00994752" w:rsidP="002A40F7">
      <w:pPr>
        <w:jc w:val="both"/>
        <w:rPr>
          <w:rFonts w:ascii="Times New Roman" w:hAnsi="Times New Roman" w:cs="Times New Roman"/>
        </w:rPr>
      </w:pPr>
      <w:r w:rsidRPr="004760F1">
        <w:rPr>
          <w:rFonts w:ascii="Times New Roman" w:hAnsi="Times New Roman" w:cs="Times New Roman"/>
        </w:rPr>
        <w:t xml:space="preserve">This paper focused on the </w:t>
      </w:r>
      <w:proofErr w:type="gramStart"/>
      <w:r w:rsidRPr="004760F1">
        <w:rPr>
          <w:rFonts w:ascii="Times New Roman" w:hAnsi="Times New Roman" w:cs="Times New Roman"/>
        </w:rPr>
        <w:t>opening up</w:t>
      </w:r>
      <w:proofErr w:type="gramEnd"/>
      <w:r w:rsidRPr="004760F1">
        <w:rPr>
          <w:rFonts w:ascii="Times New Roman" w:hAnsi="Times New Roman" w:cs="Times New Roman"/>
        </w:rPr>
        <w:t xml:space="preserve"> of the domestic capital market (that is, the introduction of foreign investment into the domestic market). The relevant research in this area include in below three categories: one is to study its relationship with a country's economic growth with the opening up; second is to study impact of </w:t>
      </w:r>
      <w:proofErr w:type="gramStart"/>
      <w:r w:rsidRPr="004760F1">
        <w:rPr>
          <w:rFonts w:ascii="Times New Roman" w:hAnsi="Times New Roman" w:cs="Times New Roman"/>
        </w:rPr>
        <w:t>opening up</w:t>
      </w:r>
      <w:proofErr w:type="gramEnd"/>
      <w:r w:rsidRPr="004760F1">
        <w:rPr>
          <w:rFonts w:ascii="Times New Roman" w:hAnsi="Times New Roman" w:cs="Times New Roman"/>
        </w:rPr>
        <w:t xml:space="preserve"> on domestic stocks. Such as the impact on overall volatility and </w:t>
      </w:r>
      <w:r w:rsidR="005D063F" w:rsidRPr="004760F1">
        <w:rPr>
          <w:rFonts w:ascii="Times New Roman" w:hAnsi="Times New Roman" w:cs="Times New Roman"/>
        </w:rPr>
        <w:t>idiosyncratic</w:t>
      </w:r>
      <w:r w:rsidRPr="004760F1">
        <w:rPr>
          <w:rFonts w:ascii="Times New Roman" w:hAnsi="Times New Roman" w:cs="Times New Roman"/>
        </w:rPr>
        <w:t xml:space="preserve"> volatility; the third is to study the impact of </w:t>
      </w:r>
      <w:proofErr w:type="gramStart"/>
      <w:r w:rsidRPr="004760F1">
        <w:rPr>
          <w:rFonts w:ascii="Times New Roman" w:hAnsi="Times New Roman" w:cs="Times New Roman"/>
        </w:rPr>
        <w:t>opening up</w:t>
      </w:r>
      <w:proofErr w:type="gramEnd"/>
      <w:r w:rsidRPr="004760F1">
        <w:rPr>
          <w:rFonts w:ascii="Times New Roman" w:hAnsi="Times New Roman" w:cs="Times New Roman"/>
        </w:rPr>
        <w:t xml:space="preserve"> on domestic bond market, in addition to the impact on volatility, there are studies on the impact on liquidity and FX rates. In addition, this paper also sorts out the relevant literature on whether the </w:t>
      </w:r>
      <w:r w:rsidR="005D063F" w:rsidRPr="004760F1">
        <w:rPr>
          <w:rFonts w:ascii="Times New Roman" w:hAnsi="Times New Roman" w:cs="Times New Roman"/>
        </w:rPr>
        <w:t>idiosyncratic risk</w:t>
      </w:r>
      <w:r w:rsidRPr="004760F1">
        <w:rPr>
          <w:rFonts w:ascii="Times New Roman" w:hAnsi="Times New Roman" w:cs="Times New Roman"/>
        </w:rPr>
        <w:t xml:space="preserve"> is embodied as "noise" or "</w:t>
      </w:r>
      <w:r w:rsidR="00520BE3" w:rsidRPr="004760F1">
        <w:rPr>
          <w:rFonts w:ascii="Times New Roman" w:hAnsi="Times New Roman" w:cs="Times New Roman"/>
        </w:rPr>
        <w:t xml:space="preserve"> idiosyncratic </w:t>
      </w:r>
      <w:r w:rsidRPr="004760F1">
        <w:rPr>
          <w:rFonts w:ascii="Times New Roman" w:hAnsi="Times New Roman" w:cs="Times New Roman"/>
        </w:rPr>
        <w:t xml:space="preserve">information". </w:t>
      </w:r>
    </w:p>
    <w:p w14:paraId="1238162A" w14:textId="4AE0A11C" w:rsidR="002D7074" w:rsidRPr="004760F1" w:rsidRDefault="00994752" w:rsidP="002A40F7">
      <w:pPr>
        <w:jc w:val="both"/>
        <w:rPr>
          <w:rFonts w:ascii="Times New Roman" w:hAnsi="Times New Roman" w:cs="Times New Roman"/>
        </w:rPr>
      </w:pPr>
      <w:r w:rsidRPr="004760F1">
        <w:rPr>
          <w:rFonts w:ascii="Times New Roman" w:hAnsi="Times New Roman" w:cs="Times New Roman"/>
        </w:rPr>
        <w:t xml:space="preserve">It is generally believed that the opening of the capital market to the outside world is conducive to promoting capital inflow and has a positive effect on economic growth, but it is also a double-edged sword and may endanger financial stability. Regarding the impact of the opening of the capital market on the stock market, there are mainly two types of views: </w:t>
      </w:r>
      <w:r w:rsidR="00203FBC" w:rsidRPr="004760F1">
        <w:rPr>
          <w:rFonts w:ascii="Times New Roman" w:hAnsi="Times New Roman" w:cs="Times New Roman"/>
        </w:rPr>
        <w:t xml:space="preserve">On one hand, </w:t>
      </w:r>
      <w:proofErr w:type="gramStart"/>
      <w:r w:rsidR="00203FBC" w:rsidRPr="004760F1">
        <w:rPr>
          <w:rFonts w:ascii="Times New Roman" w:hAnsi="Times New Roman" w:cs="Times New Roman"/>
        </w:rPr>
        <w:t>Brennan</w:t>
      </w:r>
      <w:proofErr w:type="gramEnd"/>
      <w:r w:rsidR="00203FBC" w:rsidRPr="004760F1">
        <w:rPr>
          <w:rFonts w:ascii="Times New Roman" w:hAnsi="Times New Roman" w:cs="Times New Roman"/>
        </w:rPr>
        <w:t xml:space="preserve"> and Cao (1997) showed </w:t>
      </w:r>
      <w:r w:rsidRPr="004760F1">
        <w:rPr>
          <w:rFonts w:ascii="Times New Roman" w:hAnsi="Times New Roman" w:cs="Times New Roman"/>
        </w:rPr>
        <w:t xml:space="preserve">the opening of the capital market will increase the volatility of the stock market. </w:t>
      </w:r>
      <w:r w:rsidR="00203FBC" w:rsidRPr="004760F1">
        <w:rPr>
          <w:rFonts w:ascii="Times New Roman" w:hAnsi="Times New Roman" w:cs="Times New Roman"/>
        </w:rPr>
        <w:t xml:space="preserve">They </w:t>
      </w:r>
      <w:r w:rsidRPr="004760F1">
        <w:rPr>
          <w:rFonts w:ascii="Times New Roman" w:hAnsi="Times New Roman" w:cs="Times New Roman"/>
        </w:rPr>
        <w:t xml:space="preserve">found that </w:t>
      </w:r>
      <w:r w:rsidR="00520BE3" w:rsidRPr="004760F1">
        <w:rPr>
          <w:rFonts w:ascii="Times New Roman" w:hAnsi="Times New Roman" w:cs="Times New Roman"/>
        </w:rPr>
        <w:t>when A</w:t>
      </w:r>
      <w:r w:rsidRPr="004760F1">
        <w:rPr>
          <w:rFonts w:ascii="Times New Roman" w:hAnsi="Times New Roman" w:cs="Times New Roman"/>
        </w:rPr>
        <w:t>merican investors invest in other countries,</w:t>
      </w:r>
      <w:r w:rsidR="00520BE3" w:rsidRPr="004760F1">
        <w:rPr>
          <w:rFonts w:ascii="Times New Roman" w:hAnsi="Times New Roman" w:cs="Times New Roman"/>
        </w:rPr>
        <w:t xml:space="preserve"> no matter in </w:t>
      </w:r>
      <w:r w:rsidRPr="004760F1">
        <w:rPr>
          <w:rFonts w:ascii="Times New Roman" w:hAnsi="Times New Roman" w:cs="Times New Roman"/>
        </w:rPr>
        <w:t>developed or emerging markets</w:t>
      </w:r>
      <w:r w:rsidR="00520BE3" w:rsidRPr="004760F1">
        <w:rPr>
          <w:rFonts w:ascii="Times New Roman" w:hAnsi="Times New Roman" w:cs="Times New Roman"/>
        </w:rPr>
        <w:t>, it</w:t>
      </w:r>
      <w:r w:rsidRPr="004760F1">
        <w:rPr>
          <w:rFonts w:ascii="Times New Roman" w:hAnsi="Times New Roman" w:cs="Times New Roman"/>
        </w:rPr>
        <w:t xml:space="preserve"> is easier to buy high and sell low, which will aggravate the volatility of the local stock market and amplify the transmission of international risks. </w:t>
      </w:r>
      <w:r w:rsidR="00203FBC" w:rsidRPr="004760F1">
        <w:rPr>
          <w:rFonts w:ascii="Times New Roman" w:hAnsi="Times New Roman" w:cs="Times New Roman"/>
        </w:rPr>
        <w:t>On the other hand</w:t>
      </w:r>
      <w:r w:rsidRPr="004760F1">
        <w:rPr>
          <w:rFonts w:ascii="Times New Roman" w:hAnsi="Times New Roman" w:cs="Times New Roman"/>
        </w:rPr>
        <w:t>, it is believed that the opening of the capital market is conducive to the stability of the stock market. Li et. al (2011) found that the entry of foreign capital can improve the quality of information disclosure, thereby reducing market volatility and transaction costs. Regarding the impact of bond market opening, Burger and Warnock (2009) argue that the opening of emerging market bond markets has improved the stability of global financial markets.</w:t>
      </w:r>
    </w:p>
    <w:p w14:paraId="53F3A626" w14:textId="77777777" w:rsidR="00994752" w:rsidRPr="004760F1" w:rsidRDefault="00994752" w:rsidP="002A40F7">
      <w:pPr>
        <w:jc w:val="both"/>
        <w:rPr>
          <w:rFonts w:ascii="Times New Roman" w:hAnsi="Times New Roman" w:cs="Times New Roman"/>
        </w:rPr>
      </w:pPr>
    </w:p>
    <w:p w14:paraId="6235D389" w14:textId="6FBED446" w:rsidR="002D7074" w:rsidRPr="004760F1" w:rsidRDefault="00A364B2" w:rsidP="002A40F7">
      <w:pPr>
        <w:jc w:val="both"/>
        <w:rPr>
          <w:rFonts w:ascii="Times New Roman" w:hAnsi="Times New Roman" w:cs="Times New Roman"/>
          <w:b/>
        </w:rPr>
      </w:pPr>
      <w:r w:rsidRPr="004760F1">
        <w:rPr>
          <w:rFonts w:ascii="Times New Roman" w:hAnsi="Times New Roman" w:cs="Times New Roman"/>
          <w:b/>
        </w:rPr>
        <w:t>2.1 The impact of capital market opening on a country's economic growth</w:t>
      </w:r>
    </w:p>
    <w:p w14:paraId="3617DC45" w14:textId="1077183A" w:rsidR="002D7074" w:rsidRPr="004760F1" w:rsidRDefault="00A364B2" w:rsidP="002A40F7">
      <w:pPr>
        <w:jc w:val="both"/>
        <w:rPr>
          <w:rFonts w:ascii="Times New Roman" w:hAnsi="Times New Roman" w:cs="Times New Roman"/>
        </w:rPr>
      </w:pPr>
      <w:r w:rsidRPr="004760F1">
        <w:rPr>
          <w:rFonts w:ascii="Times New Roman" w:hAnsi="Times New Roman" w:cs="Times New Roman"/>
        </w:rPr>
        <w:t xml:space="preserve">There is </w:t>
      </w:r>
      <w:r w:rsidR="0030363A" w:rsidRPr="004760F1">
        <w:rPr>
          <w:rFonts w:ascii="Times New Roman" w:hAnsi="Times New Roman" w:cs="Times New Roman"/>
        </w:rPr>
        <w:t xml:space="preserve">more </w:t>
      </w:r>
      <w:r w:rsidRPr="004760F1">
        <w:rPr>
          <w:rFonts w:ascii="Times New Roman" w:hAnsi="Times New Roman" w:cs="Times New Roman"/>
        </w:rPr>
        <w:t xml:space="preserve">consensus in academic research in this regard, many literatures believe that there is a positive relationship between the </w:t>
      </w:r>
      <w:r w:rsidR="0027046C" w:rsidRPr="004760F1">
        <w:rPr>
          <w:rFonts w:ascii="Times New Roman" w:hAnsi="Times New Roman" w:cs="Times New Roman"/>
        </w:rPr>
        <w:t>capital market opening and economic growth</w:t>
      </w:r>
      <w:r w:rsidRPr="004760F1">
        <w:rPr>
          <w:rFonts w:ascii="Times New Roman" w:hAnsi="Times New Roman" w:cs="Times New Roman"/>
        </w:rPr>
        <w:t xml:space="preserve">. Bekaert et. al (2005) confirmed that the opening of the stock market has a significant positive correlation with GDP growth, and estimated that the economy increased by 1% </w:t>
      </w:r>
      <w:r w:rsidR="0027046C" w:rsidRPr="004760F1">
        <w:rPr>
          <w:rFonts w:ascii="Times New Roman" w:hAnsi="Times New Roman" w:cs="Times New Roman"/>
        </w:rPr>
        <w:t xml:space="preserve">more </w:t>
      </w:r>
      <w:r w:rsidRPr="004760F1">
        <w:rPr>
          <w:rFonts w:ascii="Times New Roman" w:hAnsi="Times New Roman" w:cs="Times New Roman"/>
        </w:rPr>
        <w:t xml:space="preserve">every five years on average. Gupta et. al (2009) studied the relationship between the opening of the stock market and the growth of some industries in emerging market countries, and found that industries with better growth opportunities and stronger external dependencies grew faster after the opening of the stock market. Using data from 45 developed and emerging market countries, </w:t>
      </w:r>
      <w:proofErr w:type="spellStart"/>
      <w:r w:rsidRPr="004760F1">
        <w:rPr>
          <w:rFonts w:ascii="Times New Roman" w:hAnsi="Times New Roman" w:cs="Times New Roman"/>
        </w:rPr>
        <w:t>Bussiere</w:t>
      </w:r>
      <w:proofErr w:type="spellEnd"/>
      <w:r w:rsidRPr="004760F1">
        <w:rPr>
          <w:rFonts w:ascii="Times New Roman" w:hAnsi="Times New Roman" w:cs="Times New Roman"/>
        </w:rPr>
        <w:t xml:space="preserve"> et. al (2008) found that financial liberalization can lead to accelerated economic growth in the short term, but a return to the long-term average in the medium term. </w:t>
      </w:r>
      <w:r w:rsidR="0027046C" w:rsidRPr="004760F1">
        <w:rPr>
          <w:rFonts w:ascii="Times New Roman" w:hAnsi="Times New Roman" w:cs="Times New Roman"/>
        </w:rPr>
        <w:t xml:space="preserve">They </w:t>
      </w:r>
      <w:r w:rsidRPr="004760F1">
        <w:rPr>
          <w:rFonts w:ascii="Times New Roman" w:hAnsi="Times New Roman" w:cs="Times New Roman"/>
        </w:rPr>
        <w:t xml:space="preserve">also found that the effect of </w:t>
      </w:r>
      <w:r w:rsidR="0027046C" w:rsidRPr="004760F1">
        <w:rPr>
          <w:rFonts w:ascii="Times New Roman" w:hAnsi="Times New Roman" w:cs="Times New Roman"/>
        </w:rPr>
        <w:t xml:space="preserve">finance </w:t>
      </w:r>
      <w:r w:rsidRPr="004760F1">
        <w:rPr>
          <w:rFonts w:ascii="Times New Roman" w:hAnsi="Times New Roman" w:cs="Times New Roman"/>
        </w:rPr>
        <w:t>liberalization in developed countries is better and longer than that in emerging market countries, and quantified that the economy can grow by 1.5%</w:t>
      </w:r>
      <w:r w:rsidR="0027046C" w:rsidRPr="004760F1">
        <w:rPr>
          <w:rFonts w:ascii="Times New Roman" w:hAnsi="Times New Roman" w:cs="Times New Roman"/>
        </w:rPr>
        <w:t xml:space="preserve"> more</w:t>
      </w:r>
      <w:r w:rsidRPr="004760F1">
        <w:rPr>
          <w:rFonts w:ascii="Times New Roman" w:hAnsi="Times New Roman" w:cs="Times New Roman"/>
        </w:rPr>
        <w:t xml:space="preserve"> in the first five years </w:t>
      </w:r>
      <w:r w:rsidR="0027046C" w:rsidRPr="004760F1">
        <w:rPr>
          <w:rFonts w:ascii="Times New Roman" w:hAnsi="Times New Roman" w:cs="Times New Roman"/>
        </w:rPr>
        <w:t xml:space="preserve">of </w:t>
      </w:r>
      <w:r w:rsidRPr="004760F1">
        <w:rPr>
          <w:rFonts w:ascii="Times New Roman" w:hAnsi="Times New Roman" w:cs="Times New Roman"/>
        </w:rPr>
        <w:t>financial liberalization.</w:t>
      </w:r>
    </w:p>
    <w:p w14:paraId="47D8147A" w14:textId="5A756069" w:rsidR="006F0595" w:rsidRPr="004760F1" w:rsidRDefault="0030363A" w:rsidP="002A40F7">
      <w:pPr>
        <w:jc w:val="both"/>
        <w:rPr>
          <w:rFonts w:ascii="Times New Roman" w:hAnsi="Times New Roman" w:cs="Times New Roman"/>
        </w:rPr>
      </w:pPr>
      <w:r w:rsidRPr="004760F1">
        <w:rPr>
          <w:rFonts w:ascii="Times New Roman" w:hAnsi="Times New Roman" w:cs="Times New Roman"/>
        </w:rPr>
        <w:t xml:space="preserve">There are also dissenting voices. </w:t>
      </w:r>
      <w:proofErr w:type="spellStart"/>
      <w:r w:rsidRPr="004760F1">
        <w:rPr>
          <w:rFonts w:ascii="Times New Roman" w:hAnsi="Times New Roman" w:cs="Times New Roman"/>
        </w:rPr>
        <w:t>Angkinand</w:t>
      </w:r>
      <w:proofErr w:type="spellEnd"/>
      <w:r w:rsidRPr="004760F1">
        <w:rPr>
          <w:rFonts w:ascii="Times New Roman" w:hAnsi="Times New Roman" w:cs="Times New Roman"/>
        </w:rPr>
        <w:t xml:space="preserve"> et. al (2010) constructed a theoretical model to analyze why financial liberalization is more likely to bring about financial crises. It </w:t>
      </w:r>
      <w:r w:rsidR="00E65D82" w:rsidRPr="004760F1">
        <w:rPr>
          <w:rFonts w:ascii="Times New Roman" w:hAnsi="Times New Roman" w:cs="Times New Roman"/>
        </w:rPr>
        <w:t xml:space="preserve">showed </w:t>
      </w:r>
      <w:r w:rsidR="00B91456" w:rsidRPr="004760F1">
        <w:rPr>
          <w:rFonts w:ascii="Times New Roman" w:hAnsi="Times New Roman" w:cs="Times New Roman"/>
        </w:rPr>
        <w:t xml:space="preserve">after financial liberalization, </w:t>
      </w:r>
      <w:r w:rsidRPr="004760F1">
        <w:rPr>
          <w:rFonts w:ascii="Times New Roman" w:hAnsi="Times New Roman" w:cs="Times New Roman"/>
        </w:rPr>
        <w:t xml:space="preserve">there will be rapid economic growth with low risk in the short term, but the risk of a banking crisis will increase in the long run, especially when the intensity of capital controls is relatively </w:t>
      </w:r>
      <w:r w:rsidR="00B91456" w:rsidRPr="004760F1">
        <w:rPr>
          <w:rFonts w:ascii="Times New Roman" w:hAnsi="Times New Roman" w:cs="Times New Roman"/>
        </w:rPr>
        <w:t>weak</w:t>
      </w:r>
      <w:r w:rsidRPr="004760F1">
        <w:rPr>
          <w:rFonts w:ascii="Times New Roman" w:hAnsi="Times New Roman" w:cs="Times New Roman"/>
        </w:rPr>
        <w:t xml:space="preserve">. Kaminsky and Reinhart et. al (1999) argued that financial liberalization led to financial crises. Stiglitz (2010) believes that financial integration does not necessarily bring better stability to the financial system. The best example is that </w:t>
      </w:r>
      <w:r w:rsidR="00BF04C7" w:rsidRPr="004760F1">
        <w:rPr>
          <w:rFonts w:ascii="Times New Roman" w:hAnsi="Times New Roman" w:cs="Times New Roman"/>
        </w:rPr>
        <w:t xml:space="preserve">during financial crisis, risk in one region will </w:t>
      </w:r>
      <w:r w:rsidRPr="004760F1">
        <w:rPr>
          <w:rFonts w:ascii="Times New Roman" w:hAnsi="Times New Roman" w:cs="Times New Roman"/>
        </w:rPr>
        <w:t xml:space="preserve">quickly transforms into a global crisis, so it is possible that complete financial closure is better than </w:t>
      </w:r>
      <w:r w:rsidR="00BF04C7" w:rsidRPr="004760F1">
        <w:rPr>
          <w:rFonts w:ascii="Times New Roman" w:hAnsi="Times New Roman" w:cs="Times New Roman"/>
        </w:rPr>
        <w:t>f</w:t>
      </w:r>
      <w:r w:rsidRPr="004760F1">
        <w:rPr>
          <w:rFonts w:ascii="Times New Roman" w:hAnsi="Times New Roman" w:cs="Times New Roman"/>
        </w:rPr>
        <w:t>inancial integration</w:t>
      </w:r>
      <w:r w:rsidR="00BF04C7" w:rsidRPr="004760F1">
        <w:rPr>
          <w:rFonts w:ascii="Times New Roman" w:hAnsi="Times New Roman" w:cs="Times New Roman"/>
        </w:rPr>
        <w:t>.</w:t>
      </w:r>
    </w:p>
    <w:p w14:paraId="64008A4A" w14:textId="03C6132D" w:rsidR="009939C8" w:rsidRPr="004760F1" w:rsidRDefault="009939C8" w:rsidP="002A40F7">
      <w:pPr>
        <w:jc w:val="both"/>
        <w:rPr>
          <w:rFonts w:ascii="Times New Roman" w:hAnsi="Times New Roman" w:cs="Times New Roman"/>
        </w:rPr>
      </w:pPr>
    </w:p>
    <w:p w14:paraId="60DA541A" w14:textId="2376E975" w:rsidR="009939C8" w:rsidRPr="004760F1" w:rsidRDefault="009939C8" w:rsidP="002A40F7">
      <w:pPr>
        <w:jc w:val="both"/>
        <w:rPr>
          <w:rFonts w:ascii="Times New Roman" w:hAnsi="Times New Roman" w:cs="Times New Roman"/>
          <w:b/>
          <w:bCs/>
        </w:rPr>
      </w:pPr>
      <w:r w:rsidRPr="004760F1">
        <w:rPr>
          <w:rFonts w:ascii="Times New Roman" w:hAnsi="Times New Roman" w:cs="Times New Roman"/>
          <w:b/>
          <w:bCs/>
        </w:rPr>
        <w:t>2.2 The impact of Stock market opening up</w:t>
      </w:r>
    </w:p>
    <w:p w14:paraId="55F1026E" w14:textId="4978B1D6" w:rsidR="009939C8" w:rsidRPr="004760F1" w:rsidRDefault="009939C8" w:rsidP="002A40F7">
      <w:pPr>
        <w:jc w:val="both"/>
        <w:rPr>
          <w:rFonts w:ascii="Times New Roman" w:hAnsi="Times New Roman" w:cs="Times New Roman"/>
        </w:rPr>
      </w:pPr>
      <w:r w:rsidRPr="004760F1">
        <w:rPr>
          <w:rFonts w:ascii="Times New Roman" w:hAnsi="Times New Roman" w:cs="Times New Roman"/>
        </w:rPr>
        <w:t xml:space="preserve">Many literatures </w:t>
      </w:r>
      <w:r w:rsidR="008F462D" w:rsidRPr="004760F1">
        <w:rPr>
          <w:rFonts w:ascii="Times New Roman" w:hAnsi="Times New Roman" w:cs="Times New Roman"/>
        </w:rPr>
        <w:t xml:space="preserve">show </w:t>
      </w:r>
      <w:r w:rsidRPr="004760F1">
        <w:rPr>
          <w:rFonts w:ascii="Times New Roman" w:hAnsi="Times New Roman" w:cs="Times New Roman"/>
        </w:rPr>
        <w:t>that the opening of the capital market improves the level of corporate governance and pricing efficiency, and reduces the risk of the stock market. Ferreira et. al (2008) used data from 27 countries to find that companies with a high proportion of foreign capital and independent institutions have higher valuations, better operating performance, and lower capital expenditures, indicating that the opening of the capital market will help strengthen corporate governanc</w:t>
      </w:r>
      <w:r w:rsidR="008F462D" w:rsidRPr="004760F1">
        <w:rPr>
          <w:rFonts w:ascii="Times New Roman" w:hAnsi="Times New Roman" w:cs="Times New Roman"/>
        </w:rPr>
        <w:t>e.</w:t>
      </w:r>
      <w:r w:rsidRPr="004760F1">
        <w:rPr>
          <w:rFonts w:ascii="Times New Roman" w:hAnsi="Times New Roman" w:cs="Times New Roman"/>
        </w:rPr>
        <w:t xml:space="preserve"> Li et. al (2014) analyzed the data of companies listed on both A-shares and H-shares in China, and found that H-shares that can be directly invested by foreign capital contain significantly more </w:t>
      </w:r>
      <w:r w:rsidR="008F462D" w:rsidRPr="004760F1">
        <w:rPr>
          <w:rFonts w:ascii="Times New Roman" w:hAnsi="Times New Roman" w:cs="Times New Roman"/>
        </w:rPr>
        <w:t>firm</w:t>
      </w:r>
      <w:r w:rsidRPr="004760F1">
        <w:rPr>
          <w:rFonts w:ascii="Times New Roman" w:hAnsi="Times New Roman" w:cs="Times New Roman"/>
        </w:rPr>
        <w:t xml:space="preserve"> information than A-shares, pointing out that the opening of the capital market can improve the level of corporate governance. Fang et. al (2015) found that the higher the proportion of US institutional investors in the stock market of emerging market countries, the higher the comparability of accounting information and the higher the pricing efficiency. Li et. al (2011), Bae et. al (2012) have empirically proved that capital market opening can reduce stock market volatility, maintain capital market </w:t>
      </w:r>
      <w:proofErr w:type="gramStart"/>
      <w:r w:rsidRPr="004760F1">
        <w:rPr>
          <w:rFonts w:ascii="Times New Roman" w:hAnsi="Times New Roman" w:cs="Times New Roman"/>
        </w:rPr>
        <w:t>stability</w:t>
      </w:r>
      <w:proofErr w:type="gramEnd"/>
      <w:r w:rsidRPr="004760F1">
        <w:rPr>
          <w:rFonts w:ascii="Times New Roman" w:hAnsi="Times New Roman" w:cs="Times New Roman"/>
        </w:rPr>
        <w:t xml:space="preserve"> and improve stock pricing efficiency. Kim and </w:t>
      </w:r>
      <w:proofErr w:type="spellStart"/>
      <w:r w:rsidRPr="004760F1">
        <w:rPr>
          <w:rFonts w:ascii="Times New Roman" w:hAnsi="Times New Roman" w:cs="Times New Roman"/>
        </w:rPr>
        <w:t>Singal</w:t>
      </w:r>
      <w:proofErr w:type="spellEnd"/>
      <w:r w:rsidRPr="004760F1">
        <w:rPr>
          <w:rFonts w:ascii="Times New Roman" w:hAnsi="Times New Roman" w:cs="Times New Roman"/>
        </w:rPr>
        <w:t xml:space="preserve"> (1997), Bekaert et. al (2005) all found that capital market opening reduces stock price volatility, and </w:t>
      </w:r>
      <w:proofErr w:type="spellStart"/>
      <w:r w:rsidRPr="004760F1">
        <w:rPr>
          <w:rFonts w:ascii="Times New Roman" w:hAnsi="Times New Roman" w:cs="Times New Roman"/>
        </w:rPr>
        <w:t>Schuppli</w:t>
      </w:r>
      <w:proofErr w:type="spellEnd"/>
      <w:r w:rsidRPr="004760F1">
        <w:rPr>
          <w:rFonts w:ascii="Times New Roman" w:hAnsi="Times New Roman" w:cs="Times New Roman"/>
        </w:rPr>
        <w:t xml:space="preserve"> et. al (2009) found that foreign investors have a stabilizing effect on China's stock market. Gupta et. al (2009) found that after foreign capital entered the local stock market, it shared the risk of domestic capital by providing additional financing channels, thereby reducing market risk. </w:t>
      </w:r>
      <w:proofErr w:type="spellStart"/>
      <w:r w:rsidRPr="004760F1">
        <w:rPr>
          <w:rFonts w:ascii="Times New Roman" w:hAnsi="Times New Roman" w:cs="Times New Roman"/>
        </w:rPr>
        <w:t>Umutlu</w:t>
      </w:r>
      <w:proofErr w:type="spellEnd"/>
      <w:r w:rsidRPr="004760F1">
        <w:rPr>
          <w:rFonts w:ascii="Times New Roman" w:hAnsi="Times New Roman" w:cs="Times New Roman"/>
        </w:rPr>
        <w:t xml:space="preserve"> et. al (2010) found that financial liberalization reduces idiosyncratic volatility and thus aggregate volatility.</w:t>
      </w:r>
    </w:p>
    <w:p w14:paraId="369EB7B7" w14:textId="380A4C0F" w:rsidR="009939C8" w:rsidRPr="004760F1" w:rsidRDefault="00AC745C" w:rsidP="002A40F7">
      <w:pPr>
        <w:jc w:val="both"/>
        <w:rPr>
          <w:rFonts w:ascii="Times New Roman" w:hAnsi="Times New Roman" w:cs="Times New Roman"/>
        </w:rPr>
      </w:pPr>
      <w:r w:rsidRPr="004760F1">
        <w:rPr>
          <w:rFonts w:ascii="Times New Roman" w:hAnsi="Times New Roman" w:cs="Times New Roman"/>
        </w:rPr>
        <w:t xml:space="preserve">There are also studies that believe that the opening of the capital market has exacerbated market volatility. For example, Stiglitz (2000) believes that after </w:t>
      </w:r>
      <w:proofErr w:type="gramStart"/>
      <w:r w:rsidRPr="004760F1">
        <w:rPr>
          <w:rFonts w:ascii="Times New Roman" w:hAnsi="Times New Roman" w:cs="Times New Roman"/>
        </w:rPr>
        <w:t>opening up</w:t>
      </w:r>
      <w:proofErr w:type="gramEnd"/>
      <w:r w:rsidRPr="004760F1">
        <w:rPr>
          <w:rFonts w:ascii="Times New Roman" w:hAnsi="Times New Roman" w:cs="Times New Roman"/>
        </w:rPr>
        <w:t>, the linkage with the international market is intensified, and the risk contagion effect intensifies the risk of capital market volatility. Choe et. al (2005) used high-frequency data from the Korean market and found that foreign investors have higher transaction costs and higher short-term behavior than domestic investors, resulting in greater market volatility. Chan et. al (2008) found that information asymmetry can explain a large part of the discount of B shares through the study of China's A/B shares. In the case of information asymmetry, the cost of foreign information collection and analysis is relatively high, so investment decisions have high noise, resulting in increased stock price volatility.</w:t>
      </w:r>
    </w:p>
    <w:p w14:paraId="08D4DB20" w14:textId="68E7058F" w:rsidR="009939C8" w:rsidRPr="004760F1" w:rsidRDefault="009939C8" w:rsidP="002A40F7">
      <w:pPr>
        <w:jc w:val="both"/>
        <w:rPr>
          <w:rFonts w:ascii="Times New Roman" w:hAnsi="Times New Roman" w:cs="Times New Roman"/>
        </w:rPr>
      </w:pPr>
    </w:p>
    <w:p w14:paraId="431987E5" w14:textId="44CE8F86" w:rsidR="0071013D" w:rsidRPr="004760F1" w:rsidRDefault="0071013D" w:rsidP="0071013D">
      <w:pPr>
        <w:jc w:val="both"/>
        <w:rPr>
          <w:rFonts w:ascii="Times New Roman" w:hAnsi="Times New Roman" w:cs="Times New Roman"/>
          <w:b/>
          <w:bCs/>
        </w:rPr>
      </w:pPr>
      <w:r w:rsidRPr="004760F1">
        <w:rPr>
          <w:rFonts w:ascii="Times New Roman" w:hAnsi="Times New Roman" w:cs="Times New Roman"/>
          <w:b/>
          <w:bCs/>
        </w:rPr>
        <w:t>2.3 The impact of Bond market opening up</w:t>
      </w:r>
    </w:p>
    <w:p w14:paraId="01CD32DC" w14:textId="7A9B23A9" w:rsidR="009939C8" w:rsidRPr="004760F1" w:rsidRDefault="00FE3340" w:rsidP="002A40F7">
      <w:pPr>
        <w:jc w:val="both"/>
        <w:rPr>
          <w:rFonts w:ascii="Times New Roman" w:hAnsi="Times New Roman" w:cs="Times New Roman"/>
        </w:rPr>
      </w:pPr>
      <w:r w:rsidRPr="004760F1">
        <w:rPr>
          <w:rFonts w:ascii="Times New Roman" w:hAnsi="Times New Roman" w:cs="Times New Roman"/>
        </w:rPr>
        <w:t xml:space="preserve">First, </w:t>
      </w:r>
      <w:r w:rsidR="002A2793" w:rsidRPr="004760F1">
        <w:rPr>
          <w:rFonts w:ascii="Times New Roman" w:hAnsi="Times New Roman" w:cs="Times New Roman"/>
        </w:rPr>
        <w:t>many literatures</w:t>
      </w:r>
      <w:r w:rsidRPr="004760F1">
        <w:rPr>
          <w:rFonts w:ascii="Times New Roman" w:hAnsi="Times New Roman" w:cs="Times New Roman"/>
        </w:rPr>
        <w:t xml:space="preserve"> </w:t>
      </w:r>
      <w:proofErr w:type="gramStart"/>
      <w:r w:rsidRPr="004760F1">
        <w:rPr>
          <w:rFonts w:ascii="Times New Roman" w:hAnsi="Times New Roman" w:cs="Times New Roman"/>
        </w:rPr>
        <w:t>has</w:t>
      </w:r>
      <w:proofErr w:type="gramEnd"/>
      <w:r w:rsidRPr="004760F1">
        <w:rPr>
          <w:rFonts w:ascii="Times New Roman" w:hAnsi="Times New Roman" w:cs="Times New Roman"/>
        </w:rPr>
        <w:t xml:space="preserve"> discussed whether emerging markets can sustainably develop domestic bond markets. On the one hand, </w:t>
      </w:r>
      <w:proofErr w:type="spellStart"/>
      <w:r w:rsidRPr="004760F1">
        <w:rPr>
          <w:rFonts w:ascii="Times New Roman" w:hAnsi="Times New Roman" w:cs="Times New Roman"/>
        </w:rPr>
        <w:t>Eichengreen</w:t>
      </w:r>
      <w:proofErr w:type="spellEnd"/>
      <w:r w:rsidRPr="004760F1">
        <w:rPr>
          <w:rFonts w:ascii="Times New Roman" w:hAnsi="Times New Roman" w:cs="Times New Roman"/>
        </w:rPr>
        <w:t xml:space="preserve"> et al. (2002) believe that developing countries have “original sins” such as imperfect legal systems and high inflation, which cannot be overcome by themselves and can only be solved by introducing international organizations. On the other hand, La Portal et al. (1997) argue that emerging market countries can continue to improve legal systems and investor protection mechanisms, refuting the existence of the so-called "original sin". In this regard, Burger and Warnock (2006) conducted an in-depth comparative analysis using the bonds of 49 countries and found that one is that the legal system and policy stability are crucial to the development of the bond market; the other is the so-called original sin of emerging market countries</w:t>
      </w:r>
      <w:r w:rsidR="00A5016F" w:rsidRPr="004760F1">
        <w:rPr>
          <w:rFonts w:ascii="Times New Roman" w:hAnsi="Times New Roman" w:cs="Times New Roman"/>
        </w:rPr>
        <w:t xml:space="preserve"> </w:t>
      </w:r>
      <w:r w:rsidRPr="004760F1">
        <w:rPr>
          <w:rFonts w:ascii="Times New Roman" w:hAnsi="Times New Roman" w:cs="Times New Roman"/>
        </w:rPr>
        <w:t>does not exist, thus supporting the study by La Portal et al. (1997).</w:t>
      </w:r>
    </w:p>
    <w:p w14:paraId="75CE363D" w14:textId="1D9AD4C0" w:rsidR="009939C8" w:rsidRPr="004760F1" w:rsidRDefault="00D8675B" w:rsidP="002A40F7">
      <w:pPr>
        <w:jc w:val="both"/>
        <w:rPr>
          <w:rFonts w:ascii="Times New Roman" w:hAnsi="Times New Roman" w:cs="Times New Roman"/>
        </w:rPr>
      </w:pPr>
      <w:r w:rsidRPr="004760F1">
        <w:rPr>
          <w:rFonts w:ascii="Times New Roman" w:hAnsi="Times New Roman" w:cs="Times New Roman"/>
        </w:rPr>
        <w:t xml:space="preserve">Secondly, </w:t>
      </w:r>
      <w:proofErr w:type="gramStart"/>
      <w:r w:rsidRPr="004760F1">
        <w:rPr>
          <w:rFonts w:ascii="Times New Roman" w:hAnsi="Times New Roman" w:cs="Times New Roman"/>
        </w:rPr>
        <w:t>a large number of</w:t>
      </w:r>
      <w:proofErr w:type="gramEnd"/>
      <w:r w:rsidRPr="004760F1">
        <w:rPr>
          <w:rFonts w:ascii="Times New Roman" w:hAnsi="Times New Roman" w:cs="Times New Roman"/>
        </w:rPr>
        <w:t xml:space="preserve"> literatures have studied bond market opening up from the perspectives of the impact to global financial system, the impact on interest rates and interest rate volatility, the impact on bond liquidity, the impact on exchange rates, and the impact on financial risk transmission, most of which are for emerging market countries.</w:t>
      </w:r>
    </w:p>
    <w:p w14:paraId="40055566" w14:textId="1F05EEB6" w:rsidR="009939C8" w:rsidRPr="004760F1" w:rsidRDefault="00C27224" w:rsidP="002A40F7">
      <w:pPr>
        <w:jc w:val="both"/>
        <w:rPr>
          <w:rFonts w:ascii="Times New Roman" w:hAnsi="Times New Roman" w:cs="Times New Roman"/>
        </w:rPr>
      </w:pPr>
      <w:r w:rsidRPr="004760F1">
        <w:rPr>
          <w:rFonts w:ascii="Times New Roman" w:hAnsi="Times New Roman" w:cs="Times New Roman"/>
        </w:rPr>
        <w:t xml:space="preserve">From the perspective of the impact on the global financial system, Burger and Warnock (2009) believe that the opening of the emerging market bond market improves the stability of the global financial market, mainly because it reduces the dependence of emerging market countries on foreign currency debt, which often is one of the main reasons for the financial crisis. From the perspective of the impact on interest rates, IMF (2005), MSCI Barra and IMF (2010), </w:t>
      </w:r>
      <w:proofErr w:type="spellStart"/>
      <w:r w:rsidRPr="004760F1">
        <w:rPr>
          <w:rFonts w:ascii="Times New Roman" w:hAnsi="Times New Roman" w:cs="Times New Roman"/>
        </w:rPr>
        <w:t>Roldos</w:t>
      </w:r>
      <w:proofErr w:type="spellEnd"/>
      <w:r w:rsidRPr="004760F1">
        <w:rPr>
          <w:rFonts w:ascii="Times New Roman" w:hAnsi="Times New Roman" w:cs="Times New Roman"/>
        </w:rPr>
        <w:t xml:space="preserve"> (2004) and many other articles all show that after the bond market </w:t>
      </w:r>
      <w:proofErr w:type="gramStart"/>
      <w:r w:rsidRPr="004760F1">
        <w:rPr>
          <w:rFonts w:ascii="Times New Roman" w:hAnsi="Times New Roman" w:cs="Times New Roman"/>
        </w:rPr>
        <w:t>opens up</w:t>
      </w:r>
      <w:proofErr w:type="gramEnd"/>
      <w:r w:rsidRPr="004760F1">
        <w:rPr>
          <w:rFonts w:ascii="Times New Roman" w:hAnsi="Times New Roman" w:cs="Times New Roman"/>
        </w:rPr>
        <w:t xml:space="preserve">, the demand brought by foreign capital has increased significantly, which has lowered the bond market. yields on bonds. From the impact on bond liquidity, the conclusion is relatively consistent, that is, the participation of foreign investors can significantly increase the liquidity of domestic bonds. From the perspective of the impact on exchange rates, </w:t>
      </w:r>
      <w:proofErr w:type="spellStart"/>
      <w:r w:rsidRPr="004760F1">
        <w:rPr>
          <w:rFonts w:ascii="Times New Roman" w:hAnsi="Times New Roman" w:cs="Times New Roman"/>
        </w:rPr>
        <w:t>Miyajima</w:t>
      </w:r>
      <w:proofErr w:type="spellEnd"/>
      <w:r w:rsidRPr="004760F1">
        <w:rPr>
          <w:rFonts w:ascii="Times New Roman" w:hAnsi="Times New Roman" w:cs="Times New Roman"/>
        </w:rPr>
        <w:t xml:space="preserve"> et al. (2015) </w:t>
      </w:r>
      <w:r w:rsidR="00720CEA" w:rsidRPr="004760F1">
        <w:rPr>
          <w:rFonts w:ascii="Times New Roman" w:hAnsi="Times New Roman" w:cs="Times New Roman"/>
        </w:rPr>
        <w:t>showed</w:t>
      </w:r>
      <w:r w:rsidRPr="004760F1">
        <w:rPr>
          <w:rFonts w:ascii="Times New Roman" w:hAnsi="Times New Roman" w:cs="Times New Roman"/>
        </w:rPr>
        <w:t xml:space="preserve"> that exchange rate risk is one of the most important factors for emerging market countries. </w:t>
      </w:r>
      <w:proofErr w:type="spellStart"/>
      <w:r w:rsidRPr="004760F1">
        <w:rPr>
          <w:rFonts w:ascii="Times New Roman" w:hAnsi="Times New Roman" w:cs="Times New Roman"/>
        </w:rPr>
        <w:t>Gyntelberg</w:t>
      </w:r>
      <w:proofErr w:type="spellEnd"/>
      <w:r w:rsidRPr="004760F1">
        <w:rPr>
          <w:rFonts w:ascii="Times New Roman" w:hAnsi="Times New Roman" w:cs="Times New Roman"/>
        </w:rPr>
        <w:t xml:space="preserve"> and </w:t>
      </w:r>
      <w:proofErr w:type="spellStart"/>
      <w:r w:rsidRPr="004760F1">
        <w:rPr>
          <w:rFonts w:ascii="Times New Roman" w:hAnsi="Times New Roman" w:cs="Times New Roman"/>
        </w:rPr>
        <w:t>Remolona</w:t>
      </w:r>
      <w:proofErr w:type="spellEnd"/>
      <w:r w:rsidRPr="004760F1">
        <w:rPr>
          <w:rFonts w:ascii="Times New Roman" w:hAnsi="Times New Roman" w:cs="Times New Roman"/>
        </w:rPr>
        <w:t xml:space="preserve"> (2007), </w:t>
      </w:r>
      <w:proofErr w:type="spellStart"/>
      <w:r w:rsidRPr="004760F1">
        <w:rPr>
          <w:rFonts w:ascii="Times New Roman" w:hAnsi="Times New Roman" w:cs="Times New Roman"/>
        </w:rPr>
        <w:t>Miyajima</w:t>
      </w:r>
      <w:proofErr w:type="spellEnd"/>
      <w:r w:rsidRPr="004760F1">
        <w:rPr>
          <w:rFonts w:ascii="Times New Roman" w:hAnsi="Times New Roman" w:cs="Times New Roman"/>
        </w:rPr>
        <w:t xml:space="preserve"> et al. (2014) both believe that a large part of the high yield of emerging market country bonds comes from compensation for exchange rate fluctuation risks. Turner 2012 believe that the internationalization of local currency bonds in emerging market countries depends on </w:t>
      </w:r>
      <w:r w:rsidR="0064205F" w:rsidRPr="004760F1">
        <w:rPr>
          <w:rFonts w:ascii="Times New Roman" w:hAnsi="Times New Roman" w:cs="Times New Roman"/>
        </w:rPr>
        <w:t xml:space="preserve">whether the </w:t>
      </w:r>
      <w:r w:rsidRPr="004760F1">
        <w:rPr>
          <w:rFonts w:ascii="Times New Roman" w:hAnsi="Times New Roman" w:cs="Times New Roman"/>
        </w:rPr>
        <w:t>foreign investors are willing to take on exchange rate risks, and on the ability and tools to hedge exchange rate risks.</w:t>
      </w:r>
    </w:p>
    <w:p w14:paraId="3E6787C2" w14:textId="24CFEE54" w:rsidR="009939C8" w:rsidRPr="004760F1" w:rsidRDefault="009939C8" w:rsidP="002A40F7">
      <w:pPr>
        <w:jc w:val="both"/>
        <w:rPr>
          <w:rFonts w:ascii="Times New Roman" w:hAnsi="Times New Roman" w:cs="Times New Roman"/>
        </w:rPr>
      </w:pPr>
    </w:p>
    <w:p w14:paraId="57F6BF9E" w14:textId="57703F59" w:rsidR="009939C8" w:rsidRPr="00BC3017" w:rsidRDefault="00FC2C51" w:rsidP="002A40F7">
      <w:pPr>
        <w:jc w:val="both"/>
        <w:rPr>
          <w:rFonts w:ascii="Times New Roman" w:hAnsi="Times New Roman" w:cs="Times New Roman"/>
          <w:b/>
          <w:bCs/>
          <w:sz w:val="28"/>
          <w:szCs w:val="28"/>
        </w:rPr>
      </w:pPr>
      <w:r w:rsidRPr="00BC3017">
        <w:rPr>
          <w:rFonts w:ascii="Times New Roman" w:hAnsi="Times New Roman" w:cs="Times New Roman"/>
          <w:b/>
          <w:bCs/>
          <w:sz w:val="28"/>
          <w:szCs w:val="28"/>
        </w:rPr>
        <w:t>3. Study on stock market opening</w:t>
      </w:r>
    </w:p>
    <w:p w14:paraId="65A20A38" w14:textId="10EB3076" w:rsidR="009939C8" w:rsidRDefault="00FC2C51" w:rsidP="0086522D">
      <w:pPr>
        <w:jc w:val="both"/>
        <w:rPr>
          <w:rFonts w:ascii="Times New Roman" w:hAnsi="Times New Roman" w:cs="Times New Roman"/>
        </w:rPr>
      </w:pPr>
      <w:r w:rsidRPr="004760F1">
        <w:rPr>
          <w:rFonts w:ascii="Times New Roman" w:hAnsi="Times New Roman" w:cs="Times New Roman"/>
        </w:rPr>
        <w:t xml:space="preserve">The exogenous event "A shares included in the MSCI index" in 2018 created a good opportunity for us to study. We studied </w:t>
      </w:r>
      <w:r w:rsidR="0086522D" w:rsidRPr="004760F1">
        <w:rPr>
          <w:rFonts w:ascii="Times New Roman" w:hAnsi="Times New Roman" w:cs="Times New Roman"/>
        </w:rPr>
        <w:t xml:space="preserve">event </w:t>
      </w:r>
      <w:r w:rsidRPr="004760F1">
        <w:rPr>
          <w:rFonts w:ascii="Times New Roman" w:hAnsi="Times New Roman" w:cs="Times New Roman"/>
        </w:rPr>
        <w:t>impact on volatility, especially on idiosyncratic volatility</w:t>
      </w:r>
      <w:r w:rsidR="0086522D" w:rsidRPr="004760F1">
        <w:rPr>
          <w:rFonts w:ascii="Times New Roman" w:hAnsi="Times New Roman" w:cs="Times New Roman"/>
        </w:rPr>
        <w:t>, f</w:t>
      </w:r>
      <w:r w:rsidRPr="004760F1">
        <w:rPr>
          <w:rFonts w:ascii="Times New Roman" w:hAnsi="Times New Roman" w:cs="Times New Roman"/>
        </w:rPr>
        <w:t xml:space="preserve">rom </w:t>
      </w:r>
      <w:r w:rsidR="0086522D" w:rsidRPr="004760F1">
        <w:rPr>
          <w:rFonts w:ascii="Times New Roman" w:hAnsi="Times New Roman" w:cs="Times New Roman"/>
        </w:rPr>
        <w:t xml:space="preserve">both </w:t>
      </w:r>
      <w:r w:rsidRPr="004760F1">
        <w:rPr>
          <w:rFonts w:ascii="Times New Roman" w:hAnsi="Times New Roman" w:cs="Times New Roman"/>
        </w:rPr>
        <w:t xml:space="preserve">the theoretical </w:t>
      </w:r>
      <w:r w:rsidR="00245C4E" w:rsidRPr="004760F1">
        <w:rPr>
          <w:rFonts w:ascii="Times New Roman" w:hAnsi="Times New Roman" w:cs="Times New Roman"/>
        </w:rPr>
        <w:t xml:space="preserve">and empirical </w:t>
      </w:r>
      <w:r w:rsidRPr="004760F1">
        <w:rPr>
          <w:rFonts w:ascii="Times New Roman" w:hAnsi="Times New Roman" w:cs="Times New Roman"/>
        </w:rPr>
        <w:t>point of view</w:t>
      </w:r>
      <w:r w:rsidR="0086522D" w:rsidRPr="004760F1">
        <w:rPr>
          <w:rFonts w:ascii="Times New Roman" w:hAnsi="Times New Roman" w:cs="Times New Roman"/>
        </w:rPr>
        <w:t xml:space="preserve">. </w:t>
      </w:r>
      <w:r w:rsidR="00245C4E" w:rsidRPr="004760F1">
        <w:rPr>
          <w:rFonts w:ascii="Times New Roman" w:hAnsi="Times New Roman" w:cs="Times New Roman"/>
        </w:rPr>
        <w:t>From theoretical point of view, w</w:t>
      </w:r>
      <w:r w:rsidR="0086522D" w:rsidRPr="004760F1">
        <w:rPr>
          <w:rFonts w:ascii="Times New Roman" w:hAnsi="Times New Roman" w:cs="Times New Roman"/>
        </w:rPr>
        <w:t xml:space="preserve">e firstly </w:t>
      </w:r>
      <w:r w:rsidRPr="004760F1">
        <w:rPr>
          <w:rFonts w:ascii="Times New Roman" w:hAnsi="Times New Roman" w:cs="Times New Roman"/>
        </w:rPr>
        <w:t>propose</w:t>
      </w:r>
      <w:r w:rsidR="0086522D" w:rsidRPr="004760F1">
        <w:rPr>
          <w:rFonts w:ascii="Times New Roman" w:hAnsi="Times New Roman" w:cs="Times New Roman"/>
        </w:rPr>
        <w:t xml:space="preserve">d </w:t>
      </w:r>
      <w:r w:rsidRPr="004760F1">
        <w:rPr>
          <w:rFonts w:ascii="Times New Roman" w:hAnsi="Times New Roman" w:cs="Times New Roman"/>
        </w:rPr>
        <w:t xml:space="preserve">two opposing hypotheses to explain the impact of “A shares included in the MSCI index” on the </w:t>
      </w:r>
      <w:r w:rsidR="00245C4E" w:rsidRPr="004760F1">
        <w:rPr>
          <w:rFonts w:ascii="Times New Roman" w:hAnsi="Times New Roman" w:cs="Times New Roman"/>
        </w:rPr>
        <w:t xml:space="preserve">idiosyncratic </w:t>
      </w:r>
      <w:r w:rsidRPr="004760F1">
        <w:rPr>
          <w:rFonts w:ascii="Times New Roman" w:hAnsi="Times New Roman" w:cs="Times New Roman"/>
        </w:rPr>
        <w:t xml:space="preserve">volatility of stock prices: The </w:t>
      </w:r>
      <w:r w:rsidR="00245C4E" w:rsidRPr="004760F1">
        <w:rPr>
          <w:rFonts w:ascii="Times New Roman" w:hAnsi="Times New Roman" w:cs="Times New Roman"/>
        </w:rPr>
        <w:t>“</w:t>
      </w:r>
      <w:r w:rsidR="00804D9F" w:rsidRPr="004760F1">
        <w:rPr>
          <w:rFonts w:ascii="Times New Roman" w:hAnsi="Times New Roman" w:cs="Times New Roman"/>
        </w:rPr>
        <w:t>I</w:t>
      </w:r>
      <w:r w:rsidRPr="004760F1">
        <w:rPr>
          <w:rFonts w:ascii="Times New Roman" w:hAnsi="Times New Roman" w:cs="Times New Roman"/>
        </w:rPr>
        <w:t xml:space="preserve">nformation </w:t>
      </w:r>
      <w:r w:rsidR="00804D9F" w:rsidRPr="004760F1">
        <w:rPr>
          <w:rFonts w:ascii="Times New Roman" w:hAnsi="Times New Roman" w:cs="Times New Roman"/>
        </w:rPr>
        <w:t>q</w:t>
      </w:r>
      <w:r w:rsidRPr="004760F1">
        <w:rPr>
          <w:rFonts w:ascii="Times New Roman" w:hAnsi="Times New Roman" w:cs="Times New Roman"/>
        </w:rPr>
        <w:t xml:space="preserve">uality </w:t>
      </w:r>
      <w:r w:rsidR="00804D9F" w:rsidRPr="004760F1">
        <w:rPr>
          <w:rFonts w:ascii="Times New Roman" w:hAnsi="Times New Roman" w:cs="Times New Roman"/>
        </w:rPr>
        <w:t>improved</w:t>
      </w:r>
      <w:r w:rsidRPr="004760F1">
        <w:rPr>
          <w:rFonts w:ascii="Times New Roman" w:hAnsi="Times New Roman" w:cs="Times New Roman"/>
        </w:rPr>
        <w:t xml:space="preserve"> </w:t>
      </w:r>
      <w:r w:rsidR="00804D9F" w:rsidRPr="004760F1">
        <w:rPr>
          <w:rFonts w:ascii="Times New Roman" w:hAnsi="Times New Roman" w:cs="Times New Roman"/>
        </w:rPr>
        <w:t>h</w:t>
      </w:r>
      <w:r w:rsidRPr="004760F1">
        <w:rPr>
          <w:rFonts w:ascii="Times New Roman" w:hAnsi="Times New Roman" w:cs="Times New Roman"/>
        </w:rPr>
        <w:t>ypothesis</w:t>
      </w:r>
      <w:r w:rsidR="00245C4E" w:rsidRPr="004760F1">
        <w:rPr>
          <w:rFonts w:ascii="Times New Roman" w:hAnsi="Times New Roman" w:cs="Times New Roman"/>
        </w:rPr>
        <w:t>”</w:t>
      </w:r>
      <w:r w:rsidRPr="004760F1">
        <w:rPr>
          <w:rFonts w:ascii="Times New Roman" w:hAnsi="Times New Roman" w:cs="Times New Roman"/>
        </w:rPr>
        <w:t xml:space="preserve"> and the </w:t>
      </w:r>
      <w:r w:rsidR="00245C4E" w:rsidRPr="004760F1">
        <w:rPr>
          <w:rFonts w:ascii="Times New Roman" w:hAnsi="Times New Roman" w:cs="Times New Roman"/>
        </w:rPr>
        <w:t>“</w:t>
      </w:r>
      <w:r w:rsidR="00804D9F" w:rsidRPr="004760F1">
        <w:rPr>
          <w:rFonts w:ascii="Times New Roman" w:hAnsi="Times New Roman" w:cs="Times New Roman"/>
        </w:rPr>
        <w:t>Trading noise increased h</w:t>
      </w:r>
      <w:r w:rsidRPr="004760F1">
        <w:rPr>
          <w:rFonts w:ascii="Times New Roman" w:hAnsi="Times New Roman" w:cs="Times New Roman"/>
        </w:rPr>
        <w:t>ypothesis</w:t>
      </w:r>
      <w:r w:rsidR="00245C4E" w:rsidRPr="004760F1">
        <w:rPr>
          <w:rFonts w:ascii="Times New Roman" w:hAnsi="Times New Roman" w:cs="Times New Roman"/>
        </w:rPr>
        <w:t>”</w:t>
      </w:r>
      <w:r w:rsidRPr="004760F1">
        <w:rPr>
          <w:rFonts w:ascii="Times New Roman" w:hAnsi="Times New Roman" w:cs="Times New Roman"/>
        </w:rPr>
        <w:t xml:space="preserve">. From empirical point of view, this paper firstly uses the volatility of residual returns after the regression of the CAPM model to calculate the stock price </w:t>
      </w:r>
      <w:r w:rsidR="00245C4E" w:rsidRPr="004760F1">
        <w:rPr>
          <w:rFonts w:ascii="Times New Roman" w:hAnsi="Times New Roman" w:cs="Times New Roman"/>
        </w:rPr>
        <w:t xml:space="preserve">idiosyncratic </w:t>
      </w:r>
      <w:r w:rsidRPr="004760F1">
        <w:rPr>
          <w:rFonts w:ascii="Times New Roman" w:hAnsi="Times New Roman" w:cs="Times New Roman"/>
        </w:rPr>
        <w:t>volatility, and then establishes a</w:t>
      </w:r>
      <w:r w:rsidR="00245C4E" w:rsidRPr="004760F1">
        <w:rPr>
          <w:rFonts w:ascii="Times New Roman" w:hAnsi="Times New Roman" w:cs="Times New Roman"/>
        </w:rPr>
        <w:t xml:space="preserve"> Diff in Diff (DID) </w:t>
      </w:r>
      <w:r w:rsidRPr="004760F1">
        <w:rPr>
          <w:rFonts w:ascii="Times New Roman" w:hAnsi="Times New Roman" w:cs="Times New Roman"/>
        </w:rPr>
        <w:t>empirical model</w:t>
      </w:r>
      <w:r w:rsidR="00245C4E" w:rsidRPr="004760F1">
        <w:rPr>
          <w:rFonts w:ascii="Times New Roman" w:hAnsi="Times New Roman" w:cs="Times New Roman"/>
        </w:rPr>
        <w:t>.</w:t>
      </w:r>
    </w:p>
    <w:p w14:paraId="65EE5766" w14:textId="77777777" w:rsidR="000101E3" w:rsidRPr="004760F1" w:rsidRDefault="000101E3" w:rsidP="0086522D">
      <w:pPr>
        <w:jc w:val="both"/>
        <w:rPr>
          <w:rFonts w:ascii="Times New Roman" w:hAnsi="Times New Roman" w:cs="Times New Roman"/>
        </w:rPr>
      </w:pPr>
    </w:p>
    <w:p w14:paraId="7E786746" w14:textId="04B9BCB4" w:rsidR="009939C8" w:rsidRPr="004760F1" w:rsidRDefault="00361A67" w:rsidP="002A40F7">
      <w:pPr>
        <w:jc w:val="both"/>
        <w:rPr>
          <w:rFonts w:ascii="Times New Roman" w:hAnsi="Times New Roman" w:cs="Times New Roman"/>
          <w:b/>
          <w:bCs/>
        </w:rPr>
      </w:pPr>
      <w:r w:rsidRPr="004760F1">
        <w:rPr>
          <w:rFonts w:ascii="Times New Roman" w:hAnsi="Times New Roman" w:cs="Times New Roman"/>
          <w:b/>
          <w:bCs/>
        </w:rPr>
        <w:t>3.1 Theoretical model</w:t>
      </w:r>
    </w:p>
    <w:p w14:paraId="6488F1E5" w14:textId="19E158C9" w:rsidR="00361A67" w:rsidRPr="004760F1" w:rsidRDefault="00804D9F" w:rsidP="002A40F7">
      <w:pPr>
        <w:jc w:val="both"/>
        <w:rPr>
          <w:rFonts w:ascii="Times New Roman" w:hAnsi="Times New Roman" w:cs="Times New Roman"/>
          <w:b/>
          <w:bCs/>
        </w:rPr>
      </w:pPr>
      <w:r w:rsidRPr="004760F1">
        <w:rPr>
          <w:rFonts w:ascii="Times New Roman" w:hAnsi="Times New Roman" w:cs="Times New Roman"/>
          <w:b/>
          <w:bCs/>
        </w:rPr>
        <w:t xml:space="preserve">3.1.1 </w:t>
      </w:r>
      <w:r w:rsidR="00063843" w:rsidRPr="004760F1">
        <w:rPr>
          <w:rFonts w:ascii="Times New Roman" w:hAnsi="Times New Roman" w:cs="Times New Roman"/>
          <w:b/>
          <w:bCs/>
        </w:rPr>
        <w:t>Information quality improved hypothesis</w:t>
      </w:r>
    </w:p>
    <w:p w14:paraId="015CAF7E" w14:textId="65F33F97" w:rsidR="00063843" w:rsidRPr="004760F1" w:rsidRDefault="003E0E8F" w:rsidP="002A40F7">
      <w:pPr>
        <w:jc w:val="both"/>
        <w:rPr>
          <w:rFonts w:ascii="Times New Roman" w:hAnsi="Times New Roman" w:cs="Times New Roman"/>
        </w:rPr>
      </w:pPr>
      <w:r w:rsidRPr="004760F1">
        <w:rPr>
          <w:rFonts w:ascii="Times New Roman" w:hAnsi="Times New Roman" w:cs="Times New Roman"/>
        </w:rPr>
        <w:t xml:space="preserve">With the official implementation of "A shares included in the MSCI index", the global market influence of A shares will be greatly enhanced. On the one hand, passive funds tracking the MSCI index around the world will "passively" buy positions in A </w:t>
      </w:r>
      <w:proofErr w:type="gramStart"/>
      <w:r w:rsidRPr="004760F1">
        <w:rPr>
          <w:rFonts w:ascii="Times New Roman" w:hAnsi="Times New Roman" w:cs="Times New Roman"/>
        </w:rPr>
        <w:t>shares</w:t>
      </w:r>
      <w:proofErr w:type="gramEnd"/>
      <w:r w:rsidRPr="004760F1">
        <w:rPr>
          <w:rFonts w:ascii="Times New Roman" w:hAnsi="Times New Roman" w:cs="Times New Roman"/>
        </w:rPr>
        <w:t xml:space="preserve">, on the other hand, A shares will also be included in global asset manager’s allocation research framework, which requires more in-depth research and judgment on China's capital market. This requires A-share target companies to have higher information disclosure quality and corporate governance efficiency, thereby can attracting more buying flows. In addition, the transaction execution of "A shares included in the MSCI index" will be implemented through the Shanghai-Hong Kong Stock Connect, Shenzhen-Hong Kong Stock Connect, which have been in operation for several years and have been operating well, reducing the transaction threshold and transaction costs for foreign investors. </w:t>
      </w:r>
      <w:r w:rsidR="00903D34" w:rsidRPr="004760F1">
        <w:rPr>
          <w:rFonts w:ascii="Times New Roman" w:hAnsi="Times New Roman" w:cs="Times New Roman"/>
        </w:rPr>
        <w:t xml:space="preserve">Trading via stock connects schemes </w:t>
      </w:r>
      <w:r w:rsidRPr="004760F1">
        <w:rPr>
          <w:rFonts w:ascii="Times New Roman" w:hAnsi="Times New Roman" w:cs="Times New Roman"/>
        </w:rPr>
        <w:t>address</w:t>
      </w:r>
      <w:r w:rsidR="00903D34" w:rsidRPr="004760F1">
        <w:rPr>
          <w:rFonts w:ascii="Times New Roman" w:hAnsi="Times New Roman" w:cs="Times New Roman"/>
        </w:rPr>
        <w:t>ed</w:t>
      </w:r>
      <w:r w:rsidRPr="004760F1">
        <w:rPr>
          <w:rFonts w:ascii="Times New Roman" w:hAnsi="Times New Roman" w:cs="Times New Roman"/>
        </w:rPr>
        <w:t xml:space="preserve"> the concerns of foreign investors that the flow of funds into and out of China may be regulated</w:t>
      </w:r>
      <w:r w:rsidR="00903D34" w:rsidRPr="004760F1">
        <w:rPr>
          <w:rFonts w:ascii="Times New Roman" w:hAnsi="Times New Roman" w:cs="Times New Roman"/>
        </w:rPr>
        <w:t>。</w:t>
      </w:r>
    </w:p>
    <w:p w14:paraId="3DE04E0B" w14:textId="417ED2F7" w:rsidR="003E0E8F" w:rsidRPr="004760F1" w:rsidRDefault="001F0CF7" w:rsidP="001F0CF7">
      <w:pPr>
        <w:jc w:val="both"/>
        <w:rPr>
          <w:rFonts w:ascii="Times New Roman" w:hAnsi="Times New Roman" w:cs="Times New Roman"/>
        </w:rPr>
      </w:pPr>
      <w:r w:rsidRPr="004760F1">
        <w:rPr>
          <w:rFonts w:ascii="Times New Roman" w:hAnsi="Times New Roman" w:cs="Times New Roman"/>
        </w:rPr>
        <w:t xml:space="preserve">One main difference the "A shares included in the MSCI index" will bring is the different market participants, trading activities in domestic market is dominated by retail investors, while the foreign investors who track the MSCI indices are mainly institutional investors. </w:t>
      </w:r>
      <w:proofErr w:type="gramStart"/>
      <w:r w:rsidRPr="004760F1">
        <w:rPr>
          <w:rFonts w:ascii="Times New Roman" w:hAnsi="Times New Roman" w:cs="Times New Roman"/>
        </w:rPr>
        <w:t>Institutions</w:t>
      </w:r>
      <w:proofErr w:type="gramEnd"/>
      <w:r w:rsidR="003E0E8F" w:rsidRPr="004760F1">
        <w:rPr>
          <w:rFonts w:ascii="Times New Roman" w:hAnsi="Times New Roman" w:cs="Times New Roman"/>
        </w:rPr>
        <w:t xml:space="preserve"> investment style is based on fundamental analysis and index tracking</w:t>
      </w:r>
      <w:r w:rsidRPr="004760F1">
        <w:rPr>
          <w:rFonts w:ascii="Times New Roman" w:hAnsi="Times New Roman" w:cs="Times New Roman"/>
        </w:rPr>
        <w:t xml:space="preserve"> rules</w:t>
      </w:r>
      <w:r w:rsidR="003E0E8F" w:rsidRPr="004760F1">
        <w:rPr>
          <w:rFonts w:ascii="Times New Roman" w:hAnsi="Times New Roman" w:cs="Times New Roman"/>
        </w:rPr>
        <w:t xml:space="preserve">, and they have stronger research capabilities, information collection and processing capabilities and trading capabilities, which can respond faster to changes in market conditions and improve the quality of information implied by stock prices. For example, the research of Bae et al. (2012) shows that foreign investors have a greater advantage in collecting and processing international market information. As the information quality of their stock prices entering the local market improves, the stock price response time lag </w:t>
      </w:r>
      <w:proofErr w:type="gramStart"/>
      <w:r w:rsidR="003E0E8F" w:rsidRPr="004760F1">
        <w:rPr>
          <w:rFonts w:ascii="Times New Roman" w:hAnsi="Times New Roman" w:cs="Times New Roman"/>
        </w:rPr>
        <w:t>decreases..</w:t>
      </w:r>
      <w:proofErr w:type="gramEnd"/>
      <w:r w:rsidR="003E0E8F" w:rsidRPr="004760F1">
        <w:rPr>
          <w:rFonts w:ascii="Times New Roman" w:hAnsi="Times New Roman" w:cs="Times New Roman"/>
        </w:rPr>
        <w:t xml:space="preserve"> Second</w:t>
      </w:r>
      <w:r w:rsidR="00ED10CC" w:rsidRPr="004760F1">
        <w:rPr>
          <w:rFonts w:ascii="Times New Roman" w:hAnsi="Times New Roman" w:cs="Times New Roman"/>
        </w:rPr>
        <w:t>ly</w:t>
      </w:r>
      <w:r w:rsidR="003E0E8F" w:rsidRPr="004760F1">
        <w:rPr>
          <w:rFonts w:ascii="Times New Roman" w:hAnsi="Times New Roman" w:cs="Times New Roman"/>
        </w:rPr>
        <w:t>, foreign investors can help strengthen corporate governance by playing a supervisory role. For example, Li et al. (2011) found that the supervisory role of foreign institutional investors helps to promote market stability; Ferreira et al. (2008) verified that the addition of foreign investors makes it more difficult for</w:t>
      </w:r>
      <w:r w:rsidR="0041698E" w:rsidRPr="004760F1">
        <w:rPr>
          <w:rFonts w:ascii="Times New Roman" w:hAnsi="Times New Roman" w:cs="Times New Roman"/>
        </w:rPr>
        <w:t xml:space="preserve"> domestic</w:t>
      </w:r>
      <w:r w:rsidR="003E0E8F" w:rsidRPr="004760F1">
        <w:rPr>
          <w:rFonts w:ascii="Times New Roman" w:hAnsi="Times New Roman" w:cs="Times New Roman"/>
        </w:rPr>
        <w:t xml:space="preserve"> companies to manipulate information. Third, the opening of the stock market to foreign investors can prompt listed companies to improve the quality of information disclosure. For example, Fang et al. (2015) found that the higher the proportion of US institutional investors in the stock markets of emerging market countries, the higher the comparability of their accounting information with US standards, and the better the quality of information disclosure.</w:t>
      </w:r>
    </w:p>
    <w:p w14:paraId="35191743" w14:textId="4AC9D9E5" w:rsidR="00063843" w:rsidRPr="004760F1" w:rsidRDefault="003E0E8F" w:rsidP="002A40F7">
      <w:pPr>
        <w:jc w:val="both"/>
        <w:rPr>
          <w:rFonts w:ascii="Times New Roman" w:hAnsi="Times New Roman" w:cs="Times New Roman"/>
        </w:rPr>
      </w:pPr>
      <w:r w:rsidRPr="004760F1">
        <w:rPr>
          <w:rFonts w:ascii="Times New Roman" w:hAnsi="Times New Roman" w:cs="Times New Roman"/>
        </w:rPr>
        <w:t xml:space="preserve">Through the above analysis, </w:t>
      </w:r>
      <w:r w:rsidR="00703F8B" w:rsidRPr="004760F1">
        <w:rPr>
          <w:rFonts w:ascii="Times New Roman" w:hAnsi="Times New Roman" w:cs="Times New Roman"/>
        </w:rPr>
        <w:t xml:space="preserve">by introducing more foreign institutional investors, </w:t>
      </w:r>
      <w:r w:rsidRPr="004760F1">
        <w:rPr>
          <w:rFonts w:ascii="Times New Roman" w:hAnsi="Times New Roman" w:cs="Times New Roman"/>
        </w:rPr>
        <w:t xml:space="preserve">"A-share inclusion in the MSCI index" </w:t>
      </w:r>
      <w:r w:rsidR="00703F8B" w:rsidRPr="004760F1">
        <w:rPr>
          <w:rFonts w:ascii="Times New Roman" w:hAnsi="Times New Roman" w:cs="Times New Roman"/>
        </w:rPr>
        <w:t xml:space="preserve">event </w:t>
      </w:r>
      <w:r w:rsidRPr="004760F1">
        <w:rPr>
          <w:rFonts w:ascii="Times New Roman" w:hAnsi="Times New Roman" w:cs="Times New Roman"/>
        </w:rPr>
        <w:t>will help to leverage the information advantages, investment philosophy advantages and supervision advantages of institutional investors</w:t>
      </w:r>
      <w:r w:rsidR="00703F8B" w:rsidRPr="004760F1">
        <w:rPr>
          <w:rFonts w:ascii="Times New Roman" w:hAnsi="Times New Roman" w:cs="Times New Roman"/>
        </w:rPr>
        <w:t>,</w:t>
      </w:r>
      <w:r w:rsidRPr="004760F1">
        <w:rPr>
          <w:rFonts w:ascii="Times New Roman" w:hAnsi="Times New Roman" w:cs="Times New Roman"/>
        </w:rPr>
        <w:t xml:space="preserve"> and</w:t>
      </w:r>
      <w:r w:rsidR="00703F8B" w:rsidRPr="004760F1">
        <w:rPr>
          <w:rFonts w:ascii="Times New Roman" w:hAnsi="Times New Roman" w:cs="Times New Roman"/>
        </w:rPr>
        <w:t xml:space="preserve"> thus</w:t>
      </w:r>
      <w:r w:rsidRPr="004760F1">
        <w:rPr>
          <w:rFonts w:ascii="Times New Roman" w:hAnsi="Times New Roman" w:cs="Times New Roman"/>
        </w:rPr>
        <w:t xml:space="preserve"> reduce the </w:t>
      </w:r>
      <w:r w:rsidR="00703F8B" w:rsidRPr="004760F1">
        <w:rPr>
          <w:rFonts w:ascii="Times New Roman" w:hAnsi="Times New Roman" w:cs="Times New Roman"/>
        </w:rPr>
        <w:t>idiosyncratic</w:t>
      </w:r>
      <w:r w:rsidRPr="004760F1">
        <w:rPr>
          <w:rFonts w:ascii="Times New Roman" w:hAnsi="Times New Roman" w:cs="Times New Roman"/>
        </w:rPr>
        <w:t xml:space="preserve"> volatility of stock prices. In this regard, the hypothesis 1a is proposed.</w:t>
      </w:r>
    </w:p>
    <w:p w14:paraId="35557721" w14:textId="6B97C24B" w:rsidR="00063843" w:rsidRPr="004760F1" w:rsidRDefault="00703F8B" w:rsidP="002A40F7">
      <w:pPr>
        <w:jc w:val="both"/>
        <w:rPr>
          <w:rFonts w:ascii="Times New Roman" w:hAnsi="Times New Roman" w:cs="Times New Roman"/>
          <w:b/>
          <w:bCs/>
        </w:rPr>
      </w:pPr>
      <w:r w:rsidRPr="004760F1">
        <w:rPr>
          <w:rFonts w:ascii="Times New Roman" w:hAnsi="Times New Roman" w:cs="Times New Roman"/>
          <w:b/>
          <w:bCs/>
        </w:rPr>
        <w:t xml:space="preserve">Hypothesis 1a: </w:t>
      </w:r>
      <w:r w:rsidR="00D6140C" w:rsidRPr="004760F1">
        <w:rPr>
          <w:rFonts w:ascii="Times New Roman" w:hAnsi="Times New Roman" w:cs="Times New Roman"/>
          <w:b/>
          <w:bCs/>
        </w:rPr>
        <w:t>T</w:t>
      </w:r>
      <w:r w:rsidRPr="004760F1">
        <w:rPr>
          <w:rFonts w:ascii="Times New Roman" w:hAnsi="Times New Roman" w:cs="Times New Roman"/>
          <w:b/>
          <w:bCs/>
        </w:rPr>
        <w:t xml:space="preserve">he implementation of "A-share inclusion in the MSCI index" can effectively reduce the stock price idiosyncratic </w:t>
      </w:r>
      <w:r w:rsidR="006C1ACF">
        <w:rPr>
          <w:rFonts w:ascii="Times New Roman" w:hAnsi="Times New Roman" w:cs="Times New Roman"/>
          <w:b/>
          <w:bCs/>
        </w:rPr>
        <w:t>risk</w:t>
      </w:r>
      <w:r w:rsidRPr="004760F1">
        <w:rPr>
          <w:rFonts w:ascii="Times New Roman" w:hAnsi="Times New Roman" w:cs="Times New Roman"/>
          <w:b/>
          <w:bCs/>
        </w:rPr>
        <w:t xml:space="preserve"> of the underlying stock that’s been added into the index.</w:t>
      </w:r>
    </w:p>
    <w:p w14:paraId="54FA58DD" w14:textId="40FB038E" w:rsidR="00063843" w:rsidRPr="006C1ACF" w:rsidRDefault="00063843" w:rsidP="002A40F7">
      <w:pPr>
        <w:jc w:val="both"/>
        <w:rPr>
          <w:rFonts w:ascii="Times New Roman" w:hAnsi="Times New Roman" w:cs="Times New Roman"/>
        </w:rPr>
      </w:pPr>
    </w:p>
    <w:p w14:paraId="755B46BA" w14:textId="7120E437" w:rsidR="000B63DB" w:rsidRPr="004760F1" w:rsidRDefault="000B63DB" w:rsidP="000B63DB">
      <w:pPr>
        <w:jc w:val="both"/>
        <w:rPr>
          <w:rFonts w:ascii="Times New Roman" w:hAnsi="Times New Roman" w:cs="Times New Roman"/>
          <w:b/>
          <w:bCs/>
        </w:rPr>
      </w:pPr>
      <w:r w:rsidRPr="004760F1">
        <w:rPr>
          <w:rFonts w:ascii="Times New Roman" w:hAnsi="Times New Roman" w:cs="Times New Roman"/>
          <w:b/>
          <w:bCs/>
        </w:rPr>
        <w:t>3.1.2 Trading noise increased hypothesis</w:t>
      </w:r>
    </w:p>
    <w:p w14:paraId="78C42F0E" w14:textId="547DA3D2" w:rsidR="00983328" w:rsidRPr="004760F1" w:rsidRDefault="00A26899" w:rsidP="002A40F7">
      <w:pPr>
        <w:jc w:val="both"/>
        <w:rPr>
          <w:rFonts w:ascii="Times New Roman" w:hAnsi="Times New Roman" w:cs="Times New Roman"/>
        </w:rPr>
      </w:pPr>
      <w:r w:rsidRPr="004760F1">
        <w:rPr>
          <w:rFonts w:ascii="Times New Roman" w:hAnsi="Times New Roman" w:cs="Times New Roman"/>
        </w:rPr>
        <w:t xml:space="preserve">The implementation of "A-share inclusion in the MSCI index" will strengthen the linkage between the A-share market and the international market, and the contagion effect of external risk events will be stronger. At the same time, the short-term </w:t>
      </w:r>
      <w:r w:rsidR="00EC2DE8" w:rsidRPr="004760F1">
        <w:rPr>
          <w:rFonts w:ascii="Times New Roman" w:hAnsi="Times New Roman" w:cs="Times New Roman"/>
        </w:rPr>
        <w:t>in and out</w:t>
      </w:r>
      <w:r w:rsidRPr="004760F1">
        <w:rPr>
          <w:rFonts w:ascii="Times New Roman" w:hAnsi="Times New Roman" w:cs="Times New Roman"/>
        </w:rPr>
        <w:t xml:space="preserve"> of </w:t>
      </w:r>
      <w:r w:rsidR="00EC2DE8" w:rsidRPr="004760F1">
        <w:rPr>
          <w:rFonts w:ascii="Times New Roman" w:hAnsi="Times New Roman" w:cs="Times New Roman"/>
        </w:rPr>
        <w:t>foreign</w:t>
      </w:r>
      <w:r w:rsidRPr="004760F1">
        <w:rPr>
          <w:rFonts w:ascii="Times New Roman" w:hAnsi="Times New Roman" w:cs="Times New Roman"/>
        </w:rPr>
        <w:t xml:space="preserve"> hot money may bring more noise </w:t>
      </w:r>
      <w:r w:rsidR="00EC2DE8" w:rsidRPr="004760F1">
        <w:rPr>
          <w:rFonts w:ascii="Times New Roman" w:hAnsi="Times New Roman" w:cs="Times New Roman"/>
        </w:rPr>
        <w:t>trading activities</w:t>
      </w:r>
      <w:r w:rsidRPr="004760F1">
        <w:rPr>
          <w:rFonts w:ascii="Times New Roman" w:hAnsi="Times New Roman" w:cs="Times New Roman"/>
        </w:rPr>
        <w:t>, thereby exacerbating stock price volatility.</w:t>
      </w:r>
    </w:p>
    <w:p w14:paraId="677E9F32" w14:textId="604521F3" w:rsidR="00983328" w:rsidRPr="004760F1" w:rsidRDefault="000E47D1" w:rsidP="002A40F7">
      <w:pPr>
        <w:jc w:val="both"/>
        <w:rPr>
          <w:rFonts w:ascii="Times New Roman" w:hAnsi="Times New Roman" w:cs="Times New Roman"/>
        </w:rPr>
      </w:pPr>
      <w:r w:rsidRPr="004760F1">
        <w:rPr>
          <w:rFonts w:ascii="Times New Roman" w:hAnsi="Times New Roman" w:cs="Times New Roman"/>
        </w:rPr>
        <w:t>For one,</w:t>
      </w:r>
      <w:r w:rsidR="00A26899" w:rsidRPr="004760F1">
        <w:rPr>
          <w:rFonts w:ascii="Times New Roman" w:hAnsi="Times New Roman" w:cs="Times New Roman"/>
        </w:rPr>
        <w:t xml:space="preserve"> there are many academic papers on the stronger linkage with the international market by the opening of the capital market and the aggravation of the risk contagion effect. Demir (2004) used Turkish data to verify the amplification of stock price volatility risk, and Stiglitz (2000) proved that this effect may be amplified in a relatively weak regulatory environment. Second, the "hot money" effect of foreign investors will prompt them to pursue short-term investments with higher profits and not pay attention to long-term performance (Brennan and Cao, 1997), thus bringing higher short-term performance pressure to </w:t>
      </w:r>
      <w:r w:rsidRPr="004760F1">
        <w:rPr>
          <w:rFonts w:ascii="Times New Roman" w:hAnsi="Times New Roman" w:cs="Times New Roman"/>
        </w:rPr>
        <w:t>listed companies</w:t>
      </w:r>
      <w:r w:rsidR="00A26899" w:rsidRPr="004760F1">
        <w:rPr>
          <w:rFonts w:ascii="Times New Roman" w:hAnsi="Times New Roman" w:cs="Times New Roman"/>
        </w:rPr>
        <w:t xml:space="preserve">. Moreover, investors' short-term market behavior may increase stock price </w:t>
      </w:r>
      <w:r w:rsidRPr="004760F1">
        <w:rPr>
          <w:rFonts w:ascii="Times New Roman" w:hAnsi="Times New Roman" w:cs="Times New Roman"/>
        </w:rPr>
        <w:t>volatility</w:t>
      </w:r>
      <w:r w:rsidR="00A26899" w:rsidRPr="004760F1">
        <w:rPr>
          <w:rFonts w:ascii="Times New Roman" w:hAnsi="Times New Roman" w:cs="Times New Roman"/>
        </w:rPr>
        <w:t xml:space="preserve"> (Choe et al., 2005).</w:t>
      </w:r>
    </w:p>
    <w:p w14:paraId="074ACC74" w14:textId="32ACDC24" w:rsidR="00C0528E" w:rsidRPr="004760F1" w:rsidRDefault="00C0528E" w:rsidP="00A26899">
      <w:pPr>
        <w:jc w:val="both"/>
        <w:rPr>
          <w:rFonts w:ascii="Times New Roman" w:hAnsi="Times New Roman" w:cs="Times New Roman"/>
        </w:rPr>
      </w:pPr>
      <w:r w:rsidRPr="004760F1">
        <w:rPr>
          <w:rFonts w:ascii="Times New Roman" w:hAnsi="Times New Roman" w:cs="Times New Roman"/>
        </w:rPr>
        <w:t xml:space="preserve">Based on the above analysis, "the inclusion of A-shares in the MSCI index" may lead to more noise trading, which will lead to an increase in </w:t>
      </w:r>
      <w:r w:rsidR="000E47D1" w:rsidRPr="004760F1">
        <w:rPr>
          <w:rFonts w:ascii="Times New Roman" w:hAnsi="Times New Roman" w:cs="Times New Roman"/>
        </w:rPr>
        <w:t>idiosyncratic</w:t>
      </w:r>
      <w:r w:rsidRPr="004760F1">
        <w:rPr>
          <w:rFonts w:ascii="Times New Roman" w:hAnsi="Times New Roman" w:cs="Times New Roman"/>
        </w:rPr>
        <w:t xml:space="preserve"> volatility. In this regard, the hypothesis 1b is proposed.</w:t>
      </w:r>
    </w:p>
    <w:p w14:paraId="431E0D28" w14:textId="1E36F501" w:rsidR="00A26899" w:rsidRPr="004760F1" w:rsidRDefault="00A26899" w:rsidP="00A26899">
      <w:pPr>
        <w:jc w:val="both"/>
        <w:rPr>
          <w:rFonts w:ascii="Times New Roman" w:hAnsi="Times New Roman" w:cs="Times New Roman"/>
          <w:b/>
          <w:bCs/>
        </w:rPr>
      </w:pPr>
      <w:r w:rsidRPr="004760F1">
        <w:rPr>
          <w:rFonts w:ascii="Times New Roman" w:hAnsi="Times New Roman" w:cs="Times New Roman"/>
          <w:b/>
          <w:bCs/>
        </w:rPr>
        <w:t>Hypothesis 1</w:t>
      </w:r>
      <w:r w:rsidR="000E47D1" w:rsidRPr="004760F1">
        <w:rPr>
          <w:rFonts w:ascii="Times New Roman" w:hAnsi="Times New Roman" w:cs="Times New Roman"/>
          <w:b/>
          <w:bCs/>
        </w:rPr>
        <w:t>b</w:t>
      </w:r>
      <w:r w:rsidRPr="004760F1">
        <w:rPr>
          <w:rFonts w:ascii="Times New Roman" w:hAnsi="Times New Roman" w:cs="Times New Roman"/>
          <w:b/>
          <w:bCs/>
        </w:rPr>
        <w:t xml:space="preserve">: The implementation of "A-share inclusion in the MSCI index" </w:t>
      </w:r>
      <w:r w:rsidR="000E47D1" w:rsidRPr="004760F1">
        <w:rPr>
          <w:rFonts w:ascii="Times New Roman" w:hAnsi="Times New Roman" w:cs="Times New Roman"/>
          <w:b/>
          <w:bCs/>
        </w:rPr>
        <w:t>will increase</w:t>
      </w:r>
      <w:r w:rsidRPr="004760F1">
        <w:rPr>
          <w:rFonts w:ascii="Times New Roman" w:hAnsi="Times New Roman" w:cs="Times New Roman"/>
          <w:b/>
          <w:bCs/>
        </w:rPr>
        <w:t xml:space="preserve"> the stock price idiosyncratic </w:t>
      </w:r>
      <w:r w:rsidR="006C1ACF">
        <w:rPr>
          <w:rFonts w:ascii="Times New Roman" w:hAnsi="Times New Roman" w:cs="Times New Roman"/>
          <w:b/>
          <w:bCs/>
        </w:rPr>
        <w:t>risk</w:t>
      </w:r>
      <w:r w:rsidRPr="004760F1">
        <w:rPr>
          <w:rFonts w:ascii="Times New Roman" w:hAnsi="Times New Roman" w:cs="Times New Roman"/>
          <w:b/>
          <w:bCs/>
        </w:rPr>
        <w:t xml:space="preserve"> of the underlying stock that’s been added into the index.</w:t>
      </w:r>
    </w:p>
    <w:p w14:paraId="59177B73" w14:textId="74E7E2E2" w:rsidR="00983328" w:rsidRPr="004760F1" w:rsidRDefault="00983328" w:rsidP="002A40F7">
      <w:pPr>
        <w:jc w:val="both"/>
        <w:rPr>
          <w:rFonts w:ascii="Times New Roman" w:hAnsi="Times New Roman" w:cs="Times New Roman"/>
        </w:rPr>
      </w:pPr>
    </w:p>
    <w:p w14:paraId="79D1A58D" w14:textId="676FE93A" w:rsidR="00DC5B13" w:rsidRPr="004760F1" w:rsidRDefault="00DC5B13" w:rsidP="00DC5B13">
      <w:pPr>
        <w:jc w:val="both"/>
        <w:rPr>
          <w:rFonts w:ascii="Times New Roman" w:hAnsi="Times New Roman" w:cs="Times New Roman"/>
          <w:b/>
          <w:bCs/>
        </w:rPr>
      </w:pPr>
      <w:r w:rsidRPr="004760F1">
        <w:rPr>
          <w:rFonts w:ascii="Times New Roman" w:hAnsi="Times New Roman" w:cs="Times New Roman"/>
          <w:b/>
          <w:bCs/>
        </w:rPr>
        <w:t>3.2 Empirical model</w:t>
      </w:r>
    </w:p>
    <w:p w14:paraId="7EF7FED2" w14:textId="7723163B" w:rsidR="00983328" w:rsidRPr="004760F1" w:rsidRDefault="00DC5B13" w:rsidP="002A40F7">
      <w:pPr>
        <w:jc w:val="both"/>
        <w:rPr>
          <w:rFonts w:ascii="Times New Roman" w:hAnsi="Times New Roman" w:cs="Times New Roman"/>
        </w:rPr>
      </w:pPr>
      <w:r w:rsidRPr="004760F1">
        <w:rPr>
          <w:rFonts w:ascii="Times New Roman" w:hAnsi="Times New Roman" w:cs="Times New Roman"/>
        </w:rPr>
        <w:t xml:space="preserve">MSCI announced the inclusion of A shares in its emerging market index in June 2017, and gave market participants one year to prepare, and then officially implemented at the </w:t>
      </w:r>
      <w:r w:rsidR="00E22116" w:rsidRPr="004760F1">
        <w:rPr>
          <w:rFonts w:ascii="Times New Roman" w:hAnsi="Times New Roman" w:cs="Times New Roman"/>
        </w:rPr>
        <w:t>end</w:t>
      </w:r>
      <w:r w:rsidRPr="004760F1">
        <w:rPr>
          <w:rFonts w:ascii="Times New Roman" w:hAnsi="Times New Roman" w:cs="Times New Roman"/>
        </w:rPr>
        <w:t xml:space="preserve"> of May 2018. In addition, in order to further reduce the market impact, the initial inclusion ratio is only 5%, and the implementation is carried out twice: the first 2.5% </w:t>
      </w:r>
      <w:r w:rsidR="00971C6B" w:rsidRPr="004760F1">
        <w:rPr>
          <w:rFonts w:ascii="Times New Roman" w:hAnsi="Times New Roman" w:cs="Times New Roman"/>
        </w:rPr>
        <w:t>batch included</w:t>
      </w:r>
      <w:r w:rsidRPr="004760F1">
        <w:rPr>
          <w:rFonts w:ascii="Times New Roman" w:hAnsi="Times New Roman" w:cs="Times New Roman"/>
        </w:rPr>
        <w:t xml:space="preserve"> 234 stocks</w:t>
      </w:r>
      <w:r w:rsidR="00971C6B" w:rsidRPr="004760F1">
        <w:rPr>
          <w:rFonts w:ascii="Times New Roman" w:hAnsi="Times New Roman" w:cs="Times New Roman"/>
        </w:rPr>
        <w:t>,</w:t>
      </w:r>
      <w:r w:rsidRPr="004760F1">
        <w:rPr>
          <w:rFonts w:ascii="Times New Roman" w:hAnsi="Times New Roman" w:cs="Times New Roman"/>
        </w:rPr>
        <w:t xml:space="preserve"> announced on May 14, 2018</w:t>
      </w:r>
      <w:r w:rsidR="00971C6B" w:rsidRPr="004760F1">
        <w:rPr>
          <w:rFonts w:ascii="Times New Roman" w:hAnsi="Times New Roman" w:cs="Times New Roman"/>
        </w:rPr>
        <w:t>, implemented on May 31, 2018.</w:t>
      </w:r>
      <w:r w:rsidRPr="004760F1">
        <w:rPr>
          <w:rFonts w:ascii="Times New Roman" w:hAnsi="Times New Roman" w:cs="Times New Roman"/>
        </w:rPr>
        <w:t xml:space="preserve"> The second 2.5% </w:t>
      </w:r>
      <w:r w:rsidR="00971C6B" w:rsidRPr="004760F1">
        <w:rPr>
          <w:rFonts w:ascii="Times New Roman" w:hAnsi="Times New Roman" w:cs="Times New Roman"/>
        </w:rPr>
        <w:t xml:space="preserve">batch </w:t>
      </w:r>
      <w:r w:rsidRPr="004760F1">
        <w:rPr>
          <w:rFonts w:ascii="Times New Roman" w:hAnsi="Times New Roman" w:cs="Times New Roman"/>
        </w:rPr>
        <w:t>was announced on August 13, 2018</w:t>
      </w:r>
      <w:r w:rsidR="00971C6B" w:rsidRPr="004760F1">
        <w:rPr>
          <w:rFonts w:ascii="Times New Roman" w:hAnsi="Times New Roman" w:cs="Times New Roman"/>
        </w:rPr>
        <w:t>, included</w:t>
      </w:r>
      <w:r w:rsidRPr="004760F1">
        <w:rPr>
          <w:rFonts w:ascii="Times New Roman" w:hAnsi="Times New Roman" w:cs="Times New Roman"/>
        </w:rPr>
        <w:t xml:space="preserve"> 236 stocks, implemented on</w:t>
      </w:r>
      <w:r w:rsidR="00971C6B" w:rsidRPr="004760F1">
        <w:rPr>
          <w:rFonts w:ascii="Times New Roman" w:hAnsi="Times New Roman" w:cs="Times New Roman"/>
        </w:rPr>
        <w:t xml:space="preserve"> close of</w:t>
      </w:r>
      <w:r w:rsidRPr="004760F1">
        <w:rPr>
          <w:rFonts w:ascii="Times New Roman" w:hAnsi="Times New Roman" w:cs="Times New Roman"/>
        </w:rPr>
        <w:t xml:space="preserve"> September 3. Based on the above background, this paper designs the following </w:t>
      </w:r>
      <w:r w:rsidR="00EF06D9" w:rsidRPr="004760F1">
        <w:rPr>
          <w:rFonts w:ascii="Times New Roman" w:hAnsi="Times New Roman" w:cs="Times New Roman"/>
        </w:rPr>
        <w:t xml:space="preserve">Diff in Diff (DID) </w:t>
      </w:r>
      <w:r w:rsidRPr="004760F1">
        <w:rPr>
          <w:rFonts w:ascii="Times New Roman" w:hAnsi="Times New Roman" w:cs="Times New Roman"/>
        </w:rPr>
        <w:t xml:space="preserve">model to test the relationship between the opening of the capital market and the </w:t>
      </w:r>
      <w:r w:rsidR="00A35BC5" w:rsidRPr="004760F1">
        <w:rPr>
          <w:rFonts w:ascii="Times New Roman" w:hAnsi="Times New Roman" w:cs="Times New Roman"/>
        </w:rPr>
        <w:t>idiosyncratic</w:t>
      </w:r>
      <w:r w:rsidRPr="004760F1">
        <w:rPr>
          <w:rFonts w:ascii="Times New Roman" w:hAnsi="Times New Roman" w:cs="Times New Roman"/>
        </w:rPr>
        <w:t xml:space="preserve"> volatility of</w:t>
      </w:r>
      <w:r w:rsidR="00A35BC5" w:rsidRPr="004760F1">
        <w:rPr>
          <w:rFonts w:ascii="Times New Roman" w:hAnsi="Times New Roman" w:cs="Times New Roman"/>
        </w:rPr>
        <w:t xml:space="preserve"> underlying</w:t>
      </w:r>
      <w:r w:rsidRPr="004760F1">
        <w:rPr>
          <w:rFonts w:ascii="Times New Roman" w:hAnsi="Times New Roman" w:cs="Times New Roman"/>
        </w:rPr>
        <w:t xml:space="preserve"> stoc</w:t>
      </w:r>
      <w:r w:rsidR="00A35BC5" w:rsidRPr="004760F1">
        <w:rPr>
          <w:rFonts w:ascii="Times New Roman" w:hAnsi="Times New Roman" w:cs="Times New Roman"/>
        </w:rPr>
        <w:t>ks that’s been added into index.</w:t>
      </w:r>
    </w:p>
    <w:p w14:paraId="77A2FCCD" w14:textId="4B600FE0" w:rsidR="00FA2022" w:rsidRPr="004760F1" w:rsidRDefault="007B61BF" w:rsidP="00FA2022">
      <w:pPr>
        <w:spacing w:line="400" w:lineRule="exact"/>
        <w:jc w:val="center"/>
        <w:rPr>
          <w:rFonts w:ascii="Times New Roman" w:hAnsi="Times New Roman" w:cs="Times New Roman"/>
          <w:b/>
          <w:bCs/>
          <w:color w:val="000000" w:themeColor="text1"/>
        </w:rPr>
      </w:pPr>
      <m:oMath>
        <m:r>
          <m:rPr>
            <m:sty m:val="b"/>
          </m:rPr>
          <w:rPr>
            <w:rFonts w:ascii="Cambria Math" w:hAnsi="Cambria Math" w:cs="Times New Roman"/>
            <w:color w:val="000000" w:themeColor="text1"/>
          </w:rPr>
          <m:t xml:space="preserve">Idiosyncratic </m:t>
        </m:r>
        <m:sSub>
          <m:sSubPr>
            <m:ctrlPr>
              <w:rPr>
                <w:rFonts w:ascii="Cambria Math" w:hAnsi="Cambria Math" w:cs="Times New Roman"/>
                <w:b/>
                <w:bCs/>
                <w:color w:val="000000" w:themeColor="text1"/>
              </w:rPr>
            </m:ctrlPr>
          </m:sSubPr>
          <m:e>
            <m:r>
              <m:rPr>
                <m:sty m:val="b"/>
              </m:rPr>
              <w:rPr>
                <w:rFonts w:ascii="Cambria Math" w:hAnsi="Cambria Math" w:cs="Times New Roman"/>
                <w:color w:val="000000" w:themeColor="text1"/>
              </w:rPr>
              <m:t>Risk</m:t>
            </m:r>
          </m:e>
          <m:sub>
            <m:r>
              <m:rPr>
                <m:sty m:val="b"/>
              </m:rPr>
              <w:rPr>
                <w:rFonts w:ascii="Cambria Math" w:hAnsi="Cambria Math" w:cs="Times New Roman"/>
                <w:color w:val="000000" w:themeColor="text1"/>
              </w:rPr>
              <m:t>i, t+1</m:t>
            </m:r>
          </m:sub>
        </m:sSub>
        <m:r>
          <m:rPr>
            <m:sty m:val="bi"/>
          </m:rPr>
          <w:rPr>
            <w:rFonts w:ascii="Cambria Math" w:hAnsi="Cambria Math" w:cs="Times New Roman"/>
            <w:color w:val="000000" w:themeColor="text1"/>
          </w:rPr>
          <m:t>=</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α</m:t>
            </m:r>
          </m:e>
          <m:sub>
            <m:r>
              <m:rPr>
                <m:sty m:val="bi"/>
              </m:rPr>
              <w:rPr>
                <w:rFonts w:ascii="Cambria Math" w:hAnsi="Cambria Math" w:cs="Times New Roman"/>
                <w:color w:val="000000" w:themeColor="text1"/>
              </w:rPr>
              <m:t>0</m:t>
            </m:r>
          </m:sub>
        </m:sSub>
        <m:r>
          <m:rPr>
            <m:sty m:val="bi"/>
          </m:rPr>
          <w:rPr>
            <w:rFonts w:ascii="Cambria Math" w:hAnsi="Cambria Math" w:cs="Times New Roman"/>
            <w:color w:val="000000" w:themeColor="text1"/>
          </w:rPr>
          <m:t>+</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α</m:t>
            </m:r>
          </m:e>
          <m:sub>
            <m:r>
              <m:rPr>
                <m:sty m:val="bi"/>
              </m:rPr>
              <w:rPr>
                <w:rFonts w:ascii="Cambria Math" w:hAnsi="Cambria Math" w:cs="Times New Roman"/>
                <w:color w:val="000000" w:themeColor="text1"/>
              </w:rPr>
              <m:t>1</m:t>
            </m:r>
          </m:sub>
        </m:sSub>
        <m:r>
          <m:rPr>
            <m:sty m:val="bi"/>
          </m:rPr>
          <w:rPr>
            <w:rFonts w:ascii="Cambria Math" w:hAnsi="Cambria Math" w:cs="Times New Roman"/>
            <w:color w:val="000000" w:themeColor="text1"/>
          </w:rPr>
          <m:t>MSC</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I</m:t>
            </m:r>
          </m:e>
          <m:sub>
            <m:r>
              <m:rPr>
                <m:sty m:val="bi"/>
              </m:rPr>
              <w:rPr>
                <w:rFonts w:ascii="Cambria Math" w:hAnsi="Cambria Math" w:cs="Times New Roman"/>
                <w:color w:val="000000" w:themeColor="text1"/>
              </w:rPr>
              <m:t>i</m:t>
            </m:r>
          </m:sub>
        </m:sSub>
        <m:r>
          <m:rPr>
            <m:sty m:val="bi"/>
          </m:rPr>
          <w:rPr>
            <w:rFonts w:ascii="Cambria Math" w:hAnsi="Cambria Math" w:cs="Times New Roman"/>
            <w:color w:val="000000" w:themeColor="text1"/>
          </w:rPr>
          <m:t>+</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α</m:t>
            </m:r>
          </m:e>
          <m:sub>
            <m:r>
              <m:rPr>
                <m:sty m:val="bi"/>
              </m:rPr>
              <w:rPr>
                <w:rFonts w:ascii="Cambria Math" w:hAnsi="Cambria Math" w:cs="Times New Roman"/>
                <w:color w:val="000000" w:themeColor="text1"/>
              </w:rPr>
              <m:t>2</m:t>
            </m:r>
          </m:sub>
        </m:sSub>
        <m:r>
          <m:rPr>
            <m:sty m:val="bi"/>
          </m:rPr>
          <w:rPr>
            <w:rFonts w:ascii="Cambria Math" w:hAnsi="Cambria Math" w:cs="Times New Roman"/>
            <w:color w:val="000000" w:themeColor="text1"/>
          </w:rPr>
          <m:t>Afte</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r</m:t>
            </m:r>
          </m:e>
          <m:sub>
            <m:r>
              <m:rPr>
                <m:sty m:val="bi"/>
              </m:rPr>
              <w:rPr>
                <w:rFonts w:ascii="Cambria Math" w:hAnsi="Cambria Math" w:cs="Times New Roman"/>
                <w:color w:val="000000" w:themeColor="text1"/>
              </w:rPr>
              <m:t>t</m:t>
            </m:r>
          </m:sub>
        </m:sSub>
        <m:r>
          <m:rPr>
            <m:sty m:val="bi"/>
          </m:rPr>
          <w:rPr>
            <w:rFonts w:ascii="Cambria Math" w:hAnsi="Cambria Math" w:cs="Times New Roman"/>
            <w:color w:val="000000" w:themeColor="text1"/>
          </w:rPr>
          <m:t>+</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α</m:t>
            </m:r>
          </m:e>
          <m:sub>
            <m:r>
              <m:rPr>
                <m:sty m:val="bi"/>
              </m:rPr>
              <w:rPr>
                <w:rFonts w:ascii="Cambria Math" w:hAnsi="Cambria Math" w:cs="Times New Roman"/>
                <w:color w:val="000000" w:themeColor="text1"/>
              </w:rPr>
              <m:t>3</m:t>
            </m:r>
          </m:sub>
        </m:sSub>
        <m:r>
          <m:rPr>
            <m:sty m:val="bi"/>
          </m:rPr>
          <w:rPr>
            <w:rFonts w:ascii="Cambria Math" w:hAnsi="Cambria Math" w:cs="Times New Roman"/>
            <w:color w:val="000000" w:themeColor="text1"/>
          </w:rPr>
          <m:t>MSC</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I</m:t>
            </m:r>
          </m:e>
          <m:sub>
            <m:r>
              <m:rPr>
                <m:sty m:val="bi"/>
              </m:rPr>
              <w:rPr>
                <w:rFonts w:ascii="Cambria Math" w:hAnsi="Cambria Math" w:cs="Times New Roman"/>
                <w:color w:val="000000" w:themeColor="text1"/>
              </w:rPr>
              <m:t>i</m:t>
            </m:r>
          </m:sub>
        </m:sSub>
        <m:r>
          <m:rPr>
            <m:sty m:val="bi"/>
          </m:rPr>
          <w:rPr>
            <w:rFonts w:ascii="Cambria Math" w:hAnsi="Cambria Math" w:cs="Times New Roman"/>
            <w:color w:val="000000" w:themeColor="text1"/>
          </w:rPr>
          <m:t>×Afte</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r</m:t>
            </m:r>
          </m:e>
          <m:sub>
            <m:r>
              <m:rPr>
                <m:sty m:val="bi"/>
              </m:rPr>
              <w:rPr>
                <w:rFonts w:ascii="Cambria Math" w:hAnsi="Cambria Math" w:cs="Times New Roman"/>
                <w:color w:val="000000" w:themeColor="text1"/>
              </w:rPr>
              <m:t>t</m:t>
            </m:r>
          </m:sub>
        </m:sSub>
        <m:r>
          <m:rPr>
            <m:sty m:val="b"/>
          </m:rPr>
          <w:rPr>
            <w:rFonts w:ascii="Cambria Math" w:hAnsi="Cambria Math" w:cs="Times New Roman"/>
            <w:color w:val="000000" w:themeColor="text1"/>
          </w:rPr>
          <m:t xml:space="preserve">+ </m:t>
        </m:r>
        <m:nary>
          <m:naryPr>
            <m:chr m:val="∑"/>
            <m:limLoc m:val="undOvr"/>
            <m:subHide m:val="1"/>
            <m:supHide m:val="1"/>
            <m:ctrlPr>
              <w:rPr>
                <w:rFonts w:ascii="Cambria Math" w:hAnsi="Cambria Math" w:cs="Times New Roman"/>
                <w:b/>
                <w:bCs/>
                <w:color w:val="000000" w:themeColor="text1"/>
              </w:rPr>
            </m:ctrlPr>
          </m:naryPr>
          <m:sub/>
          <m:sup/>
          <m:e>
            <m:r>
              <m:rPr>
                <m:sty m:val="bi"/>
              </m:rPr>
              <w:rPr>
                <w:rFonts w:ascii="Cambria Math" w:hAnsi="Cambria Math" w:cs="Times New Roman"/>
                <w:color w:val="000000" w:themeColor="text1"/>
              </w:rPr>
              <m:t>Control</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s</m:t>
                </m:r>
              </m:e>
              <m:sub>
                <m:r>
                  <m:rPr>
                    <m:sty m:val="bi"/>
                  </m:rPr>
                  <w:rPr>
                    <w:rFonts w:ascii="Cambria Math" w:hAnsi="Cambria Math" w:cs="Times New Roman"/>
                    <w:color w:val="000000" w:themeColor="text1"/>
                  </w:rPr>
                  <m:t>i,t</m:t>
                </m:r>
              </m:sub>
            </m:sSub>
          </m:e>
        </m:nary>
        <m:r>
          <m:rPr>
            <m:sty m:val="bi"/>
          </m:rPr>
          <w:rPr>
            <w:rFonts w:ascii="Cambria Math" w:hAnsi="Cambria Math" w:cs="Times New Roman"/>
            <w:color w:val="000000" w:themeColor="text1"/>
          </w:rPr>
          <m:t>+Yea</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r</m:t>
            </m:r>
          </m:e>
          <m:sub>
            <m:r>
              <m:rPr>
                <m:sty m:val="bi"/>
              </m:rPr>
              <w:rPr>
                <w:rFonts w:ascii="Cambria Math" w:hAnsi="Cambria Math" w:cs="Times New Roman"/>
                <w:color w:val="000000" w:themeColor="text1"/>
              </w:rPr>
              <m:t>t</m:t>
            </m:r>
          </m:sub>
        </m:sSub>
        <m:r>
          <m:rPr>
            <m:sty m:val="bi"/>
          </m:rPr>
          <w:rPr>
            <w:rFonts w:ascii="Cambria Math" w:hAnsi="Cambria Math" w:cs="Times New Roman"/>
            <w:color w:val="000000" w:themeColor="text1"/>
          </w:rPr>
          <m:t>+</m:t>
        </m:r>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μ</m:t>
            </m:r>
          </m:e>
          <m:sub>
            <m:r>
              <m:rPr>
                <m:sty m:val="bi"/>
              </m:rPr>
              <w:rPr>
                <w:rFonts w:ascii="Cambria Math" w:hAnsi="Cambria Math" w:cs="Times New Roman"/>
                <w:color w:val="000000" w:themeColor="text1"/>
              </w:rPr>
              <m:t>i,t</m:t>
            </m:r>
          </m:sub>
        </m:sSub>
      </m:oMath>
      <w:r w:rsidR="00FA2022" w:rsidRPr="004760F1">
        <w:rPr>
          <w:rFonts w:ascii="Times New Roman" w:hAnsi="Times New Roman" w:cs="Times New Roman"/>
          <w:b/>
          <w:bCs/>
          <w:color w:val="000000" w:themeColor="text1"/>
        </w:rPr>
        <w:t xml:space="preserve"> </w:t>
      </w:r>
    </w:p>
    <w:p w14:paraId="5AFDD46B" w14:textId="77777777" w:rsidR="00983328" w:rsidRPr="004760F1" w:rsidRDefault="00983328" w:rsidP="002A40F7">
      <w:pPr>
        <w:jc w:val="both"/>
        <w:rPr>
          <w:rFonts w:ascii="Times New Roman" w:hAnsi="Times New Roman" w:cs="Times New Roman"/>
        </w:rPr>
      </w:pPr>
    </w:p>
    <w:p w14:paraId="77329505" w14:textId="753446E9" w:rsidR="00471E3F" w:rsidRPr="004760F1" w:rsidRDefault="00FA2022" w:rsidP="002A40F7">
      <w:pPr>
        <w:jc w:val="both"/>
        <w:rPr>
          <w:rFonts w:ascii="Times New Roman" w:hAnsi="Times New Roman" w:cs="Times New Roman"/>
        </w:rPr>
      </w:pPr>
      <w:r w:rsidRPr="004760F1">
        <w:rPr>
          <w:rFonts w:ascii="Times New Roman" w:hAnsi="Times New Roman" w:cs="Times New Roman"/>
        </w:rPr>
        <w:t xml:space="preserve">Idiosyncratic Risk </w:t>
      </w:r>
      <w:r w:rsidR="00471E3F" w:rsidRPr="004760F1">
        <w:rPr>
          <w:rFonts w:ascii="Times New Roman" w:hAnsi="Times New Roman" w:cs="Times New Roman"/>
        </w:rPr>
        <w:t xml:space="preserve">is dependent variable, </w:t>
      </w:r>
      <w:proofErr w:type="spellStart"/>
      <w:r w:rsidR="00471E3F" w:rsidRPr="004760F1">
        <w:rPr>
          <w:rFonts w:ascii="Times New Roman" w:hAnsi="Times New Roman" w:cs="Times New Roman"/>
        </w:rPr>
        <w:t>i</w:t>
      </w:r>
      <w:proofErr w:type="spellEnd"/>
      <w:r w:rsidR="00471E3F" w:rsidRPr="004760F1">
        <w:rPr>
          <w:rFonts w:ascii="Times New Roman" w:hAnsi="Times New Roman" w:cs="Times New Roman"/>
        </w:rPr>
        <w:t xml:space="preserve"> represents different stocks and t represents different time. </w:t>
      </w:r>
      <w:r w:rsidR="00E20A31" w:rsidRPr="004760F1">
        <w:rPr>
          <w:rFonts w:ascii="Times New Roman" w:hAnsi="Times New Roman" w:cs="Times New Roman"/>
        </w:rPr>
        <w:t>“</w:t>
      </w:r>
      <w:r w:rsidR="00471E3F" w:rsidRPr="004760F1">
        <w:rPr>
          <w:rFonts w:ascii="Times New Roman" w:hAnsi="Times New Roman" w:cs="Times New Roman"/>
        </w:rPr>
        <w:t>MSCI</w:t>
      </w:r>
      <w:r w:rsidR="00E20A31" w:rsidRPr="004760F1">
        <w:rPr>
          <w:rFonts w:ascii="Times New Roman" w:hAnsi="Times New Roman" w:cs="Times New Roman"/>
        </w:rPr>
        <w:t>”</w:t>
      </w:r>
      <w:r w:rsidR="00471E3F" w:rsidRPr="004760F1">
        <w:rPr>
          <w:rFonts w:ascii="Times New Roman" w:hAnsi="Times New Roman" w:cs="Times New Roman"/>
        </w:rPr>
        <w:t xml:space="preserve"> is the dummy variable</w:t>
      </w:r>
      <w:r w:rsidRPr="004760F1">
        <w:rPr>
          <w:rFonts w:ascii="Times New Roman" w:hAnsi="Times New Roman" w:cs="Times New Roman"/>
        </w:rPr>
        <w:t xml:space="preserve"> of the "A shares included in the MSCI index"</w:t>
      </w:r>
      <w:r w:rsidR="00471E3F" w:rsidRPr="004760F1">
        <w:rPr>
          <w:rFonts w:ascii="Times New Roman" w:hAnsi="Times New Roman" w:cs="Times New Roman"/>
        </w:rPr>
        <w:t xml:space="preserve"> event, </w:t>
      </w:r>
      <w:r w:rsidRPr="004760F1">
        <w:rPr>
          <w:rFonts w:ascii="Times New Roman" w:hAnsi="Times New Roman" w:cs="Times New Roman"/>
        </w:rPr>
        <w:t>MSCI=1</w:t>
      </w:r>
      <w:r w:rsidR="00471E3F" w:rsidRPr="004760F1">
        <w:rPr>
          <w:rFonts w:ascii="Times New Roman" w:hAnsi="Times New Roman" w:cs="Times New Roman"/>
        </w:rPr>
        <w:t xml:space="preserve"> means a stock in included in the MSCI Index, otherwise MSCI=0. </w:t>
      </w:r>
      <w:r w:rsidR="00E20A31" w:rsidRPr="004760F1">
        <w:rPr>
          <w:rFonts w:ascii="Times New Roman" w:hAnsi="Times New Roman" w:cs="Times New Roman"/>
        </w:rPr>
        <w:t>“</w:t>
      </w:r>
      <w:r w:rsidR="00471E3F" w:rsidRPr="004760F1">
        <w:rPr>
          <w:rFonts w:ascii="Times New Roman" w:hAnsi="Times New Roman" w:cs="Times New Roman"/>
        </w:rPr>
        <w:t>After</w:t>
      </w:r>
      <w:r w:rsidR="00E20A31" w:rsidRPr="004760F1">
        <w:rPr>
          <w:rFonts w:ascii="Times New Roman" w:hAnsi="Times New Roman" w:cs="Times New Roman"/>
        </w:rPr>
        <w:t>”</w:t>
      </w:r>
      <w:r w:rsidR="00471E3F" w:rsidRPr="004760F1">
        <w:rPr>
          <w:rFonts w:ascii="Times New Roman" w:hAnsi="Times New Roman" w:cs="Times New Roman"/>
        </w:rPr>
        <w:t xml:space="preserve"> is a dummy variable that equals to 1 if </w:t>
      </w:r>
      <w:proofErr w:type="spellStart"/>
      <w:r w:rsidR="00471E3F" w:rsidRPr="004760F1">
        <w:rPr>
          <w:rFonts w:ascii="Times New Roman" w:hAnsi="Times New Roman" w:cs="Times New Roman"/>
        </w:rPr>
        <w:t>t</w:t>
      </w:r>
      <w:proofErr w:type="spellEnd"/>
      <w:r w:rsidR="00471E3F" w:rsidRPr="004760F1">
        <w:rPr>
          <w:rFonts w:ascii="Times New Roman" w:hAnsi="Times New Roman" w:cs="Times New Roman"/>
        </w:rPr>
        <w:t xml:space="preserve"> is </w:t>
      </w:r>
      <w:r w:rsidR="00E20A31" w:rsidRPr="004760F1">
        <w:rPr>
          <w:rFonts w:ascii="Times New Roman" w:hAnsi="Times New Roman" w:cs="Times New Roman"/>
        </w:rPr>
        <w:t xml:space="preserve">after a certain time (will elaborate more later).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3</m:t>
            </m:r>
          </m:sub>
        </m:sSub>
      </m:oMath>
      <w:r w:rsidR="00E20A31" w:rsidRPr="004760F1">
        <w:rPr>
          <w:rFonts w:ascii="Times New Roman" w:hAnsi="Times New Roman" w:cs="Times New Roman"/>
          <w:color w:val="000000" w:themeColor="text1"/>
        </w:rPr>
        <w:t xml:space="preserve"> i</w:t>
      </w:r>
      <w:proofErr w:type="spellStart"/>
      <w:r w:rsidR="00E20A31" w:rsidRPr="004760F1">
        <w:rPr>
          <w:rFonts w:ascii="Times New Roman" w:hAnsi="Times New Roman" w:cs="Times New Roman"/>
          <w:color w:val="000000" w:themeColor="text1"/>
        </w:rPr>
        <w:t>s</w:t>
      </w:r>
      <w:proofErr w:type="spellEnd"/>
      <w:r w:rsidR="00E20A31" w:rsidRPr="004760F1">
        <w:rPr>
          <w:rFonts w:ascii="Times New Roman" w:hAnsi="Times New Roman" w:cs="Times New Roman"/>
          <w:color w:val="000000" w:themeColor="text1"/>
        </w:rPr>
        <w:t xml:space="preserve"> the key variable we want to observe and </w:t>
      </w:r>
      <w:proofErr w:type="spellStart"/>
      <w:r w:rsidR="00E20A31" w:rsidRPr="004760F1">
        <w:rPr>
          <w:rFonts w:ascii="Times New Roman" w:hAnsi="Times New Roman" w:cs="Times New Roman"/>
          <w:color w:val="000000" w:themeColor="text1"/>
        </w:rPr>
        <w:t>its</w:t>
      </w:r>
      <w:proofErr w:type="spellEnd"/>
      <w:r w:rsidR="00E20A31" w:rsidRPr="004760F1">
        <w:rPr>
          <w:rFonts w:ascii="Times New Roman" w:hAnsi="Times New Roman" w:cs="Times New Roman"/>
          <w:color w:val="000000" w:themeColor="text1"/>
        </w:rPr>
        <w:t xml:space="preserve"> an interaction term equal to the product of dummy variable MSCI and </w:t>
      </w:r>
      <w:proofErr w:type="gramStart"/>
      <w:r w:rsidR="00E20A31" w:rsidRPr="004760F1">
        <w:rPr>
          <w:rFonts w:ascii="Times New Roman" w:hAnsi="Times New Roman" w:cs="Times New Roman"/>
          <w:color w:val="000000" w:themeColor="text1"/>
        </w:rPr>
        <w:t>After.</w:t>
      </w:r>
      <w:proofErr w:type="gramEnd"/>
      <w:r w:rsidR="00E20A31" w:rsidRPr="004760F1">
        <w:rPr>
          <w:rFonts w:ascii="Times New Roman" w:hAnsi="Times New Roman" w:cs="Times New Roman"/>
          <w:color w:val="000000" w:themeColor="text1"/>
        </w:rPr>
        <w:t xml:space="preserve"> If </w:t>
      </w:r>
      <w:r w:rsidR="001E5E6A" w:rsidRPr="004760F1">
        <w:rPr>
          <w:rFonts w:ascii="Times New Roman" w:hAnsi="Times New Roman" w:cs="Times New Roman"/>
          <w:color w:val="000000" w:themeColor="text1"/>
        </w:rPr>
        <w:t xml:space="preserve">regression result shows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3</m:t>
            </m:r>
          </m:sub>
        </m:sSub>
      </m:oMath>
      <w:r w:rsidR="001E5E6A" w:rsidRPr="004760F1">
        <w:rPr>
          <w:rFonts w:ascii="Times New Roman" w:hAnsi="Times New Roman" w:cs="Times New Roman"/>
          <w:color w:val="000000" w:themeColor="text1"/>
        </w:rPr>
        <w:t xml:space="preserve"> is significantly negative, then means idiosyncratic volatility reduced and proved hypothesis 1a; if results </w:t>
      </w:r>
      <w:proofErr w:type="gramStart"/>
      <w:r w:rsidR="001E5E6A" w:rsidRPr="004760F1">
        <w:rPr>
          <w:rFonts w:ascii="Times New Roman" w:hAnsi="Times New Roman" w:cs="Times New Roman"/>
          <w:color w:val="000000" w:themeColor="text1"/>
        </w:rPr>
        <w:t>shows</w:t>
      </w:r>
      <w:proofErr w:type="gramEnd"/>
      <w:r w:rsidR="001E5E6A" w:rsidRPr="004760F1">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3</m:t>
            </m:r>
          </m:sub>
        </m:sSub>
      </m:oMath>
      <w:r w:rsidR="001E5E6A" w:rsidRPr="004760F1">
        <w:rPr>
          <w:rFonts w:ascii="Times New Roman" w:hAnsi="Times New Roman" w:cs="Times New Roman"/>
          <w:color w:val="000000" w:themeColor="text1"/>
        </w:rPr>
        <w:t xml:space="preserve"> is significantly positive, then means idiosyncratic volatility increased and proved hypothesis 1b.</w:t>
      </w:r>
    </w:p>
    <w:p w14:paraId="20A3C766" w14:textId="462559BD" w:rsidR="00063843" w:rsidRPr="004760F1" w:rsidRDefault="00063843" w:rsidP="002A40F7">
      <w:pPr>
        <w:jc w:val="both"/>
        <w:rPr>
          <w:rFonts w:ascii="Times New Roman" w:hAnsi="Times New Roman" w:cs="Times New Roman"/>
        </w:rPr>
      </w:pPr>
    </w:p>
    <w:p w14:paraId="21F07EA7" w14:textId="039BDAE4" w:rsidR="00063843" w:rsidRDefault="00C865A7" w:rsidP="002A40F7">
      <w:pPr>
        <w:jc w:val="both"/>
        <w:rPr>
          <w:rFonts w:ascii="Times New Roman" w:hAnsi="Times New Roman" w:cs="Times New Roman"/>
          <w:b/>
          <w:bCs/>
          <w:sz w:val="28"/>
          <w:szCs w:val="28"/>
        </w:rPr>
      </w:pPr>
      <w:r w:rsidRPr="00BC3017">
        <w:rPr>
          <w:rFonts w:ascii="Times New Roman" w:hAnsi="Times New Roman" w:cs="Times New Roman"/>
          <w:b/>
          <w:bCs/>
          <w:sz w:val="28"/>
          <w:szCs w:val="28"/>
        </w:rPr>
        <w:t>4. Empirical results</w:t>
      </w:r>
    </w:p>
    <w:p w14:paraId="0D290059" w14:textId="77777777" w:rsidR="000101E3" w:rsidRPr="00BC3017" w:rsidRDefault="000101E3" w:rsidP="002A40F7">
      <w:pPr>
        <w:jc w:val="both"/>
        <w:rPr>
          <w:rFonts w:ascii="Times New Roman" w:hAnsi="Times New Roman" w:cs="Times New Roman"/>
          <w:b/>
          <w:bCs/>
          <w:sz w:val="28"/>
          <w:szCs w:val="28"/>
        </w:rPr>
      </w:pPr>
    </w:p>
    <w:p w14:paraId="4B520287" w14:textId="16330296" w:rsidR="00063843" w:rsidRPr="004760F1" w:rsidRDefault="00D778A9" w:rsidP="002A40F7">
      <w:pPr>
        <w:jc w:val="both"/>
        <w:rPr>
          <w:rFonts w:ascii="Times New Roman" w:hAnsi="Times New Roman" w:cs="Times New Roman"/>
          <w:b/>
        </w:rPr>
      </w:pPr>
      <w:r w:rsidRPr="004760F1">
        <w:rPr>
          <w:rFonts w:ascii="Times New Roman" w:hAnsi="Times New Roman" w:cs="Times New Roman"/>
          <w:b/>
        </w:rPr>
        <w:t xml:space="preserve">4.1 </w:t>
      </w:r>
      <w:r w:rsidR="00BC3017">
        <w:rPr>
          <w:rFonts w:ascii="Times New Roman" w:hAnsi="Times New Roman" w:cs="Times New Roman"/>
          <w:b/>
        </w:rPr>
        <w:t>V</w:t>
      </w:r>
      <w:r w:rsidRPr="004760F1">
        <w:rPr>
          <w:rFonts w:ascii="Times New Roman" w:hAnsi="Times New Roman" w:cs="Times New Roman"/>
          <w:b/>
        </w:rPr>
        <w:t>ariable definition</w:t>
      </w:r>
    </w:p>
    <w:p w14:paraId="472D9957" w14:textId="596DC7C6" w:rsidR="00D778A9" w:rsidRPr="004760F1" w:rsidRDefault="00506958" w:rsidP="002A40F7">
      <w:pPr>
        <w:jc w:val="both"/>
        <w:rPr>
          <w:rFonts w:ascii="Times New Roman" w:hAnsi="Times New Roman" w:cs="Times New Roman"/>
          <w:b/>
        </w:rPr>
      </w:pPr>
      <w:r w:rsidRPr="004760F1">
        <w:rPr>
          <w:rFonts w:ascii="Times New Roman" w:hAnsi="Times New Roman" w:cs="Times New Roman"/>
          <w:b/>
        </w:rPr>
        <w:t xml:space="preserve">4.1.1 </w:t>
      </w:r>
      <w:r w:rsidR="000A0B9C">
        <w:rPr>
          <w:rFonts w:ascii="Times New Roman" w:hAnsi="Times New Roman" w:cs="Times New Roman" w:hint="eastAsia"/>
          <w:b/>
        </w:rPr>
        <w:t>I</w:t>
      </w:r>
      <w:r w:rsidRPr="004760F1">
        <w:rPr>
          <w:rFonts w:ascii="Times New Roman" w:hAnsi="Times New Roman" w:cs="Times New Roman"/>
          <w:b/>
        </w:rPr>
        <w:t xml:space="preserve">diosyncratic </w:t>
      </w:r>
      <w:r w:rsidR="009B166F">
        <w:rPr>
          <w:rFonts w:ascii="Times New Roman" w:hAnsi="Times New Roman" w:cs="Times New Roman"/>
          <w:b/>
        </w:rPr>
        <w:t>Risk</w:t>
      </w:r>
    </w:p>
    <w:p w14:paraId="31FCC181" w14:textId="10C0D9D9" w:rsidR="00506958" w:rsidRPr="004760F1" w:rsidRDefault="00506958" w:rsidP="002A40F7">
      <w:pPr>
        <w:jc w:val="both"/>
        <w:rPr>
          <w:rFonts w:ascii="Times New Roman" w:hAnsi="Times New Roman" w:cs="Times New Roman"/>
        </w:rPr>
      </w:pPr>
      <w:r w:rsidRPr="004760F1">
        <w:rPr>
          <w:rFonts w:ascii="Times New Roman" w:hAnsi="Times New Roman" w:cs="Times New Roman"/>
        </w:rPr>
        <w:t xml:space="preserve">This paper uses weekly stock price return to calculate monthly stock price idiosyncratic volatility (annualized). Specific calculation method as below: firstly, use the weekly stock return minus the risk-free interest rate in the same period, and then use the weekly return of the CSI300 Index as the beta (without considering cash dividend reinvestment) to obtain the residual of the regression results of CAPM model; Secondly, calculate variance of the residual return of each individual stocks per month, and </w:t>
      </w:r>
      <w:r w:rsidR="00C2550B" w:rsidRPr="004760F1">
        <w:rPr>
          <w:rFonts w:ascii="Times New Roman" w:hAnsi="Times New Roman" w:cs="Times New Roman"/>
        </w:rPr>
        <w:t xml:space="preserve">then annualized, we got the </w:t>
      </w:r>
      <w:r w:rsidRPr="004760F1">
        <w:rPr>
          <w:rFonts w:ascii="Times New Roman" w:hAnsi="Times New Roman" w:cs="Times New Roman"/>
        </w:rPr>
        <w:t xml:space="preserve">proxy variable of </w:t>
      </w:r>
      <w:r w:rsidR="00C2550B" w:rsidRPr="004760F1">
        <w:rPr>
          <w:rFonts w:ascii="Times New Roman" w:hAnsi="Times New Roman" w:cs="Times New Roman"/>
        </w:rPr>
        <w:t xml:space="preserve">idiosyncratic </w:t>
      </w:r>
      <w:r w:rsidRPr="004760F1">
        <w:rPr>
          <w:rFonts w:ascii="Times New Roman" w:hAnsi="Times New Roman" w:cs="Times New Roman"/>
        </w:rPr>
        <w:t>volatility of stock price (</w:t>
      </w:r>
      <w:proofErr w:type="spellStart"/>
      <w:r w:rsidRPr="004760F1">
        <w:rPr>
          <w:rFonts w:ascii="Times New Roman" w:hAnsi="Times New Roman" w:cs="Times New Roman"/>
        </w:rPr>
        <w:t>var_capm_w_ann</w:t>
      </w:r>
      <w:proofErr w:type="spellEnd"/>
      <w:r w:rsidRPr="004760F1">
        <w:rPr>
          <w:rFonts w:ascii="Times New Roman" w:hAnsi="Times New Roman" w:cs="Times New Roman"/>
        </w:rPr>
        <w:t>)</w:t>
      </w:r>
      <w:r w:rsidR="00C2550B" w:rsidRPr="004760F1">
        <w:rPr>
          <w:rFonts w:ascii="Times New Roman" w:hAnsi="Times New Roman" w:cs="Times New Roman"/>
        </w:rPr>
        <w:t xml:space="preserve">. In addition, we also </w:t>
      </w:r>
      <w:proofErr w:type="gramStart"/>
      <w:r w:rsidR="00C2550B" w:rsidRPr="004760F1">
        <w:rPr>
          <w:rFonts w:ascii="Times New Roman" w:hAnsi="Times New Roman" w:cs="Times New Roman"/>
        </w:rPr>
        <w:t>calculates</w:t>
      </w:r>
      <w:proofErr w:type="gramEnd"/>
      <w:r w:rsidR="00C2550B" w:rsidRPr="004760F1">
        <w:rPr>
          <w:rFonts w:ascii="Times New Roman" w:hAnsi="Times New Roman" w:cs="Times New Roman"/>
        </w:rPr>
        <w:t xml:space="preserve"> the raw</w:t>
      </w:r>
      <w:r w:rsidRPr="004760F1">
        <w:rPr>
          <w:rFonts w:ascii="Times New Roman" w:hAnsi="Times New Roman" w:cs="Times New Roman"/>
        </w:rPr>
        <w:t xml:space="preserve"> volatility of stocks in the same period as a comparison (</w:t>
      </w:r>
      <w:proofErr w:type="spellStart"/>
      <w:r w:rsidRPr="004760F1">
        <w:rPr>
          <w:rFonts w:ascii="Times New Roman" w:hAnsi="Times New Roman" w:cs="Times New Roman"/>
        </w:rPr>
        <w:t>var_raw_w_ann</w:t>
      </w:r>
      <w:proofErr w:type="spellEnd"/>
      <w:r w:rsidRPr="004760F1">
        <w:rPr>
          <w:rFonts w:ascii="Times New Roman" w:hAnsi="Times New Roman" w:cs="Times New Roman"/>
        </w:rPr>
        <w:t>).</w:t>
      </w:r>
    </w:p>
    <w:p w14:paraId="5C08310A" w14:textId="47965F4F" w:rsidR="009E4DAB" w:rsidRPr="004760F1" w:rsidRDefault="009E4DAB" w:rsidP="002A40F7">
      <w:pPr>
        <w:jc w:val="both"/>
        <w:rPr>
          <w:rFonts w:ascii="Times New Roman" w:hAnsi="Times New Roman" w:cs="Times New Roman"/>
          <w:b/>
        </w:rPr>
      </w:pPr>
      <w:r w:rsidRPr="004760F1">
        <w:rPr>
          <w:rFonts w:ascii="Times New Roman" w:hAnsi="Times New Roman" w:cs="Times New Roman"/>
          <w:b/>
        </w:rPr>
        <w:t>4.1.2 MSCI and After dummy variables</w:t>
      </w:r>
    </w:p>
    <w:p w14:paraId="0E7D6145" w14:textId="4C66E7D5" w:rsidR="009E4DAB" w:rsidRPr="004760F1" w:rsidRDefault="00C30740" w:rsidP="002A40F7">
      <w:pPr>
        <w:jc w:val="both"/>
        <w:rPr>
          <w:rFonts w:ascii="Times New Roman" w:hAnsi="Times New Roman" w:cs="Times New Roman"/>
        </w:rPr>
      </w:pPr>
      <w:r w:rsidRPr="004760F1">
        <w:rPr>
          <w:rFonts w:ascii="Times New Roman" w:hAnsi="Times New Roman" w:cs="Times New Roman"/>
        </w:rPr>
        <w:t xml:space="preserve">“MSCI” is the dummy variable of the "A shares included in the MSCI index" event, MSCI=1 means a stock in included in the MSCI Index, otherwise MSCI=0. “After” is a dummy variable that equals to 1 if </w:t>
      </w:r>
      <w:proofErr w:type="spellStart"/>
      <w:r w:rsidRPr="004760F1">
        <w:rPr>
          <w:rFonts w:ascii="Times New Roman" w:hAnsi="Times New Roman" w:cs="Times New Roman"/>
        </w:rPr>
        <w:t>t</w:t>
      </w:r>
      <w:proofErr w:type="spellEnd"/>
      <w:r w:rsidRPr="004760F1">
        <w:rPr>
          <w:rFonts w:ascii="Times New Roman" w:hAnsi="Times New Roman" w:cs="Times New Roman"/>
        </w:rPr>
        <w:t xml:space="preserve"> is </w:t>
      </w:r>
      <w:r w:rsidR="00C40F44" w:rsidRPr="004760F1">
        <w:rPr>
          <w:rFonts w:ascii="Times New Roman" w:hAnsi="Times New Roman" w:cs="Times New Roman"/>
        </w:rPr>
        <w:t>A</w:t>
      </w:r>
      <w:r w:rsidRPr="004760F1">
        <w:rPr>
          <w:rFonts w:ascii="Times New Roman" w:hAnsi="Times New Roman" w:cs="Times New Roman"/>
        </w:rPr>
        <w:t xml:space="preserve">fter a certain time, we defines </w:t>
      </w:r>
      <w:r w:rsidR="00C40F44" w:rsidRPr="004760F1">
        <w:rPr>
          <w:rFonts w:ascii="Times New Roman" w:hAnsi="Times New Roman" w:cs="Times New Roman"/>
        </w:rPr>
        <w:t>A</w:t>
      </w:r>
      <w:r w:rsidRPr="004760F1">
        <w:rPr>
          <w:rFonts w:ascii="Times New Roman" w:hAnsi="Times New Roman" w:cs="Times New Roman"/>
        </w:rPr>
        <w:t xml:space="preserve">fter1=1 for dates after January 2017 (when no information about a shares included in MSCI index has been announced), </w:t>
      </w:r>
      <w:r w:rsidR="00C40F44" w:rsidRPr="004760F1">
        <w:rPr>
          <w:rFonts w:ascii="Times New Roman" w:hAnsi="Times New Roman" w:cs="Times New Roman"/>
        </w:rPr>
        <w:t>A</w:t>
      </w:r>
      <w:r w:rsidRPr="004760F1">
        <w:rPr>
          <w:rFonts w:ascii="Times New Roman" w:hAnsi="Times New Roman" w:cs="Times New Roman"/>
        </w:rPr>
        <w:t xml:space="preserve">fter2=1 for dates after June 2017 (the time point of first announcement), </w:t>
      </w:r>
      <w:r w:rsidR="00EB2443" w:rsidRPr="004760F1">
        <w:rPr>
          <w:rFonts w:ascii="Times New Roman" w:hAnsi="Times New Roman" w:cs="Times New Roman"/>
        </w:rPr>
        <w:t>A</w:t>
      </w:r>
      <w:r w:rsidRPr="004760F1">
        <w:rPr>
          <w:rFonts w:ascii="Times New Roman" w:hAnsi="Times New Roman" w:cs="Times New Roman"/>
        </w:rPr>
        <w:t xml:space="preserve">fter3=1 for dates after January 2018 (middle point between time point of announcement and first execution), </w:t>
      </w:r>
      <w:r w:rsidR="00EB2443" w:rsidRPr="004760F1">
        <w:rPr>
          <w:rFonts w:ascii="Times New Roman" w:hAnsi="Times New Roman" w:cs="Times New Roman"/>
        </w:rPr>
        <w:t>A</w:t>
      </w:r>
      <w:r w:rsidRPr="004760F1">
        <w:rPr>
          <w:rFonts w:ascii="Times New Roman" w:hAnsi="Times New Roman" w:cs="Times New Roman"/>
        </w:rPr>
        <w:t xml:space="preserve">fter4=1 for dates after June 2018 (the first actual implementation time point, with emphasis on the investigation time point), and </w:t>
      </w:r>
      <w:r w:rsidR="00EB2443" w:rsidRPr="004760F1">
        <w:rPr>
          <w:rFonts w:ascii="Times New Roman" w:hAnsi="Times New Roman" w:cs="Times New Roman"/>
        </w:rPr>
        <w:t>A</w:t>
      </w:r>
      <w:r w:rsidRPr="004760F1">
        <w:rPr>
          <w:rFonts w:ascii="Times New Roman" w:hAnsi="Times New Roman" w:cs="Times New Roman"/>
        </w:rPr>
        <w:t xml:space="preserve">fter5=1 for dates after September 2018 (the second implementation time point), otherwise </w:t>
      </w:r>
      <w:r w:rsidR="006154CA" w:rsidRPr="004760F1">
        <w:rPr>
          <w:rFonts w:ascii="Times New Roman" w:hAnsi="Times New Roman" w:cs="Times New Roman"/>
        </w:rPr>
        <w:t>A</w:t>
      </w:r>
      <w:r w:rsidRPr="004760F1">
        <w:rPr>
          <w:rFonts w:ascii="Times New Roman" w:hAnsi="Times New Roman" w:cs="Times New Roman"/>
        </w:rPr>
        <w:t>fter = 0.</w:t>
      </w:r>
    </w:p>
    <w:p w14:paraId="2C0B687D" w14:textId="0583803A" w:rsidR="00EF5F85" w:rsidRPr="004760F1" w:rsidRDefault="00EF5F85" w:rsidP="00EF5F85">
      <w:pPr>
        <w:jc w:val="both"/>
        <w:rPr>
          <w:rFonts w:ascii="Times New Roman" w:hAnsi="Times New Roman" w:cs="Times New Roman"/>
          <w:b/>
        </w:rPr>
      </w:pPr>
      <w:r w:rsidRPr="004760F1">
        <w:rPr>
          <w:rFonts w:ascii="Times New Roman" w:hAnsi="Times New Roman" w:cs="Times New Roman"/>
          <w:b/>
        </w:rPr>
        <w:t>4.1.3 Control variables</w:t>
      </w:r>
    </w:p>
    <w:p w14:paraId="4BD78151" w14:textId="06F56719" w:rsidR="00C53D27" w:rsidRPr="004760F1" w:rsidRDefault="004D7770" w:rsidP="002A40F7">
      <w:pPr>
        <w:jc w:val="both"/>
        <w:rPr>
          <w:rFonts w:ascii="Times New Roman" w:hAnsi="Times New Roman" w:cs="Times New Roman"/>
        </w:rPr>
      </w:pPr>
      <w:r w:rsidRPr="004760F1">
        <w:rPr>
          <w:rFonts w:ascii="Times New Roman" w:hAnsi="Times New Roman" w:cs="Times New Roman"/>
        </w:rPr>
        <w:t>We selected the variables such as P/E ratio, P/</w:t>
      </w:r>
      <w:r w:rsidR="00EF5F85" w:rsidRPr="004760F1">
        <w:rPr>
          <w:rFonts w:ascii="Times New Roman" w:hAnsi="Times New Roman" w:cs="Times New Roman"/>
        </w:rPr>
        <w:t>B ratio, book to market</w:t>
      </w:r>
      <w:r w:rsidR="00D15BD3" w:rsidRPr="004760F1">
        <w:rPr>
          <w:rFonts w:ascii="Times New Roman" w:hAnsi="Times New Roman" w:cs="Times New Roman"/>
        </w:rPr>
        <w:t xml:space="preserve"> cap </w:t>
      </w:r>
      <w:r w:rsidR="00EF5F85" w:rsidRPr="004760F1">
        <w:rPr>
          <w:rFonts w:ascii="Times New Roman" w:hAnsi="Times New Roman" w:cs="Times New Roman"/>
        </w:rPr>
        <w:t xml:space="preserve">ratio, financial liability ratio, company size, </w:t>
      </w:r>
      <w:r w:rsidR="009778E2" w:rsidRPr="004760F1">
        <w:rPr>
          <w:rFonts w:ascii="Times New Roman" w:hAnsi="Times New Roman" w:cs="Times New Roman"/>
        </w:rPr>
        <w:t xml:space="preserve">dummy variable for </w:t>
      </w:r>
      <w:r w:rsidR="00EF5F85" w:rsidRPr="004760F1">
        <w:rPr>
          <w:rFonts w:ascii="Times New Roman" w:hAnsi="Times New Roman" w:cs="Times New Roman"/>
        </w:rPr>
        <w:t>whether the auditors are from the four major accounting firms</w:t>
      </w:r>
      <w:r w:rsidRPr="004760F1">
        <w:rPr>
          <w:rFonts w:ascii="Times New Roman" w:hAnsi="Times New Roman" w:cs="Times New Roman"/>
        </w:rPr>
        <w:t xml:space="preserve"> (PWC, Deloitte, Ernst &amp; Young, KPMG)</w:t>
      </w:r>
      <w:r w:rsidR="00EF5F85" w:rsidRPr="004760F1">
        <w:rPr>
          <w:rFonts w:ascii="Times New Roman" w:hAnsi="Times New Roman" w:cs="Times New Roman"/>
        </w:rPr>
        <w:t xml:space="preserve">, </w:t>
      </w:r>
      <w:r w:rsidR="009778E2" w:rsidRPr="004760F1">
        <w:rPr>
          <w:rFonts w:ascii="Times New Roman" w:hAnsi="Times New Roman" w:cs="Times New Roman"/>
        </w:rPr>
        <w:t xml:space="preserve">dummy variable for </w:t>
      </w:r>
      <w:r w:rsidR="00EF5F85" w:rsidRPr="004760F1">
        <w:rPr>
          <w:rFonts w:ascii="Times New Roman" w:hAnsi="Times New Roman" w:cs="Times New Roman"/>
        </w:rPr>
        <w:t xml:space="preserve">whether the auditors are from overseas accounting firms, the </w:t>
      </w:r>
      <w:r w:rsidR="009778E2" w:rsidRPr="004760F1">
        <w:rPr>
          <w:rFonts w:ascii="Times New Roman" w:hAnsi="Times New Roman" w:cs="Times New Roman"/>
        </w:rPr>
        <w:t xml:space="preserve">number of analysts covering stocks, </w:t>
      </w:r>
      <w:r w:rsidR="00EF5F85" w:rsidRPr="004760F1">
        <w:rPr>
          <w:rFonts w:ascii="Times New Roman" w:hAnsi="Times New Roman" w:cs="Times New Roman"/>
        </w:rPr>
        <w:t xml:space="preserve">the shareholding ratio of </w:t>
      </w:r>
      <w:r w:rsidR="009778E2" w:rsidRPr="004760F1">
        <w:rPr>
          <w:rFonts w:ascii="Times New Roman" w:hAnsi="Times New Roman" w:cs="Times New Roman"/>
        </w:rPr>
        <w:t>foreign investors.</w:t>
      </w:r>
      <w:r w:rsidR="00EF5F85" w:rsidRPr="004760F1">
        <w:rPr>
          <w:rFonts w:ascii="Times New Roman" w:hAnsi="Times New Roman" w:cs="Times New Roman"/>
        </w:rPr>
        <w:t xml:space="preserve"> See Table</w:t>
      </w:r>
      <w:r w:rsidR="00EF5F85" w:rsidRPr="00E210EA">
        <w:rPr>
          <w:rFonts w:ascii="Times New Roman" w:hAnsi="Times New Roman" w:cs="Times New Roman"/>
          <w:color w:val="000000" w:themeColor="text1"/>
        </w:rPr>
        <w:t xml:space="preserve"> </w:t>
      </w:r>
      <w:r w:rsidR="00ED5FE4" w:rsidRPr="00E210EA">
        <w:rPr>
          <w:rFonts w:ascii="Times New Roman" w:hAnsi="Times New Roman" w:cs="Times New Roman"/>
          <w:color w:val="000000" w:themeColor="text1"/>
        </w:rPr>
        <w:t>4</w:t>
      </w:r>
      <w:r w:rsidR="00EF5F85" w:rsidRPr="00E210EA">
        <w:rPr>
          <w:rFonts w:ascii="Times New Roman" w:hAnsi="Times New Roman" w:cs="Times New Roman"/>
          <w:color w:val="000000" w:themeColor="text1"/>
        </w:rPr>
        <w:t>-1</w:t>
      </w:r>
      <w:r w:rsidR="00EF5F85" w:rsidRPr="004760F1">
        <w:rPr>
          <w:rFonts w:ascii="Times New Roman" w:hAnsi="Times New Roman" w:cs="Times New Roman"/>
          <w:color w:val="FF0000"/>
        </w:rPr>
        <w:t xml:space="preserve"> </w:t>
      </w:r>
      <w:r w:rsidR="00EF5F85" w:rsidRPr="004760F1">
        <w:rPr>
          <w:rFonts w:ascii="Times New Roman" w:hAnsi="Times New Roman" w:cs="Times New Roman"/>
        </w:rPr>
        <w:t xml:space="preserve">for </w:t>
      </w:r>
      <w:r w:rsidR="009778E2" w:rsidRPr="004760F1">
        <w:rPr>
          <w:rFonts w:ascii="Times New Roman" w:hAnsi="Times New Roman" w:cs="Times New Roman"/>
        </w:rPr>
        <w:t xml:space="preserve">detailed </w:t>
      </w:r>
      <w:r w:rsidR="00EF5F85" w:rsidRPr="004760F1">
        <w:rPr>
          <w:rFonts w:ascii="Times New Roman" w:hAnsi="Times New Roman" w:cs="Times New Roman"/>
        </w:rPr>
        <w:t>specific definitions.</w:t>
      </w:r>
    </w:p>
    <w:p w14:paraId="0696464B" w14:textId="26A6CF04" w:rsidR="009778E2" w:rsidRPr="00E210EA" w:rsidRDefault="00ED5FE4" w:rsidP="00E210EA">
      <w:pPr>
        <w:rPr>
          <w:rFonts w:ascii="Times New Roman" w:hAnsi="Times New Roman" w:cs="Times New Roman" w:hint="eastAsia"/>
          <w:b/>
          <w:bCs/>
        </w:rPr>
      </w:pPr>
      <w:r w:rsidRPr="00E210EA">
        <w:rPr>
          <w:rFonts w:ascii="Times New Roman" w:hAnsi="Times New Roman" w:cs="Times New Roman"/>
          <w:b/>
          <w:bCs/>
        </w:rPr>
        <w:t>Table 4-1</w:t>
      </w:r>
      <w:r w:rsidR="00E210EA" w:rsidRPr="00E210EA">
        <w:rPr>
          <w:rFonts w:ascii="Times New Roman" w:hAnsi="Times New Roman" w:cs="Times New Roman"/>
          <w:b/>
          <w:bCs/>
        </w:rPr>
        <w:t xml:space="preserve"> Control Variables Definition</w:t>
      </w:r>
    </w:p>
    <w:tbl>
      <w:tblPr>
        <w:tblStyle w:val="ae"/>
        <w:tblW w:w="8363" w:type="dxa"/>
        <w:jc w:val="center"/>
        <w:tblBorders>
          <w:top w:val="single" w:sz="0" w:space="0" w:color="000000"/>
          <w:left w:val="nil"/>
          <w:bottom w:val="single" w:sz="0" w:space="0" w:color="000000"/>
          <w:right w:val="nil"/>
          <w:insideH w:val="nil"/>
          <w:insideV w:val="nil"/>
        </w:tblBorders>
        <w:tblLook w:val="04A0" w:firstRow="1" w:lastRow="0" w:firstColumn="1" w:lastColumn="0" w:noHBand="0" w:noVBand="1"/>
      </w:tblPr>
      <w:tblGrid>
        <w:gridCol w:w="2181"/>
        <w:gridCol w:w="6182"/>
      </w:tblGrid>
      <w:tr w:rsidR="00ED5FE4" w:rsidRPr="004760F1" w14:paraId="0019BBBB" w14:textId="77777777" w:rsidTr="000A39CA">
        <w:trPr>
          <w:trHeight w:val="340"/>
          <w:jc w:val="center"/>
        </w:trPr>
        <w:tc>
          <w:tcPr>
            <w:tcW w:w="2148" w:type="dxa"/>
            <w:tcBorders>
              <w:bottom w:val="single" w:sz="0" w:space="0" w:color="000000"/>
            </w:tcBorders>
          </w:tcPr>
          <w:p w14:paraId="146AEAE4" w14:textId="79A03F68" w:rsidR="00ED5FE4" w:rsidRPr="004760F1" w:rsidRDefault="00ED5FE4" w:rsidP="007764DA">
            <w:pPr>
              <w:pStyle w:val="Normal-TableGrid-BR1"/>
              <w:ind w:rightChars="68" w:right="163" w:firstLineChars="80" w:firstLine="177"/>
              <w:jc w:val="center"/>
              <w:rPr>
                <w:rFonts w:eastAsia="宋体"/>
                <w:b/>
                <w:color w:val="000000" w:themeColor="text1"/>
              </w:rPr>
            </w:pPr>
            <w:r w:rsidRPr="004760F1">
              <w:rPr>
                <w:rFonts w:eastAsia="宋体"/>
                <w:b/>
                <w:color w:val="000000" w:themeColor="text1"/>
              </w:rPr>
              <w:t>Variable</w:t>
            </w:r>
          </w:p>
        </w:tc>
        <w:tc>
          <w:tcPr>
            <w:tcW w:w="6215" w:type="dxa"/>
            <w:tcBorders>
              <w:bottom w:val="single" w:sz="0" w:space="0" w:color="000000"/>
            </w:tcBorders>
          </w:tcPr>
          <w:p w14:paraId="64C1F67B" w14:textId="66076652" w:rsidR="00ED5FE4" w:rsidRPr="004760F1" w:rsidRDefault="00ED5FE4" w:rsidP="007764DA">
            <w:pPr>
              <w:pStyle w:val="Normal-TableGrid-BR1"/>
              <w:ind w:rightChars="68" w:right="163" w:firstLine="0"/>
              <w:jc w:val="center"/>
              <w:rPr>
                <w:rFonts w:eastAsia="宋体"/>
                <w:b/>
                <w:color w:val="000000" w:themeColor="text1"/>
              </w:rPr>
            </w:pPr>
            <w:r w:rsidRPr="004760F1">
              <w:rPr>
                <w:rFonts w:eastAsia="宋体"/>
                <w:b/>
                <w:color w:val="000000" w:themeColor="text1"/>
              </w:rPr>
              <w:t>Definition</w:t>
            </w:r>
          </w:p>
        </w:tc>
      </w:tr>
      <w:tr w:rsidR="00ED5FE4" w:rsidRPr="004760F1" w14:paraId="0E94E364" w14:textId="77777777" w:rsidTr="000A39CA">
        <w:trPr>
          <w:trHeight w:val="340"/>
          <w:jc w:val="center"/>
        </w:trPr>
        <w:tc>
          <w:tcPr>
            <w:tcW w:w="2148" w:type="dxa"/>
            <w:tcBorders>
              <w:top w:val="single" w:sz="0" w:space="0" w:color="000000"/>
            </w:tcBorders>
          </w:tcPr>
          <w:p w14:paraId="7643AFC0"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rPr>
                <w:rFonts w:eastAsia="宋体"/>
                <w:color w:val="000000" w:themeColor="text1"/>
              </w:rPr>
              <w:t>var_raw</w:t>
            </w:r>
            <w:proofErr w:type="spellEnd"/>
          </w:p>
        </w:tc>
        <w:tc>
          <w:tcPr>
            <w:tcW w:w="6215" w:type="dxa"/>
            <w:tcBorders>
              <w:top w:val="single" w:sz="0" w:space="0" w:color="000000"/>
            </w:tcBorders>
          </w:tcPr>
          <w:p w14:paraId="1DBA4925" w14:textId="1554A94E" w:rsidR="00ED5FE4" w:rsidRPr="004760F1" w:rsidRDefault="00ED5FE4" w:rsidP="00196983">
            <w:pPr>
              <w:pStyle w:val="Normal-TableGrid-BR1"/>
              <w:ind w:rightChars="68" w:right="163" w:firstLine="0"/>
              <w:rPr>
                <w:rFonts w:eastAsia="宋体"/>
                <w:color w:val="000000" w:themeColor="text1"/>
              </w:rPr>
            </w:pPr>
            <w:r w:rsidRPr="004760F1">
              <w:rPr>
                <w:rFonts w:eastAsia="宋体"/>
                <w:color w:val="000000" w:themeColor="text1"/>
              </w:rPr>
              <w:t>Stock raw volatility (Annualized)</w:t>
            </w:r>
          </w:p>
        </w:tc>
      </w:tr>
      <w:tr w:rsidR="00ED5FE4" w:rsidRPr="004760F1" w14:paraId="40093C5A" w14:textId="77777777" w:rsidTr="000A39CA">
        <w:trPr>
          <w:trHeight w:val="340"/>
          <w:jc w:val="center"/>
        </w:trPr>
        <w:tc>
          <w:tcPr>
            <w:tcW w:w="2148" w:type="dxa"/>
          </w:tcPr>
          <w:p w14:paraId="00E429BB"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rPr>
                <w:rFonts w:eastAsia="宋体"/>
                <w:color w:val="000000" w:themeColor="text1"/>
              </w:rPr>
              <w:t>var_capm_w_ann</w:t>
            </w:r>
            <w:proofErr w:type="spellEnd"/>
          </w:p>
        </w:tc>
        <w:tc>
          <w:tcPr>
            <w:tcW w:w="6215" w:type="dxa"/>
          </w:tcPr>
          <w:p w14:paraId="4C219977" w14:textId="388552B8" w:rsidR="00ED5FE4" w:rsidRPr="004760F1" w:rsidRDefault="00ED5FE4" w:rsidP="00196983">
            <w:pPr>
              <w:pStyle w:val="Normal-TableGrid-BR1"/>
              <w:ind w:rightChars="68" w:right="163" w:firstLine="0"/>
              <w:rPr>
                <w:rFonts w:eastAsia="宋体"/>
                <w:color w:val="000000" w:themeColor="text1"/>
              </w:rPr>
            </w:pPr>
            <w:r w:rsidRPr="004760F1">
              <w:rPr>
                <w:rFonts w:eastAsia="宋体"/>
                <w:color w:val="000000" w:themeColor="text1"/>
              </w:rPr>
              <w:t>Stock idiosyncratic volatility based on CAPM model (Annualized)</w:t>
            </w:r>
          </w:p>
        </w:tc>
      </w:tr>
      <w:tr w:rsidR="00ED5FE4" w:rsidRPr="004760F1" w14:paraId="1F24FDC4" w14:textId="77777777" w:rsidTr="000A39CA">
        <w:trPr>
          <w:trHeight w:val="340"/>
          <w:jc w:val="center"/>
        </w:trPr>
        <w:tc>
          <w:tcPr>
            <w:tcW w:w="2148" w:type="dxa"/>
          </w:tcPr>
          <w:p w14:paraId="3D5D30FF" w14:textId="77777777" w:rsidR="00ED5FE4" w:rsidRPr="004760F1" w:rsidRDefault="00ED5FE4" w:rsidP="007764DA">
            <w:pPr>
              <w:pStyle w:val="Normal-TableGrid-BR1"/>
              <w:ind w:rightChars="68" w:right="163" w:firstLineChars="80" w:firstLine="176"/>
              <w:rPr>
                <w:rFonts w:eastAsia="宋体"/>
                <w:color w:val="000000" w:themeColor="text1"/>
              </w:rPr>
            </w:pPr>
            <w:r w:rsidRPr="004760F1">
              <w:rPr>
                <w:rFonts w:eastAsia="宋体"/>
                <w:color w:val="000000" w:themeColor="text1"/>
              </w:rPr>
              <w:t>MSCI1/2</w:t>
            </w:r>
          </w:p>
        </w:tc>
        <w:tc>
          <w:tcPr>
            <w:tcW w:w="6215" w:type="dxa"/>
          </w:tcPr>
          <w:p w14:paraId="3B2D7A7B" w14:textId="10A000A4" w:rsidR="00ED5FE4" w:rsidRPr="004760F1" w:rsidRDefault="00771D0A" w:rsidP="00196983">
            <w:pPr>
              <w:pStyle w:val="Normal-TableGrid-BR1"/>
              <w:ind w:left="11" w:rightChars="68" w:right="163" w:hangingChars="5" w:hanging="11"/>
              <w:rPr>
                <w:rFonts w:eastAsia="宋体"/>
                <w:color w:val="000000" w:themeColor="text1"/>
              </w:rPr>
            </w:pPr>
            <w:r w:rsidRPr="004760F1">
              <w:rPr>
                <w:rFonts w:eastAsia="宋体"/>
                <w:color w:val="000000" w:themeColor="text1"/>
              </w:rPr>
              <w:t xml:space="preserve">Dummy variable, MSCI=1 if stock </w:t>
            </w:r>
            <w:proofErr w:type="spellStart"/>
            <w:r w:rsidRPr="004760F1">
              <w:rPr>
                <w:rFonts w:eastAsia="宋体"/>
                <w:color w:val="000000" w:themeColor="text1"/>
              </w:rPr>
              <w:t>i</w:t>
            </w:r>
            <w:proofErr w:type="spellEnd"/>
            <w:r w:rsidRPr="004760F1">
              <w:rPr>
                <w:rFonts w:eastAsia="宋体"/>
                <w:color w:val="000000" w:themeColor="text1"/>
              </w:rPr>
              <w:t xml:space="preserve"> is included in MSCI </w:t>
            </w:r>
            <w:proofErr w:type="spellStart"/>
            <w:proofErr w:type="gramStart"/>
            <w:r w:rsidRPr="004760F1">
              <w:rPr>
                <w:rFonts w:eastAsia="宋体"/>
                <w:color w:val="000000" w:themeColor="text1"/>
              </w:rPr>
              <w:t>index,otherwise</w:t>
            </w:r>
            <w:proofErr w:type="spellEnd"/>
            <w:proofErr w:type="gramEnd"/>
            <w:r w:rsidRPr="004760F1">
              <w:rPr>
                <w:rFonts w:eastAsia="宋体"/>
                <w:color w:val="000000" w:themeColor="text1"/>
              </w:rPr>
              <w:t xml:space="preserve"> = 0.</w:t>
            </w:r>
          </w:p>
          <w:p w14:paraId="42FA8D5C" w14:textId="77777777" w:rsidR="00771D0A" w:rsidRPr="004760F1" w:rsidRDefault="00ED5FE4" w:rsidP="00196983">
            <w:pPr>
              <w:pStyle w:val="Normal-TableGrid-BR1"/>
              <w:ind w:rightChars="68" w:right="163" w:firstLine="0"/>
              <w:rPr>
                <w:rFonts w:eastAsia="宋体"/>
                <w:color w:val="000000" w:themeColor="text1"/>
              </w:rPr>
            </w:pPr>
            <w:r w:rsidRPr="004760F1">
              <w:rPr>
                <w:rFonts w:eastAsia="宋体"/>
                <w:color w:val="000000" w:themeColor="text1"/>
              </w:rPr>
              <w:t xml:space="preserve">- </w:t>
            </w:r>
            <w:r w:rsidR="00771D0A" w:rsidRPr="004760F1">
              <w:rPr>
                <w:rFonts w:eastAsia="宋体"/>
                <w:color w:val="000000" w:themeColor="text1"/>
              </w:rPr>
              <w:t>MSCI1=1 if stock is added in first batch on May 2018.</w:t>
            </w:r>
          </w:p>
          <w:p w14:paraId="2B6D6769" w14:textId="1A7CC48C" w:rsidR="00ED5FE4" w:rsidRPr="004760F1" w:rsidRDefault="00ED5FE4" w:rsidP="00196983">
            <w:pPr>
              <w:pStyle w:val="Normal-TableGrid-BR1"/>
              <w:ind w:rightChars="68" w:right="163" w:firstLine="0"/>
              <w:rPr>
                <w:rFonts w:eastAsia="宋体"/>
                <w:color w:val="000000" w:themeColor="text1"/>
              </w:rPr>
            </w:pPr>
            <w:r w:rsidRPr="004760F1">
              <w:rPr>
                <w:rFonts w:eastAsia="宋体"/>
                <w:color w:val="000000" w:themeColor="text1"/>
              </w:rPr>
              <w:t xml:space="preserve">- </w:t>
            </w:r>
            <w:r w:rsidR="00771D0A" w:rsidRPr="004760F1">
              <w:rPr>
                <w:rFonts w:eastAsia="宋体"/>
                <w:color w:val="000000" w:themeColor="text1"/>
              </w:rPr>
              <w:t>MSCI1=1 if stock is added in second batch on Sep 2018.</w:t>
            </w:r>
          </w:p>
        </w:tc>
      </w:tr>
      <w:tr w:rsidR="00ED5FE4" w:rsidRPr="004760F1" w14:paraId="012669AE" w14:textId="77777777" w:rsidTr="000A39CA">
        <w:trPr>
          <w:trHeight w:val="340"/>
          <w:jc w:val="center"/>
        </w:trPr>
        <w:tc>
          <w:tcPr>
            <w:tcW w:w="2148" w:type="dxa"/>
          </w:tcPr>
          <w:p w14:paraId="6927FAC7" w14:textId="77777777" w:rsidR="00ED5FE4" w:rsidRPr="004760F1" w:rsidRDefault="00ED5FE4" w:rsidP="007764DA">
            <w:pPr>
              <w:pStyle w:val="Normal-TableGrid-BR1"/>
              <w:ind w:rightChars="68" w:right="163" w:firstLineChars="80" w:firstLine="176"/>
              <w:rPr>
                <w:rFonts w:eastAsia="宋体"/>
                <w:color w:val="000000" w:themeColor="text1"/>
              </w:rPr>
            </w:pPr>
            <w:r w:rsidRPr="004760F1">
              <w:rPr>
                <w:rFonts w:eastAsia="宋体"/>
                <w:color w:val="000000" w:themeColor="text1"/>
              </w:rPr>
              <w:t>After1/2/3/4/5</w:t>
            </w:r>
          </w:p>
        </w:tc>
        <w:tc>
          <w:tcPr>
            <w:tcW w:w="6215" w:type="dxa"/>
          </w:tcPr>
          <w:p w14:paraId="3F479737" w14:textId="786DBBE7" w:rsidR="00196983" w:rsidRPr="004760F1" w:rsidRDefault="00196983" w:rsidP="00196983">
            <w:pPr>
              <w:pStyle w:val="Normal-TableGrid-BR1"/>
              <w:ind w:left="11" w:rightChars="68" w:right="163" w:hangingChars="5" w:hanging="11"/>
              <w:rPr>
                <w:rFonts w:eastAsia="宋体"/>
                <w:color w:val="000000" w:themeColor="text1"/>
              </w:rPr>
            </w:pPr>
            <w:r w:rsidRPr="004760F1">
              <w:rPr>
                <w:rFonts w:eastAsia="宋体"/>
                <w:color w:val="000000" w:themeColor="text1"/>
              </w:rPr>
              <w:t xml:space="preserve">Dummy variable, </w:t>
            </w:r>
            <w:r w:rsidR="005F2AFA" w:rsidRPr="004760F1">
              <w:rPr>
                <w:rFonts w:eastAsia="宋体"/>
                <w:color w:val="000000" w:themeColor="text1"/>
              </w:rPr>
              <w:t>After</w:t>
            </w:r>
            <w:r w:rsidRPr="004760F1">
              <w:rPr>
                <w:rFonts w:eastAsia="宋体"/>
                <w:color w:val="000000" w:themeColor="text1"/>
              </w:rPr>
              <w:t xml:space="preserve">=1 </w:t>
            </w:r>
            <w:r w:rsidR="005F2AFA" w:rsidRPr="004760F1">
              <w:rPr>
                <w:rFonts w:eastAsia="宋体"/>
                <w:color w:val="000000" w:themeColor="text1"/>
              </w:rPr>
              <w:t>after certain time, o</w:t>
            </w:r>
            <w:r w:rsidRPr="004760F1">
              <w:rPr>
                <w:rFonts w:eastAsia="宋体"/>
                <w:color w:val="000000" w:themeColor="text1"/>
              </w:rPr>
              <w:t>therwise = 0.</w:t>
            </w:r>
          </w:p>
          <w:p w14:paraId="6C8DA7CD" w14:textId="411F9F74" w:rsidR="00ED5FE4" w:rsidRPr="004760F1" w:rsidRDefault="00ED5FE4" w:rsidP="00196983">
            <w:pPr>
              <w:pStyle w:val="Normal-TableGrid-BR1"/>
              <w:ind w:rightChars="68" w:right="163" w:firstLine="0"/>
              <w:rPr>
                <w:rFonts w:eastAsia="宋体"/>
                <w:color w:val="000000" w:themeColor="text1"/>
              </w:rPr>
            </w:pPr>
            <w:r w:rsidRPr="004760F1">
              <w:rPr>
                <w:rFonts w:eastAsia="宋体"/>
                <w:color w:val="000000" w:themeColor="text1"/>
              </w:rPr>
              <w:t>- After1</w:t>
            </w:r>
            <w:r w:rsidR="005F2AFA" w:rsidRPr="004760F1">
              <w:rPr>
                <w:rFonts w:eastAsia="宋体"/>
                <w:color w:val="000000" w:themeColor="text1"/>
              </w:rPr>
              <w:t>=1 for dates after Jan 2017</w:t>
            </w:r>
          </w:p>
          <w:p w14:paraId="116B5392" w14:textId="0CDBF839" w:rsidR="00ED5FE4" w:rsidRPr="004760F1" w:rsidRDefault="00ED5FE4" w:rsidP="00196983">
            <w:pPr>
              <w:pStyle w:val="Normal-TableGrid-BR1"/>
              <w:ind w:rightChars="68" w:right="163" w:firstLine="0"/>
              <w:rPr>
                <w:rFonts w:eastAsia="宋体"/>
                <w:color w:val="000000" w:themeColor="text1"/>
              </w:rPr>
            </w:pPr>
            <w:r w:rsidRPr="004760F1">
              <w:rPr>
                <w:rFonts w:eastAsia="宋体"/>
                <w:color w:val="000000" w:themeColor="text1"/>
              </w:rPr>
              <w:t>- After2</w:t>
            </w:r>
            <w:r w:rsidR="005F2AFA" w:rsidRPr="004760F1">
              <w:rPr>
                <w:rFonts w:eastAsia="宋体"/>
                <w:color w:val="000000" w:themeColor="text1"/>
              </w:rPr>
              <w:t>=1 for dates after June 2017</w:t>
            </w:r>
          </w:p>
          <w:p w14:paraId="5D71B153" w14:textId="1E8B293C" w:rsidR="00ED5FE4" w:rsidRPr="004760F1" w:rsidRDefault="00ED5FE4" w:rsidP="00196983">
            <w:pPr>
              <w:pStyle w:val="Normal-TableGrid-BR1"/>
              <w:ind w:rightChars="68" w:right="163" w:firstLine="0"/>
              <w:rPr>
                <w:rFonts w:eastAsia="宋体"/>
                <w:color w:val="000000" w:themeColor="text1"/>
              </w:rPr>
            </w:pPr>
            <w:r w:rsidRPr="004760F1">
              <w:rPr>
                <w:rFonts w:eastAsia="宋体"/>
                <w:color w:val="000000" w:themeColor="text1"/>
              </w:rPr>
              <w:t>- After3</w:t>
            </w:r>
            <w:r w:rsidR="005F2AFA" w:rsidRPr="004760F1">
              <w:rPr>
                <w:rFonts w:eastAsia="宋体"/>
                <w:color w:val="000000" w:themeColor="text1"/>
              </w:rPr>
              <w:t>=1 for dates after Jan 2018</w:t>
            </w:r>
          </w:p>
          <w:p w14:paraId="69799D79" w14:textId="77777777" w:rsidR="005F2AFA" w:rsidRPr="004760F1" w:rsidRDefault="00ED5FE4" w:rsidP="005F2AFA">
            <w:pPr>
              <w:pStyle w:val="Normal-TableGrid-BR1"/>
              <w:ind w:rightChars="68" w:right="163" w:firstLine="0"/>
              <w:rPr>
                <w:rFonts w:eastAsia="宋体"/>
                <w:color w:val="000000" w:themeColor="text1"/>
              </w:rPr>
            </w:pPr>
            <w:r w:rsidRPr="004760F1">
              <w:rPr>
                <w:rFonts w:eastAsia="宋体"/>
                <w:color w:val="000000" w:themeColor="text1"/>
              </w:rPr>
              <w:t>- After4</w:t>
            </w:r>
            <w:r w:rsidR="005F2AFA" w:rsidRPr="004760F1">
              <w:rPr>
                <w:rFonts w:eastAsia="宋体"/>
                <w:color w:val="000000" w:themeColor="text1"/>
              </w:rPr>
              <w:t>=1 for dates after June 2018</w:t>
            </w:r>
          </w:p>
          <w:p w14:paraId="11A4FA63" w14:textId="704B21B6" w:rsidR="00ED5FE4" w:rsidRPr="004760F1" w:rsidRDefault="00ED5FE4" w:rsidP="005F2AFA">
            <w:pPr>
              <w:pStyle w:val="Normal-TableGrid-BR1"/>
              <w:ind w:rightChars="68" w:right="163" w:firstLine="0"/>
              <w:rPr>
                <w:rFonts w:eastAsia="宋体"/>
                <w:color w:val="000000" w:themeColor="text1"/>
              </w:rPr>
            </w:pPr>
            <w:r w:rsidRPr="004760F1">
              <w:rPr>
                <w:rFonts w:eastAsia="宋体"/>
                <w:color w:val="000000" w:themeColor="text1"/>
              </w:rPr>
              <w:t>- After5</w:t>
            </w:r>
            <w:r w:rsidR="005F2AFA" w:rsidRPr="004760F1">
              <w:rPr>
                <w:rFonts w:eastAsia="宋体"/>
                <w:color w:val="000000" w:themeColor="text1"/>
              </w:rPr>
              <w:t>=1 for dates after Sep 2018</w:t>
            </w:r>
          </w:p>
        </w:tc>
      </w:tr>
      <w:tr w:rsidR="00ED5FE4" w:rsidRPr="004760F1" w14:paraId="7023DECB" w14:textId="77777777" w:rsidTr="000A39CA">
        <w:trPr>
          <w:trHeight w:val="340"/>
          <w:jc w:val="center"/>
        </w:trPr>
        <w:tc>
          <w:tcPr>
            <w:tcW w:w="2148" w:type="dxa"/>
          </w:tcPr>
          <w:p w14:paraId="39B0F727"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rPr>
                <w:rFonts w:eastAsia="宋体"/>
                <w:color w:val="000000" w:themeColor="text1"/>
              </w:rPr>
              <w:t>PE_ratio</w:t>
            </w:r>
            <w:proofErr w:type="spellEnd"/>
          </w:p>
        </w:tc>
        <w:tc>
          <w:tcPr>
            <w:tcW w:w="6215" w:type="dxa"/>
          </w:tcPr>
          <w:p w14:paraId="55065CD3" w14:textId="4B2DE5DA" w:rsidR="00ED5FE4" w:rsidRPr="004760F1" w:rsidRDefault="00AB789F" w:rsidP="00D15BD3">
            <w:pPr>
              <w:pStyle w:val="Normal-TableGrid-BR1"/>
              <w:ind w:rightChars="68" w:right="163" w:firstLine="0"/>
              <w:rPr>
                <w:rFonts w:eastAsia="宋体"/>
                <w:color w:val="000000" w:themeColor="text1"/>
              </w:rPr>
            </w:pPr>
            <w:r w:rsidRPr="004760F1">
              <w:rPr>
                <w:rFonts w:eastAsia="宋体"/>
                <w:color w:val="000000" w:themeColor="text1"/>
              </w:rPr>
              <w:t xml:space="preserve">Price to </w:t>
            </w:r>
            <w:proofErr w:type="spellStart"/>
            <w:r w:rsidR="00D15BD3" w:rsidRPr="004760F1">
              <w:rPr>
                <w:rFonts w:eastAsia="宋体"/>
                <w:color w:val="000000" w:themeColor="text1"/>
              </w:rPr>
              <w:t>Earning</w:t>
            </w:r>
            <w:proofErr w:type="spellEnd"/>
            <w:r w:rsidRPr="004760F1">
              <w:rPr>
                <w:rFonts w:eastAsia="宋体"/>
                <w:color w:val="000000" w:themeColor="text1"/>
              </w:rPr>
              <w:t xml:space="preserve"> ratio</w:t>
            </w:r>
          </w:p>
        </w:tc>
      </w:tr>
      <w:tr w:rsidR="00ED5FE4" w:rsidRPr="004760F1" w14:paraId="529B1264" w14:textId="77777777" w:rsidTr="000A39CA">
        <w:trPr>
          <w:trHeight w:val="340"/>
          <w:jc w:val="center"/>
        </w:trPr>
        <w:tc>
          <w:tcPr>
            <w:tcW w:w="2148" w:type="dxa"/>
          </w:tcPr>
          <w:p w14:paraId="2B271147"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rPr>
                <w:rFonts w:eastAsia="宋体"/>
                <w:color w:val="000000" w:themeColor="text1"/>
              </w:rPr>
              <w:t>PB_ratio</w:t>
            </w:r>
            <w:proofErr w:type="spellEnd"/>
          </w:p>
        </w:tc>
        <w:tc>
          <w:tcPr>
            <w:tcW w:w="6215" w:type="dxa"/>
          </w:tcPr>
          <w:p w14:paraId="14CE8A44" w14:textId="36756BBA" w:rsidR="00ED5FE4" w:rsidRPr="004760F1" w:rsidRDefault="00D15BD3" w:rsidP="00196983">
            <w:pPr>
              <w:pStyle w:val="Normal-TableGrid-BR1"/>
              <w:ind w:rightChars="68" w:right="163" w:firstLine="0"/>
              <w:rPr>
                <w:rFonts w:eastAsia="宋体"/>
                <w:color w:val="000000" w:themeColor="text1"/>
              </w:rPr>
            </w:pPr>
            <w:r w:rsidRPr="004760F1">
              <w:rPr>
                <w:rFonts w:eastAsia="宋体"/>
                <w:color w:val="000000" w:themeColor="text1"/>
              </w:rPr>
              <w:t>Price to Book ratio</w:t>
            </w:r>
          </w:p>
        </w:tc>
      </w:tr>
      <w:tr w:rsidR="00ED5FE4" w:rsidRPr="004760F1" w14:paraId="69895B8C" w14:textId="77777777" w:rsidTr="000A39CA">
        <w:trPr>
          <w:trHeight w:val="340"/>
          <w:jc w:val="center"/>
        </w:trPr>
        <w:tc>
          <w:tcPr>
            <w:tcW w:w="2148" w:type="dxa"/>
          </w:tcPr>
          <w:p w14:paraId="221D6F4E"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rPr>
                <w:rFonts w:eastAsia="宋体"/>
                <w:color w:val="000000" w:themeColor="text1"/>
              </w:rPr>
              <w:t>BM_ratio</w:t>
            </w:r>
            <w:proofErr w:type="spellEnd"/>
          </w:p>
        </w:tc>
        <w:tc>
          <w:tcPr>
            <w:tcW w:w="6215" w:type="dxa"/>
          </w:tcPr>
          <w:p w14:paraId="5E43C92B" w14:textId="0F80CE33" w:rsidR="00ED5FE4" w:rsidRPr="004760F1" w:rsidRDefault="00D15BD3" w:rsidP="00196983">
            <w:pPr>
              <w:pStyle w:val="Normal-TableGrid-BR1"/>
              <w:ind w:rightChars="68" w:right="163" w:firstLine="0"/>
              <w:rPr>
                <w:rFonts w:eastAsia="宋体"/>
                <w:color w:val="000000" w:themeColor="text1"/>
              </w:rPr>
            </w:pPr>
            <w:r w:rsidRPr="004760F1">
              <w:rPr>
                <w:rFonts w:eastAsia="宋体"/>
                <w:color w:val="000000" w:themeColor="text1"/>
              </w:rPr>
              <w:t>Book to Market cap ratio</w:t>
            </w:r>
          </w:p>
        </w:tc>
      </w:tr>
      <w:tr w:rsidR="00ED5FE4" w:rsidRPr="004760F1" w14:paraId="6E185BE9" w14:textId="77777777" w:rsidTr="000A39CA">
        <w:trPr>
          <w:trHeight w:val="340"/>
          <w:jc w:val="center"/>
        </w:trPr>
        <w:tc>
          <w:tcPr>
            <w:tcW w:w="2148" w:type="dxa"/>
          </w:tcPr>
          <w:p w14:paraId="5589FD66"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rPr>
                <w:rFonts w:eastAsia="宋体"/>
                <w:color w:val="000000" w:themeColor="text1"/>
              </w:rPr>
              <w:t>Fin_Lev</w:t>
            </w:r>
            <w:proofErr w:type="spellEnd"/>
          </w:p>
        </w:tc>
        <w:tc>
          <w:tcPr>
            <w:tcW w:w="6215" w:type="dxa"/>
          </w:tcPr>
          <w:p w14:paraId="29CB0F58" w14:textId="6300C851" w:rsidR="00ED5FE4" w:rsidRPr="004760F1" w:rsidRDefault="00893440" w:rsidP="00196983">
            <w:pPr>
              <w:pStyle w:val="Normal-TableGrid-BR1"/>
              <w:ind w:rightChars="68" w:right="163" w:firstLine="0"/>
              <w:rPr>
                <w:rFonts w:eastAsia="宋体"/>
                <w:color w:val="000000" w:themeColor="text1"/>
              </w:rPr>
            </w:pPr>
            <w:r w:rsidRPr="004760F1">
              <w:t>Financial liability ratio</w:t>
            </w:r>
          </w:p>
        </w:tc>
      </w:tr>
      <w:tr w:rsidR="00ED5FE4" w:rsidRPr="004760F1" w14:paraId="08EBBA81" w14:textId="77777777" w:rsidTr="000A39CA">
        <w:trPr>
          <w:trHeight w:val="340"/>
          <w:jc w:val="center"/>
        </w:trPr>
        <w:tc>
          <w:tcPr>
            <w:tcW w:w="2148" w:type="dxa"/>
          </w:tcPr>
          <w:p w14:paraId="378AFBA5"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rPr>
                <w:rFonts w:eastAsia="宋体"/>
                <w:color w:val="000000" w:themeColor="text1"/>
              </w:rPr>
              <w:t>AnaAttention</w:t>
            </w:r>
            <w:proofErr w:type="spellEnd"/>
          </w:p>
        </w:tc>
        <w:tc>
          <w:tcPr>
            <w:tcW w:w="6215" w:type="dxa"/>
          </w:tcPr>
          <w:p w14:paraId="69E4C879" w14:textId="4BCE834B" w:rsidR="00ED5FE4" w:rsidRPr="004760F1" w:rsidRDefault="00893440" w:rsidP="00196983">
            <w:pPr>
              <w:pStyle w:val="Normal-TableGrid-BR1"/>
              <w:ind w:rightChars="68" w:right="163" w:firstLine="0"/>
              <w:rPr>
                <w:rFonts w:eastAsia="宋体"/>
                <w:color w:val="000000" w:themeColor="text1"/>
              </w:rPr>
            </w:pPr>
            <w:r w:rsidRPr="004760F1">
              <w:rPr>
                <w:rFonts w:eastAsia="宋体"/>
                <w:color w:val="000000" w:themeColor="text1"/>
              </w:rPr>
              <w:t>Number of analysts covering the stock</w:t>
            </w:r>
          </w:p>
        </w:tc>
      </w:tr>
      <w:tr w:rsidR="00ED5FE4" w:rsidRPr="004760F1" w14:paraId="1335BC07" w14:textId="77777777" w:rsidTr="000A39CA">
        <w:trPr>
          <w:trHeight w:val="340"/>
          <w:jc w:val="center"/>
        </w:trPr>
        <w:tc>
          <w:tcPr>
            <w:tcW w:w="2148" w:type="dxa"/>
          </w:tcPr>
          <w:p w14:paraId="565E9398"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rPr>
                <w:rFonts w:eastAsia="宋体"/>
                <w:color w:val="000000" w:themeColor="text1"/>
              </w:rPr>
              <w:t>CompanySize_log</w:t>
            </w:r>
            <w:proofErr w:type="spellEnd"/>
          </w:p>
        </w:tc>
        <w:tc>
          <w:tcPr>
            <w:tcW w:w="6215" w:type="dxa"/>
          </w:tcPr>
          <w:p w14:paraId="055118EC" w14:textId="67383DA5" w:rsidR="00ED5FE4" w:rsidRPr="004760F1" w:rsidRDefault="00893440" w:rsidP="00893440">
            <w:pPr>
              <w:pStyle w:val="Normal-TableGrid-BR1"/>
              <w:ind w:rightChars="68" w:right="163" w:firstLine="0"/>
              <w:rPr>
                <w:rFonts w:eastAsia="宋体"/>
                <w:color w:val="000000" w:themeColor="text1"/>
              </w:rPr>
            </w:pPr>
            <w:r w:rsidRPr="004760F1">
              <w:rPr>
                <w:rFonts w:eastAsia="宋体"/>
                <w:color w:val="000000" w:themeColor="text1"/>
              </w:rPr>
              <w:t>Company Market cap (log)</w:t>
            </w:r>
          </w:p>
        </w:tc>
      </w:tr>
      <w:tr w:rsidR="00ED5FE4" w:rsidRPr="004760F1" w14:paraId="567735F8" w14:textId="77777777" w:rsidTr="000A39CA">
        <w:trPr>
          <w:trHeight w:val="340"/>
          <w:jc w:val="center"/>
        </w:trPr>
        <w:tc>
          <w:tcPr>
            <w:tcW w:w="2148" w:type="dxa"/>
          </w:tcPr>
          <w:p w14:paraId="0F7B050E" w14:textId="77777777" w:rsidR="00ED5FE4" w:rsidRPr="004760F1" w:rsidRDefault="00ED5FE4" w:rsidP="007764DA">
            <w:pPr>
              <w:pStyle w:val="Normal-TableGrid-BR1"/>
              <w:ind w:rightChars="68" w:right="163" w:firstLineChars="80" w:firstLine="176"/>
              <w:rPr>
                <w:rFonts w:eastAsia="宋体"/>
                <w:color w:val="000000" w:themeColor="text1"/>
              </w:rPr>
            </w:pPr>
            <w:r w:rsidRPr="004760F1">
              <w:rPr>
                <w:rFonts w:eastAsia="宋体"/>
                <w:color w:val="000000" w:themeColor="text1"/>
              </w:rPr>
              <w:t>Big4</w:t>
            </w:r>
          </w:p>
        </w:tc>
        <w:tc>
          <w:tcPr>
            <w:tcW w:w="6215" w:type="dxa"/>
          </w:tcPr>
          <w:p w14:paraId="7D7D9983" w14:textId="37D1143D" w:rsidR="00ED5FE4" w:rsidRPr="004760F1" w:rsidRDefault="003869D7" w:rsidP="003869D7">
            <w:pPr>
              <w:pStyle w:val="Normal-TableGrid-BR1"/>
              <w:ind w:rightChars="68" w:right="163" w:firstLine="0"/>
              <w:rPr>
                <w:rFonts w:eastAsia="宋体"/>
                <w:color w:val="000000" w:themeColor="text1"/>
              </w:rPr>
            </w:pPr>
            <w:r w:rsidRPr="004760F1">
              <w:rPr>
                <w:rFonts w:eastAsia="宋体"/>
                <w:color w:val="000000" w:themeColor="text1"/>
              </w:rPr>
              <w:t>Dummy variable, if</w:t>
            </w:r>
            <w:r w:rsidRPr="004760F1">
              <w:t xml:space="preserve"> auditors are from the four major accounting firms (PWC, Deloitte, Ernst &amp; Young, </w:t>
            </w:r>
            <w:proofErr w:type="gramStart"/>
            <w:r w:rsidRPr="004760F1">
              <w:t>KPMG)</w:t>
            </w:r>
            <w:r w:rsidR="00ED5FE4" w:rsidRPr="004760F1">
              <w:rPr>
                <w:rFonts w:eastAsia="宋体"/>
                <w:color w:val="000000" w:themeColor="text1"/>
                <w:szCs w:val="20"/>
              </w:rPr>
              <w:t>=</w:t>
            </w:r>
            <w:proofErr w:type="gramEnd"/>
            <w:r w:rsidR="00ED5FE4" w:rsidRPr="004760F1">
              <w:rPr>
                <w:rFonts w:eastAsia="宋体"/>
                <w:color w:val="000000" w:themeColor="text1"/>
                <w:szCs w:val="20"/>
              </w:rPr>
              <w:t>1</w:t>
            </w:r>
            <w:r w:rsidRPr="004760F1">
              <w:rPr>
                <w:rFonts w:eastAsia="宋体"/>
                <w:color w:val="000000" w:themeColor="text1"/>
                <w:szCs w:val="20"/>
              </w:rPr>
              <w:t>, otherwise</w:t>
            </w:r>
            <w:r w:rsidR="00871188" w:rsidRPr="004760F1">
              <w:rPr>
                <w:rFonts w:eastAsia="宋体"/>
                <w:color w:val="000000" w:themeColor="text1"/>
                <w:szCs w:val="20"/>
              </w:rPr>
              <w:t xml:space="preserve"> </w:t>
            </w:r>
            <w:r w:rsidRPr="004760F1">
              <w:rPr>
                <w:rFonts w:eastAsia="宋体"/>
                <w:color w:val="000000" w:themeColor="text1"/>
                <w:szCs w:val="20"/>
              </w:rPr>
              <w:t>=</w:t>
            </w:r>
            <w:r w:rsidR="00871188" w:rsidRPr="004760F1">
              <w:rPr>
                <w:rFonts w:eastAsia="宋体"/>
                <w:color w:val="000000" w:themeColor="text1"/>
                <w:szCs w:val="20"/>
              </w:rPr>
              <w:t xml:space="preserve"> </w:t>
            </w:r>
            <w:r w:rsidRPr="004760F1">
              <w:rPr>
                <w:rFonts w:eastAsia="宋体"/>
                <w:color w:val="000000" w:themeColor="text1"/>
                <w:szCs w:val="20"/>
              </w:rPr>
              <w:t>0.</w:t>
            </w:r>
          </w:p>
        </w:tc>
      </w:tr>
      <w:tr w:rsidR="00ED5FE4" w:rsidRPr="004760F1" w14:paraId="32597356" w14:textId="77777777" w:rsidTr="000A39CA">
        <w:trPr>
          <w:trHeight w:val="340"/>
          <w:jc w:val="center"/>
        </w:trPr>
        <w:tc>
          <w:tcPr>
            <w:tcW w:w="2148" w:type="dxa"/>
          </w:tcPr>
          <w:p w14:paraId="365E3CD7"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rPr>
                <w:rFonts w:eastAsia="宋体"/>
                <w:color w:val="000000" w:themeColor="text1"/>
              </w:rPr>
              <w:t>Outside_Audit</w:t>
            </w:r>
            <w:proofErr w:type="spellEnd"/>
          </w:p>
        </w:tc>
        <w:tc>
          <w:tcPr>
            <w:tcW w:w="6215" w:type="dxa"/>
          </w:tcPr>
          <w:p w14:paraId="5850E476" w14:textId="3A30A7E3" w:rsidR="00ED5FE4" w:rsidRPr="004760F1" w:rsidRDefault="00495DEB" w:rsidP="00196983">
            <w:pPr>
              <w:pStyle w:val="Normal-TableGrid-BR1"/>
              <w:ind w:rightChars="68" w:right="163" w:firstLine="0"/>
              <w:rPr>
                <w:rFonts w:eastAsia="宋体"/>
                <w:color w:val="000000" w:themeColor="text1"/>
              </w:rPr>
            </w:pPr>
            <w:r w:rsidRPr="004760F1">
              <w:rPr>
                <w:rFonts w:eastAsia="宋体"/>
                <w:color w:val="000000" w:themeColor="text1"/>
              </w:rPr>
              <w:t xml:space="preserve">Dummy variable, if </w:t>
            </w:r>
            <w:r w:rsidRPr="004760F1">
              <w:t>the auditors are from overseas accounting firms=1, otherwise=0.</w:t>
            </w:r>
          </w:p>
        </w:tc>
      </w:tr>
      <w:tr w:rsidR="00ED5FE4" w:rsidRPr="004760F1" w14:paraId="6B8F105E" w14:textId="77777777" w:rsidTr="000A39CA">
        <w:trPr>
          <w:trHeight w:val="340"/>
          <w:jc w:val="center"/>
        </w:trPr>
        <w:tc>
          <w:tcPr>
            <w:tcW w:w="2148" w:type="dxa"/>
          </w:tcPr>
          <w:p w14:paraId="2CAA765F"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t>TotInsHoldper</w:t>
            </w:r>
            <w:proofErr w:type="spellEnd"/>
          </w:p>
        </w:tc>
        <w:tc>
          <w:tcPr>
            <w:tcW w:w="6215" w:type="dxa"/>
          </w:tcPr>
          <w:p w14:paraId="228BE2F8" w14:textId="556D1A3D" w:rsidR="00ED5FE4" w:rsidRPr="004760F1" w:rsidRDefault="00C307C2" w:rsidP="00C307C2">
            <w:pPr>
              <w:pStyle w:val="Normal-TableGrid-BR1"/>
              <w:ind w:rightChars="68" w:right="163" w:firstLine="0"/>
              <w:rPr>
                <w:rFonts w:eastAsia="宋体"/>
                <w:color w:val="000000" w:themeColor="text1"/>
              </w:rPr>
            </w:pPr>
            <w:r w:rsidRPr="004760F1">
              <w:rPr>
                <w:rFonts w:eastAsia="宋体"/>
                <w:color w:val="000000" w:themeColor="text1"/>
              </w:rPr>
              <w:t>Overall Institutional investor holding%</w:t>
            </w:r>
          </w:p>
        </w:tc>
      </w:tr>
      <w:tr w:rsidR="00ED5FE4" w:rsidRPr="004760F1" w14:paraId="4A66B470" w14:textId="77777777" w:rsidTr="000A39CA">
        <w:trPr>
          <w:trHeight w:val="340"/>
          <w:jc w:val="center"/>
        </w:trPr>
        <w:tc>
          <w:tcPr>
            <w:tcW w:w="2148" w:type="dxa"/>
          </w:tcPr>
          <w:p w14:paraId="6A73E2E7"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t>FdHoldper</w:t>
            </w:r>
            <w:proofErr w:type="spellEnd"/>
          </w:p>
        </w:tc>
        <w:tc>
          <w:tcPr>
            <w:tcW w:w="6215" w:type="dxa"/>
          </w:tcPr>
          <w:p w14:paraId="7AD4A263" w14:textId="7E030894" w:rsidR="00ED5FE4" w:rsidRPr="004760F1" w:rsidRDefault="00C307C2" w:rsidP="00196983">
            <w:pPr>
              <w:pStyle w:val="Normal-TableGrid-BR1"/>
              <w:ind w:rightChars="68" w:right="163" w:firstLine="0"/>
              <w:rPr>
                <w:rFonts w:eastAsia="宋体"/>
                <w:color w:val="000000" w:themeColor="text1"/>
              </w:rPr>
            </w:pPr>
            <w:r w:rsidRPr="004760F1">
              <w:rPr>
                <w:rFonts w:eastAsia="宋体"/>
                <w:color w:val="000000" w:themeColor="text1"/>
              </w:rPr>
              <w:t>Pension fund holding%</w:t>
            </w:r>
          </w:p>
        </w:tc>
      </w:tr>
      <w:tr w:rsidR="00ED5FE4" w:rsidRPr="004760F1" w14:paraId="773F1FFF" w14:textId="77777777" w:rsidTr="000A39CA">
        <w:trPr>
          <w:trHeight w:val="340"/>
          <w:jc w:val="center"/>
        </w:trPr>
        <w:tc>
          <w:tcPr>
            <w:tcW w:w="2148" w:type="dxa"/>
          </w:tcPr>
          <w:p w14:paraId="61250BEB"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t>SecCorpHoldPer</w:t>
            </w:r>
            <w:proofErr w:type="spellEnd"/>
          </w:p>
        </w:tc>
        <w:tc>
          <w:tcPr>
            <w:tcW w:w="6215" w:type="dxa"/>
          </w:tcPr>
          <w:p w14:paraId="65473167" w14:textId="3B68785C" w:rsidR="00ED5FE4" w:rsidRPr="004760F1" w:rsidRDefault="00C307C2" w:rsidP="00C307C2">
            <w:pPr>
              <w:pStyle w:val="Normal-TableGrid-BR1"/>
              <w:ind w:rightChars="68" w:right="163" w:firstLine="0"/>
              <w:rPr>
                <w:rFonts w:eastAsia="宋体"/>
                <w:color w:val="000000" w:themeColor="text1"/>
              </w:rPr>
            </w:pPr>
            <w:r w:rsidRPr="004760F1">
              <w:rPr>
                <w:rFonts w:eastAsia="宋体"/>
                <w:color w:val="000000" w:themeColor="text1"/>
              </w:rPr>
              <w:t>Security Firm holding%</w:t>
            </w:r>
          </w:p>
        </w:tc>
      </w:tr>
      <w:tr w:rsidR="00ED5FE4" w:rsidRPr="004760F1" w14:paraId="10F2F541" w14:textId="77777777" w:rsidTr="000A39CA">
        <w:trPr>
          <w:trHeight w:val="340"/>
          <w:jc w:val="center"/>
        </w:trPr>
        <w:tc>
          <w:tcPr>
            <w:tcW w:w="2148" w:type="dxa"/>
          </w:tcPr>
          <w:p w14:paraId="4BBB62D6"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t>QFIIHoldPer</w:t>
            </w:r>
            <w:proofErr w:type="spellEnd"/>
          </w:p>
        </w:tc>
        <w:tc>
          <w:tcPr>
            <w:tcW w:w="6215" w:type="dxa"/>
          </w:tcPr>
          <w:p w14:paraId="6ECB867A" w14:textId="3709FA33" w:rsidR="00ED5FE4" w:rsidRPr="004760F1" w:rsidRDefault="00ED5FE4" w:rsidP="00C307C2">
            <w:pPr>
              <w:pStyle w:val="Normal-TableGrid-BR1"/>
              <w:ind w:rightChars="68" w:right="163" w:firstLine="0"/>
              <w:rPr>
                <w:rFonts w:eastAsia="宋体"/>
                <w:color w:val="000000" w:themeColor="text1"/>
              </w:rPr>
            </w:pPr>
            <w:r w:rsidRPr="004760F1">
              <w:rPr>
                <w:rFonts w:eastAsia="宋体"/>
                <w:color w:val="000000" w:themeColor="text1"/>
              </w:rPr>
              <w:t>QFII</w:t>
            </w:r>
            <w:r w:rsidR="00C307C2" w:rsidRPr="004760F1">
              <w:rPr>
                <w:rFonts w:eastAsia="宋体"/>
                <w:color w:val="000000" w:themeColor="text1"/>
              </w:rPr>
              <w:t xml:space="preserve"> holding %</w:t>
            </w:r>
          </w:p>
        </w:tc>
      </w:tr>
      <w:tr w:rsidR="00ED5FE4" w:rsidRPr="004760F1" w14:paraId="18723C8E" w14:textId="77777777" w:rsidTr="000A39CA">
        <w:trPr>
          <w:trHeight w:val="340"/>
          <w:jc w:val="center"/>
        </w:trPr>
        <w:tc>
          <w:tcPr>
            <w:tcW w:w="2148" w:type="dxa"/>
          </w:tcPr>
          <w:p w14:paraId="53B766B3"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t>InsuComHoldPer</w:t>
            </w:r>
            <w:proofErr w:type="spellEnd"/>
          </w:p>
        </w:tc>
        <w:tc>
          <w:tcPr>
            <w:tcW w:w="6215" w:type="dxa"/>
          </w:tcPr>
          <w:p w14:paraId="3DEBC1AF" w14:textId="16CA7645" w:rsidR="00ED5FE4" w:rsidRPr="004760F1" w:rsidRDefault="00C307C2" w:rsidP="00C307C2">
            <w:pPr>
              <w:pStyle w:val="Normal-TableGrid-BR1"/>
              <w:ind w:rightChars="68" w:right="163" w:firstLine="0"/>
              <w:rPr>
                <w:rFonts w:eastAsia="宋体"/>
                <w:color w:val="000000" w:themeColor="text1"/>
              </w:rPr>
            </w:pPr>
            <w:r w:rsidRPr="004760F1">
              <w:rPr>
                <w:rFonts w:eastAsia="宋体"/>
                <w:color w:val="000000" w:themeColor="text1"/>
              </w:rPr>
              <w:t>Insurance company holding%</w:t>
            </w:r>
          </w:p>
        </w:tc>
      </w:tr>
      <w:tr w:rsidR="00ED5FE4" w:rsidRPr="004760F1" w14:paraId="7BE3BE97" w14:textId="77777777" w:rsidTr="000A39CA">
        <w:trPr>
          <w:trHeight w:val="340"/>
          <w:jc w:val="center"/>
        </w:trPr>
        <w:tc>
          <w:tcPr>
            <w:tcW w:w="2148" w:type="dxa"/>
          </w:tcPr>
          <w:p w14:paraId="7189CF3A" w14:textId="77777777" w:rsidR="00ED5FE4" w:rsidRPr="004760F1" w:rsidRDefault="00ED5FE4" w:rsidP="007764DA">
            <w:pPr>
              <w:pStyle w:val="Normal-TableGrid-BR1"/>
              <w:ind w:rightChars="68" w:right="163" w:firstLineChars="80" w:firstLine="176"/>
              <w:rPr>
                <w:rFonts w:eastAsia="宋体"/>
                <w:color w:val="000000" w:themeColor="text1"/>
              </w:rPr>
            </w:pPr>
            <w:proofErr w:type="spellStart"/>
            <w:r w:rsidRPr="004760F1">
              <w:t>SocSecFdHoldPer</w:t>
            </w:r>
            <w:proofErr w:type="spellEnd"/>
          </w:p>
        </w:tc>
        <w:tc>
          <w:tcPr>
            <w:tcW w:w="6215" w:type="dxa"/>
          </w:tcPr>
          <w:p w14:paraId="4EDFD463" w14:textId="188D082E" w:rsidR="00ED5FE4" w:rsidRPr="004760F1" w:rsidRDefault="00057FE9" w:rsidP="00057FE9">
            <w:pPr>
              <w:pStyle w:val="Normal-TableGrid-BR1"/>
              <w:ind w:rightChars="68" w:right="163" w:firstLine="0"/>
              <w:rPr>
                <w:rFonts w:eastAsia="宋体"/>
                <w:color w:val="000000" w:themeColor="text1"/>
              </w:rPr>
            </w:pPr>
            <w:r w:rsidRPr="004760F1">
              <w:rPr>
                <w:rFonts w:eastAsia="宋体"/>
                <w:color w:val="000000" w:themeColor="text1"/>
              </w:rPr>
              <w:t>China’s National Social Securities Fund Holding%</w:t>
            </w:r>
          </w:p>
        </w:tc>
      </w:tr>
      <w:tr w:rsidR="00ED5FE4" w:rsidRPr="004760F1" w14:paraId="5BD58BA3" w14:textId="77777777" w:rsidTr="000A39CA">
        <w:trPr>
          <w:trHeight w:val="340"/>
          <w:jc w:val="center"/>
        </w:trPr>
        <w:tc>
          <w:tcPr>
            <w:tcW w:w="2148" w:type="dxa"/>
          </w:tcPr>
          <w:p w14:paraId="6B13A4E2" w14:textId="77777777" w:rsidR="00ED5FE4" w:rsidRPr="004760F1" w:rsidRDefault="00ED5FE4" w:rsidP="007764DA">
            <w:pPr>
              <w:pStyle w:val="Normal-TableGrid-BR1"/>
              <w:ind w:rightChars="68" w:right="163" w:firstLineChars="80" w:firstLine="176"/>
            </w:pPr>
            <w:proofErr w:type="spellStart"/>
            <w:r w:rsidRPr="004760F1">
              <w:t>OthInsHoldPer</w:t>
            </w:r>
            <w:proofErr w:type="spellEnd"/>
          </w:p>
        </w:tc>
        <w:tc>
          <w:tcPr>
            <w:tcW w:w="6215" w:type="dxa"/>
          </w:tcPr>
          <w:p w14:paraId="6BA96005" w14:textId="5D949268" w:rsidR="00ED5FE4" w:rsidRPr="004760F1" w:rsidRDefault="00524C2A" w:rsidP="00524C2A">
            <w:pPr>
              <w:pStyle w:val="Normal-TableGrid-BR1"/>
              <w:ind w:rightChars="68" w:right="163" w:firstLine="0"/>
              <w:rPr>
                <w:rFonts w:eastAsia="宋体"/>
                <w:color w:val="000000" w:themeColor="text1"/>
              </w:rPr>
            </w:pPr>
            <w:proofErr w:type="gramStart"/>
            <w:r w:rsidRPr="004760F1">
              <w:rPr>
                <w:rFonts w:eastAsia="宋体"/>
                <w:color w:val="000000" w:themeColor="text1"/>
              </w:rPr>
              <w:t>Other</w:t>
            </w:r>
            <w:proofErr w:type="gramEnd"/>
            <w:r w:rsidRPr="004760F1">
              <w:rPr>
                <w:rFonts w:eastAsia="宋体"/>
                <w:color w:val="000000" w:themeColor="text1"/>
              </w:rPr>
              <w:t xml:space="preserve"> institutional investor holding%</w:t>
            </w:r>
          </w:p>
        </w:tc>
      </w:tr>
    </w:tbl>
    <w:p w14:paraId="0C6D6AB8" w14:textId="77777777" w:rsidR="00ED5FE4" w:rsidRPr="004760F1" w:rsidRDefault="00ED5FE4" w:rsidP="002A40F7">
      <w:pPr>
        <w:jc w:val="both"/>
        <w:rPr>
          <w:rFonts w:ascii="Times New Roman" w:hAnsi="Times New Roman" w:cs="Times New Roman"/>
        </w:rPr>
      </w:pPr>
    </w:p>
    <w:p w14:paraId="7B0949C9" w14:textId="13BE23D9" w:rsidR="009E4DAB" w:rsidRPr="004760F1" w:rsidRDefault="00F8732D" w:rsidP="002A40F7">
      <w:pPr>
        <w:jc w:val="both"/>
        <w:rPr>
          <w:rFonts w:ascii="Times New Roman" w:hAnsi="Times New Roman" w:cs="Times New Roman"/>
        </w:rPr>
      </w:pPr>
      <w:r w:rsidRPr="004760F1">
        <w:rPr>
          <w:rFonts w:ascii="Times New Roman" w:hAnsi="Times New Roman" w:cs="Times New Roman"/>
        </w:rPr>
        <w:t xml:space="preserve">The data of this paper comes from CSMAR and </w:t>
      </w:r>
      <w:proofErr w:type="spellStart"/>
      <w:r w:rsidRPr="004760F1">
        <w:rPr>
          <w:rFonts w:ascii="Times New Roman" w:hAnsi="Times New Roman" w:cs="Times New Roman"/>
        </w:rPr>
        <w:t>Resset</w:t>
      </w:r>
      <w:proofErr w:type="spellEnd"/>
      <w:r w:rsidRPr="004760F1">
        <w:rPr>
          <w:rFonts w:ascii="Times New Roman" w:hAnsi="Times New Roman" w:cs="Times New Roman"/>
        </w:rPr>
        <w:t xml:space="preserve"> database. The sample period for A-share listed companies is from early 2012 to end of 2019. The data screening conditions are as follows: the samples of companies with annual stock weekly return data less than 26 weeks are excluded; eliminated samples with missing data; 1% </w:t>
      </w:r>
      <w:proofErr w:type="spellStart"/>
      <w:r w:rsidRPr="004760F1">
        <w:rPr>
          <w:rFonts w:ascii="Times New Roman" w:hAnsi="Times New Roman" w:cs="Times New Roman"/>
        </w:rPr>
        <w:t>winsorize</w:t>
      </w:r>
      <w:proofErr w:type="spellEnd"/>
      <w:r w:rsidRPr="004760F1">
        <w:rPr>
          <w:rFonts w:ascii="Times New Roman" w:hAnsi="Times New Roman" w:cs="Times New Roman"/>
        </w:rPr>
        <w:t xml:space="preserve"> </w:t>
      </w:r>
      <w:r w:rsidR="008A5434" w:rsidRPr="004760F1">
        <w:rPr>
          <w:rFonts w:ascii="Times New Roman" w:hAnsi="Times New Roman" w:cs="Times New Roman"/>
        </w:rPr>
        <w:t xml:space="preserve">for </w:t>
      </w:r>
      <w:r w:rsidRPr="004760F1">
        <w:rPr>
          <w:rFonts w:ascii="Times New Roman" w:hAnsi="Times New Roman" w:cs="Times New Roman"/>
        </w:rPr>
        <w:t>continuous variables.</w:t>
      </w:r>
    </w:p>
    <w:p w14:paraId="4D08DF0C" w14:textId="77777777" w:rsidR="00F8732D" w:rsidRPr="004760F1" w:rsidRDefault="00F8732D" w:rsidP="002A40F7">
      <w:pPr>
        <w:jc w:val="both"/>
        <w:rPr>
          <w:rFonts w:ascii="Times New Roman" w:hAnsi="Times New Roman" w:cs="Times New Roman"/>
        </w:rPr>
      </w:pPr>
    </w:p>
    <w:p w14:paraId="7F0B2E02" w14:textId="67AAEC41" w:rsidR="00D778A9" w:rsidRPr="004760F1" w:rsidRDefault="007364A7" w:rsidP="002A40F7">
      <w:pPr>
        <w:jc w:val="both"/>
        <w:rPr>
          <w:rFonts w:ascii="Times New Roman" w:hAnsi="Times New Roman" w:cs="Times New Roman"/>
          <w:b/>
        </w:rPr>
      </w:pPr>
      <w:r w:rsidRPr="004760F1">
        <w:rPr>
          <w:rFonts w:ascii="Times New Roman" w:hAnsi="Times New Roman" w:cs="Times New Roman"/>
          <w:b/>
        </w:rPr>
        <w:t xml:space="preserve">4.2 </w:t>
      </w:r>
      <w:r w:rsidR="00936AE0" w:rsidRPr="004760F1">
        <w:rPr>
          <w:rFonts w:ascii="Times New Roman" w:hAnsi="Times New Roman" w:cs="Times New Roman"/>
          <w:b/>
        </w:rPr>
        <w:t>D</w:t>
      </w:r>
      <w:r w:rsidRPr="004760F1">
        <w:rPr>
          <w:rFonts w:ascii="Times New Roman" w:hAnsi="Times New Roman" w:cs="Times New Roman"/>
          <w:b/>
        </w:rPr>
        <w:t>escriptive statistics</w:t>
      </w:r>
    </w:p>
    <w:p w14:paraId="3F301FAD" w14:textId="2974D1A4" w:rsidR="007364A7" w:rsidRPr="004760F1" w:rsidRDefault="00D7782D" w:rsidP="009D559D">
      <w:pPr>
        <w:jc w:val="both"/>
        <w:rPr>
          <w:rFonts w:ascii="Times New Roman" w:hAnsi="Times New Roman" w:cs="Times New Roman"/>
        </w:rPr>
      </w:pPr>
      <w:r w:rsidRPr="00E210EA">
        <w:rPr>
          <w:rFonts w:ascii="Times New Roman" w:hAnsi="Times New Roman" w:cs="Times New Roman"/>
          <w:color w:val="000000" w:themeColor="text1"/>
        </w:rPr>
        <w:t xml:space="preserve">Table </w:t>
      </w:r>
      <w:r w:rsidR="0083051C" w:rsidRPr="00E210EA">
        <w:rPr>
          <w:rFonts w:ascii="Times New Roman" w:hAnsi="Times New Roman" w:cs="Times New Roman"/>
          <w:color w:val="000000" w:themeColor="text1"/>
        </w:rPr>
        <w:t>4</w:t>
      </w:r>
      <w:r w:rsidRPr="00E210EA">
        <w:rPr>
          <w:rFonts w:ascii="Times New Roman" w:hAnsi="Times New Roman" w:cs="Times New Roman"/>
          <w:color w:val="000000" w:themeColor="text1"/>
        </w:rPr>
        <w:t>-2 lists the statistical results of sample variables in this study.</w:t>
      </w:r>
      <w:r w:rsidR="00E1680E" w:rsidRPr="00E210EA">
        <w:rPr>
          <w:rFonts w:ascii="Times New Roman" w:hAnsi="Times New Roman" w:cs="Times New Roman"/>
          <w:color w:val="000000" w:themeColor="text1"/>
        </w:rPr>
        <w:t xml:space="preserve"> </w:t>
      </w:r>
      <w:r w:rsidR="000D2003" w:rsidRPr="00E210EA">
        <w:rPr>
          <w:rFonts w:ascii="Times New Roman" w:hAnsi="Times New Roman" w:cs="Times New Roman"/>
          <w:color w:val="000000" w:themeColor="text1"/>
        </w:rPr>
        <w:t xml:space="preserve">Due to large </w:t>
      </w:r>
      <w:proofErr w:type="gramStart"/>
      <w:r w:rsidR="000D2003" w:rsidRPr="00E210EA">
        <w:rPr>
          <w:rFonts w:ascii="Times New Roman" w:hAnsi="Times New Roman" w:cs="Times New Roman"/>
          <w:color w:val="000000" w:themeColor="text1"/>
        </w:rPr>
        <w:t>amount</w:t>
      </w:r>
      <w:proofErr w:type="gramEnd"/>
      <w:r w:rsidR="000D2003" w:rsidRPr="00E210EA">
        <w:rPr>
          <w:rFonts w:ascii="Times New Roman" w:hAnsi="Times New Roman" w:cs="Times New Roman"/>
          <w:color w:val="000000" w:themeColor="text1"/>
        </w:rPr>
        <w:t xml:space="preserve"> of combinations of MSCI and After, we choose below set as an example. </w:t>
      </w:r>
      <w:r w:rsidRPr="00E210EA">
        <w:rPr>
          <w:rFonts w:ascii="Times New Roman" w:hAnsi="Times New Roman" w:cs="Times New Roman"/>
          <w:color w:val="000000" w:themeColor="text1"/>
        </w:rPr>
        <w:t>We take MSCI1 = 1</w:t>
      </w:r>
      <w:r w:rsidR="00116EEB" w:rsidRPr="00E210EA">
        <w:rPr>
          <w:rFonts w:ascii="Times New Roman" w:hAnsi="Times New Roman" w:cs="Times New Roman"/>
          <w:color w:val="000000" w:themeColor="text1"/>
        </w:rPr>
        <w:t xml:space="preserve"> and</w:t>
      </w:r>
      <w:r w:rsidR="000D2003" w:rsidRPr="00E210EA">
        <w:rPr>
          <w:rFonts w:ascii="Times New Roman" w:hAnsi="Times New Roman" w:cs="Times New Roman"/>
          <w:color w:val="000000" w:themeColor="text1"/>
        </w:rPr>
        <w:t xml:space="preserve"> A</w:t>
      </w:r>
      <w:r w:rsidRPr="00E210EA">
        <w:rPr>
          <w:rFonts w:ascii="Times New Roman" w:hAnsi="Times New Roman" w:cs="Times New Roman"/>
          <w:color w:val="000000" w:themeColor="text1"/>
        </w:rPr>
        <w:t>fter4 = 1</w:t>
      </w:r>
      <w:r w:rsidR="000D2003" w:rsidRPr="00E210EA">
        <w:rPr>
          <w:rFonts w:ascii="Times New Roman" w:hAnsi="Times New Roman" w:cs="Times New Roman"/>
          <w:color w:val="000000" w:themeColor="text1"/>
        </w:rPr>
        <w:t>, that is</w:t>
      </w:r>
      <w:r w:rsidRPr="00E210EA">
        <w:rPr>
          <w:rFonts w:ascii="Times New Roman" w:hAnsi="Times New Roman" w:cs="Times New Roman"/>
          <w:color w:val="000000" w:themeColor="text1"/>
        </w:rPr>
        <w:t xml:space="preserve"> the first </w:t>
      </w:r>
      <w:r w:rsidR="00116EEB" w:rsidRPr="00E210EA">
        <w:rPr>
          <w:rFonts w:ascii="Times New Roman" w:hAnsi="Times New Roman" w:cs="Times New Roman"/>
          <w:color w:val="000000" w:themeColor="text1"/>
        </w:rPr>
        <w:t>actual</w:t>
      </w:r>
      <w:r w:rsidRPr="00E210EA">
        <w:rPr>
          <w:rFonts w:ascii="Times New Roman" w:hAnsi="Times New Roman" w:cs="Times New Roman"/>
          <w:color w:val="000000" w:themeColor="text1"/>
        </w:rPr>
        <w:t xml:space="preserve"> implementation time point of</w:t>
      </w:r>
      <w:r w:rsidR="009D559D" w:rsidRPr="00E210EA">
        <w:rPr>
          <w:rFonts w:ascii="Times New Roman" w:hAnsi="Times New Roman" w:cs="Times New Roman"/>
          <w:color w:val="000000" w:themeColor="text1"/>
        </w:rPr>
        <w:t xml:space="preserve"> "A shares included in the MSCI index" event. M1A4 is the</w:t>
      </w:r>
      <w:r w:rsidR="00EB0080" w:rsidRPr="00E210EA">
        <w:rPr>
          <w:rFonts w:ascii="Times New Roman" w:hAnsi="Times New Roman" w:cs="Times New Roman"/>
          <w:color w:val="000000" w:themeColor="text1"/>
        </w:rPr>
        <w:t xml:space="preserve"> interaction term of the two. </w:t>
      </w:r>
      <w:r w:rsidR="0083051C" w:rsidRPr="00E210EA">
        <w:rPr>
          <w:rFonts w:ascii="Times New Roman" w:hAnsi="Times New Roman" w:cs="Times New Roman"/>
          <w:color w:val="000000" w:themeColor="text1"/>
        </w:rPr>
        <w:t xml:space="preserve">Table 4-2 </w:t>
      </w:r>
      <w:r w:rsidR="00EB0080" w:rsidRPr="00E210EA">
        <w:rPr>
          <w:rFonts w:ascii="Times New Roman" w:hAnsi="Times New Roman" w:cs="Times New Roman"/>
          <w:color w:val="000000" w:themeColor="text1"/>
        </w:rPr>
        <w:t>Panel A</w:t>
      </w:r>
      <w:r w:rsidRPr="00E210EA">
        <w:rPr>
          <w:rFonts w:ascii="Times New Roman" w:hAnsi="Times New Roman" w:cs="Times New Roman"/>
          <w:color w:val="000000" w:themeColor="text1"/>
        </w:rPr>
        <w:t xml:space="preserve"> is the</w:t>
      </w:r>
      <w:r w:rsidRPr="004760F1">
        <w:rPr>
          <w:rFonts w:ascii="Times New Roman" w:hAnsi="Times New Roman" w:cs="Times New Roman"/>
        </w:rPr>
        <w:t xml:space="preserve"> descriptive statistics of the </w:t>
      </w:r>
      <w:r w:rsidR="00414D49" w:rsidRPr="004760F1">
        <w:rPr>
          <w:rFonts w:ascii="Times New Roman" w:hAnsi="Times New Roman" w:cs="Times New Roman"/>
        </w:rPr>
        <w:t>overall</w:t>
      </w:r>
      <w:r w:rsidRPr="004760F1">
        <w:rPr>
          <w:rFonts w:ascii="Times New Roman" w:hAnsi="Times New Roman" w:cs="Times New Roman"/>
        </w:rPr>
        <w:t xml:space="preserve"> sample</w:t>
      </w:r>
      <w:r w:rsidR="00414D49" w:rsidRPr="004760F1">
        <w:rPr>
          <w:rFonts w:ascii="Times New Roman" w:hAnsi="Times New Roman" w:cs="Times New Roman"/>
        </w:rPr>
        <w:t>s, we can have below observations</w:t>
      </w:r>
      <w:r w:rsidR="00BC630E" w:rsidRPr="004760F1">
        <w:rPr>
          <w:rFonts w:ascii="Times New Roman" w:hAnsi="Times New Roman" w:cs="Times New Roman"/>
        </w:rPr>
        <w:t xml:space="preserve">: first, the average </w:t>
      </w:r>
      <w:r w:rsidRPr="004760F1">
        <w:rPr>
          <w:rFonts w:ascii="Times New Roman" w:hAnsi="Times New Roman" w:cs="Times New Roman"/>
        </w:rPr>
        <w:t>of systemic risk (</w:t>
      </w:r>
      <w:proofErr w:type="gramStart"/>
      <w:r w:rsidR="00BC630E" w:rsidRPr="004760F1">
        <w:rPr>
          <w:rFonts w:ascii="Times New Roman" w:hAnsi="Times New Roman" w:cs="Times New Roman"/>
        </w:rPr>
        <w:t>i.e.</w:t>
      </w:r>
      <w:proofErr w:type="gramEnd"/>
      <w:r w:rsidR="00BC630E" w:rsidRPr="004760F1">
        <w:rPr>
          <w:rFonts w:ascii="Times New Roman" w:hAnsi="Times New Roman" w:cs="Times New Roman"/>
        </w:rPr>
        <w:t xml:space="preserve"> raw volatility, </w:t>
      </w:r>
      <w:proofErr w:type="spellStart"/>
      <w:r w:rsidRPr="004760F1">
        <w:rPr>
          <w:rFonts w:ascii="Times New Roman" w:hAnsi="Times New Roman" w:cs="Times New Roman"/>
        </w:rPr>
        <w:t>var_raw_w_</w:t>
      </w:r>
      <w:r w:rsidR="00BC630E" w:rsidRPr="004760F1">
        <w:rPr>
          <w:rFonts w:ascii="Times New Roman" w:hAnsi="Times New Roman" w:cs="Times New Roman"/>
        </w:rPr>
        <w:t>ann</w:t>
      </w:r>
      <w:proofErr w:type="spellEnd"/>
      <w:r w:rsidR="00BC630E" w:rsidRPr="004760F1">
        <w:rPr>
          <w:rFonts w:ascii="Times New Roman" w:hAnsi="Times New Roman" w:cs="Times New Roman"/>
        </w:rPr>
        <w:t>) is higher than that of non-</w:t>
      </w:r>
      <w:r w:rsidRPr="004760F1">
        <w:rPr>
          <w:rFonts w:ascii="Times New Roman" w:hAnsi="Times New Roman" w:cs="Times New Roman"/>
        </w:rPr>
        <w:t xml:space="preserve">systemic risk (i.e. </w:t>
      </w:r>
      <w:r w:rsidR="00BC630E" w:rsidRPr="004760F1">
        <w:rPr>
          <w:rFonts w:ascii="Times New Roman" w:hAnsi="Times New Roman" w:cs="Times New Roman"/>
        </w:rPr>
        <w:t>idiosyncratic</w:t>
      </w:r>
      <w:r w:rsidRPr="004760F1">
        <w:rPr>
          <w:rFonts w:ascii="Times New Roman" w:hAnsi="Times New Roman" w:cs="Times New Roman"/>
        </w:rPr>
        <w:t xml:space="preserve"> volatility, </w:t>
      </w:r>
      <w:proofErr w:type="spellStart"/>
      <w:r w:rsidRPr="004760F1">
        <w:rPr>
          <w:rFonts w:ascii="Times New Roman" w:hAnsi="Times New Roman" w:cs="Times New Roman"/>
        </w:rPr>
        <w:t>var_capm_w_ann</w:t>
      </w:r>
      <w:proofErr w:type="spellEnd"/>
      <w:r w:rsidRPr="004760F1">
        <w:rPr>
          <w:rFonts w:ascii="Times New Roman" w:hAnsi="Times New Roman" w:cs="Times New Roman"/>
        </w:rPr>
        <w:t xml:space="preserve">); Second, the </w:t>
      </w:r>
      <w:r w:rsidR="00BC630E" w:rsidRPr="004760F1">
        <w:rPr>
          <w:rFonts w:ascii="Times New Roman" w:hAnsi="Times New Roman" w:cs="Times New Roman"/>
        </w:rPr>
        <w:t>average PE ratio of A share</w:t>
      </w:r>
      <w:r w:rsidRPr="004760F1">
        <w:rPr>
          <w:rFonts w:ascii="Times New Roman" w:hAnsi="Times New Roman" w:cs="Times New Roman"/>
        </w:rPr>
        <w:t xml:space="preserve"> is as high as 86 times; Third, there are </w:t>
      </w:r>
      <w:r w:rsidR="0083051C" w:rsidRPr="004760F1">
        <w:rPr>
          <w:rFonts w:ascii="Times New Roman" w:hAnsi="Times New Roman" w:cs="Times New Roman"/>
        </w:rPr>
        <w:t>around</w:t>
      </w:r>
      <w:r w:rsidRPr="004760F1">
        <w:rPr>
          <w:rFonts w:ascii="Times New Roman" w:hAnsi="Times New Roman" w:cs="Times New Roman"/>
        </w:rPr>
        <w:t xml:space="preserve"> 8 analysts tracking each stock; Fourth, only 7.2% of the companies using the big four for audit on average. </w:t>
      </w:r>
      <w:r w:rsidR="0083051C" w:rsidRPr="004760F1">
        <w:rPr>
          <w:rFonts w:ascii="Times New Roman" w:hAnsi="Times New Roman" w:cs="Times New Roman"/>
        </w:rPr>
        <w:t>Panel B compares the samples of</w:t>
      </w:r>
      <w:r w:rsidRPr="004760F1">
        <w:rPr>
          <w:rFonts w:ascii="Times New Roman" w:hAnsi="Times New Roman" w:cs="Times New Roman"/>
        </w:rPr>
        <w:t xml:space="preserve"> stocks</w:t>
      </w:r>
      <w:r w:rsidR="0083051C" w:rsidRPr="004760F1">
        <w:rPr>
          <w:rFonts w:ascii="Times New Roman" w:hAnsi="Times New Roman" w:cs="Times New Roman"/>
        </w:rPr>
        <w:t xml:space="preserve"> that’s been </w:t>
      </w:r>
      <w:r w:rsidR="004670FF" w:rsidRPr="004760F1">
        <w:rPr>
          <w:rFonts w:ascii="Times New Roman" w:hAnsi="Times New Roman" w:cs="Times New Roman"/>
        </w:rPr>
        <w:t>included</w:t>
      </w:r>
      <w:r w:rsidR="0083051C" w:rsidRPr="004760F1">
        <w:rPr>
          <w:rFonts w:ascii="Times New Roman" w:hAnsi="Times New Roman" w:cs="Times New Roman"/>
        </w:rPr>
        <w:t xml:space="preserve"> into the MSCI Index vs. not </w:t>
      </w:r>
      <w:r w:rsidR="004670FF" w:rsidRPr="004760F1">
        <w:rPr>
          <w:rFonts w:ascii="Times New Roman" w:hAnsi="Times New Roman" w:cs="Times New Roman"/>
        </w:rPr>
        <w:t>included</w:t>
      </w:r>
      <w:r w:rsidR="0083051C" w:rsidRPr="004760F1">
        <w:rPr>
          <w:rFonts w:ascii="Times New Roman" w:hAnsi="Times New Roman" w:cs="Times New Roman"/>
        </w:rPr>
        <w:t xml:space="preserve"> ones.</w:t>
      </w:r>
      <w:r w:rsidRPr="004760F1">
        <w:rPr>
          <w:rFonts w:ascii="Times New Roman" w:hAnsi="Times New Roman" w:cs="Times New Roman"/>
        </w:rPr>
        <w:t xml:space="preserve"> The following observations can be made: f</w:t>
      </w:r>
      <w:r w:rsidR="0083051C" w:rsidRPr="004760F1">
        <w:rPr>
          <w:rFonts w:ascii="Times New Roman" w:hAnsi="Times New Roman" w:cs="Times New Roman"/>
        </w:rPr>
        <w:t>irst,</w:t>
      </w:r>
      <w:r w:rsidR="00D967DE" w:rsidRPr="004760F1">
        <w:rPr>
          <w:rFonts w:ascii="Times New Roman" w:hAnsi="Times New Roman" w:cs="Times New Roman"/>
        </w:rPr>
        <w:t xml:space="preserve"> both</w:t>
      </w:r>
      <w:r w:rsidR="0083051C" w:rsidRPr="004760F1">
        <w:rPr>
          <w:rFonts w:ascii="Times New Roman" w:hAnsi="Times New Roman" w:cs="Times New Roman"/>
        </w:rPr>
        <w:t xml:space="preserve"> the systemic risk and non-</w:t>
      </w:r>
      <w:r w:rsidRPr="004760F1">
        <w:rPr>
          <w:rFonts w:ascii="Times New Roman" w:hAnsi="Times New Roman" w:cs="Times New Roman"/>
        </w:rPr>
        <w:t xml:space="preserve">systemic risk of the </w:t>
      </w:r>
      <w:r w:rsidR="004670FF" w:rsidRPr="004760F1">
        <w:rPr>
          <w:rFonts w:ascii="Times New Roman" w:hAnsi="Times New Roman" w:cs="Times New Roman"/>
        </w:rPr>
        <w:t>included</w:t>
      </w:r>
      <w:r w:rsidRPr="004760F1">
        <w:rPr>
          <w:rFonts w:ascii="Times New Roman" w:hAnsi="Times New Roman" w:cs="Times New Roman"/>
        </w:rPr>
        <w:t xml:space="preserve"> stocks are lower than those</w:t>
      </w:r>
      <w:r w:rsidR="00335ADA" w:rsidRPr="004760F1">
        <w:rPr>
          <w:rFonts w:ascii="Times New Roman" w:hAnsi="Times New Roman" w:cs="Times New Roman"/>
        </w:rPr>
        <w:t xml:space="preserve"> not </w:t>
      </w:r>
      <w:r w:rsidR="004670FF" w:rsidRPr="004760F1">
        <w:rPr>
          <w:rFonts w:ascii="Times New Roman" w:hAnsi="Times New Roman" w:cs="Times New Roman"/>
        </w:rPr>
        <w:t>included</w:t>
      </w:r>
      <w:r w:rsidRPr="004760F1">
        <w:rPr>
          <w:rFonts w:ascii="Times New Roman" w:hAnsi="Times New Roman" w:cs="Times New Roman"/>
        </w:rPr>
        <w:t xml:space="preserve">; Second, </w:t>
      </w:r>
      <w:r w:rsidR="00D967DE" w:rsidRPr="004760F1">
        <w:rPr>
          <w:rFonts w:ascii="Times New Roman" w:hAnsi="Times New Roman" w:cs="Times New Roman"/>
        </w:rPr>
        <w:t xml:space="preserve">almost </w:t>
      </w:r>
      <w:r w:rsidRPr="004760F1">
        <w:rPr>
          <w:rFonts w:ascii="Times New Roman" w:hAnsi="Times New Roman" w:cs="Times New Roman"/>
        </w:rPr>
        <w:t>all indicators of the underlying stocks in</w:t>
      </w:r>
      <w:r w:rsidR="00D967DE" w:rsidRPr="004760F1">
        <w:rPr>
          <w:rFonts w:ascii="Times New Roman" w:hAnsi="Times New Roman" w:cs="Times New Roman"/>
        </w:rPr>
        <w:t>cluded in the MSCI index were</w:t>
      </w:r>
      <w:r w:rsidRPr="004760F1">
        <w:rPr>
          <w:rFonts w:ascii="Times New Roman" w:hAnsi="Times New Roman" w:cs="Times New Roman"/>
        </w:rPr>
        <w:t xml:space="preserve"> "better" than</w:t>
      </w:r>
      <w:r w:rsidR="000948B1" w:rsidRPr="004760F1">
        <w:rPr>
          <w:rFonts w:ascii="Times New Roman" w:hAnsi="Times New Roman" w:cs="Times New Roman"/>
        </w:rPr>
        <w:t xml:space="preserve"> those not included stocks</w:t>
      </w:r>
      <w:r w:rsidRPr="004760F1">
        <w:rPr>
          <w:rFonts w:ascii="Times New Roman" w:hAnsi="Times New Roman" w:cs="Times New Roman"/>
        </w:rPr>
        <w:t xml:space="preserve">, </w:t>
      </w:r>
      <w:r w:rsidR="000948B1" w:rsidRPr="004760F1">
        <w:rPr>
          <w:rFonts w:ascii="Times New Roman" w:hAnsi="Times New Roman" w:cs="Times New Roman"/>
        </w:rPr>
        <w:t>included stocks have</w:t>
      </w:r>
      <w:r w:rsidRPr="004760F1">
        <w:rPr>
          <w:rFonts w:ascii="Times New Roman" w:hAnsi="Times New Roman" w:cs="Times New Roman"/>
        </w:rPr>
        <w:t xml:space="preserve"> lower P</w:t>
      </w:r>
      <w:r w:rsidR="000948B1" w:rsidRPr="004760F1">
        <w:rPr>
          <w:rFonts w:ascii="Times New Roman" w:hAnsi="Times New Roman" w:cs="Times New Roman"/>
        </w:rPr>
        <w:t>/E ratio and P/</w:t>
      </w:r>
      <w:r w:rsidRPr="004760F1">
        <w:rPr>
          <w:rFonts w:ascii="Times New Roman" w:hAnsi="Times New Roman" w:cs="Times New Roman"/>
        </w:rPr>
        <w:t>B ratio</w:t>
      </w:r>
      <w:r w:rsidR="000948B1" w:rsidRPr="004760F1">
        <w:rPr>
          <w:rFonts w:ascii="Times New Roman" w:hAnsi="Times New Roman" w:cs="Times New Roman"/>
        </w:rPr>
        <w:t>, covered by more analysts (more than twice</w:t>
      </w:r>
      <w:r w:rsidRPr="004760F1">
        <w:rPr>
          <w:rFonts w:ascii="Times New Roman" w:hAnsi="Times New Roman" w:cs="Times New Roman"/>
        </w:rPr>
        <w:t xml:space="preserve"> on average</w:t>
      </w:r>
      <w:r w:rsidR="000948B1" w:rsidRPr="004760F1">
        <w:rPr>
          <w:rFonts w:ascii="Times New Roman" w:hAnsi="Times New Roman" w:cs="Times New Roman"/>
        </w:rPr>
        <w:t>), higher</w:t>
      </w:r>
      <w:r w:rsidRPr="004760F1">
        <w:rPr>
          <w:rFonts w:ascii="Times New Roman" w:hAnsi="Times New Roman" w:cs="Times New Roman"/>
        </w:rPr>
        <w:t xml:space="preserve"> proportion</w:t>
      </w:r>
      <w:r w:rsidR="000948B1" w:rsidRPr="004760F1">
        <w:rPr>
          <w:rFonts w:ascii="Times New Roman" w:hAnsi="Times New Roman" w:cs="Times New Roman"/>
        </w:rPr>
        <w:t xml:space="preserve"> of using four big</w:t>
      </w:r>
      <w:r w:rsidRPr="004760F1">
        <w:rPr>
          <w:rFonts w:ascii="Times New Roman" w:hAnsi="Times New Roman" w:cs="Times New Roman"/>
        </w:rPr>
        <w:t xml:space="preserve"> audit firm</w:t>
      </w:r>
      <w:r w:rsidR="000948B1" w:rsidRPr="004760F1">
        <w:rPr>
          <w:rFonts w:ascii="Times New Roman" w:hAnsi="Times New Roman" w:cs="Times New Roman"/>
        </w:rPr>
        <w:t>s and overseas accounting firms, higher prop</w:t>
      </w:r>
      <w:r w:rsidRPr="004760F1">
        <w:rPr>
          <w:rFonts w:ascii="Times New Roman" w:hAnsi="Times New Roman" w:cs="Times New Roman"/>
        </w:rPr>
        <w:t>ortion of institutional investors</w:t>
      </w:r>
      <w:r w:rsidR="000948B1" w:rsidRPr="004760F1">
        <w:rPr>
          <w:rFonts w:ascii="Times New Roman" w:hAnsi="Times New Roman" w:cs="Times New Roman"/>
        </w:rPr>
        <w:t xml:space="preserve"> holding %, etc. In</w:t>
      </w:r>
      <w:r w:rsidRPr="004760F1">
        <w:rPr>
          <w:rFonts w:ascii="Times New Roman" w:hAnsi="Times New Roman" w:cs="Times New Roman"/>
        </w:rPr>
        <w:t xml:space="preserve"> Panel C</w:t>
      </w:r>
      <w:r w:rsidR="000948B1" w:rsidRPr="004760F1">
        <w:rPr>
          <w:rFonts w:ascii="Times New Roman" w:hAnsi="Times New Roman" w:cs="Times New Roman"/>
        </w:rPr>
        <w:t xml:space="preserve"> we </w:t>
      </w:r>
      <w:r w:rsidRPr="004760F1">
        <w:rPr>
          <w:rFonts w:ascii="Times New Roman" w:hAnsi="Times New Roman" w:cs="Times New Roman"/>
        </w:rPr>
        <w:t>tested for multicollinearity, and the results show that there is no obvious multicollinearity problem between variables.</w:t>
      </w:r>
    </w:p>
    <w:p w14:paraId="6CD3A3FD" w14:textId="4D75DE9C" w:rsidR="00D331ED" w:rsidRPr="004760F1" w:rsidRDefault="00D331ED" w:rsidP="00D331ED">
      <w:pPr>
        <w:pStyle w:val="Normal15-BR2"/>
        <w:spacing w:after="0"/>
        <w:rPr>
          <w:rFonts w:ascii="Times New Roman" w:hAnsi="Times New Roman" w:cs="Times New Roman"/>
          <w:b/>
          <w:color w:val="000000" w:themeColor="text1"/>
          <w:lang w:eastAsia="zh-CN"/>
        </w:rPr>
      </w:pPr>
      <w:r w:rsidRPr="004760F1">
        <w:rPr>
          <w:rFonts w:ascii="Times New Roman" w:hAnsi="Times New Roman" w:cs="Times New Roman"/>
          <w:b/>
          <w:color w:val="000000" w:themeColor="text1"/>
          <w:lang w:eastAsia="zh-CN"/>
        </w:rPr>
        <w:t xml:space="preserve">Table 4-2 Panel A: Total sample </w:t>
      </w:r>
      <w:r w:rsidRPr="004760F1">
        <w:rPr>
          <w:rFonts w:ascii="Times New Roman" w:hAnsi="Times New Roman" w:cs="Times New Roman"/>
          <w:b/>
        </w:rPr>
        <w:t>descriptive statistics</w:t>
      </w:r>
    </w:p>
    <w:tbl>
      <w:tblPr>
        <w:tblStyle w:val="3"/>
        <w:tblW w:w="0" w:type="auto"/>
        <w:tblBorders>
          <w:top w:val="single" w:sz="0" w:space="0" w:color="000000"/>
          <w:left w:val="nil"/>
          <w:bottom w:val="single" w:sz="0" w:space="0" w:color="000000"/>
          <w:right w:val="nil"/>
          <w:insideH w:val="nil"/>
          <w:insideV w:val="nil"/>
        </w:tblBorders>
        <w:tblLook w:val="04A0" w:firstRow="1" w:lastRow="0" w:firstColumn="1" w:lastColumn="0" w:noHBand="0" w:noVBand="1"/>
      </w:tblPr>
      <w:tblGrid>
        <w:gridCol w:w="2011"/>
        <w:gridCol w:w="844"/>
        <w:gridCol w:w="1104"/>
        <w:gridCol w:w="967"/>
        <w:gridCol w:w="1121"/>
        <w:gridCol w:w="1115"/>
        <w:gridCol w:w="1138"/>
      </w:tblGrid>
      <w:tr w:rsidR="00D331ED" w:rsidRPr="004760F1" w14:paraId="6A0537EF" w14:textId="77777777" w:rsidTr="00492E99">
        <w:tc>
          <w:tcPr>
            <w:tcW w:w="2015" w:type="dxa"/>
            <w:tcBorders>
              <w:top w:val="single" w:sz="2" w:space="0" w:color="000000"/>
              <w:bottom w:val="single" w:sz="0" w:space="0" w:color="000000"/>
              <w:right w:val="single" w:sz="4" w:space="0" w:color="auto"/>
            </w:tcBorders>
          </w:tcPr>
          <w:p w14:paraId="0E47156D"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VarName</w:t>
            </w:r>
            <w:proofErr w:type="spellEnd"/>
          </w:p>
        </w:tc>
        <w:tc>
          <w:tcPr>
            <w:tcW w:w="877" w:type="dxa"/>
            <w:tcBorders>
              <w:left w:val="single" w:sz="4" w:space="0" w:color="auto"/>
              <w:bottom w:val="single" w:sz="0" w:space="0" w:color="000000"/>
            </w:tcBorders>
          </w:tcPr>
          <w:p w14:paraId="580DBB75" w14:textId="77777777" w:rsidR="00D331ED" w:rsidRPr="004760F1" w:rsidRDefault="00D331ED" w:rsidP="00492E99">
            <w:pPr>
              <w:jc w:val="right"/>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Obs</w:t>
            </w:r>
            <w:proofErr w:type="spellEnd"/>
          </w:p>
        </w:tc>
        <w:tc>
          <w:tcPr>
            <w:tcW w:w="1154" w:type="dxa"/>
            <w:tcBorders>
              <w:bottom w:val="single" w:sz="0" w:space="0" w:color="000000"/>
            </w:tcBorders>
          </w:tcPr>
          <w:p w14:paraId="21DD4E9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Mean</w:t>
            </w:r>
          </w:p>
        </w:tc>
        <w:tc>
          <w:tcPr>
            <w:tcW w:w="993" w:type="dxa"/>
            <w:tcBorders>
              <w:bottom w:val="single" w:sz="0" w:space="0" w:color="000000"/>
            </w:tcBorders>
          </w:tcPr>
          <w:p w14:paraId="421C136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SD</w:t>
            </w:r>
          </w:p>
        </w:tc>
        <w:tc>
          <w:tcPr>
            <w:tcW w:w="1155" w:type="dxa"/>
            <w:tcBorders>
              <w:bottom w:val="single" w:sz="0" w:space="0" w:color="000000"/>
            </w:tcBorders>
          </w:tcPr>
          <w:p w14:paraId="4A22150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Min</w:t>
            </w:r>
          </w:p>
        </w:tc>
        <w:tc>
          <w:tcPr>
            <w:tcW w:w="1155" w:type="dxa"/>
            <w:tcBorders>
              <w:bottom w:val="single" w:sz="0" w:space="0" w:color="000000"/>
            </w:tcBorders>
          </w:tcPr>
          <w:p w14:paraId="188CFAD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Median</w:t>
            </w:r>
          </w:p>
        </w:tc>
        <w:tc>
          <w:tcPr>
            <w:tcW w:w="1155" w:type="dxa"/>
            <w:tcBorders>
              <w:bottom w:val="single" w:sz="0" w:space="0" w:color="000000"/>
            </w:tcBorders>
          </w:tcPr>
          <w:p w14:paraId="737EFEE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Max</w:t>
            </w:r>
          </w:p>
        </w:tc>
      </w:tr>
      <w:tr w:rsidR="00D331ED" w:rsidRPr="004760F1" w14:paraId="3D294582" w14:textId="77777777" w:rsidTr="00492E99">
        <w:tc>
          <w:tcPr>
            <w:tcW w:w="2015" w:type="dxa"/>
            <w:tcBorders>
              <w:top w:val="single" w:sz="0" w:space="0" w:color="000000"/>
              <w:right w:val="single" w:sz="4" w:space="0" w:color="auto"/>
            </w:tcBorders>
          </w:tcPr>
          <w:p w14:paraId="653FB433"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var_raw_w_ann</w:t>
            </w:r>
            <w:proofErr w:type="spellEnd"/>
          </w:p>
        </w:tc>
        <w:tc>
          <w:tcPr>
            <w:tcW w:w="877" w:type="dxa"/>
            <w:tcBorders>
              <w:top w:val="single" w:sz="0" w:space="0" w:color="000000"/>
              <w:left w:val="single" w:sz="4" w:space="0" w:color="auto"/>
            </w:tcBorders>
          </w:tcPr>
          <w:p w14:paraId="57F0E35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Borders>
              <w:top w:val="single" w:sz="0" w:space="0" w:color="000000"/>
            </w:tcBorders>
          </w:tcPr>
          <w:p w14:paraId="4F4E602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0.204</w:t>
            </w:r>
          </w:p>
        </w:tc>
        <w:tc>
          <w:tcPr>
            <w:tcW w:w="993" w:type="dxa"/>
            <w:tcBorders>
              <w:top w:val="single" w:sz="0" w:space="0" w:color="000000"/>
            </w:tcBorders>
          </w:tcPr>
          <w:p w14:paraId="0CCB0F4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0.055</w:t>
            </w:r>
          </w:p>
        </w:tc>
        <w:tc>
          <w:tcPr>
            <w:tcW w:w="1155" w:type="dxa"/>
            <w:tcBorders>
              <w:top w:val="single" w:sz="0" w:space="0" w:color="000000"/>
            </w:tcBorders>
          </w:tcPr>
          <w:p w14:paraId="65152A1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0.039</w:t>
            </w:r>
          </w:p>
        </w:tc>
        <w:tc>
          <w:tcPr>
            <w:tcW w:w="1155" w:type="dxa"/>
            <w:tcBorders>
              <w:top w:val="single" w:sz="0" w:space="0" w:color="000000"/>
            </w:tcBorders>
          </w:tcPr>
          <w:p w14:paraId="77FBDF3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0.203</w:t>
            </w:r>
          </w:p>
        </w:tc>
        <w:tc>
          <w:tcPr>
            <w:tcW w:w="1155" w:type="dxa"/>
            <w:tcBorders>
              <w:top w:val="single" w:sz="0" w:space="0" w:color="000000"/>
            </w:tcBorders>
          </w:tcPr>
          <w:p w14:paraId="14AFF3D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0.422</w:t>
            </w:r>
          </w:p>
        </w:tc>
      </w:tr>
      <w:tr w:rsidR="00D331ED" w:rsidRPr="004760F1" w14:paraId="4D4D66B5" w14:textId="77777777" w:rsidTr="00492E99">
        <w:tc>
          <w:tcPr>
            <w:tcW w:w="2015" w:type="dxa"/>
            <w:tcBorders>
              <w:right w:val="single" w:sz="4" w:space="0" w:color="auto"/>
            </w:tcBorders>
          </w:tcPr>
          <w:p w14:paraId="735C68FC"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var_capm_w_ann</w:t>
            </w:r>
            <w:proofErr w:type="spellEnd"/>
          </w:p>
        </w:tc>
        <w:tc>
          <w:tcPr>
            <w:tcW w:w="877" w:type="dxa"/>
            <w:tcBorders>
              <w:left w:val="single" w:sz="4" w:space="0" w:color="auto"/>
            </w:tcBorders>
          </w:tcPr>
          <w:p w14:paraId="3B3486C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69245F0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0.148</w:t>
            </w:r>
          </w:p>
        </w:tc>
        <w:tc>
          <w:tcPr>
            <w:tcW w:w="993" w:type="dxa"/>
          </w:tcPr>
          <w:p w14:paraId="335E99B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0.050</w:t>
            </w:r>
          </w:p>
        </w:tc>
        <w:tc>
          <w:tcPr>
            <w:tcW w:w="1155" w:type="dxa"/>
          </w:tcPr>
          <w:p w14:paraId="4F3BB2D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0.034</w:t>
            </w:r>
          </w:p>
        </w:tc>
        <w:tc>
          <w:tcPr>
            <w:tcW w:w="1155" w:type="dxa"/>
          </w:tcPr>
          <w:p w14:paraId="4049704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0.142</w:t>
            </w:r>
          </w:p>
        </w:tc>
        <w:tc>
          <w:tcPr>
            <w:tcW w:w="1155" w:type="dxa"/>
          </w:tcPr>
          <w:p w14:paraId="5C65ED4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0.408</w:t>
            </w:r>
          </w:p>
        </w:tc>
      </w:tr>
      <w:tr w:rsidR="00D331ED" w:rsidRPr="004760F1" w14:paraId="6E58F4F3" w14:textId="77777777" w:rsidTr="00492E99">
        <w:tc>
          <w:tcPr>
            <w:tcW w:w="2015" w:type="dxa"/>
            <w:tcBorders>
              <w:right w:val="single" w:sz="4" w:space="0" w:color="auto"/>
            </w:tcBorders>
          </w:tcPr>
          <w:p w14:paraId="2D6A0F63" w14:textId="77777777" w:rsidR="00D331ED" w:rsidRPr="004760F1" w:rsidRDefault="00D331ED" w:rsidP="00492E99">
            <w:pPr>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MSCI1</w:t>
            </w:r>
          </w:p>
        </w:tc>
        <w:tc>
          <w:tcPr>
            <w:tcW w:w="877" w:type="dxa"/>
            <w:tcBorders>
              <w:left w:val="single" w:sz="4" w:space="0" w:color="auto"/>
            </w:tcBorders>
          </w:tcPr>
          <w:p w14:paraId="58DD167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34B2BFD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0.087</w:t>
            </w:r>
          </w:p>
        </w:tc>
        <w:tc>
          <w:tcPr>
            <w:tcW w:w="993" w:type="dxa"/>
          </w:tcPr>
          <w:p w14:paraId="4876B6A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0.283</w:t>
            </w:r>
          </w:p>
        </w:tc>
        <w:tc>
          <w:tcPr>
            <w:tcW w:w="1155" w:type="dxa"/>
          </w:tcPr>
          <w:p w14:paraId="0D4A282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70F3CAF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53BF562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1.000</w:t>
            </w:r>
          </w:p>
        </w:tc>
      </w:tr>
      <w:tr w:rsidR="00D331ED" w:rsidRPr="004760F1" w14:paraId="5520A456" w14:textId="77777777" w:rsidTr="00492E99">
        <w:tc>
          <w:tcPr>
            <w:tcW w:w="2015" w:type="dxa"/>
            <w:tcBorders>
              <w:right w:val="single" w:sz="4" w:space="0" w:color="auto"/>
            </w:tcBorders>
          </w:tcPr>
          <w:p w14:paraId="65BA05DC" w14:textId="77777777" w:rsidR="00D331ED" w:rsidRPr="004760F1" w:rsidRDefault="00D331ED" w:rsidP="00492E99">
            <w:pPr>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After4</w:t>
            </w:r>
          </w:p>
        </w:tc>
        <w:tc>
          <w:tcPr>
            <w:tcW w:w="877" w:type="dxa"/>
            <w:tcBorders>
              <w:left w:val="single" w:sz="4" w:space="0" w:color="auto"/>
            </w:tcBorders>
          </w:tcPr>
          <w:p w14:paraId="2C7FC53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3CBE290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0.255</w:t>
            </w:r>
          </w:p>
        </w:tc>
        <w:tc>
          <w:tcPr>
            <w:tcW w:w="993" w:type="dxa"/>
          </w:tcPr>
          <w:p w14:paraId="663894A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0.129</w:t>
            </w:r>
          </w:p>
        </w:tc>
        <w:tc>
          <w:tcPr>
            <w:tcW w:w="1155" w:type="dxa"/>
          </w:tcPr>
          <w:p w14:paraId="23ACDEA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39E7A2A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0.209</w:t>
            </w:r>
          </w:p>
        </w:tc>
        <w:tc>
          <w:tcPr>
            <w:tcW w:w="1155" w:type="dxa"/>
          </w:tcPr>
          <w:p w14:paraId="0657108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0.817</w:t>
            </w:r>
          </w:p>
        </w:tc>
      </w:tr>
      <w:tr w:rsidR="00D331ED" w:rsidRPr="004760F1" w14:paraId="61A44372" w14:textId="77777777" w:rsidTr="00492E99">
        <w:tc>
          <w:tcPr>
            <w:tcW w:w="2015" w:type="dxa"/>
            <w:tcBorders>
              <w:right w:val="single" w:sz="4" w:space="0" w:color="auto"/>
            </w:tcBorders>
          </w:tcPr>
          <w:p w14:paraId="604D6D07" w14:textId="77777777" w:rsidR="00D331ED" w:rsidRPr="004760F1" w:rsidRDefault="00D331ED" w:rsidP="00492E99">
            <w:pPr>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M1A4</w:t>
            </w:r>
          </w:p>
        </w:tc>
        <w:tc>
          <w:tcPr>
            <w:tcW w:w="877" w:type="dxa"/>
            <w:tcBorders>
              <w:left w:val="single" w:sz="4" w:space="0" w:color="auto"/>
            </w:tcBorders>
          </w:tcPr>
          <w:p w14:paraId="155C941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1BA9009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0.019</w:t>
            </w:r>
          </w:p>
        </w:tc>
        <w:tc>
          <w:tcPr>
            <w:tcW w:w="993" w:type="dxa"/>
          </w:tcPr>
          <w:p w14:paraId="3D8814A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0.066</w:t>
            </w:r>
          </w:p>
        </w:tc>
        <w:tc>
          <w:tcPr>
            <w:tcW w:w="1155" w:type="dxa"/>
          </w:tcPr>
          <w:p w14:paraId="288CC07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3AC0ED8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1665FCE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0.561</w:t>
            </w:r>
          </w:p>
        </w:tc>
      </w:tr>
      <w:tr w:rsidR="00D331ED" w:rsidRPr="004760F1" w14:paraId="32A8147E" w14:textId="77777777" w:rsidTr="00492E99">
        <w:tc>
          <w:tcPr>
            <w:tcW w:w="2015" w:type="dxa"/>
            <w:tcBorders>
              <w:right w:val="single" w:sz="4" w:space="0" w:color="auto"/>
            </w:tcBorders>
          </w:tcPr>
          <w:p w14:paraId="75BC4D38"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PE_ratio</w:t>
            </w:r>
            <w:proofErr w:type="spellEnd"/>
          </w:p>
        </w:tc>
        <w:tc>
          <w:tcPr>
            <w:tcW w:w="877" w:type="dxa"/>
            <w:tcBorders>
              <w:left w:val="single" w:sz="4" w:space="0" w:color="auto"/>
            </w:tcBorders>
          </w:tcPr>
          <w:p w14:paraId="53EB514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05992AD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86.963</w:t>
            </w:r>
          </w:p>
        </w:tc>
        <w:tc>
          <w:tcPr>
            <w:tcW w:w="993" w:type="dxa"/>
          </w:tcPr>
          <w:p w14:paraId="600C659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94.034</w:t>
            </w:r>
          </w:p>
        </w:tc>
        <w:tc>
          <w:tcPr>
            <w:tcW w:w="1155" w:type="dxa"/>
          </w:tcPr>
          <w:p w14:paraId="56A277F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5.439</w:t>
            </w:r>
          </w:p>
        </w:tc>
        <w:tc>
          <w:tcPr>
            <w:tcW w:w="1155" w:type="dxa"/>
          </w:tcPr>
          <w:p w14:paraId="31E159A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51.970</w:t>
            </w:r>
          </w:p>
        </w:tc>
        <w:tc>
          <w:tcPr>
            <w:tcW w:w="1155" w:type="dxa"/>
          </w:tcPr>
          <w:p w14:paraId="2D3A5A5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1037.684</w:t>
            </w:r>
          </w:p>
        </w:tc>
      </w:tr>
      <w:tr w:rsidR="00D331ED" w:rsidRPr="004760F1" w14:paraId="08E6EE6E" w14:textId="77777777" w:rsidTr="00492E99">
        <w:tc>
          <w:tcPr>
            <w:tcW w:w="2015" w:type="dxa"/>
            <w:tcBorders>
              <w:right w:val="single" w:sz="4" w:space="0" w:color="auto"/>
            </w:tcBorders>
          </w:tcPr>
          <w:p w14:paraId="752706A7"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PB_ratio</w:t>
            </w:r>
            <w:proofErr w:type="spellEnd"/>
          </w:p>
        </w:tc>
        <w:tc>
          <w:tcPr>
            <w:tcW w:w="877" w:type="dxa"/>
            <w:tcBorders>
              <w:left w:val="single" w:sz="4" w:space="0" w:color="auto"/>
            </w:tcBorders>
          </w:tcPr>
          <w:p w14:paraId="75372F8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612809D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3.531</w:t>
            </w:r>
          </w:p>
        </w:tc>
        <w:tc>
          <w:tcPr>
            <w:tcW w:w="993" w:type="dxa"/>
          </w:tcPr>
          <w:p w14:paraId="580F54C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2.406</w:t>
            </w:r>
          </w:p>
        </w:tc>
        <w:tc>
          <w:tcPr>
            <w:tcW w:w="1155" w:type="dxa"/>
          </w:tcPr>
          <w:p w14:paraId="5F351D6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0.667</w:t>
            </w:r>
          </w:p>
        </w:tc>
        <w:tc>
          <w:tcPr>
            <w:tcW w:w="1155" w:type="dxa"/>
          </w:tcPr>
          <w:p w14:paraId="13B6E07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2.964</w:t>
            </w:r>
          </w:p>
        </w:tc>
        <w:tc>
          <w:tcPr>
            <w:tcW w:w="1155" w:type="dxa"/>
          </w:tcPr>
          <w:p w14:paraId="69CD6D4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26.206</w:t>
            </w:r>
          </w:p>
        </w:tc>
      </w:tr>
      <w:tr w:rsidR="00D331ED" w:rsidRPr="004760F1" w14:paraId="3B42EA0E" w14:textId="77777777" w:rsidTr="00492E99">
        <w:tc>
          <w:tcPr>
            <w:tcW w:w="2015" w:type="dxa"/>
            <w:tcBorders>
              <w:right w:val="single" w:sz="4" w:space="0" w:color="auto"/>
            </w:tcBorders>
          </w:tcPr>
          <w:p w14:paraId="1E55A211"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BM_ratio</w:t>
            </w:r>
            <w:proofErr w:type="spellEnd"/>
          </w:p>
        </w:tc>
        <w:tc>
          <w:tcPr>
            <w:tcW w:w="877" w:type="dxa"/>
            <w:tcBorders>
              <w:left w:val="single" w:sz="4" w:space="0" w:color="auto"/>
            </w:tcBorders>
          </w:tcPr>
          <w:p w14:paraId="5637312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1E6684B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0.633</w:t>
            </w:r>
          </w:p>
        </w:tc>
        <w:tc>
          <w:tcPr>
            <w:tcW w:w="993" w:type="dxa"/>
          </w:tcPr>
          <w:p w14:paraId="5DFEDDA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0.196</w:t>
            </w:r>
          </w:p>
        </w:tc>
        <w:tc>
          <w:tcPr>
            <w:tcW w:w="1155" w:type="dxa"/>
          </w:tcPr>
          <w:p w14:paraId="158A938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0.111</w:t>
            </w:r>
          </w:p>
        </w:tc>
        <w:tc>
          <w:tcPr>
            <w:tcW w:w="1155" w:type="dxa"/>
          </w:tcPr>
          <w:p w14:paraId="004A9AE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0.632</w:t>
            </w:r>
          </w:p>
        </w:tc>
        <w:tc>
          <w:tcPr>
            <w:tcW w:w="1155" w:type="dxa"/>
          </w:tcPr>
          <w:p w14:paraId="4925693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1.080</w:t>
            </w:r>
          </w:p>
        </w:tc>
      </w:tr>
      <w:tr w:rsidR="00D331ED" w:rsidRPr="004760F1" w14:paraId="7BC3424F" w14:textId="77777777" w:rsidTr="00492E99">
        <w:tc>
          <w:tcPr>
            <w:tcW w:w="2015" w:type="dxa"/>
            <w:tcBorders>
              <w:right w:val="single" w:sz="4" w:space="0" w:color="auto"/>
            </w:tcBorders>
          </w:tcPr>
          <w:p w14:paraId="1119F959"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AnaAttention</w:t>
            </w:r>
            <w:proofErr w:type="spellEnd"/>
          </w:p>
        </w:tc>
        <w:tc>
          <w:tcPr>
            <w:tcW w:w="877" w:type="dxa"/>
            <w:tcBorders>
              <w:left w:val="single" w:sz="4" w:space="0" w:color="auto"/>
            </w:tcBorders>
          </w:tcPr>
          <w:p w14:paraId="2C7F922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35163B8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8.286</w:t>
            </w:r>
          </w:p>
        </w:tc>
        <w:tc>
          <w:tcPr>
            <w:tcW w:w="993" w:type="dxa"/>
          </w:tcPr>
          <w:p w14:paraId="30F5A83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7.615</w:t>
            </w:r>
          </w:p>
        </w:tc>
        <w:tc>
          <w:tcPr>
            <w:tcW w:w="1155" w:type="dxa"/>
          </w:tcPr>
          <w:p w14:paraId="5B4241F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1.000</w:t>
            </w:r>
          </w:p>
        </w:tc>
        <w:tc>
          <w:tcPr>
            <w:tcW w:w="1155" w:type="dxa"/>
          </w:tcPr>
          <w:p w14:paraId="17E92BE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5.675</w:t>
            </w:r>
          </w:p>
        </w:tc>
        <w:tc>
          <w:tcPr>
            <w:tcW w:w="1155" w:type="dxa"/>
          </w:tcPr>
          <w:p w14:paraId="6745CC8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52.832</w:t>
            </w:r>
          </w:p>
        </w:tc>
      </w:tr>
      <w:tr w:rsidR="00D331ED" w:rsidRPr="004760F1" w14:paraId="1CFD9695" w14:textId="77777777" w:rsidTr="00492E99">
        <w:tc>
          <w:tcPr>
            <w:tcW w:w="2015" w:type="dxa"/>
            <w:tcBorders>
              <w:right w:val="single" w:sz="4" w:space="0" w:color="auto"/>
            </w:tcBorders>
          </w:tcPr>
          <w:p w14:paraId="0CD3BB8D"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CompanySize_log</w:t>
            </w:r>
            <w:proofErr w:type="spellEnd"/>
          </w:p>
        </w:tc>
        <w:tc>
          <w:tcPr>
            <w:tcW w:w="877" w:type="dxa"/>
            <w:tcBorders>
              <w:left w:val="single" w:sz="4" w:space="0" w:color="auto"/>
            </w:tcBorders>
          </w:tcPr>
          <w:p w14:paraId="31CEC49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6458FA2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22.154</w:t>
            </w:r>
          </w:p>
        </w:tc>
        <w:tc>
          <w:tcPr>
            <w:tcW w:w="993" w:type="dxa"/>
          </w:tcPr>
          <w:p w14:paraId="4481521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1.460</w:t>
            </w:r>
          </w:p>
        </w:tc>
        <w:tc>
          <w:tcPr>
            <w:tcW w:w="1155" w:type="dxa"/>
          </w:tcPr>
          <w:p w14:paraId="3037A88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16.362</w:t>
            </w:r>
          </w:p>
        </w:tc>
        <w:tc>
          <w:tcPr>
            <w:tcW w:w="1155" w:type="dxa"/>
          </w:tcPr>
          <w:p w14:paraId="6249314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21.901</w:t>
            </w:r>
          </w:p>
        </w:tc>
        <w:tc>
          <w:tcPr>
            <w:tcW w:w="1155" w:type="dxa"/>
          </w:tcPr>
          <w:p w14:paraId="2CF3B89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30.654</w:t>
            </w:r>
          </w:p>
        </w:tc>
      </w:tr>
      <w:tr w:rsidR="00D331ED" w:rsidRPr="004760F1" w14:paraId="71158B67" w14:textId="77777777" w:rsidTr="00492E99">
        <w:tc>
          <w:tcPr>
            <w:tcW w:w="2015" w:type="dxa"/>
            <w:tcBorders>
              <w:right w:val="single" w:sz="4" w:space="0" w:color="auto"/>
            </w:tcBorders>
          </w:tcPr>
          <w:p w14:paraId="4786932B" w14:textId="77777777" w:rsidR="00D331ED" w:rsidRPr="004760F1" w:rsidRDefault="00D331ED" w:rsidP="00492E99">
            <w:pPr>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Big4</w:t>
            </w:r>
          </w:p>
        </w:tc>
        <w:tc>
          <w:tcPr>
            <w:tcW w:w="877" w:type="dxa"/>
            <w:tcBorders>
              <w:left w:val="single" w:sz="4" w:space="0" w:color="auto"/>
            </w:tcBorders>
          </w:tcPr>
          <w:p w14:paraId="10C8A59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7C84C0C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0.072</w:t>
            </w:r>
          </w:p>
        </w:tc>
        <w:tc>
          <w:tcPr>
            <w:tcW w:w="993" w:type="dxa"/>
          </w:tcPr>
          <w:p w14:paraId="0BE4A45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0.244</w:t>
            </w:r>
          </w:p>
        </w:tc>
        <w:tc>
          <w:tcPr>
            <w:tcW w:w="1155" w:type="dxa"/>
          </w:tcPr>
          <w:p w14:paraId="5D81051A"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39ADA77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55FD4A3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1.000</w:t>
            </w:r>
          </w:p>
        </w:tc>
      </w:tr>
      <w:tr w:rsidR="00D331ED" w:rsidRPr="004760F1" w14:paraId="47BCC69D" w14:textId="77777777" w:rsidTr="00492E99">
        <w:tc>
          <w:tcPr>
            <w:tcW w:w="2015" w:type="dxa"/>
            <w:tcBorders>
              <w:right w:val="single" w:sz="4" w:space="0" w:color="auto"/>
            </w:tcBorders>
          </w:tcPr>
          <w:p w14:paraId="6291E3AE"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Outside_Audit</w:t>
            </w:r>
            <w:proofErr w:type="spellEnd"/>
          </w:p>
        </w:tc>
        <w:tc>
          <w:tcPr>
            <w:tcW w:w="877" w:type="dxa"/>
            <w:tcBorders>
              <w:left w:val="single" w:sz="4" w:space="0" w:color="auto"/>
            </w:tcBorders>
          </w:tcPr>
          <w:p w14:paraId="11D86E6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370FC68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0.032</w:t>
            </w:r>
          </w:p>
        </w:tc>
        <w:tc>
          <w:tcPr>
            <w:tcW w:w="993" w:type="dxa"/>
          </w:tcPr>
          <w:p w14:paraId="7340C8F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0.161</w:t>
            </w:r>
          </w:p>
        </w:tc>
        <w:tc>
          <w:tcPr>
            <w:tcW w:w="1155" w:type="dxa"/>
          </w:tcPr>
          <w:p w14:paraId="176B93D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1513516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2125F1D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1.000</w:t>
            </w:r>
          </w:p>
        </w:tc>
      </w:tr>
      <w:tr w:rsidR="00D331ED" w:rsidRPr="004760F1" w14:paraId="594B5D96" w14:textId="77777777" w:rsidTr="00492E99">
        <w:tc>
          <w:tcPr>
            <w:tcW w:w="2015" w:type="dxa"/>
            <w:tcBorders>
              <w:right w:val="single" w:sz="4" w:space="0" w:color="auto"/>
            </w:tcBorders>
          </w:tcPr>
          <w:p w14:paraId="301C3D44"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Fin_Lev</w:t>
            </w:r>
            <w:proofErr w:type="spellEnd"/>
          </w:p>
        </w:tc>
        <w:tc>
          <w:tcPr>
            <w:tcW w:w="877" w:type="dxa"/>
            <w:tcBorders>
              <w:left w:val="single" w:sz="4" w:space="0" w:color="auto"/>
            </w:tcBorders>
          </w:tcPr>
          <w:p w14:paraId="4667377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00C6A67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1.662</w:t>
            </w:r>
          </w:p>
        </w:tc>
        <w:tc>
          <w:tcPr>
            <w:tcW w:w="993" w:type="dxa"/>
          </w:tcPr>
          <w:p w14:paraId="5FEC265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12.131</w:t>
            </w:r>
          </w:p>
        </w:tc>
        <w:tc>
          <w:tcPr>
            <w:tcW w:w="1155" w:type="dxa"/>
          </w:tcPr>
          <w:p w14:paraId="01871FD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-339.161</w:t>
            </w:r>
          </w:p>
        </w:tc>
        <w:tc>
          <w:tcPr>
            <w:tcW w:w="1155" w:type="dxa"/>
          </w:tcPr>
          <w:p w14:paraId="37DE1AD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0.844</w:t>
            </w:r>
          </w:p>
        </w:tc>
        <w:tc>
          <w:tcPr>
            <w:tcW w:w="1155" w:type="dxa"/>
          </w:tcPr>
          <w:p w14:paraId="5EB8240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392.865</w:t>
            </w:r>
          </w:p>
        </w:tc>
      </w:tr>
      <w:tr w:rsidR="00D331ED" w:rsidRPr="004760F1" w14:paraId="43FB6862" w14:textId="77777777" w:rsidTr="00492E99">
        <w:tc>
          <w:tcPr>
            <w:tcW w:w="2015" w:type="dxa"/>
            <w:tcBorders>
              <w:right w:val="single" w:sz="4" w:space="0" w:color="auto"/>
            </w:tcBorders>
          </w:tcPr>
          <w:p w14:paraId="3B52280C"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TotInsHoldperA</w:t>
            </w:r>
            <w:proofErr w:type="spellEnd"/>
          </w:p>
        </w:tc>
        <w:tc>
          <w:tcPr>
            <w:tcW w:w="877" w:type="dxa"/>
            <w:tcBorders>
              <w:left w:val="single" w:sz="4" w:space="0" w:color="auto"/>
            </w:tcBorders>
          </w:tcPr>
          <w:p w14:paraId="59D7250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2DB57BFA"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0.307</w:t>
            </w:r>
          </w:p>
        </w:tc>
        <w:tc>
          <w:tcPr>
            <w:tcW w:w="993" w:type="dxa"/>
          </w:tcPr>
          <w:p w14:paraId="2662034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0.182</w:t>
            </w:r>
          </w:p>
        </w:tc>
        <w:tc>
          <w:tcPr>
            <w:tcW w:w="1155" w:type="dxa"/>
          </w:tcPr>
          <w:p w14:paraId="1923C1D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0BD0E85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0.282</w:t>
            </w:r>
          </w:p>
        </w:tc>
        <w:tc>
          <w:tcPr>
            <w:tcW w:w="1155" w:type="dxa"/>
          </w:tcPr>
          <w:p w14:paraId="686D4BA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0.983</w:t>
            </w:r>
          </w:p>
        </w:tc>
      </w:tr>
      <w:tr w:rsidR="00D331ED" w:rsidRPr="004760F1" w14:paraId="05806B4B" w14:textId="77777777" w:rsidTr="00492E99">
        <w:tc>
          <w:tcPr>
            <w:tcW w:w="2015" w:type="dxa"/>
            <w:tcBorders>
              <w:right w:val="single" w:sz="4" w:space="0" w:color="auto"/>
            </w:tcBorders>
          </w:tcPr>
          <w:p w14:paraId="1EE04BF9"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FdHoldperA</w:t>
            </w:r>
            <w:proofErr w:type="spellEnd"/>
          </w:p>
        </w:tc>
        <w:tc>
          <w:tcPr>
            <w:tcW w:w="877" w:type="dxa"/>
            <w:tcBorders>
              <w:left w:val="single" w:sz="4" w:space="0" w:color="auto"/>
            </w:tcBorders>
          </w:tcPr>
          <w:p w14:paraId="1DCF572A"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364FB99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0.023</w:t>
            </w:r>
          </w:p>
        </w:tc>
        <w:tc>
          <w:tcPr>
            <w:tcW w:w="993" w:type="dxa"/>
          </w:tcPr>
          <w:p w14:paraId="2B8F3C0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0.029</w:t>
            </w:r>
          </w:p>
        </w:tc>
        <w:tc>
          <w:tcPr>
            <w:tcW w:w="1155" w:type="dxa"/>
          </w:tcPr>
          <w:p w14:paraId="30FDD90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157B427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0.013</w:t>
            </w:r>
          </w:p>
        </w:tc>
        <w:tc>
          <w:tcPr>
            <w:tcW w:w="1155" w:type="dxa"/>
          </w:tcPr>
          <w:p w14:paraId="34B1010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0.208</w:t>
            </w:r>
          </w:p>
        </w:tc>
      </w:tr>
      <w:tr w:rsidR="00D331ED" w:rsidRPr="004760F1" w14:paraId="49B8E3FD" w14:textId="77777777" w:rsidTr="00492E99">
        <w:tc>
          <w:tcPr>
            <w:tcW w:w="2015" w:type="dxa"/>
            <w:tcBorders>
              <w:right w:val="single" w:sz="4" w:space="0" w:color="auto"/>
            </w:tcBorders>
          </w:tcPr>
          <w:p w14:paraId="2AA0CD40"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SecCorpHoldPerA</w:t>
            </w:r>
            <w:proofErr w:type="spellEnd"/>
          </w:p>
        </w:tc>
        <w:tc>
          <w:tcPr>
            <w:tcW w:w="877" w:type="dxa"/>
            <w:tcBorders>
              <w:left w:val="single" w:sz="4" w:space="0" w:color="auto"/>
            </w:tcBorders>
          </w:tcPr>
          <w:p w14:paraId="75EEE22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686693B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0.003</w:t>
            </w:r>
          </w:p>
        </w:tc>
        <w:tc>
          <w:tcPr>
            <w:tcW w:w="993" w:type="dxa"/>
          </w:tcPr>
          <w:p w14:paraId="423E7B8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0.004</w:t>
            </w:r>
          </w:p>
        </w:tc>
        <w:tc>
          <w:tcPr>
            <w:tcW w:w="1155" w:type="dxa"/>
          </w:tcPr>
          <w:p w14:paraId="7215908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40577F5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0.001</w:t>
            </w:r>
          </w:p>
        </w:tc>
        <w:tc>
          <w:tcPr>
            <w:tcW w:w="1155" w:type="dxa"/>
          </w:tcPr>
          <w:p w14:paraId="77BDDC4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0.056</w:t>
            </w:r>
          </w:p>
        </w:tc>
      </w:tr>
      <w:tr w:rsidR="00D331ED" w:rsidRPr="004760F1" w14:paraId="1254290E" w14:textId="77777777" w:rsidTr="00492E99">
        <w:tc>
          <w:tcPr>
            <w:tcW w:w="2015" w:type="dxa"/>
            <w:tcBorders>
              <w:right w:val="single" w:sz="4" w:space="0" w:color="auto"/>
            </w:tcBorders>
          </w:tcPr>
          <w:p w14:paraId="550F4A55"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QFIIHoldPerA</w:t>
            </w:r>
            <w:proofErr w:type="spellEnd"/>
          </w:p>
        </w:tc>
        <w:tc>
          <w:tcPr>
            <w:tcW w:w="877" w:type="dxa"/>
            <w:tcBorders>
              <w:left w:val="single" w:sz="4" w:space="0" w:color="auto"/>
            </w:tcBorders>
          </w:tcPr>
          <w:p w14:paraId="46A38E8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0B9F76E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0.001</w:t>
            </w:r>
          </w:p>
        </w:tc>
        <w:tc>
          <w:tcPr>
            <w:tcW w:w="993" w:type="dxa"/>
          </w:tcPr>
          <w:p w14:paraId="7FA08B8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0.006</w:t>
            </w:r>
          </w:p>
        </w:tc>
        <w:tc>
          <w:tcPr>
            <w:tcW w:w="1155" w:type="dxa"/>
          </w:tcPr>
          <w:p w14:paraId="4D15823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4D30B55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60AAC4F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0.180</w:t>
            </w:r>
          </w:p>
        </w:tc>
      </w:tr>
      <w:tr w:rsidR="00D331ED" w:rsidRPr="004760F1" w14:paraId="51B68B59" w14:textId="77777777" w:rsidTr="00492E99">
        <w:tc>
          <w:tcPr>
            <w:tcW w:w="2015" w:type="dxa"/>
            <w:tcBorders>
              <w:right w:val="single" w:sz="4" w:space="0" w:color="auto"/>
            </w:tcBorders>
          </w:tcPr>
          <w:p w14:paraId="41B7BD53"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InsuComHoldPerA</w:t>
            </w:r>
            <w:proofErr w:type="spellEnd"/>
          </w:p>
        </w:tc>
        <w:tc>
          <w:tcPr>
            <w:tcW w:w="877" w:type="dxa"/>
            <w:tcBorders>
              <w:left w:val="single" w:sz="4" w:space="0" w:color="auto"/>
            </w:tcBorders>
          </w:tcPr>
          <w:p w14:paraId="40E6FEA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78C537C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0.003</w:t>
            </w:r>
          </w:p>
        </w:tc>
        <w:tc>
          <w:tcPr>
            <w:tcW w:w="993" w:type="dxa"/>
          </w:tcPr>
          <w:p w14:paraId="40F9633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0.023</w:t>
            </w:r>
          </w:p>
        </w:tc>
        <w:tc>
          <w:tcPr>
            <w:tcW w:w="1155" w:type="dxa"/>
          </w:tcPr>
          <w:p w14:paraId="3A614A4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416AFF8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40D8A17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0.928</w:t>
            </w:r>
          </w:p>
        </w:tc>
      </w:tr>
      <w:tr w:rsidR="00D331ED" w:rsidRPr="004760F1" w14:paraId="43F0EEA4" w14:textId="77777777" w:rsidTr="00492E99">
        <w:tc>
          <w:tcPr>
            <w:tcW w:w="2015" w:type="dxa"/>
            <w:tcBorders>
              <w:right w:val="single" w:sz="4" w:space="0" w:color="auto"/>
            </w:tcBorders>
          </w:tcPr>
          <w:p w14:paraId="630CB59D"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SocSecFdHoldPerA</w:t>
            </w:r>
            <w:proofErr w:type="spellEnd"/>
          </w:p>
        </w:tc>
        <w:tc>
          <w:tcPr>
            <w:tcW w:w="877" w:type="dxa"/>
            <w:tcBorders>
              <w:left w:val="single" w:sz="4" w:space="0" w:color="auto"/>
            </w:tcBorders>
          </w:tcPr>
          <w:p w14:paraId="79A0318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1199250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0.003</w:t>
            </w:r>
          </w:p>
        </w:tc>
        <w:tc>
          <w:tcPr>
            <w:tcW w:w="993" w:type="dxa"/>
          </w:tcPr>
          <w:p w14:paraId="3B2DF8F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0.005</w:t>
            </w:r>
          </w:p>
        </w:tc>
        <w:tc>
          <w:tcPr>
            <w:tcW w:w="1155" w:type="dxa"/>
          </w:tcPr>
          <w:p w14:paraId="6DB53F3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5D47549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0.001</w:t>
            </w:r>
          </w:p>
        </w:tc>
        <w:tc>
          <w:tcPr>
            <w:tcW w:w="1155" w:type="dxa"/>
          </w:tcPr>
          <w:p w14:paraId="1484C11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0.049</w:t>
            </w:r>
          </w:p>
        </w:tc>
      </w:tr>
      <w:tr w:rsidR="00D331ED" w:rsidRPr="004760F1" w14:paraId="1FABD2CE" w14:textId="77777777" w:rsidTr="00492E99">
        <w:tc>
          <w:tcPr>
            <w:tcW w:w="2015" w:type="dxa"/>
            <w:tcBorders>
              <w:bottom w:val="single" w:sz="2" w:space="0" w:color="000000"/>
              <w:right w:val="single" w:sz="4" w:space="0" w:color="auto"/>
            </w:tcBorders>
          </w:tcPr>
          <w:p w14:paraId="0CFFEE83"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OthInsHoldPerA</w:t>
            </w:r>
            <w:proofErr w:type="spellEnd"/>
          </w:p>
        </w:tc>
        <w:tc>
          <w:tcPr>
            <w:tcW w:w="877" w:type="dxa"/>
            <w:tcBorders>
              <w:left w:val="single" w:sz="4" w:space="0" w:color="auto"/>
            </w:tcBorders>
          </w:tcPr>
          <w:p w14:paraId="516DBE6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2607</w:t>
            </w:r>
          </w:p>
        </w:tc>
        <w:tc>
          <w:tcPr>
            <w:tcW w:w="1154" w:type="dxa"/>
          </w:tcPr>
          <w:p w14:paraId="7A2E52B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0.271</w:t>
            </w:r>
          </w:p>
        </w:tc>
        <w:tc>
          <w:tcPr>
            <w:tcW w:w="993" w:type="dxa"/>
          </w:tcPr>
          <w:p w14:paraId="5E27A2B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0.179</w:t>
            </w:r>
          </w:p>
        </w:tc>
        <w:tc>
          <w:tcPr>
            <w:tcW w:w="1155" w:type="dxa"/>
          </w:tcPr>
          <w:p w14:paraId="319988AA"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55" w:type="dxa"/>
          </w:tcPr>
          <w:p w14:paraId="6A1CC13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0.240</w:t>
            </w:r>
          </w:p>
        </w:tc>
        <w:tc>
          <w:tcPr>
            <w:tcW w:w="1155" w:type="dxa"/>
          </w:tcPr>
          <w:p w14:paraId="6C2D448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0.981</w:t>
            </w:r>
          </w:p>
        </w:tc>
      </w:tr>
    </w:tbl>
    <w:p w14:paraId="5A031E48" w14:textId="78FF0D8D" w:rsidR="00D331ED" w:rsidRPr="004760F1" w:rsidRDefault="006460BE" w:rsidP="00D331ED">
      <w:pPr>
        <w:pStyle w:val="Normal15-BR2"/>
        <w:spacing w:after="0"/>
        <w:rPr>
          <w:rFonts w:ascii="Times New Roman" w:hAnsi="Times New Roman" w:cs="Times New Roman"/>
          <w:b/>
          <w:color w:val="000000" w:themeColor="text1"/>
          <w:lang w:eastAsia="zh-CN"/>
        </w:rPr>
      </w:pPr>
      <w:r w:rsidRPr="004760F1">
        <w:rPr>
          <w:rFonts w:ascii="Times New Roman" w:hAnsi="Times New Roman" w:cs="Times New Roman"/>
          <w:b/>
          <w:color w:val="000000" w:themeColor="text1"/>
          <w:lang w:eastAsia="zh-CN"/>
        </w:rPr>
        <w:t>Table 4</w:t>
      </w:r>
      <w:r w:rsidR="00D331ED" w:rsidRPr="004760F1">
        <w:rPr>
          <w:rFonts w:ascii="Times New Roman" w:hAnsi="Times New Roman" w:cs="Times New Roman"/>
          <w:b/>
          <w:color w:val="000000" w:themeColor="text1"/>
          <w:lang w:eastAsia="zh-CN"/>
        </w:rPr>
        <w:t>-2 Panel B</w:t>
      </w:r>
      <w:r w:rsidRPr="004760F1">
        <w:rPr>
          <w:rFonts w:ascii="Times New Roman" w:hAnsi="Times New Roman" w:cs="Times New Roman"/>
          <w:b/>
          <w:color w:val="000000" w:themeColor="text1"/>
          <w:lang w:eastAsia="zh-CN"/>
        </w:rPr>
        <w:t xml:space="preserve">: </w:t>
      </w:r>
      <w:r w:rsidR="00D967DE" w:rsidRPr="004760F1">
        <w:rPr>
          <w:rFonts w:ascii="Times New Roman" w:hAnsi="Times New Roman" w:cs="Times New Roman"/>
          <w:b/>
          <w:color w:val="000000" w:themeColor="text1"/>
          <w:lang w:eastAsia="zh-CN"/>
        </w:rPr>
        <w:t xml:space="preserve">Included vs. Not Included </w:t>
      </w:r>
      <w:r w:rsidRPr="004760F1">
        <w:rPr>
          <w:rFonts w:ascii="Times New Roman" w:hAnsi="Times New Roman" w:cs="Times New Roman"/>
          <w:b/>
          <w:color w:val="000000" w:themeColor="text1"/>
          <w:lang w:eastAsia="zh-CN"/>
        </w:rPr>
        <w:t>stocks</w:t>
      </w:r>
    </w:p>
    <w:tbl>
      <w:tblPr>
        <w:tblStyle w:val="4"/>
        <w:tblW w:w="8505" w:type="dxa"/>
        <w:tblBorders>
          <w:top w:val="single" w:sz="0" w:space="0" w:color="000000"/>
          <w:left w:val="nil"/>
          <w:bottom w:val="single" w:sz="0" w:space="0" w:color="000000"/>
          <w:right w:val="nil"/>
          <w:insideH w:val="nil"/>
          <w:insideV w:val="nil"/>
        </w:tblBorders>
        <w:tblLook w:val="04A0" w:firstRow="1" w:lastRow="0" w:firstColumn="1" w:lastColumn="0" w:noHBand="0" w:noVBand="1"/>
      </w:tblPr>
      <w:tblGrid>
        <w:gridCol w:w="2016"/>
        <w:gridCol w:w="1180"/>
        <w:gridCol w:w="1057"/>
        <w:gridCol w:w="1077"/>
        <w:gridCol w:w="1191"/>
        <w:gridCol w:w="992"/>
        <w:gridCol w:w="992"/>
      </w:tblGrid>
      <w:tr w:rsidR="00D331ED" w:rsidRPr="004760F1" w14:paraId="4ACE2A7C" w14:textId="77777777" w:rsidTr="00492E99">
        <w:tc>
          <w:tcPr>
            <w:tcW w:w="2016" w:type="dxa"/>
            <w:tcBorders>
              <w:top w:val="single" w:sz="2" w:space="0" w:color="000000"/>
              <w:bottom w:val="single" w:sz="0" w:space="0" w:color="000000"/>
              <w:right w:val="single" w:sz="4" w:space="0" w:color="auto"/>
            </w:tcBorders>
          </w:tcPr>
          <w:p w14:paraId="44AD97A2" w14:textId="77777777" w:rsidR="00D331ED" w:rsidRPr="004760F1" w:rsidRDefault="00D331ED" w:rsidP="00492E99">
            <w:pPr>
              <w:rPr>
                <w:rFonts w:ascii="Times New Roman" w:eastAsiaTheme="minorHAnsi" w:hAnsi="Times New Roman" w:cs="Times New Roman"/>
                <w:sz w:val="22"/>
                <w:szCs w:val="22"/>
              </w:rPr>
            </w:pPr>
          </w:p>
        </w:tc>
        <w:tc>
          <w:tcPr>
            <w:tcW w:w="3314" w:type="dxa"/>
            <w:gridSpan w:val="3"/>
            <w:tcBorders>
              <w:top w:val="single" w:sz="2" w:space="0" w:color="000000"/>
              <w:left w:val="single" w:sz="4" w:space="0" w:color="auto"/>
              <w:bottom w:val="single" w:sz="0" w:space="0" w:color="000000"/>
              <w:right w:val="single" w:sz="4" w:space="0" w:color="auto"/>
            </w:tcBorders>
          </w:tcPr>
          <w:p w14:paraId="529EF5C5" w14:textId="5F9DD7FF" w:rsidR="00D331ED" w:rsidRPr="004760F1" w:rsidRDefault="00D967DE" w:rsidP="00D967DE">
            <w:pPr>
              <w:jc w:val="center"/>
              <w:rPr>
                <w:rFonts w:ascii="Times New Roman" w:eastAsiaTheme="minorHAnsi" w:hAnsi="Times New Roman" w:cs="Times New Roman"/>
                <w:b/>
              </w:rPr>
            </w:pPr>
            <w:r w:rsidRPr="004760F1">
              <w:rPr>
                <w:rFonts w:ascii="Times New Roman" w:eastAsiaTheme="minorHAnsi" w:hAnsi="Times New Roman" w:cs="Times New Roman"/>
                <w:b/>
              </w:rPr>
              <w:t xml:space="preserve">Included </w:t>
            </w:r>
            <w:r w:rsidR="00904E0C" w:rsidRPr="004760F1">
              <w:rPr>
                <w:rFonts w:ascii="Times New Roman" w:eastAsiaTheme="minorHAnsi" w:hAnsi="Times New Roman" w:cs="Times New Roman"/>
                <w:b/>
              </w:rPr>
              <w:t>into MSCI Index</w:t>
            </w:r>
          </w:p>
        </w:tc>
        <w:tc>
          <w:tcPr>
            <w:tcW w:w="3175" w:type="dxa"/>
            <w:gridSpan w:val="3"/>
            <w:tcBorders>
              <w:top w:val="single" w:sz="2" w:space="0" w:color="000000"/>
              <w:left w:val="single" w:sz="4" w:space="0" w:color="auto"/>
              <w:bottom w:val="single" w:sz="0" w:space="0" w:color="000000"/>
              <w:right w:val="single" w:sz="4" w:space="0" w:color="auto"/>
            </w:tcBorders>
          </w:tcPr>
          <w:p w14:paraId="37477131" w14:textId="5C17A97A" w:rsidR="00D331ED" w:rsidRPr="004760F1" w:rsidRDefault="00904E0C" w:rsidP="0049326F">
            <w:pPr>
              <w:jc w:val="center"/>
              <w:rPr>
                <w:rFonts w:ascii="Times New Roman" w:eastAsiaTheme="minorHAnsi" w:hAnsi="Times New Roman" w:cs="Times New Roman"/>
                <w:b/>
              </w:rPr>
            </w:pPr>
            <w:r w:rsidRPr="004760F1">
              <w:rPr>
                <w:rFonts w:ascii="Times New Roman" w:eastAsiaTheme="minorHAnsi" w:hAnsi="Times New Roman" w:cs="Times New Roman"/>
                <w:b/>
              </w:rPr>
              <w:t xml:space="preserve">Not </w:t>
            </w:r>
            <w:r w:rsidR="0049326F" w:rsidRPr="004760F1">
              <w:rPr>
                <w:rFonts w:ascii="Times New Roman" w:eastAsiaTheme="minorHAnsi" w:hAnsi="Times New Roman" w:cs="Times New Roman"/>
                <w:b/>
              </w:rPr>
              <w:t>Included</w:t>
            </w:r>
            <w:r w:rsidRPr="004760F1">
              <w:rPr>
                <w:rFonts w:ascii="Times New Roman" w:eastAsiaTheme="minorHAnsi" w:hAnsi="Times New Roman" w:cs="Times New Roman"/>
                <w:b/>
              </w:rPr>
              <w:t xml:space="preserve"> into MSCI Index</w:t>
            </w:r>
          </w:p>
        </w:tc>
      </w:tr>
      <w:tr w:rsidR="00D331ED" w:rsidRPr="004760F1" w14:paraId="08011207" w14:textId="77777777" w:rsidTr="00492E99">
        <w:tc>
          <w:tcPr>
            <w:tcW w:w="2016" w:type="dxa"/>
            <w:tcBorders>
              <w:bottom w:val="single" w:sz="0" w:space="0" w:color="000000"/>
              <w:right w:val="single" w:sz="4" w:space="0" w:color="auto"/>
            </w:tcBorders>
          </w:tcPr>
          <w:p w14:paraId="6240AE09"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VarName</w:t>
            </w:r>
            <w:proofErr w:type="spellEnd"/>
          </w:p>
        </w:tc>
        <w:tc>
          <w:tcPr>
            <w:tcW w:w="1180" w:type="dxa"/>
            <w:tcBorders>
              <w:left w:val="single" w:sz="4" w:space="0" w:color="auto"/>
              <w:bottom w:val="single" w:sz="0" w:space="0" w:color="000000"/>
            </w:tcBorders>
          </w:tcPr>
          <w:p w14:paraId="66618B0D" w14:textId="77777777" w:rsidR="00D331ED" w:rsidRPr="004760F1" w:rsidRDefault="00D331ED" w:rsidP="00492E99">
            <w:pPr>
              <w:jc w:val="right"/>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Obs</w:t>
            </w:r>
            <w:proofErr w:type="spellEnd"/>
          </w:p>
        </w:tc>
        <w:tc>
          <w:tcPr>
            <w:tcW w:w="1057" w:type="dxa"/>
            <w:tcBorders>
              <w:bottom w:val="single" w:sz="0" w:space="0" w:color="000000"/>
            </w:tcBorders>
          </w:tcPr>
          <w:p w14:paraId="47204E4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Mean</w:t>
            </w:r>
          </w:p>
        </w:tc>
        <w:tc>
          <w:tcPr>
            <w:tcW w:w="1077" w:type="dxa"/>
            <w:tcBorders>
              <w:bottom w:val="single" w:sz="0" w:space="0" w:color="000000"/>
              <w:right w:val="single" w:sz="4" w:space="0" w:color="auto"/>
            </w:tcBorders>
          </w:tcPr>
          <w:p w14:paraId="3D67205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Median</w:t>
            </w:r>
          </w:p>
        </w:tc>
        <w:tc>
          <w:tcPr>
            <w:tcW w:w="1191" w:type="dxa"/>
            <w:tcBorders>
              <w:left w:val="single" w:sz="4" w:space="0" w:color="auto"/>
              <w:bottom w:val="single" w:sz="0" w:space="0" w:color="000000"/>
            </w:tcBorders>
          </w:tcPr>
          <w:p w14:paraId="38501500" w14:textId="77777777" w:rsidR="00D331ED" w:rsidRPr="004760F1" w:rsidRDefault="00D331ED" w:rsidP="00492E99">
            <w:pPr>
              <w:jc w:val="right"/>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Obs</w:t>
            </w:r>
            <w:proofErr w:type="spellEnd"/>
          </w:p>
        </w:tc>
        <w:tc>
          <w:tcPr>
            <w:tcW w:w="992" w:type="dxa"/>
            <w:tcBorders>
              <w:bottom w:val="single" w:sz="0" w:space="0" w:color="000000"/>
            </w:tcBorders>
          </w:tcPr>
          <w:p w14:paraId="73427CB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Mean</w:t>
            </w:r>
          </w:p>
        </w:tc>
        <w:tc>
          <w:tcPr>
            <w:tcW w:w="992" w:type="dxa"/>
            <w:tcBorders>
              <w:bottom w:val="single" w:sz="0" w:space="0" w:color="000000"/>
              <w:right w:val="single" w:sz="4" w:space="0" w:color="auto"/>
            </w:tcBorders>
          </w:tcPr>
          <w:p w14:paraId="58B7388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Median</w:t>
            </w:r>
          </w:p>
        </w:tc>
      </w:tr>
      <w:tr w:rsidR="00D331ED" w:rsidRPr="004760F1" w14:paraId="4A8A58F9" w14:textId="77777777" w:rsidTr="00492E99">
        <w:tc>
          <w:tcPr>
            <w:tcW w:w="2016" w:type="dxa"/>
            <w:tcBorders>
              <w:top w:val="single" w:sz="0" w:space="0" w:color="000000"/>
              <w:right w:val="single" w:sz="4" w:space="0" w:color="auto"/>
            </w:tcBorders>
          </w:tcPr>
          <w:p w14:paraId="2C1D4EBE"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var_raw_w_ann</w:t>
            </w:r>
            <w:proofErr w:type="spellEnd"/>
          </w:p>
        </w:tc>
        <w:tc>
          <w:tcPr>
            <w:tcW w:w="1180" w:type="dxa"/>
            <w:tcBorders>
              <w:top w:val="single" w:sz="0" w:space="0" w:color="000000"/>
              <w:left w:val="single" w:sz="4" w:space="0" w:color="auto"/>
            </w:tcBorders>
          </w:tcPr>
          <w:p w14:paraId="7B628B5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Borders>
              <w:top w:val="single" w:sz="0" w:space="0" w:color="000000"/>
            </w:tcBorders>
          </w:tcPr>
          <w:p w14:paraId="0E886AEA"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0.160</w:t>
            </w:r>
          </w:p>
        </w:tc>
        <w:tc>
          <w:tcPr>
            <w:tcW w:w="1077" w:type="dxa"/>
            <w:tcBorders>
              <w:top w:val="single" w:sz="0" w:space="0" w:color="000000"/>
              <w:right w:val="single" w:sz="4" w:space="0" w:color="auto"/>
            </w:tcBorders>
          </w:tcPr>
          <w:p w14:paraId="227A527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0.154</w:t>
            </w:r>
          </w:p>
        </w:tc>
        <w:tc>
          <w:tcPr>
            <w:tcW w:w="1191" w:type="dxa"/>
            <w:tcBorders>
              <w:top w:val="single" w:sz="0" w:space="0" w:color="000000"/>
              <w:left w:val="single" w:sz="4" w:space="0" w:color="auto"/>
            </w:tcBorders>
          </w:tcPr>
          <w:p w14:paraId="49BAC00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Borders>
              <w:top w:val="single" w:sz="0" w:space="0" w:color="000000"/>
            </w:tcBorders>
          </w:tcPr>
          <w:p w14:paraId="1C659EB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0.209</w:t>
            </w:r>
          </w:p>
        </w:tc>
        <w:tc>
          <w:tcPr>
            <w:tcW w:w="992" w:type="dxa"/>
            <w:tcBorders>
              <w:top w:val="single" w:sz="0" w:space="0" w:color="000000"/>
              <w:right w:val="single" w:sz="4" w:space="0" w:color="auto"/>
            </w:tcBorders>
          </w:tcPr>
          <w:p w14:paraId="01879C7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0.207</w:t>
            </w:r>
          </w:p>
        </w:tc>
      </w:tr>
      <w:tr w:rsidR="00D331ED" w:rsidRPr="004760F1" w14:paraId="36AE39CD" w14:textId="77777777" w:rsidTr="00492E99">
        <w:tc>
          <w:tcPr>
            <w:tcW w:w="2016" w:type="dxa"/>
            <w:tcBorders>
              <w:right w:val="single" w:sz="4" w:space="0" w:color="auto"/>
            </w:tcBorders>
          </w:tcPr>
          <w:p w14:paraId="388416D5"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var_capm_w_ann</w:t>
            </w:r>
            <w:proofErr w:type="spellEnd"/>
          </w:p>
        </w:tc>
        <w:tc>
          <w:tcPr>
            <w:tcW w:w="1180" w:type="dxa"/>
            <w:tcBorders>
              <w:left w:val="single" w:sz="4" w:space="0" w:color="auto"/>
            </w:tcBorders>
          </w:tcPr>
          <w:p w14:paraId="3E6CCE8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6F3C197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0.111</w:t>
            </w:r>
          </w:p>
        </w:tc>
        <w:tc>
          <w:tcPr>
            <w:tcW w:w="1077" w:type="dxa"/>
            <w:tcBorders>
              <w:right w:val="single" w:sz="4" w:space="0" w:color="auto"/>
            </w:tcBorders>
          </w:tcPr>
          <w:p w14:paraId="6FAAA15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0.106</w:t>
            </w:r>
          </w:p>
        </w:tc>
        <w:tc>
          <w:tcPr>
            <w:tcW w:w="1191" w:type="dxa"/>
            <w:tcBorders>
              <w:left w:val="single" w:sz="4" w:space="0" w:color="auto"/>
            </w:tcBorders>
          </w:tcPr>
          <w:p w14:paraId="7FFC1A4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058A403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0.152</w:t>
            </w:r>
          </w:p>
        </w:tc>
        <w:tc>
          <w:tcPr>
            <w:tcW w:w="992" w:type="dxa"/>
            <w:tcBorders>
              <w:right w:val="single" w:sz="4" w:space="0" w:color="auto"/>
            </w:tcBorders>
          </w:tcPr>
          <w:p w14:paraId="23CE26A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0.146</w:t>
            </w:r>
          </w:p>
        </w:tc>
      </w:tr>
      <w:tr w:rsidR="00D331ED" w:rsidRPr="004760F1" w14:paraId="36E68EC1" w14:textId="77777777" w:rsidTr="00492E99">
        <w:tc>
          <w:tcPr>
            <w:tcW w:w="2016" w:type="dxa"/>
            <w:tcBorders>
              <w:right w:val="single" w:sz="4" w:space="0" w:color="auto"/>
            </w:tcBorders>
          </w:tcPr>
          <w:p w14:paraId="54EC327B" w14:textId="77777777" w:rsidR="00D331ED" w:rsidRPr="004760F1" w:rsidRDefault="00D331ED" w:rsidP="00492E99">
            <w:pPr>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MSCI1</w:t>
            </w:r>
          </w:p>
        </w:tc>
        <w:tc>
          <w:tcPr>
            <w:tcW w:w="1180" w:type="dxa"/>
            <w:tcBorders>
              <w:left w:val="single" w:sz="4" w:space="0" w:color="auto"/>
            </w:tcBorders>
          </w:tcPr>
          <w:p w14:paraId="04597DB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78379D1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1.000</w:t>
            </w:r>
          </w:p>
        </w:tc>
        <w:tc>
          <w:tcPr>
            <w:tcW w:w="1077" w:type="dxa"/>
            <w:tcBorders>
              <w:right w:val="single" w:sz="4" w:space="0" w:color="auto"/>
            </w:tcBorders>
          </w:tcPr>
          <w:p w14:paraId="089207C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1.000</w:t>
            </w:r>
          </w:p>
        </w:tc>
        <w:tc>
          <w:tcPr>
            <w:tcW w:w="1191" w:type="dxa"/>
            <w:tcBorders>
              <w:left w:val="single" w:sz="4" w:space="0" w:color="auto"/>
            </w:tcBorders>
          </w:tcPr>
          <w:p w14:paraId="6541D69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29D1D1D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992" w:type="dxa"/>
            <w:tcBorders>
              <w:right w:val="single" w:sz="4" w:space="0" w:color="auto"/>
            </w:tcBorders>
          </w:tcPr>
          <w:p w14:paraId="716B27E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r>
      <w:tr w:rsidR="00D331ED" w:rsidRPr="004760F1" w14:paraId="3F9CDBA7" w14:textId="77777777" w:rsidTr="00492E99">
        <w:tc>
          <w:tcPr>
            <w:tcW w:w="2016" w:type="dxa"/>
            <w:tcBorders>
              <w:right w:val="single" w:sz="4" w:space="0" w:color="auto"/>
            </w:tcBorders>
          </w:tcPr>
          <w:p w14:paraId="45FF40AE" w14:textId="77777777" w:rsidR="00D331ED" w:rsidRPr="004760F1" w:rsidRDefault="00D331ED" w:rsidP="00492E99">
            <w:pPr>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After4</w:t>
            </w:r>
          </w:p>
        </w:tc>
        <w:tc>
          <w:tcPr>
            <w:tcW w:w="1180" w:type="dxa"/>
            <w:tcBorders>
              <w:left w:val="single" w:sz="4" w:space="0" w:color="auto"/>
            </w:tcBorders>
          </w:tcPr>
          <w:p w14:paraId="6C61206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6524534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0.220</w:t>
            </w:r>
          </w:p>
        </w:tc>
        <w:tc>
          <w:tcPr>
            <w:tcW w:w="1077" w:type="dxa"/>
            <w:tcBorders>
              <w:right w:val="single" w:sz="4" w:space="0" w:color="auto"/>
            </w:tcBorders>
          </w:tcPr>
          <w:p w14:paraId="3D9A9DA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0.203</w:t>
            </w:r>
          </w:p>
        </w:tc>
        <w:tc>
          <w:tcPr>
            <w:tcW w:w="1191" w:type="dxa"/>
            <w:tcBorders>
              <w:left w:val="single" w:sz="4" w:space="0" w:color="auto"/>
            </w:tcBorders>
          </w:tcPr>
          <w:p w14:paraId="6F9E327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23028DD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0.259</w:t>
            </w:r>
          </w:p>
        </w:tc>
        <w:tc>
          <w:tcPr>
            <w:tcW w:w="992" w:type="dxa"/>
            <w:tcBorders>
              <w:right w:val="single" w:sz="4" w:space="0" w:color="auto"/>
            </w:tcBorders>
          </w:tcPr>
          <w:p w14:paraId="34085B2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0.209</w:t>
            </w:r>
          </w:p>
        </w:tc>
      </w:tr>
      <w:tr w:rsidR="00D331ED" w:rsidRPr="004760F1" w14:paraId="14052388" w14:textId="77777777" w:rsidTr="00492E99">
        <w:tc>
          <w:tcPr>
            <w:tcW w:w="2016" w:type="dxa"/>
            <w:tcBorders>
              <w:right w:val="single" w:sz="4" w:space="0" w:color="auto"/>
            </w:tcBorders>
          </w:tcPr>
          <w:p w14:paraId="7FA36743" w14:textId="77777777" w:rsidR="00D331ED" w:rsidRPr="004760F1" w:rsidRDefault="00D331ED" w:rsidP="00492E99">
            <w:pPr>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M1A4</w:t>
            </w:r>
          </w:p>
        </w:tc>
        <w:tc>
          <w:tcPr>
            <w:tcW w:w="1180" w:type="dxa"/>
            <w:tcBorders>
              <w:left w:val="single" w:sz="4" w:space="0" w:color="auto"/>
            </w:tcBorders>
          </w:tcPr>
          <w:p w14:paraId="3ABD6E2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103693F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0.220</w:t>
            </w:r>
          </w:p>
        </w:tc>
        <w:tc>
          <w:tcPr>
            <w:tcW w:w="1077" w:type="dxa"/>
            <w:tcBorders>
              <w:right w:val="single" w:sz="4" w:space="0" w:color="auto"/>
            </w:tcBorders>
          </w:tcPr>
          <w:p w14:paraId="18D782D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0.203</w:t>
            </w:r>
          </w:p>
        </w:tc>
        <w:tc>
          <w:tcPr>
            <w:tcW w:w="1191" w:type="dxa"/>
            <w:tcBorders>
              <w:left w:val="single" w:sz="4" w:space="0" w:color="auto"/>
            </w:tcBorders>
          </w:tcPr>
          <w:p w14:paraId="1EC31B3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3DF8E8A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992" w:type="dxa"/>
            <w:tcBorders>
              <w:right w:val="single" w:sz="4" w:space="0" w:color="auto"/>
            </w:tcBorders>
          </w:tcPr>
          <w:p w14:paraId="1101FAF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r>
      <w:tr w:rsidR="00D331ED" w:rsidRPr="004760F1" w14:paraId="1CAEF72D" w14:textId="77777777" w:rsidTr="00492E99">
        <w:tc>
          <w:tcPr>
            <w:tcW w:w="2016" w:type="dxa"/>
            <w:tcBorders>
              <w:right w:val="single" w:sz="4" w:space="0" w:color="auto"/>
            </w:tcBorders>
          </w:tcPr>
          <w:p w14:paraId="2430D76C"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PE_ratio</w:t>
            </w:r>
            <w:proofErr w:type="spellEnd"/>
          </w:p>
        </w:tc>
        <w:tc>
          <w:tcPr>
            <w:tcW w:w="1180" w:type="dxa"/>
            <w:tcBorders>
              <w:left w:val="single" w:sz="4" w:space="0" w:color="auto"/>
            </w:tcBorders>
          </w:tcPr>
          <w:p w14:paraId="00C51AD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24A42E7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39.195</w:t>
            </w:r>
          </w:p>
        </w:tc>
        <w:tc>
          <w:tcPr>
            <w:tcW w:w="1077" w:type="dxa"/>
            <w:tcBorders>
              <w:right w:val="single" w:sz="4" w:space="0" w:color="auto"/>
            </w:tcBorders>
          </w:tcPr>
          <w:p w14:paraId="4998063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26.621</w:t>
            </w:r>
          </w:p>
        </w:tc>
        <w:tc>
          <w:tcPr>
            <w:tcW w:w="1191" w:type="dxa"/>
            <w:tcBorders>
              <w:left w:val="single" w:sz="4" w:space="0" w:color="auto"/>
            </w:tcBorders>
          </w:tcPr>
          <w:p w14:paraId="68344A8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391C290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91.547</w:t>
            </w:r>
          </w:p>
        </w:tc>
        <w:tc>
          <w:tcPr>
            <w:tcW w:w="992" w:type="dxa"/>
            <w:tcBorders>
              <w:right w:val="single" w:sz="4" w:space="0" w:color="auto"/>
            </w:tcBorders>
          </w:tcPr>
          <w:p w14:paraId="085E174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55.582</w:t>
            </w:r>
          </w:p>
        </w:tc>
      </w:tr>
      <w:tr w:rsidR="00D331ED" w:rsidRPr="004760F1" w14:paraId="581CF667" w14:textId="77777777" w:rsidTr="00492E99">
        <w:tc>
          <w:tcPr>
            <w:tcW w:w="2016" w:type="dxa"/>
            <w:tcBorders>
              <w:right w:val="single" w:sz="4" w:space="0" w:color="auto"/>
            </w:tcBorders>
          </w:tcPr>
          <w:p w14:paraId="7F4D35A9"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PB_ratio</w:t>
            </w:r>
            <w:proofErr w:type="spellEnd"/>
          </w:p>
        </w:tc>
        <w:tc>
          <w:tcPr>
            <w:tcW w:w="1180" w:type="dxa"/>
            <w:tcBorders>
              <w:left w:val="single" w:sz="4" w:space="0" w:color="auto"/>
            </w:tcBorders>
          </w:tcPr>
          <w:p w14:paraId="50109D1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286654A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2.777</w:t>
            </w:r>
          </w:p>
        </w:tc>
        <w:tc>
          <w:tcPr>
            <w:tcW w:w="1077" w:type="dxa"/>
            <w:tcBorders>
              <w:right w:val="single" w:sz="4" w:space="0" w:color="auto"/>
            </w:tcBorders>
          </w:tcPr>
          <w:p w14:paraId="78C9EBA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2.105</w:t>
            </w:r>
          </w:p>
        </w:tc>
        <w:tc>
          <w:tcPr>
            <w:tcW w:w="1191" w:type="dxa"/>
            <w:tcBorders>
              <w:left w:val="single" w:sz="4" w:space="0" w:color="auto"/>
            </w:tcBorders>
          </w:tcPr>
          <w:p w14:paraId="7562118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4E463F6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3.604</w:t>
            </w:r>
          </w:p>
        </w:tc>
        <w:tc>
          <w:tcPr>
            <w:tcW w:w="992" w:type="dxa"/>
            <w:tcBorders>
              <w:right w:val="single" w:sz="4" w:space="0" w:color="auto"/>
            </w:tcBorders>
          </w:tcPr>
          <w:p w14:paraId="77FA4B0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3.031</w:t>
            </w:r>
          </w:p>
        </w:tc>
      </w:tr>
      <w:tr w:rsidR="00D331ED" w:rsidRPr="004760F1" w14:paraId="217523D2" w14:textId="77777777" w:rsidTr="00492E99">
        <w:tc>
          <w:tcPr>
            <w:tcW w:w="2016" w:type="dxa"/>
            <w:tcBorders>
              <w:right w:val="single" w:sz="4" w:space="0" w:color="auto"/>
            </w:tcBorders>
          </w:tcPr>
          <w:p w14:paraId="6A25A35C"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BM_ratio</w:t>
            </w:r>
            <w:proofErr w:type="spellEnd"/>
          </w:p>
        </w:tc>
        <w:tc>
          <w:tcPr>
            <w:tcW w:w="1180" w:type="dxa"/>
            <w:tcBorders>
              <w:left w:val="single" w:sz="4" w:space="0" w:color="auto"/>
            </w:tcBorders>
          </w:tcPr>
          <w:p w14:paraId="40F8E76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27D1176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0.729</w:t>
            </w:r>
          </w:p>
        </w:tc>
        <w:tc>
          <w:tcPr>
            <w:tcW w:w="1077" w:type="dxa"/>
            <w:tcBorders>
              <w:right w:val="single" w:sz="4" w:space="0" w:color="auto"/>
            </w:tcBorders>
          </w:tcPr>
          <w:p w14:paraId="1B7AC55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0.794</w:t>
            </w:r>
          </w:p>
        </w:tc>
        <w:tc>
          <w:tcPr>
            <w:tcW w:w="1191" w:type="dxa"/>
            <w:tcBorders>
              <w:left w:val="single" w:sz="4" w:space="0" w:color="auto"/>
            </w:tcBorders>
          </w:tcPr>
          <w:p w14:paraId="4FF1AA6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0522ADFA"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0.624</w:t>
            </w:r>
          </w:p>
        </w:tc>
        <w:tc>
          <w:tcPr>
            <w:tcW w:w="992" w:type="dxa"/>
            <w:tcBorders>
              <w:right w:val="single" w:sz="4" w:space="0" w:color="auto"/>
            </w:tcBorders>
          </w:tcPr>
          <w:p w14:paraId="1E78F5A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0.626</w:t>
            </w:r>
          </w:p>
        </w:tc>
      </w:tr>
      <w:tr w:rsidR="00D331ED" w:rsidRPr="004760F1" w14:paraId="779D2A8E" w14:textId="77777777" w:rsidTr="00492E99">
        <w:tc>
          <w:tcPr>
            <w:tcW w:w="2016" w:type="dxa"/>
            <w:tcBorders>
              <w:right w:val="single" w:sz="4" w:space="0" w:color="auto"/>
            </w:tcBorders>
          </w:tcPr>
          <w:p w14:paraId="25EBF772"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AnaAttention</w:t>
            </w:r>
            <w:proofErr w:type="spellEnd"/>
          </w:p>
        </w:tc>
        <w:tc>
          <w:tcPr>
            <w:tcW w:w="1180" w:type="dxa"/>
            <w:tcBorders>
              <w:left w:val="single" w:sz="4" w:space="0" w:color="auto"/>
            </w:tcBorders>
          </w:tcPr>
          <w:p w14:paraId="6880A72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2A9A769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18.898</w:t>
            </w:r>
          </w:p>
        </w:tc>
        <w:tc>
          <w:tcPr>
            <w:tcW w:w="1077" w:type="dxa"/>
            <w:tcBorders>
              <w:right w:val="single" w:sz="4" w:space="0" w:color="auto"/>
            </w:tcBorders>
          </w:tcPr>
          <w:p w14:paraId="02C4416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17.696</w:t>
            </w:r>
          </w:p>
        </w:tc>
        <w:tc>
          <w:tcPr>
            <w:tcW w:w="1191" w:type="dxa"/>
            <w:tcBorders>
              <w:left w:val="single" w:sz="4" w:space="0" w:color="auto"/>
            </w:tcBorders>
          </w:tcPr>
          <w:p w14:paraId="3E0D7E8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26BCF6A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7.219</w:t>
            </w:r>
          </w:p>
        </w:tc>
        <w:tc>
          <w:tcPr>
            <w:tcW w:w="992" w:type="dxa"/>
            <w:tcBorders>
              <w:right w:val="single" w:sz="4" w:space="0" w:color="auto"/>
            </w:tcBorders>
          </w:tcPr>
          <w:p w14:paraId="3A4EAF0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5.111</w:t>
            </w:r>
          </w:p>
        </w:tc>
      </w:tr>
      <w:tr w:rsidR="00D331ED" w:rsidRPr="004760F1" w14:paraId="6FF9F80C" w14:textId="77777777" w:rsidTr="00492E99">
        <w:tc>
          <w:tcPr>
            <w:tcW w:w="2016" w:type="dxa"/>
            <w:tcBorders>
              <w:right w:val="single" w:sz="4" w:space="0" w:color="auto"/>
            </w:tcBorders>
          </w:tcPr>
          <w:p w14:paraId="63767E53"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CompanySize_log</w:t>
            </w:r>
            <w:proofErr w:type="spellEnd"/>
          </w:p>
        </w:tc>
        <w:tc>
          <w:tcPr>
            <w:tcW w:w="1180" w:type="dxa"/>
            <w:tcBorders>
              <w:left w:val="single" w:sz="4" w:space="0" w:color="auto"/>
            </w:tcBorders>
          </w:tcPr>
          <w:p w14:paraId="53D90FF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494754F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24.634</w:t>
            </w:r>
          </w:p>
        </w:tc>
        <w:tc>
          <w:tcPr>
            <w:tcW w:w="1077" w:type="dxa"/>
            <w:tcBorders>
              <w:right w:val="single" w:sz="4" w:space="0" w:color="auto"/>
            </w:tcBorders>
          </w:tcPr>
          <w:p w14:paraId="5092A14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24.466</w:t>
            </w:r>
          </w:p>
        </w:tc>
        <w:tc>
          <w:tcPr>
            <w:tcW w:w="1191" w:type="dxa"/>
            <w:tcBorders>
              <w:left w:val="single" w:sz="4" w:space="0" w:color="auto"/>
            </w:tcBorders>
          </w:tcPr>
          <w:p w14:paraId="2442FB9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38B98F1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21.913</w:t>
            </w:r>
          </w:p>
        </w:tc>
        <w:tc>
          <w:tcPr>
            <w:tcW w:w="992" w:type="dxa"/>
            <w:tcBorders>
              <w:right w:val="single" w:sz="4" w:space="0" w:color="auto"/>
            </w:tcBorders>
          </w:tcPr>
          <w:p w14:paraId="41B24B2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21.794</w:t>
            </w:r>
          </w:p>
        </w:tc>
      </w:tr>
      <w:tr w:rsidR="00D331ED" w:rsidRPr="004760F1" w14:paraId="3766478D" w14:textId="77777777" w:rsidTr="00492E99">
        <w:tc>
          <w:tcPr>
            <w:tcW w:w="2016" w:type="dxa"/>
            <w:tcBorders>
              <w:right w:val="single" w:sz="4" w:space="0" w:color="auto"/>
            </w:tcBorders>
          </w:tcPr>
          <w:p w14:paraId="63ADDF3D" w14:textId="77777777" w:rsidR="00D331ED" w:rsidRPr="004760F1" w:rsidRDefault="00D331ED" w:rsidP="00492E99">
            <w:pPr>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Big4</w:t>
            </w:r>
          </w:p>
        </w:tc>
        <w:tc>
          <w:tcPr>
            <w:tcW w:w="1180" w:type="dxa"/>
            <w:tcBorders>
              <w:left w:val="single" w:sz="4" w:space="0" w:color="auto"/>
            </w:tcBorders>
          </w:tcPr>
          <w:p w14:paraId="205A232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3D03F3B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0.355</w:t>
            </w:r>
          </w:p>
        </w:tc>
        <w:tc>
          <w:tcPr>
            <w:tcW w:w="1077" w:type="dxa"/>
            <w:tcBorders>
              <w:right w:val="single" w:sz="4" w:space="0" w:color="auto"/>
            </w:tcBorders>
          </w:tcPr>
          <w:p w14:paraId="5BA8F40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91" w:type="dxa"/>
            <w:tcBorders>
              <w:left w:val="single" w:sz="4" w:space="0" w:color="auto"/>
            </w:tcBorders>
          </w:tcPr>
          <w:p w14:paraId="7BA61D0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2EB5BFF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0.045</w:t>
            </w:r>
          </w:p>
        </w:tc>
        <w:tc>
          <w:tcPr>
            <w:tcW w:w="992" w:type="dxa"/>
            <w:tcBorders>
              <w:right w:val="single" w:sz="4" w:space="0" w:color="auto"/>
            </w:tcBorders>
          </w:tcPr>
          <w:p w14:paraId="0D920F6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r>
      <w:tr w:rsidR="00D331ED" w:rsidRPr="004760F1" w14:paraId="7E096B76" w14:textId="77777777" w:rsidTr="00492E99">
        <w:tc>
          <w:tcPr>
            <w:tcW w:w="2016" w:type="dxa"/>
            <w:tcBorders>
              <w:right w:val="single" w:sz="4" w:space="0" w:color="auto"/>
            </w:tcBorders>
          </w:tcPr>
          <w:p w14:paraId="69D3B13B"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Outside_Audit</w:t>
            </w:r>
            <w:proofErr w:type="spellEnd"/>
          </w:p>
        </w:tc>
        <w:tc>
          <w:tcPr>
            <w:tcW w:w="1180" w:type="dxa"/>
            <w:tcBorders>
              <w:left w:val="single" w:sz="4" w:space="0" w:color="auto"/>
            </w:tcBorders>
          </w:tcPr>
          <w:p w14:paraId="7943096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1BCDE1D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0.199</w:t>
            </w:r>
          </w:p>
        </w:tc>
        <w:tc>
          <w:tcPr>
            <w:tcW w:w="1077" w:type="dxa"/>
            <w:tcBorders>
              <w:right w:val="single" w:sz="4" w:space="0" w:color="auto"/>
            </w:tcBorders>
          </w:tcPr>
          <w:p w14:paraId="445D819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91" w:type="dxa"/>
            <w:tcBorders>
              <w:left w:val="single" w:sz="4" w:space="0" w:color="auto"/>
            </w:tcBorders>
          </w:tcPr>
          <w:p w14:paraId="5242710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59F7D3B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0.016</w:t>
            </w:r>
          </w:p>
        </w:tc>
        <w:tc>
          <w:tcPr>
            <w:tcW w:w="992" w:type="dxa"/>
            <w:tcBorders>
              <w:right w:val="single" w:sz="4" w:space="0" w:color="auto"/>
            </w:tcBorders>
          </w:tcPr>
          <w:p w14:paraId="1382051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r>
      <w:tr w:rsidR="00D331ED" w:rsidRPr="004760F1" w14:paraId="28D398BB" w14:textId="77777777" w:rsidTr="00492E99">
        <w:tc>
          <w:tcPr>
            <w:tcW w:w="2016" w:type="dxa"/>
            <w:tcBorders>
              <w:right w:val="single" w:sz="4" w:space="0" w:color="auto"/>
            </w:tcBorders>
          </w:tcPr>
          <w:p w14:paraId="4A6C8B99"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Fin_Lev</w:t>
            </w:r>
            <w:proofErr w:type="spellEnd"/>
          </w:p>
        </w:tc>
        <w:tc>
          <w:tcPr>
            <w:tcW w:w="1180" w:type="dxa"/>
            <w:tcBorders>
              <w:left w:val="single" w:sz="4" w:space="0" w:color="auto"/>
            </w:tcBorders>
          </w:tcPr>
          <w:p w14:paraId="41343EA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0C537C5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2.779</w:t>
            </w:r>
          </w:p>
        </w:tc>
        <w:tc>
          <w:tcPr>
            <w:tcW w:w="1077" w:type="dxa"/>
            <w:tcBorders>
              <w:right w:val="single" w:sz="4" w:space="0" w:color="auto"/>
            </w:tcBorders>
          </w:tcPr>
          <w:p w14:paraId="79D68F0A"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1.499</w:t>
            </w:r>
          </w:p>
        </w:tc>
        <w:tc>
          <w:tcPr>
            <w:tcW w:w="1191" w:type="dxa"/>
            <w:tcBorders>
              <w:left w:val="single" w:sz="4" w:space="0" w:color="auto"/>
            </w:tcBorders>
          </w:tcPr>
          <w:p w14:paraId="373A669F"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567FC27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1.555</w:t>
            </w:r>
          </w:p>
        </w:tc>
        <w:tc>
          <w:tcPr>
            <w:tcW w:w="992" w:type="dxa"/>
            <w:tcBorders>
              <w:right w:val="single" w:sz="4" w:space="0" w:color="auto"/>
            </w:tcBorders>
          </w:tcPr>
          <w:p w14:paraId="7E5548B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0.802</w:t>
            </w:r>
          </w:p>
        </w:tc>
      </w:tr>
      <w:tr w:rsidR="00D331ED" w:rsidRPr="004760F1" w14:paraId="710E147D" w14:textId="77777777" w:rsidTr="00492E99">
        <w:tc>
          <w:tcPr>
            <w:tcW w:w="2016" w:type="dxa"/>
            <w:tcBorders>
              <w:right w:val="single" w:sz="4" w:space="0" w:color="auto"/>
            </w:tcBorders>
          </w:tcPr>
          <w:p w14:paraId="58970856"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TotInsHoldperA</w:t>
            </w:r>
            <w:proofErr w:type="spellEnd"/>
          </w:p>
        </w:tc>
        <w:tc>
          <w:tcPr>
            <w:tcW w:w="1180" w:type="dxa"/>
            <w:tcBorders>
              <w:left w:val="single" w:sz="4" w:space="0" w:color="auto"/>
            </w:tcBorders>
          </w:tcPr>
          <w:p w14:paraId="3527B33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4F142FD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0.411</w:t>
            </w:r>
          </w:p>
        </w:tc>
        <w:tc>
          <w:tcPr>
            <w:tcW w:w="1077" w:type="dxa"/>
            <w:tcBorders>
              <w:right w:val="single" w:sz="4" w:space="0" w:color="auto"/>
            </w:tcBorders>
          </w:tcPr>
          <w:p w14:paraId="547CD8B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0.378</w:t>
            </w:r>
          </w:p>
        </w:tc>
        <w:tc>
          <w:tcPr>
            <w:tcW w:w="1191" w:type="dxa"/>
            <w:tcBorders>
              <w:left w:val="single" w:sz="4" w:space="0" w:color="auto"/>
            </w:tcBorders>
          </w:tcPr>
          <w:p w14:paraId="5492135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02FC889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0.297</w:t>
            </w:r>
          </w:p>
        </w:tc>
        <w:tc>
          <w:tcPr>
            <w:tcW w:w="992" w:type="dxa"/>
            <w:tcBorders>
              <w:right w:val="single" w:sz="4" w:space="0" w:color="auto"/>
            </w:tcBorders>
          </w:tcPr>
          <w:p w14:paraId="2D109AC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0.270</w:t>
            </w:r>
          </w:p>
        </w:tc>
      </w:tr>
      <w:tr w:rsidR="00D331ED" w:rsidRPr="004760F1" w14:paraId="29F69CDE" w14:textId="77777777" w:rsidTr="00492E99">
        <w:tc>
          <w:tcPr>
            <w:tcW w:w="2016" w:type="dxa"/>
            <w:tcBorders>
              <w:right w:val="single" w:sz="4" w:space="0" w:color="auto"/>
            </w:tcBorders>
          </w:tcPr>
          <w:p w14:paraId="4434F499"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FdHoldperA</w:t>
            </w:r>
            <w:proofErr w:type="spellEnd"/>
          </w:p>
        </w:tc>
        <w:tc>
          <w:tcPr>
            <w:tcW w:w="1180" w:type="dxa"/>
            <w:tcBorders>
              <w:left w:val="single" w:sz="4" w:space="0" w:color="auto"/>
            </w:tcBorders>
          </w:tcPr>
          <w:p w14:paraId="3E986EB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78DC5A3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0.042</w:t>
            </w:r>
          </w:p>
        </w:tc>
        <w:tc>
          <w:tcPr>
            <w:tcW w:w="1077" w:type="dxa"/>
            <w:tcBorders>
              <w:right w:val="single" w:sz="4" w:space="0" w:color="auto"/>
            </w:tcBorders>
          </w:tcPr>
          <w:p w14:paraId="387DD3D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0.032</w:t>
            </w:r>
          </w:p>
        </w:tc>
        <w:tc>
          <w:tcPr>
            <w:tcW w:w="1191" w:type="dxa"/>
            <w:tcBorders>
              <w:left w:val="single" w:sz="4" w:space="0" w:color="auto"/>
            </w:tcBorders>
          </w:tcPr>
          <w:p w14:paraId="4E357DB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752459F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0.022</w:t>
            </w:r>
          </w:p>
        </w:tc>
        <w:tc>
          <w:tcPr>
            <w:tcW w:w="992" w:type="dxa"/>
            <w:tcBorders>
              <w:right w:val="single" w:sz="4" w:space="0" w:color="auto"/>
            </w:tcBorders>
          </w:tcPr>
          <w:p w14:paraId="0E9CA1C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0.012</w:t>
            </w:r>
          </w:p>
        </w:tc>
      </w:tr>
      <w:tr w:rsidR="00D331ED" w:rsidRPr="004760F1" w14:paraId="6918302D" w14:textId="77777777" w:rsidTr="00492E99">
        <w:tc>
          <w:tcPr>
            <w:tcW w:w="2016" w:type="dxa"/>
            <w:tcBorders>
              <w:right w:val="single" w:sz="4" w:space="0" w:color="auto"/>
            </w:tcBorders>
          </w:tcPr>
          <w:p w14:paraId="74ECC11E"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SecCorpHoldPerA</w:t>
            </w:r>
            <w:proofErr w:type="spellEnd"/>
          </w:p>
        </w:tc>
        <w:tc>
          <w:tcPr>
            <w:tcW w:w="1180" w:type="dxa"/>
            <w:tcBorders>
              <w:left w:val="single" w:sz="4" w:space="0" w:color="auto"/>
            </w:tcBorders>
          </w:tcPr>
          <w:p w14:paraId="39B99F4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211F1DC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0.002</w:t>
            </w:r>
          </w:p>
        </w:tc>
        <w:tc>
          <w:tcPr>
            <w:tcW w:w="1077" w:type="dxa"/>
            <w:tcBorders>
              <w:right w:val="single" w:sz="4" w:space="0" w:color="auto"/>
            </w:tcBorders>
          </w:tcPr>
          <w:p w14:paraId="41C58E9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0.001</w:t>
            </w:r>
          </w:p>
        </w:tc>
        <w:tc>
          <w:tcPr>
            <w:tcW w:w="1191" w:type="dxa"/>
            <w:tcBorders>
              <w:left w:val="single" w:sz="4" w:space="0" w:color="auto"/>
            </w:tcBorders>
          </w:tcPr>
          <w:p w14:paraId="52FB2A8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089ADBA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0.003</w:t>
            </w:r>
          </w:p>
        </w:tc>
        <w:tc>
          <w:tcPr>
            <w:tcW w:w="992" w:type="dxa"/>
            <w:tcBorders>
              <w:right w:val="single" w:sz="4" w:space="0" w:color="auto"/>
            </w:tcBorders>
          </w:tcPr>
          <w:p w14:paraId="37E8628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0.001</w:t>
            </w:r>
          </w:p>
        </w:tc>
      </w:tr>
      <w:tr w:rsidR="00D331ED" w:rsidRPr="004760F1" w14:paraId="170F8482" w14:textId="77777777" w:rsidTr="00492E99">
        <w:tc>
          <w:tcPr>
            <w:tcW w:w="2016" w:type="dxa"/>
            <w:tcBorders>
              <w:right w:val="single" w:sz="4" w:space="0" w:color="auto"/>
            </w:tcBorders>
          </w:tcPr>
          <w:p w14:paraId="5FFD2076"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QFIIHoldPerA</w:t>
            </w:r>
            <w:proofErr w:type="spellEnd"/>
          </w:p>
        </w:tc>
        <w:tc>
          <w:tcPr>
            <w:tcW w:w="1180" w:type="dxa"/>
            <w:tcBorders>
              <w:left w:val="single" w:sz="4" w:space="0" w:color="auto"/>
            </w:tcBorders>
          </w:tcPr>
          <w:p w14:paraId="0CD34136"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1F796F23"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0.005</w:t>
            </w:r>
          </w:p>
        </w:tc>
        <w:tc>
          <w:tcPr>
            <w:tcW w:w="1077" w:type="dxa"/>
            <w:tcBorders>
              <w:right w:val="single" w:sz="4" w:space="0" w:color="auto"/>
            </w:tcBorders>
          </w:tcPr>
          <w:p w14:paraId="10A9663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c>
          <w:tcPr>
            <w:tcW w:w="1191" w:type="dxa"/>
            <w:tcBorders>
              <w:left w:val="single" w:sz="4" w:space="0" w:color="auto"/>
            </w:tcBorders>
          </w:tcPr>
          <w:p w14:paraId="4DC3E17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6EAC772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0.001</w:t>
            </w:r>
          </w:p>
        </w:tc>
        <w:tc>
          <w:tcPr>
            <w:tcW w:w="992" w:type="dxa"/>
            <w:tcBorders>
              <w:right w:val="single" w:sz="4" w:space="0" w:color="auto"/>
            </w:tcBorders>
          </w:tcPr>
          <w:p w14:paraId="696306FA"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r>
      <w:tr w:rsidR="00D331ED" w:rsidRPr="004760F1" w14:paraId="6DB70916" w14:textId="77777777" w:rsidTr="00492E99">
        <w:tc>
          <w:tcPr>
            <w:tcW w:w="2016" w:type="dxa"/>
            <w:tcBorders>
              <w:right w:val="single" w:sz="4" w:space="0" w:color="auto"/>
            </w:tcBorders>
          </w:tcPr>
          <w:p w14:paraId="495B20FB"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InsuComHoldPerA</w:t>
            </w:r>
            <w:proofErr w:type="spellEnd"/>
          </w:p>
        </w:tc>
        <w:tc>
          <w:tcPr>
            <w:tcW w:w="1180" w:type="dxa"/>
            <w:tcBorders>
              <w:left w:val="single" w:sz="4" w:space="0" w:color="auto"/>
            </w:tcBorders>
          </w:tcPr>
          <w:p w14:paraId="480D0809"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36FA2CB8"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0.011</w:t>
            </w:r>
          </w:p>
        </w:tc>
        <w:tc>
          <w:tcPr>
            <w:tcW w:w="1077" w:type="dxa"/>
            <w:tcBorders>
              <w:right w:val="single" w:sz="4" w:space="0" w:color="auto"/>
            </w:tcBorders>
          </w:tcPr>
          <w:p w14:paraId="3692547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0.002</w:t>
            </w:r>
          </w:p>
        </w:tc>
        <w:tc>
          <w:tcPr>
            <w:tcW w:w="1191" w:type="dxa"/>
            <w:tcBorders>
              <w:left w:val="single" w:sz="4" w:space="0" w:color="auto"/>
            </w:tcBorders>
          </w:tcPr>
          <w:p w14:paraId="26BEB62A"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7D5F42CB"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0.002</w:t>
            </w:r>
          </w:p>
        </w:tc>
        <w:tc>
          <w:tcPr>
            <w:tcW w:w="992" w:type="dxa"/>
            <w:tcBorders>
              <w:right w:val="single" w:sz="4" w:space="0" w:color="auto"/>
            </w:tcBorders>
          </w:tcPr>
          <w:p w14:paraId="4A926845"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r>
      <w:tr w:rsidR="00D331ED" w:rsidRPr="004760F1" w14:paraId="75547E78" w14:textId="77777777" w:rsidTr="00492E99">
        <w:tc>
          <w:tcPr>
            <w:tcW w:w="2016" w:type="dxa"/>
            <w:tcBorders>
              <w:right w:val="single" w:sz="4" w:space="0" w:color="auto"/>
            </w:tcBorders>
          </w:tcPr>
          <w:p w14:paraId="21E49205"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SocSecFdHoldPerA</w:t>
            </w:r>
            <w:proofErr w:type="spellEnd"/>
          </w:p>
        </w:tc>
        <w:tc>
          <w:tcPr>
            <w:tcW w:w="1180" w:type="dxa"/>
            <w:tcBorders>
              <w:left w:val="single" w:sz="4" w:space="0" w:color="auto"/>
            </w:tcBorders>
          </w:tcPr>
          <w:p w14:paraId="58C29B9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Pr>
          <w:p w14:paraId="3CD6C3AC"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0.005</w:t>
            </w:r>
          </w:p>
        </w:tc>
        <w:tc>
          <w:tcPr>
            <w:tcW w:w="1077" w:type="dxa"/>
            <w:tcBorders>
              <w:right w:val="single" w:sz="4" w:space="0" w:color="auto"/>
            </w:tcBorders>
          </w:tcPr>
          <w:p w14:paraId="161D6797"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0.002</w:t>
            </w:r>
          </w:p>
        </w:tc>
        <w:tc>
          <w:tcPr>
            <w:tcW w:w="1191" w:type="dxa"/>
            <w:tcBorders>
              <w:left w:val="single" w:sz="4" w:space="0" w:color="auto"/>
            </w:tcBorders>
          </w:tcPr>
          <w:p w14:paraId="011BD7FD"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Pr>
          <w:p w14:paraId="2439A70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0.003</w:t>
            </w:r>
          </w:p>
        </w:tc>
        <w:tc>
          <w:tcPr>
            <w:tcW w:w="992" w:type="dxa"/>
            <w:tcBorders>
              <w:right w:val="single" w:sz="4" w:space="0" w:color="auto"/>
            </w:tcBorders>
          </w:tcPr>
          <w:p w14:paraId="52C89DA4"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0.000</w:t>
            </w:r>
          </w:p>
        </w:tc>
      </w:tr>
      <w:tr w:rsidR="00D331ED" w:rsidRPr="004760F1" w14:paraId="3CD0DB72" w14:textId="77777777" w:rsidTr="00492E99">
        <w:tc>
          <w:tcPr>
            <w:tcW w:w="2016" w:type="dxa"/>
            <w:tcBorders>
              <w:bottom w:val="single" w:sz="2" w:space="0" w:color="000000"/>
              <w:right w:val="single" w:sz="4" w:space="0" w:color="auto"/>
            </w:tcBorders>
          </w:tcPr>
          <w:p w14:paraId="4584BAAE" w14:textId="77777777" w:rsidR="00D331ED" w:rsidRPr="004760F1" w:rsidRDefault="00D331ED" w:rsidP="00492E99">
            <w:pPr>
              <w:rPr>
                <w:rFonts w:ascii="Times New Roman" w:eastAsiaTheme="minorHAnsi" w:hAnsi="Times New Roman" w:cs="Times New Roman"/>
                <w:sz w:val="22"/>
                <w:szCs w:val="22"/>
              </w:rPr>
            </w:pPr>
            <w:proofErr w:type="spellStart"/>
            <w:r w:rsidRPr="004760F1">
              <w:rPr>
                <w:rFonts w:ascii="Times New Roman" w:eastAsiaTheme="minorHAnsi" w:hAnsi="Times New Roman" w:cs="Times New Roman"/>
                <w:sz w:val="22"/>
                <w:szCs w:val="22"/>
              </w:rPr>
              <w:t>OthInsHoldPerA</w:t>
            </w:r>
            <w:proofErr w:type="spellEnd"/>
          </w:p>
        </w:tc>
        <w:tc>
          <w:tcPr>
            <w:tcW w:w="1180" w:type="dxa"/>
            <w:tcBorders>
              <w:left w:val="single" w:sz="4" w:space="0" w:color="auto"/>
              <w:bottom w:val="single" w:sz="2" w:space="0" w:color="000000"/>
            </w:tcBorders>
          </w:tcPr>
          <w:p w14:paraId="0FFA6D1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228</w:t>
            </w:r>
          </w:p>
        </w:tc>
        <w:tc>
          <w:tcPr>
            <w:tcW w:w="1057" w:type="dxa"/>
            <w:tcBorders>
              <w:bottom w:val="single" w:sz="2" w:space="0" w:color="000000"/>
            </w:tcBorders>
          </w:tcPr>
          <w:p w14:paraId="1537067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0.341</w:t>
            </w:r>
          </w:p>
        </w:tc>
        <w:tc>
          <w:tcPr>
            <w:tcW w:w="1077" w:type="dxa"/>
            <w:tcBorders>
              <w:bottom w:val="single" w:sz="2" w:space="0" w:color="000000"/>
              <w:right w:val="single" w:sz="4" w:space="0" w:color="auto"/>
            </w:tcBorders>
          </w:tcPr>
          <w:p w14:paraId="7AFEA152"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0.307</w:t>
            </w:r>
          </w:p>
        </w:tc>
        <w:tc>
          <w:tcPr>
            <w:tcW w:w="1191" w:type="dxa"/>
            <w:tcBorders>
              <w:left w:val="single" w:sz="4" w:space="0" w:color="auto"/>
              <w:bottom w:val="single" w:sz="2" w:space="0" w:color="000000"/>
            </w:tcBorders>
          </w:tcPr>
          <w:p w14:paraId="157FAE31"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2379</w:t>
            </w:r>
          </w:p>
        </w:tc>
        <w:tc>
          <w:tcPr>
            <w:tcW w:w="992" w:type="dxa"/>
            <w:tcBorders>
              <w:bottom w:val="single" w:sz="2" w:space="0" w:color="000000"/>
            </w:tcBorders>
          </w:tcPr>
          <w:p w14:paraId="5E4A5AC0"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0.264</w:t>
            </w:r>
          </w:p>
        </w:tc>
        <w:tc>
          <w:tcPr>
            <w:tcW w:w="992" w:type="dxa"/>
            <w:tcBorders>
              <w:bottom w:val="single" w:sz="2" w:space="0" w:color="000000"/>
              <w:right w:val="single" w:sz="4" w:space="0" w:color="auto"/>
            </w:tcBorders>
          </w:tcPr>
          <w:p w14:paraId="6588667E" w14:textId="77777777" w:rsidR="00D331ED" w:rsidRPr="004760F1" w:rsidRDefault="00D331ED" w:rsidP="00492E99">
            <w:pPr>
              <w:jc w:val="right"/>
              <w:rPr>
                <w:rFonts w:ascii="Times New Roman" w:eastAsiaTheme="minorHAnsi" w:hAnsi="Times New Roman" w:cs="Times New Roman"/>
                <w:sz w:val="22"/>
                <w:szCs w:val="22"/>
              </w:rPr>
            </w:pPr>
            <w:r w:rsidRPr="004760F1">
              <w:rPr>
                <w:rFonts w:ascii="Times New Roman" w:eastAsiaTheme="minorHAnsi" w:hAnsi="Times New Roman" w:cs="Times New Roman"/>
                <w:sz w:val="22"/>
                <w:szCs w:val="22"/>
              </w:rPr>
              <w:t>0.231</w:t>
            </w:r>
          </w:p>
        </w:tc>
      </w:tr>
    </w:tbl>
    <w:p w14:paraId="6156CEDB" w14:textId="77777777" w:rsidR="000101E3" w:rsidRDefault="000101E3" w:rsidP="00D331ED">
      <w:pPr>
        <w:pStyle w:val="Normal15-BR2"/>
        <w:spacing w:after="0"/>
        <w:rPr>
          <w:rFonts w:ascii="Times New Roman" w:hAnsi="Times New Roman" w:cs="Times New Roman"/>
          <w:b/>
          <w:color w:val="000000" w:themeColor="text1"/>
          <w:lang w:eastAsia="zh-CN"/>
        </w:rPr>
      </w:pPr>
    </w:p>
    <w:p w14:paraId="3D35341F" w14:textId="0682C1F0" w:rsidR="00D331ED" w:rsidRPr="004760F1" w:rsidRDefault="000948B1" w:rsidP="00D331ED">
      <w:pPr>
        <w:pStyle w:val="Normal15-BR2"/>
        <w:spacing w:after="0"/>
        <w:rPr>
          <w:rFonts w:ascii="Times New Roman" w:hAnsi="Times New Roman" w:cs="Times New Roman"/>
          <w:b/>
          <w:color w:val="000000" w:themeColor="text1"/>
          <w:lang w:eastAsia="zh-CN"/>
        </w:rPr>
      </w:pPr>
      <w:r w:rsidRPr="004760F1">
        <w:rPr>
          <w:rFonts w:ascii="Times New Roman" w:hAnsi="Times New Roman" w:cs="Times New Roman"/>
          <w:b/>
          <w:color w:val="000000" w:themeColor="text1"/>
          <w:lang w:eastAsia="zh-CN"/>
        </w:rPr>
        <w:t>Table 4</w:t>
      </w:r>
      <w:r w:rsidR="00D331ED" w:rsidRPr="004760F1">
        <w:rPr>
          <w:rFonts w:ascii="Times New Roman" w:hAnsi="Times New Roman" w:cs="Times New Roman"/>
          <w:b/>
          <w:color w:val="000000" w:themeColor="text1"/>
          <w:lang w:eastAsia="zh-CN"/>
        </w:rPr>
        <w:t>-2 Panel C</w:t>
      </w:r>
      <w:r w:rsidRPr="004760F1">
        <w:rPr>
          <w:rFonts w:ascii="Times New Roman" w:hAnsi="Times New Roman" w:cs="Times New Roman"/>
          <w:b/>
          <w:color w:val="000000" w:themeColor="text1"/>
          <w:lang w:eastAsia="zh-CN"/>
        </w:rPr>
        <w:t xml:space="preserve">: </w:t>
      </w:r>
      <w:r w:rsidRPr="004760F1">
        <w:rPr>
          <w:rFonts w:ascii="Times New Roman" w:hAnsi="Times New Roman" w:cs="Times New Roman"/>
          <w:b/>
        </w:rPr>
        <w:t>Multicollinearity test</w:t>
      </w:r>
    </w:p>
    <w:tbl>
      <w:tblPr>
        <w:tblW w:w="5140" w:type="dxa"/>
        <w:tblLook w:val="04A0" w:firstRow="1" w:lastRow="0" w:firstColumn="1" w:lastColumn="0" w:noHBand="0" w:noVBand="1"/>
      </w:tblPr>
      <w:tblGrid>
        <w:gridCol w:w="2540"/>
        <w:gridCol w:w="1300"/>
        <w:gridCol w:w="1300"/>
      </w:tblGrid>
      <w:tr w:rsidR="00D331ED" w:rsidRPr="004760F1" w14:paraId="07E1ED58" w14:textId="77777777" w:rsidTr="00492E99">
        <w:trPr>
          <w:trHeight w:val="320"/>
        </w:trPr>
        <w:tc>
          <w:tcPr>
            <w:tcW w:w="2540" w:type="dxa"/>
            <w:tcBorders>
              <w:top w:val="nil"/>
              <w:left w:val="nil"/>
              <w:bottom w:val="single" w:sz="4" w:space="0" w:color="auto"/>
              <w:right w:val="single" w:sz="4" w:space="0" w:color="auto"/>
            </w:tcBorders>
            <w:shd w:val="clear" w:color="auto" w:fill="auto"/>
            <w:vAlign w:val="center"/>
            <w:hideMark/>
          </w:tcPr>
          <w:p w14:paraId="3D1D63ED" w14:textId="77777777" w:rsidR="00D331ED" w:rsidRPr="004760F1" w:rsidRDefault="00D331ED" w:rsidP="00492E99">
            <w:pPr>
              <w:rPr>
                <w:rFonts w:ascii="Times New Roman" w:eastAsia="DengXian" w:hAnsi="Times New Roman" w:cs="Times New Roman"/>
                <w:b/>
                <w:color w:val="000000" w:themeColor="text1"/>
                <w:sz w:val="21"/>
                <w:szCs w:val="22"/>
              </w:rPr>
            </w:pPr>
            <w:r w:rsidRPr="004760F1">
              <w:rPr>
                <w:rFonts w:ascii="Times New Roman" w:eastAsia="DengXian" w:hAnsi="Times New Roman" w:cs="Times New Roman"/>
                <w:b/>
                <w:color w:val="000000" w:themeColor="text1"/>
                <w:sz w:val="21"/>
                <w:szCs w:val="22"/>
              </w:rPr>
              <w:t>Variable</w:t>
            </w:r>
          </w:p>
        </w:tc>
        <w:tc>
          <w:tcPr>
            <w:tcW w:w="1300" w:type="dxa"/>
            <w:tcBorders>
              <w:top w:val="nil"/>
              <w:left w:val="nil"/>
              <w:bottom w:val="single" w:sz="4" w:space="0" w:color="auto"/>
              <w:right w:val="nil"/>
            </w:tcBorders>
            <w:shd w:val="clear" w:color="auto" w:fill="auto"/>
            <w:noWrap/>
            <w:vAlign w:val="center"/>
            <w:hideMark/>
          </w:tcPr>
          <w:p w14:paraId="2B8F4CB2" w14:textId="77777777" w:rsidR="00D331ED" w:rsidRPr="004760F1" w:rsidRDefault="00D331ED" w:rsidP="00492E99">
            <w:pPr>
              <w:jc w:val="center"/>
              <w:rPr>
                <w:rFonts w:ascii="Times New Roman" w:eastAsia="DengXian" w:hAnsi="Times New Roman" w:cs="Times New Roman"/>
                <w:b/>
                <w:color w:val="000000" w:themeColor="text1"/>
                <w:sz w:val="21"/>
              </w:rPr>
            </w:pPr>
            <w:r w:rsidRPr="004760F1">
              <w:rPr>
                <w:rFonts w:ascii="Times New Roman" w:eastAsia="DengXian" w:hAnsi="Times New Roman" w:cs="Times New Roman"/>
                <w:b/>
                <w:color w:val="000000" w:themeColor="text1"/>
                <w:sz w:val="21"/>
              </w:rPr>
              <w:t>VIF</w:t>
            </w:r>
          </w:p>
        </w:tc>
        <w:tc>
          <w:tcPr>
            <w:tcW w:w="1300" w:type="dxa"/>
            <w:tcBorders>
              <w:top w:val="nil"/>
              <w:left w:val="nil"/>
              <w:bottom w:val="single" w:sz="4" w:space="0" w:color="auto"/>
              <w:right w:val="nil"/>
            </w:tcBorders>
            <w:shd w:val="clear" w:color="auto" w:fill="auto"/>
            <w:noWrap/>
            <w:vAlign w:val="center"/>
            <w:hideMark/>
          </w:tcPr>
          <w:p w14:paraId="337E1B16" w14:textId="77777777" w:rsidR="00D331ED" w:rsidRPr="004760F1" w:rsidRDefault="00D331ED" w:rsidP="00492E99">
            <w:pPr>
              <w:jc w:val="center"/>
              <w:rPr>
                <w:rFonts w:ascii="Times New Roman" w:eastAsia="DengXian" w:hAnsi="Times New Roman" w:cs="Times New Roman"/>
                <w:b/>
                <w:color w:val="000000" w:themeColor="text1"/>
                <w:sz w:val="21"/>
              </w:rPr>
            </w:pPr>
            <w:r w:rsidRPr="004760F1">
              <w:rPr>
                <w:rFonts w:ascii="Times New Roman" w:eastAsia="DengXian" w:hAnsi="Times New Roman" w:cs="Times New Roman"/>
                <w:b/>
                <w:color w:val="000000" w:themeColor="text1"/>
                <w:sz w:val="21"/>
              </w:rPr>
              <w:t>1/VIF</w:t>
            </w:r>
          </w:p>
        </w:tc>
      </w:tr>
      <w:tr w:rsidR="00D331ED" w:rsidRPr="004760F1" w14:paraId="5F9ACE31"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015AEDFD"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CompanySize_log</w:t>
            </w:r>
            <w:proofErr w:type="spellEnd"/>
          </w:p>
        </w:tc>
        <w:tc>
          <w:tcPr>
            <w:tcW w:w="1300" w:type="dxa"/>
            <w:tcBorders>
              <w:top w:val="nil"/>
              <w:left w:val="nil"/>
              <w:bottom w:val="nil"/>
              <w:right w:val="nil"/>
            </w:tcBorders>
            <w:shd w:val="clear" w:color="auto" w:fill="auto"/>
            <w:noWrap/>
            <w:vAlign w:val="center"/>
            <w:hideMark/>
          </w:tcPr>
          <w:p w14:paraId="1868AC0C"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3.87</w:t>
            </w:r>
          </w:p>
        </w:tc>
        <w:tc>
          <w:tcPr>
            <w:tcW w:w="1300" w:type="dxa"/>
            <w:tcBorders>
              <w:top w:val="nil"/>
              <w:left w:val="nil"/>
              <w:bottom w:val="nil"/>
              <w:right w:val="nil"/>
            </w:tcBorders>
            <w:shd w:val="clear" w:color="auto" w:fill="auto"/>
            <w:noWrap/>
            <w:vAlign w:val="center"/>
            <w:hideMark/>
          </w:tcPr>
          <w:p w14:paraId="029D177D"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0.2583</w:t>
            </w:r>
          </w:p>
        </w:tc>
      </w:tr>
      <w:tr w:rsidR="00D331ED" w:rsidRPr="004760F1" w14:paraId="6F3B9D3A"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50E523B4"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BM_ratio</w:t>
            </w:r>
            <w:proofErr w:type="spellEnd"/>
          </w:p>
        </w:tc>
        <w:tc>
          <w:tcPr>
            <w:tcW w:w="1300" w:type="dxa"/>
            <w:tcBorders>
              <w:top w:val="nil"/>
              <w:left w:val="nil"/>
              <w:bottom w:val="nil"/>
              <w:right w:val="nil"/>
            </w:tcBorders>
            <w:shd w:val="clear" w:color="auto" w:fill="auto"/>
            <w:noWrap/>
            <w:vAlign w:val="center"/>
            <w:hideMark/>
          </w:tcPr>
          <w:p w14:paraId="019786C9"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3.18</w:t>
            </w:r>
          </w:p>
        </w:tc>
        <w:tc>
          <w:tcPr>
            <w:tcW w:w="1300" w:type="dxa"/>
            <w:tcBorders>
              <w:top w:val="nil"/>
              <w:left w:val="nil"/>
              <w:bottom w:val="nil"/>
              <w:right w:val="nil"/>
            </w:tcBorders>
            <w:shd w:val="clear" w:color="auto" w:fill="auto"/>
            <w:noWrap/>
            <w:vAlign w:val="center"/>
            <w:hideMark/>
          </w:tcPr>
          <w:p w14:paraId="2D1A910E"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0.3143</w:t>
            </w:r>
          </w:p>
        </w:tc>
      </w:tr>
      <w:tr w:rsidR="00D331ED" w:rsidRPr="004760F1" w14:paraId="1C413CFA"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5D0BA8ED"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PB_ratio</w:t>
            </w:r>
            <w:proofErr w:type="spellEnd"/>
          </w:p>
        </w:tc>
        <w:tc>
          <w:tcPr>
            <w:tcW w:w="1300" w:type="dxa"/>
            <w:tcBorders>
              <w:top w:val="nil"/>
              <w:left w:val="nil"/>
              <w:bottom w:val="nil"/>
              <w:right w:val="nil"/>
            </w:tcBorders>
            <w:shd w:val="clear" w:color="auto" w:fill="auto"/>
            <w:noWrap/>
            <w:vAlign w:val="center"/>
            <w:hideMark/>
          </w:tcPr>
          <w:p w14:paraId="235C6F14"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2.51</w:t>
            </w:r>
          </w:p>
        </w:tc>
        <w:tc>
          <w:tcPr>
            <w:tcW w:w="1300" w:type="dxa"/>
            <w:tcBorders>
              <w:top w:val="nil"/>
              <w:left w:val="nil"/>
              <w:bottom w:val="nil"/>
              <w:right w:val="nil"/>
            </w:tcBorders>
            <w:shd w:val="clear" w:color="auto" w:fill="auto"/>
            <w:noWrap/>
            <w:vAlign w:val="center"/>
            <w:hideMark/>
          </w:tcPr>
          <w:p w14:paraId="2C1E2A15"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0.3979</w:t>
            </w:r>
          </w:p>
        </w:tc>
      </w:tr>
      <w:tr w:rsidR="00D331ED" w:rsidRPr="004760F1" w14:paraId="103F8F88"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0DCCF207"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Year_num</w:t>
            </w:r>
            <w:proofErr w:type="spellEnd"/>
          </w:p>
        </w:tc>
        <w:tc>
          <w:tcPr>
            <w:tcW w:w="1300" w:type="dxa"/>
            <w:tcBorders>
              <w:top w:val="nil"/>
              <w:left w:val="nil"/>
              <w:bottom w:val="nil"/>
              <w:right w:val="nil"/>
            </w:tcBorders>
            <w:shd w:val="clear" w:color="auto" w:fill="auto"/>
            <w:noWrap/>
            <w:vAlign w:val="center"/>
            <w:hideMark/>
          </w:tcPr>
          <w:p w14:paraId="0A6DBAA8"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2.48</w:t>
            </w:r>
          </w:p>
        </w:tc>
        <w:tc>
          <w:tcPr>
            <w:tcW w:w="1300" w:type="dxa"/>
            <w:tcBorders>
              <w:top w:val="nil"/>
              <w:left w:val="nil"/>
              <w:bottom w:val="nil"/>
              <w:right w:val="nil"/>
            </w:tcBorders>
            <w:shd w:val="clear" w:color="auto" w:fill="auto"/>
            <w:noWrap/>
            <w:vAlign w:val="center"/>
            <w:hideMark/>
          </w:tcPr>
          <w:p w14:paraId="2E9E76C7"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0.4037</w:t>
            </w:r>
          </w:p>
        </w:tc>
      </w:tr>
      <w:tr w:rsidR="00D331ED" w:rsidRPr="004760F1" w14:paraId="574734E5"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717202B6" w14:textId="77777777" w:rsidR="00D331ED" w:rsidRPr="004760F1" w:rsidRDefault="00D331ED" w:rsidP="00492E99">
            <w:pP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After4</w:t>
            </w:r>
          </w:p>
        </w:tc>
        <w:tc>
          <w:tcPr>
            <w:tcW w:w="1300" w:type="dxa"/>
            <w:tcBorders>
              <w:top w:val="nil"/>
              <w:left w:val="nil"/>
              <w:bottom w:val="nil"/>
              <w:right w:val="nil"/>
            </w:tcBorders>
            <w:shd w:val="clear" w:color="auto" w:fill="auto"/>
            <w:noWrap/>
            <w:vAlign w:val="center"/>
            <w:hideMark/>
          </w:tcPr>
          <w:p w14:paraId="3DDEE3B3"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2.08</w:t>
            </w:r>
          </w:p>
        </w:tc>
        <w:tc>
          <w:tcPr>
            <w:tcW w:w="1300" w:type="dxa"/>
            <w:tcBorders>
              <w:top w:val="nil"/>
              <w:left w:val="nil"/>
              <w:bottom w:val="nil"/>
              <w:right w:val="nil"/>
            </w:tcBorders>
            <w:shd w:val="clear" w:color="auto" w:fill="auto"/>
            <w:noWrap/>
            <w:vAlign w:val="center"/>
            <w:hideMark/>
          </w:tcPr>
          <w:p w14:paraId="2AD20CF1"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0.4797</w:t>
            </w:r>
          </w:p>
        </w:tc>
      </w:tr>
      <w:tr w:rsidR="00D331ED" w:rsidRPr="004760F1" w14:paraId="08E63829"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61C509A2"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Fin_Lev</w:t>
            </w:r>
            <w:proofErr w:type="spellEnd"/>
          </w:p>
        </w:tc>
        <w:tc>
          <w:tcPr>
            <w:tcW w:w="1300" w:type="dxa"/>
            <w:tcBorders>
              <w:top w:val="nil"/>
              <w:left w:val="nil"/>
              <w:bottom w:val="nil"/>
              <w:right w:val="nil"/>
            </w:tcBorders>
            <w:shd w:val="clear" w:color="auto" w:fill="auto"/>
            <w:noWrap/>
            <w:vAlign w:val="center"/>
            <w:hideMark/>
          </w:tcPr>
          <w:p w14:paraId="5F0F80E3"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1.88</w:t>
            </w:r>
          </w:p>
        </w:tc>
        <w:tc>
          <w:tcPr>
            <w:tcW w:w="1300" w:type="dxa"/>
            <w:tcBorders>
              <w:top w:val="nil"/>
              <w:left w:val="nil"/>
              <w:bottom w:val="nil"/>
              <w:right w:val="nil"/>
            </w:tcBorders>
            <w:shd w:val="clear" w:color="auto" w:fill="auto"/>
            <w:noWrap/>
            <w:vAlign w:val="center"/>
            <w:hideMark/>
          </w:tcPr>
          <w:p w14:paraId="70D07A06"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0.5307</w:t>
            </w:r>
          </w:p>
        </w:tc>
      </w:tr>
      <w:tr w:rsidR="00D331ED" w:rsidRPr="004760F1" w14:paraId="5E55559A"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030539AA" w14:textId="77777777" w:rsidR="00D331ED" w:rsidRPr="004760F1" w:rsidRDefault="00D331ED" w:rsidP="00492E99">
            <w:pP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MSCI1</w:t>
            </w:r>
          </w:p>
        </w:tc>
        <w:tc>
          <w:tcPr>
            <w:tcW w:w="1300" w:type="dxa"/>
            <w:tcBorders>
              <w:top w:val="nil"/>
              <w:left w:val="nil"/>
              <w:bottom w:val="nil"/>
              <w:right w:val="nil"/>
            </w:tcBorders>
            <w:shd w:val="clear" w:color="auto" w:fill="auto"/>
            <w:noWrap/>
            <w:vAlign w:val="center"/>
            <w:hideMark/>
          </w:tcPr>
          <w:p w14:paraId="7A81EE25"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1.83</w:t>
            </w:r>
          </w:p>
        </w:tc>
        <w:tc>
          <w:tcPr>
            <w:tcW w:w="1300" w:type="dxa"/>
            <w:tcBorders>
              <w:top w:val="nil"/>
              <w:left w:val="nil"/>
              <w:bottom w:val="nil"/>
              <w:right w:val="nil"/>
            </w:tcBorders>
            <w:shd w:val="clear" w:color="auto" w:fill="auto"/>
            <w:noWrap/>
            <w:vAlign w:val="center"/>
            <w:hideMark/>
          </w:tcPr>
          <w:p w14:paraId="6599F4E8"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0.5465</w:t>
            </w:r>
          </w:p>
        </w:tc>
      </w:tr>
      <w:tr w:rsidR="00D331ED" w:rsidRPr="004760F1" w14:paraId="68447EF1"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0AC1CF50"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AnaAttention</w:t>
            </w:r>
            <w:proofErr w:type="spellEnd"/>
          </w:p>
        </w:tc>
        <w:tc>
          <w:tcPr>
            <w:tcW w:w="1300" w:type="dxa"/>
            <w:tcBorders>
              <w:top w:val="nil"/>
              <w:left w:val="nil"/>
              <w:bottom w:val="nil"/>
              <w:right w:val="nil"/>
            </w:tcBorders>
            <w:shd w:val="clear" w:color="auto" w:fill="auto"/>
            <w:noWrap/>
            <w:vAlign w:val="center"/>
            <w:hideMark/>
          </w:tcPr>
          <w:p w14:paraId="483AE5C9"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1.61</w:t>
            </w:r>
          </w:p>
        </w:tc>
        <w:tc>
          <w:tcPr>
            <w:tcW w:w="1300" w:type="dxa"/>
            <w:tcBorders>
              <w:top w:val="nil"/>
              <w:left w:val="nil"/>
              <w:bottom w:val="nil"/>
              <w:right w:val="nil"/>
            </w:tcBorders>
            <w:shd w:val="clear" w:color="auto" w:fill="auto"/>
            <w:noWrap/>
            <w:vAlign w:val="center"/>
            <w:hideMark/>
          </w:tcPr>
          <w:p w14:paraId="168E32ED"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0.6229</w:t>
            </w:r>
          </w:p>
        </w:tc>
      </w:tr>
      <w:tr w:rsidR="00D331ED" w:rsidRPr="004760F1" w14:paraId="2D93E55B"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26C6E361"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OthInsHoldPerA</w:t>
            </w:r>
            <w:proofErr w:type="spellEnd"/>
          </w:p>
        </w:tc>
        <w:tc>
          <w:tcPr>
            <w:tcW w:w="1300" w:type="dxa"/>
            <w:tcBorders>
              <w:top w:val="nil"/>
              <w:left w:val="nil"/>
              <w:bottom w:val="nil"/>
              <w:right w:val="nil"/>
            </w:tcBorders>
            <w:shd w:val="clear" w:color="auto" w:fill="auto"/>
            <w:noWrap/>
            <w:vAlign w:val="center"/>
            <w:hideMark/>
          </w:tcPr>
          <w:p w14:paraId="370DD56F"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1.49</w:t>
            </w:r>
          </w:p>
        </w:tc>
        <w:tc>
          <w:tcPr>
            <w:tcW w:w="1300" w:type="dxa"/>
            <w:tcBorders>
              <w:top w:val="nil"/>
              <w:left w:val="nil"/>
              <w:bottom w:val="nil"/>
              <w:right w:val="nil"/>
            </w:tcBorders>
            <w:shd w:val="clear" w:color="auto" w:fill="auto"/>
            <w:noWrap/>
            <w:vAlign w:val="center"/>
            <w:hideMark/>
          </w:tcPr>
          <w:p w14:paraId="28C1CAF5"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0.6716</w:t>
            </w:r>
          </w:p>
        </w:tc>
      </w:tr>
      <w:tr w:rsidR="00D331ED" w:rsidRPr="004760F1" w14:paraId="3ABB0A9F"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1DD2B16C" w14:textId="77777777" w:rsidR="00D331ED" w:rsidRPr="004760F1" w:rsidRDefault="00D331ED" w:rsidP="00492E99">
            <w:pP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Big4</w:t>
            </w:r>
          </w:p>
        </w:tc>
        <w:tc>
          <w:tcPr>
            <w:tcW w:w="1300" w:type="dxa"/>
            <w:tcBorders>
              <w:top w:val="nil"/>
              <w:left w:val="nil"/>
              <w:bottom w:val="nil"/>
              <w:right w:val="nil"/>
            </w:tcBorders>
            <w:shd w:val="clear" w:color="auto" w:fill="auto"/>
            <w:noWrap/>
            <w:vAlign w:val="center"/>
            <w:hideMark/>
          </w:tcPr>
          <w:p w14:paraId="36ED3C26"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1.43</w:t>
            </w:r>
          </w:p>
        </w:tc>
        <w:tc>
          <w:tcPr>
            <w:tcW w:w="1300" w:type="dxa"/>
            <w:tcBorders>
              <w:top w:val="nil"/>
              <w:left w:val="nil"/>
              <w:bottom w:val="nil"/>
              <w:right w:val="nil"/>
            </w:tcBorders>
            <w:shd w:val="clear" w:color="auto" w:fill="auto"/>
            <w:noWrap/>
            <w:vAlign w:val="center"/>
            <w:hideMark/>
          </w:tcPr>
          <w:p w14:paraId="46295552"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0.7007</w:t>
            </w:r>
          </w:p>
        </w:tc>
      </w:tr>
      <w:tr w:rsidR="00D331ED" w:rsidRPr="004760F1" w14:paraId="60C32AA8" w14:textId="77777777" w:rsidTr="00492E99">
        <w:trPr>
          <w:trHeight w:val="320"/>
        </w:trPr>
        <w:tc>
          <w:tcPr>
            <w:tcW w:w="2540" w:type="dxa"/>
            <w:tcBorders>
              <w:top w:val="nil"/>
              <w:left w:val="nil"/>
              <w:bottom w:val="nil"/>
              <w:right w:val="single" w:sz="4" w:space="0" w:color="auto"/>
            </w:tcBorders>
            <w:shd w:val="clear" w:color="auto" w:fill="auto"/>
            <w:vAlign w:val="center"/>
          </w:tcPr>
          <w:p w14:paraId="34935BD1" w14:textId="77777777" w:rsidR="00D331ED" w:rsidRPr="004760F1" w:rsidRDefault="00D331ED" w:rsidP="00492E99">
            <w:pP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M1A4</w:t>
            </w:r>
          </w:p>
        </w:tc>
        <w:tc>
          <w:tcPr>
            <w:tcW w:w="1300" w:type="dxa"/>
            <w:tcBorders>
              <w:top w:val="nil"/>
              <w:left w:val="nil"/>
              <w:bottom w:val="nil"/>
              <w:right w:val="nil"/>
            </w:tcBorders>
            <w:shd w:val="clear" w:color="auto" w:fill="auto"/>
            <w:noWrap/>
            <w:vAlign w:val="center"/>
          </w:tcPr>
          <w:p w14:paraId="1436238A"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1.42</w:t>
            </w:r>
          </w:p>
        </w:tc>
        <w:tc>
          <w:tcPr>
            <w:tcW w:w="1300" w:type="dxa"/>
            <w:tcBorders>
              <w:top w:val="nil"/>
              <w:left w:val="nil"/>
              <w:bottom w:val="nil"/>
              <w:right w:val="nil"/>
            </w:tcBorders>
            <w:shd w:val="clear" w:color="auto" w:fill="auto"/>
            <w:noWrap/>
            <w:vAlign w:val="center"/>
          </w:tcPr>
          <w:p w14:paraId="7BFE2AF6"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0.7049</w:t>
            </w:r>
          </w:p>
        </w:tc>
      </w:tr>
      <w:tr w:rsidR="00D331ED" w:rsidRPr="004760F1" w14:paraId="64DDA5B5" w14:textId="77777777" w:rsidTr="00492E99">
        <w:trPr>
          <w:trHeight w:val="320"/>
        </w:trPr>
        <w:tc>
          <w:tcPr>
            <w:tcW w:w="2540" w:type="dxa"/>
            <w:tcBorders>
              <w:top w:val="nil"/>
              <w:left w:val="nil"/>
              <w:right w:val="single" w:sz="4" w:space="0" w:color="auto"/>
            </w:tcBorders>
            <w:shd w:val="clear" w:color="auto" w:fill="auto"/>
            <w:vAlign w:val="center"/>
            <w:hideMark/>
          </w:tcPr>
          <w:p w14:paraId="3A4862A5"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FdHoldperA</w:t>
            </w:r>
            <w:proofErr w:type="spellEnd"/>
          </w:p>
        </w:tc>
        <w:tc>
          <w:tcPr>
            <w:tcW w:w="1300" w:type="dxa"/>
            <w:tcBorders>
              <w:top w:val="nil"/>
              <w:left w:val="nil"/>
              <w:right w:val="nil"/>
            </w:tcBorders>
            <w:shd w:val="clear" w:color="auto" w:fill="auto"/>
            <w:noWrap/>
            <w:vAlign w:val="center"/>
            <w:hideMark/>
          </w:tcPr>
          <w:p w14:paraId="05FD3833"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1.37</w:t>
            </w:r>
          </w:p>
        </w:tc>
        <w:tc>
          <w:tcPr>
            <w:tcW w:w="1300" w:type="dxa"/>
            <w:tcBorders>
              <w:top w:val="nil"/>
              <w:left w:val="nil"/>
              <w:right w:val="nil"/>
            </w:tcBorders>
            <w:shd w:val="clear" w:color="auto" w:fill="auto"/>
            <w:noWrap/>
            <w:vAlign w:val="center"/>
            <w:hideMark/>
          </w:tcPr>
          <w:p w14:paraId="5E61B15A"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0.7283</w:t>
            </w:r>
          </w:p>
        </w:tc>
      </w:tr>
      <w:tr w:rsidR="00D331ED" w:rsidRPr="004760F1" w14:paraId="73EB563E" w14:textId="77777777" w:rsidTr="00492E99">
        <w:trPr>
          <w:trHeight w:val="320"/>
        </w:trPr>
        <w:tc>
          <w:tcPr>
            <w:tcW w:w="2540" w:type="dxa"/>
            <w:tcBorders>
              <w:top w:val="nil"/>
              <w:left w:val="nil"/>
              <w:right w:val="single" w:sz="4" w:space="0" w:color="auto"/>
            </w:tcBorders>
            <w:shd w:val="clear" w:color="auto" w:fill="auto"/>
            <w:vAlign w:val="center"/>
            <w:hideMark/>
          </w:tcPr>
          <w:p w14:paraId="262AECB1"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Outside_Audit</w:t>
            </w:r>
            <w:proofErr w:type="spellEnd"/>
          </w:p>
        </w:tc>
        <w:tc>
          <w:tcPr>
            <w:tcW w:w="1300" w:type="dxa"/>
            <w:tcBorders>
              <w:top w:val="nil"/>
              <w:left w:val="single" w:sz="4" w:space="0" w:color="auto"/>
            </w:tcBorders>
            <w:shd w:val="clear" w:color="auto" w:fill="auto"/>
            <w:noWrap/>
            <w:vAlign w:val="center"/>
            <w:hideMark/>
          </w:tcPr>
          <w:p w14:paraId="57C71745"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1.31</w:t>
            </w:r>
          </w:p>
        </w:tc>
        <w:tc>
          <w:tcPr>
            <w:tcW w:w="1300" w:type="dxa"/>
            <w:tcBorders>
              <w:top w:val="nil"/>
              <w:right w:val="nil"/>
            </w:tcBorders>
            <w:shd w:val="clear" w:color="auto" w:fill="auto"/>
            <w:noWrap/>
            <w:vAlign w:val="center"/>
            <w:hideMark/>
          </w:tcPr>
          <w:p w14:paraId="0BD48B29"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0.7608</w:t>
            </w:r>
          </w:p>
        </w:tc>
      </w:tr>
      <w:tr w:rsidR="00D331ED" w:rsidRPr="004760F1" w14:paraId="01D7A79E" w14:textId="77777777" w:rsidTr="00492E99">
        <w:trPr>
          <w:trHeight w:val="320"/>
        </w:trPr>
        <w:tc>
          <w:tcPr>
            <w:tcW w:w="2540" w:type="dxa"/>
            <w:tcBorders>
              <w:left w:val="nil"/>
              <w:right w:val="single" w:sz="4" w:space="0" w:color="auto"/>
            </w:tcBorders>
            <w:shd w:val="clear" w:color="auto" w:fill="auto"/>
            <w:vAlign w:val="center"/>
          </w:tcPr>
          <w:p w14:paraId="26588B20"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QFIIHoldPerA</w:t>
            </w:r>
            <w:proofErr w:type="spellEnd"/>
          </w:p>
        </w:tc>
        <w:tc>
          <w:tcPr>
            <w:tcW w:w="1300" w:type="dxa"/>
            <w:tcBorders>
              <w:left w:val="single" w:sz="4" w:space="0" w:color="auto"/>
            </w:tcBorders>
            <w:shd w:val="clear" w:color="auto" w:fill="auto"/>
            <w:noWrap/>
            <w:vAlign w:val="center"/>
          </w:tcPr>
          <w:p w14:paraId="2DDE152E"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1.14</w:t>
            </w:r>
          </w:p>
        </w:tc>
        <w:tc>
          <w:tcPr>
            <w:tcW w:w="1300" w:type="dxa"/>
            <w:tcBorders>
              <w:right w:val="nil"/>
            </w:tcBorders>
            <w:shd w:val="clear" w:color="auto" w:fill="auto"/>
            <w:noWrap/>
            <w:vAlign w:val="center"/>
          </w:tcPr>
          <w:p w14:paraId="3BDF5549"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0.8747</w:t>
            </w:r>
          </w:p>
        </w:tc>
      </w:tr>
      <w:tr w:rsidR="00D331ED" w:rsidRPr="004760F1" w14:paraId="58E1A0A7" w14:textId="77777777" w:rsidTr="00492E99">
        <w:trPr>
          <w:trHeight w:val="320"/>
        </w:trPr>
        <w:tc>
          <w:tcPr>
            <w:tcW w:w="2540" w:type="dxa"/>
            <w:tcBorders>
              <w:left w:val="nil"/>
              <w:right w:val="single" w:sz="4" w:space="0" w:color="auto"/>
            </w:tcBorders>
            <w:shd w:val="clear" w:color="auto" w:fill="auto"/>
            <w:vAlign w:val="center"/>
          </w:tcPr>
          <w:p w14:paraId="4946008F"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PE_ratio</w:t>
            </w:r>
            <w:proofErr w:type="spellEnd"/>
          </w:p>
        </w:tc>
        <w:tc>
          <w:tcPr>
            <w:tcW w:w="1300" w:type="dxa"/>
            <w:tcBorders>
              <w:left w:val="single" w:sz="4" w:space="0" w:color="auto"/>
            </w:tcBorders>
            <w:shd w:val="clear" w:color="auto" w:fill="auto"/>
            <w:noWrap/>
            <w:vAlign w:val="center"/>
          </w:tcPr>
          <w:p w14:paraId="1D905594"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1.13</w:t>
            </w:r>
          </w:p>
        </w:tc>
        <w:tc>
          <w:tcPr>
            <w:tcW w:w="1300" w:type="dxa"/>
            <w:tcBorders>
              <w:right w:val="nil"/>
            </w:tcBorders>
            <w:shd w:val="clear" w:color="auto" w:fill="auto"/>
            <w:noWrap/>
            <w:vAlign w:val="center"/>
          </w:tcPr>
          <w:p w14:paraId="452FE143"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0.8822</w:t>
            </w:r>
          </w:p>
        </w:tc>
      </w:tr>
      <w:tr w:rsidR="00D331ED" w:rsidRPr="004760F1" w14:paraId="56BC83AB" w14:textId="77777777" w:rsidTr="00492E99">
        <w:trPr>
          <w:trHeight w:val="320"/>
        </w:trPr>
        <w:tc>
          <w:tcPr>
            <w:tcW w:w="2540" w:type="dxa"/>
            <w:tcBorders>
              <w:left w:val="nil"/>
              <w:right w:val="single" w:sz="4" w:space="0" w:color="auto"/>
            </w:tcBorders>
            <w:shd w:val="clear" w:color="auto" w:fill="auto"/>
            <w:vAlign w:val="center"/>
          </w:tcPr>
          <w:p w14:paraId="62DD1449"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SocSecFdHoldPerA</w:t>
            </w:r>
            <w:proofErr w:type="spellEnd"/>
          </w:p>
        </w:tc>
        <w:tc>
          <w:tcPr>
            <w:tcW w:w="1300" w:type="dxa"/>
            <w:tcBorders>
              <w:left w:val="single" w:sz="4" w:space="0" w:color="auto"/>
            </w:tcBorders>
            <w:shd w:val="clear" w:color="auto" w:fill="auto"/>
            <w:noWrap/>
            <w:vAlign w:val="center"/>
          </w:tcPr>
          <w:p w14:paraId="56602AC1"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1.13</w:t>
            </w:r>
          </w:p>
        </w:tc>
        <w:tc>
          <w:tcPr>
            <w:tcW w:w="1300" w:type="dxa"/>
            <w:tcBorders>
              <w:right w:val="nil"/>
            </w:tcBorders>
            <w:shd w:val="clear" w:color="auto" w:fill="auto"/>
            <w:noWrap/>
            <w:vAlign w:val="center"/>
          </w:tcPr>
          <w:p w14:paraId="42552014"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0.8823</w:t>
            </w:r>
          </w:p>
        </w:tc>
      </w:tr>
      <w:tr w:rsidR="00D331ED" w:rsidRPr="004760F1" w14:paraId="2463A9C5" w14:textId="77777777" w:rsidTr="00492E99">
        <w:trPr>
          <w:trHeight w:val="320"/>
        </w:trPr>
        <w:tc>
          <w:tcPr>
            <w:tcW w:w="2540" w:type="dxa"/>
            <w:tcBorders>
              <w:left w:val="nil"/>
              <w:right w:val="single" w:sz="4" w:space="0" w:color="auto"/>
            </w:tcBorders>
            <w:shd w:val="clear" w:color="auto" w:fill="auto"/>
            <w:vAlign w:val="center"/>
          </w:tcPr>
          <w:p w14:paraId="19142040"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InsuComHoldPerA</w:t>
            </w:r>
            <w:proofErr w:type="spellEnd"/>
          </w:p>
        </w:tc>
        <w:tc>
          <w:tcPr>
            <w:tcW w:w="1300" w:type="dxa"/>
            <w:tcBorders>
              <w:left w:val="single" w:sz="4" w:space="0" w:color="auto"/>
            </w:tcBorders>
            <w:shd w:val="clear" w:color="auto" w:fill="auto"/>
            <w:noWrap/>
            <w:vAlign w:val="center"/>
          </w:tcPr>
          <w:p w14:paraId="3425E4A8"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1.08</w:t>
            </w:r>
          </w:p>
        </w:tc>
        <w:tc>
          <w:tcPr>
            <w:tcW w:w="1300" w:type="dxa"/>
            <w:tcBorders>
              <w:right w:val="nil"/>
            </w:tcBorders>
            <w:shd w:val="clear" w:color="auto" w:fill="auto"/>
            <w:noWrap/>
            <w:vAlign w:val="center"/>
          </w:tcPr>
          <w:p w14:paraId="2CC1DDB8" w14:textId="77777777" w:rsidR="00D331ED" w:rsidRPr="004760F1" w:rsidRDefault="00D331ED" w:rsidP="00492E99">
            <w:pPr>
              <w:jc w:val="cente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0.9228</w:t>
            </w:r>
          </w:p>
        </w:tc>
      </w:tr>
      <w:tr w:rsidR="00D331ED" w:rsidRPr="004760F1" w14:paraId="4B4F47E6" w14:textId="77777777" w:rsidTr="00492E99">
        <w:trPr>
          <w:trHeight w:val="320"/>
        </w:trPr>
        <w:tc>
          <w:tcPr>
            <w:tcW w:w="2540" w:type="dxa"/>
            <w:tcBorders>
              <w:left w:val="nil"/>
              <w:bottom w:val="single" w:sz="4" w:space="0" w:color="auto"/>
              <w:right w:val="single" w:sz="4" w:space="0" w:color="auto"/>
            </w:tcBorders>
            <w:shd w:val="clear" w:color="auto" w:fill="auto"/>
            <w:vAlign w:val="center"/>
          </w:tcPr>
          <w:p w14:paraId="1E74C0D0" w14:textId="77777777" w:rsidR="00D331ED" w:rsidRPr="004760F1" w:rsidRDefault="00D331ED" w:rsidP="00492E99">
            <w:pPr>
              <w:rPr>
                <w:rFonts w:ascii="Times New Roman" w:eastAsia="DengXian" w:hAnsi="Times New Roman" w:cs="Times New Roman"/>
                <w:color w:val="000000" w:themeColor="text1"/>
                <w:sz w:val="21"/>
                <w:szCs w:val="22"/>
              </w:rPr>
            </w:pPr>
            <w:proofErr w:type="spellStart"/>
            <w:r w:rsidRPr="004760F1">
              <w:rPr>
                <w:rFonts w:ascii="Times New Roman" w:eastAsia="DengXian" w:hAnsi="Times New Roman" w:cs="Times New Roman"/>
                <w:color w:val="000000" w:themeColor="text1"/>
                <w:sz w:val="21"/>
                <w:szCs w:val="22"/>
              </w:rPr>
              <w:t>SecCorpHoldPerA</w:t>
            </w:r>
            <w:proofErr w:type="spellEnd"/>
          </w:p>
        </w:tc>
        <w:tc>
          <w:tcPr>
            <w:tcW w:w="1300" w:type="dxa"/>
            <w:tcBorders>
              <w:left w:val="nil"/>
              <w:bottom w:val="single" w:sz="4" w:space="0" w:color="auto"/>
              <w:right w:val="nil"/>
            </w:tcBorders>
            <w:shd w:val="clear" w:color="auto" w:fill="auto"/>
            <w:noWrap/>
            <w:vAlign w:val="center"/>
          </w:tcPr>
          <w:p w14:paraId="0015A1AA"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1.02</w:t>
            </w:r>
          </w:p>
        </w:tc>
        <w:tc>
          <w:tcPr>
            <w:tcW w:w="1300" w:type="dxa"/>
            <w:tcBorders>
              <w:left w:val="nil"/>
              <w:bottom w:val="single" w:sz="4" w:space="0" w:color="auto"/>
              <w:right w:val="nil"/>
            </w:tcBorders>
            <w:shd w:val="clear" w:color="auto" w:fill="auto"/>
            <w:noWrap/>
            <w:vAlign w:val="center"/>
          </w:tcPr>
          <w:p w14:paraId="58E7AFC7"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0.9787</w:t>
            </w:r>
          </w:p>
        </w:tc>
      </w:tr>
      <w:tr w:rsidR="00D331ED" w:rsidRPr="004760F1" w14:paraId="0370FA89" w14:textId="77777777" w:rsidTr="00492E99">
        <w:trPr>
          <w:trHeight w:val="320"/>
        </w:trPr>
        <w:tc>
          <w:tcPr>
            <w:tcW w:w="2540" w:type="dxa"/>
            <w:tcBorders>
              <w:top w:val="nil"/>
              <w:left w:val="nil"/>
              <w:bottom w:val="nil"/>
              <w:right w:val="single" w:sz="4" w:space="0" w:color="auto"/>
            </w:tcBorders>
            <w:shd w:val="clear" w:color="auto" w:fill="auto"/>
            <w:vAlign w:val="center"/>
            <w:hideMark/>
          </w:tcPr>
          <w:p w14:paraId="3B862B88" w14:textId="77777777" w:rsidR="00D331ED" w:rsidRPr="004760F1" w:rsidRDefault="00D331ED" w:rsidP="00492E99">
            <w:pPr>
              <w:rPr>
                <w:rFonts w:ascii="Times New Roman" w:eastAsia="DengXian" w:hAnsi="Times New Roman" w:cs="Times New Roman"/>
                <w:color w:val="000000" w:themeColor="text1"/>
                <w:sz w:val="21"/>
                <w:szCs w:val="22"/>
              </w:rPr>
            </w:pPr>
            <w:r w:rsidRPr="004760F1">
              <w:rPr>
                <w:rFonts w:ascii="Times New Roman" w:eastAsia="DengXian" w:hAnsi="Times New Roman" w:cs="Times New Roman"/>
                <w:color w:val="000000" w:themeColor="text1"/>
                <w:sz w:val="21"/>
                <w:szCs w:val="22"/>
              </w:rPr>
              <w:t>Mean VIF</w:t>
            </w:r>
          </w:p>
        </w:tc>
        <w:tc>
          <w:tcPr>
            <w:tcW w:w="1300" w:type="dxa"/>
            <w:tcBorders>
              <w:top w:val="nil"/>
              <w:left w:val="nil"/>
              <w:bottom w:val="nil"/>
              <w:right w:val="nil"/>
            </w:tcBorders>
            <w:shd w:val="clear" w:color="auto" w:fill="auto"/>
            <w:noWrap/>
            <w:vAlign w:val="center"/>
            <w:hideMark/>
          </w:tcPr>
          <w:p w14:paraId="2540C63E" w14:textId="77777777" w:rsidR="00D331ED" w:rsidRPr="004760F1" w:rsidRDefault="00D331ED" w:rsidP="00492E99">
            <w:pPr>
              <w:jc w:val="center"/>
              <w:rPr>
                <w:rFonts w:ascii="Times New Roman" w:eastAsia="DengXian" w:hAnsi="Times New Roman" w:cs="Times New Roman"/>
                <w:color w:val="000000" w:themeColor="text1"/>
                <w:sz w:val="21"/>
              </w:rPr>
            </w:pPr>
            <w:r w:rsidRPr="004760F1">
              <w:rPr>
                <w:rFonts w:ascii="Times New Roman" w:eastAsia="DengXian" w:hAnsi="Times New Roman" w:cs="Times New Roman"/>
                <w:color w:val="000000" w:themeColor="text1"/>
                <w:sz w:val="21"/>
              </w:rPr>
              <w:t>1.78</w:t>
            </w:r>
          </w:p>
        </w:tc>
        <w:tc>
          <w:tcPr>
            <w:tcW w:w="1300" w:type="dxa"/>
            <w:tcBorders>
              <w:top w:val="nil"/>
              <w:left w:val="nil"/>
              <w:bottom w:val="nil"/>
              <w:right w:val="nil"/>
            </w:tcBorders>
            <w:shd w:val="clear" w:color="auto" w:fill="auto"/>
            <w:noWrap/>
            <w:vAlign w:val="center"/>
            <w:hideMark/>
          </w:tcPr>
          <w:p w14:paraId="4101F717" w14:textId="77777777" w:rsidR="00D331ED" w:rsidRPr="004760F1" w:rsidRDefault="00D331ED" w:rsidP="00492E99">
            <w:pPr>
              <w:jc w:val="center"/>
              <w:rPr>
                <w:rFonts w:ascii="Times New Roman" w:eastAsia="DengXian" w:hAnsi="Times New Roman" w:cs="Times New Roman"/>
                <w:color w:val="000000" w:themeColor="text1"/>
                <w:sz w:val="21"/>
              </w:rPr>
            </w:pPr>
          </w:p>
        </w:tc>
      </w:tr>
    </w:tbl>
    <w:p w14:paraId="204810B2" w14:textId="77777777" w:rsidR="00D331ED" w:rsidRPr="004760F1" w:rsidRDefault="00D331ED" w:rsidP="00D331ED">
      <w:pPr>
        <w:rPr>
          <w:rFonts w:ascii="Times New Roman" w:hAnsi="Times New Roman" w:cs="Times New Roman"/>
        </w:rPr>
      </w:pPr>
    </w:p>
    <w:p w14:paraId="6E75E915" w14:textId="192F3017" w:rsidR="00F25B08" w:rsidRPr="004760F1" w:rsidRDefault="00F25B08" w:rsidP="002A40F7">
      <w:pPr>
        <w:jc w:val="both"/>
        <w:rPr>
          <w:rFonts w:ascii="Times New Roman" w:hAnsi="Times New Roman" w:cs="Times New Roman"/>
          <w:b/>
        </w:rPr>
      </w:pPr>
      <w:r w:rsidRPr="004760F1">
        <w:rPr>
          <w:rFonts w:ascii="Times New Roman" w:hAnsi="Times New Roman" w:cs="Times New Roman"/>
          <w:b/>
        </w:rPr>
        <w:t xml:space="preserve">4.3 </w:t>
      </w:r>
      <w:r w:rsidR="00F17E64" w:rsidRPr="004760F1">
        <w:rPr>
          <w:rFonts w:ascii="Times New Roman" w:hAnsi="Times New Roman" w:cs="Times New Roman"/>
          <w:b/>
        </w:rPr>
        <w:t xml:space="preserve">Main </w:t>
      </w:r>
      <w:r w:rsidRPr="004760F1">
        <w:rPr>
          <w:rFonts w:ascii="Times New Roman" w:hAnsi="Times New Roman" w:cs="Times New Roman"/>
          <w:b/>
        </w:rPr>
        <w:t>results</w:t>
      </w:r>
    </w:p>
    <w:p w14:paraId="1003DD19" w14:textId="4122658A" w:rsidR="00F25B08" w:rsidRPr="004760F1" w:rsidRDefault="00F326AD" w:rsidP="002A40F7">
      <w:pPr>
        <w:jc w:val="both"/>
        <w:rPr>
          <w:rFonts w:ascii="Times New Roman" w:hAnsi="Times New Roman" w:cs="Times New Roman"/>
        </w:rPr>
      </w:pPr>
      <w:r w:rsidRPr="004760F1">
        <w:rPr>
          <w:rFonts w:ascii="Times New Roman" w:hAnsi="Times New Roman" w:cs="Times New Roman"/>
        </w:rPr>
        <w:t>Table 4</w:t>
      </w:r>
      <w:r w:rsidR="00F27316" w:rsidRPr="004760F1">
        <w:rPr>
          <w:rFonts w:ascii="Times New Roman" w:hAnsi="Times New Roman" w:cs="Times New Roman"/>
        </w:rPr>
        <w:t xml:space="preserve">-3 lists the </w:t>
      </w:r>
      <w:r w:rsidRPr="004760F1">
        <w:rPr>
          <w:rFonts w:ascii="Times New Roman" w:hAnsi="Times New Roman" w:cs="Times New Roman"/>
        </w:rPr>
        <w:t xml:space="preserve">main </w:t>
      </w:r>
      <w:r w:rsidR="00F27316" w:rsidRPr="004760F1">
        <w:rPr>
          <w:rFonts w:ascii="Times New Roman" w:hAnsi="Times New Roman" w:cs="Times New Roman"/>
        </w:rPr>
        <w:t xml:space="preserve">empirical results. The difference between the three column models is that different time points are used to calculate the </w:t>
      </w:r>
      <w:r w:rsidR="00AC2333" w:rsidRPr="004760F1">
        <w:rPr>
          <w:rFonts w:ascii="Times New Roman" w:hAnsi="Times New Roman" w:cs="Times New Roman"/>
        </w:rPr>
        <w:t>interaction</w:t>
      </w:r>
      <w:r w:rsidR="00F27316" w:rsidRPr="004760F1">
        <w:rPr>
          <w:rFonts w:ascii="Times New Roman" w:hAnsi="Times New Roman" w:cs="Times New Roman"/>
        </w:rPr>
        <w:t xml:space="preserve"> term </w:t>
      </w:r>
      <w:r w:rsidR="00AC2333" w:rsidRPr="004760F1">
        <w:rPr>
          <w:rFonts w:ascii="Times New Roman" w:hAnsi="Times New Roman" w:cs="Times New Roman"/>
        </w:rPr>
        <w:t>MSCI x After</w:t>
      </w:r>
      <w:r w:rsidR="00F27316" w:rsidRPr="004760F1">
        <w:rPr>
          <w:rFonts w:ascii="Times New Roman" w:hAnsi="Times New Roman" w:cs="Times New Roman"/>
        </w:rPr>
        <w:t>. After</w:t>
      </w:r>
      <w:r w:rsidR="0042544B" w:rsidRPr="004760F1">
        <w:rPr>
          <w:rFonts w:ascii="Times New Roman" w:hAnsi="Times New Roman" w:cs="Times New Roman"/>
        </w:rPr>
        <w:t>2</w:t>
      </w:r>
      <w:r w:rsidR="00F27316" w:rsidRPr="004760F1">
        <w:rPr>
          <w:rFonts w:ascii="Times New Roman" w:hAnsi="Times New Roman" w:cs="Times New Roman"/>
        </w:rPr>
        <w:t xml:space="preserve"> = 1 in column (1) is set after June 2017, which is the "announcement" time </w:t>
      </w:r>
      <w:r w:rsidR="00AC2333" w:rsidRPr="004760F1">
        <w:rPr>
          <w:rFonts w:ascii="Times New Roman" w:hAnsi="Times New Roman" w:cs="Times New Roman"/>
        </w:rPr>
        <w:t>for A</w:t>
      </w:r>
      <w:r w:rsidR="00F27316" w:rsidRPr="004760F1">
        <w:rPr>
          <w:rFonts w:ascii="Times New Roman" w:hAnsi="Times New Roman" w:cs="Times New Roman"/>
        </w:rPr>
        <w:t xml:space="preserve"> shares to be included in the MSCI index, and the </w:t>
      </w:r>
      <w:r w:rsidR="00260175" w:rsidRPr="004760F1">
        <w:rPr>
          <w:rFonts w:ascii="Times New Roman" w:hAnsi="Times New Roman" w:cs="Times New Roman"/>
        </w:rPr>
        <w:t xml:space="preserve">interaction </w:t>
      </w:r>
      <w:r w:rsidR="00F27316" w:rsidRPr="004760F1">
        <w:rPr>
          <w:rFonts w:ascii="Times New Roman" w:hAnsi="Times New Roman" w:cs="Times New Roman"/>
        </w:rPr>
        <w:t>term is M1A2; After</w:t>
      </w:r>
      <w:r w:rsidR="0042544B" w:rsidRPr="004760F1">
        <w:rPr>
          <w:rFonts w:ascii="Times New Roman" w:hAnsi="Times New Roman" w:cs="Times New Roman"/>
        </w:rPr>
        <w:t>4</w:t>
      </w:r>
      <w:r w:rsidR="00F27316" w:rsidRPr="004760F1">
        <w:rPr>
          <w:rFonts w:ascii="Times New Roman" w:hAnsi="Times New Roman" w:cs="Times New Roman"/>
        </w:rPr>
        <w:t xml:space="preserve"> = 1 in column (2) is set after June 2018, which is the "actual implementation" time for </w:t>
      </w:r>
      <w:r w:rsidR="00260175" w:rsidRPr="004760F1">
        <w:rPr>
          <w:rFonts w:ascii="Times New Roman" w:hAnsi="Times New Roman" w:cs="Times New Roman"/>
        </w:rPr>
        <w:t>A</w:t>
      </w:r>
      <w:r w:rsidR="00F27316" w:rsidRPr="004760F1">
        <w:rPr>
          <w:rFonts w:ascii="Times New Roman" w:hAnsi="Times New Roman" w:cs="Times New Roman"/>
        </w:rPr>
        <w:t xml:space="preserve"> shares to be included in MSCI index, and the </w:t>
      </w:r>
      <w:r w:rsidR="00260175" w:rsidRPr="004760F1">
        <w:rPr>
          <w:rFonts w:ascii="Times New Roman" w:hAnsi="Times New Roman" w:cs="Times New Roman"/>
        </w:rPr>
        <w:t>interaction term is M1A</w:t>
      </w:r>
      <w:r w:rsidR="00F27316" w:rsidRPr="004760F1">
        <w:rPr>
          <w:rFonts w:ascii="Times New Roman" w:hAnsi="Times New Roman" w:cs="Times New Roman"/>
        </w:rPr>
        <w:t>4; After</w:t>
      </w:r>
      <w:r w:rsidR="0042544B" w:rsidRPr="004760F1">
        <w:rPr>
          <w:rFonts w:ascii="Times New Roman" w:hAnsi="Times New Roman" w:cs="Times New Roman"/>
        </w:rPr>
        <w:t>1</w:t>
      </w:r>
      <w:r w:rsidR="00F27316" w:rsidRPr="004760F1">
        <w:rPr>
          <w:rFonts w:ascii="Times New Roman" w:hAnsi="Times New Roman" w:cs="Times New Roman"/>
        </w:rPr>
        <w:t xml:space="preserve"> = 1 in column (3) is set after January 2017. At this time point, there is no information that </w:t>
      </w:r>
      <w:r w:rsidR="0042544B" w:rsidRPr="004760F1">
        <w:rPr>
          <w:rFonts w:ascii="Times New Roman" w:hAnsi="Times New Roman" w:cs="Times New Roman"/>
        </w:rPr>
        <w:t>A</w:t>
      </w:r>
      <w:r w:rsidR="00F27316" w:rsidRPr="004760F1">
        <w:rPr>
          <w:rFonts w:ascii="Times New Roman" w:hAnsi="Times New Roman" w:cs="Times New Roman"/>
        </w:rPr>
        <w:t xml:space="preserve"> shares</w:t>
      </w:r>
      <w:r w:rsidR="0042544B" w:rsidRPr="004760F1">
        <w:rPr>
          <w:rFonts w:ascii="Times New Roman" w:hAnsi="Times New Roman" w:cs="Times New Roman"/>
        </w:rPr>
        <w:t xml:space="preserve"> will be</w:t>
      </w:r>
      <w:r w:rsidR="00F27316" w:rsidRPr="004760F1">
        <w:rPr>
          <w:rFonts w:ascii="Times New Roman" w:hAnsi="Times New Roman" w:cs="Times New Roman"/>
        </w:rPr>
        <w:t xml:space="preserve"> included in the MSCI index, and the </w:t>
      </w:r>
      <w:r w:rsidR="00C50A3E" w:rsidRPr="004760F1">
        <w:rPr>
          <w:rFonts w:ascii="Times New Roman" w:hAnsi="Times New Roman" w:cs="Times New Roman"/>
        </w:rPr>
        <w:t xml:space="preserve">interaction </w:t>
      </w:r>
      <w:r w:rsidR="00F27316" w:rsidRPr="004760F1">
        <w:rPr>
          <w:rFonts w:ascii="Times New Roman" w:hAnsi="Times New Roman" w:cs="Times New Roman"/>
        </w:rPr>
        <w:t xml:space="preserve">term is </w:t>
      </w:r>
      <w:r w:rsidR="00C50A3E" w:rsidRPr="004760F1">
        <w:rPr>
          <w:rFonts w:ascii="Times New Roman" w:hAnsi="Times New Roman" w:cs="Times New Roman"/>
        </w:rPr>
        <w:t>M</w:t>
      </w:r>
      <w:r w:rsidR="00F27316" w:rsidRPr="004760F1">
        <w:rPr>
          <w:rFonts w:ascii="Times New Roman" w:hAnsi="Times New Roman" w:cs="Times New Roman"/>
        </w:rPr>
        <w:t>1</w:t>
      </w:r>
      <w:r w:rsidR="00C50A3E" w:rsidRPr="004760F1">
        <w:rPr>
          <w:rFonts w:ascii="Times New Roman" w:hAnsi="Times New Roman" w:cs="Times New Roman"/>
        </w:rPr>
        <w:t>A</w:t>
      </w:r>
      <w:r w:rsidR="00F27316" w:rsidRPr="004760F1">
        <w:rPr>
          <w:rFonts w:ascii="Times New Roman" w:hAnsi="Times New Roman" w:cs="Times New Roman"/>
        </w:rPr>
        <w:t xml:space="preserve">1. The purpose of this design is </w:t>
      </w:r>
      <w:r w:rsidR="00C06C93" w:rsidRPr="004760F1">
        <w:rPr>
          <w:rFonts w:ascii="Times New Roman" w:hAnsi="Times New Roman" w:cs="Times New Roman"/>
        </w:rPr>
        <w:t xml:space="preserve">to show that </w:t>
      </w:r>
      <w:r w:rsidR="0084764F" w:rsidRPr="004760F1">
        <w:rPr>
          <w:rFonts w:ascii="Times New Roman" w:hAnsi="Times New Roman" w:cs="Times New Roman"/>
        </w:rPr>
        <w:t xml:space="preserve">as time goes by, </w:t>
      </w:r>
      <w:r w:rsidR="00F27316" w:rsidRPr="004760F1">
        <w:rPr>
          <w:rFonts w:ascii="Times New Roman" w:hAnsi="Times New Roman" w:cs="Times New Roman"/>
        </w:rPr>
        <w:t xml:space="preserve">the </w:t>
      </w:r>
      <w:r w:rsidR="0084764F" w:rsidRPr="004760F1">
        <w:rPr>
          <w:rFonts w:ascii="Times New Roman" w:hAnsi="Times New Roman" w:cs="Times New Roman"/>
        </w:rPr>
        <w:t xml:space="preserve">underlying stocks’ volatility </w:t>
      </w:r>
      <w:r w:rsidR="00F27316" w:rsidRPr="004760F1">
        <w:rPr>
          <w:rFonts w:ascii="Times New Roman" w:hAnsi="Times New Roman" w:cs="Times New Roman"/>
        </w:rPr>
        <w:t>will change from no information at all (column 3), to only announcement without implementat</w:t>
      </w:r>
      <w:r w:rsidR="0084764F" w:rsidRPr="004760F1">
        <w:rPr>
          <w:rFonts w:ascii="Times New Roman" w:hAnsi="Times New Roman" w:cs="Times New Roman"/>
        </w:rPr>
        <w:t>ion (column 1), and then to actual</w:t>
      </w:r>
      <w:r w:rsidR="00F27316" w:rsidRPr="004760F1">
        <w:rPr>
          <w:rFonts w:ascii="Times New Roman" w:hAnsi="Times New Roman" w:cs="Times New Roman"/>
        </w:rPr>
        <w:t xml:space="preserve"> implementation (column 2). It should be seen that the coefficient of the </w:t>
      </w:r>
      <w:r w:rsidR="0084764F" w:rsidRPr="004760F1">
        <w:rPr>
          <w:rFonts w:ascii="Times New Roman" w:hAnsi="Times New Roman" w:cs="Times New Roman"/>
        </w:rPr>
        <w:t>interaction</w:t>
      </w:r>
      <w:r w:rsidR="00F27316" w:rsidRPr="004760F1">
        <w:rPr>
          <w:rFonts w:ascii="Times New Roman" w:hAnsi="Times New Roman" w:cs="Times New Roman"/>
        </w:rPr>
        <w:t xml:space="preserve"> term will change from </w:t>
      </w:r>
      <w:proofErr w:type="spellStart"/>
      <w:r w:rsidR="00F27316" w:rsidRPr="004760F1">
        <w:rPr>
          <w:rFonts w:ascii="Times New Roman" w:hAnsi="Times New Roman" w:cs="Times New Roman"/>
        </w:rPr>
        <w:t>non significant</w:t>
      </w:r>
      <w:proofErr w:type="spellEnd"/>
      <w:r w:rsidR="00F27316" w:rsidRPr="004760F1">
        <w:rPr>
          <w:rFonts w:ascii="Times New Roman" w:hAnsi="Times New Roman" w:cs="Times New Roman"/>
        </w:rPr>
        <w:t xml:space="preserve"> to significant, and from positive </w:t>
      </w:r>
      <w:r w:rsidR="0084764F" w:rsidRPr="004760F1">
        <w:rPr>
          <w:rFonts w:ascii="Times New Roman" w:hAnsi="Times New Roman" w:cs="Times New Roman"/>
        </w:rPr>
        <w:t xml:space="preserve">or </w:t>
      </w:r>
      <w:r w:rsidR="00F27316" w:rsidRPr="004760F1">
        <w:rPr>
          <w:rFonts w:ascii="Times New Roman" w:hAnsi="Times New Roman" w:cs="Times New Roman"/>
        </w:rPr>
        <w:t>negative to significant</w:t>
      </w:r>
      <w:r w:rsidR="0084764F" w:rsidRPr="004760F1">
        <w:rPr>
          <w:rFonts w:ascii="Times New Roman" w:hAnsi="Times New Roman" w:cs="Times New Roman"/>
        </w:rPr>
        <w:t xml:space="preserve"> negative. Above</w:t>
      </w:r>
      <w:r w:rsidR="00F27316" w:rsidRPr="004760F1">
        <w:rPr>
          <w:rFonts w:ascii="Times New Roman" w:hAnsi="Times New Roman" w:cs="Times New Roman"/>
        </w:rPr>
        <w:t xml:space="preserve"> points can be verified from the following regression results.</w:t>
      </w:r>
    </w:p>
    <w:p w14:paraId="2F8CE1E4" w14:textId="4967235D" w:rsidR="00F25B08" w:rsidRPr="004760F1" w:rsidRDefault="00F27316" w:rsidP="002A40F7">
      <w:pPr>
        <w:jc w:val="both"/>
        <w:rPr>
          <w:rFonts w:ascii="Times New Roman" w:hAnsi="Times New Roman" w:cs="Times New Roman"/>
        </w:rPr>
      </w:pPr>
      <w:r w:rsidRPr="004760F1">
        <w:rPr>
          <w:rFonts w:ascii="Times New Roman" w:hAnsi="Times New Roman" w:cs="Times New Roman"/>
        </w:rPr>
        <w:t xml:space="preserve">The results show that the </w:t>
      </w:r>
      <w:r w:rsidR="00292DCA" w:rsidRPr="004760F1">
        <w:rPr>
          <w:rFonts w:ascii="Times New Roman" w:hAnsi="Times New Roman" w:cs="Times New Roman"/>
        </w:rPr>
        <w:t xml:space="preserve">coefficient of </w:t>
      </w:r>
      <w:r w:rsidR="0053500D" w:rsidRPr="004760F1">
        <w:rPr>
          <w:rFonts w:ascii="Times New Roman" w:hAnsi="Times New Roman" w:cs="Times New Roman"/>
        </w:rPr>
        <w:t>M1A4</w:t>
      </w:r>
      <w:r w:rsidRPr="004760F1">
        <w:rPr>
          <w:rFonts w:ascii="Times New Roman" w:hAnsi="Times New Roman" w:cs="Times New Roman"/>
        </w:rPr>
        <w:t xml:space="preserve"> in the second column is significantly negatively correlated with the </w:t>
      </w:r>
      <w:r w:rsidR="0053500D" w:rsidRPr="004760F1">
        <w:rPr>
          <w:rFonts w:ascii="Times New Roman" w:hAnsi="Times New Roman" w:cs="Times New Roman"/>
        </w:rPr>
        <w:t>idiosyncratic</w:t>
      </w:r>
      <w:r w:rsidRPr="004760F1">
        <w:rPr>
          <w:rFonts w:ascii="Times New Roman" w:hAnsi="Times New Roman" w:cs="Times New Roman"/>
        </w:rPr>
        <w:t xml:space="preserve"> volatility of stock price (</w:t>
      </w:r>
      <w:proofErr w:type="spellStart"/>
      <w:r w:rsidRPr="004760F1">
        <w:rPr>
          <w:rFonts w:ascii="Times New Roman" w:hAnsi="Times New Roman" w:cs="Times New Roman"/>
        </w:rPr>
        <w:t>var_capm_w_ann</w:t>
      </w:r>
      <w:proofErr w:type="spellEnd"/>
      <w:r w:rsidRPr="004760F1">
        <w:rPr>
          <w:rFonts w:ascii="Times New Roman" w:hAnsi="Times New Roman" w:cs="Times New Roman"/>
        </w:rPr>
        <w:t xml:space="preserve">) (significant at 1% level). In contrast, although the </w:t>
      </w:r>
      <w:r w:rsidR="00292DCA" w:rsidRPr="004760F1">
        <w:rPr>
          <w:rFonts w:ascii="Times New Roman" w:hAnsi="Times New Roman" w:cs="Times New Roman"/>
        </w:rPr>
        <w:t xml:space="preserve">coefficient of </w:t>
      </w:r>
      <w:r w:rsidRPr="004760F1">
        <w:rPr>
          <w:rFonts w:ascii="Times New Roman" w:hAnsi="Times New Roman" w:cs="Times New Roman"/>
        </w:rPr>
        <w:t xml:space="preserve">M1A2 </w:t>
      </w:r>
      <w:r w:rsidR="00292DCA" w:rsidRPr="004760F1">
        <w:rPr>
          <w:rFonts w:ascii="Times New Roman" w:hAnsi="Times New Roman" w:cs="Times New Roman"/>
        </w:rPr>
        <w:t xml:space="preserve">in </w:t>
      </w:r>
      <w:r w:rsidRPr="004760F1">
        <w:rPr>
          <w:rFonts w:ascii="Times New Roman" w:hAnsi="Times New Roman" w:cs="Times New Roman"/>
        </w:rPr>
        <w:t xml:space="preserve">the first column model is also negative, the absolute value of </w:t>
      </w:r>
      <w:r w:rsidR="00292DCA" w:rsidRPr="004760F1">
        <w:rPr>
          <w:rFonts w:ascii="Times New Roman" w:hAnsi="Times New Roman" w:cs="Times New Roman"/>
        </w:rPr>
        <w:t xml:space="preserve">and the significance of </w:t>
      </w:r>
      <w:r w:rsidRPr="004760F1">
        <w:rPr>
          <w:rFonts w:ascii="Times New Roman" w:hAnsi="Times New Roman" w:cs="Times New Roman"/>
        </w:rPr>
        <w:t>the coefficient</w:t>
      </w:r>
      <w:r w:rsidR="00292DCA" w:rsidRPr="004760F1">
        <w:rPr>
          <w:rFonts w:ascii="Times New Roman" w:hAnsi="Times New Roman" w:cs="Times New Roman"/>
        </w:rPr>
        <w:t xml:space="preserve"> both decreased (significant at 10%), what’s more we can see that the coefficient of M1A1 in the third column model decreased</w:t>
      </w:r>
      <w:r w:rsidRPr="004760F1">
        <w:rPr>
          <w:rFonts w:ascii="Times New Roman" w:hAnsi="Times New Roman" w:cs="Times New Roman"/>
        </w:rPr>
        <w:t xml:space="preserve"> again</w:t>
      </w:r>
      <w:r w:rsidR="00292DCA" w:rsidRPr="004760F1">
        <w:rPr>
          <w:rFonts w:ascii="Times New Roman" w:hAnsi="Times New Roman" w:cs="Times New Roman"/>
        </w:rPr>
        <w:t xml:space="preserve"> and it’s not significant at all.</w:t>
      </w:r>
    </w:p>
    <w:p w14:paraId="0E633B77" w14:textId="6B3457CA" w:rsidR="00634D2B" w:rsidRPr="004760F1" w:rsidRDefault="00FD409E" w:rsidP="00634D2B">
      <w:pPr>
        <w:pStyle w:val="Normal20-BR2"/>
        <w:spacing w:after="0"/>
        <w:rPr>
          <w:rFonts w:ascii="Times New Roman" w:hAnsi="Times New Roman" w:cs="Times New Roman" w:hint="eastAsia"/>
          <w:b/>
          <w:color w:val="000000" w:themeColor="text1"/>
          <w:lang w:eastAsia="zh-CN"/>
        </w:rPr>
      </w:pPr>
      <w:r>
        <w:rPr>
          <w:rFonts w:ascii="Times New Roman" w:hAnsi="Times New Roman" w:cs="Times New Roman" w:hint="eastAsia"/>
          <w:b/>
          <w:color w:val="000000" w:themeColor="text1"/>
          <w:lang w:eastAsia="zh-CN"/>
        </w:rPr>
        <w:t>T</w:t>
      </w:r>
      <w:r>
        <w:rPr>
          <w:rFonts w:ascii="Times New Roman" w:hAnsi="Times New Roman" w:cs="Times New Roman"/>
          <w:b/>
          <w:color w:val="000000" w:themeColor="text1"/>
          <w:lang w:eastAsia="zh-CN"/>
        </w:rPr>
        <w:t>able 4</w:t>
      </w:r>
      <w:r w:rsidR="00634D2B" w:rsidRPr="004760F1">
        <w:rPr>
          <w:rFonts w:ascii="Times New Roman" w:hAnsi="Times New Roman" w:cs="Times New Roman"/>
          <w:b/>
          <w:color w:val="000000" w:themeColor="text1"/>
          <w:lang w:eastAsia="zh-CN"/>
        </w:rPr>
        <w:t>-3</w:t>
      </w:r>
      <w:r>
        <w:rPr>
          <w:rFonts w:ascii="Times New Roman" w:hAnsi="Times New Roman" w:cs="Times New Roman" w:hint="eastAsia"/>
          <w:b/>
          <w:color w:val="000000" w:themeColor="text1"/>
          <w:lang w:eastAsia="zh-CN"/>
        </w:rPr>
        <w:t>:</w:t>
      </w:r>
      <w:r>
        <w:rPr>
          <w:rFonts w:ascii="Times New Roman" w:hAnsi="Times New Roman" w:cs="Times New Roman"/>
          <w:b/>
          <w:color w:val="000000" w:themeColor="text1"/>
          <w:lang w:eastAsia="zh-CN"/>
        </w:rPr>
        <w:t xml:space="preserve"> Regression results</w:t>
      </w:r>
    </w:p>
    <w:tbl>
      <w:tblPr>
        <w:tblStyle w:val="5"/>
        <w:tblW w:w="8322" w:type="dxa"/>
        <w:tblBorders>
          <w:top w:val="single" w:sz="0" w:space="0" w:color="000000"/>
          <w:left w:val="nil"/>
          <w:bottom w:val="single" w:sz="0" w:space="0" w:color="000000"/>
          <w:right w:val="nil"/>
          <w:insideH w:val="nil"/>
          <w:insideV w:val="nil"/>
        </w:tblBorders>
        <w:tblLook w:val="04A0" w:firstRow="1" w:lastRow="0" w:firstColumn="1" w:lastColumn="0" w:noHBand="0" w:noVBand="1"/>
      </w:tblPr>
      <w:tblGrid>
        <w:gridCol w:w="1989"/>
        <w:gridCol w:w="2120"/>
        <w:gridCol w:w="2200"/>
        <w:gridCol w:w="2013"/>
      </w:tblGrid>
      <w:tr w:rsidR="00444093" w:rsidRPr="004760F1" w14:paraId="1AD12F28" w14:textId="77777777" w:rsidTr="009556D3">
        <w:tc>
          <w:tcPr>
            <w:tcW w:w="1989" w:type="dxa"/>
          </w:tcPr>
          <w:p w14:paraId="40A43668" w14:textId="77777777" w:rsidR="00444093" w:rsidRPr="004760F1" w:rsidRDefault="00444093" w:rsidP="009556D3">
            <w:pPr>
              <w:rPr>
                <w:rFonts w:ascii="Times New Roman" w:hAnsi="Times New Roman" w:cs="Times New Roman"/>
              </w:rPr>
            </w:pPr>
          </w:p>
        </w:tc>
        <w:tc>
          <w:tcPr>
            <w:tcW w:w="2120" w:type="dxa"/>
          </w:tcPr>
          <w:p w14:paraId="76C81064"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(1)</w:t>
            </w:r>
          </w:p>
        </w:tc>
        <w:tc>
          <w:tcPr>
            <w:tcW w:w="2200" w:type="dxa"/>
          </w:tcPr>
          <w:p w14:paraId="7429B9A5"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w:t>
            </w:r>
          </w:p>
        </w:tc>
        <w:tc>
          <w:tcPr>
            <w:tcW w:w="2013" w:type="dxa"/>
          </w:tcPr>
          <w:p w14:paraId="7FC3EFBD"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w:t>
            </w:r>
          </w:p>
        </w:tc>
      </w:tr>
      <w:tr w:rsidR="00444093" w:rsidRPr="004760F1" w14:paraId="486A0844" w14:textId="77777777" w:rsidTr="009556D3">
        <w:tc>
          <w:tcPr>
            <w:tcW w:w="1989" w:type="dxa"/>
            <w:tcBorders>
              <w:bottom w:val="single" w:sz="0" w:space="0" w:color="000000"/>
            </w:tcBorders>
          </w:tcPr>
          <w:p w14:paraId="660AD0FE" w14:textId="77777777" w:rsidR="00444093" w:rsidRPr="004760F1" w:rsidRDefault="00444093" w:rsidP="009556D3">
            <w:pPr>
              <w:rPr>
                <w:rFonts w:ascii="Times New Roman" w:hAnsi="Times New Roman" w:cs="Times New Roman"/>
              </w:rPr>
            </w:pPr>
          </w:p>
        </w:tc>
        <w:tc>
          <w:tcPr>
            <w:tcW w:w="2120" w:type="dxa"/>
            <w:tcBorders>
              <w:bottom w:val="single" w:sz="0" w:space="0" w:color="000000"/>
            </w:tcBorders>
          </w:tcPr>
          <w:p w14:paraId="48009AB5"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After 201706</w:t>
            </w:r>
          </w:p>
          <w:p w14:paraId="5A3BE3F3" w14:textId="72ABE2CD" w:rsidR="00444093" w:rsidRPr="004760F1" w:rsidRDefault="002A2DB7" w:rsidP="009556D3">
            <w:pPr>
              <w:jc w:val="center"/>
              <w:rPr>
                <w:rFonts w:ascii="Times New Roman" w:hAnsi="Times New Roman" w:cs="Times New Roman"/>
              </w:rPr>
            </w:pPr>
            <w:r w:rsidRPr="004760F1">
              <w:rPr>
                <w:rFonts w:ascii="Times New Roman" w:hAnsi="Times New Roman" w:cs="Times New Roman"/>
              </w:rPr>
              <w:t>First Announcement</w:t>
            </w:r>
          </w:p>
        </w:tc>
        <w:tc>
          <w:tcPr>
            <w:tcW w:w="2200" w:type="dxa"/>
            <w:tcBorders>
              <w:bottom w:val="single" w:sz="0" w:space="0" w:color="000000"/>
            </w:tcBorders>
          </w:tcPr>
          <w:p w14:paraId="46A4C515" w14:textId="77777777" w:rsidR="00444093" w:rsidRPr="004760F1" w:rsidRDefault="00444093" w:rsidP="009556D3">
            <w:pPr>
              <w:jc w:val="center"/>
              <w:rPr>
                <w:rFonts w:ascii="Times New Roman" w:hAnsi="Times New Roman" w:cs="Times New Roman"/>
                <w:lang w:eastAsia="zh-CN"/>
              </w:rPr>
            </w:pPr>
            <w:r w:rsidRPr="004760F1">
              <w:rPr>
                <w:rFonts w:ascii="Times New Roman" w:hAnsi="Times New Roman" w:cs="Times New Roman"/>
                <w:lang w:eastAsia="zh-CN"/>
              </w:rPr>
              <w:t>After 201806</w:t>
            </w:r>
          </w:p>
          <w:p w14:paraId="3A298E5F" w14:textId="5AD6DBAE" w:rsidR="00444093" w:rsidRPr="004760F1" w:rsidRDefault="002A2DB7" w:rsidP="009556D3">
            <w:pPr>
              <w:jc w:val="center"/>
              <w:rPr>
                <w:rFonts w:ascii="Times New Roman" w:hAnsi="Times New Roman" w:cs="Times New Roman"/>
                <w:lang w:eastAsia="zh-CN"/>
              </w:rPr>
            </w:pPr>
            <w:r w:rsidRPr="004760F1">
              <w:rPr>
                <w:rFonts w:ascii="Times New Roman" w:hAnsi="Times New Roman" w:cs="Times New Roman"/>
                <w:lang w:eastAsia="zh-CN"/>
              </w:rPr>
              <w:t>First Implementation</w:t>
            </w:r>
          </w:p>
        </w:tc>
        <w:tc>
          <w:tcPr>
            <w:tcW w:w="2013" w:type="dxa"/>
            <w:tcBorders>
              <w:bottom w:val="single" w:sz="0" w:space="0" w:color="000000"/>
            </w:tcBorders>
          </w:tcPr>
          <w:p w14:paraId="6747A0E2" w14:textId="77777777" w:rsidR="00444093" w:rsidRPr="004760F1" w:rsidRDefault="00444093" w:rsidP="009556D3">
            <w:pPr>
              <w:jc w:val="center"/>
              <w:rPr>
                <w:rFonts w:ascii="Times New Roman" w:hAnsi="Times New Roman" w:cs="Times New Roman"/>
                <w:lang w:eastAsia="zh-CN"/>
              </w:rPr>
            </w:pPr>
            <w:r w:rsidRPr="004760F1">
              <w:rPr>
                <w:rFonts w:ascii="Times New Roman" w:hAnsi="Times New Roman" w:cs="Times New Roman"/>
                <w:lang w:eastAsia="zh-CN"/>
              </w:rPr>
              <w:t>After 201701</w:t>
            </w:r>
          </w:p>
          <w:p w14:paraId="41F3FE27" w14:textId="45F0D43C" w:rsidR="00444093" w:rsidRPr="004760F1" w:rsidRDefault="002A2DB7" w:rsidP="009556D3">
            <w:pPr>
              <w:jc w:val="center"/>
              <w:rPr>
                <w:rFonts w:ascii="Times New Roman" w:hAnsi="Times New Roman" w:cs="Times New Roman"/>
                <w:lang w:eastAsia="zh-CN"/>
              </w:rPr>
            </w:pPr>
            <w:r w:rsidRPr="004760F1">
              <w:rPr>
                <w:rFonts w:ascii="Times New Roman" w:hAnsi="Times New Roman" w:cs="Times New Roman"/>
                <w:lang w:eastAsia="zh-CN"/>
              </w:rPr>
              <w:t>No Inclusion info.</w:t>
            </w:r>
          </w:p>
        </w:tc>
      </w:tr>
      <w:tr w:rsidR="00444093" w:rsidRPr="004760F1" w14:paraId="2BA59D6D" w14:textId="77777777" w:rsidTr="009556D3">
        <w:tc>
          <w:tcPr>
            <w:tcW w:w="1989" w:type="dxa"/>
          </w:tcPr>
          <w:p w14:paraId="26CBFA56" w14:textId="77777777" w:rsidR="00444093" w:rsidRPr="004760F1" w:rsidRDefault="00444093" w:rsidP="009556D3">
            <w:pPr>
              <w:rPr>
                <w:rFonts w:ascii="Times New Roman" w:hAnsi="Times New Roman" w:cs="Times New Roman"/>
              </w:rPr>
            </w:pPr>
            <w:r w:rsidRPr="004760F1">
              <w:rPr>
                <w:rFonts w:ascii="Times New Roman" w:hAnsi="Times New Roman" w:cs="Times New Roman"/>
              </w:rPr>
              <w:t>M1A2</w:t>
            </w:r>
          </w:p>
        </w:tc>
        <w:tc>
          <w:tcPr>
            <w:tcW w:w="2120" w:type="dxa"/>
          </w:tcPr>
          <w:p w14:paraId="7A4F82B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-0.002*</w:t>
            </w:r>
          </w:p>
        </w:tc>
        <w:tc>
          <w:tcPr>
            <w:tcW w:w="2200" w:type="dxa"/>
          </w:tcPr>
          <w:p w14:paraId="57569FA3" w14:textId="77777777" w:rsidR="00444093" w:rsidRPr="004760F1" w:rsidRDefault="00444093" w:rsidP="009556D3">
            <w:pPr>
              <w:jc w:val="center"/>
              <w:rPr>
                <w:rFonts w:ascii="Times New Roman" w:hAnsi="Times New Roman" w:cs="Times New Roman"/>
              </w:rPr>
            </w:pPr>
          </w:p>
        </w:tc>
        <w:tc>
          <w:tcPr>
            <w:tcW w:w="2013" w:type="dxa"/>
          </w:tcPr>
          <w:p w14:paraId="3137257B" w14:textId="77777777" w:rsidR="00444093" w:rsidRPr="004760F1" w:rsidRDefault="00444093" w:rsidP="009556D3">
            <w:pPr>
              <w:jc w:val="center"/>
              <w:rPr>
                <w:rFonts w:ascii="Times New Roman" w:hAnsi="Times New Roman" w:cs="Times New Roman"/>
              </w:rPr>
            </w:pPr>
          </w:p>
        </w:tc>
      </w:tr>
      <w:tr w:rsidR="00444093" w:rsidRPr="004760F1" w14:paraId="0B51FC05" w14:textId="77777777" w:rsidTr="009556D3">
        <w:tc>
          <w:tcPr>
            <w:tcW w:w="1989" w:type="dxa"/>
          </w:tcPr>
          <w:p w14:paraId="0B952BDA" w14:textId="77777777" w:rsidR="00444093" w:rsidRPr="004760F1" w:rsidRDefault="00444093" w:rsidP="009556D3">
            <w:pPr>
              <w:rPr>
                <w:rFonts w:ascii="Times New Roman" w:hAnsi="Times New Roman" w:cs="Times New Roman"/>
              </w:rPr>
            </w:pPr>
          </w:p>
        </w:tc>
        <w:tc>
          <w:tcPr>
            <w:tcW w:w="2120" w:type="dxa"/>
          </w:tcPr>
          <w:p w14:paraId="74C00815"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(-1.651)</w:t>
            </w:r>
          </w:p>
        </w:tc>
        <w:tc>
          <w:tcPr>
            <w:tcW w:w="2200" w:type="dxa"/>
          </w:tcPr>
          <w:p w14:paraId="06030F2F" w14:textId="77777777" w:rsidR="00444093" w:rsidRPr="004760F1" w:rsidRDefault="00444093" w:rsidP="009556D3">
            <w:pPr>
              <w:jc w:val="center"/>
              <w:rPr>
                <w:rFonts w:ascii="Times New Roman" w:hAnsi="Times New Roman" w:cs="Times New Roman"/>
              </w:rPr>
            </w:pPr>
          </w:p>
        </w:tc>
        <w:tc>
          <w:tcPr>
            <w:tcW w:w="2013" w:type="dxa"/>
          </w:tcPr>
          <w:p w14:paraId="3E6A33CC" w14:textId="77777777" w:rsidR="00444093" w:rsidRPr="004760F1" w:rsidRDefault="00444093" w:rsidP="009556D3">
            <w:pPr>
              <w:jc w:val="center"/>
              <w:rPr>
                <w:rFonts w:ascii="Times New Roman" w:hAnsi="Times New Roman" w:cs="Times New Roman"/>
              </w:rPr>
            </w:pPr>
          </w:p>
        </w:tc>
      </w:tr>
      <w:tr w:rsidR="00444093" w:rsidRPr="004760F1" w14:paraId="1323F3A7" w14:textId="77777777" w:rsidTr="009556D3">
        <w:tc>
          <w:tcPr>
            <w:tcW w:w="1989" w:type="dxa"/>
          </w:tcPr>
          <w:p w14:paraId="633DF64D" w14:textId="77777777" w:rsidR="00444093" w:rsidRPr="004760F1" w:rsidRDefault="00444093" w:rsidP="009556D3">
            <w:pPr>
              <w:rPr>
                <w:rFonts w:ascii="Times New Roman" w:hAnsi="Times New Roman" w:cs="Times New Roman"/>
              </w:rPr>
            </w:pPr>
            <w:r w:rsidRPr="004760F1">
              <w:rPr>
                <w:rFonts w:ascii="Times New Roman" w:hAnsi="Times New Roman" w:cs="Times New Roman"/>
              </w:rPr>
              <w:t>M1A4</w:t>
            </w:r>
          </w:p>
        </w:tc>
        <w:tc>
          <w:tcPr>
            <w:tcW w:w="2120" w:type="dxa"/>
          </w:tcPr>
          <w:p w14:paraId="5B1EC170" w14:textId="77777777" w:rsidR="00444093" w:rsidRPr="004760F1" w:rsidRDefault="00444093" w:rsidP="009556D3">
            <w:pPr>
              <w:jc w:val="center"/>
              <w:rPr>
                <w:rFonts w:ascii="Times New Roman" w:hAnsi="Times New Roman" w:cs="Times New Roman"/>
              </w:rPr>
            </w:pPr>
          </w:p>
        </w:tc>
        <w:tc>
          <w:tcPr>
            <w:tcW w:w="2200" w:type="dxa"/>
          </w:tcPr>
          <w:p w14:paraId="45EFBAE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-0.010***</w:t>
            </w:r>
          </w:p>
        </w:tc>
        <w:tc>
          <w:tcPr>
            <w:tcW w:w="2013" w:type="dxa"/>
          </w:tcPr>
          <w:p w14:paraId="18E137BC" w14:textId="77777777" w:rsidR="00444093" w:rsidRPr="004760F1" w:rsidRDefault="00444093" w:rsidP="009556D3">
            <w:pPr>
              <w:jc w:val="center"/>
              <w:rPr>
                <w:rFonts w:ascii="Times New Roman" w:hAnsi="Times New Roman" w:cs="Times New Roman"/>
              </w:rPr>
            </w:pPr>
          </w:p>
        </w:tc>
      </w:tr>
      <w:tr w:rsidR="00444093" w:rsidRPr="004760F1" w14:paraId="4769AB3F" w14:textId="77777777" w:rsidTr="009556D3">
        <w:tc>
          <w:tcPr>
            <w:tcW w:w="1989" w:type="dxa"/>
          </w:tcPr>
          <w:p w14:paraId="654704AA" w14:textId="77777777" w:rsidR="00444093" w:rsidRPr="004760F1" w:rsidRDefault="00444093" w:rsidP="009556D3">
            <w:pPr>
              <w:rPr>
                <w:rFonts w:ascii="Times New Roman" w:hAnsi="Times New Roman" w:cs="Times New Roman"/>
              </w:rPr>
            </w:pPr>
          </w:p>
        </w:tc>
        <w:tc>
          <w:tcPr>
            <w:tcW w:w="2120" w:type="dxa"/>
          </w:tcPr>
          <w:p w14:paraId="708AD408" w14:textId="77777777" w:rsidR="00444093" w:rsidRPr="004760F1" w:rsidRDefault="00444093" w:rsidP="009556D3">
            <w:pPr>
              <w:jc w:val="center"/>
              <w:rPr>
                <w:rFonts w:ascii="Times New Roman" w:hAnsi="Times New Roman" w:cs="Times New Roman"/>
              </w:rPr>
            </w:pPr>
          </w:p>
        </w:tc>
        <w:tc>
          <w:tcPr>
            <w:tcW w:w="2200" w:type="dxa"/>
          </w:tcPr>
          <w:p w14:paraId="18F534CA"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(-7.718)</w:t>
            </w:r>
          </w:p>
        </w:tc>
        <w:tc>
          <w:tcPr>
            <w:tcW w:w="2013" w:type="dxa"/>
          </w:tcPr>
          <w:p w14:paraId="11F6E2DB" w14:textId="77777777" w:rsidR="00444093" w:rsidRPr="004760F1" w:rsidRDefault="00444093" w:rsidP="009556D3">
            <w:pPr>
              <w:jc w:val="center"/>
              <w:rPr>
                <w:rFonts w:ascii="Times New Roman" w:hAnsi="Times New Roman" w:cs="Times New Roman"/>
              </w:rPr>
            </w:pPr>
          </w:p>
        </w:tc>
      </w:tr>
      <w:tr w:rsidR="00444093" w:rsidRPr="004760F1" w14:paraId="052C45F6" w14:textId="77777777" w:rsidTr="009556D3">
        <w:tc>
          <w:tcPr>
            <w:tcW w:w="1989" w:type="dxa"/>
          </w:tcPr>
          <w:p w14:paraId="3BDB78DD" w14:textId="77777777" w:rsidR="00444093" w:rsidRPr="004760F1" w:rsidRDefault="00444093" w:rsidP="009556D3">
            <w:pPr>
              <w:rPr>
                <w:rFonts w:ascii="Times New Roman" w:hAnsi="Times New Roman" w:cs="Times New Roman"/>
              </w:rPr>
            </w:pPr>
            <w:r w:rsidRPr="004760F1">
              <w:rPr>
                <w:rFonts w:ascii="Times New Roman" w:hAnsi="Times New Roman" w:cs="Times New Roman"/>
              </w:rPr>
              <w:t>M1A1</w:t>
            </w:r>
          </w:p>
        </w:tc>
        <w:tc>
          <w:tcPr>
            <w:tcW w:w="2120" w:type="dxa"/>
          </w:tcPr>
          <w:p w14:paraId="6DB87C1E" w14:textId="77777777" w:rsidR="00444093" w:rsidRPr="004760F1" w:rsidRDefault="00444093" w:rsidP="009556D3">
            <w:pPr>
              <w:jc w:val="center"/>
              <w:rPr>
                <w:rFonts w:ascii="Times New Roman" w:hAnsi="Times New Roman" w:cs="Times New Roman"/>
              </w:rPr>
            </w:pPr>
          </w:p>
        </w:tc>
        <w:tc>
          <w:tcPr>
            <w:tcW w:w="2200" w:type="dxa"/>
          </w:tcPr>
          <w:p w14:paraId="597E6FD3" w14:textId="77777777" w:rsidR="00444093" w:rsidRPr="004760F1" w:rsidRDefault="00444093" w:rsidP="009556D3">
            <w:pPr>
              <w:jc w:val="center"/>
              <w:rPr>
                <w:rFonts w:ascii="Times New Roman" w:hAnsi="Times New Roman" w:cs="Times New Roman"/>
              </w:rPr>
            </w:pPr>
          </w:p>
        </w:tc>
        <w:tc>
          <w:tcPr>
            <w:tcW w:w="2013" w:type="dxa"/>
          </w:tcPr>
          <w:p w14:paraId="6294E544"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0.000</w:t>
            </w:r>
          </w:p>
        </w:tc>
      </w:tr>
      <w:tr w:rsidR="00444093" w:rsidRPr="004760F1" w14:paraId="36097CAF" w14:textId="77777777" w:rsidTr="009556D3">
        <w:tc>
          <w:tcPr>
            <w:tcW w:w="1989" w:type="dxa"/>
          </w:tcPr>
          <w:p w14:paraId="0E84A332" w14:textId="77777777" w:rsidR="00444093" w:rsidRPr="004760F1" w:rsidRDefault="00444093" w:rsidP="009556D3">
            <w:pPr>
              <w:rPr>
                <w:rFonts w:ascii="Times New Roman" w:hAnsi="Times New Roman" w:cs="Times New Roman"/>
              </w:rPr>
            </w:pPr>
          </w:p>
        </w:tc>
        <w:tc>
          <w:tcPr>
            <w:tcW w:w="2120" w:type="dxa"/>
          </w:tcPr>
          <w:p w14:paraId="11756AD1" w14:textId="77777777" w:rsidR="00444093" w:rsidRPr="004760F1" w:rsidRDefault="00444093" w:rsidP="009556D3">
            <w:pPr>
              <w:jc w:val="center"/>
              <w:rPr>
                <w:rFonts w:ascii="Times New Roman" w:hAnsi="Times New Roman" w:cs="Times New Roman"/>
              </w:rPr>
            </w:pPr>
          </w:p>
        </w:tc>
        <w:tc>
          <w:tcPr>
            <w:tcW w:w="2200" w:type="dxa"/>
          </w:tcPr>
          <w:p w14:paraId="608F897F" w14:textId="77777777" w:rsidR="00444093" w:rsidRPr="004760F1" w:rsidRDefault="00444093" w:rsidP="009556D3">
            <w:pPr>
              <w:jc w:val="center"/>
              <w:rPr>
                <w:rFonts w:ascii="Times New Roman" w:hAnsi="Times New Roman" w:cs="Times New Roman"/>
              </w:rPr>
            </w:pPr>
          </w:p>
        </w:tc>
        <w:tc>
          <w:tcPr>
            <w:tcW w:w="2013" w:type="dxa"/>
          </w:tcPr>
          <w:p w14:paraId="7D9AC87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(0.380)</w:t>
            </w:r>
          </w:p>
        </w:tc>
      </w:tr>
      <w:tr w:rsidR="00444093" w:rsidRPr="004760F1" w14:paraId="7F56D311" w14:textId="77777777" w:rsidTr="009556D3">
        <w:tc>
          <w:tcPr>
            <w:tcW w:w="1989" w:type="dxa"/>
          </w:tcPr>
          <w:p w14:paraId="25011E5E" w14:textId="77777777" w:rsidR="00444093" w:rsidRPr="004760F1" w:rsidRDefault="00444093" w:rsidP="009556D3">
            <w:pPr>
              <w:rPr>
                <w:rFonts w:ascii="Times New Roman" w:hAnsi="Times New Roman" w:cs="Times New Roman"/>
              </w:rPr>
            </w:pPr>
            <w:r w:rsidRPr="004760F1">
              <w:rPr>
                <w:rFonts w:ascii="Times New Roman" w:hAnsi="Times New Roman" w:cs="Times New Roman"/>
              </w:rPr>
              <w:t>After2</w:t>
            </w:r>
          </w:p>
        </w:tc>
        <w:tc>
          <w:tcPr>
            <w:tcW w:w="2120" w:type="dxa"/>
          </w:tcPr>
          <w:p w14:paraId="36F6B8FE"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0.010***</w:t>
            </w:r>
          </w:p>
        </w:tc>
        <w:tc>
          <w:tcPr>
            <w:tcW w:w="2200" w:type="dxa"/>
          </w:tcPr>
          <w:p w14:paraId="3223AEA2" w14:textId="77777777" w:rsidR="00444093" w:rsidRPr="004760F1" w:rsidRDefault="00444093" w:rsidP="009556D3">
            <w:pPr>
              <w:jc w:val="center"/>
              <w:rPr>
                <w:rFonts w:ascii="Times New Roman" w:hAnsi="Times New Roman" w:cs="Times New Roman"/>
              </w:rPr>
            </w:pPr>
          </w:p>
        </w:tc>
        <w:tc>
          <w:tcPr>
            <w:tcW w:w="2013" w:type="dxa"/>
          </w:tcPr>
          <w:p w14:paraId="1DEF45D6" w14:textId="77777777" w:rsidR="00444093" w:rsidRPr="004760F1" w:rsidRDefault="00444093" w:rsidP="009556D3">
            <w:pPr>
              <w:jc w:val="center"/>
              <w:rPr>
                <w:rFonts w:ascii="Times New Roman" w:hAnsi="Times New Roman" w:cs="Times New Roman"/>
              </w:rPr>
            </w:pPr>
          </w:p>
        </w:tc>
      </w:tr>
      <w:tr w:rsidR="00444093" w:rsidRPr="004760F1" w14:paraId="775A6CC6" w14:textId="77777777" w:rsidTr="009556D3">
        <w:tc>
          <w:tcPr>
            <w:tcW w:w="1989" w:type="dxa"/>
          </w:tcPr>
          <w:p w14:paraId="40EC3973" w14:textId="77777777" w:rsidR="00444093" w:rsidRPr="004760F1" w:rsidRDefault="00444093" w:rsidP="009556D3">
            <w:pPr>
              <w:rPr>
                <w:rFonts w:ascii="Times New Roman" w:hAnsi="Times New Roman" w:cs="Times New Roman"/>
              </w:rPr>
            </w:pPr>
          </w:p>
        </w:tc>
        <w:tc>
          <w:tcPr>
            <w:tcW w:w="2120" w:type="dxa"/>
          </w:tcPr>
          <w:p w14:paraId="4164B76F"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(12.552)</w:t>
            </w:r>
          </w:p>
        </w:tc>
        <w:tc>
          <w:tcPr>
            <w:tcW w:w="2200" w:type="dxa"/>
          </w:tcPr>
          <w:p w14:paraId="4FDE022D" w14:textId="77777777" w:rsidR="00444093" w:rsidRPr="004760F1" w:rsidRDefault="00444093" w:rsidP="009556D3">
            <w:pPr>
              <w:jc w:val="center"/>
              <w:rPr>
                <w:rFonts w:ascii="Times New Roman" w:hAnsi="Times New Roman" w:cs="Times New Roman"/>
              </w:rPr>
            </w:pPr>
          </w:p>
        </w:tc>
        <w:tc>
          <w:tcPr>
            <w:tcW w:w="2013" w:type="dxa"/>
          </w:tcPr>
          <w:p w14:paraId="130664EC" w14:textId="77777777" w:rsidR="00444093" w:rsidRPr="004760F1" w:rsidRDefault="00444093" w:rsidP="009556D3">
            <w:pPr>
              <w:jc w:val="center"/>
              <w:rPr>
                <w:rFonts w:ascii="Times New Roman" w:hAnsi="Times New Roman" w:cs="Times New Roman"/>
              </w:rPr>
            </w:pPr>
          </w:p>
        </w:tc>
      </w:tr>
      <w:tr w:rsidR="00444093" w:rsidRPr="004760F1" w14:paraId="52B805C0" w14:textId="77777777" w:rsidTr="009556D3">
        <w:tc>
          <w:tcPr>
            <w:tcW w:w="1989" w:type="dxa"/>
          </w:tcPr>
          <w:p w14:paraId="630BED3A" w14:textId="77777777" w:rsidR="00444093" w:rsidRPr="004760F1" w:rsidRDefault="00444093" w:rsidP="009556D3">
            <w:pPr>
              <w:rPr>
                <w:rFonts w:ascii="Times New Roman" w:hAnsi="Times New Roman" w:cs="Times New Roman"/>
              </w:rPr>
            </w:pPr>
            <w:r w:rsidRPr="004760F1">
              <w:rPr>
                <w:rFonts w:ascii="Times New Roman" w:hAnsi="Times New Roman" w:cs="Times New Roman"/>
              </w:rPr>
              <w:t>After4</w:t>
            </w:r>
          </w:p>
        </w:tc>
        <w:tc>
          <w:tcPr>
            <w:tcW w:w="2120" w:type="dxa"/>
          </w:tcPr>
          <w:p w14:paraId="5B98A94E" w14:textId="77777777" w:rsidR="00444093" w:rsidRPr="004760F1" w:rsidRDefault="00444093" w:rsidP="009556D3">
            <w:pPr>
              <w:jc w:val="center"/>
              <w:rPr>
                <w:rFonts w:ascii="Times New Roman" w:hAnsi="Times New Roman" w:cs="Times New Roman"/>
              </w:rPr>
            </w:pPr>
          </w:p>
        </w:tc>
        <w:tc>
          <w:tcPr>
            <w:tcW w:w="2200" w:type="dxa"/>
          </w:tcPr>
          <w:p w14:paraId="0AA3EA0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0.052</w:t>
            </w:r>
          </w:p>
        </w:tc>
        <w:tc>
          <w:tcPr>
            <w:tcW w:w="2013" w:type="dxa"/>
          </w:tcPr>
          <w:p w14:paraId="4D550BF1" w14:textId="77777777" w:rsidR="00444093" w:rsidRPr="004760F1" w:rsidRDefault="00444093" w:rsidP="009556D3">
            <w:pPr>
              <w:jc w:val="center"/>
              <w:rPr>
                <w:rFonts w:ascii="Times New Roman" w:hAnsi="Times New Roman" w:cs="Times New Roman"/>
              </w:rPr>
            </w:pPr>
          </w:p>
        </w:tc>
      </w:tr>
      <w:tr w:rsidR="00444093" w:rsidRPr="004760F1" w14:paraId="3D04E72F" w14:textId="77777777" w:rsidTr="009556D3">
        <w:tc>
          <w:tcPr>
            <w:tcW w:w="1989" w:type="dxa"/>
          </w:tcPr>
          <w:p w14:paraId="78C1717C" w14:textId="77777777" w:rsidR="00444093" w:rsidRPr="004760F1" w:rsidRDefault="00444093" w:rsidP="009556D3">
            <w:pPr>
              <w:rPr>
                <w:rFonts w:ascii="Times New Roman" w:hAnsi="Times New Roman" w:cs="Times New Roman"/>
              </w:rPr>
            </w:pPr>
          </w:p>
        </w:tc>
        <w:tc>
          <w:tcPr>
            <w:tcW w:w="2120" w:type="dxa"/>
          </w:tcPr>
          <w:p w14:paraId="302BA0FA" w14:textId="77777777" w:rsidR="00444093" w:rsidRPr="004760F1" w:rsidRDefault="00444093" w:rsidP="009556D3">
            <w:pPr>
              <w:jc w:val="center"/>
              <w:rPr>
                <w:rFonts w:ascii="Times New Roman" w:hAnsi="Times New Roman" w:cs="Times New Roman"/>
              </w:rPr>
            </w:pPr>
          </w:p>
        </w:tc>
        <w:tc>
          <w:tcPr>
            <w:tcW w:w="2200" w:type="dxa"/>
          </w:tcPr>
          <w:p w14:paraId="14CB6546"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(67.865)</w:t>
            </w:r>
          </w:p>
        </w:tc>
        <w:tc>
          <w:tcPr>
            <w:tcW w:w="2013" w:type="dxa"/>
          </w:tcPr>
          <w:p w14:paraId="59F8E8B9" w14:textId="77777777" w:rsidR="00444093" w:rsidRPr="004760F1" w:rsidRDefault="00444093" w:rsidP="009556D3">
            <w:pPr>
              <w:jc w:val="center"/>
              <w:rPr>
                <w:rFonts w:ascii="Times New Roman" w:hAnsi="Times New Roman" w:cs="Times New Roman"/>
              </w:rPr>
            </w:pPr>
          </w:p>
        </w:tc>
      </w:tr>
      <w:tr w:rsidR="00444093" w:rsidRPr="004760F1" w14:paraId="2CBDCD21" w14:textId="77777777" w:rsidTr="009556D3">
        <w:tc>
          <w:tcPr>
            <w:tcW w:w="1989" w:type="dxa"/>
          </w:tcPr>
          <w:p w14:paraId="0025D816" w14:textId="77777777" w:rsidR="00444093" w:rsidRPr="004760F1" w:rsidRDefault="00444093" w:rsidP="009556D3">
            <w:pPr>
              <w:rPr>
                <w:rFonts w:ascii="Times New Roman" w:hAnsi="Times New Roman" w:cs="Times New Roman"/>
              </w:rPr>
            </w:pPr>
            <w:r w:rsidRPr="004760F1">
              <w:rPr>
                <w:rFonts w:ascii="Times New Roman" w:hAnsi="Times New Roman" w:cs="Times New Roman"/>
              </w:rPr>
              <w:t>After1</w:t>
            </w:r>
          </w:p>
        </w:tc>
        <w:tc>
          <w:tcPr>
            <w:tcW w:w="2120" w:type="dxa"/>
          </w:tcPr>
          <w:p w14:paraId="46DF6795" w14:textId="77777777" w:rsidR="00444093" w:rsidRPr="004760F1" w:rsidRDefault="00444093" w:rsidP="009556D3">
            <w:pPr>
              <w:jc w:val="center"/>
              <w:rPr>
                <w:rFonts w:ascii="Times New Roman" w:hAnsi="Times New Roman" w:cs="Times New Roman"/>
              </w:rPr>
            </w:pPr>
          </w:p>
        </w:tc>
        <w:tc>
          <w:tcPr>
            <w:tcW w:w="2200" w:type="dxa"/>
          </w:tcPr>
          <w:p w14:paraId="0395A3B0" w14:textId="77777777" w:rsidR="00444093" w:rsidRPr="004760F1" w:rsidRDefault="00444093" w:rsidP="009556D3">
            <w:pPr>
              <w:jc w:val="center"/>
              <w:rPr>
                <w:rFonts w:ascii="Times New Roman" w:hAnsi="Times New Roman" w:cs="Times New Roman"/>
              </w:rPr>
            </w:pPr>
          </w:p>
        </w:tc>
        <w:tc>
          <w:tcPr>
            <w:tcW w:w="2013" w:type="dxa"/>
          </w:tcPr>
          <w:p w14:paraId="1EB54FA9"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-0.067</w:t>
            </w:r>
          </w:p>
        </w:tc>
      </w:tr>
      <w:tr w:rsidR="00444093" w:rsidRPr="004760F1" w14:paraId="40BBF769" w14:textId="77777777" w:rsidTr="009556D3">
        <w:tc>
          <w:tcPr>
            <w:tcW w:w="1989" w:type="dxa"/>
          </w:tcPr>
          <w:p w14:paraId="08733073" w14:textId="77777777" w:rsidR="00444093" w:rsidRPr="004760F1" w:rsidRDefault="00444093" w:rsidP="009556D3">
            <w:pPr>
              <w:rPr>
                <w:rFonts w:ascii="Times New Roman" w:hAnsi="Times New Roman" w:cs="Times New Roman"/>
              </w:rPr>
            </w:pPr>
          </w:p>
        </w:tc>
        <w:tc>
          <w:tcPr>
            <w:tcW w:w="2120" w:type="dxa"/>
          </w:tcPr>
          <w:p w14:paraId="46166DDD" w14:textId="77777777" w:rsidR="00444093" w:rsidRPr="004760F1" w:rsidRDefault="00444093" w:rsidP="009556D3">
            <w:pPr>
              <w:jc w:val="center"/>
              <w:rPr>
                <w:rFonts w:ascii="Times New Roman" w:hAnsi="Times New Roman" w:cs="Times New Roman"/>
              </w:rPr>
            </w:pPr>
          </w:p>
        </w:tc>
        <w:tc>
          <w:tcPr>
            <w:tcW w:w="2200" w:type="dxa"/>
          </w:tcPr>
          <w:p w14:paraId="65819911" w14:textId="77777777" w:rsidR="00444093" w:rsidRPr="004760F1" w:rsidRDefault="00444093" w:rsidP="009556D3">
            <w:pPr>
              <w:jc w:val="center"/>
              <w:rPr>
                <w:rFonts w:ascii="Times New Roman" w:hAnsi="Times New Roman" w:cs="Times New Roman"/>
              </w:rPr>
            </w:pPr>
          </w:p>
        </w:tc>
        <w:tc>
          <w:tcPr>
            <w:tcW w:w="2013" w:type="dxa"/>
          </w:tcPr>
          <w:p w14:paraId="37D9FC9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(-75.859)</w:t>
            </w:r>
          </w:p>
        </w:tc>
      </w:tr>
      <w:tr w:rsidR="00444093" w:rsidRPr="004760F1" w14:paraId="6DD78EE1" w14:textId="77777777" w:rsidTr="009556D3">
        <w:tc>
          <w:tcPr>
            <w:tcW w:w="1989" w:type="dxa"/>
          </w:tcPr>
          <w:p w14:paraId="060F46B9"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PE_ratio</w:t>
            </w:r>
            <w:proofErr w:type="spellEnd"/>
          </w:p>
        </w:tc>
        <w:tc>
          <w:tcPr>
            <w:tcW w:w="2120" w:type="dxa"/>
          </w:tcPr>
          <w:p w14:paraId="1318D6F0"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0.000***</w:t>
            </w:r>
          </w:p>
        </w:tc>
        <w:tc>
          <w:tcPr>
            <w:tcW w:w="2200" w:type="dxa"/>
          </w:tcPr>
          <w:p w14:paraId="3AFA83B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0.000***</w:t>
            </w:r>
          </w:p>
        </w:tc>
        <w:tc>
          <w:tcPr>
            <w:tcW w:w="2013" w:type="dxa"/>
          </w:tcPr>
          <w:p w14:paraId="379BC4BE"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0.000***</w:t>
            </w:r>
          </w:p>
        </w:tc>
      </w:tr>
      <w:tr w:rsidR="00444093" w:rsidRPr="004760F1" w14:paraId="63E62F01" w14:textId="77777777" w:rsidTr="009556D3">
        <w:tc>
          <w:tcPr>
            <w:tcW w:w="1989" w:type="dxa"/>
          </w:tcPr>
          <w:p w14:paraId="01913020" w14:textId="77777777" w:rsidR="00444093" w:rsidRPr="004760F1" w:rsidRDefault="00444093" w:rsidP="009556D3">
            <w:pPr>
              <w:rPr>
                <w:rFonts w:ascii="Times New Roman" w:hAnsi="Times New Roman" w:cs="Times New Roman"/>
              </w:rPr>
            </w:pPr>
          </w:p>
        </w:tc>
        <w:tc>
          <w:tcPr>
            <w:tcW w:w="2120" w:type="dxa"/>
          </w:tcPr>
          <w:p w14:paraId="39EFDBC5"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(27.251)</w:t>
            </w:r>
          </w:p>
        </w:tc>
        <w:tc>
          <w:tcPr>
            <w:tcW w:w="2200" w:type="dxa"/>
          </w:tcPr>
          <w:p w14:paraId="41CEEB7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(33.067)</w:t>
            </w:r>
          </w:p>
        </w:tc>
        <w:tc>
          <w:tcPr>
            <w:tcW w:w="2013" w:type="dxa"/>
          </w:tcPr>
          <w:p w14:paraId="3A2CCDF6"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(21.225)</w:t>
            </w:r>
          </w:p>
        </w:tc>
      </w:tr>
      <w:tr w:rsidR="00444093" w:rsidRPr="004760F1" w14:paraId="177F5392" w14:textId="77777777" w:rsidTr="009556D3">
        <w:tc>
          <w:tcPr>
            <w:tcW w:w="1989" w:type="dxa"/>
          </w:tcPr>
          <w:p w14:paraId="10A63500"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PB_ratio</w:t>
            </w:r>
            <w:proofErr w:type="spellEnd"/>
          </w:p>
        </w:tc>
        <w:tc>
          <w:tcPr>
            <w:tcW w:w="2120" w:type="dxa"/>
          </w:tcPr>
          <w:p w14:paraId="534BE93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0.015</w:t>
            </w:r>
          </w:p>
        </w:tc>
        <w:tc>
          <w:tcPr>
            <w:tcW w:w="2200" w:type="dxa"/>
          </w:tcPr>
          <w:p w14:paraId="223F9165"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0.016</w:t>
            </w:r>
          </w:p>
        </w:tc>
        <w:tc>
          <w:tcPr>
            <w:tcW w:w="2013" w:type="dxa"/>
          </w:tcPr>
          <w:p w14:paraId="7BB9870F"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0.013</w:t>
            </w:r>
          </w:p>
        </w:tc>
      </w:tr>
      <w:tr w:rsidR="00444093" w:rsidRPr="004760F1" w14:paraId="72565E28" w14:textId="77777777" w:rsidTr="009556D3">
        <w:tc>
          <w:tcPr>
            <w:tcW w:w="1989" w:type="dxa"/>
          </w:tcPr>
          <w:p w14:paraId="0AB5CB1A" w14:textId="77777777" w:rsidR="00444093" w:rsidRPr="004760F1" w:rsidRDefault="00444093" w:rsidP="009556D3">
            <w:pPr>
              <w:rPr>
                <w:rFonts w:ascii="Times New Roman" w:hAnsi="Times New Roman" w:cs="Times New Roman"/>
              </w:rPr>
            </w:pPr>
          </w:p>
        </w:tc>
        <w:tc>
          <w:tcPr>
            <w:tcW w:w="2120" w:type="dxa"/>
          </w:tcPr>
          <w:p w14:paraId="7B3D6DB9"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(80.515)</w:t>
            </w:r>
          </w:p>
        </w:tc>
        <w:tc>
          <w:tcPr>
            <w:tcW w:w="2200" w:type="dxa"/>
          </w:tcPr>
          <w:p w14:paraId="7EA744C5"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(87.755)</w:t>
            </w:r>
          </w:p>
        </w:tc>
        <w:tc>
          <w:tcPr>
            <w:tcW w:w="2013" w:type="dxa"/>
          </w:tcPr>
          <w:p w14:paraId="72062F6D"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(69.577)</w:t>
            </w:r>
          </w:p>
        </w:tc>
      </w:tr>
      <w:tr w:rsidR="00444093" w:rsidRPr="004760F1" w14:paraId="4424DB69" w14:textId="77777777" w:rsidTr="009556D3">
        <w:tc>
          <w:tcPr>
            <w:tcW w:w="1989" w:type="dxa"/>
          </w:tcPr>
          <w:p w14:paraId="76672495"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BM_ratio</w:t>
            </w:r>
            <w:proofErr w:type="spellEnd"/>
          </w:p>
        </w:tc>
        <w:tc>
          <w:tcPr>
            <w:tcW w:w="2120" w:type="dxa"/>
          </w:tcPr>
          <w:p w14:paraId="6DF3524D"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-0.112</w:t>
            </w:r>
          </w:p>
        </w:tc>
        <w:tc>
          <w:tcPr>
            <w:tcW w:w="2200" w:type="dxa"/>
          </w:tcPr>
          <w:p w14:paraId="2AA93CA6"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-0.145</w:t>
            </w:r>
          </w:p>
        </w:tc>
        <w:tc>
          <w:tcPr>
            <w:tcW w:w="2013" w:type="dxa"/>
          </w:tcPr>
          <w:p w14:paraId="39887CB4"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-0.096</w:t>
            </w:r>
          </w:p>
        </w:tc>
      </w:tr>
      <w:tr w:rsidR="00444093" w:rsidRPr="004760F1" w14:paraId="50289E66" w14:textId="77777777" w:rsidTr="009556D3">
        <w:tc>
          <w:tcPr>
            <w:tcW w:w="1989" w:type="dxa"/>
          </w:tcPr>
          <w:p w14:paraId="550212B3" w14:textId="77777777" w:rsidR="00444093" w:rsidRPr="004760F1" w:rsidRDefault="00444093" w:rsidP="009556D3">
            <w:pPr>
              <w:rPr>
                <w:rFonts w:ascii="Times New Roman" w:hAnsi="Times New Roman" w:cs="Times New Roman"/>
              </w:rPr>
            </w:pPr>
          </w:p>
        </w:tc>
        <w:tc>
          <w:tcPr>
            <w:tcW w:w="2120" w:type="dxa"/>
          </w:tcPr>
          <w:p w14:paraId="4B9448C6"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(-55.315)</w:t>
            </w:r>
          </w:p>
        </w:tc>
        <w:tc>
          <w:tcPr>
            <w:tcW w:w="2200" w:type="dxa"/>
          </w:tcPr>
          <w:p w14:paraId="12B8B56A"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(-70.217)</w:t>
            </w:r>
          </w:p>
        </w:tc>
        <w:tc>
          <w:tcPr>
            <w:tcW w:w="2013" w:type="dxa"/>
          </w:tcPr>
          <w:p w14:paraId="5314630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(-48.102)</w:t>
            </w:r>
          </w:p>
        </w:tc>
      </w:tr>
      <w:tr w:rsidR="00444093" w:rsidRPr="004760F1" w14:paraId="38751FB9" w14:textId="77777777" w:rsidTr="009556D3">
        <w:tc>
          <w:tcPr>
            <w:tcW w:w="1989" w:type="dxa"/>
          </w:tcPr>
          <w:p w14:paraId="41517D21"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AnaAttention</w:t>
            </w:r>
            <w:proofErr w:type="spellEnd"/>
          </w:p>
        </w:tc>
        <w:tc>
          <w:tcPr>
            <w:tcW w:w="2120" w:type="dxa"/>
          </w:tcPr>
          <w:p w14:paraId="6E3A3F2A"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-0.001***</w:t>
            </w:r>
          </w:p>
        </w:tc>
        <w:tc>
          <w:tcPr>
            <w:tcW w:w="2200" w:type="dxa"/>
          </w:tcPr>
          <w:p w14:paraId="4B9628D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-0.002</w:t>
            </w:r>
          </w:p>
        </w:tc>
        <w:tc>
          <w:tcPr>
            <w:tcW w:w="2013" w:type="dxa"/>
          </w:tcPr>
          <w:p w14:paraId="5AA9A03D"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-0.001***</w:t>
            </w:r>
          </w:p>
        </w:tc>
      </w:tr>
      <w:tr w:rsidR="00444093" w:rsidRPr="004760F1" w14:paraId="0B2B84F9" w14:textId="77777777" w:rsidTr="009556D3">
        <w:tc>
          <w:tcPr>
            <w:tcW w:w="1989" w:type="dxa"/>
          </w:tcPr>
          <w:p w14:paraId="004ED4B4" w14:textId="77777777" w:rsidR="00444093" w:rsidRPr="004760F1" w:rsidRDefault="00444093" w:rsidP="009556D3">
            <w:pPr>
              <w:rPr>
                <w:rFonts w:ascii="Times New Roman" w:hAnsi="Times New Roman" w:cs="Times New Roman"/>
              </w:rPr>
            </w:pPr>
          </w:p>
        </w:tc>
        <w:tc>
          <w:tcPr>
            <w:tcW w:w="2120" w:type="dxa"/>
          </w:tcPr>
          <w:p w14:paraId="6B429E5B"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(-36.297)</w:t>
            </w:r>
          </w:p>
        </w:tc>
        <w:tc>
          <w:tcPr>
            <w:tcW w:w="2200" w:type="dxa"/>
          </w:tcPr>
          <w:p w14:paraId="75C20643"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(-47.598)</w:t>
            </w:r>
          </w:p>
        </w:tc>
        <w:tc>
          <w:tcPr>
            <w:tcW w:w="2013" w:type="dxa"/>
          </w:tcPr>
          <w:p w14:paraId="2F7734A6"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(-25.350)</w:t>
            </w:r>
          </w:p>
        </w:tc>
      </w:tr>
      <w:tr w:rsidR="00444093" w:rsidRPr="004760F1" w14:paraId="18CEB8B2" w14:textId="77777777" w:rsidTr="009556D3">
        <w:tc>
          <w:tcPr>
            <w:tcW w:w="1989" w:type="dxa"/>
          </w:tcPr>
          <w:p w14:paraId="1F98EE92"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CompanySize_log</w:t>
            </w:r>
            <w:proofErr w:type="spellEnd"/>
          </w:p>
        </w:tc>
        <w:tc>
          <w:tcPr>
            <w:tcW w:w="2120" w:type="dxa"/>
          </w:tcPr>
          <w:p w14:paraId="49050DA9"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0.013***</w:t>
            </w:r>
          </w:p>
        </w:tc>
        <w:tc>
          <w:tcPr>
            <w:tcW w:w="2200" w:type="dxa"/>
          </w:tcPr>
          <w:p w14:paraId="61E9F631"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0.017***</w:t>
            </w:r>
          </w:p>
        </w:tc>
        <w:tc>
          <w:tcPr>
            <w:tcW w:w="2013" w:type="dxa"/>
          </w:tcPr>
          <w:p w14:paraId="6796A1E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0.010***</w:t>
            </w:r>
          </w:p>
        </w:tc>
      </w:tr>
      <w:tr w:rsidR="00444093" w:rsidRPr="004760F1" w14:paraId="3E3774F3" w14:textId="77777777" w:rsidTr="009556D3">
        <w:tc>
          <w:tcPr>
            <w:tcW w:w="1989" w:type="dxa"/>
          </w:tcPr>
          <w:p w14:paraId="4D9055F6" w14:textId="77777777" w:rsidR="00444093" w:rsidRPr="004760F1" w:rsidRDefault="00444093" w:rsidP="009556D3">
            <w:pPr>
              <w:rPr>
                <w:rFonts w:ascii="Times New Roman" w:hAnsi="Times New Roman" w:cs="Times New Roman"/>
              </w:rPr>
            </w:pPr>
          </w:p>
        </w:tc>
        <w:tc>
          <w:tcPr>
            <w:tcW w:w="2120" w:type="dxa"/>
          </w:tcPr>
          <w:p w14:paraId="353E9B4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(20.195)</w:t>
            </w:r>
          </w:p>
        </w:tc>
        <w:tc>
          <w:tcPr>
            <w:tcW w:w="2200" w:type="dxa"/>
          </w:tcPr>
          <w:p w14:paraId="3DD7D5A0"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(26.883)</w:t>
            </w:r>
          </w:p>
        </w:tc>
        <w:tc>
          <w:tcPr>
            <w:tcW w:w="2013" w:type="dxa"/>
          </w:tcPr>
          <w:p w14:paraId="1C2B250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(15.471)</w:t>
            </w:r>
          </w:p>
        </w:tc>
      </w:tr>
      <w:tr w:rsidR="00444093" w:rsidRPr="004760F1" w14:paraId="65696D5B" w14:textId="77777777" w:rsidTr="009556D3">
        <w:tc>
          <w:tcPr>
            <w:tcW w:w="1989" w:type="dxa"/>
          </w:tcPr>
          <w:p w14:paraId="708E6318" w14:textId="77777777" w:rsidR="00444093" w:rsidRPr="004760F1" w:rsidRDefault="00444093" w:rsidP="009556D3">
            <w:pPr>
              <w:rPr>
                <w:rFonts w:ascii="Times New Roman" w:hAnsi="Times New Roman" w:cs="Times New Roman"/>
              </w:rPr>
            </w:pPr>
            <w:r w:rsidRPr="004760F1">
              <w:rPr>
                <w:rFonts w:ascii="Times New Roman" w:hAnsi="Times New Roman" w:cs="Times New Roman"/>
              </w:rPr>
              <w:t>Big4</w:t>
            </w:r>
          </w:p>
        </w:tc>
        <w:tc>
          <w:tcPr>
            <w:tcW w:w="2120" w:type="dxa"/>
          </w:tcPr>
          <w:p w14:paraId="217C813D"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-0.006***</w:t>
            </w:r>
          </w:p>
        </w:tc>
        <w:tc>
          <w:tcPr>
            <w:tcW w:w="2200" w:type="dxa"/>
          </w:tcPr>
          <w:p w14:paraId="4076BBD4"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-0.007***</w:t>
            </w:r>
          </w:p>
        </w:tc>
        <w:tc>
          <w:tcPr>
            <w:tcW w:w="2013" w:type="dxa"/>
          </w:tcPr>
          <w:p w14:paraId="26109679"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-0.005***</w:t>
            </w:r>
          </w:p>
        </w:tc>
      </w:tr>
      <w:tr w:rsidR="00444093" w:rsidRPr="004760F1" w14:paraId="57CC2465" w14:textId="77777777" w:rsidTr="009556D3">
        <w:tc>
          <w:tcPr>
            <w:tcW w:w="1989" w:type="dxa"/>
          </w:tcPr>
          <w:p w14:paraId="18952E41" w14:textId="77777777" w:rsidR="00444093" w:rsidRPr="004760F1" w:rsidRDefault="00444093" w:rsidP="009556D3">
            <w:pPr>
              <w:rPr>
                <w:rFonts w:ascii="Times New Roman" w:hAnsi="Times New Roman" w:cs="Times New Roman"/>
              </w:rPr>
            </w:pPr>
          </w:p>
        </w:tc>
        <w:tc>
          <w:tcPr>
            <w:tcW w:w="2120" w:type="dxa"/>
          </w:tcPr>
          <w:p w14:paraId="2E1C203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(-2.972)</w:t>
            </w:r>
          </w:p>
        </w:tc>
        <w:tc>
          <w:tcPr>
            <w:tcW w:w="2200" w:type="dxa"/>
          </w:tcPr>
          <w:p w14:paraId="080BFAEE"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(-3.518)</w:t>
            </w:r>
          </w:p>
        </w:tc>
        <w:tc>
          <w:tcPr>
            <w:tcW w:w="2013" w:type="dxa"/>
          </w:tcPr>
          <w:p w14:paraId="4EA62AFE"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(-2.638)</w:t>
            </w:r>
          </w:p>
        </w:tc>
      </w:tr>
      <w:tr w:rsidR="00444093" w:rsidRPr="004760F1" w14:paraId="4D572C7D" w14:textId="77777777" w:rsidTr="009556D3">
        <w:tc>
          <w:tcPr>
            <w:tcW w:w="1989" w:type="dxa"/>
          </w:tcPr>
          <w:p w14:paraId="4D9D1387"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Outside_Audit</w:t>
            </w:r>
            <w:proofErr w:type="spellEnd"/>
          </w:p>
        </w:tc>
        <w:tc>
          <w:tcPr>
            <w:tcW w:w="2120" w:type="dxa"/>
          </w:tcPr>
          <w:p w14:paraId="1E02FDE8"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-0.000</w:t>
            </w:r>
          </w:p>
        </w:tc>
        <w:tc>
          <w:tcPr>
            <w:tcW w:w="2200" w:type="dxa"/>
          </w:tcPr>
          <w:p w14:paraId="73D37B4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0.000</w:t>
            </w:r>
          </w:p>
        </w:tc>
        <w:tc>
          <w:tcPr>
            <w:tcW w:w="2013" w:type="dxa"/>
          </w:tcPr>
          <w:p w14:paraId="132D565F"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0.002</w:t>
            </w:r>
          </w:p>
        </w:tc>
      </w:tr>
      <w:tr w:rsidR="00444093" w:rsidRPr="004760F1" w14:paraId="53D01A2C" w14:textId="77777777" w:rsidTr="009556D3">
        <w:tc>
          <w:tcPr>
            <w:tcW w:w="1989" w:type="dxa"/>
          </w:tcPr>
          <w:p w14:paraId="2452972C" w14:textId="77777777" w:rsidR="00444093" w:rsidRPr="004760F1" w:rsidRDefault="00444093" w:rsidP="009556D3">
            <w:pPr>
              <w:rPr>
                <w:rFonts w:ascii="Times New Roman" w:hAnsi="Times New Roman" w:cs="Times New Roman"/>
              </w:rPr>
            </w:pPr>
          </w:p>
        </w:tc>
        <w:tc>
          <w:tcPr>
            <w:tcW w:w="2120" w:type="dxa"/>
          </w:tcPr>
          <w:p w14:paraId="0F7E2BB5"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(-0.025)</w:t>
            </w:r>
          </w:p>
        </w:tc>
        <w:tc>
          <w:tcPr>
            <w:tcW w:w="2200" w:type="dxa"/>
          </w:tcPr>
          <w:p w14:paraId="765F857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(0.123)</w:t>
            </w:r>
          </w:p>
        </w:tc>
        <w:tc>
          <w:tcPr>
            <w:tcW w:w="2013" w:type="dxa"/>
          </w:tcPr>
          <w:p w14:paraId="4990D1DE"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(0.894)</w:t>
            </w:r>
          </w:p>
        </w:tc>
      </w:tr>
      <w:tr w:rsidR="00444093" w:rsidRPr="004760F1" w14:paraId="25EE0748" w14:textId="77777777" w:rsidTr="009556D3">
        <w:tc>
          <w:tcPr>
            <w:tcW w:w="1989" w:type="dxa"/>
          </w:tcPr>
          <w:p w14:paraId="7188F2BB"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Fin_Lev</w:t>
            </w:r>
            <w:proofErr w:type="spellEnd"/>
          </w:p>
        </w:tc>
        <w:tc>
          <w:tcPr>
            <w:tcW w:w="2120" w:type="dxa"/>
          </w:tcPr>
          <w:p w14:paraId="2DD4ED9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0.002***</w:t>
            </w:r>
          </w:p>
        </w:tc>
        <w:tc>
          <w:tcPr>
            <w:tcW w:w="2200" w:type="dxa"/>
          </w:tcPr>
          <w:p w14:paraId="5CAB84DB"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0.001***</w:t>
            </w:r>
          </w:p>
        </w:tc>
        <w:tc>
          <w:tcPr>
            <w:tcW w:w="2013" w:type="dxa"/>
          </w:tcPr>
          <w:p w14:paraId="3B14BEF1"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0.002***</w:t>
            </w:r>
          </w:p>
        </w:tc>
      </w:tr>
      <w:tr w:rsidR="00444093" w:rsidRPr="004760F1" w14:paraId="33777A3C" w14:textId="77777777" w:rsidTr="009556D3">
        <w:tc>
          <w:tcPr>
            <w:tcW w:w="1989" w:type="dxa"/>
          </w:tcPr>
          <w:p w14:paraId="379A25EE" w14:textId="77777777" w:rsidR="00444093" w:rsidRPr="004760F1" w:rsidRDefault="00444093" w:rsidP="009556D3">
            <w:pPr>
              <w:rPr>
                <w:rFonts w:ascii="Times New Roman" w:hAnsi="Times New Roman" w:cs="Times New Roman"/>
              </w:rPr>
            </w:pPr>
          </w:p>
        </w:tc>
        <w:tc>
          <w:tcPr>
            <w:tcW w:w="2120" w:type="dxa"/>
          </w:tcPr>
          <w:p w14:paraId="2FADEDF5"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(5.034)</w:t>
            </w:r>
          </w:p>
        </w:tc>
        <w:tc>
          <w:tcPr>
            <w:tcW w:w="2200" w:type="dxa"/>
          </w:tcPr>
          <w:p w14:paraId="3E8EA95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(3.805)</w:t>
            </w:r>
          </w:p>
        </w:tc>
        <w:tc>
          <w:tcPr>
            <w:tcW w:w="2013" w:type="dxa"/>
          </w:tcPr>
          <w:p w14:paraId="0202760D"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(7.232)</w:t>
            </w:r>
          </w:p>
        </w:tc>
      </w:tr>
      <w:tr w:rsidR="00444093" w:rsidRPr="004760F1" w14:paraId="6D2437E9" w14:textId="77777777" w:rsidTr="009556D3">
        <w:tc>
          <w:tcPr>
            <w:tcW w:w="1989" w:type="dxa"/>
          </w:tcPr>
          <w:p w14:paraId="09991B68"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FdHoldperA</w:t>
            </w:r>
            <w:proofErr w:type="spellEnd"/>
          </w:p>
        </w:tc>
        <w:tc>
          <w:tcPr>
            <w:tcW w:w="2120" w:type="dxa"/>
          </w:tcPr>
          <w:p w14:paraId="51BD1376"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-0.104***</w:t>
            </w:r>
          </w:p>
        </w:tc>
        <w:tc>
          <w:tcPr>
            <w:tcW w:w="2200" w:type="dxa"/>
          </w:tcPr>
          <w:p w14:paraId="5DA075E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-0.137***</w:t>
            </w:r>
          </w:p>
        </w:tc>
        <w:tc>
          <w:tcPr>
            <w:tcW w:w="2013" w:type="dxa"/>
          </w:tcPr>
          <w:p w14:paraId="6FD8D9B0"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0.023***</w:t>
            </w:r>
          </w:p>
        </w:tc>
      </w:tr>
      <w:tr w:rsidR="00444093" w:rsidRPr="004760F1" w14:paraId="3B739313" w14:textId="77777777" w:rsidTr="009556D3">
        <w:tc>
          <w:tcPr>
            <w:tcW w:w="1989" w:type="dxa"/>
          </w:tcPr>
          <w:p w14:paraId="2181D2F8" w14:textId="77777777" w:rsidR="00444093" w:rsidRPr="004760F1" w:rsidRDefault="00444093" w:rsidP="009556D3">
            <w:pPr>
              <w:rPr>
                <w:rFonts w:ascii="Times New Roman" w:hAnsi="Times New Roman" w:cs="Times New Roman"/>
              </w:rPr>
            </w:pPr>
          </w:p>
        </w:tc>
        <w:tc>
          <w:tcPr>
            <w:tcW w:w="2120" w:type="dxa"/>
          </w:tcPr>
          <w:p w14:paraId="0C87282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(-4.202)</w:t>
            </w:r>
          </w:p>
        </w:tc>
        <w:tc>
          <w:tcPr>
            <w:tcW w:w="2200" w:type="dxa"/>
          </w:tcPr>
          <w:p w14:paraId="381CDCAD"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(-5.566)</w:t>
            </w:r>
          </w:p>
        </w:tc>
        <w:tc>
          <w:tcPr>
            <w:tcW w:w="2013" w:type="dxa"/>
          </w:tcPr>
          <w:p w14:paraId="464AB7A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(4.321)</w:t>
            </w:r>
          </w:p>
        </w:tc>
      </w:tr>
      <w:tr w:rsidR="00444093" w:rsidRPr="004760F1" w14:paraId="0B19E594" w14:textId="77777777" w:rsidTr="009556D3">
        <w:tc>
          <w:tcPr>
            <w:tcW w:w="1989" w:type="dxa"/>
          </w:tcPr>
          <w:p w14:paraId="5BDE15D8"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SecCorpHoldPerA</w:t>
            </w:r>
            <w:proofErr w:type="spellEnd"/>
          </w:p>
        </w:tc>
        <w:tc>
          <w:tcPr>
            <w:tcW w:w="2120" w:type="dxa"/>
          </w:tcPr>
          <w:p w14:paraId="71F8E66B"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-0.072**</w:t>
            </w:r>
          </w:p>
        </w:tc>
        <w:tc>
          <w:tcPr>
            <w:tcW w:w="2200" w:type="dxa"/>
          </w:tcPr>
          <w:p w14:paraId="74AC86B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-0.076**</w:t>
            </w:r>
          </w:p>
        </w:tc>
        <w:tc>
          <w:tcPr>
            <w:tcW w:w="2013" w:type="dxa"/>
          </w:tcPr>
          <w:p w14:paraId="19B9E1D8"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-0.032</w:t>
            </w:r>
          </w:p>
        </w:tc>
      </w:tr>
      <w:tr w:rsidR="00444093" w:rsidRPr="004760F1" w14:paraId="099F9AAF" w14:textId="77777777" w:rsidTr="009556D3">
        <w:tc>
          <w:tcPr>
            <w:tcW w:w="1989" w:type="dxa"/>
          </w:tcPr>
          <w:p w14:paraId="7B890487" w14:textId="77777777" w:rsidR="00444093" w:rsidRPr="004760F1" w:rsidRDefault="00444093" w:rsidP="009556D3">
            <w:pPr>
              <w:rPr>
                <w:rFonts w:ascii="Times New Roman" w:hAnsi="Times New Roman" w:cs="Times New Roman"/>
              </w:rPr>
            </w:pPr>
          </w:p>
        </w:tc>
        <w:tc>
          <w:tcPr>
            <w:tcW w:w="2120" w:type="dxa"/>
          </w:tcPr>
          <w:p w14:paraId="527F9DD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(-2.058)</w:t>
            </w:r>
          </w:p>
        </w:tc>
        <w:tc>
          <w:tcPr>
            <w:tcW w:w="2200" w:type="dxa"/>
          </w:tcPr>
          <w:p w14:paraId="04D7F3A4"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(-2.162)</w:t>
            </w:r>
          </w:p>
        </w:tc>
        <w:tc>
          <w:tcPr>
            <w:tcW w:w="2013" w:type="dxa"/>
          </w:tcPr>
          <w:p w14:paraId="6BAA9193"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(-1.272)</w:t>
            </w:r>
          </w:p>
        </w:tc>
      </w:tr>
      <w:tr w:rsidR="00444093" w:rsidRPr="004760F1" w14:paraId="579C663D" w14:textId="77777777" w:rsidTr="009556D3">
        <w:tc>
          <w:tcPr>
            <w:tcW w:w="1989" w:type="dxa"/>
          </w:tcPr>
          <w:p w14:paraId="4AFDDCCD"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QFIIHoldPerA</w:t>
            </w:r>
            <w:proofErr w:type="spellEnd"/>
          </w:p>
        </w:tc>
        <w:tc>
          <w:tcPr>
            <w:tcW w:w="2120" w:type="dxa"/>
          </w:tcPr>
          <w:p w14:paraId="080C8B4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0.156***</w:t>
            </w:r>
          </w:p>
        </w:tc>
        <w:tc>
          <w:tcPr>
            <w:tcW w:w="2200" w:type="dxa"/>
          </w:tcPr>
          <w:p w14:paraId="6447DE5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0.158***</w:t>
            </w:r>
          </w:p>
        </w:tc>
        <w:tc>
          <w:tcPr>
            <w:tcW w:w="2013" w:type="dxa"/>
          </w:tcPr>
          <w:p w14:paraId="342A58C6"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0.151***</w:t>
            </w:r>
          </w:p>
        </w:tc>
      </w:tr>
      <w:tr w:rsidR="00444093" w:rsidRPr="004760F1" w14:paraId="1910FFC4" w14:textId="77777777" w:rsidTr="009556D3">
        <w:tc>
          <w:tcPr>
            <w:tcW w:w="1989" w:type="dxa"/>
          </w:tcPr>
          <w:p w14:paraId="260B28D9" w14:textId="77777777" w:rsidR="00444093" w:rsidRPr="004760F1" w:rsidRDefault="00444093" w:rsidP="009556D3">
            <w:pPr>
              <w:rPr>
                <w:rFonts w:ascii="Times New Roman" w:hAnsi="Times New Roman" w:cs="Times New Roman"/>
              </w:rPr>
            </w:pPr>
          </w:p>
        </w:tc>
        <w:tc>
          <w:tcPr>
            <w:tcW w:w="2120" w:type="dxa"/>
          </w:tcPr>
          <w:p w14:paraId="152ADBE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(3.232)</w:t>
            </w:r>
          </w:p>
        </w:tc>
        <w:tc>
          <w:tcPr>
            <w:tcW w:w="2200" w:type="dxa"/>
          </w:tcPr>
          <w:p w14:paraId="284238C8"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(3.278)</w:t>
            </w:r>
          </w:p>
        </w:tc>
        <w:tc>
          <w:tcPr>
            <w:tcW w:w="2013" w:type="dxa"/>
          </w:tcPr>
          <w:p w14:paraId="0F8915AB"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(3.625)</w:t>
            </w:r>
          </w:p>
        </w:tc>
      </w:tr>
      <w:tr w:rsidR="00444093" w:rsidRPr="004760F1" w14:paraId="4231B3B6" w14:textId="77777777" w:rsidTr="009556D3">
        <w:tc>
          <w:tcPr>
            <w:tcW w:w="1989" w:type="dxa"/>
          </w:tcPr>
          <w:p w14:paraId="3C30AFFC"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InsuComHoldPerA</w:t>
            </w:r>
            <w:proofErr w:type="spellEnd"/>
          </w:p>
        </w:tc>
        <w:tc>
          <w:tcPr>
            <w:tcW w:w="2120" w:type="dxa"/>
          </w:tcPr>
          <w:p w14:paraId="32DC2FB6"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0.074***</w:t>
            </w:r>
          </w:p>
        </w:tc>
        <w:tc>
          <w:tcPr>
            <w:tcW w:w="2200" w:type="dxa"/>
          </w:tcPr>
          <w:p w14:paraId="441F38CD"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0.090***</w:t>
            </w:r>
          </w:p>
        </w:tc>
        <w:tc>
          <w:tcPr>
            <w:tcW w:w="2013" w:type="dxa"/>
          </w:tcPr>
          <w:p w14:paraId="7CD2E896"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0.024*</w:t>
            </w:r>
          </w:p>
        </w:tc>
      </w:tr>
      <w:tr w:rsidR="00444093" w:rsidRPr="004760F1" w14:paraId="2E207DE0" w14:textId="77777777" w:rsidTr="009556D3">
        <w:tc>
          <w:tcPr>
            <w:tcW w:w="1989" w:type="dxa"/>
          </w:tcPr>
          <w:p w14:paraId="07C81248" w14:textId="77777777" w:rsidR="00444093" w:rsidRPr="004760F1" w:rsidRDefault="00444093" w:rsidP="009556D3">
            <w:pPr>
              <w:rPr>
                <w:rFonts w:ascii="Times New Roman" w:hAnsi="Times New Roman" w:cs="Times New Roman"/>
              </w:rPr>
            </w:pPr>
          </w:p>
        </w:tc>
        <w:tc>
          <w:tcPr>
            <w:tcW w:w="2120" w:type="dxa"/>
          </w:tcPr>
          <w:p w14:paraId="2171FA5F"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(2.600)</w:t>
            </w:r>
          </w:p>
        </w:tc>
        <w:tc>
          <w:tcPr>
            <w:tcW w:w="2200" w:type="dxa"/>
          </w:tcPr>
          <w:p w14:paraId="2C9EDA6A"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(3.183)</w:t>
            </w:r>
          </w:p>
        </w:tc>
        <w:tc>
          <w:tcPr>
            <w:tcW w:w="2013" w:type="dxa"/>
          </w:tcPr>
          <w:p w14:paraId="652DEE6B"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(1.649)</w:t>
            </w:r>
          </w:p>
        </w:tc>
      </w:tr>
      <w:tr w:rsidR="00444093" w:rsidRPr="004760F1" w14:paraId="1A495F18" w14:textId="77777777" w:rsidTr="009556D3">
        <w:tc>
          <w:tcPr>
            <w:tcW w:w="1989" w:type="dxa"/>
          </w:tcPr>
          <w:p w14:paraId="2F89CFA5"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SocSecFdHoldPerA</w:t>
            </w:r>
            <w:proofErr w:type="spellEnd"/>
          </w:p>
        </w:tc>
        <w:tc>
          <w:tcPr>
            <w:tcW w:w="2120" w:type="dxa"/>
          </w:tcPr>
          <w:p w14:paraId="54EFBB8A"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0.113***</w:t>
            </w:r>
          </w:p>
        </w:tc>
        <w:tc>
          <w:tcPr>
            <w:tcW w:w="2200" w:type="dxa"/>
          </w:tcPr>
          <w:p w14:paraId="0BFA8BBB"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0.199***</w:t>
            </w:r>
          </w:p>
        </w:tc>
        <w:tc>
          <w:tcPr>
            <w:tcW w:w="2013" w:type="dxa"/>
          </w:tcPr>
          <w:p w14:paraId="25CF3C4F"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0.101***</w:t>
            </w:r>
          </w:p>
        </w:tc>
      </w:tr>
      <w:tr w:rsidR="00444093" w:rsidRPr="004760F1" w14:paraId="35A8E288" w14:textId="77777777" w:rsidTr="009556D3">
        <w:tc>
          <w:tcPr>
            <w:tcW w:w="1989" w:type="dxa"/>
          </w:tcPr>
          <w:p w14:paraId="0BD1DEA2" w14:textId="77777777" w:rsidR="00444093" w:rsidRPr="004760F1" w:rsidRDefault="00444093" w:rsidP="009556D3">
            <w:pPr>
              <w:rPr>
                <w:rFonts w:ascii="Times New Roman" w:hAnsi="Times New Roman" w:cs="Times New Roman"/>
              </w:rPr>
            </w:pPr>
          </w:p>
        </w:tc>
        <w:tc>
          <w:tcPr>
            <w:tcW w:w="2120" w:type="dxa"/>
          </w:tcPr>
          <w:p w14:paraId="0D56A833"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(3.302)</w:t>
            </w:r>
          </w:p>
        </w:tc>
        <w:tc>
          <w:tcPr>
            <w:tcW w:w="2200" w:type="dxa"/>
          </w:tcPr>
          <w:p w14:paraId="507F5A9C"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(5.829)</w:t>
            </w:r>
          </w:p>
        </w:tc>
        <w:tc>
          <w:tcPr>
            <w:tcW w:w="2013" w:type="dxa"/>
          </w:tcPr>
          <w:p w14:paraId="40C3E159"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(4.197)</w:t>
            </w:r>
          </w:p>
        </w:tc>
      </w:tr>
      <w:tr w:rsidR="00444093" w:rsidRPr="004760F1" w14:paraId="501ABA06" w14:textId="77777777" w:rsidTr="009556D3">
        <w:tc>
          <w:tcPr>
            <w:tcW w:w="1989" w:type="dxa"/>
          </w:tcPr>
          <w:p w14:paraId="2B075506" w14:textId="77777777" w:rsidR="00444093" w:rsidRPr="004760F1" w:rsidRDefault="00444093" w:rsidP="009556D3">
            <w:pPr>
              <w:rPr>
                <w:rFonts w:ascii="Times New Roman" w:hAnsi="Times New Roman" w:cs="Times New Roman"/>
              </w:rPr>
            </w:pPr>
            <w:proofErr w:type="spellStart"/>
            <w:r w:rsidRPr="004760F1">
              <w:rPr>
                <w:rFonts w:ascii="Times New Roman" w:hAnsi="Times New Roman" w:cs="Times New Roman"/>
              </w:rPr>
              <w:t>OthInsHoldPerA</w:t>
            </w:r>
            <w:proofErr w:type="spellEnd"/>
          </w:p>
        </w:tc>
        <w:tc>
          <w:tcPr>
            <w:tcW w:w="2120" w:type="dxa"/>
          </w:tcPr>
          <w:p w14:paraId="535583F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-0.144***</w:t>
            </w:r>
          </w:p>
        </w:tc>
        <w:tc>
          <w:tcPr>
            <w:tcW w:w="2200" w:type="dxa"/>
          </w:tcPr>
          <w:p w14:paraId="12B3C0AB"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-0.139***</w:t>
            </w:r>
          </w:p>
        </w:tc>
        <w:tc>
          <w:tcPr>
            <w:tcW w:w="2013" w:type="dxa"/>
          </w:tcPr>
          <w:p w14:paraId="14F32D3A"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-0.001</w:t>
            </w:r>
          </w:p>
        </w:tc>
      </w:tr>
      <w:tr w:rsidR="00444093" w:rsidRPr="004760F1" w14:paraId="3FB1F703" w14:textId="77777777" w:rsidTr="009556D3">
        <w:tc>
          <w:tcPr>
            <w:tcW w:w="1989" w:type="dxa"/>
          </w:tcPr>
          <w:p w14:paraId="2C5F5B9C" w14:textId="77777777" w:rsidR="00444093" w:rsidRPr="004760F1" w:rsidRDefault="00444093" w:rsidP="009556D3">
            <w:pPr>
              <w:rPr>
                <w:rFonts w:ascii="Times New Roman" w:hAnsi="Times New Roman" w:cs="Times New Roman"/>
              </w:rPr>
            </w:pPr>
          </w:p>
        </w:tc>
        <w:tc>
          <w:tcPr>
            <w:tcW w:w="2120" w:type="dxa"/>
          </w:tcPr>
          <w:p w14:paraId="614A4AEF"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(-5.926)</w:t>
            </w:r>
          </w:p>
        </w:tc>
        <w:tc>
          <w:tcPr>
            <w:tcW w:w="2200" w:type="dxa"/>
          </w:tcPr>
          <w:p w14:paraId="7A2995CD"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(-5.764)</w:t>
            </w:r>
          </w:p>
        </w:tc>
        <w:tc>
          <w:tcPr>
            <w:tcW w:w="2013" w:type="dxa"/>
          </w:tcPr>
          <w:p w14:paraId="2864D7A7"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(-0.791)</w:t>
            </w:r>
          </w:p>
        </w:tc>
      </w:tr>
      <w:tr w:rsidR="00444093" w:rsidRPr="004760F1" w14:paraId="063995F9" w14:textId="77777777" w:rsidTr="009556D3">
        <w:tc>
          <w:tcPr>
            <w:tcW w:w="1989" w:type="dxa"/>
          </w:tcPr>
          <w:p w14:paraId="295E03A9" w14:textId="77777777" w:rsidR="00444093" w:rsidRPr="004760F1" w:rsidRDefault="00444093" w:rsidP="009556D3">
            <w:pPr>
              <w:rPr>
                <w:rFonts w:ascii="Times New Roman" w:hAnsi="Times New Roman" w:cs="Times New Roman"/>
              </w:rPr>
            </w:pPr>
            <w:r w:rsidRPr="004760F1">
              <w:rPr>
                <w:rFonts w:ascii="Times New Roman" w:hAnsi="Times New Roman" w:cs="Times New Roman"/>
              </w:rPr>
              <w:t>_cons</w:t>
            </w:r>
          </w:p>
        </w:tc>
        <w:tc>
          <w:tcPr>
            <w:tcW w:w="2120" w:type="dxa"/>
          </w:tcPr>
          <w:p w14:paraId="16BF2E8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5.093***</w:t>
            </w:r>
          </w:p>
        </w:tc>
        <w:tc>
          <w:tcPr>
            <w:tcW w:w="2200" w:type="dxa"/>
          </w:tcPr>
          <w:p w14:paraId="3F67E8F9"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18.579</w:t>
            </w:r>
          </w:p>
        </w:tc>
        <w:tc>
          <w:tcPr>
            <w:tcW w:w="2013" w:type="dxa"/>
          </w:tcPr>
          <w:p w14:paraId="106177B2"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-16.741</w:t>
            </w:r>
          </w:p>
        </w:tc>
      </w:tr>
      <w:tr w:rsidR="00444093" w:rsidRPr="004760F1" w14:paraId="0189DCAA" w14:textId="77777777" w:rsidTr="009556D3">
        <w:tc>
          <w:tcPr>
            <w:tcW w:w="1989" w:type="dxa"/>
            <w:tcBorders>
              <w:bottom w:val="single" w:sz="0" w:space="0" w:color="000000"/>
            </w:tcBorders>
          </w:tcPr>
          <w:p w14:paraId="6A3B2EAC" w14:textId="77777777" w:rsidR="00444093" w:rsidRPr="004760F1" w:rsidRDefault="00444093" w:rsidP="009556D3">
            <w:pPr>
              <w:rPr>
                <w:rFonts w:ascii="Times New Roman" w:hAnsi="Times New Roman" w:cs="Times New Roman"/>
              </w:rPr>
            </w:pPr>
          </w:p>
        </w:tc>
        <w:tc>
          <w:tcPr>
            <w:tcW w:w="2120" w:type="dxa"/>
            <w:tcBorders>
              <w:bottom w:val="single" w:sz="0" w:space="0" w:color="000000"/>
            </w:tcBorders>
          </w:tcPr>
          <w:p w14:paraId="7B7A65AE"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(12.877)</w:t>
            </w:r>
          </w:p>
        </w:tc>
        <w:tc>
          <w:tcPr>
            <w:tcW w:w="2200" w:type="dxa"/>
            <w:tcBorders>
              <w:bottom w:val="single" w:sz="0" w:space="0" w:color="000000"/>
            </w:tcBorders>
          </w:tcPr>
          <w:p w14:paraId="219BC551"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(46.122)</w:t>
            </w:r>
          </w:p>
        </w:tc>
        <w:tc>
          <w:tcPr>
            <w:tcW w:w="2013" w:type="dxa"/>
            <w:tcBorders>
              <w:bottom w:val="single" w:sz="0" w:space="0" w:color="000000"/>
            </w:tcBorders>
          </w:tcPr>
          <w:p w14:paraId="6FED66B3" w14:textId="77777777" w:rsidR="00444093" w:rsidRPr="004760F1" w:rsidRDefault="00444093" w:rsidP="009556D3">
            <w:pPr>
              <w:jc w:val="center"/>
              <w:rPr>
                <w:rFonts w:ascii="Times New Roman" w:hAnsi="Times New Roman" w:cs="Times New Roman"/>
              </w:rPr>
            </w:pPr>
            <w:r w:rsidRPr="004760F1">
              <w:rPr>
                <w:rFonts w:ascii="Times New Roman" w:hAnsi="Times New Roman" w:cs="Times New Roman"/>
              </w:rPr>
              <w:t>(-40.833)</w:t>
            </w:r>
          </w:p>
        </w:tc>
      </w:tr>
    </w:tbl>
    <w:p w14:paraId="6BCF4397" w14:textId="2EE574EA" w:rsidR="00634D2B" w:rsidRPr="004760F1" w:rsidRDefault="000D731B" w:rsidP="00634D2B">
      <w:pPr>
        <w:jc w:val="both"/>
        <w:rPr>
          <w:rFonts w:ascii="Times New Roman" w:hAnsi="Times New Roman" w:cs="Times New Roman"/>
          <w:color w:val="000000" w:themeColor="text1"/>
          <w:sz w:val="22"/>
        </w:rPr>
      </w:pPr>
      <w:r w:rsidRPr="004760F1">
        <w:rPr>
          <w:rFonts w:ascii="Times New Roman" w:hAnsi="Times New Roman" w:cs="Times New Roman"/>
          <w:color w:val="000000" w:themeColor="text1"/>
          <w:sz w:val="22"/>
        </w:rPr>
        <w:t>Note:</w:t>
      </w:r>
      <w:r w:rsidR="00634D2B" w:rsidRPr="004760F1">
        <w:rPr>
          <w:rFonts w:ascii="Times New Roman" w:hAnsi="Times New Roman" w:cs="Times New Roman"/>
          <w:color w:val="000000" w:themeColor="text1"/>
          <w:sz w:val="22"/>
        </w:rPr>
        <w:t>*/**/***</w:t>
      </w:r>
      <w:r w:rsidRPr="004760F1">
        <w:rPr>
          <w:rFonts w:ascii="Times New Roman" w:hAnsi="Times New Roman" w:cs="Times New Roman"/>
          <w:color w:val="000000" w:themeColor="text1"/>
          <w:sz w:val="22"/>
        </w:rPr>
        <w:t xml:space="preserve"> represents significance at </w:t>
      </w:r>
      <w:r w:rsidR="00634D2B" w:rsidRPr="004760F1">
        <w:rPr>
          <w:rFonts w:ascii="Times New Roman" w:hAnsi="Times New Roman" w:cs="Times New Roman"/>
          <w:color w:val="000000" w:themeColor="text1"/>
          <w:sz w:val="22"/>
        </w:rPr>
        <w:t>10%</w:t>
      </w:r>
      <w:r w:rsidR="00634D2B" w:rsidRPr="004760F1">
        <w:rPr>
          <w:rFonts w:ascii="Times New Roman" w:hAnsi="Times New Roman" w:cs="Times New Roman"/>
          <w:color w:val="000000" w:themeColor="text1"/>
          <w:sz w:val="22"/>
        </w:rPr>
        <w:t>、</w:t>
      </w:r>
      <w:r w:rsidR="00634D2B" w:rsidRPr="004760F1">
        <w:rPr>
          <w:rFonts w:ascii="Times New Roman" w:hAnsi="Times New Roman" w:cs="Times New Roman"/>
          <w:color w:val="000000" w:themeColor="text1"/>
          <w:sz w:val="22"/>
        </w:rPr>
        <w:t>5%</w:t>
      </w:r>
      <w:r w:rsidR="00634D2B" w:rsidRPr="004760F1">
        <w:rPr>
          <w:rFonts w:ascii="Times New Roman" w:hAnsi="Times New Roman" w:cs="Times New Roman"/>
          <w:color w:val="000000" w:themeColor="text1"/>
          <w:sz w:val="22"/>
        </w:rPr>
        <w:t>、</w:t>
      </w:r>
      <w:r w:rsidR="00634D2B" w:rsidRPr="004760F1">
        <w:rPr>
          <w:rFonts w:ascii="Times New Roman" w:hAnsi="Times New Roman" w:cs="Times New Roman"/>
          <w:color w:val="000000" w:themeColor="text1"/>
          <w:sz w:val="22"/>
        </w:rPr>
        <w:t>1%</w:t>
      </w:r>
      <w:r w:rsidRPr="004760F1">
        <w:rPr>
          <w:rFonts w:ascii="Times New Roman" w:hAnsi="Times New Roman" w:cs="Times New Roman"/>
          <w:color w:val="000000" w:themeColor="text1"/>
          <w:sz w:val="22"/>
        </w:rPr>
        <w:t xml:space="preserve"> level, number in brackets are t-statistics.</w:t>
      </w:r>
    </w:p>
    <w:p w14:paraId="2C86CF0E" w14:textId="4AC2075B" w:rsidR="00F25B08" w:rsidRPr="004760F1" w:rsidRDefault="00F25B08" w:rsidP="002A40F7">
      <w:pPr>
        <w:jc w:val="both"/>
        <w:rPr>
          <w:rFonts w:ascii="Times New Roman" w:hAnsi="Times New Roman" w:cs="Times New Roman"/>
        </w:rPr>
      </w:pPr>
    </w:p>
    <w:p w14:paraId="6DB50037" w14:textId="7C094B5C" w:rsidR="00634D2B" w:rsidRPr="004760F1" w:rsidRDefault="00634D2B" w:rsidP="002A40F7">
      <w:pPr>
        <w:jc w:val="both"/>
        <w:rPr>
          <w:rFonts w:ascii="Times New Roman" w:hAnsi="Times New Roman" w:cs="Times New Roman"/>
        </w:rPr>
      </w:pPr>
      <w:r w:rsidRPr="004760F1">
        <w:rPr>
          <w:rFonts w:ascii="Times New Roman" w:hAnsi="Times New Roman" w:cs="Times New Roman"/>
        </w:rPr>
        <w:t xml:space="preserve">From </w:t>
      </w:r>
      <w:r w:rsidR="000D731B" w:rsidRPr="004760F1">
        <w:rPr>
          <w:rFonts w:ascii="Times New Roman" w:hAnsi="Times New Roman" w:cs="Times New Roman"/>
        </w:rPr>
        <w:t>above</w:t>
      </w:r>
      <w:r w:rsidRPr="004760F1">
        <w:rPr>
          <w:rFonts w:ascii="Times New Roman" w:hAnsi="Times New Roman" w:cs="Times New Roman"/>
        </w:rPr>
        <w:t xml:space="preserve"> regression results </w:t>
      </w:r>
      <w:r w:rsidR="000D731B" w:rsidRPr="004760F1">
        <w:rPr>
          <w:rFonts w:ascii="Times New Roman" w:hAnsi="Times New Roman" w:cs="Times New Roman"/>
        </w:rPr>
        <w:t xml:space="preserve">we can find that </w:t>
      </w:r>
      <w:r w:rsidRPr="004760F1">
        <w:rPr>
          <w:rFonts w:ascii="Times New Roman" w:hAnsi="Times New Roman" w:cs="Times New Roman"/>
        </w:rPr>
        <w:t xml:space="preserve">after the </w:t>
      </w:r>
      <w:r w:rsidR="00E24C04" w:rsidRPr="004760F1">
        <w:rPr>
          <w:rFonts w:ascii="Times New Roman" w:hAnsi="Times New Roman" w:cs="Times New Roman"/>
        </w:rPr>
        <w:t>actual</w:t>
      </w:r>
      <w:r w:rsidRPr="004760F1">
        <w:rPr>
          <w:rFonts w:ascii="Times New Roman" w:hAnsi="Times New Roman" w:cs="Times New Roman"/>
        </w:rPr>
        <w:t xml:space="preserve"> implementation of "A shares include</w:t>
      </w:r>
      <w:r w:rsidR="00E24C04" w:rsidRPr="004760F1">
        <w:rPr>
          <w:rFonts w:ascii="Times New Roman" w:hAnsi="Times New Roman" w:cs="Times New Roman"/>
        </w:rPr>
        <w:t xml:space="preserve">d in MSCI index", compared with </w:t>
      </w:r>
      <w:r w:rsidRPr="004760F1">
        <w:rPr>
          <w:rFonts w:ascii="Times New Roman" w:hAnsi="Times New Roman" w:cs="Times New Roman"/>
        </w:rPr>
        <w:t>stocks</w:t>
      </w:r>
      <w:r w:rsidR="00E24C04" w:rsidRPr="004760F1">
        <w:rPr>
          <w:rFonts w:ascii="Times New Roman" w:hAnsi="Times New Roman" w:cs="Times New Roman"/>
        </w:rPr>
        <w:t xml:space="preserve"> that’s not been included</w:t>
      </w:r>
      <w:r w:rsidRPr="004760F1">
        <w:rPr>
          <w:rFonts w:ascii="Times New Roman" w:hAnsi="Times New Roman" w:cs="Times New Roman"/>
        </w:rPr>
        <w:t xml:space="preserve">, the </w:t>
      </w:r>
      <w:r w:rsidR="00E24C04" w:rsidRPr="004760F1">
        <w:rPr>
          <w:rFonts w:ascii="Times New Roman" w:hAnsi="Times New Roman" w:cs="Times New Roman"/>
        </w:rPr>
        <w:t>included stocks’ idiosyncratic</w:t>
      </w:r>
      <w:r w:rsidRPr="004760F1">
        <w:rPr>
          <w:rFonts w:ascii="Times New Roman" w:hAnsi="Times New Roman" w:cs="Times New Roman"/>
        </w:rPr>
        <w:t xml:space="preserve"> volatility </w:t>
      </w:r>
      <w:r w:rsidR="00E24C04" w:rsidRPr="004760F1">
        <w:rPr>
          <w:rFonts w:ascii="Times New Roman" w:hAnsi="Times New Roman" w:cs="Times New Roman"/>
        </w:rPr>
        <w:t xml:space="preserve">have </w:t>
      </w:r>
      <w:r w:rsidRPr="004760F1">
        <w:rPr>
          <w:rFonts w:ascii="Times New Roman" w:hAnsi="Times New Roman" w:cs="Times New Roman"/>
        </w:rPr>
        <w:t xml:space="preserve">decreased by about 9% (the calculation method is to use the coefficient of </w:t>
      </w:r>
      <w:r w:rsidR="00E24C04" w:rsidRPr="004760F1">
        <w:rPr>
          <w:rFonts w:ascii="Times New Roman" w:hAnsi="Times New Roman" w:cs="Times New Roman"/>
        </w:rPr>
        <w:t>M1A4</w:t>
      </w:r>
      <w:r w:rsidRPr="004760F1">
        <w:rPr>
          <w:rFonts w:ascii="Times New Roman" w:hAnsi="Times New Roman" w:cs="Times New Roman"/>
        </w:rPr>
        <w:t xml:space="preserve"> in </w:t>
      </w:r>
      <w:r w:rsidR="00E24C04" w:rsidRPr="004760F1">
        <w:rPr>
          <w:rFonts w:ascii="Times New Roman" w:hAnsi="Times New Roman" w:cs="Times New Roman"/>
        </w:rPr>
        <w:t>the model in column 2 of table 4</w:t>
      </w:r>
      <w:r w:rsidRPr="004760F1">
        <w:rPr>
          <w:rFonts w:ascii="Times New Roman" w:hAnsi="Times New Roman" w:cs="Times New Roman"/>
        </w:rPr>
        <w:t xml:space="preserve">-3 to divide by the average stock </w:t>
      </w:r>
      <w:r w:rsidR="00E24C04" w:rsidRPr="004760F1">
        <w:rPr>
          <w:rFonts w:ascii="Times New Roman" w:hAnsi="Times New Roman" w:cs="Times New Roman"/>
        </w:rPr>
        <w:t>idiosyncratic</w:t>
      </w:r>
      <w:r w:rsidRPr="004760F1">
        <w:rPr>
          <w:rFonts w:ascii="Times New Roman" w:hAnsi="Times New Roman" w:cs="Times New Roman"/>
        </w:rPr>
        <w:t xml:space="preserve"> volatility of the </w:t>
      </w:r>
      <w:r w:rsidR="00E24C04" w:rsidRPr="004760F1">
        <w:rPr>
          <w:rFonts w:ascii="Times New Roman" w:hAnsi="Times New Roman" w:cs="Times New Roman"/>
        </w:rPr>
        <w:t>included stocks in table 4-2, 0.111, - 0.01 / 0.111 = -</w:t>
      </w:r>
      <w:r w:rsidRPr="004760F1">
        <w:rPr>
          <w:rFonts w:ascii="Times New Roman" w:hAnsi="Times New Roman" w:cs="Times New Roman"/>
        </w:rPr>
        <w:t>9%), It shows that even when the initial inclusion ra</w:t>
      </w:r>
      <w:r w:rsidR="007E6586" w:rsidRPr="004760F1">
        <w:rPr>
          <w:rFonts w:ascii="Times New Roman" w:hAnsi="Times New Roman" w:cs="Times New Roman"/>
        </w:rPr>
        <w:t>tio is only 5% and implemented by two batches</w:t>
      </w:r>
      <w:r w:rsidRPr="004760F1">
        <w:rPr>
          <w:rFonts w:ascii="Times New Roman" w:hAnsi="Times New Roman" w:cs="Times New Roman"/>
        </w:rPr>
        <w:t xml:space="preserve">, the </w:t>
      </w:r>
      <w:r w:rsidR="00EE6E4B" w:rsidRPr="004760F1">
        <w:rPr>
          <w:rFonts w:ascii="Times New Roman" w:hAnsi="Times New Roman" w:cs="Times New Roman"/>
        </w:rPr>
        <w:t xml:space="preserve">idiosyncratic </w:t>
      </w:r>
      <w:r w:rsidRPr="004760F1">
        <w:rPr>
          <w:rFonts w:ascii="Times New Roman" w:hAnsi="Times New Roman" w:cs="Times New Roman"/>
        </w:rPr>
        <w:t xml:space="preserve">volatility of </w:t>
      </w:r>
      <w:r w:rsidR="00EE6E4B" w:rsidRPr="004760F1">
        <w:rPr>
          <w:rFonts w:ascii="Times New Roman" w:hAnsi="Times New Roman" w:cs="Times New Roman"/>
        </w:rPr>
        <w:t xml:space="preserve">included </w:t>
      </w:r>
      <w:r w:rsidRPr="004760F1">
        <w:rPr>
          <w:rFonts w:ascii="Times New Roman" w:hAnsi="Times New Roman" w:cs="Times New Roman"/>
        </w:rPr>
        <w:t xml:space="preserve">stock has decreased significantly, which supports the hypothesis 1a. It shows that the capital market opening-up policy of "A shares included in MSCI index" is helpful to reduce the </w:t>
      </w:r>
      <w:r w:rsidR="00135D0C" w:rsidRPr="004760F1">
        <w:rPr>
          <w:rFonts w:ascii="Times New Roman" w:hAnsi="Times New Roman" w:cs="Times New Roman"/>
        </w:rPr>
        <w:t xml:space="preserve">idiosyncratic </w:t>
      </w:r>
      <w:r w:rsidRPr="004760F1">
        <w:rPr>
          <w:rFonts w:ascii="Times New Roman" w:hAnsi="Times New Roman" w:cs="Times New Roman"/>
        </w:rPr>
        <w:t>volatility</w:t>
      </w:r>
      <w:r w:rsidR="00135D0C" w:rsidRPr="004760F1">
        <w:rPr>
          <w:rFonts w:ascii="Times New Roman" w:hAnsi="Times New Roman" w:cs="Times New Roman"/>
        </w:rPr>
        <w:t xml:space="preserve"> </w:t>
      </w:r>
      <w:r w:rsidRPr="004760F1">
        <w:rPr>
          <w:rFonts w:ascii="Times New Roman" w:hAnsi="Times New Roman" w:cs="Times New Roman"/>
        </w:rPr>
        <w:t>in China's stock market.</w:t>
      </w:r>
    </w:p>
    <w:p w14:paraId="10A0FB8A" w14:textId="0ADE8992" w:rsidR="00F25B08" w:rsidRPr="004760F1" w:rsidRDefault="00F25B08" w:rsidP="002A40F7">
      <w:pPr>
        <w:jc w:val="both"/>
        <w:rPr>
          <w:rFonts w:ascii="Times New Roman" w:hAnsi="Times New Roman" w:cs="Times New Roman"/>
        </w:rPr>
      </w:pPr>
    </w:p>
    <w:p w14:paraId="16504E81" w14:textId="44B6BF03" w:rsidR="00F25B08" w:rsidRPr="00EB3409" w:rsidRDefault="00F25B08" w:rsidP="002A40F7">
      <w:pPr>
        <w:jc w:val="both"/>
        <w:rPr>
          <w:rFonts w:ascii="Times New Roman" w:hAnsi="Times New Roman" w:cs="Times New Roman"/>
          <w:b/>
          <w:sz w:val="28"/>
          <w:szCs w:val="28"/>
        </w:rPr>
      </w:pPr>
      <w:r w:rsidRPr="00EB3409">
        <w:rPr>
          <w:rFonts w:ascii="Times New Roman" w:hAnsi="Times New Roman" w:cs="Times New Roman"/>
          <w:b/>
          <w:sz w:val="28"/>
          <w:szCs w:val="28"/>
        </w:rPr>
        <w:t xml:space="preserve">5. </w:t>
      </w:r>
      <w:r w:rsidR="00F17E64" w:rsidRPr="00EB3409">
        <w:rPr>
          <w:rFonts w:ascii="Times New Roman" w:hAnsi="Times New Roman" w:cs="Times New Roman"/>
          <w:b/>
          <w:sz w:val="28"/>
          <w:szCs w:val="28"/>
        </w:rPr>
        <w:t>C</w:t>
      </w:r>
      <w:r w:rsidRPr="00EB3409">
        <w:rPr>
          <w:rFonts w:ascii="Times New Roman" w:hAnsi="Times New Roman" w:cs="Times New Roman"/>
          <w:b/>
          <w:sz w:val="28"/>
          <w:szCs w:val="28"/>
        </w:rPr>
        <w:t>onclus</w:t>
      </w:r>
      <w:r w:rsidR="00F43C15" w:rsidRPr="00EB3409">
        <w:rPr>
          <w:rFonts w:ascii="Times New Roman" w:hAnsi="Times New Roman" w:cs="Times New Roman"/>
          <w:b/>
          <w:sz w:val="28"/>
          <w:szCs w:val="28"/>
        </w:rPr>
        <w:t>ion</w:t>
      </w:r>
    </w:p>
    <w:p w14:paraId="3183CF69" w14:textId="00FD1AA7" w:rsidR="00F43C15" w:rsidRDefault="00B17EB3" w:rsidP="002A40F7">
      <w:pPr>
        <w:jc w:val="both"/>
        <w:rPr>
          <w:rFonts w:ascii="Times New Roman" w:hAnsi="Times New Roman" w:cs="Times New Roman"/>
        </w:rPr>
      </w:pPr>
      <w:r w:rsidRPr="004760F1">
        <w:rPr>
          <w:rFonts w:ascii="Times New Roman" w:hAnsi="Times New Roman" w:cs="Times New Roman"/>
        </w:rPr>
        <w:t>In the past two decades, China's capital market has developed rapidly, and the overall scale has reached 31 trillion US dollars, making it the second largest capital market in the world</w:t>
      </w:r>
      <w:r w:rsidRPr="004760F1">
        <w:rPr>
          <w:rFonts w:ascii="Times New Roman" w:hAnsi="Times New Roman" w:cs="Times New Roman"/>
        </w:rPr>
        <w:t xml:space="preserve"> after the United States</w:t>
      </w:r>
      <w:r w:rsidRPr="004760F1">
        <w:rPr>
          <w:rFonts w:ascii="Times New Roman" w:hAnsi="Times New Roman" w:cs="Times New Roman"/>
        </w:rPr>
        <w:t xml:space="preserve">. </w:t>
      </w:r>
      <w:r w:rsidRPr="004760F1">
        <w:rPr>
          <w:rFonts w:ascii="Times New Roman" w:hAnsi="Times New Roman" w:cs="Times New Roman"/>
        </w:rPr>
        <w:t>T</w:t>
      </w:r>
      <w:r w:rsidRPr="004760F1">
        <w:rPr>
          <w:rFonts w:ascii="Times New Roman" w:hAnsi="Times New Roman" w:cs="Times New Roman"/>
        </w:rPr>
        <w:t>he opening of the bond market in 2016 and the opening of the Shanghai-Shenzhen-Hong Kong Stock Connect</w:t>
      </w:r>
      <w:r w:rsidRPr="004760F1">
        <w:rPr>
          <w:rFonts w:ascii="Times New Roman" w:hAnsi="Times New Roman" w:cs="Times New Roman"/>
        </w:rPr>
        <w:t xml:space="preserve"> have </w:t>
      </w:r>
      <w:r w:rsidRPr="004760F1">
        <w:rPr>
          <w:rFonts w:ascii="Times New Roman" w:hAnsi="Times New Roman" w:cs="Times New Roman"/>
        </w:rPr>
        <w:t>accelerated this phenomenon</w:t>
      </w:r>
      <w:r w:rsidRPr="004760F1">
        <w:rPr>
          <w:rFonts w:ascii="Times New Roman" w:hAnsi="Times New Roman" w:cs="Times New Roman"/>
        </w:rPr>
        <w:t xml:space="preserve">, </w:t>
      </w:r>
      <w:proofErr w:type="spellStart"/>
      <w:r w:rsidRPr="004760F1">
        <w:rPr>
          <w:rFonts w:ascii="Times New Roman" w:hAnsi="Times New Roman" w:cs="Times New Roman"/>
        </w:rPr>
        <w:t>sinc</w:t>
      </w:r>
      <w:proofErr w:type="spellEnd"/>
      <w:r w:rsidRPr="004760F1">
        <w:rPr>
          <w:rFonts w:ascii="Times New Roman" w:hAnsi="Times New Roman" w:cs="Times New Roman"/>
        </w:rPr>
        <w:t xml:space="preserve"> 2018, China’s domestic</w:t>
      </w:r>
      <w:r w:rsidRPr="004760F1">
        <w:rPr>
          <w:rFonts w:ascii="Times New Roman" w:hAnsi="Times New Roman" w:cs="Times New Roman"/>
        </w:rPr>
        <w:t xml:space="preserve"> stocks and government bonds have been successively included in </w:t>
      </w:r>
      <w:r w:rsidRPr="004760F1">
        <w:rPr>
          <w:rFonts w:ascii="Times New Roman" w:hAnsi="Times New Roman" w:cs="Times New Roman"/>
        </w:rPr>
        <w:t xml:space="preserve">multiple </w:t>
      </w:r>
      <w:r w:rsidRPr="004760F1">
        <w:rPr>
          <w:rFonts w:ascii="Times New Roman" w:hAnsi="Times New Roman" w:cs="Times New Roman"/>
        </w:rPr>
        <w:t xml:space="preserve">international indices, making </w:t>
      </w:r>
      <w:r w:rsidRPr="004760F1">
        <w:rPr>
          <w:rFonts w:ascii="Times New Roman" w:hAnsi="Times New Roman" w:cs="Times New Roman"/>
        </w:rPr>
        <w:t>China’s</w:t>
      </w:r>
      <w:r w:rsidRPr="004760F1">
        <w:rPr>
          <w:rFonts w:ascii="Times New Roman" w:hAnsi="Times New Roman" w:cs="Times New Roman"/>
        </w:rPr>
        <w:t xml:space="preserve"> domestic capital market attract more and more foreign capita</w:t>
      </w:r>
      <w:r w:rsidRPr="004760F1">
        <w:rPr>
          <w:rFonts w:ascii="Times New Roman" w:hAnsi="Times New Roman" w:cs="Times New Roman"/>
        </w:rPr>
        <w:t>l</w:t>
      </w:r>
      <w:r w:rsidRPr="004760F1">
        <w:rPr>
          <w:rFonts w:ascii="Times New Roman" w:hAnsi="Times New Roman" w:cs="Times New Roman"/>
        </w:rPr>
        <w:t>. This paper studies the impact of a higher proportion of foreign investors</w:t>
      </w:r>
      <w:r w:rsidRPr="004760F1">
        <w:rPr>
          <w:rFonts w:ascii="Times New Roman" w:hAnsi="Times New Roman" w:cs="Times New Roman"/>
        </w:rPr>
        <w:t xml:space="preserve">, especially </w:t>
      </w:r>
      <w:r w:rsidRPr="004760F1">
        <w:rPr>
          <w:rFonts w:ascii="Times New Roman" w:hAnsi="Times New Roman" w:cs="Times New Roman"/>
        </w:rPr>
        <w:t xml:space="preserve">more foreign institutions participating in </w:t>
      </w:r>
      <w:r w:rsidRPr="004760F1">
        <w:rPr>
          <w:rFonts w:ascii="Times New Roman" w:hAnsi="Times New Roman" w:cs="Times New Roman"/>
        </w:rPr>
        <w:t xml:space="preserve">domestic </w:t>
      </w:r>
      <w:r w:rsidRPr="004760F1">
        <w:rPr>
          <w:rFonts w:ascii="Times New Roman" w:hAnsi="Times New Roman" w:cs="Times New Roman"/>
        </w:rPr>
        <w:t xml:space="preserve">market on the volatility, </w:t>
      </w:r>
      <w:r w:rsidRPr="004760F1">
        <w:rPr>
          <w:rFonts w:ascii="Times New Roman" w:hAnsi="Times New Roman" w:cs="Times New Roman"/>
        </w:rPr>
        <w:t>especially the idiosyncratic volatility.</w:t>
      </w:r>
      <w:r w:rsidRPr="004760F1">
        <w:rPr>
          <w:rFonts w:ascii="Times New Roman" w:hAnsi="Times New Roman" w:cs="Times New Roman"/>
        </w:rPr>
        <w:t xml:space="preserve"> </w:t>
      </w:r>
      <w:r w:rsidR="000D7C0D" w:rsidRPr="004760F1">
        <w:rPr>
          <w:rFonts w:ascii="Times New Roman" w:hAnsi="Times New Roman" w:cs="Times New Roman"/>
        </w:rPr>
        <w:t xml:space="preserve">By constructing the Diff in Diff (DID) model, it is found that event have significantly reduce the idiosyncratic </w:t>
      </w:r>
      <w:r w:rsidR="00EB326D">
        <w:rPr>
          <w:rFonts w:ascii="Times New Roman" w:hAnsi="Times New Roman" w:cs="Times New Roman"/>
        </w:rPr>
        <w:t>risk</w:t>
      </w:r>
      <w:r w:rsidR="000D7C0D" w:rsidRPr="004760F1">
        <w:rPr>
          <w:rFonts w:ascii="Times New Roman" w:hAnsi="Times New Roman" w:cs="Times New Roman"/>
        </w:rPr>
        <w:t xml:space="preserve"> of the stocks that’s been included into the index, which proved that the overall advantages of the capital market </w:t>
      </w:r>
      <w:proofErr w:type="gramStart"/>
      <w:r w:rsidR="000D7C0D" w:rsidRPr="004760F1">
        <w:rPr>
          <w:rFonts w:ascii="Times New Roman" w:hAnsi="Times New Roman" w:cs="Times New Roman"/>
        </w:rPr>
        <w:t>opening up</w:t>
      </w:r>
      <w:proofErr w:type="gramEnd"/>
      <w:r w:rsidR="000D7C0D" w:rsidRPr="004760F1">
        <w:rPr>
          <w:rFonts w:ascii="Times New Roman" w:hAnsi="Times New Roman" w:cs="Times New Roman"/>
        </w:rPr>
        <w:t xml:space="preserve"> policy outweigh the disadvantages.</w:t>
      </w:r>
    </w:p>
    <w:p w14:paraId="2DD71D97" w14:textId="3096FE9A" w:rsidR="00EB3409" w:rsidRDefault="00EB3409" w:rsidP="002A40F7">
      <w:pPr>
        <w:jc w:val="both"/>
        <w:rPr>
          <w:rFonts w:ascii="Times New Roman" w:hAnsi="Times New Roman" w:cs="Times New Roman"/>
        </w:rPr>
      </w:pPr>
    </w:p>
    <w:p w14:paraId="2BB21E22" w14:textId="77777777" w:rsidR="00EB3409" w:rsidRPr="004760F1" w:rsidRDefault="00EB3409" w:rsidP="002A40F7">
      <w:pPr>
        <w:jc w:val="both"/>
        <w:rPr>
          <w:rFonts w:ascii="Times New Roman" w:hAnsi="Times New Roman" w:cs="Times New Roman" w:hint="eastAsia"/>
        </w:rPr>
      </w:pPr>
    </w:p>
    <w:p w14:paraId="1B46199C" w14:textId="55295FAC" w:rsidR="00063843" w:rsidRPr="00EB3409" w:rsidRDefault="00F17E64" w:rsidP="002A40F7">
      <w:pPr>
        <w:jc w:val="both"/>
        <w:rPr>
          <w:rFonts w:ascii="Times New Roman" w:hAnsi="Times New Roman" w:cs="Times New Roman"/>
          <w:b/>
          <w:bCs/>
          <w:sz w:val="28"/>
          <w:szCs w:val="28"/>
        </w:rPr>
      </w:pPr>
      <w:r w:rsidRPr="00EB3409">
        <w:rPr>
          <w:rFonts w:ascii="Times New Roman" w:hAnsi="Times New Roman" w:cs="Times New Roman"/>
          <w:b/>
          <w:bCs/>
          <w:sz w:val="28"/>
          <w:szCs w:val="28"/>
        </w:rPr>
        <w:t>Reference</w:t>
      </w:r>
    </w:p>
    <w:p w14:paraId="39720BE8"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proofErr w:type="spellStart"/>
      <w:r w:rsidRPr="00424208">
        <w:rPr>
          <w:rFonts w:ascii="Times New Roman" w:hAnsi="Times New Roman" w:cs="Times New Roman"/>
          <w:color w:val="000000" w:themeColor="text1"/>
          <w:sz w:val="21"/>
          <w:szCs w:val="21"/>
        </w:rPr>
        <w:t>Angkinand</w:t>
      </w:r>
      <w:proofErr w:type="spellEnd"/>
      <w:r w:rsidRPr="00424208">
        <w:rPr>
          <w:rFonts w:ascii="Times New Roman" w:hAnsi="Times New Roman" w:cs="Times New Roman"/>
          <w:color w:val="000000" w:themeColor="text1"/>
          <w:sz w:val="21"/>
          <w:szCs w:val="21"/>
        </w:rPr>
        <w:t xml:space="preserve">, A.P., </w:t>
      </w:r>
      <w:proofErr w:type="spellStart"/>
      <w:r w:rsidRPr="00424208">
        <w:rPr>
          <w:rFonts w:ascii="Times New Roman" w:hAnsi="Times New Roman" w:cs="Times New Roman"/>
          <w:color w:val="000000" w:themeColor="text1"/>
          <w:sz w:val="21"/>
          <w:szCs w:val="21"/>
        </w:rPr>
        <w:t>Sawangngoenyuang</w:t>
      </w:r>
      <w:proofErr w:type="spellEnd"/>
      <w:r w:rsidRPr="00424208">
        <w:rPr>
          <w:rFonts w:ascii="Times New Roman" w:hAnsi="Times New Roman" w:cs="Times New Roman"/>
          <w:color w:val="000000" w:themeColor="text1"/>
          <w:sz w:val="21"/>
          <w:szCs w:val="21"/>
        </w:rPr>
        <w:t>, W. and Wihlborg, C., 2010. Financial liberalization and banking crises: A cross‐country analysis. International Review of Finance, 10(2), pp.263-292.</w:t>
      </w:r>
    </w:p>
    <w:p w14:paraId="673F884A"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Bae, K.H., </w:t>
      </w:r>
      <w:proofErr w:type="spellStart"/>
      <w:r w:rsidRPr="00424208">
        <w:rPr>
          <w:rFonts w:ascii="Times New Roman" w:hAnsi="Times New Roman" w:cs="Times New Roman"/>
          <w:color w:val="000000" w:themeColor="text1"/>
          <w:sz w:val="21"/>
          <w:szCs w:val="21"/>
        </w:rPr>
        <w:t>Ozoguz</w:t>
      </w:r>
      <w:proofErr w:type="spellEnd"/>
      <w:r w:rsidRPr="00424208">
        <w:rPr>
          <w:rFonts w:ascii="Times New Roman" w:hAnsi="Times New Roman" w:cs="Times New Roman"/>
          <w:color w:val="000000" w:themeColor="text1"/>
          <w:sz w:val="21"/>
          <w:szCs w:val="21"/>
        </w:rPr>
        <w:t xml:space="preserve">, A., Tan, H. and </w:t>
      </w:r>
      <w:proofErr w:type="spellStart"/>
      <w:r w:rsidRPr="00424208">
        <w:rPr>
          <w:rFonts w:ascii="Times New Roman" w:hAnsi="Times New Roman" w:cs="Times New Roman"/>
          <w:color w:val="000000" w:themeColor="text1"/>
          <w:sz w:val="21"/>
          <w:szCs w:val="21"/>
        </w:rPr>
        <w:t>Wirjanto</w:t>
      </w:r>
      <w:proofErr w:type="spellEnd"/>
      <w:r w:rsidRPr="00424208">
        <w:rPr>
          <w:rFonts w:ascii="Times New Roman" w:hAnsi="Times New Roman" w:cs="Times New Roman"/>
          <w:color w:val="000000" w:themeColor="text1"/>
          <w:sz w:val="21"/>
          <w:szCs w:val="21"/>
        </w:rPr>
        <w:t xml:space="preserve">, T.S., 2012. Do foreigners facilitate information transmission in emerging </w:t>
      </w:r>
      <w:proofErr w:type="gramStart"/>
      <w:r w:rsidRPr="00424208">
        <w:rPr>
          <w:rFonts w:ascii="Times New Roman" w:hAnsi="Times New Roman" w:cs="Times New Roman"/>
          <w:color w:val="000000" w:themeColor="text1"/>
          <w:sz w:val="21"/>
          <w:szCs w:val="21"/>
        </w:rPr>
        <w:t>markets?.</w:t>
      </w:r>
      <w:proofErr w:type="gramEnd"/>
      <w:r w:rsidRPr="00424208">
        <w:rPr>
          <w:rFonts w:ascii="Times New Roman" w:hAnsi="Times New Roman" w:cs="Times New Roman"/>
          <w:color w:val="000000" w:themeColor="text1"/>
          <w:sz w:val="21"/>
          <w:szCs w:val="21"/>
        </w:rPr>
        <w:t xml:space="preserve"> Journal of Financial Economics, 105(1), pp.209-227.</w:t>
      </w:r>
    </w:p>
    <w:p w14:paraId="0B5C63E4"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Bekaert, G., Harvey, C.R. and Lundblad, C., 2005. Does financial liberalization spur </w:t>
      </w:r>
      <w:proofErr w:type="gramStart"/>
      <w:r w:rsidRPr="00424208">
        <w:rPr>
          <w:rFonts w:ascii="Times New Roman" w:hAnsi="Times New Roman" w:cs="Times New Roman"/>
          <w:color w:val="000000" w:themeColor="text1"/>
          <w:sz w:val="21"/>
          <w:szCs w:val="21"/>
        </w:rPr>
        <w:t>growth?.</w:t>
      </w:r>
      <w:proofErr w:type="gramEnd"/>
      <w:r w:rsidRPr="00424208">
        <w:rPr>
          <w:rFonts w:ascii="Times New Roman" w:hAnsi="Times New Roman" w:cs="Times New Roman"/>
          <w:color w:val="000000" w:themeColor="text1"/>
          <w:sz w:val="21"/>
          <w:szCs w:val="21"/>
        </w:rPr>
        <w:t xml:space="preserve"> Journal of Financial economics, 77(1), pp.3-55.</w:t>
      </w:r>
    </w:p>
    <w:p w14:paraId="7270CF9B"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Baldacci E. and Kumar M.S.,2010</w:t>
      </w:r>
      <w:r w:rsidRPr="00424208">
        <w:rPr>
          <w:rFonts w:ascii="Times New Roman" w:hAnsi="Times New Roman" w:cs="Times New Roman"/>
          <w:color w:val="000000" w:themeColor="text1"/>
          <w:sz w:val="21"/>
          <w:szCs w:val="21"/>
        </w:rPr>
        <w:t>，</w:t>
      </w:r>
      <w:r w:rsidRPr="00424208">
        <w:rPr>
          <w:rFonts w:ascii="Times New Roman" w:hAnsi="Times New Roman" w:cs="Times New Roman"/>
          <w:color w:val="000000" w:themeColor="text1"/>
          <w:sz w:val="21"/>
          <w:szCs w:val="21"/>
        </w:rPr>
        <w:t xml:space="preserve"> Fiscal Deficits, Public Debt, and Sovereign Bond Yields, IMF Working Paper</w:t>
      </w:r>
    </w:p>
    <w:p w14:paraId="6CD96CD6"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Brennan, M.J. and Cao, H.H., 1997. International portfolio investment flows. The Journal of Finance, 52(5), pp.1851-1880.</w:t>
      </w:r>
    </w:p>
    <w:p w14:paraId="6C312D93"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proofErr w:type="spellStart"/>
      <w:r w:rsidRPr="00424208">
        <w:rPr>
          <w:rFonts w:ascii="Times New Roman" w:hAnsi="Times New Roman" w:cs="Times New Roman"/>
          <w:color w:val="000000" w:themeColor="text1"/>
          <w:sz w:val="21"/>
          <w:szCs w:val="21"/>
        </w:rPr>
        <w:t>Bussiere</w:t>
      </w:r>
      <w:proofErr w:type="spellEnd"/>
      <w:r w:rsidRPr="00424208">
        <w:rPr>
          <w:rFonts w:ascii="Times New Roman" w:hAnsi="Times New Roman" w:cs="Times New Roman"/>
          <w:color w:val="000000" w:themeColor="text1"/>
          <w:sz w:val="21"/>
          <w:szCs w:val="21"/>
        </w:rPr>
        <w:t xml:space="preserve">, M. and </w:t>
      </w:r>
      <w:proofErr w:type="spellStart"/>
      <w:r w:rsidRPr="00424208">
        <w:rPr>
          <w:rFonts w:ascii="Times New Roman" w:hAnsi="Times New Roman" w:cs="Times New Roman"/>
          <w:color w:val="000000" w:themeColor="text1"/>
          <w:sz w:val="21"/>
          <w:szCs w:val="21"/>
        </w:rPr>
        <w:t>Fratzscher</w:t>
      </w:r>
      <w:proofErr w:type="spellEnd"/>
      <w:r w:rsidRPr="00424208">
        <w:rPr>
          <w:rFonts w:ascii="Times New Roman" w:hAnsi="Times New Roman" w:cs="Times New Roman"/>
          <w:color w:val="000000" w:themeColor="text1"/>
          <w:sz w:val="21"/>
          <w:szCs w:val="21"/>
        </w:rPr>
        <w:t xml:space="preserve">, M., 2008. Financial openness and growth: Short‐run gain, long‐run </w:t>
      </w:r>
      <w:proofErr w:type="gramStart"/>
      <w:r w:rsidRPr="00424208">
        <w:rPr>
          <w:rFonts w:ascii="Times New Roman" w:hAnsi="Times New Roman" w:cs="Times New Roman"/>
          <w:color w:val="000000" w:themeColor="text1"/>
          <w:sz w:val="21"/>
          <w:szCs w:val="21"/>
        </w:rPr>
        <w:t>pain?.</w:t>
      </w:r>
      <w:proofErr w:type="gramEnd"/>
      <w:r w:rsidRPr="00424208">
        <w:rPr>
          <w:rFonts w:ascii="Times New Roman" w:hAnsi="Times New Roman" w:cs="Times New Roman"/>
          <w:color w:val="000000" w:themeColor="text1"/>
          <w:sz w:val="21"/>
          <w:szCs w:val="21"/>
        </w:rPr>
        <w:t xml:space="preserve"> Review of International Economics, 16(1), pp.69-95.</w:t>
      </w:r>
    </w:p>
    <w:p w14:paraId="35AE4688"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Chan, K., </w:t>
      </w:r>
      <w:proofErr w:type="spellStart"/>
      <w:r w:rsidRPr="00424208">
        <w:rPr>
          <w:rFonts w:ascii="Times New Roman" w:hAnsi="Times New Roman" w:cs="Times New Roman"/>
          <w:color w:val="000000" w:themeColor="text1"/>
          <w:sz w:val="21"/>
          <w:szCs w:val="21"/>
        </w:rPr>
        <w:t>Menkveld</w:t>
      </w:r>
      <w:proofErr w:type="spellEnd"/>
      <w:r w:rsidRPr="00424208">
        <w:rPr>
          <w:rFonts w:ascii="Times New Roman" w:hAnsi="Times New Roman" w:cs="Times New Roman"/>
          <w:color w:val="000000" w:themeColor="text1"/>
          <w:sz w:val="21"/>
          <w:szCs w:val="21"/>
        </w:rPr>
        <w:t>, A.J. and Yang, Z., 2008. Information asymmetry and asset prices: Evidence from the China foreign share discount. The Journal of Finance, 63(1), pp.159-196.</w:t>
      </w:r>
    </w:p>
    <w:p w14:paraId="79D4990F"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Chen, C., Huang, A.G. and Jha, R., 2012. Idiosyncratic return volatility and the information quality underlying managerial discretion. Journal of Financial and Quantitative Analysis, 47(4), pp.873-899.</w:t>
      </w:r>
    </w:p>
    <w:p w14:paraId="6C00C37E"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Choe, H., Kho, B.C. and </w:t>
      </w:r>
      <w:proofErr w:type="spellStart"/>
      <w:r w:rsidRPr="00424208">
        <w:rPr>
          <w:rFonts w:ascii="Times New Roman" w:hAnsi="Times New Roman" w:cs="Times New Roman"/>
          <w:color w:val="000000" w:themeColor="text1"/>
          <w:sz w:val="21"/>
          <w:szCs w:val="21"/>
        </w:rPr>
        <w:t>Stulz</w:t>
      </w:r>
      <w:proofErr w:type="spellEnd"/>
      <w:r w:rsidRPr="00424208">
        <w:rPr>
          <w:rFonts w:ascii="Times New Roman" w:hAnsi="Times New Roman" w:cs="Times New Roman"/>
          <w:color w:val="000000" w:themeColor="text1"/>
          <w:sz w:val="21"/>
          <w:szCs w:val="21"/>
        </w:rPr>
        <w:t>, R.M., 2005. Do domestic investors have an edge? The trading experience of foreign investors in Korea. The Review of Financial Studies, 18(3), pp.795-829.</w:t>
      </w:r>
    </w:p>
    <w:p w14:paraId="74589A1A"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Demir, F., 2004. A failure story: Politics and financial liberalization in Turkey, revisiting the revolving door hypothesis. World Development, 32(5), pp.851-869.</w:t>
      </w:r>
    </w:p>
    <w:p w14:paraId="061CD5DA"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Prasad, </w:t>
      </w:r>
      <w:proofErr w:type="spellStart"/>
      <w:r w:rsidRPr="00424208">
        <w:rPr>
          <w:rFonts w:ascii="Times New Roman" w:hAnsi="Times New Roman" w:cs="Times New Roman"/>
          <w:color w:val="000000" w:themeColor="text1"/>
          <w:sz w:val="21"/>
          <w:szCs w:val="21"/>
        </w:rPr>
        <w:t>Eswar</w:t>
      </w:r>
      <w:proofErr w:type="spellEnd"/>
      <w:r w:rsidRPr="00424208">
        <w:rPr>
          <w:rFonts w:ascii="Times New Roman" w:hAnsi="Times New Roman" w:cs="Times New Roman"/>
          <w:color w:val="000000" w:themeColor="text1"/>
          <w:sz w:val="21"/>
          <w:szCs w:val="21"/>
        </w:rPr>
        <w:t xml:space="preserve"> &amp; </w:t>
      </w:r>
      <w:proofErr w:type="spellStart"/>
      <w:r w:rsidRPr="00424208">
        <w:rPr>
          <w:rFonts w:ascii="Times New Roman" w:hAnsi="Times New Roman" w:cs="Times New Roman"/>
          <w:color w:val="000000" w:themeColor="text1"/>
          <w:sz w:val="21"/>
          <w:szCs w:val="21"/>
        </w:rPr>
        <w:t>Rajan</w:t>
      </w:r>
      <w:proofErr w:type="spellEnd"/>
      <w:r w:rsidRPr="00424208">
        <w:rPr>
          <w:rFonts w:ascii="Times New Roman" w:hAnsi="Times New Roman" w:cs="Times New Roman"/>
          <w:color w:val="000000" w:themeColor="text1"/>
          <w:sz w:val="21"/>
          <w:szCs w:val="21"/>
        </w:rPr>
        <w:t xml:space="preserve">, Raghuram. (2008). A Pragmatic Approach to Capital Account Liberalization. Journal of Economic Perspectives. 22. 149-72. </w:t>
      </w:r>
    </w:p>
    <w:p w14:paraId="1B44D028" w14:textId="77777777" w:rsidR="00424208" w:rsidRPr="00424208" w:rsidRDefault="00424208" w:rsidP="00424208">
      <w:pPr>
        <w:pStyle w:val="a4"/>
        <w:numPr>
          <w:ilvl w:val="0"/>
          <w:numId w:val="2"/>
        </w:numPr>
        <w:ind w:firstLineChars="0"/>
        <w:jc w:val="both"/>
        <w:rPr>
          <w:rFonts w:ascii="Times New Roman" w:hAnsi="Times New Roman" w:cs="Times New Roman"/>
          <w:color w:val="000000" w:themeColor="text1"/>
          <w:szCs w:val="21"/>
        </w:rPr>
      </w:pPr>
      <w:proofErr w:type="spellStart"/>
      <w:r w:rsidRPr="00424208">
        <w:rPr>
          <w:rFonts w:ascii="Times New Roman" w:hAnsi="Times New Roman" w:cs="Times New Roman"/>
          <w:color w:val="000000" w:themeColor="text1"/>
          <w:szCs w:val="21"/>
        </w:rPr>
        <w:t>Fama</w:t>
      </w:r>
      <w:proofErr w:type="spellEnd"/>
      <w:r w:rsidRPr="00424208">
        <w:rPr>
          <w:rFonts w:ascii="Times New Roman" w:hAnsi="Times New Roman" w:cs="Times New Roman"/>
          <w:color w:val="000000" w:themeColor="text1"/>
          <w:szCs w:val="21"/>
        </w:rPr>
        <w:t xml:space="preserve"> Eugene </w:t>
      </w:r>
      <w:proofErr w:type="spellStart"/>
      <w:proofErr w:type="gramStart"/>
      <w:r w:rsidRPr="00424208">
        <w:rPr>
          <w:rFonts w:ascii="Times New Roman" w:hAnsi="Times New Roman" w:cs="Times New Roman"/>
          <w:color w:val="000000" w:themeColor="text1"/>
          <w:szCs w:val="21"/>
        </w:rPr>
        <w:t>F.,French</w:t>
      </w:r>
      <w:proofErr w:type="spellEnd"/>
      <w:proofErr w:type="gramEnd"/>
      <w:r w:rsidRPr="00424208">
        <w:rPr>
          <w:rFonts w:ascii="Times New Roman" w:hAnsi="Times New Roman" w:cs="Times New Roman"/>
          <w:color w:val="000000" w:themeColor="text1"/>
          <w:szCs w:val="21"/>
        </w:rPr>
        <w:t xml:space="preserve"> Kenneth R..1993, Common risk factors in the returns on stocks and bonds[J]. North-Holland ,33(1).</w:t>
      </w:r>
    </w:p>
    <w:p w14:paraId="39F25EB5"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Fang, V.W., </w:t>
      </w:r>
      <w:proofErr w:type="spellStart"/>
      <w:r w:rsidRPr="00424208">
        <w:rPr>
          <w:rFonts w:ascii="Times New Roman" w:hAnsi="Times New Roman" w:cs="Times New Roman"/>
          <w:color w:val="000000" w:themeColor="text1"/>
          <w:sz w:val="21"/>
          <w:szCs w:val="21"/>
        </w:rPr>
        <w:t>Maffett</w:t>
      </w:r>
      <w:proofErr w:type="spellEnd"/>
      <w:r w:rsidRPr="00424208">
        <w:rPr>
          <w:rFonts w:ascii="Times New Roman" w:hAnsi="Times New Roman" w:cs="Times New Roman"/>
          <w:color w:val="000000" w:themeColor="text1"/>
          <w:sz w:val="21"/>
          <w:szCs w:val="21"/>
        </w:rPr>
        <w:t>, M. and Zhang, B., 2015. Foreign institutional ownership and the global convergence of financial reporting practices. Journal of Accounting Research, 53(3), pp.593-631.</w:t>
      </w:r>
    </w:p>
    <w:p w14:paraId="222806DE"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Ferreira, M.A. and Matos, P., 2008. The colors of investors’ money: The role of institutional investors around the world. Journal of Financial Economics, 88(3), pp.499-533.</w:t>
      </w:r>
    </w:p>
    <w:p w14:paraId="749C4691"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Cs w:val="21"/>
        </w:rPr>
      </w:pPr>
      <w:r w:rsidRPr="00424208">
        <w:rPr>
          <w:rFonts w:ascii="Times New Roman" w:hAnsi="Times New Roman" w:cs="Times New Roman"/>
          <w:color w:val="000000" w:themeColor="text1"/>
          <w:sz w:val="21"/>
          <w:szCs w:val="21"/>
        </w:rPr>
        <w:t>Gupta, N. and Yuan, K., 2009. On the growth effect of stock market liberalizations. The Review of Financial Studies, 22(11), pp.4715-4752.</w:t>
      </w:r>
    </w:p>
    <w:p w14:paraId="2A4C134D"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Cs w:val="21"/>
        </w:rPr>
      </w:pPr>
      <w:r w:rsidRPr="00424208">
        <w:rPr>
          <w:rFonts w:ascii="Times New Roman" w:hAnsi="Times New Roman" w:cs="Times New Roman"/>
          <w:color w:val="000000" w:themeColor="text1"/>
          <w:sz w:val="21"/>
          <w:szCs w:val="21"/>
        </w:rPr>
        <w:t xml:space="preserve">Gul, F.A., Kim, J.B. and </w:t>
      </w:r>
      <w:proofErr w:type="spellStart"/>
      <w:r w:rsidRPr="00424208">
        <w:rPr>
          <w:rFonts w:ascii="Times New Roman" w:hAnsi="Times New Roman" w:cs="Times New Roman"/>
          <w:color w:val="000000" w:themeColor="text1"/>
          <w:sz w:val="21"/>
          <w:szCs w:val="21"/>
        </w:rPr>
        <w:t>Qiu</w:t>
      </w:r>
      <w:proofErr w:type="spellEnd"/>
      <w:r w:rsidRPr="00424208">
        <w:rPr>
          <w:rFonts w:ascii="Times New Roman" w:hAnsi="Times New Roman" w:cs="Times New Roman"/>
          <w:color w:val="000000" w:themeColor="text1"/>
          <w:sz w:val="21"/>
          <w:szCs w:val="21"/>
        </w:rPr>
        <w:t>, A.A., 2010. Ownership concentration, foreign shareholding, audit quality, and stock price synchronicity: Evidence from China. Journal of financial economics, 95(3), pp.425-442.</w:t>
      </w:r>
    </w:p>
    <w:p w14:paraId="438D36BB"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Kim, E. and </w:t>
      </w:r>
      <w:proofErr w:type="spellStart"/>
      <w:r w:rsidRPr="00424208">
        <w:rPr>
          <w:rFonts w:ascii="Times New Roman" w:hAnsi="Times New Roman" w:cs="Times New Roman"/>
          <w:color w:val="000000" w:themeColor="text1"/>
          <w:sz w:val="21"/>
          <w:szCs w:val="21"/>
        </w:rPr>
        <w:t>Singal</w:t>
      </w:r>
      <w:proofErr w:type="spellEnd"/>
      <w:r w:rsidRPr="00424208">
        <w:rPr>
          <w:rFonts w:ascii="Times New Roman" w:hAnsi="Times New Roman" w:cs="Times New Roman"/>
          <w:color w:val="000000" w:themeColor="text1"/>
          <w:sz w:val="21"/>
          <w:szCs w:val="21"/>
        </w:rPr>
        <w:t>, V., 2000. Stock market openings: Experience of emerging economies. The Journal of Business, 73(1), pp.25-66.</w:t>
      </w:r>
    </w:p>
    <w:p w14:paraId="1B7981E5"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proofErr w:type="spellStart"/>
      <w:r w:rsidRPr="00424208">
        <w:rPr>
          <w:rFonts w:ascii="Times New Roman" w:hAnsi="Times New Roman" w:cs="Times New Roman"/>
          <w:color w:val="000000" w:themeColor="text1"/>
          <w:sz w:val="21"/>
          <w:szCs w:val="21"/>
        </w:rPr>
        <w:t>Jin</w:t>
      </w:r>
      <w:proofErr w:type="spellEnd"/>
      <w:r w:rsidRPr="00424208">
        <w:rPr>
          <w:rFonts w:ascii="Times New Roman" w:hAnsi="Times New Roman" w:cs="Times New Roman"/>
          <w:color w:val="000000" w:themeColor="text1"/>
          <w:sz w:val="21"/>
          <w:szCs w:val="21"/>
        </w:rPr>
        <w:t xml:space="preserve">, L. and Myers, S.C., 2006. R2 around the world: </w:t>
      </w:r>
      <w:proofErr w:type="gramStart"/>
      <w:r w:rsidRPr="00424208">
        <w:rPr>
          <w:rFonts w:ascii="Times New Roman" w:hAnsi="Times New Roman" w:cs="Times New Roman"/>
          <w:color w:val="000000" w:themeColor="text1"/>
          <w:sz w:val="21"/>
          <w:szCs w:val="21"/>
        </w:rPr>
        <w:t>New</w:t>
      </w:r>
      <w:proofErr w:type="gramEnd"/>
      <w:r w:rsidRPr="00424208">
        <w:rPr>
          <w:rFonts w:ascii="Times New Roman" w:hAnsi="Times New Roman" w:cs="Times New Roman"/>
          <w:color w:val="000000" w:themeColor="text1"/>
          <w:sz w:val="21"/>
          <w:szCs w:val="21"/>
        </w:rPr>
        <w:t xml:space="preserve"> theory and new tests. Journal of financial Economics, 79(2), pp.257-292.</w:t>
      </w:r>
    </w:p>
    <w:p w14:paraId="1F78FF7E"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Li, D., Nguyen, Q.N., Pham, P.K. and Wei, S.X., 2011. Large foreign ownership and firm-level stock return volatility in emerging markets. Journal of Financial and Quantitative Analysis, 46(4), pp.1127-1155.</w:t>
      </w:r>
    </w:p>
    <w:p w14:paraId="7FEE3B51"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Li, B., </w:t>
      </w:r>
      <w:proofErr w:type="spellStart"/>
      <w:r w:rsidRPr="00424208">
        <w:rPr>
          <w:rFonts w:ascii="Times New Roman" w:hAnsi="Times New Roman" w:cs="Times New Roman"/>
          <w:color w:val="000000" w:themeColor="text1"/>
          <w:sz w:val="21"/>
          <w:szCs w:val="21"/>
        </w:rPr>
        <w:t>Rajgopal</w:t>
      </w:r>
      <w:proofErr w:type="spellEnd"/>
      <w:r w:rsidRPr="00424208">
        <w:rPr>
          <w:rFonts w:ascii="Times New Roman" w:hAnsi="Times New Roman" w:cs="Times New Roman"/>
          <w:color w:val="000000" w:themeColor="text1"/>
          <w:sz w:val="21"/>
          <w:szCs w:val="21"/>
        </w:rPr>
        <w:t>, S. and Venkatachalam, M., 2014. R2 and idiosyncratic risk are not interchangeable. The Accounting Review, 89(6), pp.2261-2295.</w:t>
      </w:r>
    </w:p>
    <w:p w14:paraId="71669B9E"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proofErr w:type="spellStart"/>
      <w:r w:rsidRPr="00424208">
        <w:rPr>
          <w:rFonts w:ascii="Times New Roman" w:hAnsi="Times New Roman" w:cs="Times New Roman"/>
          <w:color w:val="000000" w:themeColor="text1"/>
          <w:sz w:val="21"/>
          <w:szCs w:val="21"/>
        </w:rPr>
        <w:t>Morck</w:t>
      </w:r>
      <w:proofErr w:type="spellEnd"/>
      <w:r w:rsidRPr="00424208">
        <w:rPr>
          <w:rFonts w:ascii="Times New Roman" w:hAnsi="Times New Roman" w:cs="Times New Roman"/>
          <w:color w:val="000000" w:themeColor="text1"/>
          <w:sz w:val="21"/>
          <w:szCs w:val="21"/>
        </w:rPr>
        <w:t xml:space="preserve">, R., Yeung, B. and Yu, W., 2000. The information content of stock markets: why do emerging markets have synchronous stock price </w:t>
      </w:r>
      <w:proofErr w:type="gramStart"/>
      <w:r w:rsidRPr="00424208">
        <w:rPr>
          <w:rFonts w:ascii="Times New Roman" w:hAnsi="Times New Roman" w:cs="Times New Roman"/>
          <w:color w:val="000000" w:themeColor="text1"/>
          <w:sz w:val="21"/>
          <w:szCs w:val="21"/>
        </w:rPr>
        <w:t>movements?.</w:t>
      </w:r>
      <w:proofErr w:type="gramEnd"/>
      <w:r w:rsidRPr="00424208">
        <w:rPr>
          <w:rFonts w:ascii="Times New Roman" w:hAnsi="Times New Roman" w:cs="Times New Roman"/>
          <w:color w:val="000000" w:themeColor="text1"/>
          <w:sz w:val="21"/>
          <w:szCs w:val="21"/>
        </w:rPr>
        <w:t xml:space="preserve"> Journal of financial economics, 58(1-2), pp.215-260. </w:t>
      </w:r>
    </w:p>
    <w:p w14:paraId="086CECB8"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Ray </w:t>
      </w:r>
      <w:proofErr w:type="spellStart"/>
      <w:r w:rsidRPr="00424208">
        <w:rPr>
          <w:rFonts w:ascii="Times New Roman" w:hAnsi="Times New Roman" w:cs="Times New Roman"/>
          <w:color w:val="000000" w:themeColor="text1"/>
          <w:sz w:val="21"/>
          <w:szCs w:val="21"/>
        </w:rPr>
        <w:t>Dalio</w:t>
      </w:r>
      <w:proofErr w:type="spellEnd"/>
      <w:r w:rsidRPr="00424208">
        <w:rPr>
          <w:rFonts w:ascii="Times New Roman" w:hAnsi="Times New Roman" w:cs="Times New Roman"/>
          <w:color w:val="000000" w:themeColor="text1"/>
          <w:sz w:val="21"/>
          <w:szCs w:val="21"/>
        </w:rPr>
        <w:t xml:space="preserve">, Larry </w:t>
      </w:r>
      <w:proofErr w:type="spellStart"/>
      <w:r w:rsidRPr="00424208">
        <w:rPr>
          <w:rFonts w:ascii="Times New Roman" w:hAnsi="Times New Roman" w:cs="Times New Roman"/>
          <w:color w:val="000000" w:themeColor="text1"/>
          <w:sz w:val="21"/>
          <w:szCs w:val="21"/>
        </w:rPr>
        <w:t>Cofsky</w:t>
      </w:r>
      <w:proofErr w:type="spellEnd"/>
      <w:r w:rsidRPr="00424208">
        <w:rPr>
          <w:rFonts w:ascii="Times New Roman" w:hAnsi="Times New Roman" w:cs="Times New Roman"/>
          <w:color w:val="000000" w:themeColor="text1"/>
          <w:sz w:val="21"/>
          <w:szCs w:val="21"/>
        </w:rPr>
        <w:t xml:space="preserve">, Steven </w:t>
      </w:r>
      <w:proofErr w:type="spellStart"/>
      <w:r w:rsidRPr="00424208">
        <w:rPr>
          <w:rFonts w:ascii="Times New Roman" w:hAnsi="Times New Roman" w:cs="Times New Roman"/>
          <w:color w:val="000000" w:themeColor="text1"/>
          <w:sz w:val="21"/>
          <w:szCs w:val="21"/>
        </w:rPr>
        <w:t>Kryger</w:t>
      </w:r>
      <w:proofErr w:type="spellEnd"/>
      <w:r w:rsidRPr="00424208">
        <w:rPr>
          <w:rFonts w:ascii="Times New Roman" w:hAnsi="Times New Roman" w:cs="Times New Roman"/>
          <w:color w:val="000000" w:themeColor="text1"/>
          <w:sz w:val="21"/>
          <w:szCs w:val="21"/>
        </w:rPr>
        <w:t xml:space="preserve"> and Sean Macrae, China: Looking Back &amp; Looking Ahead</w:t>
      </w:r>
    </w:p>
    <w:p w14:paraId="55C20D1C"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proofErr w:type="spellStart"/>
      <w:r w:rsidRPr="00424208">
        <w:rPr>
          <w:rFonts w:ascii="Times New Roman" w:hAnsi="Times New Roman" w:cs="Times New Roman"/>
          <w:color w:val="000000" w:themeColor="text1"/>
          <w:sz w:val="21"/>
          <w:szCs w:val="21"/>
        </w:rPr>
        <w:t>Rajgopal</w:t>
      </w:r>
      <w:proofErr w:type="spellEnd"/>
      <w:r w:rsidRPr="00424208">
        <w:rPr>
          <w:rFonts w:ascii="Times New Roman" w:hAnsi="Times New Roman" w:cs="Times New Roman"/>
          <w:color w:val="000000" w:themeColor="text1"/>
          <w:sz w:val="21"/>
          <w:szCs w:val="21"/>
        </w:rPr>
        <w:t>, S. and Venkatachalam, M., 2011. Financial reporting quality and idiosyncratic return volatility. Journal of Accounting and Economics, 51(1-2), pp.1-20.</w:t>
      </w:r>
    </w:p>
    <w:p w14:paraId="107DC2D7"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proofErr w:type="spellStart"/>
      <w:r w:rsidRPr="00424208">
        <w:rPr>
          <w:rFonts w:ascii="Times New Roman" w:hAnsi="Times New Roman" w:cs="Times New Roman"/>
          <w:color w:val="000000" w:themeColor="text1"/>
          <w:sz w:val="21"/>
          <w:szCs w:val="21"/>
        </w:rPr>
        <w:t>Schuppli</w:t>
      </w:r>
      <w:proofErr w:type="spellEnd"/>
      <w:r w:rsidRPr="00424208">
        <w:rPr>
          <w:rFonts w:ascii="Times New Roman" w:hAnsi="Times New Roman" w:cs="Times New Roman"/>
          <w:color w:val="000000" w:themeColor="text1"/>
          <w:sz w:val="21"/>
          <w:szCs w:val="21"/>
        </w:rPr>
        <w:t xml:space="preserve">, M. and </w:t>
      </w:r>
      <w:proofErr w:type="spellStart"/>
      <w:r w:rsidRPr="00424208">
        <w:rPr>
          <w:rFonts w:ascii="Times New Roman" w:hAnsi="Times New Roman" w:cs="Times New Roman"/>
          <w:color w:val="000000" w:themeColor="text1"/>
          <w:sz w:val="21"/>
          <w:szCs w:val="21"/>
        </w:rPr>
        <w:t>Bohl</w:t>
      </w:r>
      <w:proofErr w:type="spellEnd"/>
      <w:r w:rsidRPr="00424208">
        <w:rPr>
          <w:rFonts w:ascii="Times New Roman" w:hAnsi="Times New Roman" w:cs="Times New Roman"/>
          <w:color w:val="000000" w:themeColor="text1"/>
          <w:sz w:val="21"/>
          <w:szCs w:val="21"/>
        </w:rPr>
        <w:t xml:space="preserve">, M.T., 2010. Do foreign institutional investors destabilize China’s A-share </w:t>
      </w:r>
      <w:proofErr w:type="gramStart"/>
      <w:r w:rsidRPr="00424208">
        <w:rPr>
          <w:rFonts w:ascii="Times New Roman" w:hAnsi="Times New Roman" w:cs="Times New Roman"/>
          <w:color w:val="000000" w:themeColor="text1"/>
          <w:sz w:val="21"/>
          <w:szCs w:val="21"/>
        </w:rPr>
        <w:t>markets?.</w:t>
      </w:r>
      <w:proofErr w:type="gramEnd"/>
      <w:r w:rsidRPr="00424208">
        <w:rPr>
          <w:rFonts w:ascii="Times New Roman" w:hAnsi="Times New Roman" w:cs="Times New Roman"/>
          <w:color w:val="000000" w:themeColor="text1"/>
          <w:sz w:val="21"/>
          <w:szCs w:val="21"/>
        </w:rPr>
        <w:t xml:space="preserve"> Journal of International Financial Markets, Institutions and Money, 20(1), pp.36-50.</w:t>
      </w:r>
    </w:p>
    <w:p w14:paraId="43A87983"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Stiglitz, J.E., 2000. Capital market liberalization, economic growth, and instability. World development, 28(6), pp.1075-1086.</w:t>
      </w:r>
    </w:p>
    <w:p w14:paraId="314A7467"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Stiglitz, and E. </w:t>
      </w:r>
      <w:proofErr w:type="gramStart"/>
      <w:r w:rsidRPr="00424208">
        <w:rPr>
          <w:rFonts w:ascii="Times New Roman" w:hAnsi="Times New Roman" w:cs="Times New Roman"/>
          <w:color w:val="000000" w:themeColor="text1"/>
          <w:sz w:val="21"/>
          <w:szCs w:val="21"/>
        </w:rPr>
        <w:t>Joseph .</w:t>
      </w:r>
      <w:proofErr w:type="gramEnd"/>
      <w:r w:rsidRPr="00424208">
        <w:rPr>
          <w:rFonts w:ascii="Times New Roman" w:hAnsi="Times New Roman" w:cs="Times New Roman"/>
          <w:color w:val="000000" w:themeColor="text1"/>
          <w:sz w:val="21"/>
          <w:szCs w:val="21"/>
        </w:rPr>
        <w:t xml:space="preserve"> "Risk and Global Economic Architecture: Why Full Financial Integration May Be Undesirable." American Economic Review 100.2(2010):388-392.</w:t>
      </w:r>
    </w:p>
    <w:p w14:paraId="106056C8"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Kaminsky, Graciela </w:t>
      </w:r>
      <w:proofErr w:type="gramStart"/>
      <w:r w:rsidRPr="00424208">
        <w:rPr>
          <w:rFonts w:ascii="Times New Roman" w:hAnsi="Times New Roman" w:cs="Times New Roman"/>
          <w:color w:val="000000" w:themeColor="text1"/>
          <w:sz w:val="21"/>
          <w:szCs w:val="21"/>
        </w:rPr>
        <w:t>L ,</w:t>
      </w:r>
      <w:proofErr w:type="gramEnd"/>
      <w:r w:rsidRPr="00424208">
        <w:rPr>
          <w:rFonts w:ascii="Times New Roman" w:hAnsi="Times New Roman" w:cs="Times New Roman"/>
          <w:color w:val="000000" w:themeColor="text1"/>
          <w:sz w:val="21"/>
          <w:szCs w:val="21"/>
        </w:rPr>
        <w:t xml:space="preserve"> and C. M. Reinhart . "The Twin Crises: The Causes of Banking and Balance-of-Payments Problems." American Economic Review 89.3(1999):473-500.</w:t>
      </w:r>
    </w:p>
    <w:p w14:paraId="5AEDF572"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r w:rsidRPr="00424208">
        <w:rPr>
          <w:rFonts w:ascii="Times New Roman" w:hAnsi="Times New Roman" w:cs="Times New Roman"/>
          <w:color w:val="000000" w:themeColor="text1"/>
          <w:sz w:val="21"/>
          <w:szCs w:val="21"/>
        </w:rPr>
        <w:t xml:space="preserve">Kaminsky, G.L. and </w:t>
      </w:r>
      <w:proofErr w:type="spellStart"/>
      <w:r w:rsidRPr="00424208">
        <w:rPr>
          <w:rFonts w:ascii="Times New Roman" w:hAnsi="Times New Roman" w:cs="Times New Roman"/>
          <w:color w:val="000000" w:themeColor="text1"/>
          <w:sz w:val="21"/>
          <w:szCs w:val="21"/>
        </w:rPr>
        <w:t>Schmukler</w:t>
      </w:r>
      <w:proofErr w:type="spellEnd"/>
      <w:r w:rsidRPr="00424208">
        <w:rPr>
          <w:rFonts w:ascii="Times New Roman" w:hAnsi="Times New Roman" w:cs="Times New Roman"/>
          <w:color w:val="000000" w:themeColor="text1"/>
          <w:sz w:val="21"/>
          <w:szCs w:val="21"/>
        </w:rPr>
        <w:t>, S.L., 2008. Short-run pain, long-run gain: Financial liberalization and stock market cycles. Review of Finance, 12(2), pp.253-292.</w:t>
      </w:r>
    </w:p>
    <w:p w14:paraId="75EDF87E" w14:textId="77777777" w:rsidR="00424208" w:rsidRPr="00424208" w:rsidRDefault="00424208" w:rsidP="00424208">
      <w:pPr>
        <w:numPr>
          <w:ilvl w:val="0"/>
          <w:numId w:val="2"/>
        </w:numPr>
        <w:spacing w:before="60" w:line="320" w:lineRule="exact"/>
        <w:jc w:val="both"/>
        <w:rPr>
          <w:rFonts w:ascii="Times New Roman" w:hAnsi="Times New Roman" w:cs="Times New Roman"/>
          <w:color w:val="000000" w:themeColor="text1"/>
          <w:sz w:val="21"/>
          <w:szCs w:val="21"/>
        </w:rPr>
      </w:pPr>
      <w:proofErr w:type="spellStart"/>
      <w:r w:rsidRPr="00424208">
        <w:rPr>
          <w:rFonts w:ascii="Times New Roman" w:hAnsi="Times New Roman" w:cs="Times New Roman"/>
          <w:color w:val="000000" w:themeColor="text1"/>
          <w:sz w:val="21"/>
          <w:szCs w:val="21"/>
        </w:rPr>
        <w:t>Umutlu</w:t>
      </w:r>
      <w:proofErr w:type="spellEnd"/>
      <w:r w:rsidRPr="00424208">
        <w:rPr>
          <w:rFonts w:ascii="Times New Roman" w:hAnsi="Times New Roman" w:cs="Times New Roman"/>
          <w:color w:val="000000" w:themeColor="text1"/>
          <w:sz w:val="21"/>
          <w:szCs w:val="21"/>
        </w:rPr>
        <w:t>, M., Akdeniz, L. and Altay-Salih, A., 2010. The degree of financial liberalization and aggregated stock-return volatility in emerging markets. Journal of banking &amp; finance, 34(3), pp.509-521.</w:t>
      </w:r>
    </w:p>
    <w:p w14:paraId="5ABFFC90" w14:textId="124906D1" w:rsidR="000D7C0D" w:rsidRPr="00424208" w:rsidRDefault="000D7C0D" w:rsidP="002A40F7">
      <w:pPr>
        <w:jc w:val="both"/>
        <w:rPr>
          <w:rFonts w:ascii="Times New Roman" w:hAnsi="Times New Roman" w:cs="Times New Roman"/>
        </w:rPr>
      </w:pPr>
    </w:p>
    <w:p w14:paraId="169745FD" w14:textId="4464A804" w:rsidR="000D7C0D" w:rsidRPr="004760F1" w:rsidRDefault="000D7C0D" w:rsidP="002A40F7">
      <w:pPr>
        <w:jc w:val="both"/>
        <w:rPr>
          <w:rFonts w:ascii="Times New Roman" w:hAnsi="Times New Roman" w:cs="Times New Roman"/>
        </w:rPr>
      </w:pPr>
    </w:p>
    <w:p w14:paraId="648E88A1" w14:textId="77777777" w:rsidR="000D7C0D" w:rsidRPr="004760F1" w:rsidRDefault="000D7C0D" w:rsidP="002A40F7">
      <w:pPr>
        <w:jc w:val="both"/>
        <w:rPr>
          <w:rFonts w:ascii="Times New Roman" w:hAnsi="Times New Roman" w:cs="Times New Roman"/>
        </w:rPr>
      </w:pPr>
    </w:p>
    <w:p w14:paraId="47193CA0" w14:textId="2E3792EE" w:rsidR="00063843" w:rsidRPr="004760F1" w:rsidRDefault="00063843" w:rsidP="002A40F7">
      <w:pPr>
        <w:jc w:val="both"/>
        <w:rPr>
          <w:rFonts w:ascii="Times New Roman" w:hAnsi="Times New Roman" w:cs="Times New Roman"/>
        </w:rPr>
      </w:pPr>
    </w:p>
    <w:p w14:paraId="3BB4F6F4" w14:textId="2872BC7E" w:rsidR="00063843" w:rsidRPr="004760F1" w:rsidRDefault="00063843" w:rsidP="002A40F7">
      <w:pPr>
        <w:jc w:val="both"/>
        <w:rPr>
          <w:rFonts w:ascii="Times New Roman" w:hAnsi="Times New Roman" w:cs="Times New Roman"/>
        </w:rPr>
      </w:pPr>
    </w:p>
    <w:p w14:paraId="54B5FD0C" w14:textId="64B995F1" w:rsidR="00063843" w:rsidRPr="004760F1" w:rsidRDefault="00063843" w:rsidP="002A40F7">
      <w:pPr>
        <w:jc w:val="both"/>
        <w:rPr>
          <w:rFonts w:ascii="Times New Roman" w:hAnsi="Times New Roman" w:cs="Times New Roman"/>
        </w:rPr>
      </w:pPr>
    </w:p>
    <w:p w14:paraId="3EBA1D8F" w14:textId="77777777" w:rsidR="00063843" w:rsidRPr="004760F1" w:rsidRDefault="00063843" w:rsidP="002A40F7">
      <w:pPr>
        <w:jc w:val="both"/>
        <w:rPr>
          <w:rFonts w:ascii="Times New Roman" w:hAnsi="Times New Roman" w:cs="Times New Roman"/>
        </w:rPr>
      </w:pPr>
    </w:p>
    <w:sectPr w:rsidR="00063843" w:rsidRPr="004760F1" w:rsidSect="00013ED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FB27" w14:textId="77777777" w:rsidR="00E33601" w:rsidRDefault="00E33601" w:rsidP="00746CC7">
      <w:r>
        <w:separator/>
      </w:r>
    </w:p>
  </w:endnote>
  <w:endnote w:type="continuationSeparator" w:id="0">
    <w:p w14:paraId="20F77BEF" w14:textId="77777777" w:rsidR="00E33601" w:rsidRDefault="00E33601" w:rsidP="0074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D6A" w14:textId="77777777" w:rsidR="00E33601" w:rsidRDefault="00E33601" w:rsidP="00746CC7">
      <w:r>
        <w:separator/>
      </w:r>
    </w:p>
  </w:footnote>
  <w:footnote w:type="continuationSeparator" w:id="0">
    <w:p w14:paraId="58337CAD" w14:textId="77777777" w:rsidR="00E33601" w:rsidRDefault="00E33601" w:rsidP="00746CC7">
      <w:r>
        <w:continuationSeparator/>
      </w:r>
    </w:p>
  </w:footnote>
  <w:footnote w:id="1">
    <w:p w14:paraId="24296946" w14:textId="70473534" w:rsidR="00746CC7" w:rsidRPr="00746CC7" w:rsidRDefault="00746CC7">
      <w:pPr>
        <w:pStyle w:val="a9"/>
        <w:rPr>
          <w:rFonts w:ascii="Times New Roman" w:hAnsi="Times New Roman" w:cs="Times New Roman"/>
        </w:rPr>
      </w:pPr>
      <w:r w:rsidRPr="00746CC7">
        <w:rPr>
          <w:rStyle w:val="ab"/>
          <w:rFonts w:ascii="Times New Roman" w:hAnsi="Times New Roman" w:cs="Times New Roman"/>
        </w:rPr>
        <w:footnoteRef/>
      </w:r>
      <w:r w:rsidRPr="00746CC7">
        <w:rPr>
          <w:rFonts w:ascii="Times New Roman" w:hAnsi="Times New Roman" w:cs="Times New Roman"/>
        </w:rPr>
        <w:t xml:space="preserve"> PBC School of Finance, Tsinghua University, China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AFF"/>
    <w:multiLevelType w:val="hybridMultilevel"/>
    <w:tmpl w:val="7020E868"/>
    <w:lvl w:ilvl="0" w:tplc="E176F740">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1444036"/>
    <w:multiLevelType w:val="hybridMultilevel"/>
    <w:tmpl w:val="F8CA123A"/>
    <w:lvl w:ilvl="0" w:tplc="E46CB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5F"/>
    <w:rsid w:val="00007625"/>
    <w:rsid w:val="000101E3"/>
    <w:rsid w:val="00013EDA"/>
    <w:rsid w:val="00057FE9"/>
    <w:rsid w:val="00063843"/>
    <w:rsid w:val="000948B1"/>
    <w:rsid w:val="000A0B9C"/>
    <w:rsid w:val="000A39CA"/>
    <w:rsid w:val="000B63DB"/>
    <w:rsid w:val="000D2003"/>
    <w:rsid w:val="000D731B"/>
    <w:rsid w:val="000D7C0D"/>
    <w:rsid w:val="000E47D1"/>
    <w:rsid w:val="0010108B"/>
    <w:rsid w:val="00116EEB"/>
    <w:rsid w:val="001223BD"/>
    <w:rsid w:val="00135D0C"/>
    <w:rsid w:val="001411BD"/>
    <w:rsid w:val="001804F5"/>
    <w:rsid w:val="00196983"/>
    <w:rsid w:val="001C744F"/>
    <w:rsid w:val="001D0DDE"/>
    <w:rsid w:val="001E5E6A"/>
    <w:rsid w:val="001F0CF7"/>
    <w:rsid w:val="00203FBC"/>
    <w:rsid w:val="00204F2C"/>
    <w:rsid w:val="00232CF1"/>
    <w:rsid w:val="00245C4E"/>
    <w:rsid w:val="00260175"/>
    <w:rsid w:val="0027046C"/>
    <w:rsid w:val="00274943"/>
    <w:rsid w:val="00292DCA"/>
    <w:rsid w:val="002A2793"/>
    <w:rsid w:val="002A2DB7"/>
    <w:rsid w:val="002A40F7"/>
    <w:rsid w:val="002C12A0"/>
    <w:rsid w:val="002D2E7A"/>
    <w:rsid w:val="002D7074"/>
    <w:rsid w:val="0030363A"/>
    <w:rsid w:val="00335ADA"/>
    <w:rsid w:val="00361A67"/>
    <w:rsid w:val="003869D7"/>
    <w:rsid w:val="003925E6"/>
    <w:rsid w:val="003E0E8F"/>
    <w:rsid w:val="00414D49"/>
    <w:rsid w:val="0041698E"/>
    <w:rsid w:val="004200AA"/>
    <w:rsid w:val="00424208"/>
    <w:rsid w:val="0042544B"/>
    <w:rsid w:val="004331B0"/>
    <w:rsid w:val="00435C4C"/>
    <w:rsid w:val="00442638"/>
    <w:rsid w:val="00444093"/>
    <w:rsid w:val="004441B7"/>
    <w:rsid w:val="00447A14"/>
    <w:rsid w:val="004670FF"/>
    <w:rsid w:val="00471E3F"/>
    <w:rsid w:val="00473F8B"/>
    <w:rsid w:val="004760F1"/>
    <w:rsid w:val="0049326F"/>
    <w:rsid w:val="00495DEB"/>
    <w:rsid w:val="00497007"/>
    <w:rsid w:val="004D198A"/>
    <w:rsid w:val="004D7770"/>
    <w:rsid w:val="00506958"/>
    <w:rsid w:val="00514917"/>
    <w:rsid w:val="00517C81"/>
    <w:rsid w:val="00520BE3"/>
    <w:rsid w:val="00524C2A"/>
    <w:rsid w:val="0053500D"/>
    <w:rsid w:val="00541DD7"/>
    <w:rsid w:val="00593EAA"/>
    <w:rsid w:val="005B335D"/>
    <w:rsid w:val="005D063F"/>
    <w:rsid w:val="005D347D"/>
    <w:rsid w:val="005F2AFA"/>
    <w:rsid w:val="006154CA"/>
    <w:rsid w:val="00634D2B"/>
    <w:rsid w:val="0064205F"/>
    <w:rsid w:val="006460BE"/>
    <w:rsid w:val="006A459F"/>
    <w:rsid w:val="006B5B59"/>
    <w:rsid w:val="006C1ACF"/>
    <w:rsid w:val="006F0595"/>
    <w:rsid w:val="00703F8B"/>
    <w:rsid w:val="0071013D"/>
    <w:rsid w:val="00720CEA"/>
    <w:rsid w:val="007364A7"/>
    <w:rsid w:val="00746CC7"/>
    <w:rsid w:val="00756407"/>
    <w:rsid w:val="00771D0A"/>
    <w:rsid w:val="007764DA"/>
    <w:rsid w:val="007B61BF"/>
    <w:rsid w:val="007D722C"/>
    <w:rsid w:val="007E6586"/>
    <w:rsid w:val="00804D9F"/>
    <w:rsid w:val="0082008B"/>
    <w:rsid w:val="0083051C"/>
    <w:rsid w:val="0084764F"/>
    <w:rsid w:val="00864622"/>
    <w:rsid w:val="0086522D"/>
    <w:rsid w:val="00871188"/>
    <w:rsid w:val="00893440"/>
    <w:rsid w:val="008A2C80"/>
    <w:rsid w:val="008A5434"/>
    <w:rsid w:val="008C03DF"/>
    <w:rsid w:val="008E4C5F"/>
    <w:rsid w:val="008E5DF4"/>
    <w:rsid w:val="008F462D"/>
    <w:rsid w:val="00903D34"/>
    <w:rsid w:val="00904E0C"/>
    <w:rsid w:val="00936AE0"/>
    <w:rsid w:val="009556D3"/>
    <w:rsid w:val="00971C6B"/>
    <w:rsid w:val="009778E2"/>
    <w:rsid w:val="00983328"/>
    <w:rsid w:val="009939C8"/>
    <w:rsid w:val="00994752"/>
    <w:rsid w:val="009A79C1"/>
    <w:rsid w:val="009B166F"/>
    <w:rsid w:val="009D559D"/>
    <w:rsid w:val="009E4DAB"/>
    <w:rsid w:val="00A00DA1"/>
    <w:rsid w:val="00A26899"/>
    <w:rsid w:val="00A34A9C"/>
    <w:rsid w:val="00A35BC5"/>
    <w:rsid w:val="00A364B2"/>
    <w:rsid w:val="00A431DE"/>
    <w:rsid w:val="00A479DC"/>
    <w:rsid w:val="00A5016F"/>
    <w:rsid w:val="00AA677C"/>
    <w:rsid w:val="00AB789F"/>
    <w:rsid w:val="00AC2333"/>
    <w:rsid w:val="00AC745C"/>
    <w:rsid w:val="00B0422F"/>
    <w:rsid w:val="00B11366"/>
    <w:rsid w:val="00B17EB3"/>
    <w:rsid w:val="00B22D90"/>
    <w:rsid w:val="00B4056A"/>
    <w:rsid w:val="00B428AE"/>
    <w:rsid w:val="00B4700B"/>
    <w:rsid w:val="00B67F55"/>
    <w:rsid w:val="00B91456"/>
    <w:rsid w:val="00BA07AC"/>
    <w:rsid w:val="00BA411A"/>
    <w:rsid w:val="00BC1E5C"/>
    <w:rsid w:val="00BC3017"/>
    <w:rsid w:val="00BC630E"/>
    <w:rsid w:val="00BF04C7"/>
    <w:rsid w:val="00BF6330"/>
    <w:rsid w:val="00BF6F18"/>
    <w:rsid w:val="00C0528E"/>
    <w:rsid w:val="00C06C93"/>
    <w:rsid w:val="00C15469"/>
    <w:rsid w:val="00C2550B"/>
    <w:rsid w:val="00C27224"/>
    <w:rsid w:val="00C30740"/>
    <w:rsid w:val="00C30794"/>
    <w:rsid w:val="00C307C2"/>
    <w:rsid w:val="00C40F44"/>
    <w:rsid w:val="00C47998"/>
    <w:rsid w:val="00C50A3E"/>
    <w:rsid w:val="00C50AE5"/>
    <w:rsid w:val="00C53D27"/>
    <w:rsid w:val="00C67D27"/>
    <w:rsid w:val="00C865A7"/>
    <w:rsid w:val="00C95080"/>
    <w:rsid w:val="00CC0571"/>
    <w:rsid w:val="00D15BD3"/>
    <w:rsid w:val="00D308DA"/>
    <w:rsid w:val="00D331ED"/>
    <w:rsid w:val="00D6140C"/>
    <w:rsid w:val="00D7569D"/>
    <w:rsid w:val="00D7782D"/>
    <w:rsid w:val="00D778A9"/>
    <w:rsid w:val="00D8675B"/>
    <w:rsid w:val="00D967DE"/>
    <w:rsid w:val="00DC5B13"/>
    <w:rsid w:val="00DC719D"/>
    <w:rsid w:val="00DE0C78"/>
    <w:rsid w:val="00DE745F"/>
    <w:rsid w:val="00DF6119"/>
    <w:rsid w:val="00E105D2"/>
    <w:rsid w:val="00E1680E"/>
    <w:rsid w:val="00E20A31"/>
    <w:rsid w:val="00E210EA"/>
    <w:rsid w:val="00E22116"/>
    <w:rsid w:val="00E24C04"/>
    <w:rsid w:val="00E26776"/>
    <w:rsid w:val="00E33601"/>
    <w:rsid w:val="00E403D0"/>
    <w:rsid w:val="00E43D4C"/>
    <w:rsid w:val="00E65D82"/>
    <w:rsid w:val="00E6690A"/>
    <w:rsid w:val="00E90BEF"/>
    <w:rsid w:val="00EB0080"/>
    <w:rsid w:val="00EB2443"/>
    <w:rsid w:val="00EB326D"/>
    <w:rsid w:val="00EB3409"/>
    <w:rsid w:val="00EC2DE8"/>
    <w:rsid w:val="00EC35EB"/>
    <w:rsid w:val="00EC6FE3"/>
    <w:rsid w:val="00ED10CC"/>
    <w:rsid w:val="00ED5FE4"/>
    <w:rsid w:val="00EE1611"/>
    <w:rsid w:val="00EE6E4B"/>
    <w:rsid w:val="00EF06D9"/>
    <w:rsid w:val="00EF5F85"/>
    <w:rsid w:val="00F17E64"/>
    <w:rsid w:val="00F25B08"/>
    <w:rsid w:val="00F27316"/>
    <w:rsid w:val="00F326AD"/>
    <w:rsid w:val="00F43C15"/>
    <w:rsid w:val="00F60990"/>
    <w:rsid w:val="00F82180"/>
    <w:rsid w:val="00F8451B"/>
    <w:rsid w:val="00F8732D"/>
    <w:rsid w:val="00F94113"/>
    <w:rsid w:val="00F945DB"/>
    <w:rsid w:val="00FA2022"/>
    <w:rsid w:val="00FB4ADD"/>
    <w:rsid w:val="00FC2C51"/>
    <w:rsid w:val="00FD03B7"/>
    <w:rsid w:val="00FD409E"/>
    <w:rsid w:val="00FE2916"/>
    <w:rsid w:val="00FE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6EB8"/>
  <w15:docId w15:val="{1E113C1C-52F8-544A-B267-96ACC9C7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595"/>
    <w:rPr>
      <w:rFonts w:ascii="宋体" w:eastAsia="宋体" w:hAnsi="宋体" w:cs="宋体"/>
      <w:kern w:val="0"/>
    </w:rPr>
  </w:style>
  <w:style w:type="paragraph" w:styleId="1">
    <w:name w:val="heading 1"/>
    <w:basedOn w:val="a"/>
    <w:next w:val="a"/>
    <w:link w:val="10"/>
    <w:uiPriority w:val="9"/>
    <w:qFormat/>
    <w:rsid w:val="00C15469"/>
    <w:pPr>
      <w:keepNext/>
      <w:keepLines/>
      <w:spacing w:before="340" w:after="330" w:line="578" w:lineRule="auto"/>
      <w:outlineLvl w:val="0"/>
    </w:pPr>
    <w:rPr>
      <w:rFonts w:eastAsia="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
    <w:basedOn w:val="a"/>
    <w:rsid w:val="006F0595"/>
    <w:pPr>
      <w:spacing w:line="420" w:lineRule="exact"/>
      <w:ind w:firstLineChars="200" w:firstLine="520"/>
    </w:pPr>
  </w:style>
  <w:style w:type="paragraph" w:styleId="a4">
    <w:name w:val="List Paragraph"/>
    <w:basedOn w:val="a"/>
    <w:uiPriority w:val="34"/>
    <w:qFormat/>
    <w:rsid w:val="00746CC7"/>
    <w:pPr>
      <w:ind w:firstLineChars="200" w:firstLine="420"/>
    </w:pPr>
  </w:style>
  <w:style w:type="paragraph" w:styleId="a5">
    <w:name w:val="header"/>
    <w:basedOn w:val="a"/>
    <w:link w:val="a6"/>
    <w:uiPriority w:val="99"/>
    <w:unhideWhenUsed/>
    <w:rsid w:val="00746CC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46CC7"/>
    <w:rPr>
      <w:rFonts w:ascii="宋体" w:eastAsia="宋体" w:hAnsi="宋体" w:cs="宋体"/>
      <w:kern w:val="0"/>
      <w:sz w:val="18"/>
      <w:szCs w:val="18"/>
    </w:rPr>
  </w:style>
  <w:style w:type="paragraph" w:styleId="a7">
    <w:name w:val="footer"/>
    <w:basedOn w:val="a"/>
    <w:link w:val="a8"/>
    <w:uiPriority w:val="99"/>
    <w:unhideWhenUsed/>
    <w:rsid w:val="00746CC7"/>
    <w:pPr>
      <w:tabs>
        <w:tab w:val="center" w:pos="4153"/>
        <w:tab w:val="right" w:pos="8306"/>
      </w:tabs>
      <w:snapToGrid w:val="0"/>
    </w:pPr>
    <w:rPr>
      <w:sz w:val="18"/>
      <w:szCs w:val="18"/>
    </w:rPr>
  </w:style>
  <w:style w:type="character" w:customStyle="1" w:styleId="a8">
    <w:name w:val="页脚 字符"/>
    <w:basedOn w:val="a0"/>
    <w:link w:val="a7"/>
    <w:uiPriority w:val="99"/>
    <w:rsid w:val="00746CC7"/>
    <w:rPr>
      <w:rFonts w:ascii="宋体" w:eastAsia="宋体" w:hAnsi="宋体" w:cs="宋体"/>
      <w:kern w:val="0"/>
      <w:sz w:val="18"/>
      <w:szCs w:val="18"/>
    </w:rPr>
  </w:style>
  <w:style w:type="paragraph" w:styleId="a9">
    <w:name w:val="footnote text"/>
    <w:basedOn w:val="a"/>
    <w:link w:val="aa"/>
    <w:uiPriority w:val="99"/>
    <w:semiHidden/>
    <w:unhideWhenUsed/>
    <w:rsid w:val="00746CC7"/>
    <w:pPr>
      <w:snapToGrid w:val="0"/>
    </w:pPr>
    <w:rPr>
      <w:sz w:val="18"/>
      <w:szCs w:val="18"/>
    </w:rPr>
  </w:style>
  <w:style w:type="character" w:customStyle="1" w:styleId="aa">
    <w:name w:val="脚注文本 字符"/>
    <w:basedOn w:val="a0"/>
    <w:link w:val="a9"/>
    <w:uiPriority w:val="99"/>
    <w:semiHidden/>
    <w:rsid w:val="00746CC7"/>
    <w:rPr>
      <w:rFonts w:ascii="宋体" w:eastAsia="宋体" w:hAnsi="宋体" w:cs="宋体"/>
      <w:kern w:val="0"/>
      <w:sz w:val="18"/>
      <w:szCs w:val="18"/>
    </w:rPr>
  </w:style>
  <w:style w:type="character" w:styleId="ab">
    <w:name w:val="footnote reference"/>
    <w:basedOn w:val="a0"/>
    <w:semiHidden/>
    <w:unhideWhenUsed/>
    <w:rsid w:val="00746CC7"/>
    <w:rPr>
      <w:vertAlign w:val="superscript"/>
    </w:rPr>
  </w:style>
  <w:style w:type="paragraph" w:customStyle="1" w:styleId="ac">
    <w:name w:val="图片"/>
    <w:next w:val="a"/>
    <w:qFormat/>
    <w:rsid w:val="002A40F7"/>
    <w:pPr>
      <w:jc w:val="center"/>
    </w:pPr>
    <w:rPr>
      <w:rFonts w:ascii="宋体" w:eastAsia="宋体" w:hAnsi="宋体" w:cs="宋体"/>
      <w:color w:val="000000" w:themeColor="text1"/>
      <w:kern w:val="0"/>
    </w:rPr>
  </w:style>
  <w:style w:type="paragraph" w:styleId="ad">
    <w:name w:val="caption"/>
    <w:aliases w:val="图题注1"/>
    <w:basedOn w:val="a"/>
    <w:next w:val="a"/>
    <w:unhideWhenUsed/>
    <w:qFormat/>
    <w:rsid w:val="002A40F7"/>
    <w:pPr>
      <w:spacing w:before="120" w:after="240"/>
      <w:jc w:val="center"/>
    </w:pPr>
    <w:rPr>
      <w:rFonts w:asciiTheme="majorHAnsi" w:hAnsiTheme="majorHAnsi" w:cstheme="majorBidi"/>
      <w:sz w:val="22"/>
      <w:szCs w:val="20"/>
    </w:rPr>
  </w:style>
  <w:style w:type="character" w:customStyle="1" w:styleId="10">
    <w:name w:val="标题 1 字符"/>
    <w:basedOn w:val="a0"/>
    <w:link w:val="1"/>
    <w:uiPriority w:val="9"/>
    <w:rsid w:val="00C15469"/>
    <w:rPr>
      <w:rFonts w:ascii="宋体" w:eastAsia="Times New Roman" w:hAnsi="宋体" w:cs="宋体"/>
      <w:b/>
      <w:bCs/>
      <w:kern w:val="44"/>
      <w:sz w:val="28"/>
      <w:szCs w:val="44"/>
    </w:rPr>
  </w:style>
  <w:style w:type="table" w:styleId="ae">
    <w:name w:val="Table Grid"/>
    <w:basedOn w:val="a1"/>
    <w:uiPriority w:val="59"/>
    <w:rsid w:val="00ED5FE4"/>
    <w:pPr>
      <w:widowControl w:val="0"/>
      <w:adjustRightInd w:val="0"/>
      <w:spacing w:line="420" w:lineRule="atLeast"/>
      <w:ind w:firstLine="522"/>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Grid-BR1">
    <w:name w:val="Normal-TableGrid-BR1"/>
    <w:rsid w:val="00ED5FE4"/>
    <w:rPr>
      <w:rFonts w:eastAsiaTheme="minorHAnsi"/>
      <w:kern w:val="0"/>
      <w:sz w:val="22"/>
      <w:szCs w:val="22"/>
    </w:rPr>
  </w:style>
  <w:style w:type="paragraph" w:customStyle="1" w:styleId="Normal15-BR2">
    <w:name w:val="Normal15-BR2"/>
    <w:basedOn w:val="a"/>
    <w:qFormat/>
    <w:rsid w:val="00D331ED"/>
    <w:pPr>
      <w:spacing w:after="200" w:line="276" w:lineRule="auto"/>
    </w:pPr>
    <w:rPr>
      <w:rFonts w:asciiTheme="minorHAnsi" w:eastAsiaTheme="minorHAnsi" w:hAnsiTheme="minorHAnsi" w:cstheme="minorBidi"/>
      <w:sz w:val="22"/>
      <w:szCs w:val="22"/>
      <w:lang w:eastAsia="en-US"/>
    </w:rPr>
  </w:style>
  <w:style w:type="table" w:customStyle="1" w:styleId="3">
    <w:name w:val="网格型3"/>
    <w:basedOn w:val="a1"/>
    <w:next w:val="ae"/>
    <w:uiPriority w:val="59"/>
    <w:rsid w:val="00D331ED"/>
    <w:rPr>
      <w:rFonts w:ascii="Times New Roman"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网格型4"/>
    <w:basedOn w:val="a1"/>
    <w:next w:val="ae"/>
    <w:uiPriority w:val="59"/>
    <w:rsid w:val="00D331ED"/>
    <w:rPr>
      <w:rFonts w:ascii="Times New Roman"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20-BR2">
    <w:name w:val="Normal20-BR2"/>
    <w:basedOn w:val="a"/>
    <w:qFormat/>
    <w:rsid w:val="00634D2B"/>
    <w:pPr>
      <w:spacing w:after="200" w:line="276" w:lineRule="auto"/>
    </w:pPr>
    <w:rPr>
      <w:rFonts w:asciiTheme="minorHAnsi" w:eastAsiaTheme="minorHAnsi" w:hAnsiTheme="minorHAnsi" w:cstheme="minorBidi"/>
      <w:sz w:val="22"/>
      <w:szCs w:val="22"/>
      <w:lang w:eastAsia="en-US"/>
    </w:rPr>
  </w:style>
  <w:style w:type="table" w:customStyle="1" w:styleId="5">
    <w:name w:val="网格型5"/>
    <w:basedOn w:val="a1"/>
    <w:next w:val="ae"/>
    <w:uiPriority w:val="59"/>
    <w:rsid w:val="00634D2B"/>
    <w:rPr>
      <w:rFonts w:ascii="DengXian" w:eastAsia="DengXian" w:hAnsi="DengXian" w:cs="Times New Roman"/>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3B81-2D91-4B54-9F5F-1595819F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6055</Words>
  <Characters>34515</Characters>
  <Application>Microsoft Office Word</Application>
  <DocSecurity>0</DocSecurity>
  <Lines>287</Lines>
  <Paragraphs>80</Paragraphs>
  <ScaleCrop>false</ScaleCrop>
  <Company/>
  <LinksUpToDate>false</LinksUpToDate>
  <CharactersWithSpaces>40490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2022-02-01T05:12:00Z</dcterms:created>
  <dcterms:modified xsi:type="dcterms:W3CDTF">2022-02-01T05:12:00Z</dcterms:modified>
</cp:coreProperties>
</file>