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7FF" w:rsidRPr="00A20381" w:rsidRDefault="00E85B85" w:rsidP="001A4FB4">
      <w:pPr>
        <w:pStyle w:val="MDPI12title"/>
        <w:jc w:val="both"/>
        <w:rPr>
          <w:rFonts w:ascii="Book Antiqua" w:hAnsi="Book Antiqua"/>
          <w:szCs w:val="36"/>
        </w:rPr>
      </w:pPr>
      <w:r w:rsidRPr="00A20381">
        <w:rPr>
          <w:rFonts w:ascii="Book Antiqua" w:hAnsi="Book Antiqua"/>
          <w:szCs w:val="36"/>
        </w:rPr>
        <w:t>The evolution of the lead-lag markets in the price discovery process of the sovereign credit risk: the case of Italy</w:t>
      </w:r>
    </w:p>
    <w:p w:rsidR="00E85B85" w:rsidRPr="00A20381" w:rsidRDefault="00E85B85" w:rsidP="001A4FB4">
      <w:pPr>
        <w:pStyle w:val="Corpotesto"/>
        <w:jc w:val="both"/>
        <w:rPr>
          <w:rFonts w:eastAsia="Times New Roman" w:cs="Times New Roman"/>
          <w:b/>
          <w:color w:val="000000"/>
          <w:szCs w:val="22"/>
          <w:lang w:val="it-IT" w:eastAsia="de-DE" w:bidi="en-US"/>
        </w:rPr>
      </w:pPr>
      <w:r w:rsidRPr="00A20381">
        <w:rPr>
          <w:rFonts w:eastAsia="Times New Roman" w:cs="Times New Roman"/>
          <w:b/>
          <w:color w:val="000000"/>
          <w:szCs w:val="22"/>
          <w:lang w:val="it-IT" w:eastAsia="de-DE" w:bidi="en-US"/>
        </w:rPr>
        <w:t>Michele Anelli</w:t>
      </w:r>
      <w:r w:rsidRPr="00A20381">
        <w:rPr>
          <w:rFonts w:eastAsia="Times New Roman" w:cs="Times New Roman"/>
          <w:b/>
          <w:color w:val="000000"/>
          <w:szCs w:val="22"/>
          <w:vertAlign w:val="superscript"/>
          <w:lang w:val="it-IT" w:eastAsia="de-DE" w:bidi="en-US"/>
        </w:rPr>
        <w:t>1</w:t>
      </w:r>
      <w:r w:rsidRPr="00A20381">
        <w:rPr>
          <w:rFonts w:eastAsia="Times New Roman" w:cs="Times New Roman"/>
          <w:b/>
          <w:color w:val="000000"/>
          <w:szCs w:val="22"/>
          <w:lang w:val="it-IT" w:eastAsia="de-DE" w:bidi="en-US"/>
        </w:rPr>
        <w:t>, Michele Patanè</w:t>
      </w:r>
      <w:r w:rsidRPr="00A20381">
        <w:rPr>
          <w:rFonts w:eastAsia="Times New Roman" w:cs="Times New Roman"/>
          <w:b/>
          <w:color w:val="000000"/>
          <w:szCs w:val="22"/>
          <w:vertAlign w:val="superscript"/>
          <w:lang w:val="it-IT" w:eastAsia="de-DE" w:bidi="en-US"/>
        </w:rPr>
        <w:t>2</w:t>
      </w:r>
      <w:r w:rsidRPr="00A20381">
        <w:rPr>
          <w:rFonts w:eastAsia="Times New Roman" w:cs="Times New Roman"/>
          <w:b/>
          <w:color w:val="000000"/>
          <w:szCs w:val="22"/>
          <w:lang w:val="it-IT" w:eastAsia="de-DE" w:bidi="en-US"/>
        </w:rPr>
        <w:t>, Mario Toscano</w:t>
      </w:r>
      <w:r w:rsidRPr="00A20381">
        <w:rPr>
          <w:rFonts w:eastAsia="Times New Roman" w:cs="Times New Roman"/>
          <w:b/>
          <w:color w:val="000000"/>
          <w:szCs w:val="22"/>
          <w:vertAlign w:val="superscript"/>
          <w:lang w:val="it-IT" w:eastAsia="de-DE" w:bidi="en-US"/>
        </w:rPr>
        <w:t>2</w:t>
      </w:r>
      <w:r w:rsidR="0032523C" w:rsidRPr="00A20381">
        <w:rPr>
          <w:rFonts w:eastAsia="Times New Roman" w:cs="Times New Roman"/>
          <w:b/>
          <w:color w:val="000000"/>
          <w:szCs w:val="22"/>
          <w:lang w:val="it-IT" w:eastAsia="de-DE" w:bidi="en-US"/>
        </w:rPr>
        <w:t>, Alessio Gioia</w:t>
      </w:r>
      <w:r w:rsidR="0032523C" w:rsidRPr="00A20381">
        <w:rPr>
          <w:rFonts w:eastAsia="Times New Roman" w:cs="Times New Roman"/>
          <w:b/>
          <w:color w:val="000000"/>
          <w:szCs w:val="22"/>
          <w:vertAlign w:val="superscript"/>
          <w:lang w:val="it-IT" w:eastAsia="de-DE" w:bidi="en-US"/>
        </w:rPr>
        <w:t>3</w:t>
      </w:r>
    </w:p>
    <w:p w:rsidR="00E85B85" w:rsidRPr="00A20381" w:rsidRDefault="00E85B85" w:rsidP="001A4FB4">
      <w:pPr>
        <w:pStyle w:val="Corpotesto"/>
        <w:rPr>
          <w:rFonts w:eastAsia="Times New Roman" w:cs="Times New Roman"/>
          <w:b/>
          <w:color w:val="000000"/>
          <w:szCs w:val="22"/>
          <w:lang w:val="it-IT" w:eastAsia="de-DE" w:bidi="en-US"/>
        </w:rPr>
      </w:pPr>
    </w:p>
    <w:p w:rsidR="00E85B85" w:rsidRPr="00A20381" w:rsidRDefault="00E85B85" w:rsidP="001A4FB4">
      <w:pPr>
        <w:pStyle w:val="Corpotesto"/>
        <w:rPr>
          <w:rFonts w:eastAsia="Times New Roman" w:cs="Times New Roman"/>
          <w:color w:val="000000"/>
          <w:sz w:val="18"/>
          <w:szCs w:val="18"/>
          <w:lang w:eastAsia="de-DE" w:bidi="en-US"/>
        </w:rPr>
      </w:pPr>
      <w:r w:rsidRPr="00A20381">
        <w:rPr>
          <w:sz w:val="18"/>
          <w:szCs w:val="18"/>
        </w:rPr>
        <w:t>1</w:t>
      </w:r>
      <w:r w:rsidRPr="00A20381">
        <w:rPr>
          <w:sz w:val="30"/>
        </w:rPr>
        <w:t xml:space="preserve">   </w:t>
      </w:r>
      <w:r w:rsidRPr="00A20381">
        <w:rPr>
          <w:rFonts w:eastAsia="Times New Roman" w:cs="Times New Roman"/>
          <w:color w:val="000000"/>
          <w:sz w:val="18"/>
          <w:szCs w:val="18"/>
          <w:lang w:eastAsia="de-DE" w:bidi="en-US"/>
        </w:rPr>
        <w:t>Department of Economics and Statistics, School of Economics and Management, Universi</w:t>
      </w:r>
      <w:r w:rsidR="00BC471C" w:rsidRPr="00A20381">
        <w:rPr>
          <w:rFonts w:eastAsia="Times New Roman" w:cs="Times New Roman"/>
          <w:color w:val="000000"/>
          <w:sz w:val="18"/>
          <w:szCs w:val="18"/>
          <w:lang w:eastAsia="de-DE" w:bidi="en-US"/>
        </w:rPr>
        <w:t>ty of Siena, Italy;</w:t>
      </w:r>
      <w:r w:rsidR="001A4FB4">
        <w:rPr>
          <w:rFonts w:eastAsia="Times New Roman" w:cs="Times New Roman"/>
          <w:color w:val="000000"/>
          <w:sz w:val="18"/>
          <w:szCs w:val="18"/>
          <w:lang w:eastAsia="de-DE" w:bidi="en-US"/>
        </w:rPr>
        <w:t xml:space="preserve"> </w:t>
      </w:r>
      <w:r w:rsidRPr="00A20381">
        <w:rPr>
          <w:rFonts w:eastAsia="Times New Roman" w:cs="Times New Roman"/>
          <w:color w:val="000000"/>
          <w:sz w:val="18"/>
          <w:szCs w:val="18"/>
          <w:lang w:eastAsia="de-DE" w:bidi="en-US"/>
        </w:rPr>
        <w:t>anelli2@student.unisi.it</w:t>
      </w:r>
    </w:p>
    <w:p w:rsidR="00E85B85" w:rsidRPr="00A20381" w:rsidRDefault="00E85B85" w:rsidP="001A4FB4">
      <w:pPr>
        <w:pStyle w:val="Corpotesto"/>
        <w:rPr>
          <w:sz w:val="30"/>
        </w:rPr>
      </w:pPr>
    </w:p>
    <w:p w:rsidR="00E85B85" w:rsidRPr="00A20381" w:rsidRDefault="00E85B85" w:rsidP="001A4FB4">
      <w:pPr>
        <w:pStyle w:val="Corpotesto"/>
        <w:rPr>
          <w:rFonts w:eastAsia="Times New Roman" w:cs="Times New Roman"/>
          <w:color w:val="000000"/>
          <w:sz w:val="18"/>
          <w:szCs w:val="18"/>
          <w:lang w:eastAsia="de-DE" w:bidi="en-US"/>
        </w:rPr>
      </w:pPr>
      <w:r w:rsidRPr="00A20381">
        <w:rPr>
          <w:sz w:val="18"/>
          <w:szCs w:val="18"/>
        </w:rPr>
        <w:t>2</w:t>
      </w:r>
      <w:r w:rsidRPr="00A20381">
        <w:rPr>
          <w:sz w:val="30"/>
        </w:rPr>
        <w:t xml:space="preserve">   </w:t>
      </w:r>
      <w:r w:rsidRPr="00A20381">
        <w:rPr>
          <w:rFonts w:eastAsia="Times New Roman" w:cs="Times New Roman"/>
          <w:color w:val="000000"/>
          <w:sz w:val="18"/>
          <w:szCs w:val="18"/>
          <w:lang w:eastAsia="de-DE" w:bidi="en-US"/>
        </w:rPr>
        <w:t xml:space="preserve">Department of Business and Law, School of Economics and Management, University of Siena, Italy; michele.patane@unisi.it, </w:t>
      </w:r>
      <w:r w:rsidR="0032523C" w:rsidRPr="00A20381">
        <w:rPr>
          <w:rFonts w:eastAsia="Times New Roman" w:cs="Times New Roman"/>
          <w:color w:val="000000"/>
          <w:sz w:val="18"/>
          <w:szCs w:val="18"/>
          <w:lang w:eastAsia="de-DE" w:bidi="en-US"/>
        </w:rPr>
        <w:t>mario.toscano@unisi.it</w:t>
      </w:r>
      <w:r w:rsidRPr="00A20381">
        <w:rPr>
          <w:rFonts w:eastAsia="Times New Roman" w:cs="Times New Roman"/>
          <w:color w:val="000000"/>
          <w:sz w:val="18"/>
          <w:szCs w:val="18"/>
          <w:lang w:eastAsia="de-DE" w:bidi="en-US"/>
        </w:rPr>
        <w:t>.</w:t>
      </w:r>
    </w:p>
    <w:p w:rsidR="0032523C" w:rsidRPr="00A20381" w:rsidRDefault="0032523C" w:rsidP="001A4FB4">
      <w:pPr>
        <w:pStyle w:val="Corpotesto"/>
        <w:rPr>
          <w:rFonts w:eastAsia="Times New Roman" w:cs="Times New Roman"/>
          <w:color w:val="000000"/>
          <w:sz w:val="18"/>
          <w:szCs w:val="18"/>
          <w:lang w:eastAsia="de-DE" w:bidi="en-US"/>
        </w:rPr>
      </w:pPr>
    </w:p>
    <w:p w:rsidR="0032523C" w:rsidRPr="00A20381" w:rsidRDefault="0032523C" w:rsidP="001A4FB4">
      <w:pPr>
        <w:pStyle w:val="Corpotesto"/>
        <w:rPr>
          <w:rFonts w:eastAsia="Times New Roman" w:cs="Times New Roman"/>
          <w:color w:val="000000"/>
          <w:sz w:val="18"/>
          <w:szCs w:val="18"/>
          <w:lang w:eastAsia="de-DE" w:bidi="en-US"/>
        </w:rPr>
      </w:pPr>
      <w:r w:rsidRPr="00A20381">
        <w:rPr>
          <w:sz w:val="18"/>
          <w:szCs w:val="18"/>
        </w:rPr>
        <w:t xml:space="preserve">3 </w:t>
      </w:r>
      <w:r w:rsidRPr="00A20381">
        <w:rPr>
          <w:sz w:val="30"/>
        </w:rPr>
        <w:t xml:space="preserve">  </w:t>
      </w:r>
      <w:r w:rsidRPr="00A20381">
        <w:rPr>
          <w:rFonts w:eastAsia="Times New Roman" w:cs="Times New Roman"/>
          <w:color w:val="000000"/>
          <w:sz w:val="18"/>
          <w:szCs w:val="18"/>
          <w:lang w:eastAsia="de-DE" w:bidi="en-US"/>
        </w:rPr>
        <w:t xml:space="preserve">Portfolio Manager and Financial Analyst, Mantova, Italy; </w:t>
      </w:r>
      <w:r w:rsidR="00BA3FC5">
        <w:rPr>
          <w:rFonts w:eastAsia="Times New Roman" w:cs="Times New Roman"/>
          <w:color w:val="000000"/>
          <w:sz w:val="18"/>
          <w:szCs w:val="18"/>
          <w:lang w:eastAsia="de-DE" w:bidi="en-US"/>
        </w:rPr>
        <w:t>agioia1971.ag@gmail.com</w:t>
      </w:r>
    </w:p>
    <w:p w:rsidR="000377FF" w:rsidRPr="00A20381" w:rsidRDefault="000377FF" w:rsidP="001A4FB4">
      <w:pPr>
        <w:pStyle w:val="Corpotesto"/>
        <w:spacing w:before="2"/>
        <w:jc w:val="both"/>
        <w:rPr>
          <w:sz w:val="26"/>
        </w:rPr>
      </w:pPr>
    </w:p>
    <w:p w:rsidR="000377FF" w:rsidRPr="00A20381" w:rsidRDefault="000377FF" w:rsidP="001A4FB4">
      <w:pPr>
        <w:pStyle w:val="Corpotesto"/>
        <w:spacing w:before="4"/>
        <w:jc w:val="both"/>
        <w:rPr>
          <w:b/>
          <w:sz w:val="27"/>
        </w:rPr>
      </w:pPr>
      <w:bookmarkStart w:id="0" w:name="_TOC_250010"/>
      <w:bookmarkEnd w:id="0"/>
    </w:p>
    <w:p w:rsidR="000377FF" w:rsidRPr="00A20381" w:rsidRDefault="00BC471C" w:rsidP="001A4FB4">
      <w:pPr>
        <w:pStyle w:val="Corpotesto"/>
        <w:spacing w:line="360" w:lineRule="auto"/>
        <w:ind w:left="113" w:right="108"/>
        <w:jc w:val="both"/>
      </w:pPr>
      <w:r w:rsidRPr="00A20381">
        <w:rPr>
          <w:b/>
        </w:rPr>
        <w:t>Abstract</w:t>
      </w:r>
      <w:r w:rsidRPr="00A20381">
        <w:t xml:space="preserve">: </w:t>
      </w:r>
      <w:r w:rsidR="00E85B85" w:rsidRPr="00A20381">
        <w:t>Hedging</w:t>
      </w:r>
      <w:r w:rsidR="00E85B85" w:rsidRPr="00A20381">
        <w:rPr>
          <w:spacing w:val="-12"/>
        </w:rPr>
        <w:t xml:space="preserve"> </w:t>
      </w:r>
      <w:r w:rsidR="00E85B85" w:rsidRPr="00A20381">
        <w:t>and</w:t>
      </w:r>
      <w:r w:rsidR="00E85B85" w:rsidRPr="00A20381">
        <w:rPr>
          <w:spacing w:val="-11"/>
        </w:rPr>
        <w:t xml:space="preserve"> </w:t>
      </w:r>
      <w:r w:rsidR="00E85B85" w:rsidRPr="00A20381">
        <w:t>speculative</w:t>
      </w:r>
      <w:r w:rsidR="00E85B85" w:rsidRPr="00A20381">
        <w:rPr>
          <w:spacing w:val="-12"/>
        </w:rPr>
        <w:t xml:space="preserve"> </w:t>
      </w:r>
      <w:r w:rsidR="00E85B85" w:rsidRPr="00A20381">
        <w:t>strategies</w:t>
      </w:r>
      <w:r w:rsidR="00E85B85" w:rsidRPr="00A20381">
        <w:rPr>
          <w:spacing w:val="-11"/>
        </w:rPr>
        <w:t xml:space="preserve"> </w:t>
      </w:r>
      <w:r w:rsidR="00E85B85" w:rsidRPr="00A20381">
        <w:t>play</w:t>
      </w:r>
      <w:r w:rsidR="00E85B85" w:rsidRPr="00A20381">
        <w:rPr>
          <w:spacing w:val="-12"/>
        </w:rPr>
        <w:t xml:space="preserve"> </w:t>
      </w:r>
      <w:r w:rsidR="00E85B85" w:rsidRPr="00A20381">
        <w:t>a</w:t>
      </w:r>
      <w:r w:rsidR="00E85B85" w:rsidRPr="00A20381">
        <w:rPr>
          <w:spacing w:val="-11"/>
        </w:rPr>
        <w:t xml:space="preserve"> </w:t>
      </w:r>
      <w:r w:rsidR="00E85B85" w:rsidRPr="00A20381">
        <w:t>key</w:t>
      </w:r>
      <w:r w:rsidR="00E85B85" w:rsidRPr="00A20381">
        <w:rPr>
          <w:spacing w:val="-12"/>
        </w:rPr>
        <w:t xml:space="preserve"> </w:t>
      </w:r>
      <w:r w:rsidR="00E85B85" w:rsidRPr="00A20381">
        <w:t>role</w:t>
      </w:r>
      <w:r w:rsidR="00E85B85" w:rsidRPr="00A20381">
        <w:rPr>
          <w:spacing w:val="-11"/>
        </w:rPr>
        <w:t xml:space="preserve"> </w:t>
      </w:r>
      <w:r w:rsidR="00E85B85" w:rsidRPr="00A20381">
        <w:t>in</w:t>
      </w:r>
      <w:r w:rsidR="00E85B85" w:rsidRPr="00A20381">
        <w:rPr>
          <w:spacing w:val="-12"/>
        </w:rPr>
        <w:t xml:space="preserve"> </w:t>
      </w:r>
      <w:r w:rsidR="00553E89">
        <w:t xml:space="preserve">periods </w:t>
      </w:r>
      <w:r w:rsidR="00E85B85" w:rsidRPr="00A20381">
        <w:t>of</w:t>
      </w:r>
      <w:r w:rsidR="00E85B85" w:rsidRPr="00A20381">
        <w:rPr>
          <w:spacing w:val="-12"/>
        </w:rPr>
        <w:t xml:space="preserve"> </w:t>
      </w:r>
      <w:r w:rsidR="00E85B85" w:rsidRPr="00A20381">
        <w:t>financial</w:t>
      </w:r>
      <w:r w:rsidR="00E85B85" w:rsidRPr="00A20381">
        <w:rPr>
          <w:spacing w:val="-11"/>
        </w:rPr>
        <w:t xml:space="preserve"> </w:t>
      </w:r>
      <w:r w:rsidR="00E85B85" w:rsidRPr="00A20381">
        <w:t>market</w:t>
      </w:r>
      <w:r w:rsidR="00E85B85" w:rsidRPr="00A20381">
        <w:rPr>
          <w:spacing w:val="-12"/>
        </w:rPr>
        <w:t xml:space="preserve"> </w:t>
      </w:r>
      <w:r w:rsidR="00E85B85" w:rsidRPr="00A20381">
        <w:t>volatility</w:t>
      </w:r>
      <w:r w:rsidR="00E85B85" w:rsidRPr="00A20381">
        <w:rPr>
          <w:spacing w:val="-11"/>
        </w:rPr>
        <w:t xml:space="preserve"> </w:t>
      </w:r>
      <w:r w:rsidRPr="00A20381">
        <w:t>particularly during</w:t>
      </w:r>
      <w:r w:rsidR="00553E89">
        <w:t xml:space="preserve"> economic crises</w:t>
      </w:r>
      <w:r w:rsidRPr="00A20381">
        <w:t>. In such</w:t>
      </w:r>
      <w:r w:rsidR="00E85B85" w:rsidRPr="00A20381">
        <w:t xml:space="preserve"> context</w:t>
      </w:r>
      <w:r w:rsidRPr="00A20381">
        <w:t>s</w:t>
      </w:r>
      <w:r w:rsidR="00553E89">
        <w:t>,</w:t>
      </w:r>
      <w:r w:rsidR="00E85B85" w:rsidRPr="00A20381">
        <w:t xml:space="preserve"> liquidity problems tend to </w:t>
      </w:r>
      <w:r w:rsidR="00E85B85" w:rsidRPr="00A20381">
        <w:rPr>
          <w:spacing w:val="-3"/>
        </w:rPr>
        <w:t xml:space="preserve">evolve </w:t>
      </w:r>
      <w:r w:rsidR="00E85B85" w:rsidRPr="00A20381">
        <w:t>in</w:t>
      </w:r>
      <w:r w:rsidR="00553E89">
        <w:t>to potential credit risk events</w:t>
      </w:r>
      <w:r w:rsidR="00E85B85" w:rsidRPr="00A20381">
        <w:rPr>
          <w:spacing w:val="-13"/>
        </w:rPr>
        <w:t xml:space="preserve"> </w:t>
      </w:r>
      <w:r w:rsidR="00E85B85" w:rsidRPr="00A20381">
        <w:t>that</w:t>
      </w:r>
      <w:r w:rsidR="00E85B85" w:rsidRPr="00A20381">
        <w:rPr>
          <w:spacing w:val="-13"/>
        </w:rPr>
        <w:t xml:space="preserve"> </w:t>
      </w:r>
      <w:r w:rsidR="00E85B85" w:rsidRPr="00A20381">
        <w:t>amplifies</w:t>
      </w:r>
      <w:r w:rsidR="00E85B85" w:rsidRPr="00A20381">
        <w:rPr>
          <w:spacing w:val="-13"/>
        </w:rPr>
        <w:t xml:space="preserve"> </w:t>
      </w:r>
      <w:r w:rsidR="00E85B85" w:rsidRPr="00A20381">
        <w:t>the</w:t>
      </w:r>
      <w:r w:rsidR="00E85B85" w:rsidRPr="00A20381">
        <w:rPr>
          <w:spacing w:val="-13"/>
        </w:rPr>
        <w:t xml:space="preserve"> </w:t>
      </w:r>
      <w:r w:rsidR="00E85B85" w:rsidRPr="00A20381">
        <w:t>volatility</w:t>
      </w:r>
      <w:r w:rsidR="00553E89">
        <w:rPr>
          <w:spacing w:val="-13"/>
        </w:rPr>
        <w:t xml:space="preserve"> of</w:t>
      </w:r>
      <w:r w:rsidR="00E85B85" w:rsidRPr="00A20381">
        <w:rPr>
          <w:spacing w:val="-13"/>
        </w:rPr>
        <w:t xml:space="preserve"> </w:t>
      </w:r>
      <w:r w:rsidR="00E85B85" w:rsidRPr="00A20381">
        <w:t>several</w:t>
      </w:r>
      <w:r w:rsidR="00E85B85" w:rsidRPr="00A20381">
        <w:rPr>
          <w:spacing w:val="-12"/>
        </w:rPr>
        <w:t xml:space="preserve"> </w:t>
      </w:r>
      <w:r w:rsidR="00E85B85" w:rsidRPr="00A20381">
        <w:t>markets</w:t>
      </w:r>
      <w:r w:rsidR="00E85B85" w:rsidRPr="00A20381">
        <w:rPr>
          <w:spacing w:val="-12"/>
        </w:rPr>
        <w:t xml:space="preserve"> </w:t>
      </w:r>
      <w:r w:rsidR="00E85B85" w:rsidRPr="00A20381">
        <w:t>such</w:t>
      </w:r>
      <w:r w:rsidR="00E85B85" w:rsidRPr="00A20381">
        <w:rPr>
          <w:spacing w:val="-13"/>
        </w:rPr>
        <w:t xml:space="preserve"> </w:t>
      </w:r>
      <w:r w:rsidR="00E85B85" w:rsidRPr="00A20381">
        <w:t>as</w:t>
      </w:r>
      <w:r w:rsidR="00E85B85" w:rsidRPr="00A20381">
        <w:rPr>
          <w:spacing w:val="-13"/>
        </w:rPr>
        <w:t xml:space="preserve"> </w:t>
      </w:r>
      <w:r w:rsidR="00E85B85" w:rsidRPr="00A20381">
        <w:t>the</w:t>
      </w:r>
      <w:r w:rsidR="00E85B85" w:rsidRPr="00A20381">
        <w:rPr>
          <w:spacing w:val="-13"/>
        </w:rPr>
        <w:t xml:space="preserve"> </w:t>
      </w:r>
      <w:r w:rsidR="00E85B85" w:rsidRPr="00A20381">
        <w:t>CDS</w:t>
      </w:r>
      <w:r w:rsidR="00E85B85" w:rsidRPr="00A20381">
        <w:rPr>
          <w:spacing w:val="-13"/>
        </w:rPr>
        <w:t xml:space="preserve"> </w:t>
      </w:r>
      <w:r w:rsidR="00E85B85" w:rsidRPr="00A20381">
        <w:t>and</w:t>
      </w:r>
      <w:r w:rsidR="00E85B85" w:rsidRPr="00A20381">
        <w:rPr>
          <w:spacing w:val="-13"/>
        </w:rPr>
        <w:t xml:space="preserve"> </w:t>
      </w:r>
      <w:r w:rsidR="00E85B85" w:rsidRPr="00A20381">
        <w:t>the</w:t>
      </w:r>
      <w:r w:rsidR="00E85B85" w:rsidRPr="00A20381">
        <w:rPr>
          <w:spacing w:val="-12"/>
        </w:rPr>
        <w:t xml:space="preserve"> </w:t>
      </w:r>
      <w:r w:rsidR="00E85B85" w:rsidRPr="00A20381">
        <w:t>government</w:t>
      </w:r>
      <w:r w:rsidR="00E85B85" w:rsidRPr="00A20381">
        <w:rPr>
          <w:spacing w:val="-13"/>
        </w:rPr>
        <w:t xml:space="preserve"> </w:t>
      </w:r>
      <w:r w:rsidR="00E85B85" w:rsidRPr="00A20381">
        <w:t>bond</w:t>
      </w:r>
      <w:r w:rsidR="00E85B85" w:rsidRPr="00A20381">
        <w:rPr>
          <w:spacing w:val="-13"/>
        </w:rPr>
        <w:t xml:space="preserve"> </w:t>
      </w:r>
      <w:r w:rsidR="00E85B85" w:rsidRPr="00A20381">
        <w:t>markets. The</w:t>
      </w:r>
      <w:r w:rsidR="00E85B85" w:rsidRPr="00A20381">
        <w:rPr>
          <w:spacing w:val="-15"/>
        </w:rPr>
        <w:t xml:space="preserve"> </w:t>
      </w:r>
      <w:r w:rsidR="00E85B85" w:rsidRPr="00A20381">
        <w:t>former,</w:t>
      </w:r>
      <w:r w:rsidR="00E85B85" w:rsidRPr="00A20381">
        <w:rPr>
          <w:spacing w:val="-14"/>
        </w:rPr>
        <w:t xml:space="preserve"> </w:t>
      </w:r>
      <w:r w:rsidR="00E85B85" w:rsidRPr="00A20381">
        <w:rPr>
          <w:spacing w:val="-3"/>
        </w:rPr>
        <w:t>however,</w:t>
      </w:r>
      <w:r w:rsidR="00E85B85" w:rsidRPr="00A20381">
        <w:rPr>
          <w:spacing w:val="-13"/>
        </w:rPr>
        <w:t xml:space="preserve"> </w:t>
      </w:r>
      <w:r w:rsidRPr="00A20381">
        <w:rPr>
          <w:spacing w:val="-13"/>
        </w:rPr>
        <w:t xml:space="preserve">generally </w:t>
      </w:r>
      <w:r w:rsidR="00E85B85" w:rsidRPr="00A20381">
        <w:t>embodies</w:t>
      </w:r>
      <w:r w:rsidR="00E85B85" w:rsidRPr="00A20381">
        <w:rPr>
          <w:spacing w:val="-15"/>
        </w:rPr>
        <w:t xml:space="preserve"> </w:t>
      </w:r>
      <w:r w:rsidR="00E85B85" w:rsidRPr="00A20381">
        <w:t>a</w:t>
      </w:r>
      <w:r w:rsidR="00E85B85" w:rsidRPr="00A20381">
        <w:rPr>
          <w:spacing w:val="-15"/>
        </w:rPr>
        <w:t xml:space="preserve"> </w:t>
      </w:r>
      <w:r w:rsidR="00E85B85" w:rsidRPr="00A20381">
        <w:t>higher</w:t>
      </w:r>
      <w:r w:rsidR="00E85B85" w:rsidRPr="00A20381">
        <w:rPr>
          <w:spacing w:val="-15"/>
        </w:rPr>
        <w:t xml:space="preserve"> </w:t>
      </w:r>
      <w:r w:rsidR="00E85B85" w:rsidRPr="00A20381">
        <w:t>sensitivity</w:t>
      </w:r>
      <w:r w:rsidR="00E85B85" w:rsidRPr="00A20381">
        <w:rPr>
          <w:spacing w:val="-14"/>
        </w:rPr>
        <w:t xml:space="preserve"> </w:t>
      </w:r>
      <w:r w:rsidR="00E85B85" w:rsidRPr="00A20381">
        <w:t>to</w:t>
      </w:r>
      <w:r w:rsidR="00E85B85" w:rsidRPr="00A20381">
        <w:rPr>
          <w:spacing w:val="-15"/>
        </w:rPr>
        <w:t xml:space="preserve"> </w:t>
      </w:r>
      <w:r w:rsidR="00E85B85" w:rsidRPr="00A20381">
        <w:t>volatility</w:t>
      </w:r>
      <w:r w:rsidR="00E85B85" w:rsidRPr="00A20381">
        <w:rPr>
          <w:spacing w:val="-15"/>
        </w:rPr>
        <w:t xml:space="preserve"> </w:t>
      </w:r>
      <w:r w:rsidR="00E85B85" w:rsidRPr="00A20381">
        <w:t>due</w:t>
      </w:r>
      <w:r w:rsidR="00E85B85" w:rsidRPr="00A20381">
        <w:rPr>
          <w:spacing w:val="-15"/>
        </w:rPr>
        <w:t xml:space="preserve"> </w:t>
      </w:r>
      <w:r w:rsidR="00E85B85" w:rsidRPr="00A20381">
        <w:t>to</w:t>
      </w:r>
      <w:r w:rsidR="00E85B85" w:rsidRPr="00A20381">
        <w:rPr>
          <w:spacing w:val="-15"/>
        </w:rPr>
        <w:t xml:space="preserve"> </w:t>
      </w:r>
      <w:r w:rsidR="00E85B85" w:rsidRPr="00A20381">
        <w:t>the</w:t>
      </w:r>
      <w:r w:rsidR="00E85B85" w:rsidRPr="00A20381">
        <w:rPr>
          <w:spacing w:val="-14"/>
        </w:rPr>
        <w:t xml:space="preserve"> </w:t>
      </w:r>
      <w:r w:rsidRPr="00A20381">
        <w:t>operators’</w:t>
      </w:r>
      <w:r w:rsidR="00E85B85" w:rsidRPr="00A20381">
        <w:rPr>
          <w:spacing w:val="-15"/>
        </w:rPr>
        <w:t xml:space="preserve"> </w:t>
      </w:r>
      <w:r w:rsidR="00E85B85" w:rsidRPr="00A20381">
        <w:t>uncertainty</w:t>
      </w:r>
      <w:r w:rsidR="00E85B85" w:rsidRPr="00A20381">
        <w:rPr>
          <w:spacing w:val="-15"/>
        </w:rPr>
        <w:t xml:space="preserve"> </w:t>
      </w:r>
      <w:r w:rsidR="00E85B85" w:rsidRPr="00A20381">
        <w:t>about</w:t>
      </w:r>
      <w:r w:rsidR="00E85B85" w:rsidRPr="00A20381">
        <w:rPr>
          <w:spacing w:val="-15"/>
        </w:rPr>
        <w:t xml:space="preserve"> </w:t>
      </w:r>
      <w:r w:rsidR="00E85B85" w:rsidRPr="00A20381">
        <w:t>unstable and countercyclical counterparty</w:t>
      </w:r>
      <w:r w:rsidR="00E85B85" w:rsidRPr="00A20381">
        <w:rPr>
          <w:spacing w:val="44"/>
        </w:rPr>
        <w:t xml:space="preserve"> </w:t>
      </w:r>
      <w:r w:rsidR="00E85B85" w:rsidRPr="00A20381">
        <w:t>risk.</w:t>
      </w:r>
    </w:p>
    <w:p w:rsidR="000377FF" w:rsidRPr="00A20381" w:rsidRDefault="00BC471C" w:rsidP="001A4FB4">
      <w:pPr>
        <w:pStyle w:val="Corpotesto"/>
        <w:spacing w:before="5" w:line="360" w:lineRule="auto"/>
        <w:ind w:left="113" w:right="110"/>
        <w:jc w:val="both"/>
      </w:pPr>
      <w:r w:rsidRPr="00A20381">
        <w:t xml:space="preserve">The aim of this </w:t>
      </w:r>
      <w:r w:rsidR="00E85B85" w:rsidRPr="00A20381">
        <w:t xml:space="preserve">paper is to </w:t>
      </w:r>
      <w:r w:rsidRPr="00A20381">
        <w:t>analyze</w:t>
      </w:r>
      <w:r w:rsidR="00553E89">
        <w:t xml:space="preserve"> the long-</w:t>
      </w:r>
      <w:r w:rsidR="00E85B85" w:rsidRPr="00A20381">
        <w:t xml:space="preserve">lasting </w:t>
      </w:r>
      <w:r w:rsidR="00553E89">
        <w:t>dynamic relationship between</w:t>
      </w:r>
      <w:r w:rsidR="00E85B85" w:rsidRPr="00A20381">
        <w:t xml:space="preserve"> </w:t>
      </w:r>
      <w:r w:rsidR="00E85B85" w:rsidRPr="00A20381">
        <w:rPr>
          <w:i/>
          <w:spacing w:val="-4"/>
        </w:rPr>
        <w:t xml:space="preserve">credit </w:t>
      </w:r>
      <w:r w:rsidR="00E85B85" w:rsidRPr="00A20381">
        <w:rPr>
          <w:i/>
        </w:rPr>
        <w:t xml:space="preserve">default swap </w:t>
      </w:r>
      <w:r w:rsidR="00E85B85" w:rsidRPr="00A20381">
        <w:t>(</w:t>
      </w:r>
      <w:r w:rsidRPr="00A20381">
        <w:rPr>
          <w:i/>
        </w:rPr>
        <w:t>CDS</w:t>
      </w:r>
      <w:r w:rsidR="00E85B85" w:rsidRPr="00A20381">
        <w:t xml:space="preserve">) </w:t>
      </w:r>
      <w:r w:rsidR="00E85B85" w:rsidRPr="00A20381">
        <w:rPr>
          <w:i/>
          <w:spacing w:val="-3"/>
        </w:rPr>
        <w:t xml:space="preserve">premia </w:t>
      </w:r>
      <w:r w:rsidR="00553E89">
        <w:t>and</w:t>
      </w:r>
      <w:r w:rsidR="00E85B85" w:rsidRPr="00A20381">
        <w:t xml:space="preserve"> </w:t>
      </w:r>
      <w:r w:rsidR="00E85B85" w:rsidRPr="00A20381">
        <w:rPr>
          <w:i/>
        </w:rPr>
        <w:t xml:space="preserve">government </w:t>
      </w:r>
      <w:r w:rsidR="00E85B85" w:rsidRPr="00A20381">
        <w:rPr>
          <w:i/>
          <w:spacing w:val="-3"/>
        </w:rPr>
        <w:t xml:space="preserve">bond </w:t>
      </w:r>
      <w:r w:rsidR="00860EE2">
        <w:rPr>
          <w:i/>
          <w:spacing w:val="-3"/>
        </w:rPr>
        <w:t xml:space="preserve">yield </w:t>
      </w:r>
      <w:r w:rsidR="00E85B85" w:rsidRPr="00A20381">
        <w:rPr>
          <w:i/>
          <w:spacing w:val="-4"/>
        </w:rPr>
        <w:t xml:space="preserve">spreads </w:t>
      </w:r>
      <w:r w:rsidR="00E85B85" w:rsidRPr="00A20381">
        <w:t>(</w:t>
      </w:r>
      <w:r w:rsidR="00E85B85" w:rsidRPr="00A20381">
        <w:rPr>
          <w:i/>
        </w:rPr>
        <w:t>GBS</w:t>
      </w:r>
      <w:r w:rsidR="00E85B85" w:rsidRPr="00A20381">
        <w:t xml:space="preserve">), </w:t>
      </w:r>
      <w:r w:rsidR="00E85B85" w:rsidRPr="00A20381">
        <w:rPr>
          <w:spacing w:val="-3"/>
        </w:rPr>
        <w:t xml:space="preserve">by </w:t>
      </w:r>
      <w:r w:rsidR="00553E89">
        <w:t>focusing particularly on</w:t>
      </w:r>
      <w:r w:rsidR="00E85B85" w:rsidRPr="00A20381">
        <w:t xml:space="preserve"> sovereign credit risk, in order to </w:t>
      </w:r>
      <w:r w:rsidR="00E85B85" w:rsidRPr="00A20381">
        <w:rPr>
          <w:spacing w:val="-3"/>
        </w:rPr>
        <w:t xml:space="preserve">evaluate </w:t>
      </w:r>
      <w:r w:rsidR="00E85B85" w:rsidRPr="00A20381">
        <w:t xml:space="preserve">the </w:t>
      </w:r>
      <w:r w:rsidR="00E85B85" w:rsidRPr="00A20381">
        <w:rPr>
          <w:i/>
        </w:rPr>
        <w:t xml:space="preserve">lead-lag </w:t>
      </w:r>
      <w:r w:rsidR="00E85B85" w:rsidRPr="00A20381">
        <w:t xml:space="preserve">markets in the </w:t>
      </w:r>
      <w:r w:rsidR="00E85B85" w:rsidRPr="00A20381">
        <w:rPr>
          <w:i/>
          <w:spacing w:val="-3"/>
        </w:rPr>
        <w:t xml:space="preserve">price </w:t>
      </w:r>
      <w:r w:rsidR="00E85B85" w:rsidRPr="00A20381">
        <w:rPr>
          <w:i/>
        </w:rPr>
        <w:t xml:space="preserve">discovery </w:t>
      </w:r>
      <w:r w:rsidR="00E85B85" w:rsidRPr="00A20381">
        <w:rPr>
          <w:i/>
          <w:spacing w:val="-5"/>
        </w:rPr>
        <w:t xml:space="preserve">process </w:t>
      </w:r>
      <w:r w:rsidR="00E85B85" w:rsidRPr="00A20381">
        <w:t>against the backdrop of a deep</w:t>
      </w:r>
      <w:r w:rsidR="00553E89">
        <w:t xml:space="preserve"> financial</w:t>
      </w:r>
      <w:r w:rsidR="00E85B85" w:rsidRPr="00A20381">
        <w:t xml:space="preserve"> crisis. The focus of</w:t>
      </w:r>
      <w:r w:rsidR="00E85B85" w:rsidRPr="00A20381">
        <w:rPr>
          <w:spacing w:val="-4"/>
        </w:rPr>
        <w:t xml:space="preserve"> </w:t>
      </w:r>
      <w:r w:rsidR="00E85B85" w:rsidRPr="00A20381">
        <w:t>this</w:t>
      </w:r>
      <w:r w:rsidR="00E85B85" w:rsidRPr="00A20381">
        <w:rPr>
          <w:spacing w:val="-4"/>
        </w:rPr>
        <w:t xml:space="preserve"> </w:t>
      </w:r>
      <w:r w:rsidR="00E85B85" w:rsidRPr="00A20381">
        <w:t>study</w:t>
      </w:r>
      <w:r w:rsidR="00E85B85" w:rsidRPr="00A20381">
        <w:rPr>
          <w:spacing w:val="-4"/>
        </w:rPr>
        <w:t xml:space="preserve"> </w:t>
      </w:r>
      <w:r w:rsidR="00E85B85" w:rsidRPr="00A20381">
        <w:t>concerns</w:t>
      </w:r>
      <w:r w:rsidR="00E85B85" w:rsidRPr="00A20381">
        <w:rPr>
          <w:spacing w:val="-4"/>
        </w:rPr>
        <w:t xml:space="preserve"> </w:t>
      </w:r>
      <w:r w:rsidR="00E85B85" w:rsidRPr="00A20381">
        <w:t>the</w:t>
      </w:r>
      <w:r w:rsidR="00E85B85" w:rsidRPr="00A20381">
        <w:rPr>
          <w:spacing w:val="-3"/>
        </w:rPr>
        <w:t xml:space="preserve"> </w:t>
      </w:r>
      <w:r w:rsidR="00553E89">
        <w:t>country</w:t>
      </w:r>
      <w:r w:rsidR="00E85B85" w:rsidRPr="00A20381">
        <w:rPr>
          <w:spacing w:val="-4"/>
        </w:rPr>
        <w:t xml:space="preserve"> </w:t>
      </w:r>
      <w:r w:rsidR="00E85B85" w:rsidRPr="00A20381">
        <w:t>of</w:t>
      </w:r>
      <w:r w:rsidR="00E85B85" w:rsidRPr="00A20381">
        <w:rPr>
          <w:spacing w:val="-3"/>
        </w:rPr>
        <w:t xml:space="preserve"> Italy, </w:t>
      </w:r>
      <w:r w:rsidR="00E85B85" w:rsidRPr="00A20381">
        <w:t>one</w:t>
      </w:r>
      <w:r w:rsidR="00E85B85" w:rsidRPr="00A20381">
        <w:rPr>
          <w:spacing w:val="-4"/>
        </w:rPr>
        <w:t xml:space="preserve"> </w:t>
      </w:r>
      <w:r w:rsidR="00E85B85" w:rsidRPr="00A20381">
        <w:t>of</w:t>
      </w:r>
      <w:r w:rsidR="00E85B85" w:rsidRPr="00A20381">
        <w:rPr>
          <w:spacing w:val="-3"/>
        </w:rPr>
        <w:t xml:space="preserve"> </w:t>
      </w:r>
      <w:r w:rsidR="00E85B85" w:rsidRPr="00A20381">
        <w:t>the</w:t>
      </w:r>
      <w:r w:rsidR="00E85B85" w:rsidRPr="00A20381">
        <w:rPr>
          <w:spacing w:val="-4"/>
        </w:rPr>
        <w:t xml:space="preserve"> </w:t>
      </w:r>
      <w:r w:rsidR="00E85B85" w:rsidRPr="00A20381">
        <w:rPr>
          <w:spacing w:val="2"/>
        </w:rPr>
        <w:t>major</w:t>
      </w:r>
      <w:r w:rsidR="00E85B85" w:rsidRPr="00A20381">
        <w:rPr>
          <w:spacing w:val="-4"/>
        </w:rPr>
        <w:t xml:space="preserve"> </w:t>
      </w:r>
      <w:r w:rsidRPr="00A20381">
        <w:rPr>
          <w:spacing w:val="-4"/>
        </w:rPr>
        <w:t xml:space="preserve">European </w:t>
      </w:r>
      <w:r w:rsidR="00E85B85" w:rsidRPr="00A20381">
        <w:t>countries</w:t>
      </w:r>
      <w:r w:rsidR="00E85B85" w:rsidRPr="00A20381">
        <w:rPr>
          <w:spacing w:val="-3"/>
        </w:rPr>
        <w:t xml:space="preserve"> </w:t>
      </w:r>
      <w:r w:rsidRPr="00A20381">
        <w:t xml:space="preserve">that suffers </w:t>
      </w:r>
      <w:r w:rsidR="00553E89">
        <w:t>from both weak GDP growth and high public debt, which</w:t>
      </w:r>
      <w:r w:rsidRPr="00A20381">
        <w:t xml:space="preserve"> subject</w:t>
      </w:r>
      <w:r w:rsidR="00553E89">
        <w:t>s it</w:t>
      </w:r>
      <w:r w:rsidRPr="00A20381">
        <w:t xml:space="preserve"> to volatility and speculation during periods of financial stress.</w:t>
      </w:r>
    </w:p>
    <w:p w:rsidR="004D3208" w:rsidRPr="00A20381" w:rsidRDefault="004D3208" w:rsidP="001A4FB4">
      <w:pPr>
        <w:pStyle w:val="Corpotesto"/>
        <w:spacing w:before="150" w:line="360" w:lineRule="auto"/>
        <w:ind w:left="113" w:right="110"/>
        <w:jc w:val="both"/>
        <w:rPr>
          <w:i/>
          <w:w w:val="105"/>
          <w:szCs w:val="22"/>
        </w:rPr>
      </w:pPr>
    </w:p>
    <w:p w:rsidR="000377FF" w:rsidRPr="00A20381" w:rsidRDefault="00E85B85" w:rsidP="001A4FB4">
      <w:pPr>
        <w:pStyle w:val="MDPI18keywords"/>
        <w:spacing w:line="360" w:lineRule="auto"/>
        <w:rPr>
          <w:rFonts w:ascii="Book Antiqua" w:hAnsi="Book Antiqua"/>
        </w:rPr>
      </w:pPr>
      <w:r w:rsidRPr="00A20381">
        <w:rPr>
          <w:rFonts w:ascii="Book Antiqua" w:hAnsi="Book Antiqua"/>
          <w:b/>
        </w:rPr>
        <w:t xml:space="preserve">Keywords: </w:t>
      </w:r>
      <w:r w:rsidRPr="00A20381">
        <w:rPr>
          <w:rFonts w:ascii="Book Antiqua" w:hAnsi="Book Antiqua"/>
        </w:rPr>
        <w:t>CDS spread</w:t>
      </w:r>
      <w:r w:rsidR="004D3208" w:rsidRPr="00A20381">
        <w:rPr>
          <w:rFonts w:ascii="Book Antiqua" w:hAnsi="Book Antiqua"/>
        </w:rPr>
        <w:t>s;</w:t>
      </w:r>
      <w:r w:rsidRPr="00A20381">
        <w:rPr>
          <w:rFonts w:ascii="Book Antiqua" w:hAnsi="Book Antiqua"/>
        </w:rPr>
        <w:t xml:space="preserve"> government bond spread</w:t>
      </w:r>
      <w:r w:rsidR="004D3208" w:rsidRPr="00A20381">
        <w:rPr>
          <w:rFonts w:ascii="Book Antiqua" w:hAnsi="Book Antiqua"/>
        </w:rPr>
        <w:t>s; cre</w:t>
      </w:r>
      <w:r w:rsidR="00A20381">
        <w:rPr>
          <w:rFonts w:ascii="Book Antiqua" w:hAnsi="Book Antiqua"/>
        </w:rPr>
        <w:t xml:space="preserve">dit risk; </w:t>
      </w:r>
      <w:proofErr w:type="spellStart"/>
      <w:r w:rsidR="00A20381">
        <w:rPr>
          <w:rFonts w:ascii="Book Antiqua" w:hAnsi="Book Antiqua"/>
        </w:rPr>
        <w:t>cointegration</w:t>
      </w:r>
      <w:proofErr w:type="spellEnd"/>
      <w:r w:rsidR="00A20381">
        <w:rPr>
          <w:rFonts w:ascii="Book Antiqua" w:hAnsi="Book Antiqua"/>
        </w:rPr>
        <w:t xml:space="preserve">; vector </w:t>
      </w:r>
      <w:r w:rsidR="004D3208" w:rsidRPr="00A20381">
        <w:rPr>
          <w:rFonts w:ascii="Book Antiqua" w:hAnsi="Book Antiqua"/>
        </w:rPr>
        <w:t>error correction model;</w:t>
      </w:r>
      <w:r w:rsidRPr="00A20381">
        <w:rPr>
          <w:rFonts w:ascii="Book Antiqua" w:hAnsi="Book Antiqua"/>
        </w:rPr>
        <w:t xml:space="preserve"> Granger-causality</w:t>
      </w:r>
    </w:p>
    <w:p w:rsidR="004D3208" w:rsidRPr="00A20381" w:rsidRDefault="004D3208" w:rsidP="001A4FB4">
      <w:pPr>
        <w:pStyle w:val="MDPI18keywords"/>
        <w:spacing w:line="360" w:lineRule="auto"/>
        <w:rPr>
          <w:rFonts w:ascii="Book Antiqua" w:hAnsi="Book Antiqua"/>
        </w:rPr>
      </w:pPr>
      <w:r w:rsidRPr="00A20381">
        <w:rPr>
          <w:rFonts w:ascii="Book Antiqua" w:hAnsi="Book Antiqua"/>
          <w:b/>
          <w:iCs/>
        </w:rPr>
        <w:t>JEL Classification:</w:t>
      </w:r>
      <w:r w:rsidRPr="00A20381">
        <w:rPr>
          <w:rFonts w:ascii="Book Antiqua" w:hAnsi="Book Antiqua"/>
        </w:rPr>
        <w:t xml:space="preserve"> G01; G12; G14; G20</w:t>
      </w:r>
    </w:p>
    <w:p w:rsidR="004D3208" w:rsidRPr="00A20381" w:rsidRDefault="004D3208" w:rsidP="001A4FB4">
      <w:pPr>
        <w:pStyle w:val="Corpotesto"/>
        <w:spacing w:before="150" w:line="360" w:lineRule="auto"/>
        <w:ind w:left="113" w:right="110"/>
        <w:jc w:val="both"/>
      </w:pPr>
    </w:p>
    <w:p w:rsidR="004D3208" w:rsidRPr="00A20381" w:rsidRDefault="004D3208" w:rsidP="001A4FB4">
      <w:pPr>
        <w:pStyle w:val="Corpotesto"/>
        <w:spacing w:before="150" w:line="360" w:lineRule="auto"/>
        <w:ind w:right="110"/>
        <w:jc w:val="both"/>
        <w:sectPr w:rsidR="004D3208" w:rsidRPr="00A20381">
          <w:footerReference w:type="default" r:id="rId9"/>
          <w:pgSz w:w="12240" w:h="15840"/>
          <w:pgMar w:top="1500" w:right="1020" w:bottom="1000" w:left="1020" w:header="0" w:footer="806" w:gutter="0"/>
          <w:pgNumType w:start="2"/>
          <w:cols w:space="720"/>
        </w:sectPr>
      </w:pPr>
    </w:p>
    <w:p w:rsidR="00DF0E9E" w:rsidRPr="00A20381" w:rsidRDefault="00E85B85" w:rsidP="001A4FB4">
      <w:pPr>
        <w:pStyle w:val="Titolo1"/>
        <w:numPr>
          <w:ilvl w:val="0"/>
          <w:numId w:val="5"/>
        </w:numPr>
        <w:tabs>
          <w:tab w:val="left" w:pos="587"/>
          <w:tab w:val="left" w:pos="588"/>
        </w:tabs>
        <w:spacing w:before="4" w:line="360" w:lineRule="auto"/>
        <w:ind w:hanging="475"/>
        <w:jc w:val="both"/>
        <w:rPr>
          <w:sz w:val="27"/>
        </w:rPr>
      </w:pPr>
      <w:bookmarkStart w:id="1" w:name="_TOC_250009"/>
      <w:bookmarkEnd w:id="1"/>
      <w:r w:rsidRPr="00A20381">
        <w:rPr>
          <w:w w:val="105"/>
        </w:rPr>
        <w:lastRenderedPageBreak/>
        <w:t>Introduction</w:t>
      </w:r>
    </w:p>
    <w:p w:rsidR="000377FF" w:rsidRPr="00A20381" w:rsidRDefault="00E85B85" w:rsidP="001A4FB4">
      <w:pPr>
        <w:pStyle w:val="Corpotesto"/>
        <w:spacing w:line="360" w:lineRule="auto"/>
        <w:ind w:left="113" w:right="110"/>
        <w:jc w:val="both"/>
      </w:pPr>
      <w:r w:rsidRPr="00A20381">
        <w:t>In</w:t>
      </w:r>
      <w:r w:rsidRPr="00A20381">
        <w:rPr>
          <w:spacing w:val="-4"/>
        </w:rPr>
        <w:t xml:space="preserve"> </w:t>
      </w:r>
      <w:r w:rsidRPr="00A20381">
        <w:t>this</w:t>
      </w:r>
      <w:r w:rsidRPr="00A20381">
        <w:rPr>
          <w:spacing w:val="-4"/>
        </w:rPr>
        <w:t xml:space="preserve"> </w:t>
      </w:r>
      <w:r w:rsidRPr="00A20381">
        <w:t>empirical</w:t>
      </w:r>
      <w:r w:rsidRPr="00A20381">
        <w:rPr>
          <w:spacing w:val="-4"/>
        </w:rPr>
        <w:t xml:space="preserve"> </w:t>
      </w:r>
      <w:r w:rsidRPr="00A20381">
        <w:rPr>
          <w:spacing w:val="-3"/>
        </w:rPr>
        <w:t>study,</w:t>
      </w:r>
      <w:r w:rsidRPr="00A20381">
        <w:rPr>
          <w:spacing w:val="-4"/>
        </w:rPr>
        <w:t xml:space="preserve"> </w:t>
      </w:r>
      <w:r w:rsidR="004D3208" w:rsidRPr="00A20381">
        <w:t>we</w:t>
      </w:r>
      <w:r w:rsidRPr="00A20381">
        <w:rPr>
          <w:spacing w:val="-4"/>
        </w:rPr>
        <w:t xml:space="preserve"> </w:t>
      </w:r>
      <w:r w:rsidR="004D3208" w:rsidRPr="00A20381">
        <w:t>analyze</w:t>
      </w:r>
      <w:r w:rsidRPr="00A20381">
        <w:rPr>
          <w:spacing w:val="-4"/>
        </w:rPr>
        <w:t xml:space="preserve"> </w:t>
      </w:r>
      <w:r w:rsidRPr="00A20381">
        <w:t>the</w:t>
      </w:r>
      <w:r w:rsidRPr="00A20381">
        <w:rPr>
          <w:spacing w:val="-4"/>
        </w:rPr>
        <w:t xml:space="preserve"> </w:t>
      </w:r>
      <w:r w:rsidRPr="00A20381">
        <w:t>connection</w:t>
      </w:r>
      <w:r w:rsidRPr="00A20381">
        <w:rPr>
          <w:spacing w:val="-4"/>
        </w:rPr>
        <w:t xml:space="preserve"> </w:t>
      </w:r>
      <w:r w:rsidRPr="00A20381">
        <w:t>between</w:t>
      </w:r>
      <w:r w:rsidRPr="00A20381">
        <w:rPr>
          <w:spacing w:val="-4"/>
        </w:rPr>
        <w:t xml:space="preserve"> </w:t>
      </w:r>
      <w:r w:rsidR="00EF5EB8">
        <w:t>a</w:t>
      </w:r>
      <w:r w:rsidRPr="00A20381">
        <w:rPr>
          <w:spacing w:val="-4"/>
        </w:rPr>
        <w:t xml:space="preserve"> </w:t>
      </w:r>
      <w:r w:rsidRPr="00A20381">
        <w:t>time</w:t>
      </w:r>
      <w:r w:rsidRPr="00A20381">
        <w:rPr>
          <w:spacing w:val="-4"/>
        </w:rPr>
        <w:t xml:space="preserve"> </w:t>
      </w:r>
      <w:r w:rsidRPr="00A20381">
        <w:t>series</w:t>
      </w:r>
      <w:r w:rsidRPr="00A20381">
        <w:rPr>
          <w:spacing w:val="-3"/>
        </w:rPr>
        <w:t xml:space="preserve"> </w:t>
      </w:r>
      <w:r w:rsidRPr="00A20381">
        <w:t>of</w:t>
      </w:r>
      <w:r w:rsidRPr="00A20381">
        <w:rPr>
          <w:spacing w:val="-4"/>
        </w:rPr>
        <w:t xml:space="preserve"> </w:t>
      </w:r>
      <w:r w:rsidR="00651D6F">
        <w:rPr>
          <w:spacing w:val="-4"/>
        </w:rPr>
        <w:t xml:space="preserve">government </w:t>
      </w:r>
      <w:r w:rsidRPr="00A20381">
        <w:t>bond</w:t>
      </w:r>
      <w:r w:rsidRPr="00A20381">
        <w:rPr>
          <w:spacing w:val="-4"/>
        </w:rPr>
        <w:t xml:space="preserve"> </w:t>
      </w:r>
      <w:r w:rsidRPr="00A20381">
        <w:t>spreads,</w:t>
      </w:r>
      <w:r w:rsidRPr="00A20381">
        <w:rPr>
          <w:spacing w:val="-4"/>
        </w:rPr>
        <w:t xml:space="preserve"> </w:t>
      </w:r>
      <w:r w:rsidRPr="00A20381">
        <w:t xml:space="preserve">calculated as </w:t>
      </w:r>
      <w:r w:rsidR="00EF5EB8">
        <w:t xml:space="preserve">the </w:t>
      </w:r>
      <w:r w:rsidRPr="00A20381">
        <w:t xml:space="preserve">differential between the </w:t>
      </w:r>
      <w:r w:rsidR="004D3208" w:rsidRPr="00A20381">
        <w:t xml:space="preserve">ten-years Italian government bond (BTP) yield </w:t>
      </w:r>
      <w:r w:rsidRPr="00A20381">
        <w:t xml:space="preserve">and </w:t>
      </w:r>
      <w:r w:rsidR="004D3208" w:rsidRPr="00A20381">
        <w:t>the respective German government bond (</w:t>
      </w:r>
      <w:r w:rsidRPr="00A20381">
        <w:t>Bund</w:t>
      </w:r>
      <w:r w:rsidR="004D3208" w:rsidRPr="00A20381">
        <w:t>) yield</w:t>
      </w:r>
      <w:r w:rsidRPr="00A20381">
        <w:t xml:space="preserve">, and </w:t>
      </w:r>
      <w:r w:rsidR="00651D6F">
        <w:t xml:space="preserve">ten-years Italian </w:t>
      </w:r>
      <w:r w:rsidRPr="00A20381">
        <w:t xml:space="preserve">CDS spreads (or premia) in order to </w:t>
      </w:r>
      <w:r w:rsidRPr="00A20381">
        <w:rPr>
          <w:spacing w:val="-3"/>
        </w:rPr>
        <w:t xml:space="preserve">evaluate </w:t>
      </w:r>
      <w:r w:rsidRPr="00A20381">
        <w:t>their different ability</w:t>
      </w:r>
      <w:r w:rsidRPr="00A20381">
        <w:rPr>
          <w:spacing w:val="-16"/>
        </w:rPr>
        <w:t xml:space="preserve"> </w:t>
      </w:r>
      <w:r w:rsidRPr="00A20381">
        <w:t>to</w:t>
      </w:r>
      <w:r w:rsidR="00EF5EB8">
        <w:t xml:space="preserve"> immediately</w:t>
      </w:r>
      <w:r w:rsidRPr="00A20381">
        <w:rPr>
          <w:spacing w:val="-16"/>
        </w:rPr>
        <w:t xml:space="preserve"> </w:t>
      </w:r>
      <w:r w:rsidRPr="00A20381">
        <w:t>incorporate</w:t>
      </w:r>
      <w:r w:rsidRPr="00A20381">
        <w:rPr>
          <w:spacing w:val="-16"/>
        </w:rPr>
        <w:t xml:space="preserve"> </w:t>
      </w:r>
      <w:r w:rsidRPr="00A20381">
        <w:t>information</w:t>
      </w:r>
      <w:r w:rsidRPr="00A20381">
        <w:rPr>
          <w:spacing w:val="-16"/>
        </w:rPr>
        <w:t xml:space="preserve"> </w:t>
      </w:r>
      <w:r w:rsidRPr="00A20381">
        <w:t>on</w:t>
      </w:r>
      <w:r w:rsidRPr="00A20381">
        <w:rPr>
          <w:spacing w:val="-16"/>
        </w:rPr>
        <w:t xml:space="preserve"> </w:t>
      </w:r>
      <w:r w:rsidRPr="00A20381">
        <w:t>credit</w:t>
      </w:r>
      <w:r w:rsidRPr="00A20381">
        <w:rPr>
          <w:spacing w:val="-16"/>
        </w:rPr>
        <w:t xml:space="preserve"> </w:t>
      </w:r>
      <w:r w:rsidRPr="00A20381">
        <w:t>risk,</w:t>
      </w:r>
      <w:r w:rsidRPr="00A20381">
        <w:rPr>
          <w:spacing w:val="-14"/>
        </w:rPr>
        <w:t xml:space="preserve"> </w:t>
      </w:r>
      <w:r w:rsidRPr="00A20381">
        <w:t>specifically</w:t>
      </w:r>
      <w:r w:rsidRPr="00A20381">
        <w:rPr>
          <w:spacing w:val="-15"/>
        </w:rPr>
        <w:t xml:space="preserve"> </w:t>
      </w:r>
      <w:r w:rsidRPr="00A20381">
        <w:t>for</w:t>
      </w:r>
      <w:r w:rsidRPr="00A20381">
        <w:rPr>
          <w:spacing w:val="-16"/>
        </w:rPr>
        <w:t xml:space="preserve"> </w:t>
      </w:r>
      <w:r w:rsidRPr="00A20381">
        <w:t>the</w:t>
      </w:r>
      <w:r w:rsidRPr="00A20381">
        <w:rPr>
          <w:spacing w:val="-16"/>
        </w:rPr>
        <w:t xml:space="preserve"> </w:t>
      </w:r>
      <w:r w:rsidRPr="00A20381">
        <w:t>case</w:t>
      </w:r>
      <w:r w:rsidRPr="00A20381">
        <w:rPr>
          <w:spacing w:val="-16"/>
        </w:rPr>
        <w:t xml:space="preserve"> </w:t>
      </w:r>
      <w:r w:rsidRPr="00A20381">
        <w:t>of</w:t>
      </w:r>
      <w:r w:rsidRPr="00A20381">
        <w:rPr>
          <w:spacing w:val="-16"/>
        </w:rPr>
        <w:t xml:space="preserve"> </w:t>
      </w:r>
      <w:r w:rsidRPr="00A20381">
        <w:rPr>
          <w:spacing w:val="-3"/>
        </w:rPr>
        <w:t>Italy.</w:t>
      </w:r>
      <w:r w:rsidRPr="00A20381">
        <w:rPr>
          <w:spacing w:val="7"/>
        </w:rPr>
        <w:t xml:space="preserve"> </w:t>
      </w:r>
      <w:r w:rsidRPr="00A20381">
        <w:rPr>
          <w:spacing w:val="-3"/>
        </w:rPr>
        <w:t>Why</w:t>
      </w:r>
      <w:r w:rsidRPr="00A20381">
        <w:rPr>
          <w:spacing w:val="-16"/>
        </w:rPr>
        <w:t xml:space="preserve"> </w:t>
      </w:r>
      <w:r w:rsidRPr="00A20381">
        <w:t>do</w:t>
      </w:r>
      <w:r w:rsidRPr="00A20381">
        <w:rPr>
          <w:spacing w:val="-16"/>
        </w:rPr>
        <w:t xml:space="preserve"> </w:t>
      </w:r>
      <w:r w:rsidR="004D3208" w:rsidRPr="00A20381">
        <w:t>we</w:t>
      </w:r>
      <w:r w:rsidRPr="00A20381">
        <w:t xml:space="preserve"> focus</w:t>
      </w:r>
      <w:r w:rsidR="00EF5EB8">
        <w:t xml:space="preserve"> specifically</w:t>
      </w:r>
      <w:r w:rsidRPr="00A20381">
        <w:rPr>
          <w:spacing w:val="-19"/>
        </w:rPr>
        <w:t xml:space="preserve"> </w:t>
      </w:r>
      <w:r w:rsidRPr="00A20381">
        <w:t>on</w:t>
      </w:r>
      <w:r w:rsidRPr="00A20381">
        <w:rPr>
          <w:spacing w:val="-18"/>
        </w:rPr>
        <w:t xml:space="preserve"> </w:t>
      </w:r>
      <w:r w:rsidRPr="00A20381">
        <w:t>Italy?</w:t>
      </w:r>
      <w:r w:rsidRPr="00A20381">
        <w:rPr>
          <w:spacing w:val="2"/>
        </w:rPr>
        <w:t xml:space="preserve"> </w:t>
      </w:r>
      <w:r w:rsidRPr="00A20381">
        <w:t>Italy</w:t>
      </w:r>
      <w:r w:rsidRPr="00A20381">
        <w:rPr>
          <w:spacing w:val="-18"/>
        </w:rPr>
        <w:t xml:space="preserve"> </w:t>
      </w:r>
      <w:r w:rsidRPr="00A20381">
        <w:t>is</w:t>
      </w:r>
      <w:r w:rsidRPr="00A20381">
        <w:rPr>
          <w:spacing w:val="-19"/>
        </w:rPr>
        <w:t xml:space="preserve"> </w:t>
      </w:r>
      <w:r w:rsidRPr="00A20381">
        <w:t>an</w:t>
      </w:r>
      <w:r w:rsidRPr="00A20381">
        <w:rPr>
          <w:spacing w:val="-18"/>
        </w:rPr>
        <w:t xml:space="preserve"> </w:t>
      </w:r>
      <w:r w:rsidRPr="00A20381">
        <w:t>industrialized</w:t>
      </w:r>
      <w:r w:rsidRPr="00A20381">
        <w:rPr>
          <w:spacing w:val="-18"/>
        </w:rPr>
        <w:t xml:space="preserve"> </w:t>
      </w:r>
      <w:r w:rsidR="004D3208" w:rsidRPr="00A20381">
        <w:t>country</w:t>
      </w:r>
      <w:r w:rsidR="004D3208" w:rsidRPr="00A20381">
        <w:rPr>
          <w:spacing w:val="-18"/>
        </w:rPr>
        <w:t xml:space="preserve"> </w:t>
      </w:r>
      <w:r w:rsidR="004D3208" w:rsidRPr="00A20381">
        <w:t>that</w:t>
      </w:r>
      <w:r w:rsidRPr="00A20381">
        <w:rPr>
          <w:spacing w:val="-18"/>
        </w:rPr>
        <w:t xml:space="preserve"> </w:t>
      </w:r>
      <w:r w:rsidRPr="00A20381">
        <w:t>holds</w:t>
      </w:r>
      <w:r w:rsidRPr="00A20381">
        <w:rPr>
          <w:spacing w:val="-19"/>
        </w:rPr>
        <w:t xml:space="preserve"> </w:t>
      </w:r>
      <w:r w:rsidRPr="00A20381">
        <w:t>a</w:t>
      </w:r>
      <w:r w:rsidRPr="00A20381">
        <w:rPr>
          <w:spacing w:val="-18"/>
        </w:rPr>
        <w:t xml:space="preserve"> </w:t>
      </w:r>
      <w:r w:rsidRPr="00A20381">
        <w:t>prominent</w:t>
      </w:r>
      <w:r w:rsidRPr="00A20381">
        <w:rPr>
          <w:spacing w:val="-18"/>
        </w:rPr>
        <w:t xml:space="preserve"> </w:t>
      </w:r>
      <w:r w:rsidRPr="00A20381">
        <w:t>position</w:t>
      </w:r>
      <w:r w:rsidRPr="00A20381">
        <w:rPr>
          <w:spacing w:val="-18"/>
        </w:rPr>
        <w:t xml:space="preserve"> </w:t>
      </w:r>
      <w:r w:rsidRPr="00A20381">
        <w:t>in</w:t>
      </w:r>
      <w:r w:rsidRPr="00A20381">
        <w:rPr>
          <w:spacing w:val="-18"/>
        </w:rPr>
        <w:t xml:space="preserve"> </w:t>
      </w:r>
      <w:r w:rsidRPr="00A20381">
        <w:t>Europe</w:t>
      </w:r>
      <w:r w:rsidRPr="00A20381">
        <w:rPr>
          <w:spacing w:val="-19"/>
        </w:rPr>
        <w:t xml:space="preserve"> </w:t>
      </w:r>
      <w:r w:rsidRPr="00A20381">
        <w:t>as</w:t>
      </w:r>
      <w:r w:rsidRPr="00A20381">
        <w:rPr>
          <w:spacing w:val="-18"/>
        </w:rPr>
        <w:t xml:space="preserve"> </w:t>
      </w:r>
      <w:r w:rsidRPr="00A20381">
        <w:t>well</w:t>
      </w:r>
      <w:r w:rsidRPr="00A20381">
        <w:rPr>
          <w:spacing w:val="-18"/>
        </w:rPr>
        <w:t xml:space="preserve"> </w:t>
      </w:r>
      <w:r w:rsidRPr="00A20381">
        <w:t>as</w:t>
      </w:r>
      <w:r w:rsidRPr="00A20381">
        <w:rPr>
          <w:spacing w:val="-18"/>
        </w:rPr>
        <w:t xml:space="preserve"> </w:t>
      </w:r>
      <w:r w:rsidRPr="00A20381">
        <w:t>in</w:t>
      </w:r>
      <w:r w:rsidRPr="00A20381">
        <w:rPr>
          <w:spacing w:val="-18"/>
        </w:rPr>
        <w:t xml:space="preserve"> </w:t>
      </w:r>
      <w:r w:rsidRPr="00A20381">
        <w:t>the</w:t>
      </w:r>
      <w:r w:rsidRPr="00A20381">
        <w:rPr>
          <w:spacing w:val="-19"/>
        </w:rPr>
        <w:t xml:space="preserve"> </w:t>
      </w:r>
      <w:r w:rsidR="00EF5EB8">
        <w:rPr>
          <w:spacing w:val="-4"/>
        </w:rPr>
        <w:t>w</w:t>
      </w:r>
      <w:r w:rsidRPr="00A20381">
        <w:rPr>
          <w:spacing w:val="-4"/>
        </w:rPr>
        <w:t xml:space="preserve">orld. </w:t>
      </w:r>
      <w:r w:rsidRPr="00A20381">
        <w:t xml:space="preserve">During the </w:t>
      </w:r>
      <w:r w:rsidR="00137B48">
        <w:t xml:space="preserve">sovereign debt </w:t>
      </w:r>
      <w:r w:rsidRPr="00A20381">
        <w:t xml:space="preserve">crisis, Italy has been (and it continues to be) considered as one member of the </w:t>
      </w:r>
      <w:r w:rsidR="00C20262" w:rsidRPr="00A20381">
        <w:t>so-called</w:t>
      </w:r>
      <w:r w:rsidRPr="00A20381">
        <w:t xml:space="preserve"> </w:t>
      </w:r>
      <w:r w:rsidRPr="00A20381">
        <w:rPr>
          <w:spacing w:val="2"/>
        </w:rPr>
        <w:t>“</w:t>
      </w:r>
      <w:r w:rsidRPr="00A20381">
        <w:rPr>
          <w:i/>
          <w:spacing w:val="2"/>
        </w:rPr>
        <w:t>PIIGS</w:t>
      </w:r>
      <w:r w:rsidR="00137B48">
        <w:t>”, which are</w:t>
      </w:r>
      <w:r w:rsidRPr="00A20381">
        <w:rPr>
          <w:spacing w:val="-9"/>
        </w:rPr>
        <w:t xml:space="preserve"> </w:t>
      </w:r>
      <w:r w:rsidRPr="00A20381">
        <w:t>the</w:t>
      </w:r>
      <w:r w:rsidRPr="00A20381">
        <w:rPr>
          <w:spacing w:val="-9"/>
        </w:rPr>
        <w:t xml:space="preserve"> </w:t>
      </w:r>
      <w:r w:rsidRPr="00A20381">
        <w:t>peripheral</w:t>
      </w:r>
      <w:r w:rsidRPr="00A20381">
        <w:rPr>
          <w:spacing w:val="-8"/>
        </w:rPr>
        <w:t xml:space="preserve"> </w:t>
      </w:r>
      <w:r w:rsidRPr="00A20381">
        <w:t>countries</w:t>
      </w:r>
      <w:r w:rsidRPr="00A20381">
        <w:rPr>
          <w:spacing w:val="-9"/>
        </w:rPr>
        <w:t xml:space="preserve"> </w:t>
      </w:r>
      <w:r w:rsidRPr="00A20381">
        <w:t>of</w:t>
      </w:r>
      <w:r w:rsidRPr="00A20381">
        <w:rPr>
          <w:spacing w:val="-8"/>
        </w:rPr>
        <w:t xml:space="preserve"> </w:t>
      </w:r>
      <w:r w:rsidRPr="00A20381">
        <w:t>the</w:t>
      </w:r>
      <w:r w:rsidRPr="00A20381">
        <w:rPr>
          <w:spacing w:val="-9"/>
        </w:rPr>
        <w:t xml:space="preserve"> </w:t>
      </w:r>
      <w:r w:rsidRPr="00A20381">
        <w:t>Eurozone.</w:t>
      </w:r>
      <w:r w:rsidRPr="00A20381">
        <w:rPr>
          <w:spacing w:val="10"/>
        </w:rPr>
        <w:t xml:space="preserve"> </w:t>
      </w:r>
      <w:r w:rsidRPr="00A20381">
        <w:t>Portugal,</w:t>
      </w:r>
      <w:r w:rsidRPr="00A20381">
        <w:rPr>
          <w:spacing w:val="-8"/>
        </w:rPr>
        <w:t xml:space="preserve"> </w:t>
      </w:r>
      <w:r w:rsidRPr="00A20381">
        <w:rPr>
          <w:spacing w:val="-3"/>
        </w:rPr>
        <w:t>Italy,</w:t>
      </w:r>
      <w:r w:rsidRPr="00A20381">
        <w:rPr>
          <w:spacing w:val="-8"/>
        </w:rPr>
        <w:t xml:space="preserve"> </w:t>
      </w:r>
      <w:r w:rsidRPr="00A20381">
        <w:t>Ireland,</w:t>
      </w:r>
      <w:r w:rsidRPr="00A20381">
        <w:rPr>
          <w:spacing w:val="-8"/>
        </w:rPr>
        <w:t xml:space="preserve"> </w:t>
      </w:r>
      <w:r w:rsidRPr="00A20381">
        <w:t>Greece</w:t>
      </w:r>
      <w:r w:rsidRPr="00A20381">
        <w:rPr>
          <w:spacing w:val="-8"/>
        </w:rPr>
        <w:t xml:space="preserve"> </w:t>
      </w:r>
      <w:r w:rsidRPr="00A20381">
        <w:t>and</w:t>
      </w:r>
      <w:r w:rsidRPr="00A20381">
        <w:rPr>
          <w:spacing w:val="-9"/>
        </w:rPr>
        <w:t xml:space="preserve"> </w:t>
      </w:r>
      <w:r w:rsidRPr="00A20381">
        <w:t>Spain</w:t>
      </w:r>
      <w:r w:rsidRPr="00A20381">
        <w:rPr>
          <w:spacing w:val="-8"/>
        </w:rPr>
        <w:t xml:space="preserve"> </w:t>
      </w:r>
      <w:r w:rsidRPr="00A20381">
        <w:t>were</w:t>
      </w:r>
      <w:r w:rsidRPr="00A20381">
        <w:rPr>
          <w:spacing w:val="-9"/>
        </w:rPr>
        <w:t xml:space="preserve"> </w:t>
      </w:r>
      <w:r w:rsidRPr="00A20381">
        <w:t>harshly</w:t>
      </w:r>
      <w:r w:rsidRPr="00A20381">
        <w:rPr>
          <w:spacing w:val="-8"/>
        </w:rPr>
        <w:t xml:space="preserve"> </w:t>
      </w:r>
      <w:r w:rsidRPr="00A20381">
        <w:t>hit</w:t>
      </w:r>
      <w:r w:rsidRPr="00A20381">
        <w:rPr>
          <w:spacing w:val="-9"/>
        </w:rPr>
        <w:t xml:space="preserve"> </w:t>
      </w:r>
      <w:r w:rsidRPr="00A20381">
        <w:rPr>
          <w:spacing w:val="-3"/>
        </w:rPr>
        <w:t>by</w:t>
      </w:r>
      <w:r w:rsidRPr="00A20381">
        <w:rPr>
          <w:spacing w:val="-8"/>
        </w:rPr>
        <w:t xml:space="preserve"> </w:t>
      </w:r>
      <w:r w:rsidRPr="00A20381">
        <w:t>financial crisis.</w:t>
      </w:r>
      <w:r w:rsidRPr="00A20381">
        <w:rPr>
          <w:spacing w:val="28"/>
        </w:rPr>
        <w:t xml:space="preserve"> </w:t>
      </w:r>
      <w:r w:rsidRPr="00A20381">
        <w:t>The</w:t>
      </w:r>
      <w:r w:rsidRPr="00A20381">
        <w:rPr>
          <w:spacing w:val="9"/>
        </w:rPr>
        <w:t xml:space="preserve"> </w:t>
      </w:r>
      <w:r w:rsidR="003E5C74" w:rsidRPr="00A20381">
        <w:t>Italian</w:t>
      </w:r>
      <w:r w:rsidRPr="00A20381">
        <w:rPr>
          <w:spacing w:val="10"/>
        </w:rPr>
        <w:t xml:space="preserve"> </w:t>
      </w:r>
      <w:r w:rsidRPr="00A20381">
        <w:t>case,</w:t>
      </w:r>
      <w:r w:rsidRPr="00A20381">
        <w:rPr>
          <w:spacing w:val="9"/>
        </w:rPr>
        <w:t xml:space="preserve"> </w:t>
      </w:r>
      <w:r w:rsidRPr="00A20381">
        <w:rPr>
          <w:spacing w:val="-3"/>
        </w:rPr>
        <w:t>however,</w:t>
      </w:r>
      <w:r w:rsidRPr="00A20381">
        <w:rPr>
          <w:spacing w:val="9"/>
        </w:rPr>
        <w:t xml:space="preserve"> </w:t>
      </w:r>
      <w:r w:rsidRPr="00A20381">
        <w:t>is</w:t>
      </w:r>
      <w:r w:rsidRPr="00A20381">
        <w:rPr>
          <w:spacing w:val="9"/>
        </w:rPr>
        <w:t xml:space="preserve"> </w:t>
      </w:r>
      <w:r w:rsidRPr="00A20381">
        <w:t>particularly</w:t>
      </w:r>
      <w:r w:rsidRPr="00A20381">
        <w:rPr>
          <w:spacing w:val="9"/>
        </w:rPr>
        <w:t xml:space="preserve"> </w:t>
      </w:r>
      <w:r w:rsidRPr="00A20381">
        <w:t>interesting</w:t>
      </w:r>
      <w:r w:rsidRPr="00A20381">
        <w:rPr>
          <w:spacing w:val="9"/>
        </w:rPr>
        <w:t xml:space="preserve"> </w:t>
      </w:r>
      <w:r w:rsidRPr="00A20381">
        <w:t>in</w:t>
      </w:r>
      <w:r w:rsidRPr="00A20381">
        <w:rPr>
          <w:spacing w:val="9"/>
        </w:rPr>
        <w:t xml:space="preserve"> </w:t>
      </w:r>
      <w:r w:rsidRPr="00A20381">
        <w:t>this</w:t>
      </w:r>
      <w:r w:rsidRPr="00A20381">
        <w:rPr>
          <w:spacing w:val="9"/>
        </w:rPr>
        <w:t xml:space="preserve"> </w:t>
      </w:r>
      <w:r w:rsidRPr="00A20381">
        <w:t>study</w:t>
      </w:r>
      <w:r w:rsidRPr="00A20381">
        <w:rPr>
          <w:spacing w:val="9"/>
        </w:rPr>
        <w:t xml:space="preserve"> </w:t>
      </w:r>
      <w:r w:rsidRPr="00A20381">
        <w:t>for</w:t>
      </w:r>
      <w:r w:rsidRPr="00A20381">
        <w:rPr>
          <w:spacing w:val="9"/>
        </w:rPr>
        <w:t xml:space="preserve"> </w:t>
      </w:r>
      <w:r w:rsidR="002C4346">
        <w:t>four</w:t>
      </w:r>
      <w:r w:rsidRPr="00A20381">
        <w:rPr>
          <w:spacing w:val="10"/>
        </w:rPr>
        <w:t xml:space="preserve"> </w:t>
      </w:r>
      <w:r w:rsidRPr="00A20381">
        <w:t>main</w:t>
      </w:r>
      <w:r w:rsidRPr="00A20381">
        <w:rPr>
          <w:spacing w:val="9"/>
        </w:rPr>
        <w:t xml:space="preserve"> </w:t>
      </w:r>
      <w:r w:rsidRPr="00A20381">
        <w:t>reasons:</w:t>
      </w:r>
    </w:p>
    <w:p w:rsidR="000377FF" w:rsidRPr="00A20381" w:rsidRDefault="00E85B85" w:rsidP="001A4FB4">
      <w:pPr>
        <w:pStyle w:val="Paragrafoelenco"/>
        <w:numPr>
          <w:ilvl w:val="1"/>
          <w:numId w:val="5"/>
        </w:numPr>
        <w:tabs>
          <w:tab w:val="left" w:pos="613"/>
        </w:tabs>
        <w:spacing w:before="166" w:line="360" w:lineRule="auto"/>
        <w:ind w:right="111"/>
        <w:jc w:val="both"/>
        <w:rPr>
          <w:sz w:val="20"/>
        </w:rPr>
      </w:pPr>
      <w:r w:rsidRPr="00A20381">
        <w:rPr>
          <w:sz w:val="20"/>
        </w:rPr>
        <w:t>Italy</w:t>
      </w:r>
      <w:r w:rsidR="00137B48">
        <w:rPr>
          <w:sz w:val="20"/>
        </w:rPr>
        <w:t xml:space="preserve"> </w:t>
      </w:r>
      <w:r w:rsidR="00137B48" w:rsidRPr="00A20381">
        <w:rPr>
          <w:sz w:val="20"/>
        </w:rPr>
        <w:t>(as</w:t>
      </w:r>
      <w:r w:rsidR="00137B48" w:rsidRPr="00A20381">
        <w:rPr>
          <w:spacing w:val="-13"/>
          <w:sz w:val="20"/>
        </w:rPr>
        <w:t xml:space="preserve"> </w:t>
      </w:r>
      <w:r w:rsidR="00137B48" w:rsidRPr="00A20381">
        <w:rPr>
          <w:sz w:val="20"/>
        </w:rPr>
        <w:t>well</w:t>
      </w:r>
      <w:r w:rsidR="00137B48" w:rsidRPr="00A20381">
        <w:rPr>
          <w:spacing w:val="-12"/>
          <w:sz w:val="20"/>
        </w:rPr>
        <w:t xml:space="preserve"> </w:t>
      </w:r>
      <w:r w:rsidR="00137B48" w:rsidRPr="00A20381">
        <w:rPr>
          <w:sz w:val="20"/>
        </w:rPr>
        <w:t>as</w:t>
      </w:r>
      <w:r w:rsidR="00137B48" w:rsidRPr="00A20381">
        <w:rPr>
          <w:spacing w:val="-13"/>
          <w:sz w:val="20"/>
        </w:rPr>
        <w:t xml:space="preserve"> </w:t>
      </w:r>
      <w:r w:rsidR="00137B48" w:rsidRPr="00A20381">
        <w:rPr>
          <w:sz w:val="20"/>
        </w:rPr>
        <w:t>Spain)</w:t>
      </w:r>
      <w:r w:rsidRPr="00A20381">
        <w:rPr>
          <w:spacing w:val="-13"/>
          <w:sz w:val="20"/>
        </w:rPr>
        <w:t xml:space="preserve"> </w:t>
      </w:r>
      <w:r w:rsidR="00137B48">
        <w:rPr>
          <w:sz w:val="20"/>
        </w:rPr>
        <w:t>was</w:t>
      </w:r>
      <w:r w:rsidRPr="00A20381">
        <w:rPr>
          <w:spacing w:val="-13"/>
          <w:sz w:val="20"/>
        </w:rPr>
        <w:t xml:space="preserve"> </w:t>
      </w:r>
      <w:r w:rsidRPr="00A20381">
        <w:rPr>
          <w:sz w:val="20"/>
        </w:rPr>
        <w:t>close</w:t>
      </w:r>
      <w:r w:rsidRPr="00A20381">
        <w:rPr>
          <w:spacing w:val="-12"/>
          <w:sz w:val="20"/>
        </w:rPr>
        <w:t xml:space="preserve"> </w:t>
      </w:r>
      <w:r w:rsidRPr="00A20381">
        <w:rPr>
          <w:sz w:val="20"/>
        </w:rPr>
        <w:t>to</w:t>
      </w:r>
      <w:r w:rsidRPr="00A20381">
        <w:rPr>
          <w:spacing w:val="-13"/>
          <w:sz w:val="20"/>
        </w:rPr>
        <w:t xml:space="preserve"> </w:t>
      </w:r>
      <w:r w:rsidRPr="00A20381">
        <w:rPr>
          <w:sz w:val="20"/>
        </w:rPr>
        <w:t>the</w:t>
      </w:r>
      <w:r w:rsidRPr="00A20381">
        <w:rPr>
          <w:spacing w:val="-13"/>
          <w:sz w:val="20"/>
        </w:rPr>
        <w:t xml:space="preserve"> </w:t>
      </w:r>
      <w:r w:rsidRPr="00A20381">
        <w:rPr>
          <w:sz w:val="20"/>
        </w:rPr>
        <w:t>default</w:t>
      </w:r>
      <w:r w:rsidRPr="00A20381">
        <w:rPr>
          <w:spacing w:val="-13"/>
          <w:sz w:val="20"/>
        </w:rPr>
        <w:t xml:space="preserve"> </w:t>
      </w:r>
      <w:r w:rsidRPr="00A20381">
        <w:rPr>
          <w:sz w:val="20"/>
        </w:rPr>
        <w:t>in</w:t>
      </w:r>
      <w:r w:rsidRPr="00A20381">
        <w:rPr>
          <w:spacing w:val="-12"/>
          <w:sz w:val="20"/>
        </w:rPr>
        <w:t xml:space="preserve"> </w:t>
      </w:r>
      <w:r w:rsidRPr="00A20381">
        <w:rPr>
          <w:sz w:val="20"/>
        </w:rPr>
        <w:t>2011,</w:t>
      </w:r>
      <w:r w:rsidRPr="00A20381">
        <w:rPr>
          <w:spacing w:val="-12"/>
          <w:sz w:val="20"/>
        </w:rPr>
        <w:t xml:space="preserve"> </w:t>
      </w:r>
      <w:r w:rsidRPr="00A20381">
        <w:rPr>
          <w:sz w:val="20"/>
        </w:rPr>
        <w:t>notwithstanding</w:t>
      </w:r>
      <w:r w:rsidRPr="00A20381">
        <w:rPr>
          <w:spacing w:val="-12"/>
          <w:sz w:val="20"/>
        </w:rPr>
        <w:t xml:space="preserve"> </w:t>
      </w:r>
      <w:r w:rsidRPr="00A20381">
        <w:rPr>
          <w:sz w:val="20"/>
        </w:rPr>
        <w:t>the</w:t>
      </w:r>
      <w:r w:rsidRPr="00A20381">
        <w:rPr>
          <w:spacing w:val="-13"/>
          <w:sz w:val="20"/>
        </w:rPr>
        <w:t xml:space="preserve"> </w:t>
      </w:r>
      <w:r w:rsidRPr="00A20381">
        <w:rPr>
          <w:sz w:val="20"/>
        </w:rPr>
        <w:t>presence</w:t>
      </w:r>
      <w:r w:rsidRPr="00A20381">
        <w:rPr>
          <w:spacing w:val="-13"/>
          <w:sz w:val="20"/>
        </w:rPr>
        <w:t xml:space="preserve"> </w:t>
      </w:r>
      <w:r w:rsidRPr="00A20381">
        <w:rPr>
          <w:sz w:val="20"/>
        </w:rPr>
        <w:t>of</w:t>
      </w:r>
      <w:r w:rsidRPr="00A20381">
        <w:rPr>
          <w:spacing w:val="-12"/>
          <w:sz w:val="20"/>
        </w:rPr>
        <w:t xml:space="preserve"> </w:t>
      </w:r>
      <w:r w:rsidRPr="00A20381">
        <w:rPr>
          <w:sz w:val="20"/>
        </w:rPr>
        <w:t>a</w:t>
      </w:r>
      <w:r w:rsidRPr="00A20381">
        <w:rPr>
          <w:spacing w:val="-13"/>
          <w:sz w:val="20"/>
        </w:rPr>
        <w:t xml:space="preserve"> </w:t>
      </w:r>
      <w:r w:rsidRPr="00A20381">
        <w:rPr>
          <w:sz w:val="20"/>
        </w:rPr>
        <w:t>solid</w:t>
      </w:r>
      <w:r w:rsidRPr="00A20381">
        <w:rPr>
          <w:spacing w:val="-13"/>
          <w:sz w:val="20"/>
        </w:rPr>
        <w:t xml:space="preserve"> </w:t>
      </w:r>
      <w:r w:rsidRPr="00A20381">
        <w:rPr>
          <w:sz w:val="20"/>
        </w:rPr>
        <w:t>industrial structure;</w:t>
      </w:r>
    </w:p>
    <w:p w:rsidR="000377FF" w:rsidRPr="00A20381" w:rsidRDefault="00E85B85" w:rsidP="001A4FB4">
      <w:pPr>
        <w:pStyle w:val="Paragrafoelenco"/>
        <w:numPr>
          <w:ilvl w:val="1"/>
          <w:numId w:val="5"/>
        </w:numPr>
        <w:tabs>
          <w:tab w:val="left" w:pos="613"/>
        </w:tabs>
        <w:spacing w:before="161" w:line="360" w:lineRule="auto"/>
        <w:ind w:hanging="256"/>
        <w:jc w:val="both"/>
        <w:rPr>
          <w:sz w:val="20"/>
        </w:rPr>
      </w:pPr>
      <w:r w:rsidRPr="00A20381">
        <w:rPr>
          <w:sz w:val="20"/>
        </w:rPr>
        <w:t xml:space="preserve">Italy is characterized </w:t>
      </w:r>
      <w:r w:rsidRPr="00A20381">
        <w:rPr>
          <w:spacing w:val="-3"/>
          <w:sz w:val="20"/>
        </w:rPr>
        <w:t xml:space="preserve">by </w:t>
      </w:r>
      <w:r w:rsidRPr="00A20381">
        <w:rPr>
          <w:sz w:val="20"/>
        </w:rPr>
        <w:t xml:space="preserve">a high public debt, weak growth expectations and political </w:t>
      </w:r>
      <w:r w:rsidR="00C20262" w:rsidRPr="00A20381">
        <w:rPr>
          <w:sz w:val="20"/>
        </w:rPr>
        <w:t>fragility</w:t>
      </w:r>
      <w:r w:rsidRPr="00A20381">
        <w:rPr>
          <w:sz w:val="20"/>
        </w:rPr>
        <w:t>;</w:t>
      </w:r>
    </w:p>
    <w:p w:rsidR="000377FF" w:rsidRPr="00A20381" w:rsidRDefault="000377FF" w:rsidP="001A4FB4">
      <w:pPr>
        <w:pStyle w:val="Corpotesto"/>
        <w:spacing w:before="11" w:line="360" w:lineRule="auto"/>
        <w:jc w:val="both"/>
        <w:rPr>
          <w:sz w:val="24"/>
        </w:rPr>
      </w:pPr>
    </w:p>
    <w:p w:rsidR="000377FF" w:rsidRDefault="00E85B85" w:rsidP="001A4FB4">
      <w:pPr>
        <w:pStyle w:val="Paragrafoelenco"/>
        <w:numPr>
          <w:ilvl w:val="1"/>
          <w:numId w:val="5"/>
        </w:numPr>
        <w:tabs>
          <w:tab w:val="left" w:pos="613"/>
        </w:tabs>
        <w:spacing w:line="360" w:lineRule="auto"/>
        <w:ind w:right="113"/>
        <w:jc w:val="both"/>
        <w:rPr>
          <w:sz w:val="20"/>
        </w:rPr>
      </w:pPr>
      <w:r w:rsidRPr="00A20381">
        <w:rPr>
          <w:sz w:val="20"/>
        </w:rPr>
        <w:t>Italian government bonds represent one of the main strategic component</w:t>
      </w:r>
      <w:r w:rsidR="00137B48">
        <w:rPr>
          <w:sz w:val="20"/>
        </w:rPr>
        <w:t>s</w:t>
      </w:r>
      <w:r w:rsidRPr="00A20381">
        <w:rPr>
          <w:sz w:val="20"/>
        </w:rPr>
        <w:t xml:space="preserve"> </w:t>
      </w:r>
      <w:r w:rsidR="00137B48">
        <w:rPr>
          <w:sz w:val="20"/>
        </w:rPr>
        <w:t xml:space="preserve">held in the portfolios of </w:t>
      </w:r>
      <w:r w:rsidR="00C20262" w:rsidRPr="00A20381">
        <w:rPr>
          <w:sz w:val="20"/>
        </w:rPr>
        <w:t>Italian</w:t>
      </w:r>
      <w:r w:rsidR="00137B48">
        <w:rPr>
          <w:sz w:val="20"/>
        </w:rPr>
        <w:t xml:space="preserve"> banks </w:t>
      </w:r>
      <w:r w:rsidRPr="00A20381">
        <w:rPr>
          <w:sz w:val="20"/>
        </w:rPr>
        <w:t>(</w:t>
      </w:r>
      <w:r w:rsidRPr="00A20381">
        <w:rPr>
          <w:i/>
          <w:sz w:val="20"/>
        </w:rPr>
        <w:t>Longo</w:t>
      </w:r>
      <w:r w:rsidRPr="00A20381">
        <w:rPr>
          <w:sz w:val="20"/>
        </w:rPr>
        <w:t xml:space="preserve">, </w:t>
      </w:r>
      <w:r w:rsidR="00C20262" w:rsidRPr="00A20381">
        <w:rPr>
          <w:i/>
          <w:sz w:val="20"/>
        </w:rPr>
        <w:t>2018</w:t>
      </w:r>
      <w:r w:rsidR="00C20262" w:rsidRPr="00A20381">
        <w:rPr>
          <w:i/>
          <w:spacing w:val="-8"/>
          <w:sz w:val="20"/>
        </w:rPr>
        <w:t>)</w:t>
      </w:r>
      <w:r w:rsidR="002C4346">
        <w:rPr>
          <w:sz w:val="20"/>
        </w:rPr>
        <w:t>;</w:t>
      </w:r>
    </w:p>
    <w:p w:rsidR="002C4346" w:rsidRPr="002C4346" w:rsidRDefault="002C4346" w:rsidP="001A4FB4">
      <w:pPr>
        <w:pStyle w:val="Paragrafoelenco"/>
        <w:jc w:val="both"/>
        <w:rPr>
          <w:sz w:val="20"/>
        </w:rPr>
      </w:pPr>
    </w:p>
    <w:p w:rsidR="002C4346" w:rsidRPr="00A20381" w:rsidRDefault="002C4346" w:rsidP="001A4FB4">
      <w:pPr>
        <w:pStyle w:val="Paragrafoelenco"/>
        <w:numPr>
          <w:ilvl w:val="1"/>
          <w:numId w:val="5"/>
        </w:numPr>
        <w:tabs>
          <w:tab w:val="left" w:pos="613"/>
        </w:tabs>
        <w:spacing w:line="360" w:lineRule="auto"/>
        <w:ind w:right="113"/>
        <w:jc w:val="both"/>
        <w:rPr>
          <w:sz w:val="20"/>
        </w:rPr>
      </w:pPr>
      <w:r>
        <w:rPr>
          <w:sz w:val="20"/>
        </w:rPr>
        <w:t xml:space="preserve">The Italian bond market is one of the most liquid and efficient market worldwide with a </w:t>
      </w:r>
      <w:r w:rsidRPr="002C4346">
        <w:rPr>
          <w:sz w:val="20"/>
        </w:rPr>
        <w:t>large presence of foreign dealers and investors</w:t>
      </w:r>
      <w:r>
        <w:rPr>
          <w:sz w:val="20"/>
        </w:rPr>
        <w:t xml:space="preserve"> (</w:t>
      </w:r>
      <w:r w:rsidRPr="00860EE2">
        <w:rPr>
          <w:i/>
          <w:sz w:val="20"/>
        </w:rPr>
        <w:t>MEF</w:t>
      </w:r>
      <w:r w:rsidRPr="00860EE2">
        <w:rPr>
          <w:sz w:val="20"/>
        </w:rPr>
        <w:t xml:space="preserve">, </w:t>
      </w:r>
      <w:r w:rsidRPr="00860EE2">
        <w:rPr>
          <w:i/>
          <w:sz w:val="20"/>
        </w:rPr>
        <w:t>2017</w:t>
      </w:r>
      <w:r>
        <w:rPr>
          <w:sz w:val="20"/>
        </w:rPr>
        <w:t>).</w:t>
      </w:r>
    </w:p>
    <w:p w:rsidR="003A69CF" w:rsidRPr="00A20381" w:rsidRDefault="00A01271" w:rsidP="001A4FB4">
      <w:pPr>
        <w:pStyle w:val="Corpotesto"/>
        <w:spacing w:before="162" w:line="360" w:lineRule="auto"/>
        <w:ind w:left="113" w:right="110"/>
        <w:jc w:val="both"/>
      </w:pPr>
      <w:r w:rsidRPr="009C31DC">
        <w:rPr>
          <w:spacing w:val="-3"/>
        </w:rPr>
        <w:t>Why</w:t>
      </w:r>
      <w:r w:rsidRPr="009C31DC">
        <w:rPr>
          <w:spacing w:val="-16"/>
        </w:rPr>
        <w:t xml:space="preserve"> </w:t>
      </w:r>
      <w:r w:rsidRPr="009C31DC">
        <w:t>do</w:t>
      </w:r>
      <w:r w:rsidRPr="009C31DC">
        <w:rPr>
          <w:spacing w:val="-16"/>
        </w:rPr>
        <w:t xml:space="preserve"> </w:t>
      </w:r>
      <w:r w:rsidRPr="009C31DC">
        <w:t>we focus on the evolution of the price discovery process of the credit risk</w:t>
      </w:r>
      <w:r w:rsidR="000A35D0" w:rsidRPr="009C31DC">
        <w:t xml:space="preserve"> </w:t>
      </w:r>
      <w:r w:rsidR="00C81E3A" w:rsidRPr="009C31DC">
        <w:t xml:space="preserve">by </w:t>
      </w:r>
      <w:r w:rsidR="000A35D0" w:rsidRPr="009C31DC">
        <w:t>disentangling</w:t>
      </w:r>
      <w:r w:rsidRPr="009C31DC">
        <w:t xml:space="preserve"> a decade of crisis</w:t>
      </w:r>
      <w:r w:rsidR="005A14A3" w:rsidRPr="009C31DC">
        <w:t>/low inflation</w:t>
      </w:r>
      <w:r w:rsidRPr="009C31DC">
        <w:t>? W</w:t>
      </w:r>
      <w:r w:rsidR="00986B93" w:rsidRPr="009C31DC">
        <w:t>e try to analyze, step-by-step,</w:t>
      </w:r>
      <w:r w:rsidRPr="009C31DC">
        <w:t xml:space="preserve"> market interdependencies </w:t>
      </w:r>
      <w:r w:rsidR="00986B93" w:rsidRPr="009C31DC">
        <w:t xml:space="preserve">and show how they </w:t>
      </w:r>
      <w:r w:rsidRPr="009C31DC">
        <w:t xml:space="preserve">can dynamically adjust and </w:t>
      </w:r>
      <w:r w:rsidR="00986B93" w:rsidRPr="009C31DC">
        <w:t>also reverse over</w:t>
      </w:r>
      <w:r w:rsidR="005A14A3" w:rsidRPr="009C31DC">
        <w:t xml:space="preserve"> </w:t>
      </w:r>
      <w:r w:rsidRPr="009C31DC">
        <w:t>time. The concept of “long-term relationship” has a relative meaning in financial markets. Keynes’ famous observation</w:t>
      </w:r>
      <w:r w:rsidR="00986B93" w:rsidRPr="009C31DC">
        <w:t xml:space="preserve"> </w:t>
      </w:r>
      <w:r w:rsidRPr="009C31DC">
        <w:t>“in the long-run we are all dead”</w:t>
      </w:r>
      <w:r w:rsidR="00986B93" w:rsidRPr="009C31DC">
        <w:t xml:space="preserve"> probably </w:t>
      </w:r>
      <w:r w:rsidR="005A14A3" w:rsidRPr="009C31DC">
        <w:t>is the best way to make the idea.</w:t>
      </w:r>
      <w:r w:rsidR="005A14A3">
        <w:t xml:space="preserve"> </w:t>
      </w:r>
      <w:r w:rsidR="00E85B85" w:rsidRPr="00A20381">
        <w:t>In</w:t>
      </w:r>
      <w:r w:rsidR="00E85B85" w:rsidRPr="00A20381">
        <w:rPr>
          <w:spacing w:val="-10"/>
        </w:rPr>
        <w:t xml:space="preserve"> </w:t>
      </w:r>
      <w:r w:rsidR="00E85B85" w:rsidRPr="00A20381">
        <w:t>general,</w:t>
      </w:r>
      <w:r w:rsidR="00E85B85" w:rsidRPr="00A20381">
        <w:rPr>
          <w:spacing w:val="-7"/>
        </w:rPr>
        <w:t xml:space="preserve"> </w:t>
      </w:r>
      <w:r w:rsidR="00E85B85" w:rsidRPr="00A20381">
        <w:t>long-term</w:t>
      </w:r>
      <w:r w:rsidR="00E85B85" w:rsidRPr="00A20381">
        <w:rPr>
          <w:spacing w:val="-9"/>
        </w:rPr>
        <w:t xml:space="preserve"> </w:t>
      </w:r>
      <w:r w:rsidR="00E85B85" w:rsidRPr="00A20381">
        <w:t>mean-reversion</w:t>
      </w:r>
      <w:r w:rsidR="00E85B85" w:rsidRPr="00A20381">
        <w:rPr>
          <w:spacing w:val="-9"/>
        </w:rPr>
        <w:t xml:space="preserve"> </w:t>
      </w:r>
      <w:r w:rsidR="00E85B85" w:rsidRPr="00A20381">
        <w:t>phenomena</w:t>
      </w:r>
      <w:r w:rsidR="00E85B85" w:rsidRPr="00A20381">
        <w:rPr>
          <w:spacing w:val="-10"/>
        </w:rPr>
        <w:t xml:space="preserve"> </w:t>
      </w:r>
      <w:r w:rsidR="00E85B85" w:rsidRPr="00A20381">
        <w:t>can</w:t>
      </w:r>
      <w:r w:rsidR="00E85B85" w:rsidRPr="00A20381">
        <w:rPr>
          <w:spacing w:val="-9"/>
        </w:rPr>
        <w:t xml:space="preserve"> </w:t>
      </w:r>
      <w:r w:rsidR="00E85B85" w:rsidRPr="00A20381">
        <w:t>offer</w:t>
      </w:r>
      <w:r w:rsidR="00E85B85" w:rsidRPr="00A20381">
        <w:rPr>
          <w:spacing w:val="-9"/>
        </w:rPr>
        <w:t xml:space="preserve"> </w:t>
      </w:r>
      <w:r w:rsidR="00346DC6">
        <w:t>trading</w:t>
      </w:r>
      <w:r w:rsidR="00E85B85" w:rsidRPr="00A20381">
        <w:rPr>
          <w:spacing w:val="-9"/>
        </w:rPr>
        <w:t xml:space="preserve"> </w:t>
      </w:r>
      <w:r w:rsidR="00E85B85" w:rsidRPr="00A20381">
        <w:t>margins</w:t>
      </w:r>
      <w:r w:rsidR="00E85B85" w:rsidRPr="00A20381">
        <w:rPr>
          <w:spacing w:val="-9"/>
        </w:rPr>
        <w:t xml:space="preserve"> </w:t>
      </w:r>
      <w:r w:rsidR="00E85B85" w:rsidRPr="00A20381">
        <w:t>to</w:t>
      </w:r>
      <w:r w:rsidR="00E85B85" w:rsidRPr="00A20381">
        <w:rPr>
          <w:spacing w:val="-9"/>
        </w:rPr>
        <w:t xml:space="preserve"> </w:t>
      </w:r>
      <w:r w:rsidR="00E85B85" w:rsidRPr="00A20381">
        <w:t>make</w:t>
      </w:r>
      <w:r w:rsidR="00E85B85" w:rsidRPr="00A20381">
        <w:rPr>
          <w:spacing w:val="-9"/>
        </w:rPr>
        <w:t xml:space="preserve"> </w:t>
      </w:r>
      <w:r w:rsidR="00E85B85" w:rsidRPr="00A20381">
        <w:t>profits</w:t>
      </w:r>
      <w:r w:rsidR="00137B48">
        <w:t xml:space="preserve"> while minimizing risk</w:t>
      </w:r>
      <w:r w:rsidR="00137B48">
        <w:rPr>
          <w:spacing w:val="-9"/>
        </w:rPr>
        <w:t xml:space="preserve"> </w:t>
      </w:r>
      <w:r w:rsidR="00E85B85" w:rsidRPr="00A20381">
        <w:t>for financial operators. The CDS is</w:t>
      </w:r>
      <w:r w:rsidR="00346DC6">
        <w:t xml:space="preserve"> one of the</w:t>
      </w:r>
      <w:r w:rsidR="00E85B85" w:rsidRPr="00A20381">
        <w:t xml:space="preserve"> typical instrument that measures the credit risk of the reference </w:t>
      </w:r>
      <w:r w:rsidR="00E85B85" w:rsidRPr="00A20381">
        <w:rPr>
          <w:spacing w:val="-5"/>
        </w:rPr>
        <w:t xml:space="preserve">entity, </w:t>
      </w:r>
      <w:r w:rsidR="00137B48">
        <w:rPr>
          <w:spacing w:val="-5"/>
        </w:rPr>
        <w:t xml:space="preserve">and is </w:t>
      </w:r>
      <w:r w:rsidR="00E85B85" w:rsidRPr="00A20381">
        <w:t xml:space="preserve">used to implement both </w:t>
      </w:r>
      <w:r w:rsidR="00E85B85" w:rsidRPr="00A20381">
        <w:rPr>
          <w:i/>
        </w:rPr>
        <w:t xml:space="preserve">hedging </w:t>
      </w:r>
      <w:r w:rsidR="00E85B85" w:rsidRPr="00A20381">
        <w:t xml:space="preserve">and </w:t>
      </w:r>
      <w:r w:rsidR="00E85B85" w:rsidRPr="00A20381">
        <w:rPr>
          <w:i/>
          <w:spacing w:val="-3"/>
        </w:rPr>
        <w:t xml:space="preserve">speculative </w:t>
      </w:r>
      <w:r w:rsidR="00E85B85" w:rsidRPr="00A20381">
        <w:t xml:space="preserve">strategies. </w:t>
      </w:r>
      <w:r w:rsidR="00E85B85" w:rsidRPr="00A20381">
        <w:rPr>
          <w:spacing w:val="-6"/>
        </w:rPr>
        <w:t xml:space="preserve">For </w:t>
      </w:r>
      <w:r w:rsidR="00E85B85" w:rsidRPr="00A20381">
        <w:t xml:space="preserve">corporate as well as sovereign CDSs, the CDS spread can </w:t>
      </w:r>
      <w:r w:rsidR="00E85B85" w:rsidRPr="00A20381">
        <w:rPr>
          <w:spacing w:val="2"/>
        </w:rPr>
        <w:t xml:space="preserve">be </w:t>
      </w:r>
      <w:r w:rsidR="00E85B85" w:rsidRPr="00A20381">
        <w:t xml:space="preserve">interpreted as a credit spread on a bond issued </w:t>
      </w:r>
      <w:r w:rsidR="00E85B85" w:rsidRPr="00A20381">
        <w:rPr>
          <w:spacing w:val="-3"/>
        </w:rPr>
        <w:t xml:space="preserve">by </w:t>
      </w:r>
      <w:r w:rsidR="00E85B85" w:rsidRPr="00A20381">
        <w:t xml:space="preserve">the reference </w:t>
      </w:r>
      <w:r w:rsidR="00E85B85" w:rsidRPr="00A20381">
        <w:rPr>
          <w:spacing w:val="-5"/>
        </w:rPr>
        <w:t xml:space="preserve">entity. </w:t>
      </w:r>
      <w:r w:rsidR="00E85B85" w:rsidRPr="00A20381">
        <w:t xml:space="preserve">According to </w:t>
      </w:r>
      <w:proofErr w:type="spellStart"/>
      <w:r w:rsidR="00E85B85" w:rsidRPr="00A20381">
        <w:rPr>
          <w:i/>
        </w:rPr>
        <w:t>Duffie</w:t>
      </w:r>
      <w:proofErr w:type="spellEnd"/>
      <w:r w:rsidR="00E85B85" w:rsidRPr="00A20381">
        <w:rPr>
          <w:i/>
        </w:rPr>
        <w:t xml:space="preserve"> </w:t>
      </w:r>
      <w:r w:rsidR="00E85B85" w:rsidRPr="00A20381">
        <w:t>(</w:t>
      </w:r>
      <w:r w:rsidR="00A20381" w:rsidRPr="00A20381">
        <w:rPr>
          <w:i/>
        </w:rPr>
        <w:t>1999</w:t>
      </w:r>
      <w:r w:rsidR="00A20381" w:rsidRPr="00A20381">
        <w:t>),</w:t>
      </w:r>
      <w:r w:rsidR="00E85B85" w:rsidRPr="00A20381">
        <w:t xml:space="preserve"> the CDS premium should </w:t>
      </w:r>
      <w:r w:rsidR="00E85B85" w:rsidRPr="00A20381">
        <w:rPr>
          <w:spacing w:val="2"/>
        </w:rPr>
        <w:t xml:space="preserve">be </w:t>
      </w:r>
      <w:r w:rsidR="00E85B85" w:rsidRPr="00A20381">
        <w:t xml:space="preserve">equal to the yield spread </w:t>
      </w:r>
      <w:r w:rsidR="00E85B85" w:rsidRPr="00A20381">
        <w:rPr>
          <w:spacing w:val="-3"/>
        </w:rPr>
        <w:t xml:space="preserve">over </w:t>
      </w:r>
      <w:r w:rsidR="00E85B85" w:rsidRPr="00A20381">
        <w:t>a risk-free benchmark on a par floating-rate bond. The government bond spread (</w:t>
      </w:r>
      <w:r w:rsidR="00C8676B" w:rsidRPr="00A20381">
        <w:rPr>
          <w:i/>
        </w:rPr>
        <w:t>GBS</w:t>
      </w:r>
      <w:r w:rsidR="00E85B85" w:rsidRPr="00A20381">
        <w:t xml:space="preserve">) is the differential with respect to the </w:t>
      </w:r>
      <w:r w:rsidR="00E85B85" w:rsidRPr="00A20381">
        <w:rPr>
          <w:i/>
          <w:spacing w:val="-4"/>
        </w:rPr>
        <w:t xml:space="preserve">risk-free </w:t>
      </w:r>
      <w:r w:rsidR="00E85B85" w:rsidRPr="00A20381">
        <w:rPr>
          <w:i/>
          <w:spacing w:val="-3"/>
        </w:rPr>
        <w:t xml:space="preserve">rate </w:t>
      </w:r>
      <w:r w:rsidR="00E85B85" w:rsidRPr="00A20381">
        <w:t>(</w:t>
      </w:r>
      <w:r w:rsidR="00C8676B" w:rsidRPr="00A20381">
        <w:t xml:space="preserve">i.e., </w:t>
      </w:r>
      <w:r w:rsidR="00E85B85" w:rsidRPr="00A20381">
        <w:rPr>
          <w:i/>
        </w:rPr>
        <w:t>AAA rating</w:t>
      </w:r>
      <w:r w:rsidR="00E85B85" w:rsidRPr="00A20381">
        <w:t>) and it embodies</w:t>
      </w:r>
      <w:r w:rsidR="00E85B85" w:rsidRPr="00A20381">
        <w:rPr>
          <w:spacing w:val="-4"/>
        </w:rPr>
        <w:t xml:space="preserve"> </w:t>
      </w:r>
      <w:r w:rsidR="00E85B85" w:rsidRPr="00A20381">
        <w:t>different</w:t>
      </w:r>
      <w:r w:rsidR="00E85B85" w:rsidRPr="00A20381">
        <w:rPr>
          <w:spacing w:val="-4"/>
        </w:rPr>
        <w:t xml:space="preserve"> </w:t>
      </w:r>
      <w:r w:rsidR="00E85B85" w:rsidRPr="00A20381">
        <w:t>typology</w:t>
      </w:r>
      <w:r w:rsidR="00E85B85" w:rsidRPr="00A20381">
        <w:rPr>
          <w:spacing w:val="-4"/>
        </w:rPr>
        <w:t xml:space="preserve"> </w:t>
      </w:r>
      <w:r w:rsidR="00E85B85" w:rsidRPr="00A20381">
        <w:t>of</w:t>
      </w:r>
      <w:r w:rsidR="00E85B85" w:rsidRPr="00A20381">
        <w:rPr>
          <w:spacing w:val="-4"/>
        </w:rPr>
        <w:t xml:space="preserve"> </w:t>
      </w:r>
      <w:r w:rsidR="00E85B85" w:rsidRPr="00A20381">
        <w:t>risks</w:t>
      </w:r>
      <w:r w:rsidR="00137B48">
        <w:t xml:space="preserve"> </w:t>
      </w:r>
      <w:r w:rsidR="00137B48" w:rsidRPr="00A20381">
        <w:t>(</w:t>
      </w:r>
      <w:r w:rsidR="00137B48">
        <w:t>e.g</w:t>
      </w:r>
      <w:r w:rsidR="00137B48" w:rsidRPr="00A20381">
        <w:t>.,</w:t>
      </w:r>
      <w:r w:rsidR="00137B48" w:rsidRPr="00A20381">
        <w:rPr>
          <w:spacing w:val="-4"/>
        </w:rPr>
        <w:t xml:space="preserve"> </w:t>
      </w:r>
      <w:r w:rsidR="00137B48" w:rsidRPr="00A20381">
        <w:t>liquidity</w:t>
      </w:r>
      <w:r w:rsidR="00137B48" w:rsidRPr="00A20381">
        <w:rPr>
          <w:spacing w:val="-3"/>
        </w:rPr>
        <w:t xml:space="preserve"> </w:t>
      </w:r>
      <w:r w:rsidR="00137B48" w:rsidRPr="00A20381">
        <w:t>risk)</w:t>
      </w:r>
      <w:r w:rsidR="00E85B85" w:rsidRPr="00A20381">
        <w:t>,</w:t>
      </w:r>
      <w:r w:rsidR="00E85B85" w:rsidRPr="00A20381">
        <w:rPr>
          <w:spacing w:val="-3"/>
        </w:rPr>
        <w:t xml:space="preserve"> </w:t>
      </w:r>
      <w:r w:rsidR="00E85B85" w:rsidRPr="00A20381">
        <w:t>not</w:t>
      </w:r>
      <w:r w:rsidR="00E85B85" w:rsidRPr="00A20381">
        <w:rPr>
          <w:spacing w:val="-4"/>
        </w:rPr>
        <w:t xml:space="preserve"> </w:t>
      </w:r>
      <w:r w:rsidR="00E85B85" w:rsidRPr="00A20381">
        <w:t>only</w:t>
      </w:r>
      <w:r w:rsidR="00E85B85" w:rsidRPr="00A20381">
        <w:rPr>
          <w:spacing w:val="-4"/>
        </w:rPr>
        <w:t xml:space="preserve"> </w:t>
      </w:r>
      <w:r w:rsidR="00E85B85" w:rsidRPr="00A20381">
        <w:t>the</w:t>
      </w:r>
      <w:r w:rsidR="00E85B85" w:rsidRPr="00A20381">
        <w:rPr>
          <w:spacing w:val="-4"/>
        </w:rPr>
        <w:t xml:space="preserve"> </w:t>
      </w:r>
      <w:r w:rsidR="00E85B85" w:rsidRPr="00A20381">
        <w:t>credit</w:t>
      </w:r>
      <w:r w:rsidR="00E85B85" w:rsidRPr="00A20381">
        <w:rPr>
          <w:spacing w:val="-4"/>
        </w:rPr>
        <w:t xml:space="preserve"> </w:t>
      </w:r>
      <w:r w:rsidR="00E85B85" w:rsidRPr="00A20381">
        <w:t>risk.</w:t>
      </w:r>
      <w:r w:rsidR="00E85B85" w:rsidRPr="00A20381">
        <w:rPr>
          <w:spacing w:val="14"/>
        </w:rPr>
        <w:t xml:space="preserve"> </w:t>
      </w:r>
      <w:r w:rsidR="00E85B85" w:rsidRPr="00A20381">
        <w:t>Many</w:t>
      </w:r>
      <w:r w:rsidR="00E85B85" w:rsidRPr="00A20381">
        <w:rPr>
          <w:spacing w:val="-3"/>
        </w:rPr>
        <w:t xml:space="preserve"> </w:t>
      </w:r>
      <w:r w:rsidR="00E85B85" w:rsidRPr="00A20381">
        <w:t>studies,</w:t>
      </w:r>
      <w:r w:rsidR="00E85B85" w:rsidRPr="00A20381">
        <w:rPr>
          <w:spacing w:val="-4"/>
        </w:rPr>
        <w:t xml:space="preserve"> </w:t>
      </w:r>
      <w:r w:rsidR="00E85B85" w:rsidRPr="00A20381">
        <w:t>indeed,</w:t>
      </w:r>
      <w:r w:rsidR="00E85B85" w:rsidRPr="00A20381">
        <w:rPr>
          <w:spacing w:val="-3"/>
        </w:rPr>
        <w:t xml:space="preserve"> </w:t>
      </w:r>
      <w:r w:rsidR="00E85B85" w:rsidRPr="00A20381">
        <w:t>show</w:t>
      </w:r>
      <w:r w:rsidR="00E85B85" w:rsidRPr="00A20381">
        <w:rPr>
          <w:spacing w:val="-4"/>
        </w:rPr>
        <w:t xml:space="preserve"> </w:t>
      </w:r>
      <w:r w:rsidR="00137B48">
        <w:t>that</w:t>
      </w:r>
      <w:r w:rsidR="00E85B85" w:rsidRPr="00A20381">
        <w:rPr>
          <w:spacing w:val="-2"/>
        </w:rPr>
        <w:t xml:space="preserve"> </w:t>
      </w:r>
      <w:r w:rsidR="00E85B85" w:rsidRPr="00A20381">
        <w:t>credit</w:t>
      </w:r>
      <w:r w:rsidR="00E85B85" w:rsidRPr="00A20381">
        <w:rPr>
          <w:spacing w:val="-2"/>
        </w:rPr>
        <w:t xml:space="preserve"> </w:t>
      </w:r>
      <w:r w:rsidR="00E85B85" w:rsidRPr="00A20381">
        <w:t>risk</w:t>
      </w:r>
      <w:r w:rsidR="00E85B85" w:rsidRPr="00A20381">
        <w:rPr>
          <w:spacing w:val="-2"/>
        </w:rPr>
        <w:t xml:space="preserve"> </w:t>
      </w:r>
      <w:r w:rsidR="00E85B85" w:rsidRPr="00A20381">
        <w:t>is</w:t>
      </w:r>
      <w:r w:rsidR="00E85B85" w:rsidRPr="00A20381">
        <w:rPr>
          <w:spacing w:val="-2"/>
        </w:rPr>
        <w:t xml:space="preserve"> </w:t>
      </w:r>
      <w:r w:rsidR="00E85B85" w:rsidRPr="00A20381">
        <w:t>not</w:t>
      </w:r>
      <w:r w:rsidR="00E85B85" w:rsidRPr="00A20381">
        <w:rPr>
          <w:spacing w:val="-2"/>
        </w:rPr>
        <w:t xml:space="preserve"> </w:t>
      </w:r>
      <w:r w:rsidR="00E85B85" w:rsidRPr="00A20381">
        <w:t>the</w:t>
      </w:r>
      <w:r w:rsidR="00E85B85" w:rsidRPr="00A20381">
        <w:rPr>
          <w:spacing w:val="-2"/>
        </w:rPr>
        <w:t xml:space="preserve"> </w:t>
      </w:r>
      <w:r w:rsidR="00E85B85" w:rsidRPr="00A20381">
        <w:t>only</w:t>
      </w:r>
      <w:r w:rsidR="00E85B85" w:rsidRPr="00A20381">
        <w:rPr>
          <w:spacing w:val="-1"/>
        </w:rPr>
        <w:t xml:space="preserve"> </w:t>
      </w:r>
      <w:r w:rsidR="00E85B85" w:rsidRPr="00A20381">
        <w:t>determinant</w:t>
      </w:r>
      <w:r w:rsidR="00E85B85" w:rsidRPr="00A20381">
        <w:rPr>
          <w:spacing w:val="-2"/>
        </w:rPr>
        <w:t xml:space="preserve"> </w:t>
      </w:r>
      <w:r w:rsidR="00E85B85" w:rsidRPr="00A20381">
        <w:t>and</w:t>
      </w:r>
      <w:r w:rsidR="00E85B85" w:rsidRPr="00A20381">
        <w:rPr>
          <w:spacing w:val="-2"/>
        </w:rPr>
        <w:t xml:space="preserve"> </w:t>
      </w:r>
      <w:r w:rsidR="00E85B85" w:rsidRPr="00A20381">
        <w:t>that</w:t>
      </w:r>
      <w:r w:rsidR="00E85B85" w:rsidRPr="00A20381">
        <w:rPr>
          <w:spacing w:val="-2"/>
        </w:rPr>
        <w:t xml:space="preserve"> </w:t>
      </w:r>
      <w:r w:rsidR="00E85B85" w:rsidRPr="00A20381">
        <w:t>other</w:t>
      </w:r>
      <w:r w:rsidR="00E85B85" w:rsidRPr="00A20381">
        <w:rPr>
          <w:spacing w:val="-2"/>
        </w:rPr>
        <w:t xml:space="preserve"> </w:t>
      </w:r>
      <w:r w:rsidR="00E85B85" w:rsidRPr="00A20381">
        <w:t>kinds</w:t>
      </w:r>
      <w:r w:rsidR="00E85B85" w:rsidRPr="00A20381">
        <w:rPr>
          <w:spacing w:val="-2"/>
        </w:rPr>
        <w:t xml:space="preserve"> </w:t>
      </w:r>
      <w:r w:rsidR="00E85B85" w:rsidRPr="00A20381">
        <w:t>of</w:t>
      </w:r>
      <w:r w:rsidR="00E85B85" w:rsidRPr="00A20381">
        <w:rPr>
          <w:spacing w:val="-1"/>
        </w:rPr>
        <w:t xml:space="preserve"> </w:t>
      </w:r>
      <w:r w:rsidR="00E85B85" w:rsidRPr="00A20381">
        <w:t>risk</w:t>
      </w:r>
      <w:r w:rsidR="00E85B85" w:rsidRPr="00A20381">
        <w:rPr>
          <w:spacing w:val="-2"/>
        </w:rPr>
        <w:t xml:space="preserve"> </w:t>
      </w:r>
      <w:r w:rsidR="00E85B85" w:rsidRPr="00A20381">
        <w:t>play</w:t>
      </w:r>
      <w:r w:rsidR="00E85B85" w:rsidRPr="00A20381">
        <w:rPr>
          <w:spacing w:val="-2"/>
        </w:rPr>
        <w:t xml:space="preserve"> </w:t>
      </w:r>
      <w:r w:rsidR="00E85B85" w:rsidRPr="00A20381">
        <w:t>a</w:t>
      </w:r>
      <w:r w:rsidR="00E85B85" w:rsidRPr="00A20381">
        <w:rPr>
          <w:spacing w:val="-2"/>
        </w:rPr>
        <w:t xml:space="preserve"> </w:t>
      </w:r>
      <w:r w:rsidR="00E85B85" w:rsidRPr="00A20381">
        <w:t>fundamental</w:t>
      </w:r>
      <w:r w:rsidR="00E85B85" w:rsidRPr="00A20381">
        <w:rPr>
          <w:spacing w:val="-2"/>
        </w:rPr>
        <w:t xml:space="preserve"> </w:t>
      </w:r>
      <w:r w:rsidR="00E85B85" w:rsidRPr="00A20381">
        <w:t>role</w:t>
      </w:r>
      <w:r w:rsidR="00E85B85" w:rsidRPr="00A20381">
        <w:rPr>
          <w:spacing w:val="-2"/>
        </w:rPr>
        <w:t xml:space="preserve"> </w:t>
      </w:r>
      <w:r w:rsidR="00E85B85" w:rsidRPr="00A20381">
        <w:t>in</w:t>
      </w:r>
      <w:r w:rsidR="00E85B85" w:rsidRPr="00A20381">
        <w:rPr>
          <w:spacing w:val="-1"/>
        </w:rPr>
        <w:t xml:space="preserve"> </w:t>
      </w:r>
      <w:r w:rsidR="00E85B85" w:rsidRPr="00A20381">
        <w:t>this</w:t>
      </w:r>
      <w:r w:rsidR="00E85B85" w:rsidRPr="00A20381">
        <w:rPr>
          <w:spacing w:val="-2"/>
        </w:rPr>
        <w:t xml:space="preserve"> </w:t>
      </w:r>
      <w:r w:rsidR="00E85B85" w:rsidRPr="00A20381">
        <w:t>sense</w:t>
      </w:r>
      <w:r w:rsidR="00E85B85" w:rsidRPr="00A20381">
        <w:rPr>
          <w:spacing w:val="-2"/>
        </w:rPr>
        <w:t xml:space="preserve"> </w:t>
      </w:r>
      <w:r w:rsidR="00E85B85" w:rsidRPr="00A20381">
        <w:t>(</w:t>
      </w:r>
      <w:r w:rsidR="00E85B85" w:rsidRPr="00A20381">
        <w:rPr>
          <w:i/>
        </w:rPr>
        <w:t>Elton et al.</w:t>
      </w:r>
      <w:r w:rsidR="00E85B85" w:rsidRPr="00A20381">
        <w:t xml:space="preserve">, </w:t>
      </w:r>
      <w:r w:rsidR="00C8676B" w:rsidRPr="00A20381">
        <w:rPr>
          <w:i/>
        </w:rPr>
        <w:t>200</w:t>
      </w:r>
      <w:r w:rsidR="005E6CA2">
        <w:rPr>
          <w:i/>
        </w:rPr>
        <w:t>2</w:t>
      </w:r>
      <w:r w:rsidR="00E85B85" w:rsidRPr="00A20381">
        <w:t xml:space="preserve">; </w:t>
      </w:r>
      <w:r w:rsidR="00E85B85" w:rsidRPr="00A20381">
        <w:rPr>
          <w:i/>
          <w:spacing w:val="2"/>
        </w:rPr>
        <w:t xml:space="preserve">Hull </w:t>
      </w:r>
      <w:r w:rsidR="00E85B85" w:rsidRPr="00A20381">
        <w:rPr>
          <w:i/>
        </w:rPr>
        <w:t>et al.</w:t>
      </w:r>
      <w:r w:rsidR="00E85B85" w:rsidRPr="00A20381">
        <w:t xml:space="preserve">, </w:t>
      </w:r>
      <w:r w:rsidR="00E85B85" w:rsidRPr="00A20381">
        <w:rPr>
          <w:i/>
        </w:rPr>
        <w:t>2004</w:t>
      </w:r>
      <w:r w:rsidR="00E85B85" w:rsidRPr="00A20381">
        <w:t xml:space="preserve">; </w:t>
      </w:r>
      <w:r w:rsidR="00E85B85" w:rsidRPr="00A20381">
        <w:rPr>
          <w:i/>
          <w:spacing w:val="-3"/>
        </w:rPr>
        <w:t xml:space="preserve">Fontana </w:t>
      </w:r>
      <w:r w:rsidR="00E85B85" w:rsidRPr="00A20381">
        <w:rPr>
          <w:i/>
        </w:rPr>
        <w:t>et al.</w:t>
      </w:r>
      <w:r w:rsidR="00E85B85" w:rsidRPr="00A20381">
        <w:t xml:space="preserve">, </w:t>
      </w:r>
      <w:r w:rsidR="00C8676B" w:rsidRPr="00A20381">
        <w:rPr>
          <w:i/>
        </w:rPr>
        <w:t>2016</w:t>
      </w:r>
      <w:r w:rsidR="00E85B85" w:rsidRPr="00A20381">
        <w:t xml:space="preserve">). </w:t>
      </w:r>
      <w:r w:rsidR="00E85B85" w:rsidRPr="00A20381">
        <w:rPr>
          <w:spacing w:val="-3"/>
        </w:rPr>
        <w:t xml:space="preserve">However, </w:t>
      </w:r>
      <w:r w:rsidR="00137B48">
        <w:t>if</w:t>
      </w:r>
      <w:r w:rsidR="00E85B85" w:rsidRPr="00A20381">
        <w:t xml:space="preserve"> credit risk is the main factor</w:t>
      </w:r>
      <w:r w:rsidR="00137B48">
        <w:t xml:space="preserve"> that is priced</w:t>
      </w:r>
      <w:r w:rsidR="00E85B85" w:rsidRPr="00A20381">
        <w:t xml:space="preserve">, what </w:t>
      </w:r>
      <w:r w:rsidR="00E85B85" w:rsidRPr="00A20381">
        <w:rPr>
          <w:spacing w:val="-3"/>
        </w:rPr>
        <w:t xml:space="preserve">we </w:t>
      </w:r>
      <w:r w:rsidR="00E85B85" w:rsidRPr="00A20381">
        <w:t>should</w:t>
      </w:r>
      <w:r w:rsidR="00E85B85" w:rsidRPr="00A20381">
        <w:rPr>
          <w:spacing w:val="-17"/>
        </w:rPr>
        <w:t xml:space="preserve"> </w:t>
      </w:r>
      <w:r w:rsidR="00E85B85" w:rsidRPr="00A20381">
        <w:t>find</w:t>
      </w:r>
      <w:r w:rsidR="00E85B85" w:rsidRPr="00A20381">
        <w:rPr>
          <w:spacing w:val="-16"/>
        </w:rPr>
        <w:t xml:space="preserve"> </w:t>
      </w:r>
      <w:r w:rsidR="00E85B85" w:rsidRPr="00A20381">
        <w:t>is</w:t>
      </w:r>
      <w:r w:rsidR="00E85B85" w:rsidRPr="00A20381">
        <w:rPr>
          <w:spacing w:val="-17"/>
        </w:rPr>
        <w:t xml:space="preserve"> </w:t>
      </w:r>
      <w:r w:rsidR="00E85B85" w:rsidRPr="00A20381">
        <w:t>a</w:t>
      </w:r>
      <w:r w:rsidR="00E85B85" w:rsidRPr="00A20381">
        <w:rPr>
          <w:spacing w:val="-17"/>
        </w:rPr>
        <w:t xml:space="preserve"> </w:t>
      </w:r>
      <w:r w:rsidR="00E85B85" w:rsidRPr="00A20381">
        <w:t>close</w:t>
      </w:r>
      <w:r w:rsidR="00E85B85" w:rsidRPr="00A20381">
        <w:rPr>
          <w:spacing w:val="-16"/>
        </w:rPr>
        <w:t xml:space="preserve"> </w:t>
      </w:r>
      <w:r w:rsidR="00C8676B" w:rsidRPr="00A20381">
        <w:t>co-</w:t>
      </w:r>
      <w:r w:rsidR="00E85B85" w:rsidRPr="00A20381">
        <w:t>movement</w:t>
      </w:r>
      <w:r w:rsidR="00E85B85" w:rsidRPr="00A20381">
        <w:rPr>
          <w:spacing w:val="-17"/>
        </w:rPr>
        <w:t xml:space="preserve"> </w:t>
      </w:r>
      <w:r w:rsidR="00E85B85" w:rsidRPr="00A20381">
        <w:t>of</w:t>
      </w:r>
      <w:r w:rsidR="00E85B85" w:rsidRPr="00A20381">
        <w:rPr>
          <w:spacing w:val="-17"/>
        </w:rPr>
        <w:t xml:space="preserve"> </w:t>
      </w:r>
      <w:r w:rsidR="00E85B85" w:rsidRPr="00A20381">
        <w:t>these</w:t>
      </w:r>
      <w:r w:rsidR="00E85B85" w:rsidRPr="00A20381">
        <w:rPr>
          <w:spacing w:val="-17"/>
        </w:rPr>
        <w:t xml:space="preserve"> </w:t>
      </w:r>
      <w:r w:rsidR="00E85B85" w:rsidRPr="00A20381">
        <w:t>series.</w:t>
      </w:r>
      <w:r w:rsidR="00E85B85" w:rsidRPr="00A20381">
        <w:rPr>
          <w:spacing w:val="-2"/>
        </w:rPr>
        <w:t xml:space="preserve"> </w:t>
      </w:r>
      <w:r w:rsidR="00C8676B" w:rsidRPr="00A20381">
        <w:t>Therefore</w:t>
      </w:r>
      <w:r w:rsidR="00E85B85" w:rsidRPr="00A20381">
        <w:t>,</w:t>
      </w:r>
      <w:r w:rsidR="00E85B85" w:rsidRPr="00A20381">
        <w:rPr>
          <w:spacing w:val="-16"/>
        </w:rPr>
        <w:t xml:space="preserve"> </w:t>
      </w:r>
      <w:r w:rsidR="00E85B85" w:rsidRPr="00A20381">
        <w:rPr>
          <w:spacing w:val="-3"/>
        </w:rPr>
        <w:t>by</w:t>
      </w:r>
      <w:r w:rsidR="00E85B85" w:rsidRPr="00A20381">
        <w:rPr>
          <w:spacing w:val="-17"/>
        </w:rPr>
        <w:t xml:space="preserve"> </w:t>
      </w:r>
      <w:r w:rsidR="00E85B85" w:rsidRPr="00A20381">
        <w:t>following</w:t>
      </w:r>
      <w:r w:rsidR="00E85B85" w:rsidRPr="00A20381">
        <w:rPr>
          <w:spacing w:val="-17"/>
        </w:rPr>
        <w:t xml:space="preserve"> </w:t>
      </w:r>
      <w:r w:rsidR="00E85B85" w:rsidRPr="00A20381">
        <w:t>this</w:t>
      </w:r>
      <w:r w:rsidR="00E85B85" w:rsidRPr="00A20381">
        <w:rPr>
          <w:spacing w:val="-16"/>
        </w:rPr>
        <w:t xml:space="preserve"> </w:t>
      </w:r>
      <w:r w:rsidR="00E85B85" w:rsidRPr="00A20381">
        <w:t>perspective,</w:t>
      </w:r>
      <w:r w:rsidR="00E85B85" w:rsidRPr="00A20381">
        <w:rPr>
          <w:spacing w:val="-16"/>
        </w:rPr>
        <w:t xml:space="preserve"> </w:t>
      </w:r>
      <w:r w:rsidR="00E85B85" w:rsidRPr="00A20381">
        <w:t>the</w:t>
      </w:r>
      <w:r w:rsidR="00E85B85" w:rsidRPr="00A20381">
        <w:rPr>
          <w:spacing w:val="-17"/>
        </w:rPr>
        <w:t xml:space="preserve"> </w:t>
      </w:r>
      <w:r w:rsidR="00E85B85" w:rsidRPr="00A20381">
        <w:t>fundamental</w:t>
      </w:r>
      <w:r w:rsidR="00E85B85" w:rsidRPr="00A20381">
        <w:rPr>
          <w:spacing w:val="-17"/>
        </w:rPr>
        <w:t xml:space="preserve"> </w:t>
      </w:r>
      <w:r w:rsidR="00E85B85" w:rsidRPr="00A20381">
        <w:t>assumption</w:t>
      </w:r>
      <w:r w:rsidR="00E85B85" w:rsidRPr="00A20381">
        <w:rPr>
          <w:spacing w:val="-17"/>
        </w:rPr>
        <w:t xml:space="preserve"> </w:t>
      </w:r>
      <w:r w:rsidR="00E85B85" w:rsidRPr="00A20381">
        <w:t>is that</w:t>
      </w:r>
      <w:r w:rsidR="00E85B85" w:rsidRPr="00A20381">
        <w:rPr>
          <w:spacing w:val="15"/>
        </w:rPr>
        <w:t xml:space="preserve"> </w:t>
      </w:r>
      <w:r w:rsidR="00E85B85" w:rsidRPr="00A20381">
        <w:t>the</w:t>
      </w:r>
      <w:r w:rsidR="00E85B85" w:rsidRPr="00A20381">
        <w:rPr>
          <w:spacing w:val="16"/>
        </w:rPr>
        <w:t xml:space="preserve"> </w:t>
      </w:r>
      <w:r w:rsidR="00C8676B" w:rsidRPr="00A20381">
        <w:t xml:space="preserve">main </w:t>
      </w:r>
      <w:r w:rsidR="00E85B85" w:rsidRPr="00A20381">
        <w:t>priced</w:t>
      </w:r>
      <w:r w:rsidR="00E85B85" w:rsidRPr="00A20381">
        <w:rPr>
          <w:spacing w:val="15"/>
        </w:rPr>
        <w:t xml:space="preserve"> </w:t>
      </w:r>
      <w:r w:rsidR="00E85B85" w:rsidRPr="00A20381">
        <w:t>factor</w:t>
      </w:r>
      <w:r w:rsidR="00E85B85" w:rsidRPr="00A20381">
        <w:rPr>
          <w:spacing w:val="16"/>
        </w:rPr>
        <w:t xml:space="preserve"> </w:t>
      </w:r>
      <w:r w:rsidR="00E85B85" w:rsidRPr="00A20381">
        <w:t>is</w:t>
      </w:r>
      <w:r w:rsidR="00E85B85" w:rsidRPr="00A20381">
        <w:rPr>
          <w:spacing w:val="14"/>
        </w:rPr>
        <w:t xml:space="preserve"> </w:t>
      </w:r>
      <w:r w:rsidR="00E85B85" w:rsidRPr="00A20381">
        <w:rPr>
          <w:i/>
          <w:spacing w:val="-4"/>
        </w:rPr>
        <w:t>credit</w:t>
      </w:r>
      <w:r w:rsidR="00E85B85" w:rsidRPr="00A20381">
        <w:rPr>
          <w:i/>
          <w:spacing w:val="21"/>
        </w:rPr>
        <w:t xml:space="preserve"> </w:t>
      </w:r>
      <w:r w:rsidR="00E85B85" w:rsidRPr="00A20381">
        <w:rPr>
          <w:i/>
        </w:rPr>
        <w:t>risk</w:t>
      </w:r>
      <w:r w:rsidR="00E85B85" w:rsidRPr="00A20381">
        <w:t>.</w:t>
      </w:r>
    </w:p>
    <w:p w:rsidR="006B71FC" w:rsidRPr="00A20381" w:rsidRDefault="006B71FC" w:rsidP="001A4FB4">
      <w:pPr>
        <w:pStyle w:val="Titolo1"/>
        <w:numPr>
          <w:ilvl w:val="0"/>
          <w:numId w:val="5"/>
        </w:numPr>
        <w:tabs>
          <w:tab w:val="left" w:pos="587"/>
          <w:tab w:val="left" w:pos="588"/>
        </w:tabs>
        <w:spacing w:before="73" w:line="360" w:lineRule="auto"/>
        <w:ind w:hanging="475"/>
        <w:jc w:val="both"/>
      </w:pPr>
      <w:r w:rsidRPr="00A20381">
        <w:rPr>
          <w:w w:val="105"/>
        </w:rPr>
        <w:lastRenderedPageBreak/>
        <w:t>Literature Review</w:t>
      </w:r>
    </w:p>
    <w:p w:rsidR="008C3F2E" w:rsidRPr="009C31DC" w:rsidRDefault="00E85B85" w:rsidP="0012408D">
      <w:pPr>
        <w:pStyle w:val="Corpotesto"/>
        <w:spacing w:before="7" w:line="360" w:lineRule="auto"/>
        <w:ind w:left="113" w:right="110"/>
        <w:jc w:val="both"/>
      </w:pPr>
      <w:r w:rsidRPr="009C31DC">
        <w:t>There</w:t>
      </w:r>
      <w:r w:rsidRPr="009C31DC">
        <w:rPr>
          <w:spacing w:val="-22"/>
        </w:rPr>
        <w:t xml:space="preserve"> </w:t>
      </w:r>
      <w:r w:rsidRPr="009C31DC">
        <w:t>is</w:t>
      </w:r>
      <w:r w:rsidRPr="009C31DC">
        <w:rPr>
          <w:spacing w:val="-22"/>
        </w:rPr>
        <w:t xml:space="preserve"> </w:t>
      </w:r>
      <w:r w:rsidRPr="009C31DC">
        <w:t>extensive</w:t>
      </w:r>
      <w:r w:rsidRPr="009C31DC">
        <w:rPr>
          <w:spacing w:val="-21"/>
        </w:rPr>
        <w:t xml:space="preserve"> </w:t>
      </w:r>
      <w:r w:rsidRPr="009C31DC">
        <w:t>literature</w:t>
      </w:r>
      <w:r w:rsidRPr="009C31DC">
        <w:rPr>
          <w:spacing w:val="-22"/>
        </w:rPr>
        <w:t xml:space="preserve"> </w:t>
      </w:r>
      <w:r w:rsidRPr="009C31DC">
        <w:t>about</w:t>
      </w:r>
      <w:r w:rsidRPr="009C31DC">
        <w:rPr>
          <w:spacing w:val="-21"/>
        </w:rPr>
        <w:t xml:space="preserve"> </w:t>
      </w:r>
      <w:r w:rsidRPr="009C31DC">
        <w:t>sovereign</w:t>
      </w:r>
      <w:r w:rsidRPr="009C31DC">
        <w:rPr>
          <w:spacing w:val="-22"/>
        </w:rPr>
        <w:t xml:space="preserve"> </w:t>
      </w:r>
      <w:r w:rsidRPr="009C31DC">
        <w:t>credit</w:t>
      </w:r>
      <w:r w:rsidRPr="009C31DC">
        <w:rPr>
          <w:spacing w:val="-21"/>
        </w:rPr>
        <w:t xml:space="preserve"> </w:t>
      </w:r>
      <w:r w:rsidR="00991DB2" w:rsidRPr="009C31DC">
        <w:t>risk</w:t>
      </w:r>
      <w:r w:rsidR="00991DB2" w:rsidRPr="009C31DC">
        <w:rPr>
          <w:spacing w:val="-23"/>
        </w:rPr>
        <w:t xml:space="preserve">, </w:t>
      </w:r>
      <w:r w:rsidR="0086330A" w:rsidRPr="009C31DC">
        <w:rPr>
          <w:spacing w:val="-23"/>
        </w:rPr>
        <w:t xml:space="preserve"> </w:t>
      </w:r>
      <w:r w:rsidR="001954FB" w:rsidRPr="009C31DC">
        <w:t>as s</w:t>
      </w:r>
      <w:r w:rsidR="00991DB2" w:rsidRPr="009C31DC">
        <w:t>everal auth</w:t>
      </w:r>
      <w:r w:rsidR="001954FB" w:rsidRPr="009C31DC">
        <w:t>ors have already investigated</w:t>
      </w:r>
      <w:r w:rsidR="00991DB2" w:rsidRPr="009C31DC">
        <w:t xml:space="preserve"> the </w:t>
      </w:r>
      <w:r w:rsidR="0086330A" w:rsidRPr="009C31DC">
        <w:t>relationship between CDS premia</w:t>
      </w:r>
      <w:r w:rsidRPr="009C31DC">
        <w:t xml:space="preserve"> and bond spreads.</w:t>
      </w:r>
      <w:r w:rsidR="0086330A" w:rsidRPr="009C31DC">
        <w:t xml:space="preserve"> In particular, most of these authors focused on the so called “</w:t>
      </w:r>
      <w:r w:rsidR="0086330A" w:rsidRPr="009C31DC">
        <w:rPr>
          <w:i/>
        </w:rPr>
        <w:t>CDS-bond basis</w:t>
      </w:r>
      <w:r w:rsidR="0086330A" w:rsidRPr="009C31DC">
        <w:t>”, that is the differential between the CDS premium and the bond spread.</w:t>
      </w:r>
      <w:r w:rsidRPr="009C31DC">
        <w:t xml:space="preserve"> </w:t>
      </w:r>
      <w:r w:rsidR="00991DB2" w:rsidRPr="009C31DC">
        <w:rPr>
          <w:i/>
        </w:rPr>
        <w:t xml:space="preserve">Duffie </w:t>
      </w:r>
      <w:r w:rsidRPr="009C31DC">
        <w:t>(</w:t>
      </w:r>
      <w:r w:rsidR="00991DB2" w:rsidRPr="009C31DC">
        <w:rPr>
          <w:i/>
        </w:rPr>
        <w:t>1999</w:t>
      </w:r>
      <w:r w:rsidR="00991DB2" w:rsidRPr="009C31DC">
        <w:t xml:space="preserve">) </w:t>
      </w:r>
      <w:r w:rsidRPr="009C31DC">
        <w:rPr>
          <w:spacing w:val="-3"/>
        </w:rPr>
        <w:t xml:space="preserve">was </w:t>
      </w:r>
      <w:r w:rsidRPr="009C31DC">
        <w:t>the first author to claim that a</w:t>
      </w:r>
      <w:r w:rsidR="00991DB2" w:rsidRPr="009C31DC">
        <w:t xml:space="preserve"> perfect correspondence exists, and that there are no chances </w:t>
      </w:r>
      <w:r w:rsidRPr="009C31DC">
        <w:t xml:space="preserve">of arbitrage, between a risky bond asset, a risk-free bond asset and a CDS instrument with </w:t>
      </w:r>
      <w:r w:rsidR="001954FB" w:rsidRPr="009C31DC">
        <w:t xml:space="preserve">the </w:t>
      </w:r>
      <w:r w:rsidRPr="009C31DC">
        <w:t>same expiry and a</w:t>
      </w:r>
      <w:r w:rsidR="001954FB" w:rsidRPr="009C31DC">
        <w:t>n</w:t>
      </w:r>
      <w:r w:rsidRPr="009C31DC">
        <w:t xml:space="preserve"> </w:t>
      </w:r>
      <w:r w:rsidR="001954FB" w:rsidRPr="009C31DC">
        <w:t xml:space="preserve">equal notional </w:t>
      </w:r>
      <w:r w:rsidRPr="009C31DC">
        <w:rPr>
          <w:spacing w:val="-3"/>
        </w:rPr>
        <w:t>value.</w:t>
      </w:r>
      <w:r w:rsidRPr="009C31DC">
        <w:t xml:space="preserve"> </w:t>
      </w:r>
      <w:r w:rsidR="00272CE6" w:rsidRPr="009C31DC">
        <w:t xml:space="preserve">In </w:t>
      </w:r>
      <w:r w:rsidRPr="009C31DC">
        <w:t xml:space="preserve">normal market </w:t>
      </w:r>
      <w:r w:rsidR="00272CE6" w:rsidRPr="009C31DC">
        <w:t>conditions,</w:t>
      </w:r>
      <w:r w:rsidR="0086330A" w:rsidRPr="009C31DC">
        <w:t xml:space="preserve"> the CDS-bond basis</w:t>
      </w:r>
      <w:r w:rsidR="00272CE6" w:rsidRPr="009C31DC">
        <w:t xml:space="preserve"> generally tends</w:t>
      </w:r>
      <w:r w:rsidRPr="009C31DC">
        <w:t xml:space="preserve"> to </w:t>
      </w:r>
      <w:r w:rsidRPr="009C31DC">
        <w:rPr>
          <w:spacing w:val="2"/>
        </w:rPr>
        <w:t xml:space="preserve">be </w:t>
      </w:r>
      <w:r w:rsidR="00272CE6" w:rsidRPr="009C31DC">
        <w:t>approximately equal to zero</w:t>
      </w:r>
      <w:r w:rsidR="003223F3" w:rsidRPr="009C31DC">
        <w:rPr>
          <w:rStyle w:val="Rimandonotaapidipagina"/>
        </w:rPr>
        <w:footnoteReference w:id="1"/>
      </w:r>
      <w:r w:rsidR="00272CE6" w:rsidRPr="009C31DC">
        <w:t>. However,</w:t>
      </w:r>
      <w:r w:rsidRPr="009C31DC">
        <w:t xml:space="preserve"> in more</w:t>
      </w:r>
      <w:r w:rsidRPr="009C31DC">
        <w:rPr>
          <w:spacing w:val="30"/>
        </w:rPr>
        <w:t xml:space="preserve"> </w:t>
      </w:r>
      <w:r w:rsidR="00991DB2" w:rsidRPr="009C31DC">
        <w:t>turbulent</w:t>
      </w:r>
      <w:r w:rsidRPr="009C31DC">
        <w:rPr>
          <w:spacing w:val="31"/>
        </w:rPr>
        <w:t xml:space="preserve"> </w:t>
      </w:r>
      <w:r w:rsidRPr="009C31DC">
        <w:t>market</w:t>
      </w:r>
      <w:r w:rsidRPr="009C31DC">
        <w:rPr>
          <w:spacing w:val="30"/>
        </w:rPr>
        <w:t xml:space="preserve"> </w:t>
      </w:r>
      <w:r w:rsidRPr="009C31DC">
        <w:t>backdrops,</w:t>
      </w:r>
      <w:r w:rsidRPr="009C31DC">
        <w:rPr>
          <w:spacing w:val="37"/>
        </w:rPr>
        <w:t xml:space="preserve"> </w:t>
      </w:r>
      <w:r w:rsidRPr="009C31DC">
        <w:t>it</w:t>
      </w:r>
      <w:r w:rsidRPr="009C31DC">
        <w:rPr>
          <w:spacing w:val="30"/>
        </w:rPr>
        <w:t xml:space="preserve"> </w:t>
      </w:r>
      <w:r w:rsidRPr="009C31DC">
        <w:t>can</w:t>
      </w:r>
      <w:r w:rsidRPr="009C31DC">
        <w:rPr>
          <w:spacing w:val="30"/>
        </w:rPr>
        <w:t xml:space="preserve"> </w:t>
      </w:r>
      <w:r w:rsidRPr="009C31DC">
        <w:t>differ</w:t>
      </w:r>
      <w:r w:rsidRPr="009C31DC">
        <w:rPr>
          <w:spacing w:val="31"/>
        </w:rPr>
        <w:t xml:space="preserve"> </w:t>
      </w:r>
      <w:r w:rsidRPr="009C31DC">
        <w:t>from</w:t>
      </w:r>
      <w:r w:rsidRPr="009C31DC">
        <w:rPr>
          <w:spacing w:val="31"/>
        </w:rPr>
        <w:t xml:space="preserve"> </w:t>
      </w:r>
      <w:r w:rsidRPr="009C31DC">
        <w:t>zero</w:t>
      </w:r>
      <w:r w:rsidRPr="009C31DC">
        <w:rPr>
          <w:spacing w:val="30"/>
        </w:rPr>
        <w:t xml:space="preserve"> </w:t>
      </w:r>
      <w:r w:rsidRPr="009C31DC">
        <w:t>and</w:t>
      </w:r>
      <w:r w:rsidRPr="009C31DC">
        <w:rPr>
          <w:spacing w:val="31"/>
        </w:rPr>
        <w:t xml:space="preserve"> </w:t>
      </w:r>
      <w:r w:rsidR="00272CE6" w:rsidRPr="009C31DC">
        <w:t xml:space="preserve">create </w:t>
      </w:r>
      <w:r w:rsidRPr="009C31DC">
        <w:t>arbitrage</w:t>
      </w:r>
      <w:r w:rsidRPr="009C31DC">
        <w:rPr>
          <w:spacing w:val="31"/>
        </w:rPr>
        <w:t xml:space="preserve"> </w:t>
      </w:r>
      <w:r w:rsidRPr="009C31DC">
        <w:t>strategies</w:t>
      </w:r>
      <w:r w:rsidRPr="009C31DC">
        <w:rPr>
          <w:spacing w:val="30"/>
        </w:rPr>
        <w:t xml:space="preserve"> </w:t>
      </w:r>
      <w:r w:rsidRPr="009C31DC">
        <w:t>as</w:t>
      </w:r>
      <w:r w:rsidRPr="009C31DC">
        <w:rPr>
          <w:spacing w:val="29"/>
        </w:rPr>
        <w:t xml:space="preserve"> </w:t>
      </w:r>
      <w:proofErr w:type="spellStart"/>
      <w:r w:rsidRPr="009C31DC">
        <w:rPr>
          <w:i/>
        </w:rPr>
        <w:t>Amadei</w:t>
      </w:r>
      <w:proofErr w:type="spellEnd"/>
      <w:r w:rsidRPr="009C31DC">
        <w:rPr>
          <w:i/>
          <w:spacing w:val="32"/>
        </w:rPr>
        <w:t xml:space="preserve"> </w:t>
      </w:r>
      <w:r w:rsidRPr="009C31DC">
        <w:rPr>
          <w:i/>
        </w:rPr>
        <w:t>et</w:t>
      </w:r>
      <w:r w:rsidR="00272CE6" w:rsidRPr="009C31DC">
        <w:rPr>
          <w:i/>
        </w:rPr>
        <w:t xml:space="preserve"> </w:t>
      </w:r>
      <w:r w:rsidRPr="009C31DC">
        <w:rPr>
          <w:i/>
        </w:rPr>
        <w:t>al</w:t>
      </w:r>
      <w:r w:rsidRPr="009C31DC">
        <w:t>. (</w:t>
      </w:r>
      <w:r w:rsidRPr="009C31DC">
        <w:rPr>
          <w:i/>
        </w:rPr>
        <w:t>2011</w:t>
      </w:r>
      <w:r w:rsidRPr="009C31DC">
        <w:t xml:space="preserve">) point out. </w:t>
      </w:r>
      <w:r w:rsidR="008C3F2E" w:rsidRPr="009C31DC">
        <w:rPr>
          <w:spacing w:val="-3"/>
        </w:rPr>
        <w:t>Also</w:t>
      </w:r>
      <w:r w:rsidR="008C3F2E" w:rsidRPr="009C31DC">
        <w:rPr>
          <w:spacing w:val="-13"/>
        </w:rPr>
        <w:t xml:space="preserve"> </w:t>
      </w:r>
      <w:r w:rsidR="008C3F2E" w:rsidRPr="009C31DC">
        <w:t>with</w:t>
      </w:r>
      <w:r w:rsidR="008C3F2E" w:rsidRPr="009C31DC">
        <w:rPr>
          <w:spacing w:val="-12"/>
        </w:rPr>
        <w:t xml:space="preserve"> </w:t>
      </w:r>
      <w:r w:rsidR="008C3F2E" w:rsidRPr="009C31DC">
        <w:t>the</w:t>
      </w:r>
      <w:r w:rsidR="008C3F2E" w:rsidRPr="009C31DC">
        <w:rPr>
          <w:spacing w:val="-12"/>
        </w:rPr>
        <w:t xml:space="preserve"> </w:t>
      </w:r>
      <w:r w:rsidR="008C3F2E" w:rsidRPr="009C31DC">
        <w:t>aim</w:t>
      </w:r>
      <w:r w:rsidR="008C3F2E" w:rsidRPr="009C31DC">
        <w:rPr>
          <w:spacing w:val="-12"/>
        </w:rPr>
        <w:t xml:space="preserve"> </w:t>
      </w:r>
      <w:r w:rsidR="008C3F2E" w:rsidRPr="009C31DC">
        <w:t>of</w:t>
      </w:r>
      <w:r w:rsidR="008C3F2E" w:rsidRPr="009C31DC">
        <w:rPr>
          <w:spacing w:val="-13"/>
        </w:rPr>
        <w:t xml:space="preserve"> </w:t>
      </w:r>
      <w:r w:rsidR="008C3F2E" w:rsidRPr="009C31DC">
        <w:t>investigating</w:t>
      </w:r>
      <w:r w:rsidR="008C3F2E" w:rsidRPr="009C31DC">
        <w:rPr>
          <w:spacing w:val="-12"/>
        </w:rPr>
        <w:t xml:space="preserve"> </w:t>
      </w:r>
      <w:r w:rsidR="008C3F2E" w:rsidRPr="009C31DC">
        <w:t>the</w:t>
      </w:r>
      <w:r w:rsidR="008C3F2E" w:rsidRPr="009C31DC">
        <w:rPr>
          <w:spacing w:val="-12"/>
        </w:rPr>
        <w:t xml:space="preserve"> </w:t>
      </w:r>
      <w:r w:rsidR="008C3F2E" w:rsidRPr="009C31DC">
        <w:t>drivers</w:t>
      </w:r>
      <w:r w:rsidR="008C3F2E" w:rsidRPr="009C31DC">
        <w:rPr>
          <w:spacing w:val="-12"/>
        </w:rPr>
        <w:t xml:space="preserve"> </w:t>
      </w:r>
      <w:r w:rsidR="008C3F2E" w:rsidRPr="009C31DC">
        <w:t>that</w:t>
      </w:r>
      <w:r w:rsidR="008C3F2E" w:rsidRPr="009C31DC">
        <w:rPr>
          <w:spacing w:val="-13"/>
        </w:rPr>
        <w:t xml:space="preserve"> </w:t>
      </w:r>
      <w:r w:rsidR="008C3F2E" w:rsidRPr="009C31DC">
        <w:t>cause</w:t>
      </w:r>
      <w:r w:rsidR="008C3F2E" w:rsidRPr="009C31DC">
        <w:rPr>
          <w:spacing w:val="-12"/>
        </w:rPr>
        <w:t xml:space="preserve"> </w:t>
      </w:r>
      <w:r w:rsidR="008C3F2E" w:rsidRPr="009C31DC">
        <w:t>the</w:t>
      </w:r>
      <w:r w:rsidR="008C3F2E" w:rsidRPr="009C31DC">
        <w:rPr>
          <w:spacing w:val="-12"/>
        </w:rPr>
        <w:t xml:space="preserve"> </w:t>
      </w:r>
      <w:r w:rsidR="008C3F2E" w:rsidRPr="009C31DC">
        <w:t>violation</w:t>
      </w:r>
      <w:r w:rsidR="008C3F2E" w:rsidRPr="009C31DC">
        <w:rPr>
          <w:spacing w:val="-12"/>
        </w:rPr>
        <w:t xml:space="preserve"> </w:t>
      </w:r>
      <w:r w:rsidR="008C3F2E" w:rsidRPr="009C31DC">
        <w:t>of</w:t>
      </w:r>
      <w:r w:rsidR="008C3F2E" w:rsidRPr="009C31DC">
        <w:rPr>
          <w:spacing w:val="-13"/>
        </w:rPr>
        <w:t xml:space="preserve"> </w:t>
      </w:r>
      <w:r w:rsidR="008C3F2E" w:rsidRPr="009C31DC">
        <w:t>the</w:t>
      </w:r>
      <w:r w:rsidR="008C3F2E" w:rsidRPr="009C31DC">
        <w:rPr>
          <w:spacing w:val="-12"/>
        </w:rPr>
        <w:t xml:space="preserve"> </w:t>
      </w:r>
      <w:r w:rsidR="008C3F2E" w:rsidRPr="009C31DC">
        <w:t>arbitrage</w:t>
      </w:r>
      <w:r w:rsidR="008C3F2E" w:rsidRPr="009C31DC">
        <w:rPr>
          <w:spacing w:val="-12"/>
        </w:rPr>
        <w:t xml:space="preserve"> </w:t>
      </w:r>
      <w:r w:rsidR="008C3F2E" w:rsidRPr="009C31DC">
        <w:t>opportunities</w:t>
      </w:r>
      <w:r w:rsidR="008C3F2E" w:rsidRPr="009C31DC">
        <w:rPr>
          <w:spacing w:val="-12"/>
        </w:rPr>
        <w:t xml:space="preserve"> </w:t>
      </w:r>
      <w:r w:rsidR="008C3F2E" w:rsidRPr="009C31DC">
        <w:t>absence,</w:t>
      </w:r>
      <w:r w:rsidR="008C3F2E" w:rsidRPr="009C31DC">
        <w:rPr>
          <w:spacing w:val="-6"/>
        </w:rPr>
        <w:t xml:space="preserve"> </w:t>
      </w:r>
      <w:proofErr w:type="spellStart"/>
      <w:r w:rsidR="008C3F2E" w:rsidRPr="009C31DC">
        <w:rPr>
          <w:i/>
        </w:rPr>
        <w:t>Bai</w:t>
      </w:r>
      <w:proofErr w:type="spellEnd"/>
      <w:r w:rsidR="008C3F2E" w:rsidRPr="009C31DC">
        <w:rPr>
          <w:i/>
        </w:rPr>
        <w:t xml:space="preserve"> </w:t>
      </w:r>
      <w:r w:rsidR="0012408D" w:rsidRPr="009C31DC">
        <w:rPr>
          <w:i/>
        </w:rPr>
        <w:t>et al</w:t>
      </w:r>
      <w:r w:rsidR="0012408D" w:rsidRPr="009C31DC">
        <w:t>.</w:t>
      </w:r>
      <w:r w:rsidR="008C3F2E" w:rsidRPr="009C31DC">
        <w:rPr>
          <w:i/>
          <w:spacing w:val="-3"/>
        </w:rPr>
        <w:t xml:space="preserve"> </w:t>
      </w:r>
      <w:r w:rsidR="008C3F2E" w:rsidRPr="009C31DC">
        <w:t>(</w:t>
      </w:r>
      <w:r w:rsidR="008C3F2E" w:rsidRPr="009C31DC">
        <w:rPr>
          <w:i/>
        </w:rPr>
        <w:t>2011</w:t>
      </w:r>
      <w:r w:rsidR="008C3F2E" w:rsidRPr="009C31DC">
        <w:t xml:space="preserve">) investigate both the time-series and cross-sectional </w:t>
      </w:r>
      <w:r w:rsidR="008C3F2E" w:rsidRPr="009C31DC">
        <w:rPr>
          <w:spacing w:val="-3"/>
        </w:rPr>
        <w:t xml:space="preserve">variation </w:t>
      </w:r>
      <w:r w:rsidR="008C3F2E" w:rsidRPr="009C31DC">
        <w:t>in the CDS-bond basis during the Financial Crisis of 2007-2009</w:t>
      </w:r>
      <w:r w:rsidR="0012408D" w:rsidRPr="009C31DC">
        <w:t xml:space="preserve"> in the U.S. market</w:t>
      </w:r>
      <w:r w:rsidR="008C3F2E" w:rsidRPr="009C31DC">
        <w:t>. One of their results is that the share of price-discovery occurring in the CDS market falls significantly during the crisis</w:t>
      </w:r>
      <w:r w:rsidR="0012408D" w:rsidRPr="009C31DC">
        <w:t xml:space="preserve">. With particular focus on one of the highest </w:t>
      </w:r>
      <w:r w:rsidR="0012408D" w:rsidRPr="009C31DC">
        <w:rPr>
          <w:spacing w:val="-4"/>
        </w:rPr>
        <w:t xml:space="preserve">volatility periods and Euro Area, </w:t>
      </w:r>
      <w:r w:rsidR="0012408D" w:rsidRPr="009C31DC">
        <w:rPr>
          <w:i/>
          <w:spacing w:val="-3"/>
        </w:rPr>
        <w:t xml:space="preserve">Fontana </w:t>
      </w:r>
      <w:r w:rsidR="0012408D" w:rsidRPr="009C31DC">
        <w:rPr>
          <w:i/>
        </w:rPr>
        <w:t xml:space="preserve">et al. </w:t>
      </w:r>
      <w:r w:rsidR="0012408D" w:rsidRPr="009C31DC">
        <w:t>(</w:t>
      </w:r>
      <w:r w:rsidR="0012408D" w:rsidRPr="009C31DC">
        <w:rPr>
          <w:i/>
        </w:rPr>
        <w:t>2016</w:t>
      </w:r>
      <w:r w:rsidR="0012408D" w:rsidRPr="009C31DC">
        <w:t xml:space="preserve">) compare the market pricing of Euro Area government bonds and the corresponding CDSs </w:t>
      </w:r>
      <w:r w:rsidR="0012408D" w:rsidRPr="009C31DC">
        <w:rPr>
          <w:spacing w:val="-3"/>
        </w:rPr>
        <w:t xml:space="preserve">by </w:t>
      </w:r>
      <w:r w:rsidR="0012408D" w:rsidRPr="009C31DC">
        <w:t xml:space="preserve">analyzing the </w:t>
      </w:r>
      <w:r w:rsidR="0012408D" w:rsidRPr="009C31DC">
        <w:rPr>
          <w:i/>
          <w:spacing w:val="-3"/>
        </w:rPr>
        <w:t xml:space="preserve">basis </w:t>
      </w:r>
      <w:r w:rsidR="0012408D" w:rsidRPr="009C31DC">
        <w:t>(defined</w:t>
      </w:r>
      <w:r w:rsidR="0012408D" w:rsidRPr="009C31DC">
        <w:rPr>
          <w:spacing w:val="-9"/>
        </w:rPr>
        <w:t xml:space="preserve"> </w:t>
      </w:r>
      <w:r w:rsidR="0012408D" w:rsidRPr="009C31DC">
        <w:t>as</w:t>
      </w:r>
      <w:r w:rsidR="0012408D" w:rsidRPr="009C31DC">
        <w:rPr>
          <w:spacing w:val="-8"/>
        </w:rPr>
        <w:t xml:space="preserve"> </w:t>
      </w:r>
      <w:r w:rsidR="0012408D" w:rsidRPr="009C31DC">
        <w:t>the</w:t>
      </w:r>
      <w:r w:rsidR="0012408D" w:rsidRPr="009C31DC">
        <w:rPr>
          <w:spacing w:val="-8"/>
        </w:rPr>
        <w:t xml:space="preserve"> </w:t>
      </w:r>
      <w:r w:rsidR="0012408D" w:rsidRPr="009C31DC">
        <w:t>difference</w:t>
      </w:r>
      <w:r w:rsidR="0012408D" w:rsidRPr="009C31DC">
        <w:rPr>
          <w:spacing w:val="-8"/>
        </w:rPr>
        <w:t xml:space="preserve"> </w:t>
      </w:r>
      <w:r w:rsidR="0012408D" w:rsidRPr="009C31DC">
        <w:t>between</w:t>
      </w:r>
      <w:r w:rsidR="0012408D" w:rsidRPr="009C31DC">
        <w:rPr>
          <w:spacing w:val="-9"/>
        </w:rPr>
        <w:t xml:space="preserve"> </w:t>
      </w:r>
      <w:r w:rsidR="0012408D" w:rsidRPr="009C31DC">
        <w:t>the</w:t>
      </w:r>
      <w:r w:rsidR="0012408D" w:rsidRPr="009C31DC">
        <w:rPr>
          <w:spacing w:val="-8"/>
        </w:rPr>
        <w:t xml:space="preserve"> </w:t>
      </w:r>
      <w:r w:rsidR="0012408D" w:rsidRPr="009C31DC">
        <w:t>premium</w:t>
      </w:r>
      <w:r w:rsidR="0012408D" w:rsidRPr="009C31DC">
        <w:rPr>
          <w:spacing w:val="-8"/>
        </w:rPr>
        <w:t xml:space="preserve"> </w:t>
      </w:r>
      <w:r w:rsidR="0012408D" w:rsidRPr="009C31DC">
        <w:t>on</w:t>
      </w:r>
      <w:r w:rsidR="0012408D" w:rsidRPr="009C31DC">
        <w:rPr>
          <w:spacing w:val="-8"/>
        </w:rPr>
        <w:t xml:space="preserve"> </w:t>
      </w:r>
      <w:r w:rsidR="0012408D" w:rsidRPr="009C31DC">
        <w:t>the</w:t>
      </w:r>
      <w:r w:rsidR="0012408D" w:rsidRPr="009C31DC">
        <w:rPr>
          <w:spacing w:val="-9"/>
        </w:rPr>
        <w:t xml:space="preserve"> </w:t>
      </w:r>
      <w:r w:rsidR="0012408D" w:rsidRPr="009C31DC">
        <w:t>CDS</w:t>
      </w:r>
      <w:r w:rsidR="0012408D" w:rsidRPr="009C31DC">
        <w:rPr>
          <w:spacing w:val="-8"/>
        </w:rPr>
        <w:t xml:space="preserve"> </w:t>
      </w:r>
      <w:r w:rsidR="0012408D" w:rsidRPr="009C31DC">
        <w:t>and</w:t>
      </w:r>
      <w:r w:rsidR="0012408D" w:rsidRPr="009C31DC">
        <w:rPr>
          <w:spacing w:val="-8"/>
        </w:rPr>
        <w:t xml:space="preserve"> </w:t>
      </w:r>
      <w:r w:rsidR="0012408D" w:rsidRPr="009C31DC">
        <w:t>the</w:t>
      </w:r>
      <w:r w:rsidR="0012408D" w:rsidRPr="009C31DC">
        <w:rPr>
          <w:spacing w:val="-8"/>
        </w:rPr>
        <w:t xml:space="preserve"> </w:t>
      </w:r>
      <w:r w:rsidR="0012408D" w:rsidRPr="009C31DC">
        <w:t>credit</w:t>
      </w:r>
      <w:r w:rsidR="0012408D" w:rsidRPr="009C31DC">
        <w:rPr>
          <w:spacing w:val="-9"/>
        </w:rPr>
        <w:t xml:space="preserve"> </w:t>
      </w:r>
      <w:r w:rsidR="0012408D" w:rsidRPr="009C31DC">
        <w:t>spread</w:t>
      </w:r>
      <w:r w:rsidR="0012408D" w:rsidRPr="009C31DC">
        <w:rPr>
          <w:spacing w:val="-8"/>
        </w:rPr>
        <w:t xml:space="preserve"> </w:t>
      </w:r>
      <w:r w:rsidR="0012408D" w:rsidRPr="009C31DC">
        <w:t>on</w:t>
      </w:r>
      <w:r w:rsidR="0012408D" w:rsidRPr="009C31DC">
        <w:rPr>
          <w:spacing w:val="-8"/>
        </w:rPr>
        <w:t xml:space="preserve"> </w:t>
      </w:r>
      <w:r w:rsidR="0012408D" w:rsidRPr="009C31DC">
        <w:t>the</w:t>
      </w:r>
      <w:r w:rsidR="0012408D" w:rsidRPr="009C31DC">
        <w:rPr>
          <w:spacing w:val="-8"/>
        </w:rPr>
        <w:t xml:space="preserve"> </w:t>
      </w:r>
      <w:r w:rsidR="0012408D" w:rsidRPr="009C31DC">
        <w:t>underlying</w:t>
      </w:r>
      <w:r w:rsidR="0012408D" w:rsidRPr="009C31DC">
        <w:rPr>
          <w:spacing w:val="-8"/>
        </w:rPr>
        <w:t xml:space="preserve"> </w:t>
      </w:r>
      <w:r w:rsidR="0012408D" w:rsidRPr="009C31DC">
        <w:t>bond)</w:t>
      </w:r>
      <w:r w:rsidR="0012408D" w:rsidRPr="009C31DC">
        <w:rPr>
          <w:spacing w:val="-9"/>
        </w:rPr>
        <w:t xml:space="preserve"> </w:t>
      </w:r>
      <w:r w:rsidR="0012408D" w:rsidRPr="009C31DC">
        <w:t xml:space="preserve">during the period from January 2007 to December 2012. </w:t>
      </w:r>
      <w:proofErr w:type="spellStart"/>
      <w:r w:rsidR="0012408D" w:rsidRPr="009C31DC">
        <w:rPr>
          <w:i/>
          <w:spacing w:val="-3"/>
        </w:rPr>
        <w:t>Gyntelberg</w:t>
      </w:r>
      <w:proofErr w:type="spellEnd"/>
      <w:r w:rsidR="0012408D" w:rsidRPr="009C31DC">
        <w:rPr>
          <w:i/>
          <w:spacing w:val="-3"/>
        </w:rPr>
        <w:t xml:space="preserve"> </w:t>
      </w:r>
      <w:r w:rsidR="0012408D" w:rsidRPr="009C31DC">
        <w:rPr>
          <w:i/>
        </w:rPr>
        <w:t xml:space="preserve">et al. </w:t>
      </w:r>
      <w:r w:rsidR="0012408D" w:rsidRPr="009C31DC">
        <w:t>(</w:t>
      </w:r>
      <w:r w:rsidR="0012408D" w:rsidRPr="009C31DC">
        <w:rPr>
          <w:i/>
        </w:rPr>
        <w:t>201</w:t>
      </w:r>
      <w:r w:rsidR="0012408D" w:rsidRPr="009C31DC">
        <w:t>6) try to explain the persistent non-zero CDS-bond</w:t>
      </w:r>
      <w:r w:rsidR="0012408D" w:rsidRPr="009C31DC">
        <w:rPr>
          <w:spacing w:val="4"/>
        </w:rPr>
        <w:t xml:space="preserve"> </w:t>
      </w:r>
      <w:r w:rsidR="0012408D" w:rsidRPr="009C31DC">
        <w:t>basis</w:t>
      </w:r>
      <w:r w:rsidR="0012408D" w:rsidRPr="009C31DC">
        <w:rPr>
          <w:spacing w:val="5"/>
        </w:rPr>
        <w:t xml:space="preserve"> </w:t>
      </w:r>
      <w:r w:rsidR="0012408D" w:rsidRPr="009C31DC">
        <w:t>in</w:t>
      </w:r>
      <w:r w:rsidR="0012408D" w:rsidRPr="009C31DC">
        <w:rPr>
          <w:spacing w:val="5"/>
        </w:rPr>
        <w:t xml:space="preserve"> </w:t>
      </w:r>
      <w:r w:rsidR="0012408D" w:rsidRPr="009C31DC">
        <w:t>Euro</w:t>
      </w:r>
      <w:r w:rsidR="0012408D" w:rsidRPr="009C31DC">
        <w:rPr>
          <w:spacing w:val="5"/>
        </w:rPr>
        <w:t xml:space="preserve"> </w:t>
      </w:r>
      <w:r w:rsidR="0012408D" w:rsidRPr="009C31DC">
        <w:t>Area</w:t>
      </w:r>
      <w:r w:rsidR="0012408D" w:rsidRPr="009C31DC">
        <w:rPr>
          <w:spacing w:val="5"/>
        </w:rPr>
        <w:t xml:space="preserve"> </w:t>
      </w:r>
      <w:r w:rsidR="0012408D" w:rsidRPr="009C31DC">
        <w:t>sovereign</w:t>
      </w:r>
      <w:r w:rsidR="0012408D" w:rsidRPr="009C31DC">
        <w:rPr>
          <w:spacing w:val="5"/>
        </w:rPr>
        <w:t xml:space="preserve"> </w:t>
      </w:r>
      <w:r w:rsidR="0012408D" w:rsidRPr="009C31DC">
        <w:t>debt</w:t>
      </w:r>
      <w:r w:rsidR="0012408D" w:rsidRPr="009C31DC">
        <w:rPr>
          <w:spacing w:val="5"/>
        </w:rPr>
        <w:t xml:space="preserve"> </w:t>
      </w:r>
      <w:r w:rsidR="0012408D" w:rsidRPr="009C31DC">
        <w:t>markets</w:t>
      </w:r>
      <w:r w:rsidR="0012408D" w:rsidRPr="009C31DC">
        <w:rPr>
          <w:spacing w:val="5"/>
        </w:rPr>
        <w:t xml:space="preserve"> </w:t>
      </w:r>
      <w:r w:rsidR="0012408D" w:rsidRPr="009C31DC">
        <w:t>and</w:t>
      </w:r>
      <w:r w:rsidR="0012408D" w:rsidRPr="009C31DC">
        <w:rPr>
          <w:spacing w:val="4"/>
        </w:rPr>
        <w:t xml:space="preserve"> </w:t>
      </w:r>
      <w:r w:rsidR="0012408D" w:rsidRPr="009C31DC">
        <w:t>its</w:t>
      </w:r>
      <w:r w:rsidR="0012408D" w:rsidRPr="009C31DC">
        <w:rPr>
          <w:spacing w:val="5"/>
        </w:rPr>
        <w:t xml:space="preserve"> </w:t>
      </w:r>
      <w:r w:rsidR="0012408D" w:rsidRPr="009C31DC">
        <w:t>increase</w:t>
      </w:r>
      <w:r w:rsidR="0012408D" w:rsidRPr="009C31DC">
        <w:rPr>
          <w:spacing w:val="5"/>
        </w:rPr>
        <w:t xml:space="preserve"> </w:t>
      </w:r>
      <w:r w:rsidR="0012408D" w:rsidRPr="009C31DC">
        <w:t>during</w:t>
      </w:r>
      <w:r w:rsidR="0012408D" w:rsidRPr="009C31DC">
        <w:rPr>
          <w:spacing w:val="5"/>
        </w:rPr>
        <w:t xml:space="preserve"> </w:t>
      </w:r>
      <w:r w:rsidR="0012408D" w:rsidRPr="009C31DC">
        <w:t>the</w:t>
      </w:r>
      <w:r w:rsidR="0012408D" w:rsidRPr="009C31DC">
        <w:rPr>
          <w:spacing w:val="5"/>
        </w:rPr>
        <w:t xml:space="preserve"> </w:t>
      </w:r>
      <w:r w:rsidR="0012408D" w:rsidRPr="009C31DC">
        <w:t>last</w:t>
      </w:r>
      <w:r w:rsidR="0012408D" w:rsidRPr="009C31DC">
        <w:rPr>
          <w:spacing w:val="5"/>
        </w:rPr>
        <w:t xml:space="preserve"> </w:t>
      </w:r>
      <w:r w:rsidR="0012408D" w:rsidRPr="009C31DC">
        <w:t>sovereign</w:t>
      </w:r>
      <w:r w:rsidR="0012408D" w:rsidRPr="009C31DC">
        <w:rPr>
          <w:spacing w:val="5"/>
        </w:rPr>
        <w:t xml:space="preserve"> </w:t>
      </w:r>
      <w:r w:rsidR="0012408D" w:rsidRPr="009C31DC">
        <w:t>crisis.</w:t>
      </w:r>
    </w:p>
    <w:p w:rsidR="000377FF" w:rsidRPr="009C31DC" w:rsidRDefault="008C3F2E" w:rsidP="00E526BD">
      <w:pPr>
        <w:pStyle w:val="Corpotesto"/>
        <w:spacing w:before="10" w:line="360" w:lineRule="auto"/>
        <w:ind w:left="113" w:right="113"/>
        <w:jc w:val="both"/>
      </w:pPr>
      <w:r w:rsidRPr="009C31DC">
        <w:t>Other authors, rather, have investigated on the price discovery process of the credit risk and on the different markets ability to promptly inc</w:t>
      </w:r>
      <w:r w:rsidR="00432755" w:rsidRPr="009C31DC">
        <w:t>orporate the dynamics of the credit risk</w:t>
      </w:r>
      <w:r w:rsidRPr="009C31DC">
        <w:t>.</w:t>
      </w:r>
      <w:r w:rsidR="00432755" w:rsidRPr="009C31DC">
        <w:t xml:space="preserve"> Our paper focuses on this specific last aspect. </w:t>
      </w:r>
      <w:r w:rsidRPr="009C31DC">
        <w:t xml:space="preserve"> </w:t>
      </w:r>
      <w:r w:rsidRPr="009C31DC">
        <w:rPr>
          <w:i/>
          <w:spacing w:val="-3"/>
        </w:rPr>
        <w:t xml:space="preserve">Lehmann </w:t>
      </w:r>
      <w:r w:rsidRPr="009C31DC">
        <w:t>(</w:t>
      </w:r>
      <w:r w:rsidRPr="009C31DC">
        <w:rPr>
          <w:i/>
        </w:rPr>
        <w:t>2004</w:t>
      </w:r>
      <w:r w:rsidRPr="009C31DC">
        <w:t>)</w:t>
      </w:r>
      <w:r w:rsidR="00E85B85" w:rsidRPr="009C31DC">
        <w:rPr>
          <w:position w:val="7"/>
          <w:sz w:val="14"/>
        </w:rPr>
        <w:t xml:space="preserve"> </w:t>
      </w:r>
      <w:r w:rsidR="00E85B85" w:rsidRPr="009C31DC">
        <w:t>defines the “</w:t>
      </w:r>
      <w:r w:rsidR="00E85B85" w:rsidRPr="009C31DC">
        <w:rPr>
          <w:i/>
        </w:rPr>
        <w:t xml:space="preserve">price discovery analysis of </w:t>
      </w:r>
      <w:r w:rsidR="00991DB2" w:rsidRPr="009C31DC">
        <w:rPr>
          <w:i/>
          <w:spacing w:val="-4"/>
        </w:rPr>
        <w:t xml:space="preserve">credit </w:t>
      </w:r>
      <w:r w:rsidR="00A603EF" w:rsidRPr="009C31DC">
        <w:rPr>
          <w:i/>
        </w:rPr>
        <w:t>risk</w:t>
      </w:r>
      <w:r w:rsidR="00A603EF" w:rsidRPr="009C31DC">
        <w:t xml:space="preserve">” </w:t>
      </w:r>
      <w:r w:rsidR="001066AF" w:rsidRPr="009C31DC">
        <w:t xml:space="preserve">as the efficient and </w:t>
      </w:r>
      <w:r w:rsidR="00E85B85" w:rsidRPr="009C31DC">
        <w:t>prompt</w:t>
      </w:r>
      <w:r w:rsidR="00E85B85" w:rsidRPr="009C31DC">
        <w:rPr>
          <w:spacing w:val="-20"/>
        </w:rPr>
        <w:t xml:space="preserve"> </w:t>
      </w:r>
      <w:r w:rsidR="00E85B85" w:rsidRPr="009C31DC">
        <w:t>integration</w:t>
      </w:r>
      <w:r w:rsidR="00E85B85" w:rsidRPr="009C31DC">
        <w:rPr>
          <w:spacing w:val="-19"/>
        </w:rPr>
        <w:t xml:space="preserve"> </w:t>
      </w:r>
      <w:r w:rsidR="00E85B85" w:rsidRPr="009C31DC">
        <w:t>of</w:t>
      </w:r>
      <w:r w:rsidR="00E85B85" w:rsidRPr="009C31DC">
        <w:rPr>
          <w:spacing w:val="-19"/>
        </w:rPr>
        <w:t xml:space="preserve"> </w:t>
      </w:r>
      <w:r w:rsidR="00E85B85" w:rsidRPr="009C31DC">
        <w:t>new</w:t>
      </w:r>
      <w:r w:rsidR="00E85B85" w:rsidRPr="009C31DC">
        <w:rPr>
          <w:spacing w:val="-19"/>
        </w:rPr>
        <w:t xml:space="preserve"> </w:t>
      </w:r>
      <w:r w:rsidR="00E85B85" w:rsidRPr="009C31DC">
        <w:t>information</w:t>
      </w:r>
      <w:r w:rsidR="00E85B85" w:rsidRPr="009C31DC">
        <w:rPr>
          <w:spacing w:val="-20"/>
        </w:rPr>
        <w:t xml:space="preserve"> </w:t>
      </w:r>
      <w:r w:rsidR="00A603EF" w:rsidRPr="009C31DC">
        <w:t>implicitly</w:t>
      </w:r>
      <w:r w:rsidR="00E85B85" w:rsidRPr="009C31DC">
        <w:rPr>
          <w:spacing w:val="-19"/>
        </w:rPr>
        <w:t xml:space="preserve"> </w:t>
      </w:r>
      <w:r w:rsidR="00E85B85" w:rsidRPr="009C31DC">
        <w:t>discounted</w:t>
      </w:r>
      <w:r w:rsidR="00E85B85" w:rsidRPr="009C31DC">
        <w:rPr>
          <w:spacing w:val="-19"/>
        </w:rPr>
        <w:t xml:space="preserve"> </w:t>
      </w:r>
      <w:r w:rsidR="00E85B85" w:rsidRPr="009C31DC">
        <w:t>in</w:t>
      </w:r>
      <w:r w:rsidR="00E85B85" w:rsidRPr="009C31DC">
        <w:rPr>
          <w:spacing w:val="-20"/>
        </w:rPr>
        <w:t xml:space="preserve"> </w:t>
      </w:r>
      <w:r w:rsidR="00E85B85" w:rsidRPr="009C31DC">
        <w:t>market</w:t>
      </w:r>
      <w:r w:rsidR="00E85B85" w:rsidRPr="009C31DC">
        <w:rPr>
          <w:spacing w:val="-19"/>
        </w:rPr>
        <w:t xml:space="preserve"> </w:t>
      </w:r>
      <w:r w:rsidR="00E85B85" w:rsidRPr="009C31DC">
        <w:t>prices.</w:t>
      </w:r>
      <w:r w:rsidR="00E85B85" w:rsidRPr="009C31DC">
        <w:rPr>
          <w:spacing w:val="-5"/>
        </w:rPr>
        <w:t xml:space="preserve"> </w:t>
      </w:r>
      <w:r w:rsidR="00E85B85" w:rsidRPr="009C31DC">
        <w:t>The</w:t>
      </w:r>
      <w:r w:rsidR="00E85B85" w:rsidRPr="009C31DC">
        <w:rPr>
          <w:spacing w:val="-19"/>
        </w:rPr>
        <w:t xml:space="preserve"> </w:t>
      </w:r>
      <w:r w:rsidR="00E85B85" w:rsidRPr="009C31DC">
        <w:t>existence</w:t>
      </w:r>
      <w:r w:rsidR="00E85B85" w:rsidRPr="009C31DC">
        <w:rPr>
          <w:spacing w:val="-19"/>
        </w:rPr>
        <w:t xml:space="preserve"> </w:t>
      </w:r>
      <w:r w:rsidR="00E85B85" w:rsidRPr="009C31DC">
        <w:t>of</w:t>
      </w:r>
      <w:r w:rsidR="00E85B85" w:rsidRPr="009C31DC">
        <w:rPr>
          <w:spacing w:val="-20"/>
        </w:rPr>
        <w:t xml:space="preserve"> </w:t>
      </w:r>
      <w:r w:rsidR="00E85B85" w:rsidRPr="009C31DC">
        <w:t>multiple</w:t>
      </w:r>
      <w:r w:rsidR="00E85B85" w:rsidRPr="009C31DC">
        <w:rPr>
          <w:spacing w:val="-19"/>
        </w:rPr>
        <w:t xml:space="preserve"> </w:t>
      </w:r>
      <w:r w:rsidR="00E85B85" w:rsidRPr="009C31DC">
        <w:t>linked markets</w:t>
      </w:r>
      <w:r w:rsidR="00E85B85" w:rsidRPr="009C31DC">
        <w:rPr>
          <w:spacing w:val="-23"/>
        </w:rPr>
        <w:t xml:space="preserve"> </w:t>
      </w:r>
      <w:r w:rsidR="00E85B85" w:rsidRPr="009C31DC">
        <w:t>in</w:t>
      </w:r>
      <w:r w:rsidR="00E85B85" w:rsidRPr="009C31DC">
        <w:rPr>
          <w:spacing w:val="-23"/>
        </w:rPr>
        <w:t xml:space="preserve"> </w:t>
      </w:r>
      <w:r w:rsidR="00E85B85" w:rsidRPr="009C31DC">
        <w:t>which</w:t>
      </w:r>
      <w:r w:rsidR="00E85B85" w:rsidRPr="009C31DC">
        <w:rPr>
          <w:spacing w:val="-23"/>
        </w:rPr>
        <w:t xml:space="preserve"> </w:t>
      </w:r>
      <w:r w:rsidR="00E85B85" w:rsidRPr="009C31DC">
        <w:t>the</w:t>
      </w:r>
      <w:r w:rsidR="00E85B85" w:rsidRPr="009C31DC">
        <w:rPr>
          <w:spacing w:val="-23"/>
        </w:rPr>
        <w:t xml:space="preserve"> </w:t>
      </w:r>
      <w:r w:rsidR="00E85B85" w:rsidRPr="009C31DC">
        <w:t>risky</w:t>
      </w:r>
      <w:r w:rsidR="00E85B85" w:rsidRPr="009C31DC">
        <w:rPr>
          <w:spacing w:val="-23"/>
        </w:rPr>
        <w:t xml:space="preserve"> </w:t>
      </w:r>
      <w:r w:rsidR="00E85B85" w:rsidRPr="009C31DC">
        <w:t>bond</w:t>
      </w:r>
      <w:r w:rsidR="00E85B85" w:rsidRPr="009C31DC">
        <w:rPr>
          <w:spacing w:val="-23"/>
        </w:rPr>
        <w:t xml:space="preserve"> </w:t>
      </w:r>
      <w:r w:rsidR="00E85B85" w:rsidRPr="009C31DC">
        <w:t>asset</w:t>
      </w:r>
      <w:r w:rsidR="00E85B85" w:rsidRPr="009C31DC">
        <w:rPr>
          <w:spacing w:val="-23"/>
        </w:rPr>
        <w:t xml:space="preserve"> </w:t>
      </w:r>
      <w:r w:rsidR="00E85B85" w:rsidRPr="009C31DC">
        <w:t>is</w:t>
      </w:r>
      <w:r w:rsidR="00E85B85" w:rsidRPr="009C31DC">
        <w:rPr>
          <w:spacing w:val="-23"/>
        </w:rPr>
        <w:t xml:space="preserve"> </w:t>
      </w:r>
      <w:r w:rsidR="00E85B85" w:rsidRPr="009C31DC">
        <w:t>traded</w:t>
      </w:r>
      <w:r w:rsidR="00E85B85" w:rsidRPr="009C31DC">
        <w:rPr>
          <w:spacing w:val="-23"/>
        </w:rPr>
        <w:t xml:space="preserve"> </w:t>
      </w:r>
      <w:r w:rsidR="00E85B85" w:rsidRPr="009C31DC">
        <w:t>implies</w:t>
      </w:r>
      <w:r w:rsidR="00E85B85" w:rsidRPr="009C31DC">
        <w:rPr>
          <w:spacing w:val="-23"/>
        </w:rPr>
        <w:t xml:space="preserve"> </w:t>
      </w:r>
      <w:r w:rsidR="00E85B85" w:rsidRPr="009C31DC">
        <w:t>that</w:t>
      </w:r>
      <w:r w:rsidR="00E85B85" w:rsidRPr="009C31DC">
        <w:rPr>
          <w:spacing w:val="-23"/>
        </w:rPr>
        <w:t xml:space="preserve"> </w:t>
      </w:r>
      <w:r w:rsidR="00E85B85" w:rsidRPr="009C31DC">
        <w:t>the</w:t>
      </w:r>
      <w:r w:rsidR="00E85B85" w:rsidRPr="009C31DC">
        <w:rPr>
          <w:spacing w:val="-22"/>
        </w:rPr>
        <w:t xml:space="preserve"> </w:t>
      </w:r>
      <w:r w:rsidR="00E85B85" w:rsidRPr="009C31DC">
        <w:t>total</w:t>
      </w:r>
      <w:r w:rsidR="00E85B85" w:rsidRPr="009C31DC">
        <w:rPr>
          <w:spacing w:val="-23"/>
        </w:rPr>
        <w:t xml:space="preserve"> </w:t>
      </w:r>
      <w:r w:rsidR="00E85B85" w:rsidRPr="009C31DC">
        <w:t>information</w:t>
      </w:r>
      <w:r w:rsidR="00E85B85" w:rsidRPr="009C31DC">
        <w:rPr>
          <w:spacing w:val="-23"/>
        </w:rPr>
        <w:t xml:space="preserve"> </w:t>
      </w:r>
      <w:r w:rsidR="00E85B85" w:rsidRPr="009C31DC">
        <w:t>flow</w:t>
      </w:r>
      <w:r w:rsidR="00E85B85" w:rsidRPr="009C31DC">
        <w:rPr>
          <w:spacing w:val="-23"/>
        </w:rPr>
        <w:t xml:space="preserve"> </w:t>
      </w:r>
      <w:r w:rsidR="00E85B85" w:rsidRPr="009C31DC">
        <w:t>is</w:t>
      </w:r>
      <w:r w:rsidR="00E85B85" w:rsidRPr="009C31DC">
        <w:rPr>
          <w:spacing w:val="-23"/>
        </w:rPr>
        <w:t xml:space="preserve"> </w:t>
      </w:r>
      <w:r w:rsidR="00A603EF" w:rsidRPr="009C31DC">
        <w:t>spread</w:t>
      </w:r>
      <w:r w:rsidR="00E85B85" w:rsidRPr="009C31DC">
        <w:rPr>
          <w:spacing w:val="-23"/>
        </w:rPr>
        <w:t xml:space="preserve"> </w:t>
      </w:r>
      <w:r w:rsidR="001066AF" w:rsidRPr="009C31DC">
        <w:t>over</w:t>
      </w:r>
      <w:r w:rsidR="00E85B85" w:rsidRPr="009C31DC">
        <w:t xml:space="preserve"> these markets; thereafter an intermarket analysis is particularly essential for forecasting purposes (</w:t>
      </w:r>
      <w:r w:rsidR="00272CE6" w:rsidRPr="009C31DC">
        <w:t xml:space="preserve">to determine </w:t>
      </w:r>
      <w:r w:rsidR="00E85B85" w:rsidRPr="009C31DC">
        <w:t>which market anticipates the other?).</w:t>
      </w:r>
      <w:r w:rsidR="00CF36A0" w:rsidRPr="009C31DC">
        <w:t xml:space="preserve"> </w:t>
      </w:r>
      <w:r w:rsidR="00CF36A0" w:rsidRPr="009C31DC">
        <w:rPr>
          <w:i/>
        </w:rPr>
        <w:t xml:space="preserve">Coudert et al. </w:t>
      </w:r>
      <w:r w:rsidR="00CF36A0" w:rsidRPr="009C31DC">
        <w:t>(</w:t>
      </w:r>
      <w:r w:rsidR="00CF36A0" w:rsidRPr="009C31DC">
        <w:rPr>
          <w:i/>
        </w:rPr>
        <w:t>2010</w:t>
      </w:r>
      <w:r w:rsidR="00CF36A0" w:rsidRPr="009C31DC">
        <w:t xml:space="preserve">) </w:t>
      </w:r>
      <w:r w:rsidR="003119A4" w:rsidRPr="009C31DC">
        <w:t>analyze</w:t>
      </w:r>
      <w:r w:rsidR="00CF36A0" w:rsidRPr="009C31DC">
        <w:t xml:space="preserve"> the links between credit default swaps (CDSs) and (corporate and government) bonds and try to determine which is the leader in the price discovery process</w:t>
      </w:r>
      <w:r w:rsidR="00E526BD" w:rsidRPr="009C31DC">
        <w:t xml:space="preserve"> over the period 2007-2010</w:t>
      </w:r>
      <w:r w:rsidR="00CF36A0" w:rsidRPr="009C31DC">
        <w:t>.</w:t>
      </w:r>
      <w:r w:rsidR="003223F3" w:rsidRPr="009C31DC">
        <w:t xml:space="preserve"> The bond spread is calculated as the difference between the bond yield and a risk-free rate. They consider a 5-year risk-free rate by area, such as the German Bund for the European Union, gilts for the United Kingdom, and the US Treasury bond for other areas.</w:t>
      </w:r>
      <w:r w:rsidR="00E526BD" w:rsidRPr="009C31DC">
        <w:t xml:space="preserve"> The results show that the CDS market has a lead on the bond market in the price discovery process for corporates as well as sovereigns taken as a whole. For corporates, this is in line with the greater liquidity of the CDS market, while for sovereigns results are more challenging as the size of the CDS market is relatively small compared with the debt market. Data shows that the lead of the CDS market only holds for high-yield countries (it is particularly pronounced in emerging areas) and the government bond market still leads the CDS spreads in low-yield countries.</w:t>
      </w:r>
    </w:p>
    <w:p w:rsidR="000377FF" w:rsidRPr="009C31DC" w:rsidRDefault="00E85B85" w:rsidP="001A4FB4">
      <w:pPr>
        <w:pStyle w:val="Corpotesto"/>
        <w:spacing w:before="5" w:line="360" w:lineRule="auto"/>
        <w:ind w:left="113" w:right="111"/>
        <w:jc w:val="both"/>
      </w:pPr>
      <w:proofErr w:type="spellStart"/>
      <w:r w:rsidRPr="009C31DC">
        <w:rPr>
          <w:i/>
        </w:rPr>
        <w:lastRenderedPageBreak/>
        <w:t>Palladini</w:t>
      </w:r>
      <w:proofErr w:type="spellEnd"/>
      <w:r w:rsidRPr="009C31DC">
        <w:rPr>
          <w:i/>
        </w:rPr>
        <w:t xml:space="preserve"> </w:t>
      </w:r>
      <w:r w:rsidR="003119A4" w:rsidRPr="009C31DC">
        <w:rPr>
          <w:i/>
        </w:rPr>
        <w:t>et al.</w:t>
      </w:r>
      <w:r w:rsidRPr="009C31DC">
        <w:rPr>
          <w:i/>
        </w:rPr>
        <w:t xml:space="preserve"> </w:t>
      </w:r>
      <w:r w:rsidRPr="009C31DC">
        <w:t>(</w:t>
      </w:r>
      <w:r w:rsidRPr="009C31DC">
        <w:rPr>
          <w:i/>
        </w:rPr>
        <w:t>2011</w:t>
      </w:r>
      <w:r w:rsidRPr="009C31DC">
        <w:t>) test the price discovery relationship between</w:t>
      </w:r>
      <w:r w:rsidRPr="009C31DC">
        <w:rPr>
          <w:spacing w:val="-9"/>
        </w:rPr>
        <w:t xml:space="preserve"> </w:t>
      </w:r>
      <w:r w:rsidRPr="009C31DC">
        <w:t>sovereign</w:t>
      </w:r>
      <w:r w:rsidRPr="009C31DC">
        <w:rPr>
          <w:spacing w:val="-8"/>
        </w:rPr>
        <w:t xml:space="preserve"> </w:t>
      </w:r>
      <w:r w:rsidRPr="009C31DC">
        <w:t>CDS</w:t>
      </w:r>
      <w:r w:rsidRPr="009C31DC">
        <w:rPr>
          <w:spacing w:val="-8"/>
        </w:rPr>
        <w:t xml:space="preserve"> </w:t>
      </w:r>
      <w:r w:rsidRPr="009C31DC">
        <w:t>premia</w:t>
      </w:r>
      <w:r w:rsidRPr="009C31DC">
        <w:rPr>
          <w:spacing w:val="-8"/>
        </w:rPr>
        <w:t xml:space="preserve"> </w:t>
      </w:r>
      <w:r w:rsidRPr="009C31DC">
        <w:t>and</w:t>
      </w:r>
      <w:r w:rsidRPr="009C31DC">
        <w:rPr>
          <w:spacing w:val="-8"/>
        </w:rPr>
        <w:t xml:space="preserve"> </w:t>
      </w:r>
      <w:r w:rsidRPr="009C31DC">
        <w:t>bond</w:t>
      </w:r>
      <w:r w:rsidRPr="009C31DC">
        <w:rPr>
          <w:spacing w:val="-8"/>
        </w:rPr>
        <w:t xml:space="preserve"> </w:t>
      </w:r>
      <w:r w:rsidRPr="009C31DC">
        <w:t>yield</w:t>
      </w:r>
      <w:r w:rsidRPr="009C31DC">
        <w:rPr>
          <w:spacing w:val="-8"/>
        </w:rPr>
        <w:t xml:space="preserve"> </w:t>
      </w:r>
      <w:r w:rsidRPr="009C31DC">
        <w:t>spreads</w:t>
      </w:r>
      <w:r w:rsidRPr="009C31DC">
        <w:rPr>
          <w:spacing w:val="-8"/>
        </w:rPr>
        <w:t xml:space="preserve"> </w:t>
      </w:r>
      <w:r w:rsidRPr="009C31DC">
        <w:t>on</w:t>
      </w:r>
      <w:r w:rsidRPr="009C31DC">
        <w:rPr>
          <w:spacing w:val="-8"/>
        </w:rPr>
        <w:t xml:space="preserve"> </w:t>
      </w:r>
      <w:r w:rsidRPr="009C31DC">
        <w:t>the</w:t>
      </w:r>
      <w:r w:rsidRPr="009C31DC">
        <w:rPr>
          <w:spacing w:val="-8"/>
        </w:rPr>
        <w:t xml:space="preserve"> </w:t>
      </w:r>
      <w:r w:rsidRPr="009C31DC">
        <w:t>same</w:t>
      </w:r>
      <w:r w:rsidRPr="009C31DC">
        <w:rPr>
          <w:spacing w:val="-9"/>
        </w:rPr>
        <w:t xml:space="preserve"> </w:t>
      </w:r>
      <w:r w:rsidRPr="009C31DC">
        <w:t>reference</w:t>
      </w:r>
      <w:r w:rsidRPr="009C31DC">
        <w:rPr>
          <w:spacing w:val="-8"/>
        </w:rPr>
        <w:t xml:space="preserve"> </w:t>
      </w:r>
      <w:r w:rsidRPr="009C31DC">
        <w:rPr>
          <w:spacing w:val="-5"/>
        </w:rPr>
        <w:t>entity.</w:t>
      </w:r>
      <w:r w:rsidRPr="009C31DC">
        <w:rPr>
          <w:spacing w:val="7"/>
        </w:rPr>
        <w:t xml:space="preserve"> </w:t>
      </w:r>
      <w:r w:rsidRPr="009C31DC">
        <w:t>Their</w:t>
      </w:r>
      <w:r w:rsidRPr="009C31DC">
        <w:rPr>
          <w:spacing w:val="-8"/>
        </w:rPr>
        <w:t xml:space="preserve"> </w:t>
      </w:r>
      <w:r w:rsidRPr="009C31DC">
        <w:t>study</w:t>
      </w:r>
      <w:r w:rsidRPr="009C31DC">
        <w:rPr>
          <w:spacing w:val="-8"/>
        </w:rPr>
        <w:t xml:space="preserve"> </w:t>
      </w:r>
      <w:r w:rsidRPr="009C31DC">
        <w:t>is</w:t>
      </w:r>
      <w:r w:rsidRPr="009C31DC">
        <w:rPr>
          <w:spacing w:val="-8"/>
        </w:rPr>
        <w:t xml:space="preserve"> </w:t>
      </w:r>
      <w:r w:rsidRPr="009C31DC">
        <w:t>focused</w:t>
      </w:r>
      <w:r w:rsidRPr="009C31DC">
        <w:rPr>
          <w:spacing w:val="-8"/>
        </w:rPr>
        <w:t xml:space="preserve"> </w:t>
      </w:r>
      <w:r w:rsidRPr="009C31DC">
        <w:t>on</w:t>
      </w:r>
      <w:r w:rsidRPr="009C31DC">
        <w:rPr>
          <w:spacing w:val="-8"/>
        </w:rPr>
        <w:t xml:space="preserve"> </w:t>
      </w:r>
      <w:r w:rsidRPr="009C31DC">
        <w:t xml:space="preserve">the Euro Area countries </w:t>
      </w:r>
      <w:r w:rsidRPr="009C31DC">
        <w:rPr>
          <w:spacing w:val="-3"/>
        </w:rPr>
        <w:t xml:space="preserve">over </w:t>
      </w:r>
      <w:r w:rsidRPr="009C31DC">
        <w:t>the period 2004-2011. The VECM analysis suggests that the CDS market leads the bond market in</w:t>
      </w:r>
      <w:r w:rsidR="00272CE6" w:rsidRPr="009C31DC">
        <w:t xml:space="preserve"> the</w:t>
      </w:r>
      <w:r w:rsidRPr="009C31DC">
        <w:t xml:space="preserve"> price</w:t>
      </w:r>
      <w:r w:rsidRPr="009C31DC">
        <w:rPr>
          <w:spacing w:val="24"/>
        </w:rPr>
        <w:t xml:space="preserve"> </w:t>
      </w:r>
      <w:r w:rsidRPr="009C31DC">
        <w:rPr>
          <w:spacing w:val="-3"/>
        </w:rPr>
        <w:t>discovery</w:t>
      </w:r>
      <w:r w:rsidR="00A603EF" w:rsidRPr="009C31DC">
        <w:rPr>
          <w:spacing w:val="-3"/>
        </w:rPr>
        <w:t xml:space="preserve"> process of credit risk</w:t>
      </w:r>
      <w:r w:rsidRPr="009C31DC">
        <w:rPr>
          <w:spacing w:val="-3"/>
        </w:rPr>
        <w:t>.</w:t>
      </w:r>
    </w:p>
    <w:p w:rsidR="000377FF" w:rsidRPr="009C31DC" w:rsidRDefault="00E85B85" w:rsidP="001A4FB4">
      <w:pPr>
        <w:pStyle w:val="Corpotesto"/>
        <w:spacing w:before="4" w:line="360" w:lineRule="auto"/>
        <w:ind w:left="113" w:right="111"/>
        <w:jc w:val="both"/>
      </w:pPr>
      <w:r w:rsidRPr="009C31DC">
        <w:t xml:space="preserve">In order to figure out </w:t>
      </w:r>
      <w:r w:rsidR="00E478C5" w:rsidRPr="009C31DC">
        <w:t>the role of C</w:t>
      </w:r>
      <w:r w:rsidRPr="009C31DC">
        <w:t>entral Ba</w:t>
      </w:r>
      <w:r w:rsidR="00E478C5" w:rsidRPr="009C31DC">
        <w:t xml:space="preserve">nks </w:t>
      </w:r>
      <w:r w:rsidRPr="009C31DC">
        <w:t xml:space="preserve">in affecting markets </w:t>
      </w:r>
      <w:r w:rsidRPr="009C31DC">
        <w:rPr>
          <w:spacing w:val="-3"/>
        </w:rPr>
        <w:t xml:space="preserve">stability, </w:t>
      </w:r>
      <w:r w:rsidR="00A603EF" w:rsidRPr="009C31DC">
        <w:rPr>
          <w:i/>
        </w:rPr>
        <w:t xml:space="preserve">De </w:t>
      </w:r>
      <w:proofErr w:type="spellStart"/>
      <w:r w:rsidR="00A603EF" w:rsidRPr="009C31DC">
        <w:rPr>
          <w:i/>
        </w:rPr>
        <w:t>Pooter</w:t>
      </w:r>
      <w:proofErr w:type="spellEnd"/>
      <w:r w:rsidR="00A603EF" w:rsidRPr="009C31DC">
        <w:rPr>
          <w:i/>
        </w:rPr>
        <w:t xml:space="preserve"> et al. </w:t>
      </w:r>
      <w:r w:rsidRPr="009C31DC">
        <w:t>(</w:t>
      </w:r>
      <w:r w:rsidR="00A603EF" w:rsidRPr="009C31DC">
        <w:rPr>
          <w:i/>
        </w:rPr>
        <w:t>2018</w:t>
      </w:r>
      <w:r w:rsidR="00E478C5" w:rsidRPr="009C31DC">
        <w:t xml:space="preserve">) investigate </w:t>
      </w:r>
      <w:r w:rsidRPr="009C31DC">
        <w:t xml:space="preserve">how the ECB’s purchases of sovereign debt through its </w:t>
      </w:r>
      <w:r w:rsidRPr="009C31DC">
        <w:rPr>
          <w:i/>
        </w:rPr>
        <w:t xml:space="preserve">Securities Markets </w:t>
      </w:r>
      <w:proofErr w:type="spellStart"/>
      <w:r w:rsidRPr="009C31DC">
        <w:rPr>
          <w:i/>
          <w:spacing w:val="-4"/>
        </w:rPr>
        <w:t>Programme</w:t>
      </w:r>
      <w:proofErr w:type="spellEnd"/>
      <w:r w:rsidRPr="009C31DC">
        <w:rPr>
          <w:i/>
          <w:spacing w:val="-4"/>
        </w:rPr>
        <w:t xml:space="preserve"> </w:t>
      </w:r>
      <w:r w:rsidRPr="009C31DC">
        <w:t>(</w:t>
      </w:r>
      <w:r w:rsidR="00A603EF" w:rsidRPr="009C31DC">
        <w:rPr>
          <w:i/>
        </w:rPr>
        <w:t>SMP</w:t>
      </w:r>
      <w:r w:rsidRPr="009C31DC">
        <w:t xml:space="preserve">) affect peripheral </w:t>
      </w:r>
      <w:r w:rsidR="006B71FC" w:rsidRPr="009C31DC">
        <w:t>European</w:t>
      </w:r>
      <w:r w:rsidRPr="009C31DC">
        <w:rPr>
          <w:spacing w:val="-16"/>
        </w:rPr>
        <w:t xml:space="preserve"> </w:t>
      </w:r>
      <w:r w:rsidRPr="009C31DC">
        <w:t>bond</w:t>
      </w:r>
      <w:r w:rsidRPr="009C31DC">
        <w:rPr>
          <w:spacing w:val="-15"/>
        </w:rPr>
        <w:t xml:space="preserve"> </w:t>
      </w:r>
      <w:r w:rsidRPr="009C31DC">
        <w:t>yields,</w:t>
      </w:r>
      <w:r w:rsidRPr="009C31DC">
        <w:rPr>
          <w:spacing w:val="-14"/>
        </w:rPr>
        <w:t xml:space="preserve"> </w:t>
      </w:r>
      <w:r w:rsidRPr="009C31DC">
        <w:t>particularly</w:t>
      </w:r>
      <w:r w:rsidRPr="009C31DC">
        <w:rPr>
          <w:spacing w:val="-15"/>
        </w:rPr>
        <w:t xml:space="preserve"> </w:t>
      </w:r>
      <w:r w:rsidRPr="009C31DC">
        <w:t>the</w:t>
      </w:r>
      <w:r w:rsidRPr="009C31DC">
        <w:rPr>
          <w:spacing w:val="-15"/>
        </w:rPr>
        <w:t xml:space="preserve"> </w:t>
      </w:r>
      <w:r w:rsidRPr="009C31DC">
        <w:t>liquidity</w:t>
      </w:r>
      <w:r w:rsidRPr="009C31DC">
        <w:rPr>
          <w:spacing w:val="-15"/>
        </w:rPr>
        <w:t xml:space="preserve"> </w:t>
      </w:r>
      <w:r w:rsidRPr="009C31DC">
        <w:t>premium</w:t>
      </w:r>
      <w:r w:rsidRPr="009C31DC">
        <w:rPr>
          <w:spacing w:val="-16"/>
        </w:rPr>
        <w:t xml:space="preserve"> </w:t>
      </w:r>
      <w:r w:rsidRPr="009C31DC">
        <w:t>embedded</w:t>
      </w:r>
      <w:r w:rsidRPr="009C31DC">
        <w:rPr>
          <w:spacing w:val="-15"/>
        </w:rPr>
        <w:t xml:space="preserve"> </w:t>
      </w:r>
      <w:r w:rsidRPr="009C31DC">
        <w:t>there</w:t>
      </w:r>
      <w:r w:rsidR="00E478C5" w:rsidRPr="009C31DC">
        <w:t>in.</w:t>
      </w:r>
      <w:r w:rsidRPr="009C31DC">
        <w:rPr>
          <w:spacing w:val="-14"/>
        </w:rPr>
        <w:t xml:space="preserve"> </w:t>
      </w:r>
      <w:r w:rsidR="00E478C5" w:rsidRPr="009C31DC">
        <w:t>L</w:t>
      </w:r>
      <w:r w:rsidRPr="009C31DC">
        <w:t>iquidity</w:t>
      </w:r>
      <w:r w:rsidRPr="009C31DC">
        <w:rPr>
          <w:spacing w:val="-15"/>
        </w:rPr>
        <w:t xml:space="preserve"> </w:t>
      </w:r>
      <w:r w:rsidRPr="009C31DC">
        <w:t>premia</w:t>
      </w:r>
      <w:r w:rsidRPr="009C31DC">
        <w:rPr>
          <w:spacing w:val="-15"/>
        </w:rPr>
        <w:t xml:space="preserve"> </w:t>
      </w:r>
      <w:r w:rsidRPr="009C31DC">
        <w:t>are</w:t>
      </w:r>
      <w:r w:rsidRPr="009C31DC">
        <w:rPr>
          <w:spacing w:val="-15"/>
        </w:rPr>
        <w:t xml:space="preserve"> </w:t>
      </w:r>
      <w:r w:rsidRPr="009C31DC">
        <w:t xml:space="preserve">measured </w:t>
      </w:r>
      <w:r w:rsidRPr="009C31DC">
        <w:rPr>
          <w:spacing w:val="-3"/>
        </w:rPr>
        <w:t>by</w:t>
      </w:r>
      <w:r w:rsidRPr="009C31DC">
        <w:rPr>
          <w:spacing w:val="11"/>
        </w:rPr>
        <w:t xml:space="preserve"> </w:t>
      </w:r>
      <w:r w:rsidRPr="009C31DC">
        <w:t>comparing</w:t>
      </w:r>
      <w:r w:rsidRPr="009C31DC">
        <w:rPr>
          <w:spacing w:val="11"/>
        </w:rPr>
        <w:t xml:space="preserve"> </w:t>
      </w:r>
      <w:r w:rsidRPr="009C31DC">
        <w:t>prices</w:t>
      </w:r>
      <w:r w:rsidRPr="009C31DC">
        <w:rPr>
          <w:spacing w:val="11"/>
        </w:rPr>
        <w:t xml:space="preserve"> </w:t>
      </w:r>
      <w:r w:rsidRPr="009C31DC">
        <w:t>for</w:t>
      </w:r>
      <w:r w:rsidRPr="009C31DC">
        <w:rPr>
          <w:spacing w:val="11"/>
        </w:rPr>
        <w:t xml:space="preserve"> </w:t>
      </w:r>
      <w:r w:rsidRPr="009C31DC">
        <w:t>sovereign</w:t>
      </w:r>
      <w:r w:rsidRPr="009C31DC">
        <w:rPr>
          <w:spacing w:val="11"/>
        </w:rPr>
        <w:t xml:space="preserve"> </w:t>
      </w:r>
      <w:r w:rsidRPr="009C31DC">
        <w:t>bonds</w:t>
      </w:r>
      <w:r w:rsidRPr="009C31DC">
        <w:rPr>
          <w:spacing w:val="11"/>
        </w:rPr>
        <w:t xml:space="preserve"> </w:t>
      </w:r>
      <w:r w:rsidRPr="009C31DC">
        <w:t>and</w:t>
      </w:r>
      <w:r w:rsidRPr="009C31DC">
        <w:rPr>
          <w:spacing w:val="11"/>
        </w:rPr>
        <w:t xml:space="preserve"> </w:t>
      </w:r>
      <w:r w:rsidRPr="009C31DC">
        <w:t>CDSs</w:t>
      </w:r>
      <w:r w:rsidRPr="009C31DC">
        <w:rPr>
          <w:spacing w:val="11"/>
        </w:rPr>
        <w:t xml:space="preserve"> </w:t>
      </w:r>
      <w:r w:rsidRPr="009C31DC">
        <w:t>written</w:t>
      </w:r>
      <w:r w:rsidRPr="009C31DC">
        <w:rPr>
          <w:spacing w:val="12"/>
        </w:rPr>
        <w:t xml:space="preserve"> </w:t>
      </w:r>
      <w:r w:rsidRPr="009C31DC">
        <w:t>on</w:t>
      </w:r>
      <w:r w:rsidRPr="009C31DC">
        <w:rPr>
          <w:spacing w:val="11"/>
        </w:rPr>
        <w:t xml:space="preserve"> </w:t>
      </w:r>
      <w:r w:rsidRPr="009C31DC">
        <w:t>those</w:t>
      </w:r>
      <w:r w:rsidRPr="009C31DC">
        <w:rPr>
          <w:spacing w:val="11"/>
        </w:rPr>
        <w:t xml:space="preserve"> </w:t>
      </w:r>
      <w:r w:rsidRPr="009C31DC">
        <w:t>bonds.</w:t>
      </w:r>
    </w:p>
    <w:p w:rsidR="000377FF" w:rsidRPr="009C31DC" w:rsidRDefault="00E85B85" w:rsidP="001A4FB4">
      <w:pPr>
        <w:pStyle w:val="Corpotesto"/>
        <w:spacing w:before="4" w:line="360" w:lineRule="auto"/>
        <w:ind w:left="113" w:right="109"/>
        <w:jc w:val="both"/>
      </w:pPr>
      <w:proofErr w:type="spellStart"/>
      <w:r w:rsidRPr="009C31DC">
        <w:rPr>
          <w:i/>
        </w:rPr>
        <w:t>Koutmos</w:t>
      </w:r>
      <w:proofErr w:type="spellEnd"/>
      <w:r w:rsidRPr="009C31DC">
        <w:rPr>
          <w:i/>
          <w:spacing w:val="7"/>
        </w:rPr>
        <w:t xml:space="preserve"> </w:t>
      </w:r>
      <w:r w:rsidRPr="009C31DC">
        <w:t>(</w:t>
      </w:r>
      <w:r w:rsidRPr="009C31DC">
        <w:rPr>
          <w:i/>
        </w:rPr>
        <w:t>2018</w:t>
      </w:r>
      <w:r w:rsidRPr="009C31DC">
        <w:t>),</w:t>
      </w:r>
      <w:r w:rsidRPr="009C31DC">
        <w:rPr>
          <w:spacing w:val="-5"/>
        </w:rPr>
        <w:t xml:space="preserve"> </w:t>
      </w:r>
      <w:r w:rsidRPr="009C31DC">
        <w:t>instead,</w:t>
      </w:r>
      <w:r w:rsidRPr="009C31DC">
        <w:rPr>
          <w:spacing w:val="-4"/>
        </w:rPr>
        <w:t xml:space="preserve"> </w:t>
      </w:r>
      <w:r w:rsidRPr="009C31DC">
        <w:t>tries</w:t>
      </w:r>
      <w:r w:rsidRPr="009C31DC">
        <w:rPr>
          <w:spacing w:val="-5"/>
        </w:rPr>
        <w:t xml:space="preserve"> </w:t>
      </w:r>
      <w:r w:rsidRPr="009C31DC">
        <w:t>to</w:t>
      </w:r>
      <w:r w:rsidRPr="009C31DC">
        <w:rPr>
          <w:spacing w:val="-4"/>
        </w:rPr>
        <w:t xml:space="preserve"> </w:t>
      </w:r>
      <w:r w:rsidRPr="009C31DC">
        <w:t>study</w:t>
      </w:r>
      <w:r w:rsidRPr="009C31DC">
        <w:rPr>
          <w:spacing w:val="-5"/>
        </w:rPr>
        <w:t xml:space="preserve"> </w:t>
      </w:r>
      <w:r w:rsidRPr="009C31DC">
        <w:t>the</w:t>
      </w:r>
      <w:r w:rsidRPr="009C31DC">
        <w:rPr>
          <w:spacing w:val="-4"/>
        </w:rPr>
        <w:t xml:space="preserve"> </w:t>
      </w:r>
      <w:r w:rsidRPr="009C31DC">
        <w:t>credit</w:t>
      </w:r>
      <w:r w:rsidRPr="009C31DC">
        <w:rPr>
          <w:spacing w:val="-5"/>
        </w:rPr>
        <w:t xml:space="preserve"> </w:t>
      </w:r>
      <w:r w:rsidRPr="009C31DC">
        <w:t>default</w:t>
      </w:r>
      <w:r w:rsidRPr="009C31DC">
        <w:rPr>
          <w:spacing w:val="-4"/>
        </w:rPr>
        <w:t xml:space="preserve"> </w:t>
      </w:r>
      <w:r w:rsidRPr="009C31DC">
        <w:t>swap</w:t>
      </w:r>
      <w:r w:rsidRPr="009C31DC">
        <w:rPr>
          <w:spacing w:val="-5"/>
        </w:rPr>
        <w:t xml:space="preserve"> </w:t>
      </w:r>
      <w:r w:rsidRPr="009C31DC">
        <w:t>spreads</w:t>
      </w:r>
      <w:r w:rsidRPr="009C31DC">
        <w:rPr>
          <w:spacing w:val="-4"/>
        </w:rPr>
        <w:t xml:space="preserve"> </w:t>
      </w:r>
      <w:r w:rsidRPr="009C31DC">
        <w:t>dynamic</w:t>
      </w:r>
      <w:r w:rsidRPr="009C31DC">
        <w:rPr>
          <w:spacing w:val="-5"/>
        </w:rPr>
        <w:t xml:space="preserve"> </w:t>
      </w:r>
      <w:r w:rsidRPr="009C31DC">
        <w:t>interdependencies</w:t>
      </w:r>
      <w:r w:rsidRPr="009C31DC">
        <w:rPr>
          <w:spacing w:val="-4"/>
        </w:rPr>
        <w:t xml:space="preserve"> </w:t>
      </w:r>
      <w:r w:rsidRPr="009C31DC">
        <w:t>among</w:t>
      </w:r>
      <w:r w:rsidRPr="009C31DC">
        <w:rPr>
          <w:spacing w:val="-5"/>
        </w:rPr>
        <w:t xml:space="preserve"> </w:t>
      </w:r>
      <w:r w:rsidRPr="009C31DC">
        <w:t>several European</w:t>
      </w:r>
      <w:r w:rsidRPr="009C31DC">
        <w:rPr>
          <w:spacing w:val="-13"/>
        </w:rPr>
        <w:t xml:space="preserve"> </w:t>
      </w:r>
      <w:r w:rsidRPr="009C31DC">
        <w:t>Union</w:t>
      </w:r>
      <w:r w:rsidRPr="009C31DC">
        <w:rPr>
          <w:spacing w:val="-12"/>
        </w:rPr>
        <w:t xml:space="preserve"> </w:t>
      </w:r>
      <w:r w:rsidRPr="009C31DC">
        <w:t>(EU)</w:t>
      </w:r>
      <w:r w:rsidRPr="009C31DC">
        <w:rPr>
          <w:spacing w:val="-13"/>
        </w:rPr>
        <w:t xml:space="preserve"> </w:t>
      </w:r>
      <w:r w:rsidRPr="009C31DC">
        <w:t>countries</w:t>
      </w:r>
      <w:r w:rsidRPr="009C31DC">
        <w:rPr>
          <w:spacing w:val="-12"/>
        </w:rPr>
        <w:t xml:space="preserve"> </w:t>
      </w:r>
      <w:r w:rsidRPr="009C31DC">
        <w:t>during</w:t>
      </w:r>
      <w:r w:rsidRPr="009C31DC">
        <w:rPr>
          <w:spacing w:val="-12"/>
        </w:rPr>
        <w:t xml:space="preserve"> </w:t>
      </w:r>
      <w:r w:rsidRPr="009C31DC">
        <w:t>the</w:t>
      </w:r>
      <w:r w:rsidRPr="009C31DC">
        <w:rPr>
          <w:spacing w:val="-13"/>
        </w:rPr>
        <w:t xml:space="preserve"> </w:t>
      </w:r>
      <w:r w:rsidRPr="009C31DC">
        <w:t>period</w:t>
      </w:r>
      <w:r w:rsidRPr="009C31DC">
        <w:rPr>
          <w:spacing w:val="-12"/>
        </w:rPr>
        <w:t xml:space="preserve"> </w:t>
      </w:r>
      <w:r w:rsidRPr="009C31DC">
        <w:t>between</w:t>
      </w:r>
      <w:r w:rsidRPr="009C31DC">
        <w:rPr>
          <w:spacing w:val="-13"/>
        </w:rPr>
        <w:t xml:space="preserve"> </w:t>
      </w:r>
      <w:r w:rsidRPr="009C31DC">
        <w:t>October</w:t>
      </w:r>
      <w:r w:rsidRPr="009C31DC">
        <w:rPr>
          <w:spacing w:val="-12"/>
        </w:rPr>
        <w:t xml:space="preserve"> </w:t>
      </w:r>
      <w:r w:rsidRPr="009C31DC">
        <w:t>2004</w:t>
      </w:r>
      <w:r w:rsidRPr="009C31DC">
        <w:rPr>
          <w:spacing w:val="-12"/>
        </w:rPr>
        <w:t xml:space="preserve"> </w:t>
      </w:r>
      <w:r w:rsidRPr="009C31DC">
        <w:t>and</w:t>
      </w:r>
      <w:r w:rsidRPr="009C31DC">
        <w:rPr>
          <w:spacing w:val="-13"/>
        </w:rPr>
        <w:t xml:space="preserve"> </w:t>
      </w:r>
      <w:r w:rsidRPr="009C31DC">
        <w:t>July</w:t>
      </w:r>
      <w:r w:rsidRPr="009C31DC">
        <w:rPr>
          <w:spacing w:val="-12"/>
        </w:rPr>
        <w:t xml:space="preserve"> </w:t>
      </w:r>
      <w:r w:rsidRPr="009C31DC">
        <w:t>2016</w:t>
      </w:r>
      <w:r w:rsidRPr="009C31DC">
        <w:rPr>
          <w:spacing w:val="-13"/>
        </w:rPr>
        <w:t xml:space="preserve"> </w:t>
      </w:r>
      <w:r w:rsidRPr="009C31DC">
        <w:t>in</w:t>
      </w:r>
      <w:r w:rsidRPr="009C31DC">
        <w:rPr>
          <w:spacing w:val="-12"/>
        </w:rPr>
        <w:t xml:space="preserve"> </w:t>
      </w:r>
      <w:r w:rsidRPr="009C31DC">
        <w:t>such</w:t>
      </w:r>
      <w:r w:rsidRPr="009C31DC">
        <w:rPr>
          <w:spacing w:val="-12"/>
        </w:rPr>
        <w:t xml:space="preserve"> </w:t>
      </w:r>
      <w:r w:rsidRPr="009C31DC">
        <w:t>a</w:t>
      </w:r>
      <w:r w:rsidRPr="009C31DC">
        <w:rPr>
          <w:spacing w:val="-13"/>
        </w:rPr>
        <w:t xml:space="preserve"> </w:t>
      </w:r>
      <w:r w:rsidRPr="009C31DC">
        <w:rPr>
          <w:spacing w:val="-4"/>
        </w:rPr>
        <w:t>way</w:t>
      </w:r>
      <w:r w:rsidRPr="009C31DC">
        <w:rPr>
          <w:spacing w:val="-12"/>
        </w:rPr>
        <w:t xml:space="preserve"> </w:t>
      </w:r>
      <w:r w:rsidRPr="009C31DC">
        <w:t>as</w:t>
      </w:r>
      <w:r w:rsidRPr="009C31DC">
        <w:rPr>
          <w:spacing w:val="-12"/>
        </w:rPr>
        <w:t xml:space="preserve"> </w:t>
      </w:r>
      <w:r w:rsidRPr="009C31DC">
        <w:t>to</w:t>
      </w:r>
      <w:r w:rsidRPr="009C31DC">
        <w:rPr>
          <w:spacing w:val="-13"/>
        </w:rPr>
        <w:t xml:space="preserve"> </w:t>
      </w:r>
      <w:r w:rsidRPr="009C31DC">
        <w:t>evaluate the</w:t>
      </w:r>
      <w:r w:rsidRPr="009C31DC">
        <w:rPr>
          <w:spacing w:val="-9"/>
        </w:rPr>
        <w:t xml:space="preserve"> </w:t>
      </w:r>
      <w:r w:rsidRPr="009C31DC">
        <w:t>development</w:t>
      </w:r>
      <w:r w:rsidRPr="009C31DC">
        <w:rPr>
          <w:spacing w:val="-8"/>
        </w:rPr>
        <w:t xml:space="preserve"> </w:t>
      </w:r>
      <w:r w:rsidRPr="009C31DC">
        <w:t>of</w:t>
      </w:r>
      <w:r w:rsidRPr="009C31DC">
        <w:rPr>
          <w:spacing w:val="-9"/>
        </w:rPr>
        <w:t xml:space="preserve"> </w:t>
      </w:r>
      <w:r w:rsidRPr="009C31DC">
        <w:t>these</w:t>
      </w:r>
      <w:r w:rsidRPr="009C31DC">
        <w:rPr>
          <w:spacing w:val="-8"/>
        </w:rPr>
        <w:t xml:space="preserve"> </w:t>
      </w:r>
      <w:r w:rsidRPr="009C31DC">
        <w:t>dynamics</w:t>
      </w:r>
      <w:r w:rsidRPr="009C31DC">
        <w:rPr>
          <w:spacing w:val="-9"/>
        </w:rPr>
        <w:t xml:space="preserve"> </w:t>
      </w:r>
      <w:r w:rsidRPr="009C31DC">
        <w:t>within</w:t>
      </w:r>
      <w:r w:rsidRPr="009C31DC">
        <w:rPr>
          <w:spacing w:val="-8"/>
        </w:rPr>
        <w:t xml:space="preserve"> </w:t>
      </w:r>
      <w:r w:rsidRPr="009C31DC">
        <w:t>different</w:t>
      </w:r>
      <w:r w:rsidRPr="009C31DC">
        <w:rPr>
          <w:spacing w:val="-8"/>
        </w:rPr>
        <w:t xml:space="preserve"> </w:t>
      </w:r>
      <w:r w:rsidRPr="009C31DC">
        <w:t>market</w:t>
      </w:r>
      <w:r w:rsidRPr="009C31DC">
        <w:rPr>
          <w:spacing w:val="-9"/>
        </w:rPr>
        <w:t xml:space="preserve"> </w:t>
      </w:r>
      <w:r w:rsidRPr="009C31DC">
        <w:t>contexts.</w:t>
      </w:r>
      <w:r w:rsidRPr="009C31DC">
        <w:rPr>
          <w:spacing w:val="6"/>
        </w:rPr>
        <w:t xml:space="preserve"> </w:t>
      </w:r>
      <w:r w:rsidRPr="009C31DC">
        <w:t>In</w:t>
      </w:r>
      <w:r w:rsidRPr="009C31DC">
        <w:rPr>
          <w:spacing w:val="-9"/>
        </w:rPr>
        <w:t xml:space="preserve"> </w:t>
      </w:r>
      <w:r w:rsidRPr="009C31DC">
        <w:t>particular,</w:t>
      </w:r>
      <w:r w:rsidRPr="009C31DC">
        <w:rPr>
          <w:spacing w:val="-8"/>
        </w:rPr>
        <w:t xml:space="preserve"> </w:t>
      </w:r>
      <w:r w:rsidRPr="009C31DC">
        <w:t>it</w:t>
      </w:r>
      <w:r w:rsidRPr="009C31DC">
        <w:rPr>
          <w:spacing w:val="-8"/>
        </w:rPr>
        <w:t xml:space="preserve"> </w:t>
      </w:r>
      <w:r w:rsidRPr="009C31DC">
        <w:t>cannot</w:t>
      </w:r>
      <w:r w:rsidRPr="009C31DC">
        <w:rPr>
          <w:spacing w:val="-9"/>
        </w:rPr>
        <w:t xml:space="preserve"> </w:t>
      </w:r>
      <w:r w:rsidRPr="009C31DC">
        <w:rPr>
          <w:spacing w:val="2"/>
        </w:rPr>
        <w:t>be</w:t>
      </w:r>
      <w:r w:rsidRPr="009C31DC">
        <w:rPr>
          <w:spacing w:val="-8"/>
        </w:rPr>
        <w:t xml:space="preserve"> </w:t>
      </w:r>
      <w:r w:rsidRPr="009C31DC">
        <w:t>shown</w:t>
      </w:r>
      <w:r w:rsidRPr="009C31DC">
        <w:rPr>
          <w:spacing w:val="-9"/>
        </w:rPr>
        <w:t xml:space="preserve"> </w:t>
      </w:r>
      <w:r w:rsidRPr="009C31DC">
        <w:t>empirically that Greece is the dominant transmission catalyst for shocks in the credit risks of the remaining sampled EU countries.</w:t>
      </w:r>
    </w:p>
    <w:p w:rsidR="006B71FC" w:rsidRDefault="006B71FC" w:rsidP="008767EA">
      <w:pPr>
        <w:pStyle w:val="Corpotesto"/>
        <w:spacing w:before="5" w:line="360" w:lineRule="auto"/>
        <w:ind w:left="113" w:right="111"/>
        <w:jc w:val="both"/>
      </w:pPr>
      <w:r w:rsidRPr="009C31DC">
        <w:t>Although we</w:t>
      </w:r>
      <w:r w:rsidR="00E478C5" w:rsidRPr="009C31DC">
        <w:t xml:space="preserve"> follow an established</w:t>
      </w:r>
      <w:r w:rsidR="00E85B85" w:rsidRPr="009C31DC">
        <w:t xml:space="preserve"> methodology</w:t>
      </w:r>
      <w:r w:rsidR="00A603EF" w:rsidRPr="009C31DC">
        <w:t xml:space="preserve"> largely used in the literature</w:t>
      </w:r>
      <w:r w:rsidR="00E85B85" w:rsidRPr="009C31DC">
        <w:t xml:space="preserve"> </w:t>
      </w:r>
      <w:r w:rsidR="00A603EF" w:rsidRPr="009C31DC">
        <w:t>(</w:t>
      </w:r>
      <w:r w:rsidR="00E85B85" w:rsidRPr="009C31DC">
        <w:t>as described in the next paragraph</w:t>
      </w:r>
      <w:r w:rsidR="00A603EF" w:rsidRPr="009C31DC">
        <w:t>)</w:t>
      </w:r>
      <w:r w:rsidR="00E85B85" w:rsidRPr="009C31DC">
        <w:t xml:space="preserve">, this paper is somewhat </w:t>
      </w:r>
      <w:r w:rsidR="00E85B85" w:rsidRPr="009C31DC">
        <w:rPr>
          <w:spacing w:val="-3"/>
        </w:rPr>
        <w:t xml:space="preserve">innovative </w:t>
      </w:r>
      <w:r w:rsidR="00E85B85" w:rsidRPr="009C31DC">
        <w:t xml:space="preserve">considering that </w:t>
      </w:r>
      <w:r w:rsidR="00C67B41" w:rsidRPr="009C31DC">
        <w:t>t</w:t>
      </w:r>
      <w:r w:rsidR="00E85B85" w:rsidRPr="009C31DC">
        <w:t>here is no evidence of other studies that fo</w:t>
      </w:r>
      <w:r w:rsidR="00E478C5" w:rsidRPr="009C31DC">
        <w:t xml:space="preserve">cus specifically on the </w:t>
      </w:r>
      <w:r w:rsidR="00E85B85" w:rsidRPr="009C31DC">
        <w:t>case</w:t>
      </w:r>
      <w:r w:rsidR="00E478C5" w:rsidRPr="009C31DC">
        <w:t xml:space="preserve"> of Italy</w:t>
      </w:r>
      <w:r w:rsidR="00E85B85" w:rsidRPr="009C31DC">
        <w:t xml:space="preserve"> for each diffe</w:t>
      </w:r>
      <w:r w:rsidR="003119A4" w:rsidRPr="009C31DC">
        <w:t>rent phase of the recent crisis. Moreover, we try to highlight how markets interdependencies dynamically evolve and long-term relationships can be described as sum of short-term dynamics.</w:t>
      </w:r>
    </w:p>
    <w:p w:rsidR="006E6FFB" w:rsidRPr="00A20381" w:rsidRDefault="006E6FFB" w:rsidP="008767EA">
      <w:pPr>
        <w:pStyle w:val="Corpotesto"/>
        <w:spacing w:before="5" w:line="360" w:lineRule="auto"/>
        <w:ind w:left="113" w:right="111"/>
        <w:jc w:val="both"/>
      </w:pPr>
    </w:p>
    <w:p w:rsidR="000377FF" w:rsidRPr="003A69CF" w:rsidRDefault="006B71FC" w:rsidP="001A4FB4">
      <w:pPr>
        <w:pStyle w:val="Titolo1"/>
        <w:numPr>
          <w:ilvl w:val="0"/>
          <w:numId w:val="5"/>
        </w:numPr>
        <w:tabs>
          <w:tab w:val="left" w:pos="587"/>
          <w:tab w:val="left" w:pos="588"/>
        </w:tabs>
        <w:spacing w:before="73" w:line="360" w:lineRule="auto"/>
        <w:ind w:hanging="475"/>
        <w:jc w:val="both"/>
      </w:pPr>
      <w:bookmarkStart w:id="2" w:name="_TOC_250008"/>
      <w:r w:rsidRPr="00A20381">
        <w:rPr>
          <w:w w:val="110"/>
        </w:rPr>
        <w:t xml:space="preserve">Model and </w:t>
      </w:r>
      <w:r w:rsidR="00E85B85" w:rsidRPr="00A20381">
        <w:rPr>
          <w:w w:val="110"/>
        </w:rPr>
        <w:t>Data</w:t>
      </w:r>
      <w:bookmarkEnd w:id="2"/>
      <w:r w:rsidR="0086330A">
        <w:rPr>
          <w:spacing w:val="26"/>
          <w:w w:val="110"/>
        </w:rPr>
        <w:t xml:space="preserve"> </w:t>
      </w:r>
      <w:r w:rsidR="00E85B85" w:rsidRPr="00A20381">
        <w:rPr>
          <w:w w:val="110"/>
        </w:rPr>
        <w:t>description</w:t>
      </w:r>
    </w:p>
    <w:p w:rsidR="000377FF" w:rsidRPr="00A20381" w:rsidRDefault="00E85B85" w:rsidP="001A4FB4">
      <w:pPr>
        <w:pStyle w:val="Corpotesto"/>
        <w:spacing w:line="360" w:lineRule="auto"/>
        <w:ind w:left="113" w:right="111"/>
        <w:jc w:val="both"/>
      </w:pPr>
      <w:r w:rsidRPr="00A20381">
        <w:t xml:space="preserve">In order to </w:t>
      </w:r>
      <w:r w:rsidR="005F766D">
        <w:t>conduct</w:t>
      </w:r>
      <w:r w:rsidR="00DF0E9E" w:rsidRPr="00A20381">
        <w:t xml:space="preserve"> the empirical analysis we</w:t>
      </w:r>
      <w:r w:rsidRPr="00A20381">
        <w:t xml:space="preserve"> use daily </w:t>
      </w:r>
      <w:r w:rsidR="00DF0E9E" w:rsidRPr="00A20381">
        <w:t>premia</w:t>
      </w:r>
      <w:r w:rsidRPr="00A20381">
        <w:t xml:space="preserve"> for the sovereign Italian 10y CDS contracts and the BTP-Bund spreads</w:t>
      </w:r>
      <w:r w:rsidR="002C4346">
        <w:rPr>
          <w:rStyle w:val="Rimandonotaapidipagina"/>
        </w:rPr>
        <w:footnoteReference w:id="2"/>
      </w:r>
      <w:r w:rsidR="008476D4">
        <w:t xml:space="preserve"> </w:t>
      </w:r>
      <w:r w:rsidR="008476D4" w:rsidRPr="009C31DC">
        <w:t>(</w:t>
      </w:r>
      <w:r w:rsidR="008476D4" w:rsidRPr="009C31DC">
        <w:rPr>
          <w:i/>
        </w:rPr>
        <w:t xml:space="preserve">Di </w:t>
      </w:r>
      <w:proofErr w:type="spellStart"/>
      <w:r w:rsidR="008476D4" w:rsidRPr="009C31DC">
        <w:rPr>
          <w:i/>
        </w:rPr>
        <w:t>Cesare</w:t>
      </w:r>
      <w:proofErr w:type="spellEnd"/>
      <w:r w:rsidR="008476D4" w:rsidRPr="009C31DC">
        <w:rPr>
          <w:i/>
        </w:rPr>
        <w:t xml:space="preserve"> et al.</w:t>
      </w:r>
      <w:r w:rsidR="008476D4" w:rsidRPr="009C31DC">
        <w:t xml:space="preserve">, </w:t>
      </w:r>
      <w:r w:rsidR="008476D4" w:rsidRPr="009C31DC">
        <w:rPr>
          <w:i/>
        </w:rPr>
        <w:t>2013</w:t>
      </w:r>
      <w:r w:rsidR="008476D4" w:rsidRPr="009C31DC">
        <w:t>)</w:t>
      </w:r>
      <w:r w:rsidRPr="00A20381">
        <w:t xml:space="preserve"> for the </w:t>
      </w:r>
      <w:r w:rsidRPr="00A20381">
        <w:rPr>
          <w:spacing w:val="-3"/>
        </w:rPr>
        <w:t xml:space="preserve">interval </w:t>
      </w:r>
      <w:r w:rsidRPr="00A20381">
        <w:t>2007-2017</w:t>
      </w:r>
      <w:r w:rsidR="005D49CC">
        <w:rPr>
          <w:rStyle w:val="Rimandonotaapidipagina"/>
        </w:rPr>
        <w:footnoteReference w:id="3"/>
      </w:r>
      <w:r w:rsidRPr="00A20381">
        <w:t xml:space="preserve"> (respectively, 2522 observations). Data </w:t>
      </w:r>
      <w:r w:rsidR="005F766D">
        <w:t>come</w:t>
      </w:r>
      <w:r w:rsidR="00DF0E9E" w:rsidRPr="00A20381">
        <w:t xml:space="preserve"> </w:t>
      </w:r>
      <w:r w:rsidRPr="00A20381">
        <w:t xml:space="preserve">from </w:t>
      </w:r>
      <w:r w:rsidRPr="00A20381">
        <w:rPr>
          <w:i/>
          <w:spacing w:val="-4"/>
        </w:rPr>
        <w:t>Bloomberg</w:t>
      </w:r>
      <w:r w:rsidRPr="00A20381">
        <w:rPr>
          <w:spacing w:val="-4"/>
        </w:rPr>
        <w:t xml:space="preserve">. </w:t>
      </w:r>
      <w:r w:rsidRPr="00A20381">
        <w:rPr>
          <w:i/>
          <w:spacing w:val="-3"/>
        </w:rPr>
        <w:t xml:space="preserve">Figure </w:t>
      </w:r>
      <w:r w:rsidRPr="00A20381">
        <w:rPr>
          <w:i/>
        </w:rPr>
        <w:t xml:space="preserve">1 </w:t>
      </w:r>
      <w:r w:rsidRPr="00A20381">
        <w:t xml:space="preserve">reports the </w:t>
      </w:r>
      <w:r w:rsidRPr="00A20381">
        <w:rPr>
          <w:i/>
        </w:rPr>
        <w:t xml:space="preserve">CDS </w:t>
      </w:r>
      <w:r w:rsidRPr="00A20381">
        <w:t xml:space="preserve">and </w:t>
      </w:r>
      <w:r w:rsidRPr="00A20381">
        <w:rPr>
          <w:i/>
        </w:rPr>
        <w:t xml:space="preserve">GBS </w:t>
      </w:r>
      <w:r w:rsidRPr="00A20381">
        <w:t xml:space="preserve">series </w:t>
      </w:r>
      <w:r w:rsidRPr="00A20381">
        <w:rPr>
          <w:spacing w:val="-3"/>
        </w:rPr>
        <w:t xml:space="preserve">movement over </w:t>
      </w:r>
      <w:r w:rsidRPr="00A20381">
        <w:t>the entire selected period.</w:t>
      </w:r>
    </w:p>
    <w:p w:rsidR="003A69CF" w:rsidRDefault="003A69CF" w:rsidP="001A4FB4">
      <w:pPr>
        <w:pStyle w:val="Corpotesto"/>
        <w:spacing w:before="4" w:line="360" w:lineRule="auto"/>
        <w:jc w:val="both"/>
      </w:pPr>
    </w:p>
    <w:p w:rsidR="009C31DC" w:rsidRDefault="009C31DC" w:rsidP="001A4FB4">
      <w:pPr>
        <w:pStyle w:val="Corpotesto"/>
        <w:spacing w:before="4" w:line="360" w:lineRule="auto"/>
        <w:jc w:val="both"/>
      </w:pPr>
    </w:p>
    <w:p w:rsidR="009C31DC" w:rsidRDefault="009C31DC" w:rsidP="001A4FB4">
      <w:pPr>
        <w:pStyle w:val="Corpotesto"/>
        <w:spacing w:before="4" w:line="360" w:lineRule="auto"/>
        <w:jc w:val="both"/>
      </w:pPr>
    </w:p>
    <w:p w:rsidR="009C31DC" w:rsidRDefault="009C31DC" w:rsidP="001A4FB4">
      <w:pPr>
        <w:pStyle w:val="Corpotesto"/>
        <w:spacing w:before="4" w:line="360" w:lineRule="auto"/>
        <w:jc w:val="both"/>
      </w:pPr>
    </w:p>
    <w:p w:rsidR="009C31DC" w:rsidRDefault="009C31DC" w:rsidP="001A4FB4">
      <w:pPr>
        <w:pStyle w:val="Corpotesto"/>
        <w:spacing w:before="4" w:line="360" w:lineRule="auto"/>
        <w:jc w:val="both"/>
      </w:pPr>
    </w:p>
    <w:p w:rsidR="009C31DC" w:rsidRDefault="009C31DC" w:rsidP="001A4FB4">
      <w:pPr>
        <w:pStyle w:val="Corpotesto"/>
        <w:spacing w:before="4" w:line="360" w:lineRule="auto"/>
        <w:jc w:val="both"/>
      </w:pPr>
    </w:p>
    <w:p w:rsidR="009C31DC" w:rsidRDefault="009C31DC" w:rsidP="001A4FB4">
      <w:pPr>
        <w:pStyle w:val="Corpotesto"/>
        <w:spacing w:before="4" w:line="360" w:lineRule="auto"/>
        <w:jc w:val="both"/>
      </w:pPr>
    </w:p>
    <w:p w:rsidR="009C31DC" w:rsidRDefault="009C31DC" w:rsidP="001A4FB4">
      <w:pPr>
        <w:pStyle w:val="Corpotesto"/>
        <w:spacing w:before="4" w:line="360" w:lineRule="auto"/>
        <w:jc w:val="both"/>
      </w:pPr>
    </w:p>
    <w:p w:rsidR="009C31DC" w:rsidRDefault="009C31DC" w:rsidP="001A4FB4">
      <w:pPr>
        <w:pStyle w:val="Corpotesto"/>
        <w:spacing w:before="4" w:line="360" w:lineRule="auto"/>
        <w:jc w:val="both"/>
      </w:pPr>
    </w:p>
    <w:p w:rsidR="009C31DC" w:rsidRPr="00A20381" w:rsidRDefault="009C31DC" w:rsidP="001A4FB4">
      <w:pPr>
        <w:pStyle w:val="Corpotesto"/>
        <w:spacing w:before="4" w:line="360" w:lineRule="auto"/>
        <w:jc w:val="both"/>
      </w:pPr>
    </w:p>
    <w:p w:rsidR="000377FF" w:rsidRPr="008767EA" w:rsidRDefault="00E85B85" w:rsidP="008767EA">
      <w:pPr>
        <w:spacing w:line="360" w:lineRule="auto"/>
        <w:ind w:left="113"/>
        <w:jc w:val="both"/>
        <w:rPr>
          <w:sz w:val="20"/>
          <w:szCs w:val="20"/>
        </w:rPr>
      </w:pPr>
      <w:r w:rsidRPr="00A20381">
        <w:rPr>
          <w:b/>
          <w:w w:val="105"/>
          <w:sz w:val="20"/>
          <w:szCs w:val="20"/>
        </w:rPr>
        <w:lastRenderedPageBreak/>
        <w:t>Figure 1</w:t>
      </w:r>
      <w:r w:rsidRPr="00A20381">
        <w:rPr>
          <w:w w:val="105"/>
          <w:sz w:val="20"/>
          <w:szCs w:val="20"/>
        </w:rPr>
        <w:t xml:space="preserve"> -</w:t>
      </w:r>
      <w:r w:rsidRPr="00A20381">
        <w:rPr>
          <w:b/>
          <w:w w:val="105"/>
          <w:sz w:val="20"/>
          <w:szCs w:val="20"/>
        </w:rPr>
        <w:t xml:space="preserve"> </w:t>
      </w:r>
      <w:r w:rsidRPr="00A20381">
        <w:rPr>
          <w:i/>
          <w:w w:val="105"/>
          <w:sz w:val="20"/>
          <w:szCs w:val="20"/>
        </w:rPr>
        <w:t xml:space="preserve">CDS spreads </w:t>
      </w:r>
      <w:r w:rsidRPr="00A20381">
        <w:rPr>
          <w:w w:val="105"/>
          <w:sz w:val="20"/>
          <w:szCs w:val="20"/>
        </w:rPr>
        <w:t xml:space="preserve">and </w:t>
      </w:r>
      <w:r w:rsidR="00DF0E9E" w:rsidRPr="00A20381">
        <w:rPr>
          <w:i/>
          <w:w w:val="105"/>
          <w:sz w:val="20"/>
          <w:szCs w:val="20"/>
        </w:rPr>
        <w:t>GBS</w:t>
      </w:r>
      <w:r w:rsidRPr="00A20381">
        <w:rPr>
          <w:i/>
          <w:w w:val="105"/>
          <w:sz w:val="20"/>
          <w:szCs w:val="20"/>
        </w:rPr>
        <w:t xml:space="preserve"> </w:t>
      </w:r>
      <w:r w:rsidRPr="00A20381">
        <w:rPr>
          <w:w w:val="105"/>
          <w:sz w:val="20"/>
          <w:szCs w:val="20"/>
        </w:rPr>
        <w:t>series from January 2007 to October 2017</w:t>
      </w:r>
    </w:p>
    <w:p w:rsidR="000377FF" w:rsidRPr="00A20381" w:rsidRDefault="00E85B85" w:rsidP="001A4FB4">
      <w:pPr>
        <w:pStyle w:val="Corpotesto"/>
        <w:spacing w:before="5" w:line="360" w:lineRule="auto"/>
        <w:jc w:val="both"/>
      </w:pPr>
      <w:r w:rsidRPr="00A20381">
        <w:rPr>
          <w:noProof/>
          <w:lang w:val="it-IT" w:eastAsia="it-IT"/>
        </w:rPr>
        <w:drawing>
          <wp:anchor distT="0" distB="0" distL="0" distR="0" simplePos="0" relativeHeight="251672064" behindDoc="0" locked="0" layoutInCell="1" allowOverlap="1">
            <wp:simplePos x="0" y="0"/>
            <wp:positionH relativeFrom="page">
              <wp:posOffset>920026</wp:posOffset>
            </wp:positionH>
            <wp:positionV relativeFrom="paragraph">
              <wp:posOffset>107142</wp:posOffset>
            </wp:positionV>
            <wp:extent cx="3393281" cy="2414587"/>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3393281" cy="2414587"/>
                    </a:xfrm>
                    <a:prstGeom prst="rect">
                      <a:avLst/>
                    </a:prstGeom>
                  </pic:spPr>
                </pic:pic>
              </a:graphicData>
            </a:graphic>
            <wp14:sizeRelH relativeFrom="margin">
              <wp14:pctWidth>0</wp14:pctWidth>
            </wp14:sizeRelH>
            <wp14:sizeRelV relativeFrom="margin">
              <wp14:pctHeight>0</wp14:pctHeight>
            </wp14:sizeRelV>
          </wp:anchor>
        </w:drawing>
      </w:r>
    </w:p>
    <w:p w:rsidR="00740B51" w:rsidRPr="00A20381" w:rsidRDefault="00740B51" w:rsidP="001A4FB4">
      <w:pPr>
        <w:spacing w:before="1" w:line="360" w:lineRule="auto"/>
        <w:ind w:left="113"/>
        <w:jc w:val="both"/>
        <w:rPr>
          <w:w w:val="105"/>
          <w:sz w:val="20"/>
          <w:szCs w:val="20"/>
        </w:rPr>
      </w:pPr>
      <w:r w:rsidRPr="00A20381">
        <w:rPr>
          <w:w w:val="105"/>
          <w:sz w:val="20"/>
          <w:szCs w:val="20"/>
        </w:rPr>
        <w:t xml:space="preserve">Source: authors’ calculations in </w:t>
      </w:r>
      <w:proofErr w:type="spellStart"/>
      <w:r w:rsidRPr="00A20381">
        <w:rPr>
          <w:w w:val="105"/>
          <w:sz w:val="20"/>
          <w:szCs w:val="20"/>
        </w:rPr>
        <w:t>Eviews</w:t>
      </w:r>
      <w:proofErr w:type="spellEnd"/>
      <w:r w:rsidRPr="00A20381">
        <w:rPr>
          <w:w w:val="105"/>
          <w:sz w:val="20"/>
          <w:szCs w:val="20"/>
        </w:rPr>
        <w:t xml:space="preserve"> 10 based on Bloomberg data.</w:t>
      </w:r>
    </w:p>
    <w:p w:rsidR="000377FF" w:rsidRPr="00A20381" w:rsidRDefault="000377FF" w:rsidP="001A4FB4">
      <w:pPr>
        <w:pStyle w:val="Corpotesto"/>
        <w:spacing w:before="1" w:line="360" w:lineRule="auto"/>
        <w:jc w:val="both"/>
      </w:pPr>
    </w:p>
    <w:p w:rsidR="000377FF" w:rsidRPr="00A20381" w:rsidRDefault="00A5166E" w:rsidP="001A4FB4">
      <w:pPr>
        <w:pStyle w:val="Corpotesto"/>
        <w:spacing w:line="360" w:lineRule="auto"/>
        <w:ind w:left="113"/>
        <w:jc w:val="both"/>
      </w:pPr>
      <w:r w:rsidRPr="00A20381">
        <w:t xml:space="preserve">Time horizons selected to realize the whole analysis are not discretionary but justified by important historical events, as reported by </w:t>
      </w:r>
      <w:proofErr w:type="spellStart"/>
      <w:r w:rsidRPr="005F766D">
        <w:rPr>
          <w:i/>
        </w:rPr>
        <w:t>Consob</w:t>
      </w:r>
      <w:proofErr w:type="spellEnd"/>
      <w:r w:rsidRPr="00A20381">
        <w:rPr>
          <w:rStyle w:val="Rimandonotaapidipagina"/>
        </w:rPr>
        <w:footnoteReference w:id="4"/>
      </w:r>
      <w:r w:rsidR="005F766D">
        <w:t>, one of the most important Italian institution</w:t>
      </w:r>
      <w:r w:rsidR="00812ECE">
        <w:t>s.</w:t>
      </w:r>
      <w:r w:rsidRPr="00A20381">
        <w:t xml:space="preserve"> </w:t>
      </w:r>
      <w:r w:rsidR="00E85B85" w:rsidRPr="00A20381">
        <w:t>The data</w:t>
      </w:r>
      <w:r w:rsidR="001066AF" w:rsidRPr="00A20381">
        <w:t>set</w:t>
      </w:r>
      <w:r w:rsidR="00E85B85" w:rsidRPr="00A20381">
        <w:t xml:space="preserve"> has been </w:t>
      </w:r>
      <w:r w:rsidR="00740B51" w:rsidRPr="00A20381">
        <w:t>grouped</w:t>
      </w:r>
      <w:r w:rsidR="00E85B85" w:rsidRPr="00A20381">
        <w:t xml:space="preserve"> in four distinct periods:</w:t>
      </w:r>
    </w:p>
    <w:p w:rsidR="000377FF" w:rsidRPr="00A20381" w:rsidRDefault="000377FF" w:rsidP="001A4FB4">
      <w:pPr>
        <w:pStyle w:val="Corpotesto"/>
        <w:spacing w:before="11" w:line="360" w:lineRule="auto"/>
        <w:jc w:val="both"/>
      </w:pPr>
    </w:p>
    <w:p w:rsidR="000377FF" w:rsidRPr="00A20381" w:rsidRDefault="00E85B85" w:rsidP="001A4FB4">
      <w:pPr>
        <w:pStyle w:val="Paragrafoelenco"/>
        <w:numPr>
          <w:ilvl w:val="1"/>
          <w:numId w:val="5"/>
        </w:numPr>
        <w:tabs>
          <w:tab w:val="left" w:pos="612"/>
        </w:tabs>
        <w:spacing w:before="1" w:line="360" w:lineRule="auto"/>
        <w:jc w:val="both"/>
        <w:rPr>
          <w:sz w:val="20"/>
          <w:szCs w:val="20"/>
        </w:rPr>
      </w:pPr>
      <w:r w:rsidRPr="00A20381">
        <w:rPr>
          <w:i/>
          <w:w w:val="105"/>
          <w:sz w:val="20"/>
          <w:szCs w:val="20"/>
        </w:rPr>
        <w:t xml:space="preserve">2007-2010 </w:t>
      </w:r>
      <w:r w:rsidRPr="00A20381">
        <w:rPr>
          <w:w w:val="105"/>
          <w:sz w:val="20"/>
          <w:szCs w:val="20"/>
        </w:rPr>
        <w:t>(</w:t>
      </w:r>
      <w:r w:rsidRPr="00A20381">
        <w:rPr>
          <w:i/>
          <w:w w:val="105"/>
          <w:sz w:val="20"/>
          <w:szCs w:val="20"/>
        </w:rPr>
        <w:t>financial</w:t>
      </w:r>
      <w:r w:rsidRPr="00A20381">
        <w:rPr>
          <w:i/>
          <w:spacing w:val="6"/>
          <w:w w:val="105"/>
          <w:sz w:val="20"/>
          <w:szCs w:val="20"/>
        </w:rPr>
        <w:t xml:space="preserve"> </w:t>
      </w:r>
      <w:r w:rsidRPr="00A20381">
        <w:rPr>
          <w:i/>
          <w:w w:val="105"/>
          <w:sz w:val="20"/>
          <w:szCs w:val="20"/>
        </w:rPr>
        <w:t>crisis</w:t>
      </w:r>
      <w:r w:rsidRPr="00A20381">
        <w:rPr>
          <w:w w:val="105"/>
          <w:sz w:val="20"/>
          <w:szCs w:val="20"/>
        </w:rPr>
        <w:t>);</w:t>
      </w:r>
    </w:p>
    <w:p w:rsidR="000377FF" w:rsidRPr="00A20381" w:rsidRDefault="000377FF" w:rsidP="001A4FB4">
      <w:pPr>
        <w:pStyle w:val="Corpotesto"/>
        <w:spacing w:before="11" w:line="360" w:lineRule="auto"/>
        <w:jc w:val="both"/>
      </w:pPr>
    </w:p>
    <w:p w:rsidR="000377FF" w:rsidRPr="00A20381" w:rsidRDefault="00E85B85" w:rsidP="001A4FB4">
      <w:pPr>
        <w:pStyle w:val="Paragrafoelenco"/>
        <w:numPr>
          <w:ilvl w:val="1"/>
          <w:numId w:val="5"/>
        </w:numPr>
        <w:tabs>
          <w:tab w:val="left" w:pos="612"/>
        </w:tabs>
        <w:spacing w:line="360" w:lineRule="auto"/>
        <w:jc w:val="both"/>
        <w:rPr>
          <w:sz w:val="20"/>
          <w:szCs w:val="20"/>
        </w:rPr>
      </w:pPr>
      <w:r w:rsidRPr="00A20381">
        <w:rPr>
          <w:i/>
          <w:w w:val="105"/>
          <w:sz w:val="20"/>
          <w:szCs w:val="20"/>
        </w:rPr>
        <w:t xml:space="preserve">2010-2012 </w:t>
      </w:r>
      <w:r w:rsidRPr="00A20381">
        <w:rPr>
          <w:w w:val="105"/>
          <w:sz w:val="20"/>
          <w:szCs w:val="20"/>
        </w:rPr>
        <w:t>(</w:t>
      </w:r>
      <w:r w:rsidRPr="00A20381">
        <w:rPr>
          <w:i/>
          <w:w w:val="105"/>
          <w:sz w:val="20"/>
          <w:szCs w:val="20"/>
        </w:rPr>
        <w:t>sovereign debt</w:t>
      </w:r>
      <w:r w:rsidRPr="00A20381">
        <w:rPr>
          <w:i/>
          <w:spacing w:val="-23"/>
          <w:w w:val="105"/>
          <w:sz w:val="20"/>
          <w:szCs w:val="20"/>
        </w:rPr>
        <w:t xml:space="preserve"> </w:t>
      </w:r>
      <w:r w:rsidRPr="00A20381">
        <w:rPr>
          <w:i/>
          <w:w w:val="105"/>
          <w:sz w:val="20"/>
          <w:szCs w:val="20"/>
        </w:rPr>
        <w:t>crisis</w:t>
      </w:r>
      <w:r w:rsidRPr="00A20381">
        <w:rPr>
          <w:w w:val="105"/>
          <w:sz w:val="20"/>
          <w:szCs w:val="20"/>
        </w:rPr>
        <w:t>);</w:t>
      </w:r>
    </w:p>
    <w:p w:rsidR="000377FF" w:rsidRPr="00A20381" w:rsidRDefault="000377FF" w:rsidP="001A4FB4">
      <w:pPr>
        <w:pStyle w:val="Corpotesto"/>
        <w:spacing w:before="11" w:line="360" w:lineRule="auto"/>
        <w:jc w:val="both"/>
      </w:pPr>
    </w:p>
    <w:p w:rsidR="000377FF" w:rsidRPr="00A20381" w:rsidRDefault="00E85B85" w:rsidP="001A4FB4">
      <w:pPr>
        <w:pStyle w:val="Paragrafoelenco"/>
        <w:numPr>
          <w:ilvl w:val="1"/>
          <w:numId w:val="5"/>
        </w:numPr>
        <w:tabs>
          <w:tab w:val="left" w:pos="612"/>
        </w:tabs>
        <w:spacing w:line="360" w:lineRule="auto"/>
        <w:jc w:val="both"/>
        <w:rPr>
          <w:sz w:val="20"/>
          <w:szCs w:val="20"/>
        </w:rPr>
      </w:pPr>
      <w:r w:rsidRPr="00A20381">
        <w:rPr>
          <w:i/>
          <w:w w:val="105"/>
          <w:sz w:val="20"/>
          <w:szCs w:val="20"/>
        </w:rPr>
        <w:t xml:space="preserve">2012-2014 </w:t>
      </w:r>
      <w:r w:rsidRPr="00A20381">
        <w:rPr>
          <w:w w:val="105"/>
          <w:sz w:val="20"/>
          <w:szCs w:val="20"/>
        </w:rPr>
        <w:t>(</w:t>
      </w:r>
      <w:r w:rsidRPr="00A20381">
        <w:rPr>
          <w:i/>
          <w:w w:val="105"/>
          <w:sz w:val="20"/>
          <w:szCs w:val="20"/>
        </w:rPr>
        <w:t xml:space="preserve">the </w:t>
      </w:r>
      <w:r w:rsidRPr="00A20381">
        <w:rPr>
          <w:i/>
          <w:spacing w:val="-3"/>
          <w:w w:val="105"/>
          <w:sz w:val="20"/>
          <w:szCs w:val="20"/>
        </w:rPr>
        <w:t xml:space="preserve">years </w:t>
      </w:r>
      <w:r w:rsidRPr="00A20381">
        <w:rPr>
          <w:i/>
          <w:w w:val="105"/>
          <w:sz w:val="20"/>
          <w:szCs w:val="20"/>
        </w:rPr>
        <w:t xml:space="preserve">of liquidity drug </w:t>
      </w:r>
      <w:r w:rsidRPr="00A20381">
        <w:rPr>
          <w:w w:val="105"/>
          <w:sz w:val="20"/>
          <w:szCs w:val="20"/>
        </w:rPr>
        <w:t xml:space="preserve">- </w:t>
      </w:r>
      <w:r w:rsidRPr="00A20381">
        <w:rPr>
          <w:i/>
          <w:spacing w:val="-4"/>
          <w:w w:val="105"/>
          <w:sz w:val="20"/>
          <w:szCs w:val="20"/>
        </w:rPr>
        <w:t xml:space="preserve">pre </w:t>
      </w:r>
      <w:r w:rsidRPr="00A20381">
        <w:rPr>
          <w:i/>
          <w:w w:val="105"/>
          <w:sz w:val="20"/>
          <w:szCs w:val="20"/>
        </w:rPr>
        <w:t>QE</w:t>
      </w:r>
      <w:r w:rsidRPr="00A20381">
        <w:rPr>
          <w:i/>
          <w:spacing w:val="-3"/>
          <w:w w:val="105"/>
          <w:sz w:val="20"/>
          <w:szCs w:val="20"/>
        </w:rPr>
        <w:t xml:space="preserve"> </w:t>
      </w:r>
      <w:r w:rsidRPr="00A20381">
        <w:rPr>
          <w:w w:val="105"/>
          <w:sz w:val="20"/>
          <w:szCs w:val="20"/>
        </w:rPr>
        <w:t>);</w:t>
      </w:r>
    </w:p>
    <w:p w:rsidR="000377FF" w:rsidRPr="00A20381" w:rsidRDefault="000377FF" w:rsidP="001A4FB4">
      <w:pPr>
        <w:pStyle w:val="Corpotesto"/>
        <w:spacing w:before="11" w:line="360" w:lineRule="auto"/>
        <w:jc w:val="both"/>
      </w:pPr>
    </w:p>
    <w:p w:rsidR="000377FF" w:rsidRPr="00A20381" w:rsidRDefault="00E85B85" w:rsidP="001A4FB4">
      <w:pPr>
        <w:pStyle w:val="Paragrafoelenco"/>
        <w:numPr>
          <w:ilvl w:val="1"/>
          <w:numId w:val="5"/>
        </w:numPr>
        <w:tabs>
          <w:tab w:val="left" w:pos="612"/>
        </w:tabs>
        <w:spacing w:line="360" w:lineRule="auto"/>
        <w:ind w:left="611"/>
        <w:jc w:val="both"/>
        <w:rPr>
          <w:sz w:val="20"/>
          <w:szCs w:val="20"/>
        </w:rPr>
      </w:pPr>
      <w:r w:rsidRPr="00A20381">
        <w:rPr>
          <w:i/>
          <w:w w:val="105"/>
          <w:sz w:val="20"/>
          <w:szCs w:val="20"/>
        </w:rPr>
        <w:t xml:space="preserve">2014-2017 </w:t>
      </w:r>
      <w:r w:rsidRPr="00A20381">
        <w:rPr>
          <w:w w:val="105"/>
          <w:sz w:val="20"/>
          <w:szCs w:val="20"/>
        </w:rPr>
        <w:t>(</w:t>
      </w:r>
      <w:r w:rsidRPr="00A20381">
        <w:rPr>
          <w:i/>
          <w:w w:val="105"/>
          <w:sz w:val="20"/>
          <w:szCs w:val="20"/>
        </w:rPr>
        <w:t xml:space="preserve">the </w:t>
      </w:r>
      <w:r w:rsidRPr="00A20381">
        <w:rPr>
          <w:i/>
          <w:spacing w:val="-3"/>
          <w:w w:val="105"/>
          <w:sz w:val="20"/>
          <w:szCs w:val="20"/>
        </w:rPr>
        <w:t xml:space="preserve">years </w:t>
      </w:r>
      <w:r w:rsidRPr="00A20381">
        <w:rPr>
          <w:i/>
          <w:w w:val="105"/>
          <w:sz w:val="20"/>
          <w:szCs w:val="20"/>
        </w:rPr>
        <w:t xml:space="preserve">of </w:t>
      </w:r>
      <w:r w:rsidR="00740B51" w:rsidRPr="00A20381">
        <w:rPr>
          <w:i/>
          <w:spacing w:val="-3"/>
          <w:w w:val="105"/>
          <w:sz w:val="20"/>
          <w:szCs w:val="20"/>
        </w:rPr>
        <w:t>abundant</w:t>
      </w:r>
      <w:r w:rsidRPr="00A20381">
        <w:rPr>
          <w:i/>
          <w:spacing w:val="-3"/>
          <w:w w:val="105"/>
          <w:sz w:val="20"/>
          <w:szCs w:val="20"/>
        </w:rPr>
        <w:t xml:space="preserve"> </w:t>
      </w:r>
      <w:r w:rsidRPr="00A20381">
        <w:rPr>
          <w:i/>
          <w:w w:val="105"/>
          <w:sz w:val="20"/>
          <w:szCs w:val="20"/>
        </w:rPr>
        <w:t xml:space="preserve">liquidity drug </w:t>
      </w:r>
      <w:r w:rsidRPr="00A20381">
        <w:rPr>
          <w:w w:val="105"/>
          <w:sz w:val="20"/>
          <w:szCs w:val="20"/>
        </w:rPr>
        <w:t>-</w:t>
      </w:r>
      <w:r w:rsidRPr="00A20381">
        <w:rPr>
          <w:spacing w:val="45"/>
          <w:w w:val="105"/>
          <w:sz w:val="20"/>
          <w:szCs w:val="20"/>
        </w:rPr>
        <w:t xml:space="preserve"> </w:t>
      </w:r>
      <w:r w:rsidRPr="00A20381">
        <w:rPr>
          <w:i/>
          <w:w w:val="105"/>
          <w:sz w:val="20"/>
          <w:szCs w:val="20"/>
        </w:rPr>
        <w:t>QE</w:t>
      </w:r>
      <w:r w:rsidRPr="00A20381">
        <w:rPr>
          <w:w w:val="105"/>
          <w:sz w:val="20"/>
          <w:szCs w:val="20"/>
        </w:rPr>
        <w:t>).</w:t>
      </w:r>
    </w:p>
    <w:p w:rsidR="000377FF" w:rsidRPr="00A20381" w:rsidRDefault="004F58E1" w:rsidP="001A4FB4">
      <w:pPr>
        <w:pStyle w:val="Corpotesto"/>
        <w:spacing w:before="11" w:line="360" w:lineRule="auto"/>
        <w:jc w:val="both"/>
      </w:pPr>
      <w:r>
        <w:t xml:space="preserve">  </w:t>
      </w:r>
    </w:p>
    <w:p w:rsidR="008767EA" w:rsidRDefault="00E85B85" w:rsidP="00EE4A62">
      <w:pPr>
        <w:pStyle w:val="Corpotesto"/>
        <w:spacing w:line="360" w:lineRule="auto"/>
        <w:ind w:left="113"/>
        <w:jc w:val="both"/>
      </w:pPr>
      <w:r w:rsidRPr="00A20381">
        <w:rPr>
          <w:i/>
        </w:rPr>
        <w:t xml:space="preserve">Table 1 </w:t>
      </w:r>
      <w:r w:rsidRPr="00A20381">
        <w:t xml:space="preserve">reports the descriptive statistics of data for each </w:t>
      </w:r>
      <w:r w:rsidR="00740B51" w:rsidRPr="00A20381">
        <w:t>sub period</w:t>
      </w:r>
      <w:r w:rsidRPr="00A20381">
        <w:t>.</w:t>
      </w:r>
    </w:p>
    <w:p w:rsidR="009C31DC" w:rsidRDefault="009C31DC" w:rsidP="00EE4A62">
      <w:pPr>
        <w:pStyle w:val="Corpotesto"/>
        <w:spacing w:line="360" w:lineRule="auto"/>
        <w:ind w:left="113"/>
        <w:jc w:val="both"/>
      </w:pPr>
    </w:p>
    <w:p w:rsidR="009C31DC" w:rsidRDefault="009C31DC" w:rsidP="00EE4A62">
      <w:pPr>
        <w:pStyle w:val="Corpotesto"/>
        <w:spacing w:line="360" w:lineRule="auto"/>
        <w:ind w:left="113"/>
        <w:jc w:val="both"/>
      </w:pPr>
    </w:p>
    <w:p w:rsidR="009C31DC" w:rsidRDefault="009C31DC" w:rsidP="00EE4A62">
      <w:pPr>
        <w:pStyle w:val="Corpotesto"/>
        <w:spacing w:line="360" w:lineRule="auto"/>
        <w:ind w:left="113"/>
        <w:jc w:val="both"/>
      </w:pPr>
    </w:p>
    <w:p w:rsidR="009C31DC" w:rsidRDefault="009C31DC" w:rsidP="00EE4A62">
      <w:pPr>
        <w:pStyle w:val="Corpotesto"/>
        <w:spacing w:line="360" w:lineRule="auto"/>
        <w:ind w:left="113"/>
        <w:jc w:val="both"/>
      </w:pPr>
    </w:p>
    <w:p w:rsidR="009C31DC" w:rsidRDefault="009C31DC" w:rsidP="00EE4A62">
      <w:pPr>
        <w:pStyle w:val="Corpotesto"/>
        <w:spacing w:line="360" w:lineRule="auto"/>
        <w:ind w:left="113"/>
        <w:jc w:val="both"/>
      </w:pPr>
    </w:p>
    <w:p w:rsidR="009C31DC" w:rsidRDefault="009C31DC" w:rsidP="00EE4A62">
      <w:pPr>
        <w:pStyle w:val="Corpotesto"/>
        <w:spacing w:line="360" w:lineRule="auto"/>
        <w:ind w:left="113"/>
        <w:jc w:val="both"/>
      </w:pPr>
    </w:p>
    <w:p w:rsidR="009C31DC" w:rsidRPr="00EE4A62" w:rsidRDefault="009C31DC" w:rsidP="00EE4A62">
      <w:pPr>
        <w:pStyle w:val="Corpotesto"/>
        <w:spacing w:line="360" w:lineRule="auto"/>
        <w:ind w:left="113"/>
        <w:jc w:val="both"/>
      </w:pPr>
    </w:p>
    <w:p w:rsidR="000377FF" w:rsidRPr="003A69CF" w:rsidRDefault="00E85B85" w:rsidP="001A4FB4">
      <w:pPr>
        <w:spacing w:before="84" w:line="360" w:lineRule="auto"/>
        <w:ind w:left="113"/>
        <w:jc w:val="both"/>
        <w:rPr>
          <w:sz w:val="20"/>
          <w:szCs w:val="20"/>
        </w:rPr>
      </w:pPr>
      <w:r w:rsidRPr="00A20381">
        <w:rPr>
          <w:b/>
          <w:w w:val="105"/>
          <w:sz w:val="20"/>
          <w:szCs w:val="20"/>
        </w:rPr>
        <w:lastRenderedPageBreak/>
        <w:t xml:space="preserve">Table 1 - </w:t>
      </w:r>
      <w:r w:rsidRPr="00A20381">
        <w:rPr>
          <w:i/>
          <w:w w:val="105"/>
          <w:sz w:val="20"/>
          <w:szCs w:val="20"/>
        </w:rPr>
        <w:t xml:space="preserve">Descriptive statistics </w:t>
      </w:r>
      <w:r w:rsidRPr="00A20381">
        <w:rPr>
          <w:w w:val="105"/>
          <w:sz w:val="20"/>
          <w:szCs w:val="20"/>
        </w:rPr>
        <w:t>of data</w:t>
      </w:r>
      <w:r w:rsidR="00740B51" w:rsidRPr="00A20381">
        <w:rPr>
          <w:w w:val="105"/>
          <w:sz w:val="20"/>
          <w:szCs w:val="20"/>
        </w:rPr>
        <w:t xml:space="preserve"> - </w:t>
      </w:r>
      <w:r w:rsidR="00740B51" w:rsidRPr="00A20381">
        <w:rPr>
          <w:sz w:val="20"/>
          <w:szCs w:val="20"/>
        </w:rPr>
        <w:t>January 2007 to October 2017 (2522 Obs.)</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61"/>
        <w:gridCol w:w="947"/>
        <w:gridCol w:w="800"/>
        <w:gridCol w:w="800"/>
        <w:gridCol w:w="800"/>
        <w:gridCol w:w="899"/>
      </w:tblGrid>
      <w:tr w:rsidR="000377FF" w:rsidRPr="00A20381">
        <w:trPr>
          <w:trHeight w:val="410"/>
        </w:trPr>
        <w:tc>
          <w:tcPr>
            <w:tcW w:w="3761" w:type="dxa"/>
            <w:tcBorders>
              <w:bottom w:val="double" w:sz="1" w:space="0" w:color="000000"/>
            </w:tcBorders>
          </w:tcPr>
          <w:p w:rsidR="000377FF" w:rsidRPr="00A20381" w:rsidRDefault="00E85B85" w:rsidP="001A4FB4">
            <w:pPr>
              <w:pStyle w:val="TableParagraph"/>
              <w:spacing w:before="93" w:line="360" w:lineRule="auto"/>
              <w:ind w:right="4"/>
              <w:jc w:val="both"/>
              <w:rPr>
                <w:i/>
                <w:sz w:val="20"/>
                <w:szCs w:val="20"/>
              </w:rPr>
            </w:pPr>
            <w:r w:rsidRPr="00A20381">
              <w:rPr>
                <w:i/>
                <w:w w:val="110"/>
                <w:sz w:val="20"/>
                <w:szCs w:val="20"/>
              </w:rPr>
              <w:t>Variable</w:t>
            </w:r>
          </w:p>
        </w:tc>
        <w:tc>
          <w:tcPr>
            <w:tcW w:w="947" w:type="dxa"/>
            <w:tcBorders>
              <w:bottom w:val="double" w:sz="1" w:space="0" w:color="000000"/>
            </w:tcBorders>
          </w:tcPr>
          <w:p w:rsidR="000377FF" w:rsidRPr="00A20381" w:rsidRDefault="00E85B85" w:rsidP="001A4FB4">
            <w:pPr>
              <w:pStyle w:val="TableParagraph"/>
              <w:spacing w:before="93" w:line="360" w:lineRule="auto"/>
              <w:ind w:left="96" w:right="100"/>
              <w:jc w:val="both"/>
              <w:rPr>
                <w:i/>
                <w:sz w:val="20"/>
                <w:szCs w:val="20"/>
              </w:rPr>
            </w:pPr>
            <w:r w:rsidRPr="00A20381">
              <w:rPr>
                <w:i/>
                <w:w w:val="105"/>
                <w:sz w:val="20"/>
                <w:szCs w:val="20"/>
              </w:rPr>
              <w:t>Average</w:t>
            </w:r>
          </w:p>
        </w:tc>
        <w:tc>
          <w:tcPr>
            <w:tcW w:w="800" w:type="dxa"/>
            <w:tcBorders>
              <w:bottom w:val="double" w:sz="1" w:space="0" w:color="000000"/>
            </w:tcBorders>
          </w:tcPr>
          <w:p w:rsidR="000377FF" w:rsidRPr="00A20381" w:rsidRDefault="00E85B85" w:rsidP="001A4FB4">
            <w:pPr>
              <w:pStyle w:val="TableParagraph"/>
              <w:spacing w:before="93" w:line="360" w:lineRule="auto"/>
              <w:ind w:left="258"/>
              <w:jc w:val="both"/>
              <w:rPr>
                <w:i/>
                <w:sz w:val="20"/>
                <w:szCs w:val="20"/>
              </w:rPr>
            </w:pPr>
            <w:r w:rsidRPr="00A20381">
              <w:rPr>
                <w:i/>
                <w:sz w:val="20"/>
                <w:szCs w:val="20"/>
              </w:rPr>
              <w:t>SD</w:t>
            </w:r>
          </w:p>
        </w:tc>
        <w:tc>
          <w:tcPr>
            <w:tcW w:w="800" w:type="dxa"/>
            <w:tcBorders>
              <w:bottom w:val="double" w:sz="1" w:space="0" w:color="000000"/>
            </w:tcBorders>
          </w:tcPr>
          <w:p w:rsidR="000377FF" w:rsidRPr="00A20381" w:rsidRDefault="00E85B85" w:rsidP="001A4FB4">
            <w:pPr>
              <w:pStyle w:val="TableParagraph"/>
              <w:spacing w:before="93" w:line="360" w:lineRule="auto"/>
              <w:ind w:left="216"/>
              <w:jc w:val="both"/>
              <w:rPr>
                <w:i/>
                <w:sz w:val="20"/>
                <w:szCs w:val="20"/>
              </w:rPr>
            </w:pPr>
            <w:r w:rsidRPr="00A20381">
              <w:rPr>
                <w:i/>
                <w:sz w:val="20"/>
                <w:szCs w:val="20"/>
              </w:rPr>
              <w:t>Min</w:t>
            </w:r>
          </w:p>
        </w:tc>
        <w:tc>
          <w:tcPr>
            <w:tcW w:w="800" w:type="dxa"/>
            <w:tcBorders>
              <w:bottom w:val="double" w:sz="1" w:space="0" w:color="000000"/>
            </w:tcBorders>
          </w:tcPr>
          <w:p w:rsidR="000377FF" w:rsidRPr="00A20381" w:rsidRDefault="00E85B85" w:rsidP="001A4FB4">
            <w:pPr>
              <w:pStyle w:val="TableParagraph"/>
              <w:spacing w:before="93" w:line="360" w:lineRule="auto"/>
              <w:ind w:left="84" w:right="95"/>
              <w:jc w:val="both"/>
              <w:rPr>
                <w:i/>
                <w:sz w:val="20"/>
                <w:szCs w:val="20"/>
              </w:rPr>
            </w:pPr>
            <w:r w:rsidRPr="00A20381">
              <w:rPr>
                <w:i/>
                <w:sz w:val="20"/>
                <w:szCs w:val="20"/>
              </w:rPr>
              <w:t>Max</w:t>
            </w:r>
          </w:p>
        </w:tc>
        <w:tc>
          <w:tcPr>
            <w:tcW w:w="899" w:type="dxa"/>
            <w:tcBorders>
              <w:bottom w:val="double" w:sz="1" w:space="0" w:color="000000"/>
            </w:tcBorders>
          </w:tcPr>
          <w:p w:rsidR="000377FF" w:rsidRPr="00A20381" w:rsidRDefault="00E85B85" w:rsidP="001A4FB4">
            <w:pPr>
              <w:pStyle w:val="TableParagraph"/>
              <w:spacing w:before="93" w:line="360" w:lineRule="auto"/>
              <w:ind w:left="97" w:right="98"/>
              <w:jc w:val="both"/>
              <w:rPr>
                <w:i/>
                <w:sz w:val="20"/>
                <w:szCs w:val="20"/>
              </w:rPr>
            </w:pPr>
            <w:r w:rsidRPr="00A20381">
              <w:rPr>
                <w:i/>
                <w:w w:val="105"/>
                <w:sz w:val="20"/>
                <w:szCs w:val="20"/>
              </w:rPr>
              <w:t>Median</w:t>
            </w:r>
          </w:p>
        </w:tc>
      </w:tr>
      <w:tr w:rsidR="000377FF" w:rsidRPr="00A20381">
        <w:trPr>
          <w:trHeight w:val="410"/>
        </w:trPr>
        <w:tc>
          <w:tcPr>
            <w:tcW w:w="3761" w:type="dxa"/>
            <w:tcBorders>
              <w:top w:val="double" w:sz="1" w:space="0" w:color="000000"/>
            </w:tcBorders>
          </w:tcPr>
          <w:p w:rsidR="000377FF" w:rsidRPr="00A20381" w:rsidRDefault="00E85B85" w:rsidP="001A4FB4">
            <w:pPr>
              <w:pStyle w:val="TableParagraph"/>
              <w:spacing w:before="103" w:line="360" w:lineRule="auto"/>
              <w:ind w:right="8"/>
              <w:jc w:val="both"/>
              <w:rPr>
                <w:b/>
                <w:i/>
                <w:sz w:val="20"/>
                <w:szCs w:val="20"/>
              </w:rPr>
            </w:pPr>
            <w:r w:rsidRPr="00A20381">
              <w:rPr>
                <w:b/>
                <w:i/>
                <w:sz w:val="20"/>
                <w:szCs w:val="20"/>
              </w:rPr>
              <w:t>10y CDS premia</w:t>
            </w:r>
          </w:p>
        </w:tc>
        <w:tc>
          <w:tcPr>
            <w:tcW w:w="4246" w:type="dxa"/>
            <w:gridSpan w:val="5"/>
            <w:tcBorders>
              <w:top w:val="double" w:sz="1" w:space="0" w:color="000000"/>
            </w:tcBorders>
          </w:tcPr>
          <w:p w:rsidR="000377FF" w:rsidRPr="00A20381" w:rsidRDefault="00E85B85" w:rsidP="001A4FB4">
            <w:pPr>
              <w:pStyle w:val="TableParagraph"/>
              <w:spacing w:before="100" w:line="360" w:lineRule="auto"/>
              <w:ind w:left="1163"/>
              <w:jc w:val="both"/>
              <w:rPr>
                <w:sz w:val="20"/>
                <w:szCs w:val="20"/>
              </w:rPr>
            </w:pPr>
            <w:r w:rsidRPr="00A20381">
              <w:rPr>
                <w:w w:val="105"/>
                <w:sz w:val="20"/>
                <w:szCs w:val="20"/>
              </w:rPr>
              <w:t>(</w:t>
            </w:r>
            <w:r w:rsidRPr="00A20381">
              <w:rPr>
                <w:i/>
                <w:w w:val="105"/>
                <w:sz w:val="20"/>
                <w:szCs w:val="20"/>
              </w:rPr>
              <w:t xml:space="preserve">basis points </w:t>
            </w:r>
            <w:r w:rsidRPr="00A20381">
              <w:rPr>
                <w:w w:val="105"/>
                <w:sz w:val="20"/>
                <w:szCs w:val="20"/>
              </w:rPr>
              <w:t xml:space="preserve">- </w:t>
            </w:r>
            <w:r w:rsidRPr="00A20381">
              <w:rPr>
                <w:i/>
                <w:w w:val="105"/>
                <w:sz w:val="20"/>
                <w:szCs w:val="20"/>
              </w:rPr>
              <w:t xml:space="preserve">0.01% </w:t>
            </w:r>
            <w:r w:rsidRPr="00A20381">
              <w:rPr>
                <w:w w:val="105"/>
                <w:sz w:val="20"/>
                <w:szCs w:val="20"/>
              </w:rPr>
              <w:t>)</w:t>
            </w:r>
          </w:p>
        </w:tc>
      </w:tr>
      <w:tr w:rsidR="000377FF" w:rsidRPr="00A20381">
        <w:trPr>
          <w:trHeight w:val="396"/>
        </w:trPr>
        <w:tc>
          <w:tcPr>
            <w:tcW w:w="3761" w:type="dxa"/>
          </w:tcPr>
          <w:p w:rsidR="000377FF" w:rsidRPr="00A20381" w:rsidRDefault="00E85B85" w:rsidP="001A4FB4">
            <w:pPr>
              <w:pStyle w:val="TableParagraph"/>
              <w:spacing w:before="93" w:line="360" w:lineRule="auto"/>
              <w:ind w:right="16"/>
              <w:jc w:val="both"/>
              <w:rPr>
                <w:i/>
                <w:sz w:val="20"/>
                <w:szCs w:val="20"/>
              </w:rPr>
            </w:pPr>
            <w:r w:rsidRPr="00A20381">
              <w:rPr>
                <w:i/>
                <w:sz w:val="20"/>
                <w:szCs w:val="20"/>
              </w:rPr>
              <w:t>2007-10</w:t>
            </w:r>
          </w:p>
        </w:tc>
        <w:tc>
          <w:tcPr>
            <w:tcW w:w="947" w:type="dxa"/>
          </w:tcPr>
          <w:p w:rsidR="000377FF" w:rsidRPr="00A20381" w:rsidRDefault="00E85B85" w:rsidP="001A4FB4">
            <w:pPr>
              <w:pStyle w:val="TableParagraph"/>
              <w:spacing w:line="360" w:lineRule="auto"/>
              <w:ind w:left="96" w:right="88"/>
              <w:jc w:val="both"/>
              <w:rPr>
                <w:sz w:val="20"/>
                <w:szCs w:val="20"/>
              </w:rPr>
            </w:pPr>
            <w:r w:rsidRPr="00A20381">
              <w:rPr>
                <w:sz w:val="20"/>
                <w:szCs w:val="20"/>
              </w:rPr>
              <w:t>47.86</w:t>
            </w:r>
          </w:p>
        </w:tc>
        <w:tc>
          <w:tcPr>
            <w:tcW w:w="800" w:type="dxa"/>
          </w:tcPr>
          <w:p w:rsidR="000377FF" w:rsidRPr="00A20381" w:rsidRDefault="00E85B85" w:rsidP="001A4FB4">
            <w:pPr>
              <w:pStyle w:val="TableParagraph"/>
              <w:spacing w:line="360" w:lineRule="auto"/>
              <w:ind w:left="172"/>
              <w:jc w:val="both"/>
              <w:rPr>
                <w:sz w:val="20"/>
                <w:szCs w:val="20"/>
              </w:rPr>
            </w:pPr>
            <w:r w:rsidRPr="00A20381">
              <w:rPr>
                <w:sz w:val="20"/>
                <w:szCs w:val="20"/>
              </w:rPr>
              <w:t>40.11</w:t>
            </w:r>
          </w:p>
        </w:tc>
        <w:tc>
          <w:tcPr>
            <w:tcW w:w="800" w:type="dxa"/>
          </w:tcPr>
          <w:p w:rsidR="000377FF" w:rsidRPr="00A20381" w:rsidRDefault="00E85B85" w:rsidP="001A4FB4">
            <w:pPr>
              <w:pStyle w:val="TableParagraph"/>
              <w:spacing w:line="360" w:lineRule="auto"/>
              <w:ind w:left="222"/>
              <w:jc w:val="both"/>
              <w:rPr>
                <w:sz w:val="20"/>
                <w:szCs w:val="20"/>
              </w:rPr>
            </w:pPr>
            <w:r w:rsidRPr="00A20381">
              <w:rPr>
                <w:sz w:val="20"/>
                <w:szCs w:val="20"/>
              </w:rPr>
              <w:t>8.21</w:t>
            </w:r>
          </w:p>
        </w:tc>
        <w:tc>
          <w:tcPr>
            <w:tcW w:w="800" w:type="dxa"/>
          </w:tcPr>
          <w:p w:rsidR="000377FF" w:rsidRPr="00A20381" w:rsidRDefault="00E85B85" w:rsidP="001A4FB4">
            <w:pPr>
              <w:pStyle w:val="TableParagraph"/>
              <w:spacing w:line="360" w:lineRule="auto"/>
              <w:ind w:left="105" w:right="95"/>
              <w:jc w:val="both"/>
              <w:rPr>
                <w:sz w:val="20"/>
                <w:szCs w:val="20"/>
              </w:rPr>
            </w:pPr>
            <w:r w:rsidRPr="00A20381">
              <w:rPr>
                <w:sz w:val="20"/>
                <w:szCs w:val="20"/>
              </w:rPr>
              <w:t>163.55</w:t>
            </w:r>
          </w:p>
        </w:tc>
        <w:tc>
          <w:tcPr>
            <w:tcW w:w="899" w:type="dxa"/>
          </w:tcPr>
          <w:p w:rsidR="000377FF" w:rsidRPr="00A20381" w:rsidRDefault="00E85B85" w:rsidP="001A4FB4">
            <w:pPr>
              <w:pStyle w:val="TableParagraph"/>
              <w:spacing w:line="360" w:lineRule="auto"/>
              <w:ind w:left="97" w:right="86"/>
              <w:jc w:val="both"/>
              <w:rPr>
                <w:sz w:val="20"/>
                <w:szCs w:val="20"/>
              </w:rPr>
            </w:pPr>
            <w:r w:rsidRPr="00A20381">
              <w:rPr>
                <w:sz w:val="20"/>
                <w:szCs w:val="20"/>
              </w:rPr>
              <w:t>33.82</w:t>
            </w:r>
          </w:p>
        </w:tc>
      </w:tr>
      <w:tr w:rsidR="000377FF" w:rsidRPr="00A20381">
        <w:trPr>
          <w:trHeight w:val="396"/>
        </w:trPr>
        <w:tc>
          <w:tcPr>
            <w:tcW w:w="3761" w:type="dxa"/>
          </w:tcPr>
          <w:p w:rsidR="000377FF" w:rsidRPr="00A20381" w:rsidRDefault="00E85B85" w:rsidP="001A4FB4">
            <w:pPr>
              <w:pStyle w:val="TableParagraph"/>
              <w:spacing w:before="93" w:line="360" w:lineRule="auto"/>
              <w:ind w:right="16"/>
              <w:jc w:val="both"/>
              <w:rPr>
                <w:i/>
                <w:sz w:val="20"/>
                <w:szCs w:val="20"/>
              </w:rPr>
            </w:pPr>
            <w:r w:rsidRPr="00A20381">
              <w:rPr>
                <w:i/>
                <w:sz w:val="20"/>
                <w:szCs w:val="20"/>
              </w:rPr>
              <w:t>2010-12</w:t>
            </w:r>
          </w:p>
        </w:tc>
        <w:tc>
          <w:tcPr>
            <w:tcW w:w="947" w:type="dxa"/>
          </w:tcPr>
          <w:p w:rsidR="000377FF" w:rsidRPr="00A20381" w:rsidRDefault="00E85B85" w:rsidP="001A4FB4">
            <w:pPr>
              <w:pStyle w:val="TableParagraph"/>
              <w:spacing w:line="360" w:lineRule="auto"/>
              <w:ind w:left="96" w:right="88"/>
              <w:jc w:val="both"/>
              <w:rPr>
                <w:sz w:val="20"/>
                <w:szCs w:val="20"/>
              </w:rPr>
            </w:pPr>
            <w:r w:rsidRPr="00A20381">
              <w:rPr>
                <w:sz w:val="20"/>
                <w:szCs w:val="20"/>
              </w:rPr>
              <w:t>218.00</w:t>
            </w:r>
          </w:p>
        </w:tc>
        <w:tc>
          <w:tcPr>
            <w:tcW w:w="800" w:type="dxa"/>
          </w:tcPr>
          <w:p w:rsidR="000377FF" w:rsidRPr="00A20381" w:rsidRDefault="00E85B85" w:rsidP="001A4FB4">
            <w:pPr>
              <w:pStyle w:val="TableParagraph"/>
              <w:spacing w:line="360" w:lineRule="auto"/>
              <w:ind w:left="122"/>
              <w:jc w:val="both"/>
              <w:rPr>
                <w:sz w:val="20"/>
                <w:szCs w:val="20"/>
              </w:rPr>
            </w:pPr>
            <w:r w:rsidRPr="00A20381">
              <w:rPr>
                <w:sz w:val="20"/>
                <w:szCs w:val="20"/>
              </w:rPr>
              <w:t>104.53</w:t>
            </w:r>
          </w:p>
        </w:tc>
        <w:tc>
          <w:tcPr>
            <w:tcW w:w="800" w:type="dxa"/>
          </w:tcPr>
          <w:p w:rsidR="000377FF" w:rsidRPr="00A20381" w:rsidRDefault="00E85B85" w:rsidP="001A4FB4">
            <w:pPr>
              <w:pStyle w:val="TableParagraph"/>
              <w:spacing w:line="360" w:lineRule="auto"/>
              <w:ind w:left="173"/>
              <w:jc w:val="both"/>
              <w:rPr>
                <w:sz w:val="20"/>
                <w:szCs w:val="20"/>
              </w:rPr>
            </w:pPr>
            <w:r w:rsidRPr="00A20381">
              <w:rPr>
                <w:sz w:val="20"/>
                <w:szCs w:val="20"/>
              </w:rPr>
              <w:t>67.67</w:t>
            </w:r>
          </w:p>
        </w:tc>
        <w:tc>
          <w:tcPr>
            <w:tcW w:w="800" w:type="dxa"/>
          </w:tcPr>
          <w:p w:rsidR="000377FF" w:rsidRPr="00A20381" w:rsidRDefault="00E85B85" w:rsidP="001A4FB4">
            <w:pPr>
              <w:pStyle w:val="TableParagraph"/>
              <w:spacing w:line="360" w:lineRule="auto"/>
              <w:ind w:left="105" w:right="95"/>
              <w:jc w:val="both"/>
              <w:rPr>
                <w:sz w:val="20"/>
                <w:szCs w:val="20"/>
              </w:rPr>
            </w:pPr>
            <w:r w:rsidRPr="00A20381">
              <w:rPr>
                <w:sz w:val="20"/>
                <w:szCs w:val="20"/>
              </w:rPr>
              <w:t>441.51</w:t>
            </w:r>
          </w:p>
        </w:tc>
        <w:tc>
          <w:tcPr>
            <w:tcW w:w="899" w:type="dxa"/>
          </w:tcPr>
          <w:p w:rsidR="000377FF" w:rsidRPr="00A20381" w:rsidRDefault="00E85B85" w:rsidP="001A4FB4">
            <w:pPr>
              <w:pStyle w:val="TableParagraph"/>
              <w:spacing w:line="360" w:lineRule="auto"/>
              <w:ind w:left="97" w:right="86"/>
              <w:jc w:val="both"/>
              <w:rPr>
                <w:sz w:val="20"/>
                <w:szCs w:val="20"/>
              </w:rPr>
            </w:pPr>
            <w:r w:rsidRPr="00A20381">
              <w:rPr>
                <w:sz w:val="20"/>
                <w:szCs w:val="20"/>
              </w:rPr>
              <w:t>186.91</w:t>
            </w:r>
          </w:p>
        </w:tc>
      </w:tr>
      <w:tr w:rsidR="000377FF" w:rsidRPr="00A20381">
        <w:trPr>
          <w:trHeight w:val="396"/>
        </w:trPr>
        <w:tc>
          <w:tcPr>
            <w:tcW w:w="3761" w:type="dxa"/>
          </w:tcPr>
          <w:p w:rsidR="000377FF" w:rsidRPr="00A20381" w:rsidRDefault="00E85B85" w:rsidP="001A4FB4">
            <w:pPr>
              <w:pStyle w:val="TableParagraph"/>
              <w:spacing w:before="93" w:line="360" w:lineRule="auto"/>
              <w:ind w:right="16"/>
              <w:jc w:val="both"/>
              <w:rPr>
                <w:i/>
                <w:sz w:val="20"/>
                <w:szCs w:val="20"/>
              </w:rPr>
            </w:pPr>
            <w:r w:rsidRPr="00A20381">
              <w:rPr>
                <w:i/>
                <w:sz w:val="20"/>
                <w:szCs w:val="20"/>
              </w:rPr>
              <w:t>2012-14</w:t>
            </w:r>
          </w:p>
        </w:tc>
        <w:tc>
          <w:tcPr>
            <w:tcW w:w="947" w:type="dxa"/>
          </w:tcPr>
          <w:p w:rsidR="000377FF" w:rsidRPr="00A20381" w:rsidRDefault="00E85B85" w:rsidP="001A4FB4">
            <w:pPr>
              <w:pStyle w:val="TableParagraph"/>
              <w:spacing w:line="360" w:lineRule="auto"/>
              <w:ind w:left="96" w:right="88"/>
              <w:jc w:val="both"/>
              <w:rPr>
                <w:sz w:val="20"/>
                <w:szCs w:val="20"/>
              </w:rPr>
            </w:pPr>
            <w:r w:rsidRPr="00A20381">
              <w:rPr>
                <w:sz w:val="20"/>
                <w:szCs w:val="20"/>
              </w:rPr>
              <w:t>173.59</w:t>
            </w:r>
          </w:p>
        </w:tc>
        <w:tc>
          <w:tcPr>
            <w:tcW w:w="800" w:type="dxa"/>
          </w:tcPr>
          <w:p w:rsidR="000377FF" w:rsidRPr="00A20381" w:rsidRDefault="00E85B85" w:rsidP="001A4FB4">
            <w:pPr>
              <w:pStyle w:val="TableParagraph"/>
              <w:spacing w:line="360" w:lineRule="auto"/>
              <w:ind w:left="172"/>
              <w:jc w:val="both"/>
              <w:rPr>
                <w:sz w:val="20"/>
                <w:szCs w:val="20"/>
              </w:rPr>
            </w:pPr>
            <w:r w:rsidRPr="00A20381">
              <w:rPr>
                <w:sz w:val="20"/>
                <w:szCs w:val="20"/>
              </w:rPr>
              <w:t>44.26</w:t>
            </w:r>
          </w:p>
        </w:tc>
        <w:tc>
          <w:tcPr>
            <w:tcW w:w="800" w:type="dxa"/>
          </w:tcPr>
          <w:p w:rsidR="000377FF" w:rsidRPr="00A20381" w:rsidRDefault="00E85B85" w:rsidP="001A4FB4">
            <w:pPr>
              <w:pStyle w:val="TableParagraph"/>
              <w:spacing w:line="360" w:lineRule="auto"/>
              <w:ind w:left="173"/>
              <w:jc w:val="both"/>
              <w:rPr>
                <w:sz w:val="20"/>
                <w:szCs w:val="20"/>
              </w:rPr>
            </w:pPr>
            <w:r w:rsidRPr="00A20381">
              <w:rPr>
                <w:sz w:val="20"/>
                <w:szCs w:val="20"/>
              </w:rPr>
              <w:t>97.84</w:t>
            </w:r>
          </w:p>
        </w:tc>
        <w:tc>
          <w:tcPr>
            <w:tcW w:w="800" w:type="dxa"/>
          </w:tcPr>
          <w:p w:rsidR="000377FF" w:rsidRPr="00A20381" w:rsidRDefault="00E85B85" w:rsidP="001A4FB4">
            <w:pPr>
              <w:pStyle w:val="TableParagraph"/>
              <w:spacing w:line="360" w:lineRule="auto"/>
              <w:ind w:left="105" w:right="95"/>
              <w:jc w:val="both"/>
              <w:rPr>
                <w:sz w:val="20"/>
                <w:szCs w:val="20"/>
              </w:rPr>
            </w:pPr>
            <w:r w:rsidRPr="00A20381">
              <w:rPr>
                <w:sz w:val="20"/>
                <w:szCs w:val="20"/>
              </w:rPr>
              <w:t>262.91</w:t>
            </w:r>
          </w:p>
        </w:tc>
        <w:tc>
          <w:tcPr>
            <w:tcW w:w="899" w:type="dxa"/>
          </w:tcPr>
          <w:p w:rsidR="000377FF" w:rsidRPr="00A20381" w:rsidRDefault="00E85B85" w:rsidP="001A4FB4">
            <w:pPr>
              <w:pStyle w:val="TableParagraph"/>
              <w:spacing w:line="360" w:lineRule="auto"/>
              <w:ind w:left="97" w:right="86"/>
              <w:jc w:val="both"/>
              <w:rPr>
                <w:sz w:val="20"/>
                <w:szCs w:val="20"/>
              </w:rPr>
            </w:pPr>
            <w:r w:rsidRPr="00A20381">
              <w:rPr>
                <w:sz w:val="20"/>
                <w:szCs w:val="20"/>
              </w:rPr>
              <w:t>169.89</w:t>
            </w:r>
          </w:p>
        </w:tc>
      </w:tr>
      <w:tr w:rsidR="000377FF" w:rsidRPr="00A20381">
        <w:trPr>
          <w:trHeight w:val="396"/>
        </w:trPr>
        <w:tc>
          <w:tcPr>
            <w:tcW w:w="3761" w:type="dxa"/>
          </w:tcPr>
          <w:p w:rsidR="000377FF" w:rsidRPr="00A20381" w:rsidRDefault="00E85B85" w:rsidP="001A4FB4">
            <w:pPr>
              <w:pStyle w:val="TableParagraph"/>
              <w:spacing w:before="93" w:line="360" w:lineRule="auto"/>
              <w:ind w:right="16"/>
              <w:jc w:val="both"/>
              <w:rPr>
                <w:i/>
                <w:sz w:val="20"/>
                <w:szCs w:val="20"/>
              </w:rPr>
            </w:pPr>
            <w:r w:rsidRPr="00A20381">
              <w:rPr>
                <w:i/>
                <w:sz w:val="20"/>
                <w:szCs w:val="20"/>
              </w:rPr>
              <w:t>2014-17</w:t>
            </w:r>
          </w:p>
        </w:tc>
        <w:tc>
          <w:tcPr>
            <w:tcW w:w="947" w:type="dxa"/>
          </w:tcPr>
          <w:p w:rsidR="000377FF" w:rsidRPr="00A20381" w:rsidRDefault="00E85B85" w:rsidP="001A4FB4">
            <w:pPr>
              <w:pStyle w:val="TableParagraph"/>
              <w:spacing w:line="360" w:lineRule="auto"/>
              <w:ind w:left="96" w:right="88"/>
              <w:jc w:val="both"/>
              <w:rPr>
                <w:sz w:val="20"/>
                <w:szCs w:val="20"/>
              </w:rPr>
            </w:pPr>
            <w:r w:rsidRPr="00A20381">
              <w:rPr>
                <w:sz w:val="20"/>
                <w:szCs w:val="20"/>
              </w:rPr>
              <w:t>172.59</w:t>
            </w:r>
          </w:p>
        </w:tc>
        <w:tc>
          <w:tcPr>
            <w:tcW w:w="800" w:type="dxa"/>
          </w:tcPr>
          <w:p w:rsidR="000377FF" w:rsidRPr="00A20381" w:rsidRDefault="00E85B85" w:rsidP="001A4FB4">
            <w:pPr>
              <w:pStyle w:val="TableParagraph"/>
              <w:spacing w:line="360" w:lineRule="auto"/>
              <w:ind w:left="172"/>
              <w:jc w:val="both"/>
              <w:rPr>
                <w:sz w:val="20"/>
                <w:szCs w:val="20"/>
              </w:rPr>
            </w:pPr>
            <w:r w:rsidRPr="00A20381">
              <w:rPr>
                <w:sz w:val="20"/>
                <w:szCs w:val="20"/>
              </w:rPr>
              <w:t>29.17</w:t>
            </w:r>
          </w:p>
        </w:tc>
        <w:tc>
          <w:tcPr>
            <w:tcW w:w="800" w:type="dxa"/>
          </w:tcPr>
          <w:p w:rsidR="000377FF" w:rsidRPr="00A20381" w:rsidRDefault="00E85B85" w:rsidP="001A4FB4">
            <w:pPr>
              <w:pStyle w:val="TableParagraph"/>
              <w:spacing w:line="360" w:lineRule="auto"/>
              <w:ind w:left="123"/>
              <w:jc w:val="both"/>
              <w:rPr>
                <w:sz w:val="20"/>
                <w:szCs w:val="20"/>
              </w:rPr>
            </w:pPr>
            <w:r w:rsidRPr="00A20381">
              <w:rPr>
                <w:sz w:val="20"/>
                <w:szCs w:val="20"/>
              </w:rPr>
              <w:t>123.05</w:t>
            </w:r>
          </w:p>
        </w:tc>
        <w:tc>
          <w:tcPr>
            <w:tcW w:w="800" w:type="dxa"/>
          </w:tcPr>
          <w:p w:rsidR="000377FF" w:rsidRPr="00A20381" w:rsidRDefault="00E85B85" w:rsidP="001A4FB4">
            <w:pPr>
              <w:pStyle w:val="TableParagraph"/>
              <w:spacing w:line="360" w:lineRule="auto"/>
              <w:ind w:left="105" w:right="95"/>
              <w:jc w:val="both"/>
              <w:rPr>
                <w:sz w:val="20"/>
                <w:szCs w:val="20"/>
              </w:rPr>
            </w:pPr>
            <w:r w:rsidRPr="00A20381">
              <w:rPr>
                <w:sz w:val="20"/>
                <w:szCs w:val="20"/>
              </w:rPr>
              <w:t>243.45</w:t>
            </w:r>
          </w:p>
        </w:tc>
        <w:tc>
          <w:tcPr>
            <w:tcW w:w="899" w:type="dxa"/>
          </w:tcPr>
          <w:p w:rsidR="000377FF" w:rsidRPr="00A20381" w:rsidRDefault="00E85B85" w:rsidP="001A4FB4">
            <w:pPr>
              <w:pStyle w:val="TableParagraph"/>
              <w:spacing w:line="360" w:lineRule="auto"/>
              <w:ind w:left="97" w:right="86"/>
              <w:jc w:val="both"/>
              <w:rPr>
                <w:sz w:val="20"/>
                <w:szCs w:val="20"/>
              </w:rPr>
            </w:pPr>
            <w:r w:rsidRPr="00A20381">
              <w:rPr>
                <w:sz w:val="20"/>
                <w:szCs w:val="20"/>
              </w:rPr>
              <w:t>167.90</w:t>
            </w:r>
          </w:p>
        </w:tc>
      </w:tr>
      <w:tr w:rsidR="000377FF" w:rsidRPr="00A20381">
        <w:trPr>
          <w:trHeight w:val="396"/>
        </w:trPr>
        <w:tc>
          <w:tcPr>
            <w:tcW w:w="3761" w:type="dxa"/>
          </w:tcPr>
          <w:p w:rsidR="000377FF" w:rsidRPr="00A20381" w:rsidRDefault="00E85B85" w:rsidP="001A4FB4">
            <w:pPr>
              <w:pStyle w:val="TableParagraph"/>
              <w:spacing w:before="89" w:line="360" w:lineRule="auto"/>
              <w:ind w:right="6"/>
              <w:jc w:val="both"/>
              <w:rPr>
                <w:b/>
                <w:i/>
                <w:sz w:val="20"/>
                <w:szCs w:val="20"/>
              </w:rPr>
            </w:pPr>
            <w:r w:rsidRPr="00A20381">
              <w:rPr>
                <w:b/>
                <w:i/>
                <w:sz w:val="20"/>
                <w:szCs w:val="20"/>
              </w:rPr>
              <w:t xml:space="preserve">10y government </w:t>
            </w:r>
            <w:r w:rsidRPr="00A20381">
              <w:rPr>
                <w:b/>
                <w:i/>
                <w:spacing w:val="-3"/>
                <w:sz w:val="20"/>
                <w:szCs w:val="20"/>
              </w:rPr>
              <w:t xml:space="preserve">bond </w:t>
            </w:r>
            <w:r w:rsidRPr="00A20381">
              <w:rPr>
                <w:b/>
                <w:i/>
                <w:sz w:val="20"/>
                <w:szCs w:val="20"/>
              </w:rPr>
              <w:t xml:space="preserve">yield </w:t>
            </w:r>
            <w:r w:rsidRPr="00A20381">
              <w:rPr>
                <w:b/>
                <w:i/>
                <w:spacing w:val="-4"/>
                <w:sz w:val="20"/>
                <w:szCs w:val="20"/>
              </w:rPr>
              <w:t>spreads</w:t>
            </w:r>
          </w:p>
        </w:tc>
        <w:tc>
          <w:tcPr>
            <w:tcW w:w="4246" w:type="dxa"/>
            <w:gridSpan w:val="5"/>
          </w:tcPr>
          <w:p w:rsidR="000377FF" w:rsidRPr="00A20381" w:rsidRDefault="00E85B85" w:rsidP="001A4FB4">
            <w:pPr>
              <w:pStyle w:val="TableParagraph"/>
              <w:spacing w:line="360" w:lineRule="auto"/>
              <w:ind w:left="1944" w:right="1935"/>
              <w:jc w:val="both"/>
              <w:rPr>
                <w:sz w:val="20"/>
                <w:szCs w:val="20"/>
              </w:rPr>
            </w:pPr>
            <w:r w:rsidRPr="00A20381">
              <w:rPr>
                <w:w w:val="105"/>
                <w:sz w:val="20"/>
                <w:szCs w:val="20"/>
              </w:rPr>
              <w:t>(%)</w:t>
            </w:r>
          </w:p>
        </w:tc>
      </w:tr>
      <w:tr w:rsidR="000377FF" w:rsidRPr="00A20381">
        <w:trPr>
          <w:trHeight w:val="396"/>
        </w:trPr>
        <w:tc>
          <w:tcPr>
            <w:tcW w:w="3761" w:type="dxa"/>
          </w:tcPr>
          <w:p w:rsidR="000377FF" w:rsidRPr="00A20381" w:rsidRDefault="00E85B85" w:rsidP="001A4FB4">
            <w:pPr>
              <w:pStyle w:val="TableParagraph"/>
              <w:spacing w:before="93" w:line="360" w:lineRule="auto"/>
              <w:ind w:right="16"/>
              <w:jc w:val="both"/>
              <w:rPr>
                <w:i/>
                <w:sz w:val="20"/>
                <w:szCs w:val="20"/>
              </w:rPr>
            </w:pPr>
            <w:r w:rsidRPr="00A20381">
              <w:rPr>
                <w:i/>
                <w:sz w:val="20"/>
                <w:szCs w:val="20"/>
              </w:rPr>
              <w:t>2007-10</w:t>
            </w:r>
          </w:p>
        </w:tc>
        <w:tc>
          <w:tcPr>
            <w:tcW w:w="947" w:type="dxa"/>
          </w:tcPr>
          <w:p w:rsidR="000377FF" w:rsidRPr="00A20381" w:rsidRDefault="00E85B85" w:rsidP="001A4FB4">
            <w:pPr>
              <w:pStyle w:val="TableParagraph"/>
              <w:spacing w:line="360" w:lineRule="auto"/>
              <w:ind w:left="96" w:right="88"/>
              <w:jc w:val="both"/>
              <w:rPr>
                <w:sz w:val="20"/>
                <w:szCs w:val="20"/>
              </w:rPr>
            </w:pPr>
            <w:r w:rsidRPr="00A20381">
              <w:rPr>
                <w:sz w:val="20"/>
                <w:szCs w:val="20"/>
              </w:rPr>
              <w:t>0.6544</w:t>
            </w:r>
          </w:p>
        </w:tc>
        <w:tc>
          <w:tcPr>
            <w:tcW w:w="800" w:type="dxa"/>
          </w:tcPr>
          <w:p w:rsidR="000377FF" w:rsidRPr="00A20381" w:rsidRDefault="00E85B85" w:rsidP="001A4FB4">
            <w:pPr>
              <w:pStyle w:val="TableParagraph"/>
              <w:spacing w:line="360" w:lineRule="auto"/>
              <w:ind w:left="122"/>
              <w:jc w:val="both"/>
              <w:rPr>
                <w:sz w:val="20"/>
                <w:szCs w:val="20"/>
              </w:rPr>
            </w:pPr>
            <w:r w:rsidRPr="00A20381">
              <w:rPr>
                <w:sz w:val="20"/>
                <w:szCs w:val="20"/>
              </w:rPr>
              <w:t>0.3962</w:t>
            </w:r>
          </w:p>
        </w:tc>
        <w:tc>
          <w:tcPr>
            <w:tcW w:w="800" w:type="dxa"/>
          </w:tcPr>
          <w:p w:rsidR="000377FF" w:rsidRPr="00A20381" w:rsidRDefault="00E85B85" w:rsidP="001A4FB4">
            <w:pPr>
              <w:pStyle w:val="TableParagraph"/>
              <w:spacing w:line="360" w:lineRule="auto"/>
              <w:ind w:left="123"/>
              <w:jc w:val="both"/>
              <w:rPr>
                <w:sz w:val="20"/>
                <w:szCs w:val="20"/>
              </w:rPr>
            </w:pPr>
            <w:r w:rsidRPr="00A20381">
              <w:rPr>
                <w:sz w:val="20"/>
                <w:szCs w:val="20"/>
              </w:rPr>
              <w:t>0.1880</w:t>
            </w:r>
          </w:p>
        </w:tc>
        <w:tc>
          <w:tcPr>
            <w:tcW w:w="800" w:type="dxa"/>
          </w:tcPr>
          <w:p w:rsidR="000377FF" w:rsidRPr="00A20381" w:rsidRDefault="00E85B85" w:rsidP="001A4FB4">
            <w:pPr>
              <w:pStyle w:val="TableParagraph"/>
              <w:spacing w:line="360" w:lineRule="auto"/>
              <w:ind w:left="105" w:right="95"/>
              <w:jc w:val="both"/>
              <w:rPr>
                <w:sz w:val="20"/>
                <w:szCs w:val="20"/>
              </w:rPr>
            </w:pPr>
            <w:r w:rsidRPr="00A20381">
              <w:rPr>
                <w:sz w:val="20"/>
                <w:szCs w:val="20"/>
              </w:rPr>
              <w:t>1.5860</w:t>
            </w:r>
          </w:p>
        </w:tc>
        <w:tc>
          <w:tcPr>
            <w:tcW w:w="899" w:type="dxa"/>
          </w:tcPr>
          <w:p w:rsidR="000377FF" w:rsidRPr="00A20381" w:rsidRDefault="00E85B85" w:rsidP="001A4FB4">
            <w:pPr>
              <w:pStyle w:val="TableParagraph"/>
              <w:spacing w:line="360" w:lineRule="auto"/>
              <w:ind w:left="97" w:right="86"/>
              <w:jc w:val="both"/>
              <w:rPr>
                <w:sz w:val="20"/>
                <w:szCs w:val="20"/>
              </w:rPr>
            </w:pPr>
            <w:r w:rsidRPr="00A20381">
              <w:rPr>
                <w:sz w:val="20"/>
                <w:szCs w:val="20"/>
              </w:rPr>
              <w:t>0.5560</w:t>
            </w:r>
          </w:p>
        </w:tc>
      </w:tr>
      <w:tr w:rsidR="000377FF" w:rsidRPr="00A20381">
        <w:trPr>
          <w:trHeight w:val="396"/>
        </w:trPr>
        <w:tc>
          <w:tcPr>
            <w:tcW w:w="3761" w:type="dxa"/>
          </w:tcPr>
          <w:p w:rsidR="000377FF" w:rsidRPr="00A20381" w:rsidRDefault="00E85B85" w:rsidP="001A4FB4">
            <w:pPr>
              <w:pStyle w:val="TableParagraph"/>
              <w:spacing w:before="93" w:line="360" w:lineRule="auto"/>
              <w:ind w:right="16"/>
              <w:jc w:val="both"/>
              <w:rPr>
                <w:i/>
                <w:sz w:val="20"/>
                <w:szCs w:val="20"/>
              </w:rPr>
            </w:pPr>
            <w:r w:rsidRPr="00A20381">
              <w:rPr>
                <w:i/>
                <w:sz w:val="20"/>
                <w:szCs w:val="20"/>
              </w:rPr>
              <w:t>2010-12</w:t>
            </w:r>
          </w:p>
        </w:tc>
        <w:tc>
          <w:tcPr>
            <w:tcW w:w="947" w:type="dxa"/>
          </w:tcPr>
          <w:p w:rsidR="000377FF" w:rsidRPr="00A20381" w:rsidRDefault="00E85B85" w:rsidP="001A4FB4">
            <w:pPr>
              <w:pStyle w:val="TableParagraph"/>
              <w:spacing w:line="360" w:lineRule="auto"/>
              <w:ind w:left="96" w:right="88"/>
              <w:jc w:val="both"/>
              <w:rPr>
                <w:sz w:val="20"/>
                <w:szCs w:val="20"/>
              </w:rPr>
            </w:pPr>
            <w:r w:rsidRPr="00A20381">
              <w:rPr>
                <w:sz w:val="20"/>
                <w:szCs w:val="20"/>
              </w:rPr>
              <w:t>2.6154</w:t>
            </w:r>
          </w:p>
        </w:tc>
        <w:tc>
          <w:tcPr>
            <w:tcW w:w="800" w:type="dxa"/>
          </w:tcPr>
          <w:p w:rsidR="000377FF" w:rsidRPr="00A20381" w:rsidRDefault="00E85B85" w:rsidP="001A4FB4">
            <w:pPr>
              <w:pStyle w:val="TableParagraph"/>
              <w:spacing w:line="360" w:lineRule="auto"/>
              <w:ind w:left="122"/>
              <w:jc w:val="both"/>
              <w:rPr>
                <w:sz w:val="20"/>
                <w:szCs w:val="20"/>
              </w:rPr>
            </w:pPr>
            <w:r w:rsidRPr="00A20381">
              <w:rPr>
                <w:sz w:val="20"/>
                <w:szCs w:val="20"/>
              </w:rPr>
              <w:t>1.3509</w:t>
            </w:r>
          </w:p>
        </w:tc>
        <w:tc>
          <w:tcPr>
            <w:tcW w:w="800" w:type="dxa"/>
          </w:tcPr>
          <w:p w:rsidR="000377FF" w:rsidRPr="00A20381" w:rsidRDefault="00E85B85" w:rsidP="001A4FB4">
            <w:pPr>
              <w:pStyle w:val="TableParagraph"/>
              <w:spacing w:line="360" w:lineRule="auto"/>
              <w:ind w:left="123"/>
              <w:jc w:val="both"/>
              <w:rPr>
                <w:sz w:val="20"/>
                <w:szCs w:val="20"/>
              </w:rPr>
            </w:pPr>
            <w:r w:rsidRPr="00A20381">
              <w:rPr>
                <w:sz w:val="20"/>
                <w:szCs w:val="20"/>
              </w:rPr>
              <w:t>0.6930</w:t>
            </w:r>
          </w:p>
        </w:tc>
        <w:tc>
          <w:tcPr>
            <w:tcW w:w="800" w:type="dxa"/>
          </w:tcPr>
          <w:p w:rsidR="000377FF" w:rsidRPr="00A20381" w:rsidRDefault="00E85B85" w:rsidP="001A4FB4">
            <w:pPr>
              <w:pStyle w:val="TableParagraph"/>
              <w:spacing w:line="360" w:lineRule="auto"/>
              <w:ind w:left="105" w:right="95"/>
              <w:jc w:val="both"/>
              <w:rPr>
                <w:sz w:val="20"/>
                <w:szCs w:val="20"/>
              </w:rPr>
            </w:pPr>
            <w:r w:rsidRPr="00A20381">
              <w:rPr>
                <w:sz w:val="20"/>
                <w:szCs w:val="20"/>
              </w:rPr>
              <w:t>5.5250</w:t>
            </w:r>
          </w:p>
        </w:tc>
        <w:tc>
          <w:tcPr>
            <w:tcW w:w="899" w:type="dxa"/>
          </w:tcPr>
          <w:p w:rsidR="000377FF" w:rsidRPr="00A20381" w:rsidRDefault="00E85B85" w:rsidP="001A4FB4">
            <w:pPr>
              <w:pStyle w:val="TableParagraph"/>
              <w:spacing w:line="360" w:lineRule="auto"/>
              <w:ind w:left="97" w:right="86"/>
              <w:jc w:val="both"/>
              <w:rPr>
                <w:sz w:val="20"/>
                <w:szCs w:val="20"/>
              </w:rPr>
            </w:pPr>
            <w:r w:rsidRPr="00A20381">
              <w:rPr>
                <w:sz w:val="20"/>
                <w:szCs w:val="20"/>
              </w:rPr>
              <w:t>2.0690</w:t>
            </w:r>
          </w:p>
        </w:tc>
      </w:tr>
      <w:tr w:rsidR="000377FF" w:rsidRPr="00A20381">
        <w:trPr>
          <w:trHeight w:val="396"/>
        </w:trPr>
        <w:tc>
          <w:tcPr>
            <w:tcW w:w="3761" w:type="dxa"/>
          </w:tcPr>
          <w:p w:rsidR="000377FF" w:rsidRPr="00A20381" w:rsidRDefault="00E85B85" w:rsidP="001A4FB4">
            <w:pPr>
              <w:pStyle w:val="TableParagraph"/>
              <w:spacing w:before="93" w:line="360" w:lineRule="auto"/>
              <w:ind w:right="16"/>
              <w:jc w:val="both"/>
              <w:rPr>
                <w:i/>
                <w:sz w:val="20"/>
                <w:szCs w:val="20"/>
              </w:rPr>
            </w:pPr>
            <w:r w:rsidRPr="00A20381">
              <w:rPr>
                <w:i/>
                <w:sz w:val="20"/>
                <w:szCs w:val="20"/>
              </w:rPr>
              <w:t>2012-14</w:t>
            </w:r>
          </w:p>
        </w:tc>
        <w:tc>
          <w:tcPr>
            <w:tcW w:w="947" w:type="dxa"/>
          </w:tcPr>
          <w:p w:rsidR="000377FF" w:rsidRPr="00A20381" w:rsidRDefault="00E85B85" w:rsidP="001A4FB4">
            <w:pPr>
              <w:pStyle w:val="TableParagraph"/>
              <w:spacing w:line="360" w:lineRule="auto"/>
              <w:ind w:left="96" w:right="88"/>
              <w:jc w:val="both"/>
              <w:rPr>
                <w:sz w:val="20"/>
                <w:szCs w:val="20"/>
              </w:rPr>
            </w:pPr>
            <w:r w:rsidRPr="00A20381">
              <w:rPr>
                <w:sz w:val="20"/>
                <w:szCs w:val="20"/>
              </w:rPr>
              <w:t>2.1843</w:t>
            </w:r>
          </w:p>
        </w:tc>
        <w:tc>
          <w:tcPr>
            <w:tcW w:w="800" w:type="dxa"/>
          </w:tcPr>
          <w:p w:rsidR="000377FF" w:rsidRPr="00A20381" w:rsidRDefault="00E85B85" w:rsidP="001A4FB4">
            <w:pPr>
              <w:pStyle w:val="TableParagraph"/>
              <w:spacing w:line="360" w:lineRule="auto"/>
              <w:ind w:left="122"/>
              <w:jc w:val="both"/>
              <w:rPr>
                <w:sz w:val="20"/>
                <w:szCs w:val="20"/>
              </w:rPr>
            </w:pPr>
            <w:r w:rsidRPr="00A20381">
              <w:rPr>
                <w:sz w:val="20"/>
                <w:szCs w:val="20"/>
              </w:rPr>
              <w:t>0.5755</w:t>
            </w:r>
          </w:p>
        </w:tc>
        <w:tc>
          <w:tcPr>
            <w:tcW w:w="800" w:type="dxa"/>
          </w:tcPr>
          <w:p w:rsidR="000377FF" w:rsidRPr="00A20381" w:rsidRDefault="00E85B85" w:rsidP="001A4FB4">
            <w:pPr>
              <w:pStyle w:val="TableParagraph"/>
              <w:spacing w:line="360" w:lineRule="auto"/>
              <w:ind w:left="123"/>
              <w:jc w:val="both"/>
              <w:rPr>
                <w:sz w:val="20"/>
                <w:szCs w:val="20"/>
              </w:rPr>
            </w:pPr>
            <w:r w:rsidRPr="00A20381">
              <w:rPr>
                <w:sz w:val="20"/>
                <w:szCs w:val="20"/>
              </w:rPr>
              <w:t>1.1970</w:t>
            </w:r>
          </w:p>
        </w:tc>
        <w:tc>
          <w:tcPr>
            <w:tcW w:w="800" w:type="dxa"/>
          </w:tcPr>
          <w:p w:rsidR="000377FF" w:rsidRPr="00A20381" w:rsidRDefault="00E85B85" w:rsidP="001A4FB4">
            <w:pPr>
              <w:pStyle w:val="TableParagraph"/>
              <w:spacing w:line="360" w:lineRule="auto"/>
              <w:ind w:left="105" w:right="95"/>
              <w:jc w:val="both"/>
              <w:rPr>
                <w:sz w:val="20"/>
                <w:szCs w:val="20"/>
              </w:rPr>
            </w:pPr>
            <w:r w:rsidRPr="00A20381">
              <w:rPr>
                <w:sz w:val="20"/>
                <w:szCs w:val="20"/>
              </w:rPr>
              <w:t>3.5090</w:t>
            </w:r>
          </w:p>
        </w:tc>
        <w:tc>
          <w:tcPr>
            <w:tcW w:w="899" w:type="dxa"/>
          </w:tcPr>
          <w:p w:rsidR="000377FF" w:rsidRPr="00A20381" w:rsidRDefault="00E85B85" w:rsidP="001A4FB4">
            <w:pPr>
              <w:pStyle w:val="TableParagraph"/>
              <w:spacing w:line="360" w:lineRule="auto"/>
              <w:ind w:left="97" w:right="86"/>
              <w:jc w:val="both"/>
              <w:rPr>
                <w:sz w:val="20"/>
                <w:szCs w:val="20"/>
              </w:rPr>
            </w:pPr>
            <w:r w:rsidRPr="00A20381">
              <w:rPr>
                <w:sz w:val="20"/>
                <w:szCs w:val="20"/>
              </w:rPr>
              <w:t>2.2755</w:t>
            </w:r>
          </w:p>
        </w:tc>
      </w:tr>
      <w:tr w:rsidR="000377FF" w:rsidRPr="00A20381">
        <w:trPr>
          <w:trHeight w:val="396"/>
        </w:trPr>
        <w:tc>
          <w:tcPr>
            <w:tcW w:w="3761" w:type="dxa"/>
          </w:tcPr>
          <w:p w:rsidR="000377FF" w:rsidRPr="00A20381" w:rsidRDefault="00E85B85" w:rsidP="001A4FB4">
            <w:pPr>
              <w:pStyle w:val="TableParagraph"/>
              <w:spacing w:before="93" w:line="360" w:lineRule="auto"/>
              <w:ind w:right="16"/>
              <w:jc w:val="both"/>
              <w:rPr>
                <w:i/>
                <w:sz w:val="20"/>
                <w:szCs w:val="20"/>
              </w:rPr>
            </w:pPr>
            <w:r w:rsidRPr="00A20381">
              <w:rPr>
                <w:i/>
                <w:sz w:val="20"/>
                <w:szCs w:val="20"/>
              </w:rPr>
              <w:t>2014-17</w:t>
            </w:r>
          </w:p>
        </w:tc>
        <w:tc>
          <w:tcPr>
            <w:tcW w:w="947" w:type="dxa"/>
          </w:tcPr>
          <w:p w:rsidR="000377FF" w:rsidRPr="00A20381" w:rsidRDefault="00E85B85" w:rsidP="001A4FB4">
            <w:pPr>
              <w:pStyle w:val="TableParagraph"/>
              <w:spacing w:line="360" w:lineRule="auto"/>
              <w:ind w:left="96" w:right="88"/>
              <w:jc w:val="both"/>
              <w:rPr>
                <w:sz w:val="20"/>
                <w:szCs w:val="20"/>
              </w:rPr>
            </w:pPr>
            <w:r w:rsidRPr="00A20381">
              <w:rPr>
                <w:sz w:val="20"/>
                <w:szCs w:val="20"/>
              </w:rPr>
              <w:t>1.4062</w:t>
            </w:r>
          </w:p>
        </w:tc>
        <w:tc>
          <w:tcPr>
            <w:tcW w:w="800" w:type="dxa"/>
          </w:tcPr>
          <w:p w:rsidR="000377FF" w:rsidRPr="00A20381" w:rsidRDefault="00E85B85" w:rsidP="001A4FB4">
            <w:pPr>
              <w:pStyle w:val="TableParagraph"/>
              <w:spacing w:line="360" w:lineRule="auto"/>
              <w:ind w:left="122"/>
              <w:jc w:val="both"/>
              <w:rPr>
                <w:sz w:val="20"/>
                <w:szCs w:val="20"/>
              </w:rPr>
            </w:pPr>
            <w:r w:rsidRPr="00A20381">
              <w:rPr>
                <w:sz w:val="20"/>
                <w:szCs w:val="20"/>
              </w:rPr>
              <w:t>0.3027</w:t>
            </w:r>
          </w:p>
        </w:tc>
        <w:tc>
          <w:tcPr>
            <w:tcW w:w="800" w:type="dxa"/>
          </w:tcPr>
          <w:p w:rsidR="000377FF" w:rsidRPr="00A20381" w:rsidRDefault="00E85B85" w:rsidP="001A4FB4">
            <w:pPr>
              <w:pStyle w:val="TableParagraph"/>
              <w:spacing w:line="360" w:lineRule="auto"/>
              <w:ind w:left="123"/>
              <w:jc w:val="both"/>
              <w:rPr>
                <w:sz w:val="20"/>
                <w:szCs w:val="20"/>
              </w:rPr>
            </w:pPr>
            <w:r w:rsidRPr="00A20381">
              <w:rPr>
                <w:sz w:val="20"/>
                <w:szCs w:val="20"/>
              </w:rPr>
              <w:t>0.8800</w:t>
            </w:r>
          </w:p>
        </w:tc>
        <w:tc>
          <w:tcPr>
            <w:tcW w:w="800" w:type="dxa"/>
          </w:tcPr>
          <w:p w:rsidR="000377FF" w:rsidRPr="00A20381" w:rsidRDefault="00E85B85" w:rsidP="001A4FB4">
            <w:pPr>
              <w:pStyle w:val="TableParagraph"/>
              <w:spacing w:line="360" w:lineRule="auto"/>
              <w:ind w:left="105" w:right="95"/>
              <w:jc w:val="both"/>
              <w:rPr>
                <w:sz w:val="20"/>
                <w:szCs w:val="20"/>
              </w:rPr>
            </w:pPr>
            <w:r w:rsidRPr="00A20381">
              <w:rPr>
                <w:sz w:val="20"/>
                <w:szCs w:val="20"/>
              </w:rPr>
              <w:t>2.1300</w:t>
            </w:r>
          </w:p>
        </w:tc>
        <w:tc>
          <w:tcPr>
            <w:tcW w:w="899" w:type="dxa"/>
          </w:tcPr>
          <w:p w:rsidR="000377FF" w:rsidRPr="00A20381" w:rsidRDefault="00E85B85" w:rsidP="001A4FB4">
            <w:pPr>
              <w:pStyle w:val="TableParagraph"/>
              <w:spacing w:line="360" w:lineRule="auto"/>
              <w:ind w:left="97" w:right="86"/>
              <w:jc w:val="both"/>
              <w:rPr>
                <w:sz w:val="20"/>
                <w:szCs w:val="20"/>
              </w:rPr>
            </w:pPr>
            <w:r w:rsidRPr="00A20381">
              <w:rPr>
                <w:sz w:val="20"/>
                <w:szCs w:val="20"/>
              </w:rPr>
              <w:t>1.3260</w:t>
            </w:r>
          </w:p>
        </w:tc>
      </w:tr>
    </w:tbl>
    <w:p w:rsidR="000377FF" w:rsidRDefault="00E85B85" w:rsidP="001A4FB4">
      <w:pPr>
        <w:spacing w:before="150" w:line="360" w:lineRule="auto"/>
        <w:ind w:firstLine="112"/>
        <w:jc w:val="both"/>
        <w:rPr>
          <w:sz w:val="20"/>
          <w:szCs w:val="20"/>
        </w:rPr>
      </w:pPr>
      <w:r w:rsidRPr="00A20381">
        <w:rPr>
          <w:w w:val="105"/>
          <w:sz w:val="20"/>
          <w:szCs w:val="20"/>
        </w:rPr>
        <w:t xml:space="preserve">Source: </w:t>
      </w:r>
      <w:r w:rsidR="00740B51" w:rsidRPr="00A20381">
        <w:rPr>
          <w:sz w:val="20"/>
          <w:szCs w:val="20"/>
        </w:rPr>
        <w:t>authors’ calculations based on Bloomberg data.</w:t>
      </w:r>
    </w:p>
    <w:p w:rsidR="00E74FF8" w:rsidRPr="00E74FF8" w:rsidRDefault="00E24EED" w:rsidP="008767EA">
      <w:pPr>
        <w:spacing w:before="150" w:line="360" w:lineRule="auto"/>
        <w:jc w:val="both"/>
        <w:rPr>
          <w:sz w:val="20"/>
          <w:szCs w:val="20"/>
        </w:rPr>
      </w:pPr>
      <w:r>
        <w:rPr>
          <w:sz w:val="20"/>
          <w:szCs w:val="20"/>
        </w:rPr>
        <w:t xml:space="preserve">   </w:t>
      </w:r>
    </w:p>
    <w:p w:rsidR="000377FF" w:rsidRPr="00A20381" w:rsidRDefault="00E85B85" w:rsidP="001A4FB4">
      <w:pPr>
        <w:spacing w:line="360" w:lineRule="auto"/>
        <w:ind w:left="113" w:right="111"/>
        <w:jc w:val="both"/>
        <w:rPr>
          <w:sz w:val="20"/>
        </w:rPr>
      </w:pPr>
      <w:r w:rsidRPr="00A20381">
        <w:rPr>
          <w:sz w:val="20"/>
        </w:rPr>
        <w:t>The</w:t>
      </w:r>
      <w:r w:rsidRPr="00A20381">
        <w:rPr>
          <w:spacing w:val="-6"/>
          <w:sz w:val="20"/>
        </w:rPr>
        <w:t xml:space="preserve"> </w:t>
      </w:r>
      <w:r w:rsidRPr="00A20381">
        <w:rPr>
          <w:sz w:val="20"/>
        </w:rPr>
        <w:t>econometric</w:t>
      </w:r>
      <w:r w:rsidRPr="00A20381">
        <w:rPr>
          <w:spacing w:val="-5"/>
          <w:sz w:val="20"/>
        </w:rPr>
        <w:t xml:space="preserve"> </w:t>
      </w:r>
      <w:r w:rsidRPr="00A20381">
        <w:rPr>
          <w:sz w:val="20"/>
        </w:rPr>
        <w:t>model</w:t>
      </w:r>
      <w:r w:rsidRPr="00A20381">
        <w:rPr>
          <w:spacing w:val="-4"/>
          <w:sz w:val="20"/>
        </w:rPr>
        <w:t xml:space="preserve"> </w:t>
      </w:r>
      <w:r w:rsidRPr="00A20381">
        <w:rPr>
          <w:sz w:val="20"/>
        </w:rPr>
        <w:t>implemented</w:t>
      </w:r>
      <w:r w:rsidRPr="00A20381">
        <w:rPr>
          <w:spacing w:val="-6"/>
          <w:sz w:val="20"/>
        </w:rPr>
        <w:t xml:space="preserve"> </w:t>
      </w:r>
      <w:r w:rsidRPr="00A20381">
        <w:rPr>
          <w:sz w:val="20"/>
        </w:rPr>
        <w:t>is</w:t>
      </w:r>
      <w:r w:rsidRPr="00A20381">
        <w:rPr>
          <w:spacing w:val="-5"/>
          <w:sz w:val="20"/>
        </w:rPr>
        <w:t xml:space="preserve"> </w:t>
      </w:r>
      <w:r w:rsidRPr="00A20381">
        <w:rPr>
          <w:sz w:val="20"/>
        </w:rPr>
        <w:t>based</w:t>
      </w:r>
      <w:r w:rsidRPr="00A20381">
        <w:rPr>
          <w:spacing w:val="-5"/>
          <w:sz w:val="20"/>
        </w:rPr>
        <w:t xml:space="preserve"> </w:t>
      </w:r>
      <w:r w:rsidRPr="00A20381">
        <w:rPr>
          <w:sz w:val="20"/>
        </w:rPr>
        <w:t>on</w:t>
      </w:r>
      <w:r w:rsidRPr="00A20381">
        <w:rPr>
          <w:spacing w:val="-6"/>
          <w:sz w:val="20"/>
        </w:rPr>
        <w:t xml:space="preserve"> </w:t>
      </w:r>
      <w:r w:rsidRPr="00A20381">
        <w:rPr>
          <w:sz w:val="20"/>
        </w:rPr>
        <w:t>the</w:t>
      </w:r>
      <w:r w:rsidRPr="00A20381">
        <w:rPr>
          <w:spacing w:val="-5"/>
          <w:sz w:val="20"/>
        </w:rPr>
        <w:t xml:space="preserve"> </w:t>
      </w:r>
      <w:r w:rsidRPr="00A20381">
        <w:rPr>
          <w:sz w:val="20"/>
        </w:rPr>
        <w:t>methodology</w:t>
      </w:r>
      <w:r w:rsidRPr="00A20381">
        <w:rPr>
          <w:spacing w:val="-5"/>
          <w:sz w:val="20"/>
        </w:rPr>
        <w:t xml:space="preserve"> </w:t>
      </w:r>
      <w:r w:rsidRPr="00A20381">
        <w:rPr>
          <w:sz w:val="20"/>
        </w:rPr>
        <w:t>suggested</w:t>
      </w:r>
      <w:r w:rsidRPr="00A20381">
        <w:rPr>
          <w:spacing w:val="-5"/>
          <w:sz w:val="20"/>
        </w:rPr>
        <w:t xml:space="preserve"> </w:t>
      </w:r>
      <w:r w:rsidRPr="00A20381">
        <w:rPr>
          <w:spacing w:val="-3"/>
          <w:sz w:val="20"/>
        </w:rPr>
        <w:t>by</w:t>
      </w:r>
      <w:r w:rsidRPr="00A20381">
        <w:rPr>
          <w:spacing w:val="-5"/>
          <w:sz w:val="20"/>
        </w:rPr>
        <w:t xml:space="preserve"> </w:t>
      </w:r>
      <w:r w:rsidRPr="00A20381">
        <w:rPr>
          <w:i/>
          <w:sz w:val="20"/>
        </w:rPr>
        <w:t>Gonzalo</w:t>
      </w:r>
      <w:r w:rsidRPr="00A20381">
        <w:rPr>
          <w:i/>
          <w:spacing w:val="4"/>
          <w:sz w:val="20"/>
        </w:rPr>
        <w:t xml:space="preserve"> </w:t>
      </w:r>
      <w:r w:rsidRPr="00A20381">
        <w:rPr>
          <w:sz w:val="20"/>
        </w:rPr>
        <w:t>and</w:t>
      </w:r>
      <w:r w:rsidRPr="00A20381">
        <w:rPr>
          <w:spacing w:val="-5"/>
          <w:sz w:val="20"/>
        </w:rPr>
        <w:t xml:space="preserve"> </w:t>
      </w:r>
      <w:r w:rsidRPr="00A20381">
        <w:rPr>
          <w:i/>
          <w:sz w:val="20"/>
        </w:rPr>
        <w:t>Granger</w:t>
      </w:r>
      <w:r w:rsidRPr="00A20381">
        <w:rPr>
          <w:i/>
          <w:spacing w:val="11"/>
          <w:sz w:val="20"/>
        </w:rPr>
        <w:t xml:space="preserve"> </w:t>
      </w:r>
      <w:r w:rsidRPr="00A20381">
        <w:rPr>
          <w:sz w:val="20"/>
        </w:rPr>
        <w:t>(</w:t>
      </w:r>
      <w:r w:rsidR="001E4EE3" w:rsidRPr="00A20381">
        <w:rPr>
          <w:i/>
          <w:sz w:val="20"/>
        </w:rPr>
        <w:t>1995</w:t>
      </w:r>
      <w:r w:rsidR="00EE4A62">
        <w:rPr>
          <w:spacing w:val="-30"/>
          <w:sz w:val="20"/>
        </w:rPr>
        <w:t>)</w:t>
      </w:r>
      <w:r w:rsidR="00EE4A62">
        <w:rPr>
          <w:sz w:val="20"/>
        </w:rPr>
        <w:t>.</w:t>
      </w:r>
      <w:r w:rsidR="00962AF2">
        <w:rPr>
          <w:sz w:val="20"/>
        </w:rPr>
        <w:t xml:space="preserve"> </w:t>
      </w:r>
      <w:r w:rsidR="005C1ACC" w:rsidRPr="009C31DC">
        <w:rPr>
          <w:i/>
          <w:sz w:val="20"/>
        </w:rPr>
        <w:t>De Jong</w:t>
      </w:r>
      <w:r w:rsidR="005C1ACC" w:rsidRPr="009C31DC">
        <w:rPr>
          <w:sz w:val="20"/>
        </w:rPr>
        <w:t xml:space="preserve"> (</w:t>
      </w:r>
      <w:r w:rsidR="005C1ACC" w:rsidRPr="009C31DC">
        <w:rPr>
          <w:i/>
          <w:sz w:val="20"/>
        </w:rPr>
        <w:t>2002</w:t>
      </w:r>
      <w:r w:rsidR="005C1ACC" w:rsidRPr="009C31DC">
        <w:rPr>
          <w:sz w:val="20"/>
        </w:rPr>
        <w:t>)</w:t>
      </w:r>
      <w:r w:rsidRPr="009C31DC">
        <w:rPr>
          <w:spacing w:val="15"/>
          <w:sz w:val="20"/>
        </w:rPr>
        <w:t xml:space="preserve"> </w:t>
      </w:r>
      <w:r w:rsidR="005C1ACC" w:rsidRPr="009C31DC">
        <w:rPr>
          <w:sz w:val="20"/>
        </w:rPr>
        <w:t>shows that, although</w:t>
      </w:r>
      <w:r w:rsidR="005A0A40" w:rsidRPr="009C31DC">
        <w:rPr>
          <w:sz w:val="20"/>
        </w:rPr>
        <w:t xml:space="preserve"> Gonzalo-Granger and Hasbrouck approaches</w:t>
      </w:r>
      <w:r w:rsidR="005C1ACC" w:rsidRPr="009C31DC">
        <w:rPr>
          <w:sz w:val="20"/>
        </w:rPr>
        <w:t xml:space="preserve"> have their merits, the former is useful if one wants to construct the innovations in the efficient price from the full innovation vector (the major difference between the two approaches is the role of the variance of innovations). </w:t>
      </w:r>
      <w:r w:rsidRPr="009C31DC">
        <w:rPr>
          <w:sz w:val="20"/>
        </w:rPr>
        <w:t>The</w:t>
      </w:r>
      <w:r w:rsidR="008C76EC" w:rsidRPr="00A20381">
        <w:rPr>
          <w:sz w:val="20"/>
        </w:rPr>
        <w:t xml:space="preserve"> analysis, therefore, develops</w:t>
      </w:r>
      <w:r w:rsidRPr="00A20381">
        <w:rPr>
          <w:sz w:val="20"/>
        </w:rPr>
        <w:t xml:space="preserve"> in</w:t>
      </w:r>
      <w:r w:rsidRPr="00A20381">
        <w:rPr>
          <w:spacing w:val="43"/>
          <w:sz w:val="20"/>
        </w:rPr>
        <w:t xml:space="preserve"> </w:t>
      </w:r>
      <w:r w:rsidRPr="00A20381">
        <w:rPr>
          <w:i/>
          <w:sz w:val="20"/>
        </w:rPr>
        <w:t>two stages</w:t>
      </w:r>
      <w:r w:rsidRPr="00A20381">
        <w:rPr>
          <w:sz w:val="20"/>
        </w:rPr>
        <w:t>.</w:t>
      </w:r>
    </w:p>
    <w:p w:rsidR="000377FF" w:rsidRPr="00A20381" w:rsidRDefault="00E85B85" w:rsidP="001A4FB4">
      <w:pPr>
        <w:pStyle w:val="Corpotesto"/>
        <w:spacing w:before="2" w:line="360" w:lineRule="auto"/>
        <w:ind w:left="113" w:right="110"/>
        <w:jc w:val="both"/>
      </w:pPr>
      <w:r w:rsidRPr="00A20381">
        <w:t xml:space="preserve">In the </w:t>
      </w:r>
      <w:r w:rsidRPr="00A20381">
        <w:rPr>
          <w:i/>
        </w:rPr>
        <w:t>first stage</w:t>
      </w:r>
      <w:r w:rsidR="001E4EE3" w:rsidRPr="00A20381">
        <w:t>, we</w:t>
      </w:r>
      <w:r w:rsidRPr="00A20381">
        <w:t xml:space="preserve"> </w:t>
      </w:r>
      <w:r w:rsidR="00B8686E">
        <w:t>verify whether the short-term</w:t>
      </w:r>
      <w:r w:rsidRPr="00A20381">
        <w:t xml:space="preserve"> deviations of these </w:t>
      </w:r>
      <w:r w:rsidRPr="00A20381">
        <w:rPr>
          <w:spacing w:val="-4"/>
        </w:rPr>
        <w:t xml:space="preserve">two </w:t>
      </w:r>
      <w:r w:rsidRPr="00A20381">
        <w:t xml:space="preserve">series converge </w:t>
      </w:r>
      <w:r w:rsidRPr="00A20381">
        <w:rPr>
          <w:spacing w:val="-3"/>
        </w:rPr>
        <w:t xml:space="preserve">towards </w:t>
      </w:r>
      <w:r w:rsidRPr="00A20381">
        <w:t>the long</w:t>
      </w:r>
      <w:r w:rsidR="00B8686E">
        <w:t>-term</w:t>
      </w:r>
      <w:r w:rsidRPr="00A20381">
        <w:t xml:space="preserve"> equilibrium through a </w:t>
      </w:r>
      <w:r w:rsidRPr="00A20381">
        <w:rPr>
          <w:spacing w:val="-3"/>
        </w:rPr>
        <w:t>«</w:t>
      </w:r>
      <w:proofErr w:type="spellStart"/>
      <w:r w:rsidRPr="00A20381">
        <w:rPr>
          <w:i/>
          <w:spacing w:val="-3"/>
        </w:rPr>
        <w:t>cointegration</w:t>
      </w:r>
      <w:proofErr w:type="spellEnd"/>
      <w:r w:rsidRPr="00A20381">
        <w:rPr>
          <w:i/>
          <w:spacing w:val="-3"/>
        </w:rPr>
        <w:t xml:space="preserve"> </w:t>
      </w:r>
      <w:r w:rsidRPr="00A20381">
        <w:rPr>
          <w:i/>
        </w:rPr>
        <w:t>analysis</w:t>
      </w:r>
      <w:r w:rsidRPr="00A20381">
        <w:t xml:space="preserve">». The existence of a linear combination between these </w:t>
      </w:r>
      <w:r w:rsidRPr="00A20381">
        <w:rPr>
          <w:spacing w:val="-4"/>
        </w:rPr>
        <w:t>two</w:t>
      </w:r>
      <w:r w:rsidRPr="00A20381">
        <w:rPr>
          <w:spacing w:val="-18"/>
        </w:rPr>
        <w:t xml:space="preserve"> </w:t>
      </w:r>
      <w:r w:rsidRPr="00A20381">
        <w:t>series,</w:t>
      </w:r>
      <w:r w:rsidRPr="00A20381">
        <w:rPr>
          <w:spacing w:val="-16"/>
        </w:rPr>
        <w:t xml:space="preserve"> </w:t>
      </w:r>
      <w:r w:rsidRPr="00A20381">
        <w:t>indeed,</w:t>
      </w:r>
      <w:r w:rsidRPr="00A20381">
        <w:rPr>
          <w:spacing w:val="-17"/>
        </w:rPr>
        <w:t xml:space="preserve"> </w:t>
      </w:r>
      <w:r w:rsidRPr="00A20381">
        <w:t>supports</w:t>
      </w:r>
      <w:r w:rsidRPr="00A20381">
        <w:rPr>
          <w:spacing w:val="-17"/>
        </w:rPr>
        <w:t xml:space="preserve"> </w:t>
      </w:r>
      <w:r w:rsidRPr="00A20381">
        <w:t>the</w:t>
      </w:r>
      <w:r w:rsidRPr="00A20381">
        <w:rPr>
          <w:spacing w:val="-17"/>
        </w:rPr>
        <w:t xml:space="preserve"> </w:t>
      </w:r>
      <w:r w:rsidRPr="00A20381">
        <w:t>presence</w:t>
      </w:r>
      <w:r w:rsidRPr="00A20381">
        <w:rPr>
          <w:spacing w:val="-17"/>
        </w:rPr>
        <w:t xml:space="preserve"> </w:t>
      </w:r>
      <w:r w:rsidRPr="00A20381">
        <w:t>of</w:t>
      </w:r>
      <w:r w:rsidRPr="00A20381">
        <w:rPr>
          <w:spacing w:val="-18"/>
        </w:rPr>
        <w:t xml:space="preserve"> </w:t>
      </w:r>
      <w:r w:rsidRPr="00A20381">
        <w:t>a</w:t>
      </w:r>
      <w:r w:rsidRPr="00A20381">
        <w:rPr>
          <w:spacing w:val="-17"/>
        </w:rPr>
        <w:t xml:space="preserve"> </w:t>
      </w:r>
      <w:r w:rsidR="00B8686E">
        <w:t>long-term</w:t>
      </w:r>
      <w:r w:rsidRPr="00A20381">
        <w:rPr>
          <w:spacing w:val="-17"/>
        </w:rPr>
        <w:t xml:space="preserve"> </w:t>
      </w:r>
      <w:r w:rsidRPr="00A20381">
        <w:t>equilibrium</w:t>
      </w:r>
      <w:r w:rsidRPr="00A20381">
        <w:rPr>
          <w:spacing w:val="-17"/>
        </w:rPr>
        <w:t xml:space="preserve"> </w:t>
      </w:r>
      <w:r w:rsidRPr="00A20381">
        <w:t>adjustment</w:t>
      </w:r>
      <w:r w:rsidRPr="00A20381">
        <w:rPr>
          <w:spacing w:val="-17"/>
        </w:rPr>
        <w:t xml:space="preserve"> </w:t>
      </w:r>
      <w:r w:rsidRPr="00A20381">
        <w:t>process,</w:t>
      </w:r>
      <w:r w:rsidRPr="00A20381">
        <w:rPr>
          <w:spacing w:val="-16"/>
        </w:rPr>
        <w:t xml:space="preserve"> </w:t>
      </w:r>
      <w:r w:rsidRPr="00A20381">
        <w:t>even</w:t>
      </w:r>
      <w:r w:rsidRPr="00A20381">
        <w:rPr>
          <w:spacing w:val="-18"/>
        </w:rPr>
        <w:t xml:space="preserve"> </w:t>
      </w:r>
      <w:r w:rsidRPr="00A20381">
        <w:t>if</w:t>
      </w:r>
      <w:r w:rsidRPr="00A20381">
        <w:rPr>
          <w:spacing w:val="-17"/>
        </w:rPr>
        <w:t xml:space="preserve"> </w:t>
      </w:r>
      <w:r w:rsidRPr="00A20381">
        <w:t>the</w:t>
      </w:r>
      <w:r w:rsidRPr="00A20381">
        <w:rPr>
          <w:spacing w:val="-17"/>
        </w:rPr>
        <w:t xml:space="preserve"> </w:t>
      </w:r>
      <w:r w:rsidRPr="00A20381">
        <w:t>series</w:t>
      </w:r>
      <w:r w:rsidRPr="00A20381">
        <w:rPr>
          <w:spacing w:val="-17"/>
        </w:rPr>
        <w:t xml:space="preserve"> </w:t>
      </w:r>
      <w:r w:rsidRPr="00A20381">
        <w:t>deviate one</w:t>
      </w:r>
      <w:r w:rsidRPr="00A20381">
        <w:rPr>
          <w:spacing w:val="12"/>
        </w:rPr>
        <w:t xml:space="preserve"> </w:t>
      </w:r>
      <w:r w:rsidRPr="00A20381">
        <w:t>from</w:t>
      </w:r>
      <w:r w:rsidRPr="00A20381">
        <w:rPr>
          <w:spacing w:val="13"/>
        </w:rPr>
        <w:t xml:space="preserve"> </w:t>
      </w:r>
      <w:r w:rsidRPr="00A20381">
        <w:t>the</w:t>
      </w:r>
      <w:r w:rsidRPr="00A20381">
        <w:rPr>
          <w:spacing w:val="12"/>
        </w:rPr>
        <w:t xml:space="preserve"> </w:t>
      </w:r>
      <w:r w:rsidRPr="00A20381">
        <w:t>other</w:t>
      </w:r>
      <w:r w:rsidRPr="00A20381">
        <w:rPr>
          <w:spacing w:val="13"/>
        </w:rPr>
        <w:t xml:space="preserve"> </w:t>
      </w:r>
      <w:r w:rsidRPr="00A20381">
        <w:t>in</w:t>
      </w:r>
      <w:r w:rsidRPr="00A20381">
        <w:rPr>
          <w:spacing w:val="13"/>
        </w:rPr>
        <w:t xml:space="preserve"> </w:t>
      </w:r>
      <w:r w:rsidRPr="00A20381">
        <w:t>the</w:t>
      </w:r>
      <w:r w:rsidRPr="00A20381">
        <w:rPr>
          <w:spacing w:val="12"/>
        </w:rPr>
        <w:t xml:space="preserve"> </w:t>
      </w:r>
      <w:r w:rsidR="00B8686E">
        <w:t>short-term</w:t>
      </w:r>
      <w:r w:rsidRPr="00A20381">
        <w:t>.</w:t>
      </w:r>
      <w:r w:rsidRPr="00A20381">
        <w:rPr>
          <w:spacing w:val="34"/>
        </w:rPr>
        <w:t xml:space="preserve"> </w:t>
      </w:r>
      <w:r w:rsidRPr="00A20381">
        <w:t>In</w:t>
      </w:r>
      <w:r w:rsidRPr="00A20381">
        <w:rPr>
          <w:spacing w:val="12"/>
        </w:rPr>
        <w:t xml:space="preserve"> </w:t>
      </w:r>
      <w:r w:rsidRPr="00A20381">
        <w:t>this</w:t>
      </w:r>
      <w:r w:rsidRPr="00A20381">
        <w:rPr>
          <w:spacing w:val="13"/>
        </w:rPr>
        <w:t xml:space="preserve"> </w:t>
      </w:r>
      <w:r w:rsidRPr="00A20381">
        <w:t>case,</w:t>
      </w:r>
      <w:r w:rsidRPr="00A20381">
        <w:rPr>
          <w:spacing w:val="13"/>
        </w:rPr>
        <w:t xml:space="preserve"> </w:t>
      </w:r>
      <w:r w:rsidRPr="00A20381">
        <w:t>series</w:t>
      </w:r>
      <w:r w:rsidRPr="00A20381">
        <w:rPr>
          <w:spacing w:val="12"/>
        </w:rPr>
        <w:t xml:space="preserve"> </w:t>
      </w:r>
      <w:r w:rsidRPr="00A20381">
        <w:t>are</w:t>
      </w:r>
      <w:r w:rsidRPr="00A20381">
        <w:rPr>
          <w:spacing w:val="13"/>
        </w:rPr>
        <w:t xml:space="preserve"> </w:t>
      </w:r>
      <w:proofErr w:type="spellStart"/>
      <w:r w:rsidRPr="00A20381">
        <w:t>cointegrated</w:t>
      </w:r>
      <w:proofErr w:type="spellEnd"/>
      <w:r w:rsidRPr="00A20381">
        <w:t>.</w:t>
      </w:r>
    </w:p>
    <w:p w:rsidR="000377FF" w:rsidRPr="00A20381" w:rsidRDefault="00E85B85" w:rsidP="001A4FB4">
      <w:pPr>
        <w:spacing w:line="360" w:lineRule="auto"/>
        <w:ind w:left="113"/>
        <w:jc w:val="both"/>
        <w:rPr>
          <w:sz w:val="20"/>
        </w:rPr>
      </w:pPr>
      <w:r w:rsidRPr="00A20381">
        <w:rPr>
          <w:sz w:val="20"/>
        </w:rPr>
        <w:t xml:space="preserve">In the </w:t>
      </w:r>
      <w:r w:rsidRPr="00A20381">
        <w:rPr>
          <w:i/>
          <w:sz w:val="20"/>
        </w:rPr>
        <w:t>second stage</w:t>
      </w:r>
      <w:r w:rsidRPr="00A20381">
        <w:rPr>
          <w:sz w:val="20"/>
        </w:rPr>
        <w:t xml:space="preserve">, by using the </w:t>
      </w:r>
      <w:r w:rsidRPr="00A20381">
        <w:rPr>
          <w:i/>
          <w:sz w:val="20"/>
        </w:rPr>
        <w:t xml:space="preserve">first stage </w:t>
      </w:r>
      <w:r w:rsidRPr="00A20381">
        <w:rPr>
          <w:sz w:val="20"/>
        </w:rPr>
        <w:t>results</w:t>
      </w:r>
      <w:r w:rsidR="001E4EE3" w:rsidRPr="00A20381">
        <w:rPr>
          <w:rStyle w:val="Rimandonotaapidipagina"/>
          <w:sz w:val="20"/>
        </w:rPr>
        <w:footnoteReference w:id="5"/>
      </w:r>
      <w:r w:rsidRPr="00A20381">
        <w:rPr>
          <w:sz w:val="20"/>
        </w:rPr>
        <w:t xml:space="preserve">, </w:t>
      </w:r>
      <w:r w:rsidR="00B8686E">
        <w:rPr>
          <w:sz w:val="20"/>
        </w:rPr>
        <w:t>we</w:t>
      </w:r>
      <w:r w:rsidRPr="00A20381">
        <w:rPr>
          <w:sz w:val="20"/>
        </w:rPr>
        <w:t xml:space="preserve"> will try to verify which market is able to embody more</w:t>
      </w:r>
      <w:r w:rsidR="001E4EE3" w:rsidRPr="00A20381">
        <w:rPr>
          <w:sz w:val="20"/>
        </w:rPr>
        <w:t xml:space="preserve"> </w:t>
      </w:r>
      <w:r w:rsidRPr="00A20381">
        <w:rPr>
          <w:sz w:val="20"/>
        </w:rPr>
        <w:t xml:space="preserve">rapidly the </w:t>
      </w:r>
      <w:r w:rsidR="00B8686E">
        <w:rPr>
          <w:sz w:val="20"/>
        </w:rPr>
        <w:t xml:space="preserve">risk </w:t>
      </w:r>
      <w:r w:rsidRPr="00A20381">
        <w:rPr>
          <w:sz w:val="20"/>
        </w:rPr>
        <w:t>information. In other terms, this allows</w:t>
      </w:r>
      <w:r w:rsidR="00B8686E">
        <w:rPr>
          <w:sz w:val="20"/>
        </w:rPr>
        <w:t xml:space="preserve"> us</w:t>
      </w:r>
      <w:r w:rsidRPr="00A20381">
        <w:rPr>
          <w:sz w:val="20"/>
        </w:rPr>
        <w:t xml:space="preserve"> to evaluate the potential existence of a </w:t>
      </w:r>
      <w:r w:rsidRPr="00A20381">
        <w:rPr>
          <w:i/>
          <w:sz w:val="20"/>
        </w:rPr>
        <w:t xml:space="preserve">leader </w:t>
      </w:r>
      <w:r w:rsidRPr="00A20381">
        <w:rPr>
          <w:sz w:val="20"/>
        </w:rPr>
        <w:t xml:space="preserve">and </w:t>
      </w:r>
      <w:r w:rsidRPr="00A20381">
        <w:rPr>
          <w:i/>
          <w:sz w:val="20"/>
        </w:rPr>
        <w:t xml:space="preserve">follower </w:t>
      </w:r>
      <w:r w:rsidRPr="00A20381">
        <w:rPr>
          <w:sz w:val="20"/>
        </w:rPr>
        <w:t xml:space="preserve">market, as well as </w:t>
      </w:r>
      <w:r w:rsidR="001E4EE3" w:rsidRPr="00A20381">
        <w:rPr>
          <w:sz w:val="20"/>
        </w:rPr>
        <w:t>halfway</w:t>
      </w:r>
      <w:r w:rsidRPr="00A20381">
        <w:rPr>
          <w:sz w:val="20"/>
        </w:rPr>
        <w:t xml:space="preserve"> situations. </w:t>
      </w:r>
      <w:r w:rsidRPr="00A20381">
        <w:rPr>
          <w:spacing w:val="-9"/>
          <w:sz w:val="20"/>
        </w:rPr>
        <w:t xml:space="preserve">To </w:t>
      </w:r>
      <w:r w:rsidRPr="00A20381">
        <w:rPr>
          <w:sz w:val="20"/>
        </w:rPr>
        <w:t xml:space="preserve">do so, </w:t>
      </w:r>
      <w:r w:rsidR="008C76EC" w:rsidRPr="00A20381">
        <w:rPr>
          <w:sz w:val="20"/>
        </w:rPr>
        <w:t>we set</w:t>
      </w:r>
      <w:r w:rsidRPr="00A20381">
        <w:rPr>
          <w:sz w:val="20"/>
        </w:rPr>
        <w:t xml:space="preserve"> a bivariate </w:t>
      </w:r>
      <w:r w:rsidRPr="00A20381">
        <w:rPr>
          <w:i/>
          <w:spacing w:val="-5"/>
          <w:sz w:val="20"/>
        </w:rPr>
        <w:t xml:space="preserve">Vector </w:t>
      </w:r>
      <w:r w:rsidR="008C76EC" w:rsidRPr="00A20381">
        <w:rPr>
          <w:i/>
          <w:spacing w:val="-3"/>
          <w:sz w:val="20"/>
        </w:rPr>
        <w:t>Error Correction Model</w:t>
      </w:r>
      <w:r w:rsidRPr="00A20381">
        <w:rPr>
          <w:i/>
          <w:spacing w:val="-3"/>
          <w:sz w:val="20"/>
        </w:rPr>
        <w:t xml:space="preserve"> </w:t>
      </w:r>
      <w:r w:rsidRPr="00A20381">
        <w:rPr>
          <w:sz w:val="20"/>
        </w:rPr>
        <w:t>(</w:t>
      </w:r>
      <w:r w:rsidR="001E4EE3" w:rsidRPr="00A20381">
        <w:rPr>
          <w:i/>
          <w:sz w:val="20"/>
        </w:rPr>
        <w:t>VECM</w:t>
      </w:r>
      <w:r w:rsidRPr="00A20381">
        <w:rPr>
          <w:sz w:val="20"/>
        </w:rPr>
        <w:t xml:space="preserve">), as suggested </w:t>
      </w:r>
      <w:r w:rsidRPr="00A20381">
        <w:rPr>
          <w:spacing w:val="-3"/>
          <w:sz w:val="20"/>
        </w:rPr>
        <w:t xml:space="preserve">by </w:t>
      </w:r>
      <w:r w:rsidRPr="00A20381">
        <w:rPr>
          <w:i/>
          <w:sz w:val="20"/>
        </w:rPr>
        <w:t xml:space="preserve">Engle </w:t>
      </w:r>
      <w:r w:rsidRPr="00A20381">
        <w:rPr>
          <w:sz w:val="20"/>
        </w:rPr>
        <w:t xml:space="preserve">and </w:t>
      </w:r>
      <w:r w:rsidRPr="00A20381">
        <w:rPr>
          <w:i/>
          <w:sz w:val="20"/>
        </w:rPr>
        <w:t xml:space="preserve">Granger </w:t>
      </w:r>
      <w:r w:rsidRPr="00A20381">
        <w:rPr>
          <w:sz w:val="20"/>
        </w:rPr>
        <w:t>(</w:t>
      </w:r>
      <w:r w:rsidRPr="00A20381">
        <w:rPr>
          <w:i/>
          <w:sz w:val="20"/>
        </w:rPr>
        <w:t>1987</w:t>
      </w:r>
      <w:r w:rsidRPr="00A20381">
        <w:rPr>
          <w:sz w:val="20"/>
        </w:rPr>
        <w:t>). The forma</w:t>
      </w:r>
      <w:r w:rsidR="008C76EC" w:rsidRPr="00A20381">
        <w:rPr>
          <w:sz w:val="20"/>
        </w:rPr>
        <w:t xml:space="preserve">l specification of the model is </w:t>
      </w:r>
      <w:r w:rsidRPr="00A20381">
        <w:rPr>
          <w:sz w:val="20"/>
        </w:rPr>
        <w:t xml:space="preserve">defined </w:t>
      </w:r>
      <w:r w:rsidRPr="00A20381">
        <w:rPr>
          <w:spacing w:val="-3"/>
          <w:sz w:val="20"/>
        </w:rPr>
        <w:t xml:space="preserve">by </w:t>
      </w:r>
      <w:r w:rsidRPr="00A20381">
        <w:rPr>
          <w:sz w:val="20"/>
        </w:rPr>
        <w:t>the following</w:t>
      </w:r>
      <w:r w:rsidRPr="00A20381">
        <w:rPr>
          <w:spacing w:val="15"/>
          <w:sz w:val="20"/>
        </w:rPr>
        <w:t xml:space="preserve"> </w:t>
      </w:r>
      <w:r w:rsidRPr="00A20381">
        <w:rPr>
          <w:sz w:val="20"/>
        </w:rPr>
        <w:t>equations:</w:t>
      </w:r>
    </w:p>
    <w:p w:rsidR="008C76EC" w:rsidRPr="00A20381" w:rsidRDefault="004E27B5" w:rsidP="001A4FB4">
      <w:pPr>
        <w:tabs>
          <w:tab w:val="left" w:pos="9831"/>
        </w:tabs>
        <w:spacing w:before="105" w:line="360" w:lineRule="auto"/>
        <w:ind w:left="1176"/>
        <w:jc w:val="both"/>
        <w:rPr>
          <w:sz w:val="20"/>
        </w:rPr>
      </w:pPr>
      <m:oMath>
        <m:sSub>
          <m:sSubPr>
            <m:ctrlPr>
              <w:rPr>
                <w:rFonts w:ascii="Cambria Math" w:hAnsi="Cambria Math"/>
                <w:i/>
                <w:w w:val="105"/>
                <w:sz w:val="20"/>
              </w:rPr>
            </m:ctrlPr>
          </m:sSubPr>
          <m:e>
            <m:r>
              <w:rPr>
                <w:rFonts w:ascii="Cambria Math" w:hAnsi="Cambria Math"/>
                <w:w w:val="105"/>
                <w:sz w:val="20"/>
              </w:rPr>
              <m:t>ΔCDS</m:t>
            </m:r>
          </m:e>
          <m:sub>
            <m:r>
              <w:rPr>
                <w:rFonts w:ascii="Cambria Math" w:hAnsi="Cambria Math"/>
                <w:w w:val="105"/>
                <w:sz w:val="20"/>
              </w:rPr>
              <m:t>t</m:t>
            </m:r>
          </m:sub>
        </m:sSub>
        <m:r>
          <w:rPr>
            <w:rFonts w:ascii="Cambria Math" w:hAnsi="Cambria Math"/>
            <w:w w:val="105"/>
            <w:sz w:val="20"/>
          </w:rPr>
          <m:t>=</m:t>
        </m:r>
        <m:sSub>
          <m:sSubPr>
            <m:ctrlPr>
              <w:rPr>
                <w:rFonts w:ascii="Cambria Math" w:hAnsi="Cambria Math"/>
                <w:i/>
                <w:w w:val="105"/>
                <w:sz w:val="20"/>
              </w:rPr>
            </m:ctrlPr>
          </m:sSubPr>
          <m:e>
            <m:r>
              <w:rPr>
                <w:rFonts w:ascii="Cambria Math" w:hAnsi="Cambria Math"/>
                <w:w w:val="105"/>
                <w:sz w:val="20"/>
              </w:rPr>
              <m:t>β</m:t>
            </m:r>
          </m:e>
          <m:sub>
            <m:r>
              <w:rPr>
                <w:rFonts w:ascii="Cambria Math" w:hAnsi="Cambria Math"/>
                <w:w w:val="105"/>
                <w:sz w:val="20"/>
              </w:rPr>
              <m:t>10</m:t>
            </m:r>
          </m:sub>
        </m:sSub>
        <m:r>
          <w:rPr>
            <w:rFonts w:ascii="Cambria Math" w:hAnsi="Cambria Math"/>
            <w:w w:val="105"/>
            <w:sz w:val="20"/>
          </w:rPr>
          <m:t>+</m:t>
        </m:r>
        <m:nary>
          <m:naryPr>
            <m:chr m:val="∑"/>
            <m:limLoc m:val="undOvr"/>
            <m:ctrlPr>
              <w:rPr>
                <w:rFonts w:ascii="Cambria Math" w:hAnsi="Cambria Math"/>
                <w:i/>
                <w:w w:val="105"/>
                <w:sz w:val="20"/>
              </w:rPr>
            </m:ctrlPr>
          </m:naryPr>
          <m:sub>
            <m:r>
              <w:rPr>
                <w:rFonts w:ascii="Cambria Math" w:hAnsi="Cambria Math"/>
                <w:w w:val="105"/>
                <w:sz w:val="20"/>
              </w:rPr>
              <m:t>t=1</m:t>
            </m:r>
          </m:sub>
          <m:sup>
            <m:r>
              <w:rPr>
                <w:rFonts w:ascii="Cambria Math" w:hAnsi="Cambria Math"/>
                <w:w w:val="105"/>
                <w:sz w:val="20"/>
              </w:rPr>
              <m:t>l</m:t>
            </m:r>
          </m:sup>
          <m:e>
            <m:sSub>
              <m:sSubPr>
                <m:ctrlPr>
                  <w:rPr>
                    <w:rFonts w:ascii="Cambria Math" w:hAnsi="Cambria Math"/>
                    <w:i/>
                    <w:w w:val="105"/>
                    <w:sz w:val="20"/>
                  </w:rPr>
                </m:ctrlPr>
              </m:sSubPr>
              <m:e>
                <m:sSub>
                  <m:sSubPr>
                    <m:ctrlPr>
                      <w:rPr>
                        <w:rFonts w:ascii="Cambria Math" w:hAnsi="Cambria Math"/>
                        <w:i/>
                        <w:w w:val="105"/>
                        <w:sz w:val="20"/>
                      </w:rPr>
                    </m:ctrlPr>
                  </m:sSubPr>
                  <m:e>
                    <m:r>
                      <w:rPr>
                        <w:rFonts w:ascii="Cambria Math" w:hAnsi="Cambria Math"/>
                        <w:w w:val="105"/>
                        <w:sz w:val="20"/>
                      </w:rPr>
                      <m:t>β</m:t>
                    </m:r>
                  </m:e>
                  <m:sub>
                    <m:r>
                      <w:rPr>
                        <w:rFonts w:ascii="Cambria Math" w:hAnsi="Cambria Math"/>
                        <w:w w:val="105"/>
                        <w:sz w:val="20"/>
                      </w:rPr>
                      <m:t>1t</m:t>
                    </m:r>
                  </m:sub>
                </m:sSub>
                <m:r>
                  <w:rPr>
                    <w:rFonts w:ascii="Cambria Math" w:hAnsi="Cambria Math"/>
                    <w:w w:val="105"/>
                    <w:sz w:val="20"/>
                  </w:rPr>
                  <m:t>ΔCDS</m:t>
                </m:r>
              </m:e>
              <m:sub>
                <m:r>
                  <w:rPr>
                    <w:rFonts w:ascii="Cambria Math" w:hAnsi="Cambria Math"/>
                    <w:w w:val="105"/>
                    <w:sz w:val="20"/>
                  </w:rPr>
                  <m:t>t-1</m:t>
                </m:r>
              </m:sub>
            </m:sSub>
          </m:e>
        </m:nary>
        <m:r>
          <w:rPr>
            <w:rFonts w:ascii="Cambria Math" w:hAnsi="Cambria Math"/>
            <w:w w:val="105"/>
            <w:sz w:val="20"/>
          </w:rPr>
          <m:t>+</m:t>
        </m:r>
        <m:nary>
          <m:naryPr>
            <m:chr m:val="∑"/>
            <m:limLoc m:val="undOvr"/>
            <m:ctrlPr>
              <w:rPr>
                <w:rFonts w:ascii="Cambria Math" w:hAnsi="Cambria Math"/>
                <w:i/>
                <w:w w:val="105"/>
                <w:sz w:val="20"/>
              </w:rPr>
            </m:ctrlPr>
          </m:naryPr>
          <m:sub>
            <m:r>
              <w:rPr>
                <w:rFonts w:ascii="Cambria Math" w:hAnsi="Cambria Math"/>
                <w:w w:val="105"/>
                <w:sz w:val="20"/>
              </w:rPr>
              <m:t>t=1</m:t>
            </m:r>
          </m:sub>
          <m:sup>
            <m:r>
              <w:rPr>
                <w:rFonts w:ascii="Cambria Math" w:hAnsi="Cambria Math"/>
                <w:w w:val="105"/>
                <w:sz w:val="20"/>
              </w:rPr>
              <m:t>l</m:t>
            </m:r>
          </m:sup>
          <m:e>
            <m:sSub>
              <m:sSubPr>
                <m:ctrlPr>
                  <w:rPr>
                    <w:rFonts w:ascii="Cambria Math" w:hAnsi="Cambria Math"/>
                    <w:i/>
                    <w:w w:val="105"/>
                    <w:sz w:val="20"/>
                  </w:rPr>
                </m:ctrlPr>
              </m:sSubPr>
              <m:e>
                <m:sSub>
                  <m:sSubPr>
                    <m:ctrlPr>
                      <w:rPr>
                        <w:rFonts w:ascii="Cambria Math" w:hAnsi="Cambria Math"/>
                        <w:i/>
                        <w:w w:val="105"/>
                        <w:sz w:val="20"/>
                      </w:rPr>
                    </m:ctrlPr>
                  </m:sSubPr>
                  <m:e>
                    <m:r>
                      <w:rPr>
                        <w:rFonts w:ascii="Cambria Math" w:hAnsi="Cambria Math"/>
                        <w:w w:val="105"/>
                        <w:sz w:val="20"/>
                      </w:rPr>
                      <m:t>α</m:t>
                    </m:r>
                  </m:e>
                  <m:sub>
                    <m:r>
                      <w:rPr>
                        <w:rFonts w:ascii="Cambria Math" w:hAnsi="Cambria Math"/>
                        <w:w w:val="105"/>
                        <w:sz w:val="20"/>
                      </w:rPr>
                      <m:t>1t</m:t>
                    </m:r>
                  </m:sub>
                </m:sSub>
                <m:r>
                  <w:rPr>
                    <w:rFonts w:ascii="Cambria Math" w:hAnsi="Cambria Math"/>
                    <w:w w:val="105"/>
                    <w:sz w:val="20"/>
                  </w:rPr>
                  <m:t>ΔGBS</m:t>
                </m:r>
              </m:e>
              <m:sub>
                <m:r>
                  <w:rPr>
                    <w:rFonts w:ascii="Cambria Math" w:hAnsi="Cambria Math"/>
                    <w:w w:val="105"/>
                    <w:sz w:val="20"/>
                  </w:rPr>
                  <m:t>t-1</m:t>
                </m:r>
              </m:sub>
            </m:sSub>
          </m:e>
        </m:nary>
        <m:r>
          <w:rPr>
            <w:rFonts w:ascii="Cambria Math" w:hAnsi="Cambria Math"/>
            <w:w w:val="105"/>
            <w:sz w:val="20"/>
          </w:rPr>
          <m:t>+</m:t>
        </m:r>
        <m:sSub>
          <m:sSubPr>
            <m:ctrlPr>
              <w:rPr>
                <w:rFonts w:ascii="Cambria Math" w:hAnsi="Cambria Math"/>
                <w:sz w:val="20"/>
                <w:vertAlign w:val="subscript"/>
              </w:rPr>
            </m:ctrlPr>
          </m:sSubPr>
          <m:e>
            <m:r>
              <w:rPr>
                <w:rFonts w:ascii="Cambria Math" w:hAnsi="Cambria Math"/>
                <w:sz w:val="20"/>
              </w:rPr>
              <m:t>λ</m:t>
            </m:r>
          </m:e>
          <m:sub>
            <m:r>
              <w:rPr>
                <w:rFonts w:ascii="Cambria Math" w:hAnsi="Cambria Math"/>
                <w:sz w:val="20"/>
                <w:vertAlign w:val="subscript"/>
              </w:rPr>
              <m:t>1</m:t>
            </m:r>
          </m:sub>
        </m:sSub>
        <m:sSub>
          <m:sSubPr>
            <m:ctrlPr>
              <w:rPr>
                <w:rFonts w:ascii="Cambria Math" w:hAnsi="Cambria Math"/>
                <w:i/>
                <w:w w:val="105"/>
                <w:sz w:val="20"/>
              </w:rPr>
            </m:ctrlPr>
          </m:sSubPr>
          <m:e>
            <m:r>
              <w:rPr>
                <w:rFonts w:ascii="Cambria Math" w:hAnsi="Cambria Math"/>
                <w:w w:val="105"/>
                <w:sz w:val="20"/>
              </w:rPr>
              <m:t>ECT</m:t>
            </m:r>
          </m:e>
          <m:sub>
            <m:r>
              <w:rPr>
                <w:rFonts w:ascii="Cambria Math" w:hAnsi="Cambria Math"/>
                <w:w w:val="105"/>
                <w:sz w:val="20"/>
              </w:rPr>
              <m:t>t-1</m:t>
            </m:r>
          </m:sub>
        </m:sSub>
        <m:r>
          <w:rPr>
            <w:rFonts w:ascii="Cambria Math" w:hAnsi="Cambria Math"/>
            <w:w w:val="105"/>
            <w:sz w:val="20"/>
          </w:rPr>
          <m:t>+</m:t>
        </m:r>
        <m:sSub>
          <m:sSubPr>
            <m:ctrlPr>
              <w:rPr>
                <w:rFonts w:ascii="Cambria Math" w:hAnsi="Cambria Math"/>
                <w:i/>
                <w:w w:val="105"/>
                <w:sz w:val="20"/>
              </w:rPr>
            </m:ctrlPr>
          </m:sSubPr>
          <m:e>
            <m:r>
              <w:rPr>
                <w:rFonts w:ascii="Cambria Math" w:hAnsi="Cambria Math"/>
                <w:w w:val="105"/>
                <w:sz w:val="20"/>
              </w:rPr>
              <m:t>ε</m:t>
            </m:r>
          </m:e>
          <m:sub>
            <m:r>
              <w:rPr>
                <w:rFonts w:ascii="Cambria Math" w:hAnsi="Cambria Math"/>
                <w:w w:val="105"/>
                <w:sz w:val="20"/>
              </w:rPr>
              <m:t>1t</m:t>
            </m:r>
          </m:sub>
        </m:sSub>
      </m:oMath>
      <w:r w:rsidR="008C76EC" w:rsidRPr="00A20381">
        <w:rPr>
          <w:i/>
          <w:w w:val="105"/>
          <w:sz w:val="20"/>
        </w:rPr>
        <w:tab/>
      </w:r>
      <w:r w:rsidR="002E05B3" w:rsidRPr="00A20381">
        <w:rPr>
          <w:w w:val="105"/>
          <w:sz w:val="20"/>
        </w:rPr>
        <w:t>(1</w:t>
      </w:r>
      <w:r w:rsidR="008C76EC" w:rsidRPr="00A20381">
        <w:rPr>
          <w:w w:val="105"/>
          <w:sz w:val="20"/>
        </w:rPr>
        <w:t>)</w:t>
      </w:r>
    </w:p>
    <w:p w:rsidR="00EE4A62" w:rsidRDefault="004E27B5" w:rsidP="00EE4A62">
      <w:pPr>
        <w:tabs>
          <w:tab w:val="left" w:pos="9831"/>
        </w:tabs>
        <w:spacing w:before="105" w:line="360" w:lineRule="auto"/>
        <w:ind w:left="1064"/>
        <w:jc w:val="both"/>
        <w:rPr>
          <w:w w:val="105"/>
          <w:sz w:val="20"/>
        </w:rPr>
      </w:pPr>
      <m:oMath>
        <m:sSub>
          <m:sSubPr>
            <m:ctrlPr>
              <w:rPr>
                <w:rFonts w:ascii="Cambria Math" w:hAnsi="Cambria Math"/>
                <w:i/>
                <w:w w:val="105"/>
                <w:sz w:val="20"/>
              </w:rPr>
            </m:ctrlPr>
          </m:sSubPr>
          <m:e>
            <m:r>
              <w:rPr>
                <w:rFonts w:ascii="Cambria Math" w:hAnsi="Cambria Math"/>
                <w:w w:val="105"/>
                <w:sz w:val="20"/>
              </w:rPr>
              <m:t xml:space="preserve">  ΔGBS</m:t>
            </m:r>
          </m:e>
          <m:sub>
            <m:r>
              <w:rPr>
                <w:rFonts w:ascii="Cambria Math" w:hAnsi="Cambria Math"/>
                <w:w w:val="105"/>
                <w:sz w:val="20"/>
              </w:rPr>
              <m:t>t</m:t>
            </m:r>
          </m:sub>
        </m:sSub>
        <m:r>
          <w:rPr>
            <w:rFonts w:ascii="Cambria Math" w:hAnsi="Cambria Math"/>
            <w:w w:val="105"/>
            <w:sz w:val="20"/>
          </w:rPr>
          <m:t>=</m:t>
        </m:r>
        <m:sSub>
          <m:sSubPr>
            <m:ctrlPr>
              <w:rPr>
                <w:rFonts w:ascii="Cambria Math" w:hAnsi="Cambria Math"/>
                <w:i/>
                <w:w w:val="105"/>
                <w:sz w:val="20"/>
              </w:rPr>
            </m:ctrlPr>
          </m:sSubPr>
          <m:e>
            <m:r>
              <w:rPr>
                <w:rFonts w:ascii="Cambria Math" w:hAnsi="Cambria Math"/>
                <w:w w:val="105"/>
                <w:sz w:val="20"/>
              </w:rPr>
              <m:t>β</m:t>
            </m:r>
          </m:e>
          <m:sub>
            <m:r>
              <w:rPr>
                <w:rFonts w:ascii="Cambria Math" w:hAnsi="Cambria Math"/>
                <w:w w:val="105"/>
                <w:sz w:val="20"/>
              </w:rPr>
              <m:t>20</m:t>
            </m:r>
          </m:sub>
        </m:sSub>
        <m:r>
          <w:rPr>
            <w:rFonts w:ascii="Cambria Math" w:hAnsi="Cambria Math"/>
            <w:w w:val="105"/>
            <w:sz w:val="20"/>
          </w:rPr>
          <m:t>+</m:t>
        </m:r>
        <m:nary>
          <m:naryPr>
            <m:chr m:val="∑"/>
            <m:limLoc m:val="undOvr"/>
            <m:ctrlPr>
              <w:rPr>
                <w:rFonts w:ascii="Cambria Math" w:hAnsi="Cambria Math"/>
                <w:i/>
                <w:w w:val="105"/>
                <w:sz w:val="20"/>
              </w:rPr>
            </m:ctrlPr>
          </m:naryPr>
          <m:sub>
            <m:r>
              <w:rPr>
                <w:rFonts w:ascii="Cambria Math" w:hAnsi="Cambria Math"/>
                <w:w w:val="105"/>
                <w:sz w:val="20"/>
              </w:rPr>
              <m:t>t=1</m:t>
            </m:r>
          </m:sub>
          <m:sup>
            <m:r>
              <w:rPr>
                <w:rFonts w:ascii="Cambria Math" w:hAnsi="Cambria Math"/>
                <w:w w:val="105"/>
                <w:sz w:val="20"/>
              </w:rPr>
              <m:t>l</m:t>
            </m:r>
          </m:sup>
          <m:e>
            <m:sSub>
              <m:sSubPr>
                <m:ctrlPr>
                  <w:rPr>
                    <w:rFonts w:ascii="Cambria Math" w:hAnsi="Cambria Math"/>
                    <w:i/>
                    <w:w w:val="105"/>
                    <w:sz w:val="20"/>
                  </w:rPr>
                </m:ctrlPr>
              </m:sSubPr>
              <m:e>
                <m:sSub>
                  <m:sSubPr>
                    <m:ctrlPr>
                      <w:rPr>
                        <w:rFonts w:ascii="Cambria Math" w:hAnsi="Cambria Math"/>
                        <w:i/>
                        <w:w w:val="105"/>
                        <w:sz w:val="20"/>
                      </w:rPr>
                    </m:ctrlPr>
                  </m:sSubPr>
                  <m:e>
                    <m:r>
                      <w:rPr>
                        <w:rFonts w:ascii="Cambria Math" w:hAnsi="Cambria Math"/>
                        <w:w w:val="105"/>
                        <w:sz w:val="20"/>
                      </w:rPr>
                      <m:t>β</m:t>
                    </m:r>
                  </m:e>
                  <m:sub>
                    <m:r>
                      <w:rPr>
                        <w:rFonts w:ascii="Cambria Math" w:hAnsi="Cambria Math"/>
                        <w:w w:val="105"/>
                        <w:sz w:val="20"/>
                      </w:rPr>
                      <m:t>2t</m:t>
                    </m:r>
                  </m:sub>
                </m:sSub>
                <m:r>
                  <w:rPr>
                    <w:rFonts w:ascii="Cambria Math" w:hAnsi="Cambria Math"/>
                    <w:w w:val="105"/>
                    <w:sz w:val="20"/>
                  </w:rPr>
                  <m:t>ΔCDS</m:t>
                </m:r>
              </m:e>
              <m:sub>
                <m:r>
                  <w:rPr>
                    <w:rFonts w:ascii="Cambria Math" w:hAnsi="Cambria Math"/>
                    <w:w w:val="105"/>
                    <w:sz w:val="20"/>
                  </w:rPr>
                  <m:t>t-1</m:t>
                </m:r>
              </m:sub>
            </m:sSub>
          </m:e>
        </m:nary>
        <m:r>
          <w:rPr>
            <w:rFonts w:ascii="Cambria Math" w:hAnsi="Cambria Math"/>
            <w:w w:val="105"/>
            <w:sz w:val="20"/>
          </w:rPr>
          <m:t>+</m:t>
        </m:r>
        <m:nary>
          <m:naryPr>
            <m:chr m:val="∑"/>
            <m:limLoc m:val="undOvr"/>
            <m:ctrlPr>
              <w:rPr>
                <w:rFonts w:ascii="Cambria Math" w:hAnsi="Cambria Math"/>
                <w:i/>
                <w:w w:val="105"/>
                <w:sz w:val="20"/>
              </w:rPr>
            </m:ctrlPr>
          </m:naryPr>
          <m:sub>
            <m:r>
              <w:rPr>
                <w:rFonts w:ascii="Cambria Math" w:hAnsi="Cambria Math"/>
                <w:w w:val="105"/>
                <w:sz w:val="20"/>
              </w:rPr>
              <m:t>t=1</m:t>
            </m:r>
          </m:sub>
          <m:sup>
            <m:r>
              <w:rPr>
                <w:rFonts w:ascii="Cambria Math" w:hAnsi="Cambria Math"/>
                <w:w w:val="105"/>
                <w:sz w:val="20"/>
              </w:rPr>
              <m:t>l</m:t>
            </m:r>
          </m:sup>
          <m:e>
            <m:sSub>
              <m:sSubPr>
                <m:ctrlPr>
                  <w:rPr>
                    <w:rFonts w:ascii="Cambria Math" w:hAnsi="Cambria Math"/>
                    <w:i/>
                    <w:w w:val="105"/>
                    <w:sz w:val="20"/>
                  </w:rPr>
                </m:ctrlPr>
              </m:sSubPr>
              <m:e>
                <m:sSub>
                  <m:sSubPr>
                    <m:ctrlPr>
                      <w:rPr>
                        <w:rFonts w:ascii="Cambria Math" w:hAnsi="Cambria Math"/>
                        <w:i/>
                        <w:w w:val="105"/>
                        <w:sz w:val="20"/>
                      </w:rPr>
                    </m:ctrlPr>
                  </m:sSubPr>
                  <m:e>
                    <m:r>
                      <w:rPr>
                        <w:rFonts w:ascii="Cambria Math" w:hAnsi="Cambria Math"/>
                        <w:w w:val="105"/>
                        <w:sz w:val="20"/>
                      </w:rPr>
                      <m:t>α</m:t>
                    </m:r>
                  </m:e>
                  <m:sub>
                    <m:r>
                      <w:rPr>
                        <w:rFonts w:ascii="Cambria Math" w:hAnsi="Cambria Math"/>
                        <w:w w:val="105"/>
                        <w:sz w:val="20"/>
                      </w:rPr>
                      <m:t>2t</m:t>
                    </m:r>
                  </m:sub>
                </m:sSub>
                <m:r>
                  <w:rPr>
                    <w:rFonts w:ascii="Cambria Math" w:hAnsi="Cambria Math"/>
                    <w:w w:val="105"/>
                    <w:sz w:val="20"/>
                  </w:rPr>
                  <m:t>ΔGBS</m:t>
                </m:r>
              </m:e>
              <m:sub>
                <m:r>
                  <w:rPr>
                    <w:rFonts w:ascii="Cambria Math" w:hAnsi="Cambria Math"/>
                    <w:w w:val="105"/>
                    <w:sz w:val="20"/>
                  </w:rPr>
                  <m:t>t-1</m:t>
                </m:r>
              </m:sub>
            </m:sSub>
          </m:e>
        </m:nary>
        <m:r>
          <w:rPr>
            <w:rFonts w:ascii="Cambria Math" w:hAnsi="Cambria Math"/>
            <w:w w:val="105"/>
            <w:sz w:val="20"/>
          </w:rPr>
          <m:t>+</m:t>
        </m:r>
        <m:sSub>
          <m:sSubPr>
            <m:ctrlPr>
              <w:rPr>
                <w:rFonts w:ascii="Cambria Math" w:hAnsi="Cambria Math"/>
                <w:sz w:val="20"/>
                <w:vertAlign w:val="subscript"/>
              </w:rPr>
            </m:ctrlPr>
          </m:sSubPr>
          <m:e>
            <m:r>
              <w:rPr>
                <w:rFonts w:ascii="Cambria Math" w:hAnsi="Cambria Math"/>
                <w:sz w:val="20"/>
              </w:rPr>
              <m:t>λ</m:t>
            </m:r>
          </m:e>
          <m:sub>
            <m:r>
              <w:rPr>
                <w:rFonts w:ascii="Cambria Math" w:hAnsi="Cambria Math"/>
                <w:sz w:val="20"/>
                <w:vertAlign w:val="subscript"/>
              </w:rPr>
              <m:t>2</m:t>
            </m:r>
          </m:sub>
        </m:sSub>
        <m:sSub>
          <m:sSubPr>
            <m:ctrlPr>
              <w:rPr>
                <w:rFonts w:ascii="Cambria Math" w:hAnsi="Cambria Math"/>
                <w:i/>
                <w:w w:val="105"/>
                <w:sz w:val="20"/>
              </w:rPr>
            </m:ctrlPr>
          </m:sSubPr>
          <m:e>
            <m:r>
              <w:rPr>
                <w:rFonts w:ascii="Cambria Math" w:hAnsi="Cambria Math"/>
                <w:w w:val="105"/>
                <w:sz w:val="20"/>
              </w:rPr>
              <m:t>ECT</m:t>
            </m:r>
          </m:e>
          <m:sub>
            <m:r>
              <w:rPr>
                <w:rFonts w:ascii="Cambria Math" w:hAnsi="Cambria Math"/>
                <w:w w:val="105"/>
                <w:sz w:val="20"/>
              </w:rPr>
              <m:t>t-1</m:t>
            </m:r>
          </m:sub>
        </m:sSub>
        <m:r>
          <w:rPr>
            <w:rFonts w:ascii="Cambria Math" w:hAnsi="Cambria Math"/>
            <w:w w:val="105"/>
            <w:sz w:val="20"/>
          </w:rPr>
          <m:t>+</m:t>
        </m:r>
        <m:sSub>
          <m:sSubPr>
            <m:ctrlPr>
              <w:rPr>
                <w:rFonts w:ascii="Cambria Math" w:hAnsi="Cambria Math"/>
                <w:i/>
                <w:w w:val="105"/>
                <w:sz w:val="20"/>
              </w:rPr>
            </m:ctrlPr>
          </m:sSubPr>
          <m:e>
            <m:r>
              <w:rPr>
                <w:rFonts w:ascii="Cambria Math" w:hAnsi="Cambria Math"/>
                <w:w w:val="105"/>
                <w:sz w:val="20"/>
              </w:rPr>
              <m:t>ε</m:t>
            </m:r>
          </m:e>
          <m:sub>
            <m:r>
              <w:rPr>
                <w:rFonts w:ascii="Cambria Math" w:hAnsi="Cambria Math"/>
                <w:w w:val="105"/>
                <w:sz w:val="20"/>
              </w:rPr>
              <m:t>2t</m:t>
            </m:r>
          </m:sub>
        </m:sSub>
      </m:oMath>
      <w:r w:rsidR="008C76EC" w:rsidRPr="00A20381">
        <w:rPr>
          <w:i/>
          <w:w w:val="105"/>
          <w:sz w:val="20"/>
        </w:rPr>
        <w:tab/>
      </w:r>
      <w:r w:rsidR="002E05B3" w:rsidRPr="00A20381">
        <w:rPr>
          <w:w w:val="105"/>
          <w:sz w:val="20"/>
        </w:rPr>
        <w:t>(2</w:t>
      </w:r>
      <w:r w:rsidR="00EE4A62">
        <w:rPr>
          <w:w w:val="105"/>
          <w:sz w:val="20"/>
        </w:rPr>
        <w:t>)</w:t>
      </w:r>
    </w:p>
    <w:p w:rsidR="008C76EC" w:rsidRPr="00A20381" w:rsidRDefault="00EE4A62" w:rsidP="00EE4A62">
      <w:pPr>
        <w:tabs>
          <w:tab w:val="left" w:pos="9831"/>
        </w:tabs>
        <w:spacing w:before="105" w:line="360" w:lineRule="auto"/>
        <w:jc w:val="both"/>
        <w:rPr>
          <w:w w:val="95"/>
        </w:rPr>
      </w:pPr>
      <w:r>
        <w:rPr>
          <w:w w:val="95"/>
        </w:rPr>
        <w:lastRenderedPageBreak/>
        <w:t xml:space="preserve">  </w:t>
      </w:r>
      <w:r w:rsidR="008C76EC" w:rsidRPr="00A20381">
        <w:rPr>
          <w:w w:val="95"/>
        </w:rPr>
        <w:t>where:</w:t>
      </w:r>
    </w:p>
    <w:p w:rsidR="008C76EC" w:rsidRPr="00A20381" w:rsidRDefault="008C76EC" w:rsidP="001A4FB4">
      <w:pPr>
        <w:pStyle w:val="Corpotesto"/>
        <w:spacing w:before="4" w:line="360" w:lineRule="auto"/>
        <w:jc w:val="both"/>
        <w:rPr>
          <w:sz w:val="15"/>
        </w:rPr>
      </w:pPr>
    </w:p>
    <w:p w:rsidR="008C76EC" w:rsidRPr="00A20381" w:rsidRDefault="004E27B5" w:rsidP="001A4FB4">
      <w:pPr>
        <w:pStyle w:val="Paragrafoelenco"/>
        <w:numPr>
          <w:ilvl w:val="0"/>
          <w:numId w:val="7"/>
        </w:numPr>
        <w:tabs>
          <w:tab w:val="left" w:pos="612"/>
        </w:tabs>
        <w:spacing w:before="95" w:line="360" w:lineRule="auto"/>
        <w:ind w:left="611" w:right="511"/>
        <w:jc w:val="both"/>
        <w:rPr>
          <w:sz w:val="20"/>
        </w:rPr>
      </w:pPr>
      <m:oMath>
        <m:sSub>
          <m:sSubPr>
            <m:ctrlPr>
              <w:rPr>
                <w:rFonts w:ascii="Cambria Math" w:hAnsi="Cambria Math"/>
                <w:i/>
                <w:spacing w:val="3"/>
                <w:sz w:val="20"/>
              </w:rPr>
            </m:ctrlPr>
          </m:sSubPr>
          <m:e>
            <m:r>
              <w:rPr>
                <w:rFonts w:ascii="Cambria Math" w:hAnsi="Cambria Math"/>
                <w:spacing w:val="3"/>
                <w:sz w:val="20"/>
              </w:rPr>
              <m:t>Δ</m:t>
            </m:r>
            <m:r>
              <w:rPr>
                <w:rFonts w:ascii="Cambria Math" w:hAnsi="Cambria Math"/>
                <w:spacing w:val="4"/>
                <w:sz w:val="20"/>
              </w:rPr>
              <m:t>CDS</m:t>
            </m:r>
          </m:e>
          <m:sub>
            <m:r>
              <w:rPr>
                <w:rFonts w:ascii="Cambria Math" w:hAnsi="Cambria Math"/>
                <w:spacing w:val="3"/>
                <w:sz w:val="20"/>
              </w:rPr>
              <m:t>t</m:t>
            </m:r>
          </m:sub>
        </m:sSub>
      </m:oMath>
      <w:r w:rsidR="008C76EC" w:rsidRPr="00A20381">
        <w:rPr>
          <w:i/>
          <w:spacing w:val="4"/>
          <w:sz w:val="20"/>
          <w:vertAlign w:val="subscript"/>
        </w:rPr>
        <w:t xml:space="preserve"> </w:t>
      </w:r>
      <w:r w:rsidR="008C76EC" w:rsidRPr="00A20381">
        <w:rPr>
          <w:sz w:val="20"/>
        </w:rPr>
        <w:t xml:space="preserve">and </w:t>
      </w:r>
      <m:oMath>
        <m:sSub>
          <m:sSubPr>
            <m:ctrlPr>
              <w:rPr>
                <w:rFonts w:ascii="Cambria Math" w:hAnsi="Cambria Math"/>
                <w:i/>
                <w:spacing w:val="3"/>
                <w:sz w:val="20"/>
              </w:rPr>
            </m:ctrlPr>
          </m:sSubPr>
          <m:e>
            <m:r>
              <w:rPr>
                <w:rFonts w:ascii="Cambria Math" w:hAnsi="Cambria Math"/>
                <w:spacing w:val="3"/>
                <w:sz w:val="20"/>
              </w:rPr>
              <m:t>ΔGB</m:t>
            </m:r>
            <m:r>
              <w:rPr>
                <w:rFonts w:ascii="Cambria Math" w:hAnsi="Cambria Math"/>
                <w:spacing w:val="4"/>
                <w:sz w:val="20"/>
              </w:rPr>
              <m:t>S</m:t>
            </m:r>
          </m:e>
          <m:sub>
            <m:r>
              <w:rPr>
                <w:rFonts w:ascii="Cambria Math" w:hAnsi="Cambria Math"/>
                <w:spacing w:val="3"/>
                <w:sz w:val="20"/>
              </w:rPr>
              <m:t>t</m:t>
            </m:r>
          </m:sub>
        </m:sSub>
      </m:oMath>
      <w:r w:rsidR="008C76EC" w:rsidRPr="00A20381">
        <w:rPr>
          <w:i/>
          <w:spacing w:val="6"/>
          <w:sz w:val="20"/>
        </w:rPr>
        <w:t xml:space="preserve"> </w:t>
      </w:r>
      <w:r w:rsidR="008C76EC" w:rsidRPr="00A20381">
        <w:rPr>
          <w:sz w:val="20"/>
        </w:rPr>
        <w:t xml:space="preserve">are, respectively, the </w:t>
      </w:r>
      <w:r w:rsidR="008C76EC" w:rsidRPr="00A20381">
        <w:rPr>
          <w:i/>
          <w:sz w:val="20"/>
        </w:rPr>
        <w:t xml:space="preserve">first </w:t>
      </w:r>
      <w:r w:rsidR="008C76EC" w:rsidRPr="00A20381">
        <w:rPr>
          <w:i/>
          <w:spacing w:val="-3"/>
          <w:sz w:val="20"/>
        </w:rPr>
        <w:t xml:space="preserve">differences </w:t>
      </w:r>
      <w:r w:rsidR="008C76EC" w:rsidRPr="00A20381">
        <w:rPr>
          <w:sz w:val="20"/>
        </w:rPr>
        <w:t xml:space="preserve">for the </w:t>
      </w:r>
      <w:r w:rsidR="00AA2F03" w:rsidRPr="00A20381">
        <w:rPr>
          <w:i/>
          <w:sz w:val="20"/>
        </w:rPr>
        <w:t>sovereign Italian  10</w:t>
      </w:r>
      <w:r w:rsidR="008C76EC" w:rsidRPr="00A20381">
        <w:rPr>
          <w:i/>
          <w:sz w:val="20"/>
        </w:rPr>
        <w:t xml:space="preserve">y  CDS </w:t>
      </w:r>
      <w:r w:rsidR="008C76EC" w:rsidRPr="00A20381">
        <w:rPr>
          <w:i/>
          <w:spacing w:val="-4"/>
          <w:sz w:val="20"/>
        </w:rPr>
        <w:t xml:space="preserve">spreads </w:t>
      </w:r>
      <w:r w:rsidR="008C76EC" w:rsidRPr="00A20381">
        <w:rPr>
          <w:sz w:val="20"/>
        </w:rPr>
        <w:t xml:space="preserve">and </w:t>
      </w:r>
      <w:r w:rsidR="00AA2F03" w:rsidRPr="00A20381">
        <w:rPr>
          <w:sz w:val="20"/>
        </w:rPr>
        <w:t xml:space="preserve">the </w:t>
      </w:r>
      <w:r w:rsidR="00AA2F03" w:rsidRPr="00A20381">
        <w:rPr>
          <w:i/>
          <w:sz w:val="20"/>
        </w:rPr>
        <w:t xml:space="preserve">10y government bond </w:t>
      </w:r>
      <w:r w:rsidR="00CC774A" w:rsidRPr="00A20381">
        <w:rPr>
          <w:i/>
          <w:sz w:val="20"/>
        </w:rPr>
        <w:t xml:space="preserve">yield </w:t>
      </w:r>
      <w:r w:rsidR="008C76EC" w:rsidRPr="00A20381">
        <w:rPr>
          <w:i/>
          <w:spacing w:val="-4"/>
          <w:sz w:val="20"/>
        </w:rPr>
        <w:t>spreads</w:t>
      </w:r>
      <w:r w:rsidR="008C76EC" w:rsidRPr="00A20381">
        <w:rPr>
          <w:i/>
          <w:spacing w:val="27"/>
          <w:sz w:val="20"/>
        </w:rPr>
        <w:t xml:space="preserve"> </w:t>
      </w:r>
      <w:r w:rsidR="008C76EC" w:rsidRPr="00A20381">
        <w:rPr>
          <w:sz w:val="20"/>
        </w:rPr>
        <w:t>series;</w:t>
      </w:r>
    </w:p>
    <w:p w:rsidR="008C76EC" w:rsidRPr="00A20381" w:rsidRDefault="008C76EC" w:rsidP="001A4FB4">
      <w:pPr>
        <w:pStyle w:val="Paragrafoelenco"/>
        <w:numPr>
          <w:ilvl w:val="0"/>
          <w:numId w:val="7"/>
        </w:numPr>
        <w:tabs>
          <w:tab w:val="left" w:pos="612"/>
        </w:tabs>
        <w:spacing w:before="154" w:line="360" w:lineRule="auto"/>
        <w:jc w:val="both"/>
        <w:rPr>
          <w:sz w:val="20"/>
        </w:rPr>
      </w:pPr>
      <w:r w:rsidRPr="00A20381">
        <w:rPr>
          <w:i/>
          <w:sz w:val="20"/>
        </w:rPr>
        <w:t>β</w:t>
      </w:r>
      <w:r w:rsidRPr="00A20381">
        <w:rPr>
          <w:sz w:val="20"/>
          <w:vertAlign w:val="subscript"/>
        </w:rPr>
        <w:t>10</w:t>
      </w:r>
      <w:r w:rsidRPr="00A20381">
        <w:rPr>
          <w:sz w:val="20"/>
        </w:rPr>
        <w:t xml:space="preserve"> and </w:t>
      </w:r>
      <w:r w:rsidRPr="00A20381">
        <w:rPr>
          <w:i/>
          <w:sz w:val="20"/>
        </w:rPr>
        <w:t>β</w:t>
      </w:r>
      <w:r w:rsidRPr="00A20381">
        <w:rPr>
          <w:sz w:val="20"/>
          <w:vertAlign w:val="subscript"/>
        </w:rPr>
        <w:t>20</w:t>
      </w:r>
      <w:r w:rsidRPr="00A20381">
        <w:rPr>
          <w:sz w:val="20"/>
        </w:rPr>
        <w:t xml:space="preserve"> are, respectively, the </w:t>
      </w:r>
      <w:r w:rsidRPr="00A20381">
        <w:rPr>
          <w:i/>
          <w:sz w:val="20"/>
        </w:rPr>
        <w:t xml:space="preserve">constant terms </w:t>
      </w:r>
      <w:r w:rsidRPr="00A20381">
        <w:rPr>
          <w:sz w:val="20"/>
        </w:rPr>
        <w:t>of the equation (1) and</w:t>
      </w:r>
      <w:r w:rsidRPr="00A20381">
        <w:rPr>
          <w:spacing w:val="25"/>
          <w:sz w:val="20"/>
        </w:rPr>
        <w:t xml:space="preserve"> </w:t>
      </w:r>
      <w:r w:rsidRPr="00A20381">
        <w:rPr>
          <w:sz w:val="20"/>
        </w:rPr>
        <w:t>(2);</w:t>
      </w:r>
    </w:p>
    <w:p w:rsidR="008C76EC" w:rsidRPr="00EE4A62" w:rsidRDefault="004E27B5" w:rsidP="00EE4A62">
      <w:pPr>
        <w:pStyle w:val="Paragrafoelenco"/>
        <w:numPr>
          <w:ilvl w:val="0"/>
          <w:numId w:val="7"/>
        </w:numPr>
        <w:tabs>
          <w:tab w:val="left" w:pos="612"/>
        </w:tabs>
        <w:spacing w:before="240" w:line="360" w:lineRule="auto"/>
        <w:ind w:left="611" w:right="511"/>
        <w:jc w:val="both"/>
        <w:rPr>
          <w:sz w:val="20"/>
        </w:rPr>
      </w:pPr>
      <m:oMath>
        <m:sSub>
          <m:sSubPr>
            <m:ctrlPr>
              <w:rPr>
                <w:rFonts w:ascii="Cambria Math" w:hAnsi="Cambria Math"/>
                <w:i/>
                <w:spacing w:val="3"/>
                <w:sz w:val="20"/>
              </w:rPr>
            </m:ctrlPr>
          </m:sSubPr>
          <m:e>
            <m:r>
              <w:rPr>
                <w:rFonts w:ascii="Cambria Math" w:hAnsi="Cambria Math"/>
                <w:spacing w:val="3"/>
                <w:sz w:val="20"/>
              </w:rPr>
              <m:t>Δ</m:t>
            </m:r>
            <m:r>
              <w:rPr>
                <w:rFonts w:ascii="Cambria Math" w:hAnsi="Cambria Math"/>
                <w:spacing w:val="4"/>
                <w:sz w:val="20"/>
              </w:rPr>
              <m:t>CDS</m:t>
            </m:r>
          </m:e>
          <m:sub>
            <m:r>
              <w:rPr>
                <w:rFonts w:ascii="Cambria Math" w:hAnsi="Cambria Math"/>
                <w:spacing w:val="3"/>
                <w:sz w:val="20"/>
              </w:rPr>
              <m:t>t-1</m:t>
            </m:r>
          </m:sub>
        </m:sSub>
      </m:oMath>
      <w:r w:rsidR="008C76EC" w:rsidRPr="00A20381">
        <w:rPr>
          <w:i/>
          <w:spacing w:val="4"/>
          <w:sz w:val="20"/>
          <w:vertAlign w:val="subscript"/>
        </w:rPr>
        <w:t xml:space="preserve"> </w:t>
      </w:r>
      <w:r w:rsidR="008C76EC" w:rsidRPr="00A20381">
        <w:rPr>
          <w:sz w:val="20"/>
        </w:rPr>
        <w:t xml:space="preserve">and </w:t>
      </w:r>
      <m:oMath>
        <m:sSub>
          <m:sSubPr>
            <m:ctrlPr>
              <w:rPr>
                <w:rFonts w:ascii="Cambria Math" w:hAnsi="Cambria Math"/>
                <w:i/>
                <w:spacing w:val="3"/>
                <w:sz w:val="20"/>
              </w:rPr>
            </m:ctrlPr>
          </m:sSubPr>
          <m:e>
            <m:r>
              <w:rPr>
                <w:rFonts w:ascii="Cambria Math" w:hAnsi="Cambria Math"/>
                <w:spacing w:val="3"/>
                <w:sz w:val="20"/>
              </w:rPr>
              <m:t>ΔGB</m:t>
            </m:r>
            <m:r>
              <w:rPr>
                <w:rFonts w:ascii="Cambria Math" w:hAnsi="Cambria Math"/>
                <w:spacing w:val="4"/>
                <w:sz w:val="20"/>
              </w:rPr>
              <m:t>S</m:t>
            </m:r>
          </m:e>
          <m:sub>
            <m:r>
              <w:rPr>
                <w:rFonts w:ascii="Cambria Math" w:hAnsi="Cambria Math"/>
                <w:spacing w:val="3"/>
                <w:sz w:val="20"/>
              </w:rPr>
              <m:t>t-1</m:t>
            </m:r>
          </m:sub>
        </m:sSub>
      </m:oMath>
      <w:r w:rsidR="008C76EC" w:rsidRPr="00A20381">
        <w:rPr>
          <w:i/>
          <w:spacing w:val="5"/>
          <w:sz w:val="20"/>
        </w:rPr>
        <w:t xml:space="preserve"> </w:t>
      </w:r>
      <w:r w:rsidR="008C76EC" w:rsidRPr="00A20381">
        <w:rPr>
          <w:sz w:val="20"/>
        </w:rPr>
        <w:t xml:space="preserve">are, respectively,  the </w:t>
      </w:r>
      <w:r w:rsidR="008C76EC" w:rsidRPr="00A20381">
        <w:rPr>
          <w:i/>
          <w:sz w:val="20"/>
        </w:rPr>
        <w:t xml:space="preserve">delayed  first  </w:t>
      </w:r>
      <w:r w:rsidR="008C76EC" w:rsidRPr="00A20381">
        <w:rPr>
          <w:i/>
          <w:spacing w:val="-3"/>
          <w:sz w:val="20"/>
        </w:rPr>
        <w:t xml:space="preserve">differences  </w:t>
      </w:r>
      <w:r w:rsidR="008C76EC" w:rsidRPr="00A20381">
        <w:rPr>
          <w:sz w:val="20"/>
        </w:rPr>
        <w:t xml:space="preserve">for the </w:t>
      </w:r>
      <w:r w:rsidR="008C76EC" w:rsidRPr="00A20381">
        <w:rPr>
          <w:i/>
          <w:sz w:val="20"/>
        </w:rPr>
        <w:t xml:space="preserve">sovereign </w:t>
      </w:r>
      <w:r w:rsidR="00AA2F03" w:rsidRPr="00A20381">
        <w:rPr>
          <w:i/>
          <w:sz w:val="20"/>
        </w:rPr>
        <w:t>Italian 10</w:t>
      </w:r>
      <w:r w:rsidR="008C76EC" w:rsidRPr="00A20381">
        <w:rPr>
          <w:i/>
          <w:sz w:val="20"/>
        </w:rPr>
        <w:t xml:space="preserve">y CDS </w:t>
      </w:r>
      <w:r w:rsidR="008C76EC" w:rsidRPr="00A20381">
        <w:rPr>
          <w:i/>
          <w:spacing w:val="-4"/>
          <w:sz w:val="20"/>
        </w:rPr>
        <w:t xml:space="preserve">spreads </w:t>
      </w:r>
      <w:r w:rsidR="008C76EC" w:rsidRPr="00A20381">
        <w:rPr>
          <w:sz w:val="20"/>
        </w:rPr>
        <w:t xml:space="preserve">and </w:t>
      </w:r>
      <w:r w:rsidR="00AA2F03" w:rsidRPr="00A20381">
        <w:rPr>
          <w:sz w:val="20"/>
        </w:rPr>
        <w:t xml:space="preserve">the </w:t>
      </w:r>
      <w:r w:rsidR="00AA2F03" w:rsidRPr="00A20381">
        <w:rPr>
          <w:i/>
          <w:sz w:val="20"/>
        </w:rPr>
        <w:t xml:space="preserve">10y government bond </w:t>
      </w:r>
      <w:r w:rsidR="00CC774A" w:rsidRPr="00A20381">
        <w:rPr>
          <w:i/>
          <w:sz w:val="20"/>
        </w:rPr>
        <w:t xml:space="preserve">yield </w:t>
      </w:r>
      <w:r w:rsidR="00AA2F03" w:rsidRPr="00A20381">
        <w:rPr>
          <w:i/>
          <w:spacing w:val="-4"/>
          <w:sz w:val="20"/>
        </w:rPr>
        <w:t>spreads</w:t>
      </w:r>
      <w:r w:rsidR="008C76EC" w:rsidRPr="00A20381">
        <w:rPr>
          <w:i/>
          <w:spacing w:val="-4"/>
          <w:sz w:val="20"/>
        </w:rPr>
        <w:t xml:space="preserve"> </w:t>
      </w:r>
      <w:r w:rsidR="008C76EC" w:rsidRPr="00A20381">
        <w:rPr>
          <w:sz w:val="20"/>
        </w:rPr>
        <w:t>series;</w:t>
      </w:r>
    </w:p>
    <w:p w:rsidR="008C76EC" w:rsidRPr="00A20381" w:rsidRDefault="008C76EC" w:rsidP="001A4FB4">
      <w:pPr>
        <w:pStyle w:val="Paragrafoelenco"/>
        <w:numPr>
          <w:ilvl w:val="0"/>
          <w:numId w:val="7"/>
        </w:numPr>
        <w:tabs>
          <w:tab w:val="left" w:pos="612"/>
        </w:tabs>
        <w:spacing w:line="360" w:lineRule="auto"/>
        <w:jc w:val="both"/>
        <w:rPr>
          <w:sz w:val="20"/>
        </w:rPr>
      </w:pPr>
      <w:r w:rsidRPr="00A20381">
        <w:rPr>
          <w:i/>
          <w:sz w:val="20"/>
        </w:rPr>
        <w:t xml:space="preserve">l </w:t>
      </w:r>
      <w:r w:rsidRPr="00A20381">
        <w:rPr>
          <w:sz w:val="20"/>
        </w:rPr>
        <w:t>is the number of</w:t>
      </w:r>
      <w:r w:rsidRPr="00A20381">
        <w:rPr>
          <w:spacing w:val="48"/>
          <w:sz w:val="20"/>
        </w:rPr>
        <w:t xml:space="preserve"> </w:t>
      </w:r>
      <w:r w:rsidRPr="00A20381">
        <w:rPr>
          <w:i/>
          <w:spacing w:val="3"/>
          <w:sz w:val="20"/>
        </w:rPr>
        <w:t>lags</w:t>
      </w:r>
      <w:r w:rsidRPr="00A20381">
        <w:rPr>
          <w:spacing w:val="3"/>
          <w:sz w:val="20"/>
        </w:rPr>
        <w:t>;</w:t>
      </w:r>
    </w:p>
    <w:p w:rsidR="008C76EC" w:rsidRPr="00EE4A62" w:rsidRDefault="008C76EC" w:rsidP="00EE4A62">
      <w:pPr>
        <w:pStyle w:val="Paragrafoelenco"/>
        <w:numPr>
          <w:ilvl w:val="0"/>
          <w:numId w:val="7"/>
        </w:numPr>
        <w:tabs>
          <w:tab w:val="left" w:pos="612"/>
        </w:tabs>
        <w:spacing w:before="184" w:line="360" w:lineRule="auto"/>
        <w:ind w:left="611" w:right="511"/>
        <w:jc w:val="both"/>
        <w:rPr>
          <w:sz w:val="20"/>
        </w:rPr>
      </w:pPr>
      <w:r w:rsidRPr="00A20381">
        <w:rPr>
          <w:i/>
          <w:spacing w:val="4"/>
          <w:sz w:val="20"/>
        </w:rPr>
        <w:t>ECT</w:t>
      </w:r>
      <w:r w:rsidRPr="00A20381">
        <w:rPr>
          <w:i/>
          <w:spacing w:val="4"/>
          <w:sz w:val="20"/>
          <w:vertAlign w:val="subscript"/>
        </w:rPr>
        <w:t>t−</w:t>
      </w:r>
      <w:r w:rsidRPr="00A20381">
        <w:rPr>
          <w:spacing w:val="4"/>
          <w:sz w:val="20"/>
          <w:vertAlign w:val="subscript"/>
        </w:rPr>
        <w:t>1</w:t>
      </w:r>
      <w:r w:rsidRPr="00A20381">
        <w:rPr>
          <w:spacing w:val="4"/>
          <w:sz w:val="20"/>
        </w:rPr>
        <w:t xml:space="preserve"> </w:t>
      </w:r>
      <w:r w:rsidRPr="00A20381">
        <w:rPr>
          <w:sz w:val="20"/>
        </w:rPr>
        <w:t xml:space="preserve">is the </w:t>
      </w:r>
      <w:r w:rsidRPr="00A20381">
        <w:rPr>
          <w:i/>
          <w:spacing w:val="-3"/>
          <w:sz w:val="20"/>
        </w:rPr>
        <w:t xml:space="preserve">Error Correction </w:t>
      </w:r>
      <w:r w:rsidRPr="00A20381">
        <w:rPr>
          <w:i/>
          <w:spacing w:val="-5"/>
          <w:sz w:val="20"/>
        </w:rPr>
        <w:t xml:space="preserve">Term </w:t>
      </w:r>
      <w:r w:rsidRPr="00A20381">
        <w:rPr>
          <w:sz w:val="20"/>
        </w:rPr>
        <w:t>(</w:t>
      </w:r>
      <w:r w:rsidRPr="00A20381">
        <w:rPr>
          <w:i/>
          <w:sz w:val="20"/>
        </w:rPr>
        <w:t>ECT</w:t>
      </w:r>
      <w:r w:rsidRPr="00A20381">
        <w:rPr>
          <w:sz w:val="20"/>
        </w:rPr>
        <w:t>). It is defined as</w:t>
      </w:r>
      <m:oMath>
        <m:sSub>
          <m:sSubPr>
            <m:ctrlPr>
              <w:rPr>
                <w:rFonts w:ascii="Cambria Math" w:hAnsi="Cambria Math"/>
                <w:i/>
                <w:spacing w:val="4"/>
                <w:sz w:val="20"/>
              </w:rPr>
            </m:ctrlPr>
          </m:sSubPr>
          <m:e>
            <m:r>
              <m:rPr>
                <m:sty m:val="p"/>
              </m:rPr>
              <w:rPr>
                <w:rFonts w:ascii="Cambria Math" w:hAnsi="Cambria Math"/>
                <w:sz w:val="20"/>
              </w:rPr>
              <m:t xml:space="preserve"> </m:t>
            </m:r>
            <m:r>
              <w:rPr>
                <w:rFonts w:ascii="Cambria Math" w:hAnsi="Cambria Math"/>
                <w:spacing w:val="4"/>
                <w:sz w:val="20"/>
              </w:rPr>
              <m:t>ECT</m:t>
            </m:r>
          </m:e>
          <m:sub>
            <m:r>
              <w:rPr>
                <w:rFonts w:ascii="Cambria Math" w:hAnsi="Cambria Math"/>
                <w:spacing w:val="4"/>
                <w:sz w:val="20"/>
                <w:vertAlign w:val="subscript"/>
              </w:rPr>
              <m:t>t-</m:t>
            </m:r>
            <m:r>
              <m:rPr>
                <m:sty m:val="p"/>
              </m:rPr>
              <w:rPr>
                <w:rFonts w:ascii="Cambria Math" w:hAnsi="Cambria Math"/>
                <w:spacing w:val="4"/>
                <w:sz w:val="20"/>
                <w:vertAlign w:val="subscript"/>
              </w:rPr>
              <m:t>1</m:t>
            </m:r>
          </m:sub>
        </m:sSub>
        <m:r>
          <m:rPr>
            <m:sty m:val="p"/>
          </m:rPr>
          <w:rPr>
            <w:rFonts w:ascii="Cambria Math" w:hAnsi="Cambria Math"/>
            <w:spacing w:val="4"/>
            <w:sz w:val="20"/>
          </w:rPr>
          <m:t xml:space="preserve"> </m:t>
        </m:r>
        <m:r>
          <m:rPr>
            <m:sty m:val="p"/>
          </m:rPr>
          <w:rPr>
            <w:rFonts w:ascii="Cambria Math" w:hAnsi="Cambria Math"/>
            <w:sz w:val="20"/>
          </w:rPr>
          <m:t>=</m:t>
        </m:r>
        <m:sSub>
          <m:sSubPr>
            <m:ctrlPr>
              <w:rPr>
                <w:rFonts w:ascii="Cambria Math" w:hAnsi="Cambria Math"/>
                <w:spacing w:val="3"/>
                <w:sz w:val="20"/>
                <w:vertAlign w:val="subscript"/>
              </w:rPr>
            </m:ctrlPr>
          </m:sSubPr>
          <m:e>
            <m:r>
              <w:rPr>
                <w:rFonts w:ascii="Cambria Math" w:hAnsi="Cambria Math"/>
                <w:spacing w:val="3"/>
                <w:sz w:val="20"/>
              </w:rPr>
              <m:t>CDS</m:t>
            </m:r>
          </m:e>
          <m:sub>
            <m:r>
              <m:rPr>
                <m:sty m:val="p"/>
              </m:rPr>
              <w:rPr>
                <w:rFonts w:ascii="Cambria Math" w:hAnsi="Cambria Math"/>
                <w:sz w:val="20"/>
              </w:rPr>
              <m:t xml:space="preserve"> </m:t>
            </m:r>
            <m:r>
              <w:rPr>
                <w:rFonts w:ascii="Cambria Math" w:hAnsi="Cambria Math"/>
                <w:spacing w:val="3"/>
                <w:sz w:val="20"/>
                <w:vertAlign w:val="subscript"/>
              </w:rPr>
              <m:t>t-</m:t>
            </m:r>
            <m:r>
              <m:rPr>
                <m:sty m:val="p"/>
              </m:rPr>
              <w:rPr>
                <w:rFonts w:ascii="Cambria Math" w:hAnsi="Cambria Math"/>
                <w:spacing w:val="3"/>
                <w:sz w:val="20"/>
                <w:vertAlign w:val="subscript"/>
              </w:rPr>
              <m:t>1</m:t>
            </m:r>
          </m:sub>
        </m:sSub>
        <m:r>
          <m:rPr>
            <m:sty m:val="p"/>
          </m:rPr>
          <w:rPr>
            <w:rFonts w:ascii="Cambria Math" w:hAnsi="Cambria Math"/>
            <w:spacing w:val="3"/>
            <w:sz w:val="20"/>
          </w:rPr>
          <m:t xml:space="preserve"> </m:t>
        </m:r>
        <m:r>
          <w:rPr>
            <w:rFonts w:ascii="Cambria Math" w:hAnsi="Cambria Math"/>
            <w:spacing w:val="7"/>
            <w:sz w:val="20"/>
          </w:rPr>
          <m:t>-α-γ</m:t>
        </m:r>
        <m:sSub>
          <m:sSubPr>
            <m:ctrlPr>
              <w:rPr>
                <w:rFonts w:ascii="Cambria Math" w:hAnsi="Cambria Math"/>
                <w:spacing w:val="3"/>
                <w:sz w:val="20"/>
                <w:vertAlign w:val="subscript"/>
              </w:rPr>
            </m:ctrlPr>
          </m:sSubPr>
          <m:e>
            <m:r>
              <w:rPr>
                <w:rFonts w:ascii="Cambria Math" w:hAnsi="Cambria Math"/>
                <w:spacing w:val="5"/>
                <w:sz w:val="20"/>
              </w:rPr>
              <m:t>GB</m:t>
            </m:r>
            <m:r>
              <w:rPr>
                <w:rFonts w:ascii="Cambria Math" w:hAnsi="Cambria Math"/>
                <w:spacing w:val="3"/>
                <w:sz w:val="20"/>
              </w:rPr>
              <m:t>S</m:t>
            </m:r>
          </m:e>
          <m:sub>
            <m:r>
              <m:rPr>
                <m:sty m:val="p"/>
              </m:rPr>
              <w:rPr>
                <w:rFonts w:ascii="Cambria Math" w:hAnsi="Cambria Math"/>
                <w:sz w:val="20"/>
              </w:rPr>
              <m:t xml:space="preserve"> </m:t>
            </m:r>
            <m:r>
              <w:rPr>
                <w:rFonts w:ascii="Cambria Math" w:hAnsi="Cambria Math"/>
                <w:spacing w:val="3"/>
                <w:sz w:val="20"/>
                <w:vertAlign w:val="subscript"/>
              </w:rPr>
              <m:t>t-</m:t>
            </m:r>
            <m:r>
              <m:rPr>
                <m:sty m:val="p"/>
              </m:rPr>
              <w:rPr>
                <w:rFonts w:ascii="Cambria Math" w:hAnsi="Cambria Math"/>
                <w:spacing w:val="3"/>
                <w:sz w:val="20"/>
                <w:vertAlign w:val="subscript"/>
              </w:rPr>
              <m:t>1</m:t>
            </m:r>
          </m:sub>
        </m:sSub>
      </m:oMath>
      <w:r w:rsidRPr="00A20381">
        <w:rPr>
          <w:spacing w:val="7"/>
          <w:sz w:val="20"/>
        </w:rPr>
        <w:t xml:space="preserve">. </w:t>
      </w:r>
      <w:r w:rsidRPr="00A20381">
        <w:rPr>
          <w:sz w:val="20"/>
        </w:rPr>
        <w:t xml:space="preserve">In simple terms, it measures the deviations between the </w:t>
      </w:r>
      <w:r w:rsidRPr="00A20381">
        <w:rPr>
          <w:i/>
          <w:sz w:val="20"/>
        </w:rPr>
        <w:t xml:space="preserve">CDS </w:t>
      </w:r>
      <w:r w:rsidRPr="00A20381">
        <w:rPr>
          <w:sz w:val="20"/>
        </w:rPr>
        <w:t xml:space="preserve">and </w:t>
      </w:r>
      <w:r w:rsidR="00AA2F03" w:rsidRPr="00A20381">
        <w:rPr>
          <w:i/>
          <w:sz w:val="20"/>
        </w:rPr>
        <w:t>GB</w:t>
      </w:r>
      <w:r w:rsidRPr="00A20381">
        <w:rPr>
          <w:i/>
          <w:sz w:val="20"/>
        </w:rPr>
        <w:t xml:space="preserve">S </w:t>
      </w:r>
      <w:r w:rsidRPr="00A20381">
        <w:rPr>
          <w:sz w:val="20"/>
        </w:rPr>
        <w:t>at time (</w:t>
      </w:r>
      <w:r w:rsidRPr="00A20381">
        <w:rPr>
          <w:i/>
          <w:sz w:val="20"/>
        </w:rPr>
        <w:t>t-1</w:t>
      </w:r>
      <w:r w:rsidRPr="00A20381">
        <w:rPr>
          <w:sz w:val="20"/>
        </w:rPr>
        <w:t xml:space="preserve">) with respect to the theoretical long period equilibrium. </w:t>
      </w:r>
      <w:r w:rsidRPr="00A20381">
        <w:rPr>
          <w:i/>
          <w:sz w:val="20"/>
        </w:rPr>
        <w:t xml:space="preserve">γ </w:t>
      </w:r>
      <w:r w:rsidRPr="00A20381">
        <w:rPr>
          <w:sz w:val="20"/>
        </w:rPr>
        <w:t xml:space="preserve">is the </w:t>
      </w:r>
      <w:proofErr w:type="spellStart"/>
      <w:r w:rsidRPr="00A20381">
        <w:rPr>
          <w:sz w:val="20"/>
        </w:rPr>
        <w:t>cointegrating</w:t>
      </w:r>
      <w:proofErr w:type="spellEnd"/>
      <w:r w:rsidRPr="00A20381">
        <w:rPr>
          <w:sz w:val="20"/>
        </w:rPr>
        <w:t xml:space="preserve"> coefficient and </w:t>
      </w:r>
      <w:r w:rsidRPr="00A20381">
        <w:rPr>
          <w:i/>
          <w:sz w:val="20"/>
        </w:rPr>
        <w:t xml:space="preserve">α </w:t>
      </w:r>
      <w:r w:rsidR="00AA2F03" w:rsidRPr="00A20381">
        <w:rPr>
          <w:sz w:val="20"/>
        </w:rPr>
        <w:t>is the intercept of</w:t>
      </w:r>
      <w:r w:rsidRPr="00A20381">
        <w:rPr>
          <w:sz w:val="20"/>
        </w:rPr>
        <w:t xml:space="preserve"> the </w:t>
      </w:r>
      <w:proofErr w:type="spellStart"/>
      <w:r w:rsidRPr="00A20381">
        <w:rPr>
          <w:sz w:val="20"/>
        </w:rPr>
        <w:t>cointegrating</w:t>
      </w:r>
      <w:proofErr w:type="spellEnd"/>
      <w:r w:rsidRPr="00A20381">
        <w:rPr>
          <w:spacing w:val="15"/>
          <w:sz w:val="20"/>
        </w:rPr>
        <w:t xml:space="preserve"> </w:t>
      </w:r>
      <w:r w:rsidRPr="00A20381">
        <w:rPr>
          <w:sz w:val="20"/>
        </w:rPr>
        <w:t>term;</w:t>
      </w:r>
    </w:p>
    <w:p w:rsidR="008C76EC" w:rsidRPr="00A20381" w:rsidRDefault="008C76EC" w:rsidP="001A4FB4">
      <w:pPr>
        <w:pStyle w:val="Paragrafoelenco"/>
        <w:numPr>
          <w:ilvl w:val="0"/>
          <w:numId w:val="7"/>
        </w:numPr>
        <w:tabs>
          <w:tab w:val="left" w:pos="612"/>
        </w:tabs>
        <w:spacing w:line="360" w:lineRule="auto"/>
        <w:ind w:left="611" w:right="511"/>
        <w:jc w:val="both"/>
        <w:rPr>
          <w:sz w:val="20"/>
        </w:rPr>
      </w:pPr>
      <w:r w:rsidRPr="00A20381">
        <w:rPr>
          <w:i/>
          <w:sz w:val="20"/>
        </w:rPr>
        <w:t>λ</w:t>
      </w:r>
      <w:r w:rsidRPr="00A20381">
        <w:rPr>
          <w:sz w:val="20"/>
          <w:vertAlign w:val="subscript"/>
        </w:rPr>
        <w:t>1</w:t>
      </w:r>
      <w:r w:rsidRPr="00A20381">
        <w:rPr>
          <w:sz w:val="20"/>
        </w:rPr>
        <w:t xml:space="preserve"> and </w:t>
      </w:r>
      <w:r w:rsidRPr="00A20381">
        <w:rPr>
          <w:i/>
          <w:sz w:val="20"/>
        </w:rPr>
        <w:t>λ</w:t>
      </w:r>
      <w:r w:rsidRPr="00A20381">
        <w:rPr>
          <w:sz w:val="20"/>
          <w:vertAlign w:val="subscript"/>
        </w:rPr>
        <w:t>2</w:t>
      </w:r>
      <w:r w:rsidRPr="00A20381">
        <w:rPr>
          <w:sz w:val="20"/>
        </w:rPr>
        <w:t xml:space="preserve"> are the </w:t>
      </w:r>
      <w:r w:rsidRPr="00A20381">
        <w:rPr>
          <w:i/>
          <w:sz w:val="20"/>
        </w:rPr>
        <w:t xml:space="preserve">adjustment </w:t>
      </w:r>
      <w:r w:rsidRPr="00A20381">
        <w:rPr>
          <w:i/>
          <w:spacing w:val="-3"/>
          <w:sz w:val="20"/>
        </w:rPr>
        <w:t>coefficients</w:t>
      </w:r>
      <w:r w:rsidRPr="00A20381">
        <w:rPr>
          <w:spacing w:val="-3"/>
          <w:sz w:val="20"/>
        </w:rPr>
        <w:t xml:space="preserve">. </w:t>
      </w:r>
      <w:r w:rsidRPr="00A20381">
        <w:rPr>
          <w:sz w:val="20"/>
        </w:rPr>
        <w:t>They describe the speed of adjustment back to the long period equilibrium, that is they measure the proportion of correction of the series deviations from the long-run relationship;</w:t>
      </w:r>
    </w:p>
    <w:p w:rsidR="002E05B3" w:rsidRPr="00EE4A62" w:rsidRDefault="008C76EC" w:rsidP="00EE4A62">
      <w:pPr>
        <w:tabs>
          <w:tab w:val="left" w:pos="412"/>
        </w:tabs>
        <w:spacing w:before="167" w:line="360" w:lineRule="auto"/>
        <w:ind w:left="113"/>
        <w:jc w:val="both"/>
        <w:rPr>
          <w:sz w:val="20"/>
        </w:rPr>
      </w:pPr>
      <w:r w:rsidRPr="00A20381">
        <w:rPr>
          <w:w w:val="99"/>
          <w:sz w:val="20"/>
        </w:rPr>
        <w:t xml:space="preserve"> </w:t>
      </w:r>
      <w:r w:rsidRPr="00A20381">
        <w:rPr>
          <w:sz w:val="20"/>
        </w:rPr>
        <w:tab/>
      </w:r>
      <w:r w:rsidRPr="00A20381">
        <w:rPr>
          <w:i/>
          <w:w w:val="115"/>
          <w:sz w:val="20"/>
        </w:rPr>
        <w:t>•</w:t>
      </w:r>
      <w:r w:rsidRPr="00A20381">
        <w:rPr>
          <w:i/>
          <w:spacing w:val="34"/>
          <w:w w:val="115"/>
          <w:sz w:val="20"/>
        </w:rPr>
        <w:t xml:space="preserve"> </w:t>
      </w:r>
      <w:r w:rsidRPr="00A20381">
        <w:rPr>
          <w:i/>
          <w:sz w:val="20"/>
        </w:rPr>
        <w:t>ε</w:t>
      </w:r>
      <w:r w:rsidRPr="00A20381">
        <w:rPr>
          <w:sz w:val="20"/>
          <w:vertAlign w:val="subscript"/>
        </w:rPr>
        <w:t>1</w:t>
      </w:r>
      <w:r w:rsidRPr="00A20381">
        <w:rPr>
          <w:i/>
          <w:sz w:val="20"/>
          <w:vertAlign w:val="subscript"/>
        </w:rPr>
        <w:t>t</w:t>
      </w:r>
      <w:r w:rsidRPr="00A20381">
        <w:rPr>
          <w:i/>
          <w:spacing w:val="16"/>
          <w:sz w:val="20"/>
        </w:rPr>
        <w:t xml:space="preserve"> </w:t>
      </w:r>
      <w:r w:rsidRPr="00A20381">
        <w:rPr>
          <w:sz w:val="20"/>
        </w:rPr>
        <w:t>and</w:t>
      </w:r>
      <w:r w:rsidRPr="00A20381">
        <w:rPr>
          <w:spacing w:val="16"/>
          <w:sz w:val="20"/>
        </w:rPr>
        <w:t xml:space="preserve"> </w:t>
      </w:r>
      <w:r w:rsidRPr="00A20381">
        <w:rPr>
          <w:i/>
          <w:sz w:val="20"/>
        </w:rPr>
        <w:t>ε</w:t>
      </w:r>
      <w:r w:rsidRPr="00A20381">
        <w:rPr>
          <w:sz w:val="20"/>
          <w:vertAlign w:val="subscript"/>
        </w:rPr>
        <w:t>2</w:t>
      </w:r>
      <w:r w:rsidRPr="00A20381">
        <w:rPr>
          <w:i/>
          <w:sz w:val="20"/>
          <w:vertAlign w:val="subscript"/>
        </w:rPr>
        <w:t>t</w:t>
      </w:r>
      <w:r w:rsidRPr="00A20381">
        <w:rPr>
          <w:i/>
          <w:spacing w:val="15"/>
          <w:sz w:val="20"/>
        </w:rPr>
        <w:t xml:space="preserve"> </w:t>
      </w:r>
      <w:r w:rsidRPr="00A20381">
        <w:rPr>
          <w:sz w:val="20"/>
        </w:rPr>
        <w:t>are,</w:t>
      </w:r>
      <w:r w:rsidRPr="00A20381">
        <w:rPr>
          <w:spacing w:val="16"/>
          <w:sz w:val="20"/>
        </w:rPr>
        <w:t xml:space="preserve"> </w:t>
      </w:r>
      <w:r w:rsidRPr="00A20381">
        <w:rPr>
          <w:sz w:val="20"/>
        </w:rPr>
        <w:t>respectively,</w:t>
      </w:r>
      <w:r w:rsidRPr="00A20381">
        <w:rPr>
          <w:spacing w:val="15"/>
          <w:sz w:val="20"/>
        </w:rPr>
        <w:t xml:space="preserve"> </w:t>
      </w:r>
      <w:r w:rsidRPr="00A20381">
        <w:rPr>
          <w:sz w:val="20"/>
        </w:rPr>
        <w:t>the</w:t>
      </w:r>
      <w:r w:rsidRPr="00A20381">
        <w:rPr>
          <w:spacing w:val="16"/>
          <w:sz w:val="20"/>
        </w:rPr>
        <w:t xml:space="preserve"> </w:t>
      </w:r>
      <w:r w:rsidRPr="00A20381">
        <w:rPr>
          <w:i/>
          <w:spacing w:val="-3"/>
          <w:sz w:val="20"/>
        </w:rPr>
        <w:t>error</w:t>
      </w:r>
      <w:r w:rsidRPr="00A20381">
        <w:rPr>
          <w:i/>
          <w:spacing w:val="21"/>
          <w:sz w:val="20"/>
        </w:rPr>
        <w:t xml:space="preserve"> </w:t>
      </w:r>
      <w:r w:rsidRPr="00A20381">
        <w:rPr>
          <w:i/>
          <w:sz w:val="20"/>
        </w:rPr>
        <w:t>terms</w:t>
      </w:r>
      <w:r w:rsidRPr="00A20381">
        <w:rPr>
          <w:i/>
          <w:spacing w:val="36"/>
          <w:sz w:val="20"/>
        </w:rPr>
        <w:t xml:space="preserve"> </w:t>
      </w:r>
      <w:r w:rsidRPr="00A20381">
        <w:rPr>
          <w:sz w:val="20"/>
        </w:rPr>
        <w:t>of</w:t>
      </w:r>
      <w:r w:rsidRPr="00A20381">
        <w:rPr>
          <w:spacing w:val="16"/>
          <w:sz w:val="20"/>
        </w:rPr>
        <w:t xml:space="preserve"> </w:t>
      </w:r>
      <w:r w:rsidRPr="00A20381">
        <w:rPr>
          <w:sz w:val="20"/>
        </w:rPr>
        <w:t>the</w:t>
      </w:r>
      <w:r w:rsidRPr="00A20381">
        <w:rPr>
          <w:spacing w:val="16"/>
          <w:sz w:val="20"/>
        </w:rPr>
        <w:t xml:space="preserve"> </w:t>
      </w:r>
      <w:r w:rsidRPr="00A20381">
        <w:rPr>
          <w:sz w:val="20"/>
        </w:rPr>
        <w:t>equation</w:t>
      </w:r>
      <w:r w:rsidRPr="00A20381">
        <w:rPr>
          <w:spacing w:val="15"/>
          <w:sz w:val="20"/>
        </w:rPr>
        <w:t xml:space="preserve"> </w:t>
      </w:r>
      <w:r w:rsidRPr="00A20381">
        <w:rPr>
          <w:sz w:val="20"/>
        </w:rPr>
        <w:t>(1)</w:t>
      </w:r>
      <w:r w:rsidRPr="00A20381">
        <w:rPr>
          <w:spacing w:val="16"/>
          <w:sz w:val="20"/>
        </w:rPr>
        <w:t xml:space="preserve"> </w:t>
      </w:r>
      <w:r w:rsidRPr="00A20381">
        <w:rPr>
          <w:sz w:val="20"/>
        </w:rPr>
        <w:t>and</w:t>
      </w:r>
      <w:r w:rsidRPr="00A20381">
        <w:rPr>
          <w:spacing w:val="16"/>
          <w:sz w:val="20"/>
        </w:rPr>
        <w:t xml:space="preserve"> </w:t>
      </w:r>
      <w:r w:rsidR="00EE4A62">
        <w:rPr>
          <w:sz w:val="20"/>
        </w:rPr>
        <w:t>(2).</w:t>
      </w:r>
    </w:p>
    <w:p w:rsidR="002E05B3" w:rsidRPr="00A20381" w:rsidRDefault="002E05B3" w:rsidP="001A4FB4">
      <w:pPr>
        <w:pStyle w:val="Corpotesto"/>
        <w:spacing w:before="34" w:line="360" w:lineRule="auto"/>
        <w:ind w:right="512"/>
        <w:jc w:val="both"/>
      </w:pPr>
      <w:r w:rsidRPr="00A20381">
        <w:t xml:space="preserve">It is intuitive that, for the aim of the analysis, the evaluation of the </w:t>
      </w:r>
      <w:r w:rsidRPr="00A20381">
        <w:rPr>
          <w:i/>
        </w:rPr>
        <w:t>sign</w:t>
      </w:r>
      <w:r w:rsidRPr="00A20381">
        <w:rPr>
          <w:rStyle w:val="Rimandonotaapidipagina"/>
          <w:i/>
        </w:rPr>
        <w:footnoteReference w:id="6"/>
      </w:r>
      <w:r w:rsidRPr="00A20381">
        <w:rPr>
          <w:position w:val="7"/>
          <w:sz w:val="14"/>
        </w:rPr>
        <w:t xml:space="preserve"> </w:t>
      </w:r>
      <w:r w:rsidRPr="00A20381">
        <w:t xml:space="preserve">and the </w:t>
      </w:r>
      <w:r w:rsidRPr="00A20381">
        <w:rPr>
          <w:i/>
        </w:rPr>
        <w:t xml:space="preserve">statistically significance </w:t>
      </w:r>
      <w:r w:rsidRPr="00A20381">
        <w:t xml:space="preserve">of the </w:t>
      </w:r>
      <w:r w:rsidRPr="00A20381">
        <w:rPr>
          <w:i/>
        </w:rPr>
        <w:t xml:space="preserve">adjustment coefficients </w:t>
      </w:r>
      <w:r w:rsidRPr="00A20381">
        <w:t>(</w:t>
      </w:r>
      <w:r w:rsidRPr="00A20381">
        <w:rPr>
          <w:i/>
        </w:rPr>
        <w:t>λ</w:t>
      </w:r>
      <w:r w:rsidRPr="00A20381">
        <w:rPr>
          <w:vertAlign w:val="subscript"/>
        </w:rPr>
        <w:t>1</w:t>
      </w:r>
      <w:r w:rsidRPr="00A20381">
        <w:t xml:space="preserve"> and </w:t>
      </w:r>
      <w:r w:rsidRPr="00A20381">
        <w:rPr>
          <w:i/>
        </w:rPr>
        <w:t>λ</w:t>
      </w:r>
      <w:r w:rsidRPr="00A20381">
        <w:rPr>
          <w:vertAlign w:val="subscript"/>
        </w:rPr>
        <w:t>2</w:t>
      </w:r>
      <w:r w:rsidRPr="00A20381">
        <w:t xml:space="preserve">) allows us to know which market contributes to the adjustment process toward the long period equilibrium and which </w:t>
      </w:r>
      <w:r w:rsidR="00CC774A" w:rsidRPr="00A20381">
        <w:t>market</w:t>
      </w:r>
      <w:r w:rsidRPr="00A20381">
        <w:t xml:space="preserve"> is able to embody more rapidly the credit risk information than the other one. Hence, I should distinguish four cases:</w:t>
      </w:r>
    </w:p>
    <w:p w:rsidR="002E05B3" w:rsidRPr="00A20381" w:rsidRDefault="002E05B3" w:rsidP="001A4FB4">
      <w:pPr>
        <w:pStyle w:val="Paragrafoelenco"/>
        <w:numPr>
          <w:ilvl w:val="0"/>
          <w:numId w:val="8"/>
        </w:numPr>
        <w:tabs>
          <w:tab w:val="left" w:pos="613"/>
        </w:tabs>
        <w:spacing w:before="167" w:line="360" w:lineRule="auto"/>
        <w:ind w:left="611" w:right="511"/>
        <w:jc w:val="both"/>
        <w:rPr>
          <w:sz w:val="20"/>
        </w:rPr>
      </w:pPr>
      <w:r w:rsidRPr="00A20381">
        <w:rPr>
          <w:sz w:val="20"/>
        </w:rPr>
        <w:t xml:space="preserve">if </w:t>
      </w:r>
      <w:r w:rsidRPr="00A20381">
        <w:rPr>
          <w:i/>
          <w:sz w:val="20"/>
        </w:rPr>
        <w:t>λ</w:t>
      </w:r>
      <w:r w:rsidRPr="00A20381">
        <w:rPr>
          <w:sz w:val="20"/>
          <w:vertAlign w:val="subscript"/>
        </w:rPr>
        <w:t>1</w:t>
      </w:r>
      <w:r w:rsidRPr="00A20381">
        <w:rPr>
          <w:sz w:val="20"/>
        </w:rPr>
        <w:t xml:space="preserve"> is </w:t>
      </w:r>
      <w:r w:rsidRPr="00A20381">
        <w:rPr>
          <w:i/>
          <w:sz w:val="20"/>
        </w:rPr>
        <w:t xml:space="preserve">statistically significant </w:t>
      </w:r>
      <w:r w:rsidRPr="00A20381">
        <w:rPr>
          <w:sz w:val="20"/>
        </w:rPr>
        <w:t xml:space="preserve">and </w:t>
      </w:r>
      <w:r w:rsidRPr="00A20381">
        <w:rPr>
          <w:i/>
          <w:sz w:val="20"/>
        </w:rPr>
        <w:t xml:space="preserve">negative </w:t>
      </w:r>
      <w:r w:rsidRPr="00A20381">
        <w:rPr>
          <w:sz w:val="20"/>
        </w:rPr>
        <w:t xml:space="preserve">then it implicitly means that the </w:t>
      </w:r>
      <w:r w:rsidR="005676C9" w:rsidRPr="00A20381">
        <w:rPr>
          <w:spacing w:val="-3"/>
          <w:sz w:val="20"/>
        </w:rPr>
        <w:t>bond market</w:t>
      </w:r>
      <w:r w:rsidRPr="00A20381">
        <w:rPr>
          <w:i/>
          <w:sz w:val="20"/>
        </w:rPr>
        <w:t xml:space="preserve"> </w:t>
      </w:r>
      <w:r w:rsidRPr="00A20381">
        <w:rPr>
          <w:sz w:val="20"/>
        </w:rPr>
        <w:t>embodies more rapidly the credit risk information than the sovereign CDS market. This means that the sovereign CDS market</w:t>
      </w:r>
      <w:r w:rsidRPr="00A20381">
        <w:rPr>
          <w:spacing w:val="13"/>
          <w:sz w:val="20"/>
        </w:rPr>
        <w:t xml:space="preserve"> </w:t>
      </w:r>
      <w:r w:rsidRPr="00A20381">
        <w:rPr>
          <w:sz w:val="20"/>
        </w:rPr>
        <w:t>is</w:t>
      </w:r>
      <w:r w:rsidRPr="00A20381">
        <w:rPr>
          <w:spacing w:val="14"/>
          <w:sz w:val="20"/>
        </w:rPr>
        <w:t xml:space="preserve"> </w:t>
      </w:r>
      <w:r w:rsidRPr="00A20381">
        <w:rPr>
          <w:sz w:val="20"/>
        </w:rPr>
        <w:t>trying</w:t>
      </w:r>
      <w:r w:rsidRPr="00A20381">
        <w:rPr>
          <w:spacing w:val="14"/>
          <w:sz w:val="20"/>
        </w:rPr>
        <w:t xml:space="preserve"> </w:t>
      </w:r>
      <w:r w:rsidRPr="00A20381">
        <w:rPr>
          <w:sz w:val="20"/>
        </w:rPr>
        <w:t>to</w:t>
      </w:r>
      <w:r w:rsidRPr="00A20381">
        <w:rPr>
          <w:spacing w:val="14"/>
          <w:sz w:val="20"/>
        </w:rPr>
        <w:t xml:space="preserve"> </w:t>
      </w:r>
      <w:r w:rsidRPr="00A20381">
        <w:rPr>
          <w:sz w:val="20"/>
        </w:rPr>
        <w:t>restore</w:t>
      </w:r>
      <w:r w:rsidRPr="00A20381">
        <w:rPr>
          <w:spacing w:val="13"/>
          <w:sz w:val="20"/>
        </w:rPr>
        <w:t xml:space="preserve"> </w:t>
      </w:r>
      <w:r w:rsidRPr="00A20381">
        <w:rPr>
          <w:sz w:val="20"/>
        </w:rPr>
        <w:t>the</w:t>
      </w:r>
      <w:r w:rsidRPr="00A20381">
        <w:rPr>
          <w:spacing w:val="14"/>
          <w:sz w:val="20"/>
        </w:rPr>
        <w:t xml:space="preserve"> </w:t>
      </w:r>
      <w:r w:rsidRPr="00A20381">
        <w:rPr>
          <w:sz w:val="20"/>
        </w:rPr>
        <w:t>long-run</w:t>
      </w:r>
      <w:r w:rsidRPr="00A20381">
        <w:rPr>
          <w:spacing w:val="14"/>
          <w:sz w:val="20"/>
        </w:rPr>
        <w:t xml:space="preserve"> </w:t>
      </w:r>
      <w:r w:rsidRPr="00A20381">
        <w:rPr>
          <w:sz w:val="20"/>
        </w:rPr>
        <w:t>equilibrium;</w:t>
      </w:r>
    </w:p>
    <w:p w:rsidR="002E05B3" w:rsidRPr="00A20381" w:rsidRDefault="002E05B3" w:rsidP="001A4FB4">
      <w:pPr>
        <w:pStyle w:val="Paragrafoelenco"/>
        <w:numPr>
          <w:ilvl w:val="0"/>
          <w:numId w:val="8"/>
        </w:numPr>
        <w:tabs>
          <w:tab w:val="left" w:pos="613"/>
        </w:tabs>
        <w:spacing w:before="167" w:line="360" w:lineRule="auto"/>
        <w:ind w:left="611" w:right="511"/>
        <w:jc w:val="both"/>
        <w:rPr>
          <w:sz w:val="20"/>
        </w:rPr>
      </w:pPr>
      <w:r w:rsidRPr="00A20381">
        <w:rPr>
          <w:sz w:val="20"/>
        </w:rPr>
        <w:t xml:space="preserve">if </w:t>
      </w:r>
      <w:r w:rsidRPr="00A20381">
        <w:rPr>
          <w:i/>
          <w:sz w:val="20"/>
        </w:rPr>
        <w:t>λ</w:t>
      </w:r>
      <w:r w:rsidRPr="00A20381">
        <w:rPr>
          <w:sz w:val="20"/>
          <w:vertAlign w:val="subscript"/>
        </w:rPr>
        <w:t>2</w:t>
      </w:r>
      <w:r w:rsidRPr="00A20381">
        <w:rPr>
          <w:sz w:val="20"/>
        </w:rPr>
        <w:t xml:space="preserve"> is </w:t>
      </w:r>
      <w:r w:rsidRPr="00A20381">
        <w:rPr>
          <w:i/>
          <w:sz w:val="20"/>
        </w:rPr>
        <w:t xml:space="preserve">statistically significant </w:t>
      </w:r>
      <w:r w:rsidRPr="00A20381">
        <w:rPr>
          <w:sz w:val="20"/>
        </w:rPr>
        <w:t xml:space="preserve">and </w:t>
      </w:r>
      <w:r w:rsidRPr="00A20381">
        <w:rPr>
          <w:i/>
          <w:sz w:val="20"/>
        </w:rPr>
        <w:t xml:space="preserve">positive </w:t>
      </w:r>
      <w:r w:rsidRPr="00A20381">
        <w:rPr>
          <w:sz w:val="20"/>
        </w:rPr>
        <w:t xml:space="preserve">then it implicitly means that the sovereign CDS </w:t>
      </w:r>
      <w:r w:rsidR="005676C9" w:rsidRPr="00A20381">
        <w:rPr>
          <w:sz w:val="20"/>
        </w:rPr>
        <w:t>market</w:t>
      </w:r>
      <w:r w:rsidRPr="00A20381">
        <w:rPr>
          <w:sz w:val="20"/>
        </w:rPr>
        <w:t xml:space="preserve"> embodies more rapidly the credit risk information than the </w:t>
      </w:r>
      <w:r w:rsidR="005676C9" w:rsidRPr="00A20381">
        <w:rPr>
          <w:spacing w:val="-3"/>
          <w:sz w:val="20"/>
        </w:rPr>
        <w:t>bond</w:t>
      </w:r>
      <w:r w:rsidRPr="00A20381">
        <w:rPr>
          <w:sz w:val="20"/>
        </w:rPr>
        <w:t xml:space="preserve"> market. This means that the </w:t>
      </w:r>
      <w:r w:rsidR="005676C9" w:rsidRPr="00A20381">
        <w:rPr>
          <w:spacing w:val="-3"/>
          <w:sz w:val="20"/>
        </w:rPr>
        <w:t>bond market</w:t>
      </w:r>
      <w:r w:rsidR="005676C9" w:rsidRPr="00A20381">
        <w:rPr>
          <w:sz w:val="20"/>
        </w:rPr>
        <w:t xml:space="preserve"> </w:t>
      </w:r>
      <w:r w:rsidRPr="00A20381">
        <w:rPr>
          <w:sz w:val="20"/>
        </w:rPr>
        <w:t>is</w:t>
      </w:r>
      <w:r w:rsidRPr="00A20381">
        <w:rPr>
          <w:spacing w:val="14"/>
          <w:sz w:val="20"/>
        </w:rPr>
        <w:t xml:space="preserve"> </w:t>
      </w:r>
      <w:r w:rsidRPr="00A20381">
        <w:rPr>
          <w:sz w:val="20"/>
        </w:rPr>
        <w:t>trying</w:t>
      </w:r>
      <w:r w:rsidRPr="00A20381">
        <w:rPr>
          <w:spacing w:val="14"/>
          <w:sz w:val="20"/>
        </w:rPr>
        <w:t xml:space="preserve"> </w:t>
      </w:r>
      <w:r w:rsidRPr="00A20381">
        <w:rPr>
          <w:sz w:val="20"/>
        </w:rPr>
        <w:t>to</w:t>
      </w:r>
      <w:r w:rsidRPr="00A20381">
        <w:rPr>
          <w:spacing w:val="14"/>
          <w:sz w:val="20"/>
        </w:rPr>
        <w:t xml:space="preserve"> </w:t>
      </w:r>
      <w:r w:rsidRPr="00A20381">
        <w:rPr>
          <w:sz w:val="20"/>
        </w:rPr>
        <w:t>restore</w:t>
      </w:r>
      <w:r w:rsidRPr="00A20381">
        <w:rPr>
          <w:spacing w:val="14"/>
          <w:sz w:val="20"/>
        </w:rPr>
        <w:t xml:space="preserve"> </w:t>
      </w:r>
      <w:r w:rsidRPr="00A20381">
        <w:rPr>
          <w:sz w:val="20"/>
        </w:rPr>
        <w:t>the</w:t>
      </w:r>
      <w:r w:rsidRPr="00A20381">
        <w:rPr>
          <w:spacing w:val="14"/>
          <w:sz w:val="20"/>
        </w:rPr>
        <w:t xml:space="preserve"> </w:t>
      </w:r>
      <w:r w:rsidRPr="00A20381">
        <w:rPr>
          <w:sz w:val="20"/>
        </w:rPr>
        <w:t>long-run</w:t>
      </w:r>
      <w:r w:rsidRPr="00A20381">
        <w:rPr>
          <w:spacing w:val="14"/>
          <w:sz w:val="20"/>
        </w:rPr>
        <w:t xml:space="preserve"> </w:t>
      </w:r>
      <w:r w:rsidRPr="00A20381">
        <w:rPr>
          <w:sz w:val="20"/>
        </w:rPr>
        <w:t>equilibrium;</w:t>
      </w:r>
    </w:p>
    <w:p w:rsidR="002E05B3" w:rsidRPr="00A20381" w:rsidRDefault="002E05B3" w:rsidP="001A4FB4">
      <w:pPr>
        <w:pStyle w:val="Paragrafoelenco"/>
        <w:numPr>
          <w:ilvl w:val="0"/>
          <w:numId w:val="8"/>
        </w:numPr>
        <w:tabs>
          <w:tab w:val="left" w:pos="613"/>
        </w:tabs>
        <w:spacing w:before="48" w:line="360" w:lineRule="auto"/>
        <w:ind w:left="611" w:right="510"/>
        <w:jc w:val="both"/>
        <w:rPr>
          <w:sz w:val="20"/>
        </w:rPr>
      </w:pPr>
      <w:r w:rsidRPr="00A20381">
        <w:rPr>
          <w:sz w:val="20"/>
        </w:rPr>
        <w:t xml:space="preserve">if </w:t>
      </w:r>
      <w:r w:rsidRPr="00A20381">
        <w:rPr>
          <w:i/>
          <w:sz w:val="20"/>
        </w:rPr>
        <w:t>λ</w:t>
      </w:r>
      <w:r w:rsidRPr="00A20381">
        <w:rPr>
          <w:sz w:val="20"/>
          <w:vertAlign w:val="subscript"/>
        </w:rPr>
        <w:t>1</w:t>
      </w:r>
      <w:r w:rsidRPr="00A20381">
        <w:rPr>
          <w:sz w:val="20"/>
        </w:rPr>
        <w:t xml:space="preserve"> is </w:t>
      </w:r>
      <w:r w:rsidRPr="00A20381">
        <w:rPr>
          <w:i/>
          <w:sz w:val="20"/>
        </w:rPr>
        <w:t xml:space="preserve">statistically significant </w:t>
      </w:r>
      <w:r w:rsidRPr="00A20381">
        <w:rPr>
          <w:sz w:val="20"/>
        </w:rPr>
        <w:t xml:space="preserve">and </w:t>
      </w:r>
      <w:r w:rsidRPr="00A20381">
        <w:rPr>
          <w:i/>
          <w:sz w:val="20"/>
        </w:rPr>
        <w:t xml:space="preserve">negative </w:t>
      </w:r>
      <w:r w:rsidRPr="00A20381">
        <w:rPr>
          <w:sz w:val="20"/>
        </w:rPr>
        <w:t xml:space="preserve">and </w:t>
      </w:r>
      <w:r w:rsidRPr="00A20381">
        <w:rPr>
          <w:i/>
          <w:sz w:val="20"/>
        </w:rPr>
        <w:t>λ</w:t>
      </w:r>
      <w:r w:rsidRPr="00A20381">
        <w:rPr>
          <w:sz w:val="20"/>
          <w:vertAlign w:val="subscript"/>
        </w:rPr>
        <w:t>2</w:t>
      </w:r>
      <w:r w:rsidRPr="00A20381">
        <w:rPr>
          <w:sz w:val="20"/>
        </w:rPr>
        <w:t xml:space="preserve"> is </w:t>
      </w:r>
      <w:r w:rsidRPr="00A20381">
        <w:rPr>
          <w:i/>
          <w:sz w:val="20"/>
        </w:rPr>
        <w:t xml:space="preserve">statistically significant </w:t>
      </w:r>
      <w:r w:rsidRPr="00A20381">
        <w:rPr>
          <w:sz w:val="20"/>
        </w:rPr>
        <w:t xml:space="preserve">and </w:t>
      </w:r>
      <w:r w:rsidRPr="00A20381">
        <w:rPr>
          <w:i/>
          <w:sz w:val="20"/>
        </w:rPr>
        <w:t xml:space="preserve">positive </w:t>
      </w:r>
      <w:r w:rsidRPr="00A20381">
        <w:rPr>
          <w:sz w:val="20"/>
        </w:rPr>
        <w:t xml:space="preserve">then both markets contribute to the adjustment process </w:t>
      </w:r>
      <w:r w:rsidRPr="00A20381">
        <w:rPr>
          <w:spacing w:val="-3"/>
          <w:sz w:val="20"/>
        </w:rPr>
        <w:t xml:space="preserve">towards </w:t>
      </w:r>
      <w:r w:rsidRPr="00A20381">
        <w:rPr>
          <w:sz w:val="20"/>
        </w:rPr>
        <w:t xml:space="preserve">the long-run equilibrium. In this case, </w:t>
      </w:r>
      <w:r w:rsidRPr="00A20381">
        <w:rPr>
          <w:spacing w:val="-3"/>
          <w:sz w:val="20"/>
        </w:rPr>
        <w:t xml:space="preserve">by </w:t>
      </w:r>
      <w:r w:rsidRPr="00A20381">
        <w:rPr>
          <w:sz w:val="20"/>
        </w:rPr>
        <w:t xml:space="preserve">following </w:t>
      </w:r>
      <w:r w:rsidR="003A69CF">
        <w:rPr>
          <w:i/>
          <w:sz w:val="20"/>
        </w:rPr>
        <w:t>Gonzalo-</w:t>
      </w:r>
      <w:r w:rsidRPr="00A20381">
        <w:rPr>
          <w:i/>
          <w:sz w:val="20"/>
        </w:rPr>
        <w:t xml:space="preserve">Granger </w:t>
      </w:r>
      <w:r w:rsidRPr="00A20381">
        <w:rPr>
          <w:sz w:val="20"/>
        </w:rPr>
        <w:t>(</w:t>
      </w:r>
      <w:r w:rsidRPr="00A20381">
        <w:rPr>
          <w:i/>
          <w:sz w:val="20"/>
        </w:rPr>
        <w:t>1995</w:t>
      </w:r>
      <w:r w:rsidRPr="00A20381">
        <w:rPr>
          <w:sz w:val="20"/>
        </w:rPr>
        <w:t xml:space="preserve">), in order to evaluate the effective contribution of each market in the adjustment process, </w:t>
      </w:r>
      <w:r w:rsidR="00041FB2" w:rsidRPr="00A20381">
        <w:rPr>
          <w:sz w:val="20"/>
        </w:rPr>
        <w:t>we follow</w:t>
      </w:r>
      <w:r w:rsidRPr="00A20381">
        <w:rPr>
          <w:sz w:val="20"/>
        </w:rPr>
        <w:t xml:space="preserve"> the concept of </w:t>
      </w:r>
      <w:r w:rsidRPr="00A20381">
        <w:rPr>
          <w:i/>
          <w:sz w:val="20"/>
        </w:rPr>
        <w:t xml:space="preserve">Market Share </w:t>
      </w:r>
      <w:r w:rsidRPr="00A20381">
        <w:rPr>
          <w:sz w:val="20"/>
        </w:rPr>
        <w:t>e (</w:t>
      </w:r>
      <w:r w:rsidRPr="00A20381">
        <w:rPr>
          <w:i/>
          <w:sz w:val="20"/>
        </w:rPr>
        <w:t>MS</w:t>
      </w:r>
      <w:r w:rsidRPr="00A20381">
        <w:rPr>
          <w:spacing w:val="2"/>
          <w:sz w:val="20"/>
        </w:rPr>
        <w:t>)</w:t>
      </w:r>
      <w:r w:rsidRPr="00A20381">
        <w:rPr>
          <w:rStyle w:val="Rimandonotaapidipagina"/>
          <w:spacing w:val="2"/>
          <w:sz w:val="20"/>
        </w:rPr>
        <w:footnoteReference w:id="7"/>
      </w:r>
      <w:r w:rsidRPr="00A20381">
        <w:rPr>
          <w:spacing w:val="2"/>
          <w:sz w:val="20"/>
        </w:rPr>
        <w:t xml:space="preserve">. </w:t>
      </w:r>
      <w:r w:rsidRPr="00A20381">
        <w:rPr>
          <w:sz w:val="20"/>
        </w:rPr>
        <w:t xml:space="preserve">According to how the </w:t>
      </w:r>
      <w:r w:rsidRPr="00A20381">
        <w:rPr>
          <w:i/>
          <w:sz w:val="20"/>
        </w:rPr>
        <w:t xml:space="preserve">MS </w:t>
      </w:r>
      <w:r w:rsidRPr="00A20381">
        <w:rPr>
          <w:sz w:val="20"/>
        </w:rPr>
        <w:t xml:space="preserve">formula has been defined, </w:t>
      </w:r>
      <w:r w:rsidR="00041FB2" w:rsidRPr="00A20381">
        <w:rPr>
          <w:sz w:val="20"/>
        </w:rPr>
        <w:t>we</w:t>
      </w:r>
      <w:r w:rsidRPr="00A20381">
        <w:rPr>
          <w:sz w:val="20"/>
        </w:rPr>
        <w:t xml:space="preserve"> distinguish between three sub</w:t>
      </w:r>
      <w:r w:rsidRPr="00A20381">
        <w:rPr>
          <w:spacing w:val="8"/>
          <w:sz w:val="20"/>
        </w:rPr>
        <w:t xml:space="preserve"> </w:t>
      </w:r>
      <w:r w:rsidRPr="00A20381">
        <w:rPr>
          <w:sz w:val="20"/>
        </w:rPr>
        <w:t>cases:</w:t>
      </w:r>
    </w:p>
    <w:p w:rsidR="002E05B3" w:rsidRPr="00A20381" w:rsidRDefault="002E05B3" w:rsidP="001A4FB4">
      <w:pPr>
        <w:pStyle w:val="Corpotesto"/>
        <w:spacing w:before="6" w:line="360" w:lineRule="auto"/>
        <w:jc w:val="both"/>
        <w:rPr>
          <w:sz w:val="18"/>
        </w:rPr>
      </w:pPr>
    </w:p>
    <w:p w:rsidR="002E05B3" w:rsidRPr="00A20381" w:rsidRDefault="002E05B3" w:rsidP="001A4FB4">
      <w:pPr>
        <w:pStyle w:val="Paragrafoelenco"/>
        <w:numPr>
          <w:ilvl w:val="1"/>
          <w:numId w:val="8"/>
        </w:numPr>
        <w:tabs>
          <w:tab w:val="left" w:pos="887"/>
        </w:tabs>
        <w:spacing w:line="360" w:lineRule="auto"/>
        <w:ind w:hanging="276"/>
        <w:jc w:val="both"/>
        <w:rPr>
          <w:i/>
          <w:sz w:val="20"/>
        </w:rPr>
      </w:pPr>
      <w:r w:rsidRPr="00A20381">
        <w:rPr>
          <w:w w:val="110"/>
          <w:sz w:val="20"/>
        </w:rPr>
        <w:t xml:space="preserve">if </w:t>
      </w:r>
      <w:r w:rsidRPr="00A20381">
        <w:rPr>
          <w:i/>
          <w:w w:val="110"/>
          <w:sz w:val="20"/>
        </w:rPr>
        <w:t xml:space="preserve">MS ≈ </w:t>
      </w:r>
      <w:r w:rsidRPr="00A20381">
        <w:rPr>
          <w:w w:val="110"/>
          <w:sz w:val="20"/>
        </w:rPr>
        <w:t>1 then the sovereign CDS</w:t>
      </w:r>
      <w:r w:rsidRPr="00A20381">
        <w:rPr>
          <w:i/>
          <w:w w:val="110"/>
          <w:sz w:val="20"/>
        </w:rPr>
        <w:t xml:space="preserve"> </w:t>
      </w:r>
      <w:r w:rsidRPr="00A20381">
        <w:rPr>
          <w:w w:val="110"/>
          <w:sz w:val="20"/>
        </w:rPr>
        <w:t xml:space="preserve">market is the </w:t>
      </w:r>
      <w:r w:rsidRPr="00A20381">
        <w:rPr>
          <w:i/>
          <w:spacing w:val="-3"/>
          <w:w w:val="110"/>
          <w:sz w:val="20"/>
        </w:rPr>
        <w:t>lead</w:t>
      </w:r>
      <w:r w:rsidR="00041FB2" w:rsidRPr="00A20381">
        <w:rPr>
          <w:i/>
          <w:spacing w:val="-3"/>
          <w:w w:val="110"/>
          <w:sz w:val="20"/>
        </w:rPr>
        <w:t>ing</w:t>
      </w:r>
      <w:r w:rsidRPr="00A20381">
        <w:rPr>
          <w:i/>
          <w:spacing w:val="-3"/>
          <w:w w:val="110"/>
          <w:sz w:val="20"/>
        </w:rPr>
        <w:t xml:space="preserve"> </w:t>
      </w:r>
      <w:r w:rsidRPr="00A20381">
        <w:rPr>
          <w:w w:val="110"/>
          <w:sz w:val="20"/>
        </w:rPr>
        <w:t xml:space="preserve">market and the </w:t>
      </w:r>
      <w:r w:rsidR="00041FB2" w:rsidRPr="00A20381">
        <w:rPr>
          <w:spacing w:val="-3"/>
          <w:w w:val="110"/>
          <w:sz w:val="20"/>
        </w:rPr>
        <w:t>bond</w:t>
      </w:r>
      <w:r w:rsidRPr="00A20381">
        <w:rPr>
          <w:w w:val="110"/>
          <w:sz w:val="20"/>
        </w:rPr>
        <w:t xml:space="preserve"> market is the</w:t>
      </w:r>
      <w:r w:rsidRPr="00A20381">
        <w:rPr>
          <w:spacing w:val="38"/>
          <w:w w:val="110"/>
          <w:sz w:val="20"/>
        </w:rPr>
        <w:t xml:space="preserve"> </w:t>
      </w:r>
      <w:r w:rsidRPr="00A20381">
        <w:rPr>
          <w:i/>
          <w:w w:val="110"/>
          <w:sz w:val="20"/>
        </w:rPr>
        <w:t>lag</w:t>
      </w:r>
      <w:r w:rsidR="00041FB2" w:rsidRPr="00A20381">
        <w:rPr>
          <w:i/>
          <w:w w:val="110"/>
          <w:sz w:val="20"/>
        </w:rPr>
        <w:t>ging</w:t>
      </w:r>
      <w:r w:rsidRPr="00A20381">
        <w:rPr>
          <w:i/>
          <w:w w:val="110"/>
          <w:sz w:val="20"/>
        </w:rPr>
        <w:t xml:space="preserve"> </w:t>
      </w:r>
      <w:r w:rsidRPr="00A20381">
        <w:rPr>
          <w:sz w:val="20"/>
          <w:szCs w:val="20"/>
        </w:rPr>
        <w:t>market;</w:t>
      </w:r>
    </w:p>
    <w:p w:rsidR="002E05B3" w:rsidRPr="00A20381" w:rsidRDefault="002E05B3" w:rsidP="001A4FB4">
      <w:pPr>
        <w:pStyle w:val="Paragrafoelenco"/>
        <w:numPr>
          <w:ilvl w:val="1"/>
          <w:numId w:val="8"/>
        </w:numPr>
        <w:tabs>
          <w:tab w:val="left" w:pos="862"/>
        </w:tabs>
        <w:spacing w:before="150" w:line="360" w:lineRule="auto"/>
        <w:ind w:left="861" w:hanging="251"/>
        <w:jc w:val="both"/>
        <w:rPr>
          <w:sz w:val="20"/>
        </w:rPr>
      </w:pPr>
      <w:r w:rsidRPr="00A20381">
        <w:rPr>
          <w:w w:val="110"/>
          <w:sz w:val="20"/>
        </w:rPr>
        <w:t>if</w:t>
      </w:r>
      <w:r w:rsidRPr="00A20381">
        <w:rPr>
          <w:spacing w:val="-20"/>
          <w:w w:val="110"/>
          <w:sz w:val="20"/>
        </w:rPr>
        <w:t xml:space="preserve"> </w:t>
      </w:r>
      <w:r w:rsidRPr="00A20381">
        <w:rPr>
          <w:i/>
          <w:w w:val="110"/>
          <w:sz w:val="20"/>
        </w:rPr>
        <w:t>MS</w:t>
      </w:r>
      <w:r w:rsidRPr="00A20381">
        <w:rPr>
          <w:i/>
          <w:spacing w:val="-5"/>
          <w:w w:val="110"/>
          <w:sz w:val="20"/>
        </w:rPr>
        <w:t xml:space="preserve"> </w:t>
      </w:r>
      <w:r w:rsidRPr="00A20381">
        <w:rPr>
          <w:i/>
          <w:w w:val="110"/>
          <w:sz w:val="20"/>
        </w:rPr>
        <w:t>≈</w:t>
      </w:r>
      <w:r w:rsidRPr="00A20381">
        <w:rPr>
          <w:i/>
          <w:spacing w:val="-26"/>
          <w:w w:val="110"/>
          <w:sz w:val="20"/>
        </w:rPr>
        <w:t xml:space="preserve"> </w:t>
      </w:r>
      <w:r w:rsidRPr="00A20381">
        <w:rPr>
          <w:w w:val="110"/>
          <w:sz w:val="20"/>
        </w:rPr>
        <w:t>0</w:t>
      </w:r>
      <w:r w:rsidRPr="00A20381">
        <w:rPr>
          <w:spacing w:val="-19"/>
          <w:w w:val="110"/>
          <w:sz w:val="20"/>
        </w:rPr>
        <w:t xml:space="preserve"> </w:t>
      </w:r>
      <w:r w:rsidRPr="00A20381">
        <w:rPr>
          <w:w w:val="110"/>
          <w:sz w:val="20"/>
        </w:rPr>
        <w:t>then</w:t>
      </w:r>
      <w:r w:rsidRPr="00A20381">
        <w:rPr>
          <w:spacing w:val="-20"/>
          <w:w w:val="110"/>
          <w:sz w:val="20"/>
        </w:rPr>
        <w:t xml:space="preserve"> </w:t>
      </w:r>
      <w:r w:rsidRPr="00A20381">
        <w:rPr>
          <w:w w:val="110"/>
          <w:sz w:val="20"/>
        </w:rPr>
        <w:t>the</w:t>
      </w:r>
      <w:r w:rsidRPr="00A20381">
        <w:rPr>
          <w:spacing w:val="-18"/>
          <w:w w:val="110"/>
          <w:sz w:val="20"/>
        </w:rPr>
        <w:t xml:space="preserve"> </w:t>
      </w:r>
      <w:r w:rsidR="00041FB2" w:rsidRPr="00A20381">
        <w:rPr>
          <w:spacing w:val="-3"/>
          <w:w w:val="110"/>
          <w:sz w:val="20"/>
        </w:rPr>
        <w:t>bond</w:t>
      </w:r>
      <w:r w:rsidRPr="00A20381">
        <w:rPr>
          <w:i/>
          <w:spacing w:val="-5"/>
          <w:w w:val="110"/>
          <w:sz w:val="20"/>
        </w:rPr>
        <w:t xml:space="preserve"> </w:t>
      </w:r>
      <w:r w:rsidRPr="00A20381">
        <w:rPr>
          <w:w w:val="110"/>
          <w:sz w:val="20"/>
        </w:rPr>
        <w:t>market</w:t>
      </w:r>
      <w:r w:rsidRPr="00A20381">
        <w:rPr>
          <w:spacing w:val="-20"/>
          <w:w w:val="110"/>
          <w:sz w:val="20"/>
        </w:rPr>
        <w:t xml:space="preserve"> </w:t>
      </w:r>
      <w:r w:rsidRPr="00A20381">
        <w:rPr>
          <w:w w:val="110"/>
          <w:sz w:val="20"/>
        </w:rPr>
        <w:t>is</w:t>
      </w:r>
      <w:r w:rsidRPr="00A20381">
        <w:rPr>
          <w:spacing w:val="-19"/>
          <w:w w:val="110"/>
          <w:sz w:val="20"/>
        </w:rPr>
        <w:t xml:space="preserve"> </w:t>
      </w:r>
      <w:r w:rsidRPr="00A20381">
        <w:rPr>
          <w:w w:val="110"/>
          <w:sz w:val="20"/>
        </w:rPr>
        <w:t>the</w:t>
      </w:r>
      <w:r w:rsidRPr="00A20381">
        <w:rPr>
          <w:spacing w:val="-20"/>
          <w:w w:val="110"/>
          <w:sz w:val="20"/>
        </w:rPr>
        <w:t xml:space="preserve"> </w:t>
      </w:r>
      <w:r w:rsidRPr="00A20381">
        <w:rPr>
          <w:i/>
          <w:spacing w:val="-3"/>
          <w:w w:val="110"/>
          <w:sz w:val="20"/>
        </w:rPr>
        <w:t>lead</w:t>
      </w:r>
      <w:r w:rsidR="00041FB2" w:rsidRPr="00A20381">
        <w:rPr>
          <w:i/>
          <w:spacing w:val="-3"/>
          <w:w w:val="110"/>
          <w:sz w:val="20"/>
        </w:rPr>
        <w:t>ing</w:t>
      </w:r>
      <w:r w:rsidRPr="00A20381">
        <w:rPr>
          <w:i/>
          <w:spacing w:val="-7"/>
          <w:w w:val="110"/>
          <w:sz w:val="20"/>
        </w:rPr>
        <w:t xml:space="preserve"> </w:t>
      </w:r>
      <w:r w:rsidRPr="00A20381">
        <w:rPr>
          <w:w w:val="110"/>
          <w:sz w:val="20"/>
        </w:rPr>
        <w:t>market</w:t>
      </w:r>
      <w:r w:rsidRPr="00A20381">
        <w:rPr>
          <w:spacing w:val="-20"/>
          <w:w w:val="110"/>
          <w:sz w:val="20"/>
        </w:rPr>
        <w:t xml:space="preserve"> </w:t>
      </w:r>
      <w:r w:rsidRPr="00A20381">
        <w:rPr>
          <w:w w:val="110"/>
          <w:sz w:val="20"/>
        </w:rPr>
        <w:t>and</w:t>
      </w:r>
      <w:r w:rsidRPr="00A20381">
        <w:rPr>
          <w:spacing w:val="-19"/>
          <w:w w:val="110"/>
          <w:sz w:val="20"/>
        </w:rPr>
        <w:t xml:space="preserve"> </w:t>
      </w:r>
      <w:r w:rsidRPr="00A20381">
        <w:rPr>
          <w:w w:val="110"/>
          <w:sz w:val="20"/>
        </w:rPr>
        <w:t>the</w:t>
      </w:r>
      <w:r w:rsidRPr="00A20381">
        <w:rPr>
          <w:spacing w:val="-19"/>
          <w:w w:val="110"/>
          <w:sz w:val="20"/>
        </w:rPr>
        <w:t xml:space="preserve"> </w:t>
      </w:r>
      <w:r w:rsidRPr="00A20381">
        <w:rPr>
          <w:w w:val="110"/>
          <w:sz w:val="20"/>
        </w:rPr>
        <w:t>sovereign</w:t>
      </w:r>
      <w:r w:rsidRPr="00A20381">
        <w:rPr>
          <w:spacing w:val="-17"/>
          <w:w w:val="110"/>
          <w:sz w:val="20"/>
        </w:rPr>
        <w:t xml:space="preserve"> </w:t>
      </w:r>
      <w:r w:rsidRPr="00A20381">
        <w:rPr>
          <w:w w:val="110"/>
          <w:sz w:val="20"/>
        </w:rPr>
        <w:t>CDS</w:t>
      </w:r>
      <w:r w:rsidRPr="00A20381">
        <w:rPr>
          <w:i/>
          <w:spacing w:val="-6"/>
          <w:w w:val="110"/>
          <w:sz w:val="20"/>
        </w:rPr>
        <w:t xml:space="preserve"> </w:t>
      </w:r>
      <w:r w:rsidRPr="00A20381">
        <w:rPr>
          <w:w w:val="110"/>
          <w:sz w:val="20"/>
        </w:rPr>
        <w:t>market</w:t>
      </w:r>
      <w:r w:rsidRPr="00A20381">
        <w:rPr>
          <w:spacing w:val="-19"/>
          <w:w w:val="110"/>
          <w:sz w:val="20"/>
        </w:rPr>
        <w:t xml:space="preserve"> </w:t>
      </w:r>
      <w:r w:rsidRPr="00A20381">
        <w:rPr>
          <w:w w:val="110"/>
          <w:sz w:val="20"/>
        </w:rPr>
        <w:t>is</w:t>
      </w:r>
      <w:r w:rsidRPr="00A20381">
        <w:rPr>
          <w:spacing w:val="-19"/>
          <w:w w:val="110"/>
          <w:sz w:val="20"/>
        </w:rPr>
        <w:t xml:space="preserve"> </w:t>
      </w:r>
      <w:r w:rsidRPr="00A20381">
        <w:rPr>
          <w:w w:val="110"/>
          <w:sz w:val="20"/>
        </w:rPr>
        <w:t>the</w:t>
      </w:r>
      <w:r w:rsidRPr="00A20381">
        <w:rPr>
          <w:spacing w:val="-20"/>
          <w:w w:val="110"/>
          <w:sz w:val="20"/>
        </w:rPr>
        <w:t xml:space="preserve"> </w:t>
      </w:r>
      <w:r w:rsidRPr="00A20381">
        <w:rPr>
          <w:i/>
          <w:w w:val="110"/>
          <w:sz w:val="20"/>
        </w:rPr>
        <w:t>lag</w:t>
      </w:r>
      <w:r w:rsidR="00041FB2" w:rsidRPr="00A20381">
        <w:rPr>
          <w:i/>
          <w:w w:val="110"/>
          <w:sz w:val="20"/>
        </w:rPr>
        <w:t>ging</w:t>
      </w:r>
      <w:r w:rsidRPr="00A20381">
        <w:rPr>
          <w:i/>
          <w:spacing w:val="-9"/>
          <w:w w:val="110"/>
          <w:sz w:val="20"/>
        </w:rPr>
        <w:t xml:space="preserve"> </w:t>
      </w:r>
      <w:r w:rsidRPr="00A20381">
        <w:rPr>
          <w:w w:val="110"/>
          <w:sz w:val="20"/>
        </w:rPr>
        <w:t>market;</w:t>
      </w:r>
    </w:p>
    <w:p w:rsidR="002E05B3" w:rsidRPr="00A20381" w:rsidRDefault="002E05B3" w:rsidP="001A4FB4">
      <w:pPr>
        <w:pStyle w:val="Paragrafoelenco"/>
        <w:numPr>
          <w:ilvl w:val="1"/>
          <w:numId w:val="8"/>
        </w:numPr>
        <w:tabs>
          <w:tab w:val="left" w:pos="845"/>
        </w:tabs>
        <w:spacing w:before="150" w:line="360" w:lineRule="auto"/>
        <w:ind w:left="844" w:hanging="234"/>
        <w:jc w:val="both"/>
        <w:rPr>
          <w:sz w:val="20"/>
        </w:rPr>
      </w:pPr>
      <w:r w:rsidRPr="00A20381">
        <w:rPr>
          <w:w w:val="105"/>
          <w:sz w:val="20"/>
        </w:rPr>
        <w:t xml:space="preserve">if </w:t>
      </w:r>
      <w:r w:rsidRPr="00A20381">
        <w:rPr>
          <w:i/>
          <w:w w:val="105"/>
          <w:sz w:val="20"/>
        </w:rPr>
        <w:t xml:space="preserve">MS </w:t>
      </w:r>
      <w:r w:rsidRPr="00A20381">
        <w:rPr>
          <w:i/>
          <w:w w:val="110"/>
          <w:sz w:val="20"/>
        </w:rPr>
        <w:t xml:space="preserve">≈ </w:t>
      </w:r>
      <w:r w:rsidRPr="00A20381">
        <w:rPr>
          <w:w w:val="105"/>
          <w:sz w:val="20"/>
        </w:rPr>
        <w:t>0.5 then both market contribute in the same</w:t>
      </w:r>
      <w:r w:rsidRPr="00A20381">
        <w:rPr>
          <w:spacing w:val="15"/>
          <w:w w:val="105"/>
          <w:sz w:val="20"/>
        </w:rPr>
        <w:t xml:space="preserve"> </w:t>
      </w:r>
      <w:r w:rsidRPr="00A20381">
        <w:rPr>
          <w:spacing w:val="-4"/>
          <w:w w:val="105"/>
          <w:sz w:val="20"/>
        </w:rPr>
        <w:t>way;</w:t>
      </w:r>
    </w:p>
    <w:p w:rsidR="002E05B3" w:rsidRPr="00A20381" w:rsidRDefault="002E05B3" w:rsidP="001A4FB4">
      <w:pPr>
        <w:pStyle w:val="Paragrafoelenco"/>
        <w:numPr>
          <w:ilvl w:val="0"/>
          <w:numId w:val="8"/>
        </w:numPr>
        <w:tabs>
          <w:tab w:val="left" w:pos="613"/>
        </w:tabs>
        <w:spacing w:before="310" w:line="360" w:lineRule="auto"/>
        <w:ind w:right="512"/>
        <w:jc w:val="both"/>
        <w:rPr>
          <w:sz w:val="20"/>
        </w:rPr>
      </w:pPr>
      <w:r w:rsidRPr="00A20381">
        <w:rPr>
          <w:sz w:val="20"/>
        </w:rPr>
        <w:t xml:space="preserve">if only one of the adjustment </w:t>
      </w:r>
      <w:r w:rsidRPr="00A20381">
        <w:rPr>
          <w:spacing w:val="-3"/>
          <w:sz w:val="20"/>
        </w:rPr>
        <w:t xml:space="preserve">coefficients </w:t>
      </w:r>
      <w:r w:rsidRPr="00A20381">
        <w:rPr>
          <w:sz w:val="20"/>
        </w:rPr>
        <w:t>is statistically  significant</w:t>
      </w:r>
      <w:r w:rsidRPr="00A20381">
        <w:rPr>
          <w:i/>
          <w:sz w:val="20"/>
        </w:rPr>
        <w:t xml:space="preserve">  </w:t>
      </w:r>
      <w:r w:rsidRPr="00A20381">
        <w:rPr>
          <w:sz w:val="20"/>
        </w:rPr>
        <w:t xml:space="preserve">and it present the </w:t>
      </w:r>
      <w:r w:rsidRPr="00A20381">
        <w:rPr>
          <w:spacing w:val="-5"/>
          <w:sz w:val="20"/>
        </w:rPr>
        <w:t xml:space="preserve">correct  </w:t>
      </w:r>
      <w:r w:rsidRPr="00A20381">
        <w:rPr>
          <w:sz w:val="20"/>
        </w:rPr>
        <w:t xml:space="preserve">sign  then only  that market contributes to the </w:t>
      </w:r>
      <w:r w:rsidRPr="00A20381">
        <w:rPr>
          <w:spacing w:val="-3"/>
          <w:sz w:val="20"/>
        </w:rPr>
        <w:t xml:space="preserve">price </w:t>
      </w:r>
      <w:r w:rsidRPr="00A20381">
        <w:rPr>
          <w:sz w:val="20"/>
        </w:rPr>
        <w:t>discovery</w:t>
      </w:r>
      <w:r w:rsidRPr="00A20381">
        <w:rPr>
          <w:i/>
          <w:sz w:val="20"/>
        </w:rPr>
        <w:t xml:space="preserve"> </w:t>
      </w:r>
      <w:r w:rsidRPr="00A20381">
        <w:rPr>
          <w:sz w:val="20"/>
        </w:rPr>
        <w:t xml:space="preserve">of the credit risk and to the adjustment process </w:t>
      </w:r>
      <w:r w:rsidRPr="00A20381">
        <w:rPr>
          <w:spacing w:val="-3"/>
          <w:sz w:val="20"/>
        </w:rPr>
        <w:t xml:space="preserve">towards </w:t>
      </w:r>
      <w:r w:rsidRPr="00A20381">
        <w:rPr>
          <w:sz w:val="20"/>
        </w:rPr>
        <w:t>the equilibrium.</w:t>
      </w:r>
    </w:p>
    <w:p w:rsidR="002E05B3" w:rsidRPr="00A20381" w:rsidRDefault="002E05B3" w:rsidP="001A4FB4">
      <w:pPr>
        <w:spacing w:before="11" w:line="360" w:lineRule="auto"/>
        <w:ind w:left="113" w:right="511"/>
        <w:jc w:val="both"/>
        <w:rPr>
          <w:sz w:val="20"/>
        </w:rPr>
      </w:pPr>
      <w:r w:rsidRPr="00A20381">
        <w:rPr>
          <w:w w:val="105"/>
          <w:sz w:val="20"/>
        </w:rPr>
        <w:t>Given</w:t>
      </w:r>
      <w:r w:rsidRPr="00A20381">
        <w:rPr>
          <w:spacing w:val="-13"/>
          <w:w w:val="105"/>
          <w:sz w:val="20"/>
        </w:rPr>
        <w:t xml:space="preserve"> </w:t>
      </w:r>
      <w:r w:rsidRPr="00A20381">
        <w:rPr>
          <w:w w:val="105"/>
          <w:sz w:val="20"/>
        </w:rPr>
        <w:t>that</w:t>
      </w:r>
      <w:r w:rsidRPr="00A20381">
        <w:rPr>
          <w:spacing w:val="-13"/>
          <w:w w:val="105"/>
          <w:sz w:val="20"/>
        </w:rPr>
        <w:t xml:space="preserve"> </w:t>
      </w:r>
      <w:r w:rsidRPr="00A20381">
        <w:rPr>
          <w:w w:val="105"/>
          <w:sz w:val="20"/>
        </w:rPr>
        <w:t>the</w:t>
      </w:r>
      <w:r w:rsidRPr="00A20381">
        <w:rPr>
          <w:spacing w:val="-13"/>
          <w:w w:val="105"/>
          <w:sz w:val="20"/>
        </w:rPr>
        <w:t xml:space="preserve"> </w:t>
      </w:r>
      <w:r w:rsidRPr="00A20381">
        <w:rPr>
          <w:w w:val="105"/>
          <w:sz w:val="20"/>
        </w:rPr>
        <w:t>implementation</w:t>
      </w:r>
      <w:r w:rsidRPr="00A20381">
        <w:rPr>
          <w:spacing w:val="-13"/>
          <w:w w:val="105"/>
          <w:sz w:val="20"/>
        </w:rPr>
        <w:t xml:space="preserve"> </w:t>
      </w:r>
      <w:r w:rsidRPr="00A20381">
        <w:rPr>
          <w:w w:val="105"/>
          <w:sz w:val="20"/>
        </w:rPr>
        <w:t>of</w:t>
      </w:r>
      <w:r w:rsidRPr="00A20381">
        <w:rPr>
          <w:spacing w:val="-13"/>
          <w:w w:val="105"/>
          <w:sz w:val="20"/>
        </w:rPr>
        <w:t xml:space="preserve"> </w:t>
      </w:r>
      <w:r w:rsidRPr="00A20381">
        <w:rPr>
          <w:w w:val="105"/>
          <w:sz w:val="20"/>
        </w:rPr>
        <w:t>the</w:t>
      </w:r>
      <w:r w:rsidRPr="00A20381">
        <w:rPr>
          <w:spacing w:val="-13"/>
          <w:w w:val="105"/>
          <w:sz w:val="20"/>
        </w:rPr>
        <w:t xml:space="preserve"> </w:t>
      </w:r>
      <w:r w:rsidR="00041FB2" w:rsidRPr="00A20381">
        <w:rPr>
          <w:w w:val="105"/>
          <w:sz w:val="20"/>
        </w:rPr>
        <w:t>just</w:t>
      </w:r>
      <w:r w:rsidRPr="00A20381">
        <w:rPr>
          <w:spacing w:val="-13"/>
          <w:w w:val="105"/>
          <w:sz w:val="20"/>
        </w:rPr>
        <w:t xml:space="preserve"> </w:t>
      </w:r>
      <w:r w:rsidRPr="00A20381">
        <w:rPr>
          <w:w w:val="105"/>
          <w:sz w:val="20"/>
        </w:rPr>
        <w:t>described</w:t>
      </w:r>
      <w:r w:rsidRPr="00A20381">
        <w:rPr>
          <w:spacing w:val="-13"/>
          <w:w w:val="105"/>
          <w:sz w:val="20"/>
        </w:rPr>
        <w:t xml:space="preserve"> </w:t>
      </w:r>
      <w:r w:rsidRPr="00A20381">
        <w:rPr>
          <w:w w:val="105"/>
          <w:sz w:val="20"/>
        </w:rPr>
        <w:t>model</w:t>
      </w:r>
      <w:r w:rsidRPr="00A20381">
        <w:rPr>
          <w:spacing w:val="-13"/>
          <w:w w:val="105"/>
          <w:sz w:val="20"/>
        </w:rPr>
        <w:t xml:space="preserve"> </w:t>
      </w:r>
      <w:r w:rsidRPr="00A20381">
        <w:rPr>
          <w:w w:val="105"/>
          <w:sz w:val="20"/>
        </w:rPr>
        <w:t>(</w:t>
      </w:r>
      <w:r w:rsidRPr="00A20381">
        <w:rPr>
          <w:i/>
          <w:w w:val="105"/>
          <w:sz w:val="20"/>
        </w:rPr>
        <w:t>bivariate</w:t>
      </w:r>
      <w:r w:rsidRPr="00A20381">
        <w:rPr>
          <w:i/>
          <w:spacing w:val="-11"/>
          <w:w w:val="105"/>
          <w:sz w:val="20"/>
        </w:rPr>
        <w:t xml:space="preserve"> </w:t>
      </w:r>
      <w:r w:rsidRPr="00A20381">
        <w:rPr>
          <w:i/>
          <w:w w:val="105"/>
          <w:sz w:val="20"/>
        </w:rPr>
        <w:t>VECM</w:t>
      </w:r>
      <w:r w:rsidRPr="00A20381">
        <w:rPr>
          <w:w w:val="105"/>
          <w:sz w:val="20"/>
        </w:rPr>
        <w:t>)</w:t>
      </w:r>
      <w:r w:rsidRPr="00A20381">
        <w:rPr>
          <w:spacing w:val="-13"/>
          <w:w w:val="105"/>
          <w:sz w:val="20"/>
        </w:rPr>
        <w:t xml:space="preserve"> </w:t>
      </w:r>
      <w:r w:rsidRPr="00A20381">
        <w:rPr>
          <w:w w:val="105"/>
          <w:sz w:val="20"/>
        </w:rPr>
        <w:t>requires</w:t>
      </w:r>
      <w:r w:rsidRPr="00A20381">
        <w:rPr>
          <w:spacing w:val="-13"/>
          <w:w w:val="105"/>
          <w:sz w:val="20"/>
        </w:rPr>
        <w:t xml:space="preserve"> </w:t>
      </w:r>
      <w:r w:rsidRPr="00A20381">
        <w:rPr>
          <w:w w:val="105"/>
          <w:sz w:val="20"/>
        </w:rPr>
        <w:t>that</w:t>
      </w:r>
      <w:r w:rsidRPr="00A20381">
        <w:rPr>
          <w:spacing w:val="-13"/>
          <w:w w:val="105"/>
          <w:sz w:val="20"/>
        </w:rPr>
        <w:t xml:space="preserve"> </w:t>
      </w:r>
      <w:r w:rsidRPr="00A20381">
        <w:rPr>
          <w:w w:val="105"/>
          <w:sz w:val="20"/>
        </w:rPr>
        <w:t>the</w:t>
      </w:r>
      <w:r w:rsidRPr="00A20381">
        <w:rPr>
          <w:spacing w:val="-13"/>
          <w:w w:val="105"/>
          <w:sz w:val="20"/>
        </w:rPr>
        <w:t xml:space="preserve"> </w:t>
      </w:r>
      <w:r w:rsidRPr="00A20381">
        <w:rPr>
          <w:spacing w:val="-4"/>
          <w:w w:val="105"/>
          <w:sz w:val="20"/>
        </w:rPr>
        <w:t>two</w:t>
      </w:r>
      <w:r w:rsidRPr="00A20381">
        <w:rPr>
          <w:spacing w:val="-13"/>
          <w:w w:val="105"/>
          <w:sz w:val="20"/>
        </w:rPr>
        <w:t xml:space="preserve"> </w:t>
      </w:r>
      <w:r w:rsidRPr="00A20381">
        <w:rPr>
          <w:w w:val="105"/>
          <w:sz w:val="20"/>
        </w:rPr>
        <w:t>series</w:t>
      </w:r>
      <w:r w:rsidRPr="00A20381">
        <w:rPr>
          <w:spacing w:val="-13"/>
          <w:w w:val="105"/>
          <w:sz w:val="20"/>
        </w:rPr>
        <w:t xml:space="preserve"> </w:t>
      </w:r>
      <w:r w:rsidRPr="00A20381">
        <w:rPr>
          <w:w w:val="105"/>
          <w:sz w:val="20"/>
        </w:rPr>
        <w:t xml:space="preserve">are </w:t>
      </w:r>
      <w:proofErr w:type="spellStart"/>
      <w:r w:rsidRPr="00A20381">
        <w:rPr>
          <w:w w:val="105"/>
          <w:sz w:val="20"/>
        </w:rPr>
        <w:t>cointegrated</w:t>
      </w:r>
      <w:proofErr w:type="spellEnd"/>
      <w:r w:rsidRPr="00A20381">
        <w:rPr>
          <w:w w:val="105"/>
          <w:sz w:val="20"/>
        </w:rPr>
        <w:t>, if this is not the case</w:t>
      </w:r>
      <w:r w:rsidRPr="00A20381">
        <w:rPr>
          <w:w w:val="105"/>
          <w:position w:val="7"/>
          <w:sz w:val="14"/>
        </w:rPr>
        <w:t>5</w:t>
      </w:r>
      <w:r w:rsidRPr="00A20381">
        <w:rPr>
          <w:w w:val="105"/>
          <w:sz w:val="20"/>
        </w:rPr>
        <w:t xml:space="preserve">, then </w:t>
      </w:r>
      <w:r w:rsidR="00041FB2" w:rsidRPr="00A20381">
        <w:rPr>
          <w:w w:val="105"/>
          <w:sz w:val="20"/>
        </w:rPr>
        <w:t>we set</w:t>
      </w:r>
      <w:r w:rsidRPr="00A20381">
        <w:rPr>
          <w:w w:val="105"/>
          <w:sz w:val="20"/>
        </w:rPr>
        <w:t xml:space="preserve"> an </w:t>
      </w:r>
      <w:r w:rsidRPr="00A20381">
        <w:rPr>
          <w:i/>
          <w:spacing w:val="-3"/>
          <w:w w:val="105"/>
          <w:sz w:val="20"/>
        </w:rPr>
        <w:t xml:space="preserve">unrestricted </w:t>
      </w:r>
      <w:r w:rsidRPr="00A20381">
        <w:rPr>
          <w:i/>
          <w:spacing w:val="-7"/>
          <w:w w:val="105"/>
          <w:sz w:val="20"/>
        </w:rPr>
        <w:t xml:space="preserve">VAR </w:t>
      </w:r>
      <w:r w:rsidRPr="00A20381">
        <w:rPr>
          <w:w w:val="105"/>
          <w:sz w:val="20"/>
        </w:rPr>
        <w:t xml:space="preserve">to estimate the possible existence of a </w:t>
      </w:r>
      <w:r w:rsidRPr="00A20381">
        <w:rPr>
          <w:i/>
          <w:w w:val="105"/>
          <w:sz w:val="20"/>
        </w:rPr>
        <w:t xml:space="preserve">Granger-causality </w:t>
      </w:r>
      <w:r w:rsidRPr="00A20381">
        <w:rPr>
          <w:spacing w:val="-3"/>
          <w:w w:val="105"/>
          <w:sz w:val="20"/>
        </w:rPr>
        <w:t>(</w:t>
      </w:r>
      <w:r w:rsidRPr="00A20381">
        <w:rPr>
          <w:i/>
          <w:spacing w:val="-3"/>
          <w:w w:val="105"/>
          <w:sz w:val="20"/>
        </w:rPr>
        <w:t xml:space="preserve">unidirectional </w:t>
      </w:r>
      <w:r w:rsidRPr="00A20381">
        <w:rPr>
          <w:w w:val="105"/>
          <w:sz w:val="20"/>
        </w:rPr>
        <w:t xml:space="preserve">or </w:t>
      </w:r>
      <w:r w:rsidR="00041FB2" w:rsidRPr="00A20381">
        <w:rPr>
          <w:i/>
          <w:w w:val="105"/>
          <w:sz w:val="20"/>
        </w:rPr>
        <w:t>bilateral</w:t>
      </w:r>
      <w:r w:rsidRPr="00A20381">
        <w:rPr>
          <w:w w:val="105"/>
          <w:sz w:val="20"/>
        </w:rPr>
        <w:t xml:space="preserve">) and, </w:t>
      </w:r>
      <w:r w:rsidRPr="00A20381">
        <w:rPr>
          <w:spacing w:val="-4"/>
          <w:w w:val="105"/>
          <w:sz w:val="20"/>
        </w:rPr>
        <w:t xml:space="preserve">eventually, </w:t>
      </w:r>
      <w:r w:rsidRPr="00A20381">
        <w:rPr>
          <w:w w:val="105"/>
          <w:sz w:val="20"/>
        </w:rPr>
        <w:t xml:space="preserve">the </w:t>
      </w:r>
      <w:r w:rsidRPr="00A20381">
        <w:rPr>
          <w:i/>
          <w:w w:val="105"/>
          <w:sz w:val="20"/>
        </w:rPr>
        <w:t>Impulse</w:t>
      </w:r>
      <w:r w:rsidRPr="00A20381">
        <w:rPr>
          <w:i/>
          <w:spacing w:val="13"/>
          <w:w w:val="105"/>
          <w:sz w:val="20"/>
        </w:rPr>
        <w:t xml:space="preserve"> </w:t>
      </w:r>
      <w:r w:rsidRPr="00A20381">
        <w:rPr>
          <w:i/>
          <w:spacing w:val="-3"/>
          <w:w w:val="105"/>
          <w:sz w:val="20"/>
        </w:rPr>
        <w:t>Responses</w:t>
      </w:r>
      <w:r w:rsidRPr="00A20381">
        <w:rPr>
          <w:spacing w:val="-3"/>
          <w:w w:val="105"/>
          <w:sz w:val="20"/>
        </w:rPr>
        <w:t>.</w:t>
      </w:r>
    </w:p>
    <w:p w:rsidR="000377FF" w:rsidRPr="003A69CF" w:rsidRDefault="000377FF" w:rsidP="001A4FB4">
      <w:pPr>
        <w:tabs>
          <w:tab w:val="left" w:pos="1689"/>
        </w:tabs>
        <w:spacing w:line="360" w:lineRule="auto"/>
        <w:ind w:right="1327"/>
        <w:jc w:val="both"/>
        <w:rPr>
          <w:i/>
          <w:sz w:val="14"/>
        </w:rPr>
      </w:pPr>
    </w:p>
    <w:p w:rsidR="000377FF" w:rsidRPr="003A69CF" w:rsidRDefault="00E85B85" w:rsidP="001A4FB4">
      <w:pPr>
        <w:pStyle w:val="Titolo1"/>
        <w:numPr>
          <w:ilvl w:val="0"/>
          <w:numId w:val="5"/>
        </w:numPr>
        <w:tabs>
          <w:tab w:val="left" w:pos="587"/>
          <w:tab w:val="left" w:pos="588"/>
        </w:tabs>
        <w:spacing w:line="360" w:lineRule="auto"/>
        <w:ind w:hanging="475"/>
        <w:jc w:val="both"/>
      </w:pPr>
      <w:bookmarkStart w:id="3" w:name="_TOC_250006"/>
      <w:bookmarkEnd w:id="3"/>
      <w:r w:rsidRPr="00A20381">
        <w:rPr>
          <w:w w:val="105"/>
        </w:rPr>
        <w:t>Results</w:t>
      </w:r>
    </w:p>
    <w:p w:rsidR="00820A4F" w:rsidRPr="00A20381" w:rsidRDefault="00E85B85" w:rsidP="001A4FB4">
      <w:pPr>
        <w:pStyle w:val="Corpotesto"/>
        <w:spacing w:line="360" w:lineRule="auto"/>
        <w:ind w:left="113" w:right="108"/>
        <w:jc w:val="both"/>
      </w:pPr>
      <w:r w:rsidRPr="00A20381">
        <w:t>In this section, results are discussed separately depending on the distinct stages of the crisis. All preliminary and complementary</w:t>
      </w:r>
      <w:r w:rsidRPr="008767EA">
        <w:t xml:space="preserve"> </w:t>
      </w:r>
      <w:r w:rsidRPr="00A20381">
        <w:t>tests</w:t>
      </w:r>
      <w:r w:rsidRPr="008767EA">
        <w:t xml:space="preserve"> </w:t>
      </w:r>
      <w:r w:rsidRPr="00A20381">
        <w:t>on</w:t>
      </w:r>
      <w:r w:rsidRPr="008767EA">
        <w:t xml:space="preserve"> </w:t>
      </w:r>
      <w:r w:rsidRPr="00A20381">
        <w:t>time</w:t>
      </w:r>
      <w:r w:rsidRPr="008767EA">
        <w:t xml:space="preserve"> </w:t>
      </w:r>
      <w:r w:rsidRPr="00A20381">
        <w:t>series</w:t>
      </w:r>
      <w:r w:rsidRPr="008767EA">
        <w:t xml:space="preserve"> </w:t>
      </w:r>
      <w:r w:rsidRPr="00A20381">
        <w:t>are</w:t>
      </w:r>
      <w:r w:rsidRPr="008767EA">
        <w:t xml:space="preserve"> </w:t>
      </w:r>
      <w:r w:rsidRPr="00A20381">
        <w:t>reported</w:t>
      </w:r>
      <w:r w:rsidRPr="008767EA">
        <w:t xml:space="preserve"> </w:t>
      </w:r>
      <w:r w:rsidRPr="00A20381">
        <w:t>in</w:t>
      </w:r>
      <w:r w:rsidRPr="008767EA">
        <w:t xml:space="preserve"> </w:t>
      </w:r>
      <w:r w:rsidRPr="00A20381">
        <w:t>the</w:t>
      </w:r>
      <w:r w:rsidRPr="00A20381">
        <w:rPr>
          <w:spacing w:val="-6"/>
        </w:rPr>
        <w:t xml:space="preserve"> </w:t>
      </w:r>
      <w:r w:rsidRPr="00A20381">
        <w:rPr>
          <w:i/>
        </w:rPr>
        <w:t>Appendix</w:t>
      </w:r>
      <w:r w:rsidRPr="008767EA">
        <w:rPr>
          <w:spacing w:val="-3"/>
        </w:rPr>
        <w:t xml:space="preserve">. </w:t>
      </w:r>
      <w:r w:rsidRPr="00A20381">
        <w:rPr>
          <w:spacing w:val="-3"/>
        </w:rPr>
        <w:t>Further</w:t>
      </w:r>
      <w:r w:rsidRPr="008767EA">
        <w:rPr>
          <w:spacing w:val="-3"/>
        </w:rPr>
        <w:t xml:space="preserve"> statistical tests validating the acceptance of OLS assumptions are not reported here. With regard</w:t>
      </w:r>
      <w:r w:rsidRPr="00A20381">
        <w:rPr>
          <w:spacing w:val="-3"/>
        </w:rPr>
        <w:t xml:space="preserve"> </w:t>
      </w:r>
      <w:r w:rsidRPr="008767EA">
        <w:rPr>
          <w:spacing w:val="-3"/>
        </w:rPr>
        <w:t>to these latter tests,</w:t>
      </w:r>
      <w:r w:rsidRPr="00A20381">
        <w:rPr>
          <w:spacing w:val="-3"/>
        </w:rPr>
        <w:t xml:space="preserve"> </w:t>
      </w:r>
      <w:r w:rsidRPr="008767EA">
        <w:rPr>
          <w:spacing w:val="-3"/>
        </w:rPr>
        <w:t>they confirm the presence of</w:t>
      </w:r>
      <w:r w:rsidRPr="00A20381">
        <w:rPr>
          <w:spacing w:val="-3"/>
        </w:rPr>
        <w:t xml:space="preserve"> </w:t>
      </w:r>
      <w:r w:rsidR="00291EE1" w:rsidRPr="008767EA">
        <w:rPr>
          <w:spacing w:val="-3"/>
        </w:rPr>
        <w:t>heteroskedasticity</w:t>
      </w:r>
      <w:r w:rsidR="00761B7C" w:rsidRPr="008767EA">
        <w:rPr>
          <w:spacing w:val="-3"/>
        </w:rPr>
        <w:t>,</w:t>
      </w:r>
      <w:r w:rsidR="00291EE1" w:rsidRPr="008767EA">
        <w:rPr>
          <w:spacing w:val="-3"/>
        </w:rPr>
        <w:t xml:space="preserve"> </w:t>
      </w:r>
      <w:r w:rsidRPr="008767EA">
        <w:rPr>
          <w:spacing w:val="-3"/>
        </w:rPr>
        <w:t xml:space="preserve">no serial correlation and </w:t>
      </w:r>
      <w:r w:rsidR="00041FB2" w:rsidRPr="008767EA">
        <w:rPr>
          <w:spacing w:val="-3"/>
        </w:rPr>
        <w:t>non-normal</w:t>
      </w:r>
      <w:r w:rsidRPr="008767EA">
        <w:rPr>
          <w:spacing w:val="-3"/>
        </w:rPr>
        <w:t xml:space="preserve"> distributed residuals.</w:t>
      </w:r>
      <w:r w:rsidRPr="00A20381">
        <w:rPr>
          <w:spacing w:val="-3"/>
        </w:rPr>
        <w:t xml:space="preserve"> </w:t>
      </w:r>
      <w:r w:rsidRPr="008767EA">
        <w:rPr>
          <w:spacing w:val="-3"/>
        </w:rPr>
        <w:t xml:space="preserve">To limit the problem of the heteroskedasticity, </w:t>
      </w:r>
      <w:r w:rsidR="00CC774A" w:rsidRPr="008767EA">
        <w:rPr>
          <w:spacing w:val="-3"/>
        </w:rPr>
        <w:t>we calculate</w:t>
      </w:r>
      <w:r w:rsidRPr="008767EA">
        <w:rPr>
          <w:spacing w:val="-3"/>
        </w:rPr>
        <w:t xml:space="preserve"> robust estimates </w:t>
      </w:r>
      <w:r w:rsidRPr="00A20381">
        <w:rPr>
          <w:spacing w:val="-3"/>
        </w:rPr>
        <w:t>by</w:t>
      </w:r>
      <w:r w:rsidRPr="008767EA">
        <w:rPr>
          <w:spacing w:val="-3"/>
        </w:rPr>
        <w:t xml:space="preserve"> using the</w:t>
      </w:r>
      <w:r w:rsidRPr="00A20381">
        <w:rPr>
          <w:spacing w:val="-18"/>
        </w:rPr>
        <w:t xml:space="preserve"> </w:t>
      </w:r>
      <w:r w:rsidRPr="00A20381">
        <w:rPr>
          <w:i/>
        </w:rPr>
        <w:t>Huber-White</w:t>
      </w:r>
      <w:r w:rsidRPr="00A20381">
        <w:rPr>
          <w:i/>
          <w:spacing w:val="-8"/>
        </w:rPr>
        <w:t xml:space="preserve"> </w:t>
      </w:r>
      <w:r w:rsidRPr="00A20381">
        <w:t>procedure.</w:t>
      </w:r>
      <w:r w:rsidRPr="00A20381">
        <w:rPr>
          <w:spacing w:val="2"/>
        </w:rPr>
        <w:t xml:space="preserve"> </w:t>
      </w:r>
      <w:r w:rsidRPr="00A20381">
        <w:t>The</w:t>
      </w:r>
      <w:r w:rsidRPr="00A20381">
        <w:rPr>
          <w:spacing w:val="-18"/>
        </w:rPr>
        <w:t xml:space="preserve"> </w:t>
      </w:r>
      <w:r w:rsidRPr="00A20381">
        <w:t>normality</w:t>
      </w:r>
      <w:r w:rsidRPr="00A20381">
        <w:rPr>
          <w:spacing w:val="-17"/>
        </w:rPr>
        <w:t xml:space="preserve"> </w:t>
      </w:r>
      <w:r w:rsidRPr="00A20381">
        <w:t>assumption</w:t>
      </w:r>
      <w:r w:rsidRPr="00A20381">
        <w:rPr>
          <w:spacing w:val="-18"/>
        </w:rPr>
        <w:t xml:space="preserve"> </w:t>
      </w:r>
      <w:r w:rsidRPr="00A20381">
        <w:t>allows</w:t>
      </w:r>
      <w:r w:rsidRPr="00A20381">
        <w:rPr>
          <w:spacing w:val="-18"/>
        </w:rPr>
        <w:t xml:space="preserve"> </w:t>
      </w:r>
      <w:r w:rsidR="00761B7C">
        <w:rPr>
          <w:spacing w:val="-18"/>
        </w:rPr>
        <w:t xml:space="preserve">us to </w:t>
      </w:r>
      <w:r w:rsidRPr="00A20381">
        <w:t>exact</w:t>
      </w:r>
      <w:r w:rsidRPr="00A20381">
        <w:rPr>
          <w:spacing w:val="-17"/>
        </w:rPr>
        <w:t xml:space="preserve"> </w:t>
      </w:r>
      <w:r w:rsidRPr="00A20381">
        <w:t>inference about</w:t>
      </w:r>
      <w:r w:rsidRPr="00A20381">
        <w:rPr>
          <w:spacing w:val="-27"/>
        </w:rPr>
        <w:t xml:space="preserve"> </w:t>
      </w:r>
      <w:r w:rsidRPr="00A20381">
        <w:t>the</w:t>
      </w:r>
      <w:r w:rsidRPr="00A20381">
        <w:rPr>
          <w:spacing w:val="-26"/>
        </w:rPr>
        <w:t xml:space="preserve"> </w:t>
      </w:r>
      <w:r w:rsidRPr="00A20381">
        <w:t>estimates</w:t>
      </w:r>
      <w:r w:rsidRPr="00A20381">
        <w:rPr>
          <w:spacing w:val="-26"/>
        </w:rPr>
        <w:t xml:space="preserve"> </w:t>
      </w:r>
      <w:r w:rsidRPr="00A20381">
        <w:t>and</w:t>
      </w:r>
      <w:r w:rsidRPr="00A20381">
        <w:rPr>
          <w:spacing w:val="-26"/>
        </w:rPr>
        <w:t xml:space="preserve"> </w:t>
      </w:r>
      <w:r w:rsidRPr="00A20381">
        <w:t>standard</w:t>
      </w:r>
      <w:r w:rsidRPr="00A20381">
        <w:rPr>
          <w:spacing w:val="-26"/>
        </w:rPr>
        <w:t xml:space="preserve"> </w:t>
      </w:r>
      <w:r w:rsidRPr="00A20381">
        <w:t>errors</w:t>
      </w:r>
      <w:r w:rsidRPr="00A20381">
        <w:rPr>
          <w:spacing w:val="-26"/>
        </w:rPr>
        <w:t xml:space="preserve"> </w:t>
      </w:r>
      <w:r w:rsidRPr="00A20381">
        <w:t>of</w:t>
      </w:r>
      <w:r w:rsidRPr="00A20381">
        <w:rPr>
          <w:spacing w:val="-27"/>
        </w:rPr>
        <w:t xml:space="preserve"> </w:t>
      </w:r>
      <w:r w:rsidRPr="00A20381">
        <w:t>the</w:t>
      </w:r>
      <w:r w:rsidRPr="00A20381">
        <w:rPr>
          <w:spacing w:val="-26"/>
        </w:rPr>
        <w:t xml:space="preserve"> </w:t>
      </w:r>
      <w:r w:rsidRPr="00A20381">
        <w:t>estimated</w:t>
      </w:r>
      <w:r w:rsidRPr="00A20381">
        <w:rPr>
          <w:spacing w:val="-26"/>
        </w:rPr>
        <w:t xml:space="preserve"> </w:t>
      </w:r>
      <w:r w:rsidRPr="00A20381">
        <w:t>coefficients.</w:t>
      </w:r>
      <w:r w:rsidRPr="00A20381">
        <w:rPr>
          <w:spacing w:val="-10"/>
        </w:rPr>
        <w:t xml:space="preserve"> </w:t>
      </w:r>
      <w:r w:rsidRPr="00A20381">
        <w:rPr>
          <w:spacing w:val="-3"/>
        </w:rPr>
        <w:t>However,</w:t>
      </w:r>
      <w:r w:rsidRPr="00A20381">
        <w:rPr>
          <w:spacing w:val="-24"/>
        </w:rPr>
        <w:t xml:space="preserve"> </w:t>
      </w:r>
      <w:r w:rsidRPr="00A20381">
        <w:t>even</w:t>
      </w:r>
      <w:r w:rsidRPr="00A20381">
        <w:rPr>
          <w:spacing w:val="-26"/>
        </w:rPr>
        <w:t xml:space="preserve"> </w:t>
      </w:r>
      <w:r w:rsidRPr="00A20381">
        <w:t>when</w:t>
      </w:r>
      <w:r w:rsidRPr="00A20381">
        <w:rPr>
          <w:spacing w:val="-26"/>
        </w:rPr>
        <w:t xml:space="preserve"> </w:t>
      </w:r>
      <w:r w:rsidRPr="00A20381">
        <w:t>the</w:t>
      </w:r>
      <w:r w:rsidRPr="00A20381">
        <w:rPr>
          <w:spacing w:val="-27"/>
        </w:rPr>
        <w:t xml:space="preserve"> </w:t>
      </w:r>
      <w:r w:rsidRPr="00A20381">
        <w:t>normality</w:t>
      </w:r>
      <w:r w:rsidRPr="00A20381">
        <w:rPr>
          <w:spacing w:val="-26"/>
        </w:rPr>
        <w:t xml:space="preserve"> </w:t>
      </w:r>
      <w:r w:rsidRPr="00A20381">
        <w:t xml:space="preserve">assumption is not </w:t>
      </w:r>
      <w:r w:rsidRPr="00A20381">
        <w:rPr>
          <w:spacing w:val="-3"/>
        </w:rPr>
        <w:t xml:space="preserve">valid </w:t>
      </w:r>
      <w:r w:rsidRPr="00A20381">
        <w:t xml:space="preserve">(but all the other assumptions are), the estimates are still consistent and the </w:t>
      </w:r>
      <w:r w:rsidRPr="00A20381">
        <w:rPr>
          <w:i/>
        </w:rPr>
        <w:t xml:space="preserve">Central Limit </w:t>
      </w:r>
      <w:r w:rsidRPr="00A20381">
        <w:rPr>
          <w:i/>
          <w:spacing w:val="-4"/>
        </w:rPr>
        <w:t xml:space="preserve">Theorem </w:t>
      </w:r>
      <w:r w:rsidRPr="00A20381">
        <w:t xml:space="preserve">allows </w:t>
      </w:r>
      <w:r w:rsidR="00041FB2" w:rsidRPr="00A20381">
        <w:t>making</w:t>
      </w:r>
      <w:r w:rsidRPr="00A20381">
        <w:t xml:space="preserve"> inferences that are </w:t>
      </w:r>
      <w:r w:rsidRPr="00A20381">
        <w:rPr>
          <w:spacing w:val="-3"/>
        </w:rPr>
        <w:t xml:space="preserve">valid </w:t>
      </w:r>
      <w:r w:rsidRPr="00A20381">
        <w:t>in an asymptotic sense</w:t>
      </w:r>
      <w:r w:rsidRPr="00A20381">
        <w:rPr>
          <w:spacing w:val="47"/>
        </w:rPr>
        <w:t xml:space="preserve"> </w:t>
      </w:r>
      <w:r w:rsidRPr="00A20381">
        <w:rPr>
          <w:spacing w:val="-3"/>
        </w:rPr>
        <w:t>(</w:t>
      </w:r>
      <w:r w:rsidRPr="00A20381">
        <w:rPr>
          <w:i/>
          <w:spacing w:val="-3"/>
        </w:rPr>
        <w:t>Wooldridge</w:t>
      </w:r>
      <w:r w:rsidRPr="00A20381">
        <w:rPr>
          <w:spacing w:val="-3"/>
        </w:rPr>
        <w:t xml:space="preserve">, </w:t>
      </w:r>
      <w:r w:rsidR="00041FB2" w:rsidRPr="00A20381">
        <w:rPr>
          <w:i/>
        </w:rPr>
        <w:t>2003</w:t>
      </w:r>
      <w:r w:rsidRPr="00A20381">
        <w:t>).</w:t>
      </w:r>
      <w:r w:rsidR="00820A4F" w:rsidRPr="00A20381">
        <w:t xml:space="preserve"> In the </w:t>
      </w:r>
      <w:r w:rsidR="00820A4F" w:rsidRPr="00A20381">
        <w:rPr>
          <w:i/>
        </w:rPr>
        <w:t xml:space="preserve">VAR </w:t>
      </w:r>
      <w:r w:rsidR="00820A4F" w:rsidRPr="00A20381">
        <w:t xml:space="preserve">model setup, in order to choose the optimal lag length, </w:t>
      </w:r>
      <w:r w:rsidR="00CC774A" w:rsidRPr="00A20381">
        <w:t>we follow</w:t>
      </w:r>
      <w:r w:rsidR="00820A4F" w:rsidRPr="00A20381">
        <w:t xml:space="preserve"> the </w:t>
      </w:r>
      <w:r w:rsidR="00820A4F" w:rsidRPr="00A20381">
        <w:rPr>
          <w:i/>
        </w:rPr>
        <w:t xml:space="preserve">Hannan-Quinn criterion </w:t>
      </w:r>
      <w:r w:rsidR="00820A4F" w:rsidRPr="00A20381">
        <w:t xml:space="preserve">as suggested by </w:t>
      </w:r>
      <w:proofErr w:type="spellStart"/>
      <w:r w:rsidR="00820A4F" w:rsidRPr="00A20381">
        <w:rPr>
          <w:i/>
        </w:rPr>
        <w:t>Liew</w:t>
      </w:r>
      <w:proofErr w:type="spellEnd"/>
      <w:r w:rsidR="00820A4F" w:rsidRPr="00A20381">
        <w:rPr>
          <w:i/>
        </w:rPr>
        <w:t xml:space="preserve"> </w:t>
      </w:r>
      <w:r w:rsidR="00820A4F" w:rsidRPr="00A20381">
        <w:t>(</w:t>
      </w:r>
      <w:r w:rsidR="00820A4F" w:rsidRPr="00A20381">
        <w:rPr>
          <w:i/>
        </w:rPr>
        <w:t>2004</w:t>
      </w:r>
      <w:r w:rsidR="00820A4F" w:rsidRPr="00A20381">
        <w:t>)</w:t>
      </w:r>
      <w:r w:rsidR="00820A4F" w:rsidRPr="00A20381">
        <w:rPr>
          <w:rStyle w:val="Rimandonotaapidipagina"/>
        </w:rPr>
        <w:footnoteReference w:id="8"/>
      </w:r>
      <w:r w:rsidR="00820A4F" w:rsidRPr="00A20381">
        <w:t>.</w:t>
      </w:r>
    </w:p>
    <w:p w:rsidR="00820A4F" w:rsidRPr="00A20381" w:rsidRDefault="00820A4F" w:rsidP="001A4FB4">
      <w:pPr>
        <w:pStyle w:val="Corpotesto"/>
        <w:spacing w:line="360" w:lineRule="auto"/>
        <w:ind w:left="113" w:right="108"/>
        <w:jc w:val="both"/>
      </w:pPr>
    </w:p>
    <w:p w:rsidR="000377FF" w:rsidRPr="00A20381" w:rsidRDefault="000377FF" w:rsidP="001A4FB4">
      <w:pPr>
        <w:spacing w:line="360" w:lineRule="auto"/>
        <w:jc w:val="both"/>
        <w:rPr>
          <w:sz w:val="10"/>
        </w:rPr>
        <w:sectPr w:rsidR="000377FF" w:rsidRPr="00A20381">
          <w:pgSz w:w="12240" w:h="15840"/>
          <w:pgMar w:top="1340" w:right="1020" w:bottom="1000" w:left="1020" w:header="0" w:footer="806" w:gutter="0"/>
          <w:cols w:space="720"/>
        </w:sectPr>
      </w:pPr>
    </w:p>
    <w:p w:rsidR="000377FF" w:rsidRPr="00A20381" w:rsidRDefault="000377FF" w:rsidP="001A4FB4">
      <w:pPr>
        <w:spacing w:line="360" w:lineRule="auto"/>
        <w:jc w:val="both"/>
        <w:rPr>
          <w:sz w:val="16"/>
        </w:rPr>
        <w:sectPr w:rsidR="000377FF" w:rsidRPr="00A20381">
          <w:type w:val="continuous"/>
          <w:pgSz w:w="12240" w:h="15840"/>
          <w:pgMar w:top="1240" w:right="1020" w:bottom="280" w:left="1020" w:header="720" w:footer="720" w:gutter="0"/>
          <w:cols w:space="720"/>
        </w:sectPr>
      </w:pPr>
    </w:p>
    <w:p w:rsidR="000377FF" w:rsidRPr="00E74FF8" w:rsidRDefault="00E85B85" w:rsidP="001A4FB4">
      <w:pPr>
        <w:pStyle w:val="Titolo2"/>
        <w:tabs>
          <w:tab w:val="left" w:pos="726"/>
          <w:tab w:val="left" w:pos="727"/>
        </w:tabs>
        <w:spacing w:before="68" w:line="360" w:lineRule="auto"/>
        <w:ind w:left="112" w:firstLine="0"/>
        <w:jc w:val="both"/>
        <w:rPr>
          <w:rFonts w:ascii="Book Antiqua" w:hAnsi="Book Antiqua"/>
          <w:b/>
        </w:rPr>
      </w:pPr>
      <w:bookmarkStart w:id="4" w:name="_TOC_250005"/>
      <w:r w:rsidRPr="00A20381">
        <w:rPr>
          <w:rFonts w:ascii="Book Antiqua" w:hAnsi="Book Antiqua"/>
          <w:b/>
        </w:rPr>
        <w:lastRenderedPageBreak/>
        <w:t xml:space="preserve">Financial </w:t>
      </w:r>
      <w:r w:rsidRPr="00A20381">
        <w:rPr>
          <w:rFonts w:ascii="Book Antiqua" w:hAnsi="Book Antiqua"/>
          <w:b/>
          <w:spacing w:val="2"/>
        </w:rPr>
        <w:t>crisis</w:t>
      </w:r>
      <w:r w:rsidRPr="00A20381">
        <w:rPr>
          <w:rFonts w:ascii="Book Antiqua" w:hAnsi="Book Antiqua"/>
          <w:b/>
          <w:i w:val="0"/>
          <w:spacing w:val="2"/>
        </w:rPr>
        <w:t>:</w:t>
      </w:r>
      <w:r w:rsidRPr="00A20381">
        <w:rPr>
          <w:rFonts w:ascii="Book Antiqua" w:hAnsi="Book Antiqua"/>
          <w:b/>
          <w:i w:val="0"/>
          <w:spacing w:val="14"/>
        </w:rPr>
        <w:t xml:space="preserve"> </w:t>
      </w:r>
      <w:bookmarkEnd w:id="4"/>
      <w:r w:rsidRPr="00A20381">
        <w:rPr>
          <w:rFonts w:ascii="Book Antiqua" w:hAnsi="Book Antiqua"/>
          <w:b/>
        </w:rPr>
        <w:t>2007-10</w:t>
      </w:r>
    </w:p>
    <w:p w:rsidR="000377FF" w:rsidRPr="00A20381" w:rsidRDefault="00E85B85" w:rsidP="001A4FB4">
      <w:pPr>
        <w:spacing w:line="360" w:lineRule="auto"/>
        <w:ind w:left="113" w:right="112"/>
        <w:jc w:val="both"/>
        <w:rPr>
          <w:sz w:val="20"/>
        </w:rPr>
      </w:pPr>
      <w:r w:rsidRPr="00A20381">
        <w:rPr>
          <w:sz w:val="20"/>
        </w:rPr>
        <w:t>According</w:t>
      </w:r>
      <w:r w:rsidRPr="00A20381">
        <w:rPr>
          <w:spacing w:val="-15"/>
          <w:sz w:val="20"/>
        </w:rPr>
        <w:t xml:space="preserve"> </w:t>
      </w:r>
      <w:r w:rsidRPr="00A20381">
        <w:rPr>
          <w:sz w:val="20"/>
        </w:rPr>
        <w:t>to</w:t>
      </w:r>
      <w:r w:rsidRPr="00A20381">
        <w:rPr>
          <w:spacing w:val="-14"/>
          <w:sz w:val="20"/>
        </w:rPr>
        <w:t xml:space="preserve"> </w:t>
      </w:r>
      <w:r w:rsidRPr="00A20381">
        <w:rPr>
          <w:sz w:val="20"/>
        </w:rPr>
        <w:t>the</w:t>
      </w:r>
      <w:r w:rsidRPr="00A20381">
        <w:rPr>
          <w:spacing w:val="-14"/>
          <w:sz w:val="20"/>
        </w:rPr>
        <w:t xml:space="preserve"> </w:t>
      </w:r>
      <w:r w:rsidRPr="00A20381">
        <w:rPr>
          <w:i/>
          <w:sz w:val="20"/>
        </w:rPr>
        <w:t>first</w:t>
      </w:r>
      <w:r w:rsidRPr="00A20381">
        <w:rPr>
          <w:i/>
          <w:spacing w:val="-11"/>
          <w:sz w:val="20"/>
        </w:rPr>
        <w:t xml:space="preserve"> </w:t>
      </w:r>
      <w:r w:rsidRPr="00A20381">
        <w:rPr>
          <w:i/>
          <w:sz w:val="20"/>
        </w:rPr>
        <w:t>stage</w:t>
      </w:r>
      <w:r w:rsidRPr="00A20381">
        <w:rPr>
          <w:i/>
          <w:spacing w:val="-4"/>
          <w:sz w:val="20"/>
        </w:rPr>
        <w:t xml:space="preserve"> </w:t>
      </w:r>
      <w:r w:rsidRPr="00A20381">
        <w:rPr>
          <w:sz w:val="20"/>
        </w:rPr>
        <w:t>of</w:t>
      </w:r>
      <w:r w:rsidRPr="00A20381">
        <w:rPr>
          <w:spacing w:val="-14"/>
          <w:sz w:val="20"/>
        </w:rPr>
        <w:t xml:space="preserve"> </w:t>
      </w:r>
      <w:r w:rsidRPr="00A20381">
        <w:rPr>
          <w:sz w:val="20"/>
        </w:rPr>
        <w:t>the</w:t>
      </w:r>
      <w:r w:rsidRPr="00A20381">
        <w:rPr>
          <w:spacing w:val="-14"/>
          <w:sz w:val="20"/>
        </w:rPr>
        <w:t xml:space="preserve"> </w:t>
      </w:r>
      <w:r w:rsidRPr="00A20381">
        <w:rPr>
          <w:sz w:val="20"/>
        </w:rPr>
        <w:t>analysis,</w:t>
      </w:r>
      <w:r w:rsidRPr="00A20381">
        <w:rPr>
          <w:spacing w:val="-13"/>
          <w:sz w:val="20"/>
        </w:rPr>
        <w:t xml:space="preserve"> </w:t>
      </w:r>
      <w:r w:rsidR="00CC774A" w:rsidRPr="00A20381">
        <w:rPr>
          <w:sz w:val="20"/>
        </w:rPr>
        <w:t>we evaluate</w:t>
      </w:r>
      <w:r w:rsidRPr="00A20381">
        <w:rPr>
          <w:spacing w:val="-14"/>
          <w:sz w:val="20"/>
        </w:rPr>
        <w:t xml:space="preserve"> </w:t>
      </w:r>
      <w:r w:rsidRPr="00A20381">
        <w:rPr>
          <w:sz w:val="20"/>
        </w:rPr>
        <w:t>the</w:t>
      </w:r>
      <w:r w:rsidRPr="00A20381">
        <w:rPr>
          <w:spacing w:val="-14"/>
          <w:sz w:val="20"/>
        </w:rPr>
        <w:t xml:space="preserve"> </w:t>
      </w:r>
      <w:r w:rsidRPr="00A20381">
        <w:rPr>
          <w:sz w:val="20"/>
        </w:rPr>
        <w:t>existence</w:t>
      </w:r>
      <w:r w:rsidRPr="00A20381">
        <w:rPr>
          <w:spacing w:val="-14"/>
          <w:sz w:val="20"/>
        </w:rPr>
        <w:t xml:space="preserve"> </w:t>
      </w:r>
      <w:r w:rsidRPr="00A20381">
        <w:rPr>
          <w:sz w:val="20"/>
        </w:rPr>
        <w:t>of</w:t>
      </w:r>
      <w:r w:rsidRPr="00A20381">
        <w:rPr>
          <w:spacing w:val="-15"/>
          <w:sz w:val="20"/>
        </w:rPr>
        <w:t xml:space="preserve"> </w:t>
      </w:r>
      <w:proofErr w:type="spellStart"/>
      <w:r w:rsidRPr="00A20381">
        <w:rPr>
          <w:sz w:val="20"/>
        </w:rPr>
        <w:t>cointegration</w:t>
      </w:r>
      <w:proofErr w:type="spellEnd"/>
      <w:r w:rsidRPr="00A20381">
        <w:rPr>
          <w:spacing w:val="-14"/>
          <w:sz w:val="20"/>
        </w:rPr>
        <w:t xml:space="preserve"> </w:t>
      </w:r>
      <w:r w:rsidRPr="00A20381">
        <w:rPr>
          <w:sz w:val="20"/>
        </w:rPr>
        <w:t>between</w:t>
      </w:r>
      <w:r w:rsidRPr="00A20381">
        <w:rPr>
          <w:spacing w:val="-14"/>
          <w:sz w:val="20"/>
        </w:rPr>
        <w:t xml:space="preserve"> </w:t>
      </w:r>
      <w:r w:rsidRPr="00A20381">
        <w:rPr>
          <w:sz w:val="20"/>
        </w:rPr>
        <w:t>the</w:t>
      </w:r>
      <w:r w:rsidRPr="00A20381">
        <w:rPr>
          <w:spacing w:val="-14"/>
          <w:sz w:val="20"/>
        </w:rPr>
        <w:t xml:space="preserve"> </w:t>
      </w:r>
      <w:r w:rsidRPr="00A20381">
        <w:rPr>
          <w:spacing w:val="-4"/>
          <w:sz w:val="20"/>
        </w:rPr>
        <w:t>two</w:t>
      </w:r>
      <w:r w:rsidRPr="00A20381">
        <w:rPr>
          <w:spacing w:val="-15"/>
          <w:sz w:val="20"/>
        </w:rPr>
        <w:t xml:space="preserve"> </w:t>
      </w:r>
      <w:r w:rsidRPr="00A20381">
        <w:rPr>
          <w:sz w:val="20"/>
        </w:rPr>
        <w:t>series</w:t>
      </w:r>
      <w:r w:rsidRPr="00A20381">
        <w:rPr>
          <w:spacing w:val="-14"/>
          <w:sz w:val="20"/>
        </w:rPr>
        <w:t xml:space="preserve"> </w:t>
      </w:r>
      <w:r w:rsidRPr="00A20381">
        <w:rPr>
          <w:sz w:val="20"/>
        </w:rPr>
        <w:t xml:space="preserve">through the </w:t>
      </w:r>
      <w:r w:rsidRPr="00A20381">
        <w:rPr>
          <w:i/>
          <w:spacing w:val="-3"/>
          <w:sz w:val="20"/>
        </w:rPr>
        <w:t xml:space="preserve">Augmented </w:t>
      </w:r>
      <w:r w:rsidRPr="00A20381">
        <w:rPr>
          <w:i/>
          <w:sz w:val="20"/>
        </w:rPr>
        <w:t xml:space="preserve">Dickey-Fuller </w:t>
      </w:r>
      <w:r w:rsidRPr="00A20381">
        <w:rPr>
          <w:i/>
          <w:spacing w:val="-4"/>
          <w:sz w:val="20"/>
        </w:rPr>
        <w:t>Test</w:t>
      </w:r>
      <w:r w:rsidRPr="00A20381">
        <w:rPr>
          <w:spacing w:val="-4"/>
          <w:sz w:val="20"/>
        </w:rPr>
        <w:t xml:space="preserve">. </w:t>
      </w:r>
      <w:r w:rsidRPr="00A20381">
        <w:rPr>
          <w:sz w:val="20"/>
        </w:rPr>
        <w:t xml:space="preserve">The latter is reported in </w:t>
      </w:r>
      <w:r w:rsidRPr="00A20381">
        <w:rPr>
          <w:i/>
          <w:spacing w:val="-4"/>
          <w:sz w:val="20"/>
        </w:rPr>
        <w:t>Table</w:t>
      </w:r>
      <w:r w:rsidRPr="00A20381">
        <w:rPr>
          <w:i/>
          <w:spacing w:val="30"/>
          <w:sz w:val="20"/>
        </w:rPr>
        <w:t xml:space="preserve"> </w:t>
      </w:r>
      <w:r w:rsidRPr="00A20381">
        <w:rPr>
          <w:i/>
          <w:sz w:val="20"/>
        </w:rPr>
        <w:t>2</w:t>
      </w:r>
      <w:r w:rsidRPr="00A20381">
        <w:rPr>
          <w:sz w:val="20"/>
        </w:rPr>
        <w:t>.</w:t>
      </w:r>
    </w:p>
    <w:p w:rsidR="000377FF" w:rsidRPr="008767EA" w:rsidRDefault="000377FF" w:rsidP="001A4FB4">
      <w:pPr>
        <w:pStyle w:val="Corpotesto"/>
        <w:spacing w:before="3" w:line="360" w:lineRule="auto"/>
        <w:jc w:val="both"/>
      </w:pPr>
    </w:p>
    <w:p w:rsidR="000377FF" w:rsidRPr="00A20381" w:rsidRDefault="00E85B85" w:rsidP="001A4FB4">
      <w:pPr>
        <w:spacing w:line="360" w:lineRule="auto"/>
        <w:ind w:left="113"/>
        <w:jc w:val="both"/>
        <w:rPr>
          <w:i/>
          <w:sz w:val="20"/>
        </w:rPr>
      </w:pPr>
      <w:r w:rsidRPr="00A20381">
        <w:rPr>
          <w:b/>
          <w:w w:val="105"/>
          <w:sz w:val="20"/>
        </w:rPr>
        <w:t xml:space="preserve">Table 2 </w:t>
      </w:r>
      <w:r w:rsidRPr="00A20381">
        <w:rPr>
          <w:w w:val="105"/>
          <w:sz w:val="20"/>
        </w:rPr>
        <w:t xml:space="preserve">- </w:t>
      </w:r>
      <w:r w:rsidRPr="00A20381">
        <w:rPr>
          <w:i/>
          <w:w w:val="105"/>
          <w:sz w:val="20"/>
        </w:rPr>
        <w:t xml:space="preserve">Augmented Dickey-Fuller </w:t>
      </w:r>
      <w:r w:rsidR="003A69CF" w:rsidRPr="00A20381">
        <w:rPr>
          <w:i/>
          <w:w w:val="105"/>
          <w:sz w:val="20"/>
        </w:rPr>
        <w:t>Test:</w:t>
      </w:r>
      <w:r w:rsidRPr="00A20381">
        <w:rPr>
          <w:w w:val="105"/>
          <w:sz w:val="20"/>
        </w:rPr>
        <w:t xml:space="preserve"> period </w:t>
      </w:r>
      <w:r w:rsidRPr="00A20381">
        <w:rPr>
          <w:i/>
          <w:w w:val="105"/>
          <w:sz w:val="20"/>
        </w:rPr>
        <w:t>2007-10</w:t>
      </w:r>
    </w:p>
    <w:p w:rsidR="000377FF" w:rsidRPr="00A20381" w:rsidRDefault="000377FF" w:rsidP="001A4FB4">
      <w:pPr>
        <w:pStyle w:val="Corpotesto"/>
        <w:spacing w:after="1" w:line="360" w:lineRule="auto"/>
        <w:jc w:val="both"/>
        <w:rPr>
          <w:i/>
          <w:sz w:val="10"/>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1"/>
        <w:gridCol w:w="1103"/>
        <w:gridCol w:w="881"/>
      </w:tblGrid>
      <w:tr w:rsidR="000377FF" w:rsidRPr="00A20381">
        <w:trPr>
          <w:trHeight w:val="396"/>
        </w:trPr>
        <w:tc>
          <w:tcPr>
            <w:tcW w:w="2895" w:type="dxa"/>
            <w:gridSpan w:val="3"/>
          </w:tcPr>
          <w:p w:rsidR="000377FF" w:rsidRPr="00A20381" w:rsidRDefault="00E85B85" w:rsidP="001A4FB4">
            <w:pPr>
              <w:pStyle w:val="TableParagraph"/>
              <w:spacing w:before="93" w:line="360" w:lineRule="auto"/>
              <w:ind w:left="122"/>
              <w:jc w:val="both"/>
              <w:rPr>
                <w:i/>
                <w:sz w:val="20"/>
              </w:rPr>
            </w:pPr>
            <w:r w:rsidRPr="00A20381">
              <w:rPr>
                <w:i/>
                <w:w w:val="105"/>
                <w:sz w:val="20"/>
              </w:rPr>
              <w:t>Augmented Dickey-Fuller Test</w:t>
            </w:r>
          </w:p>
        </w:tc>
      </w:tr>
      <w:tr w:rsidR="000377FF" w:rsidRPr="00A20381">
        <w:trPr>
          <w:trHeight w:val="396"/>
        </w:trPr>
        <w:tc>
          <w:tcPr>
            <w:tcW w:w="2895" w:type="dxa"/>
            <w:gridSpan w:val="3"/>
          </w:tcPr>
          <w:p w:rsidR="000377FF" w:rsidRPr="00A20381" w:rsidRDefault="00E85B85" w:rsidP="001A4FB4">
            <w:pPr>
              <w:pStyle w:val="TableParagraph"/>
              <w:spacing w:line="360" w:lineRule="auto"/>
              <w:ind w:left="997" w:right="989"/>
              <w:jc w:val="both"/>
              <w:rPr>
                <w:sz w:val="20"/>
              </w:rPr>
            </w:pPr>
            <w:r w:rsidRPr="00A20381">
              <w:rPr>
                <w:sz w:val="20"/>
              </w:rPr>
              <w:t>Residuals</w:t>
            </w:r>
          </w:p>
        </w:tc>
      </w:tr>
      <w:tr w:rsidR="000377FF" w:rsidRPr="00A20381">
        <w:trPr>
          <w:trHeight w:val="410"/>
        </w:trPr>
        <w:tc>
          <w:tcPr>
            <w:tcW w:w="911" w:type="dxa"/>
            <w:tcBorders>
              <w:bottom w:val="double" w:sz="1" w:space="0" w:color="000000"/>
            </w:tcBorders>
          </w:tcPr>
          <w:p w:rsidR="000377FF" w:rsidRPr="00A20381" w:rsidRDefault="00E85B85" w:rsidP="001A4FB4">
            <w:pPr>
              <w:pStyle w:val="TableParagraph"/>
              <w:spacing w:before="93" w:line="360" w:lineRule="auto"/>
              <w:ind w:left="83" w:right="93"/>
              <w:jc w:val="both"/>
              <w:rPr>
                <w:i/>
                <w:sz w:val="20"/>
              </w:rPr>
            </w:pPr>
            <w:r w:rsidRPr="00A20381">
              <w:rPr>
                <w:i/>
                <w:w w:val="110"/>
                <w:sz w:val="20"/>
              </w:rPr>
              <w:t>Period</w:t>
            </w:r>
          </w:p>
        </w:tc>
        <w:tc>
          <w:tcPr>
            <w:tcW w:w="1103" w:type="dxa"/>
            <w:tcBorders>
              <w:bottom w:val="double" w:sz="1" w:space="0" w:color="000000"/>
            </w:tcBorders>
          </w:tcPr>
          <w:p w:rsidR="000377FF" w:rsidRPr="00A20381" w:rsidRDefault="00E85B85" w:rsidP="001A4FB4">
            <w:pPr>
              <w:pStyle w:val="TableParagraph"/>
              <w:spacing w:before="93" w:line="360" w:lineRule="auto"/>
              <w:ind w:left="104" w:right="104"/>
              <w:jc w:val="both"/>
              <w:rPr>
                <w:i/>
                <w:sz w:val="20"/>
              </w:rPr>
            </w:pPr>
            <w:r w:rsidRPr="00A20381">
              <w:rPr>
                <w:i/>
                <w:w w:val="105"/>
                <w:sz w:val="20"/>
              </w:rPr>
              <w:t>t-Statistic</w:t>
            </w:r>
          </w:p>
        </w:tc>
        <w:tc>
          <w:tcPr>
            <w:tcW w:w="881" w:type="dxa"/>
            <w:tcBorders>
              <w:bottom w:val="double" w:sz="1" w:space="0" w:color="000000"/>
            </w:tcBorders>
          </w:tcPr>
          <w:p w:rsidR="000377FF" w:rsidRPr="00A20381" w:rsidRDefault="00E85B85" w:rsidP="001A4FB4">
            <w:pPr>
              <w:pStyle w:val="TableParagraph"/>
              <w:spacing w:before="39" w:line="360" w:lineRule="auto"/>
              <w:ind w:left="129" w:right="129"/>
              <w:jc w:val="both"/>
              <w:rPr>
                <w:i/>
                <w:sz w:val="20"/>
              </w:rPr>
            </w:pPr>
            <w:r w:rsidRPr="00A20381">
              <w:rPr>
                <w:i/>
                <w:sz w:val="20"/>
              </w:rPr>
              <w:t>Prob.</w:t>
            </w:r>
            <w:r w:rsidRPr="00A20381">
              <w:rPr>
                <w:rFonts w:ascii="Cambria Math" w:hAnsi="Cambria Math" w:cs="Cambria Math"/>
                <w:i/>
                <w:sz w:val="20"/>
                <w:vertAlign w:val="superscript"/>
              </w:rPr>
              <w:t>∗</w:t>
            </w:r>
          </w:p>
        </w:tc>
      </w:tr>
      <w:tr w:rsidR="000377FF" w:rsidRPr="00A20381">
        <w:trPr>
          <w:trHeight w:val="410"/>
        </w:trPr>
        <w:tc>
          <w:tcPr>
            <w:tcW w:w="911" w:type="dxa"/>
            <w:tcBorders>
              <w:top w:val="double" w:sz="1" w:space="0" w:color="000000"/>
            </w:tcBorders>
          </w:tcPr>
          <w:p w:rsidR="000377FF" w:rsidRPr="00A20381" w:rsidRDefault="00E85B85" w:rsidP="001A4FB4">
            <w:pPr>
              <w:pStyle w:val="TableParagraph"/>
              <w:spacing w:before="100" w:line="360" w:lineRule="auto"/>
              <w:ind w:left="101" w:right="93"/>
              <w:jc w:val="both"/>
              <w:rPr>
                <w:sz w:val="20"/>
              </w:rPr>
            </w:pPr>
            <w:r w:rsidRPr="00A20381">
              <w:rPr>
                <w:sz w:val="20"/>
              </w:rPr>
              <w:t>2007-10</w:t>
            </w:r>
          </w:p>
        </w:tc>
        <w:tc>
          <w:tcPr>
            <w:tcW w:w="1103" w:type="dxa"/>
            <w:tcBorders>
              <w:top w:val="double" w:sz="1" w:space="0" w:color="000000"/>
            </w:tcBorders>
          </w:tcPr>
          <w:p w:rsidR="000377FF" w:rsidRPr="00A20381" w:rsidRDefault="00E85B85" w:rsidP="001A4FB4">
            <w:pPr>
              <w:pStyle w:val="TableParagraph"/>
              <w:spacing w:before="100" w:line="360" w:lineRule="auto"/>
              <w:ind w:left="104" w:right="95"/>
              <w:jc w:val="both"/>
              <w:rPr>
                <w:sz w:val="20"/>
              </w:rPr>
            </w:pPr>
            <w:r w:rsidRPr="00A20381">
              <w:rPr>
                <w:sz w:val="20"/>
              </w:rPr>
              <w:t>-4.183509</w:t>
            </w:r>
          </w:p>
        </w:tc>
        <w:tc>
          <w:tcPr>
            <w:tcW w:w="881" w:type="dxa"/>
            <w:tcBorders>
              <w:top w:val="double" w:sz="1" w:space="0" w:color="000000"/>
            </w:tcBorders>
          </w:tcPr>
          <w:p w:rsidR="000377FF" w:rsidRPr="00A20381" w:rsidRDefault="00E85B85" w:rsidP="001A4FB4">
            <w:pPr>
              <w:pStyle w:val="TableParagraph"/>
              <w:spacing w:before="100" w:line="360" w:lineRule="auto"/>
              <w:ind w:left="129" w:right="120"/>
              <w:jc w:val="both"/>
              <w:rPr>
                <w:sz w:val="20"/>
              </w:rPr>
            </w:pPr>
            <w:r w:rsidRPr="00A20381">
              <w:rPr>
                <w:sz w:val="20"/>
              </w:rPr>
              <w:t>0.0049</w:t>
            </w:r>
          </w:p>
        </w:tc>
      </w:tr>
    </w:tbl>
    <w:p w:rsidR="000377FF" w:rsidRPr="008767EA" w:rsidRDefault="000377FF" w:rsidP="001A4FB4">
      <w:pPr>
        <w:pStyle w:val="Corpotesto"/>
        <w:spacing w:before="9" w:line="360" w:lineRule="auto"/>
        <w:jc w:val="both"/>
      </w:pPr>
    </w:p>
    <w:p w:rsidR="000377FF" w:rsidRPr="00A20381" w:rsidRDefault="00E85B85" w:rsidP="001A4FB4">
      <w:pPr>
        <w:pStyle w:val="Corpotesto"/>
        <w:spacing w:line="360" w:lineRule="auto"/>
        <w:ind w:left="113"/>
        <w:jc w:val="both"/>
      </w:pPr>
      <w:r w:rsidRPr="00A20381">
        <w:rPr>
          <w:i/>
        </w:rPr>
        <w:t>Source</w:t>
      </w:r>
      <w:r w:rsidR="003A69CF">
        <w:t>: author</w:t>
      </w:r>
      <w:r w:rsidRPr="00A20381">
        <w:t>s</w:t>
      </w:r>
      <w:r w:rsidR="003A69CF">
        <w:t>’</w:t>
      </w:r>
      <w:r w:rsidRPr="00A20381">
        <w:t xml:space="preserve"> own calculations in </w:t>
      </w:r>
      <w:proofErr w:type="spellStart"/>
      <w:r w:rsidRPr="00A20381">
        <w:t>Eviews</w:t>
      </w:r>
      <w:proofErr w:type="spellEnd"/>
      <w:r w:rsidRPr="00A20381">
        <w:t xml:space="preserve"> 10</w:t>
      </w:r>
      <w:r w:rsidR="00A6518A">
        <w:t xml:space="preserve"> based on Bloomberg data.</w:t>
      </w:r>
    </w:p>
    <w:p w:rsidR="000377FF" w:rsidRPr="00A20381" w:rsidRDefault="000377FF" w:rsidP="001A4FB4">
      <w:pPr>
        <w:pStyle w:val="Corpotesto"/>
        <w:spacing w:before="2" w:line="360" w:lineRule="auto"/>
        <w:jc w:val="both"/>
      </w:pPr>
    </w:p>
    <w:p w:rsidR="000377FF" w:rsidRPr="00A20381" w:rsidRDefault="00E85B85" w:rsidP="001A4FB4">
      <w:pPr>
        <w:pStyle w:val="Corpotesto"/>
        <w:spacing w:line="360" w:lineRule="auto"/>
        <w:ind w:left="113" w:right="111"/>
        <w:jc w:val="both"/>
      </w:pPr>
      <w:r w:rsidRPr="00A20381">
        <w:t xml:space="preserve">As suggested </w:t>
      </w:r>
      <w:r w:rsidRPr="00A20381">
        <w:rPr>
          <w:spacing w:val="-3"/>
        </w:rPr>
        <w:t xml:space="preserve">by </w:t>
      </w:r>
      <w:r w:rsidR="00CC774A" w:rsidRPr="00A20381">
        <w:t xml:space="preserve">the test, </w:t>
      </w:r>
      <w:r w:rsidRPr="00A20381">
        <w:t xml:space="preserve">the </w:t>
      </w:r>
      <w:r w:rsidR="00CC774A" w:rsidRPr="00A20381">
        <w:rPr>
          <w:spacing w:val="-4"/>
        </w:rPr>
        <w:t>two</w:t>
      </w:r>
      <w:r w:rsidRPr="00A20381">
        <w:rPr>
          <w:spacing w:val="-4"/>
        </w:rPr>
        <w:t xml:space="preserve"> </w:t>
      </w:r>
      <w:r w:rsidR="00CC774A" w:rsidRPr="00A20381">
        <w:t xml:space="preserve">series are </w:t>
      </w:r>
      <w:proofErr w:type="spellStart"/>
      <w:r w:rsidR="00CC774A" w:rsidRPr="00A20381">
        <w:t>cointegrated</w:t>
      </w:r>
      <w:proofErr w:type="spellEnd"/>
      <w:r w:rsidR="00CC774A" w:rsidRPr="00A20381">
        <w:t xml:space="preserve">. Therefore, </w:t>
      </w:r>
      <w:r w:rsidRPr="00A20381">
        <w:t xml:space="preserve">it is possible to realize </w:t>
      </w:r>
      <w:r w:rsidR="00CC774A" w:rsidRPr="00A20381">
        <w:t>the second</w:t>
      </w:r>
      <w:r w:rsidR="00CC774A" w:rsidRPr="00A20381">
        <w:rPr>
          <w:spacing w:val="-4"/>
        </w:rPr>
        <w:t xml:space="preserve"> stage</w:t>
      </w:r>
      <w:r w:rsidR="00CC774A" w:rsidRPr="00A20381">
        <w:t xml:space="preserve"> of</w:t>
      </w:r>
      <w:r w:rsidRPr="00A20381">
        <w:t xml:space="preserve"> the analysis and estimate the </w:t>
      </w:r>
      <w:r w:rsidRPr="00A20381">
        <w:rPr>
          <w:i/>
        </w:rPr>
        <w:t xml:space="preserve">VECM </w:t>
      </w:r>
      <w:r w:rsidRPr="00A20381">
        <w:t xml:space="preserve">in order to assess which market contributes to the adjustment process </w:t>
      </w:r>
      <w:r w:rsidRPr="00A20381">
        <w:rPr>
          <w:spacing w:val="-3"/>
        </w:rPr>
        <w:t>toward</w:t>
      </w:r>
      <w:r w:rsidRPr="00A20381">
        <w:rPr>
          <w:spacing w:val="-28"/>
        </w:rPr>
        <w:t xml:space="preserve"> </w:t>
      </w:r>
      <w:r w:rsidRPr="00A20381">
        <w:t>the</w:t>
      </w:r>
      <w:r w:rsidRPr="00A20381">
        <w:rPr>
          <w:spacing w:val="-28"/>
        </w:rPr>
        <w:t xml:space="preserve"> </w:t>
      </w:r>
      <w:r w:rsidRPr="00A20381">
        <w:t>long</w:t>
      </w:r>
      <w:r w:rsidR="00761B7C" w:rsidRPr="00761B7C">
        <w:t>-term</w:t>
      </w:r>
      <w:r w:rsidRPr="00A20381">
        <w:rPr>
          <w:spacing w:val="-28"/>
        </w:rPr>
        <w:t xml:space="preserve"> </w:t>
      </w:r>
      <w:r w:rsidRPr="00A20381">
        <w:t>equilibrium</w:t>
      </w:r>
      <w:r w:rsidRPr="00A20381">
        <w:rPr>
          <w:spacing w:val="-27"/>
        </w:rPr>
        <w:t xml:space="preserve"> </w:t>
      </w:r>
      <w:r w:rsidRPr="00A20381">
        <w:t>and</w:t>
      </w:r>
      <w:r w:rsidRPr="00A20381">
        <w:rPr>
          <w:spacing w:val="-27"/>
        </w:rPr>
        <w:t xml:space="preserve"> </w:t>
      </w:r>
      <w:r w:rsidRPr="00A20381">
        <w:t>which</w:t>
      </w:r>
      <w:r w:rsidRPr="00A20381">
        <w:rPr>
          <w:spacing w:val="-28"/>
        </w:rPr>
        <w:t xml:space="preserve"> </w:t>
      </w:r>
      <w:r w:rsidRPr="00A20381">
        <w:t>one</w:t>
      </w:r>
      <w:r w:rsidRPr="00A20381">
        <w:rPr>
          <w:spacing w:val="-27"/>
        </w:rPr>
        <w:t xml:space="preserve"> </w:t>
      </w:r>
      <w:r w:rsidRPr="00A20381">
        <w:t>is</w:t>
      </w:r>
      <w:r w:rsidRPr="00A20381">
        <w:rPr>
          <w:spacing w:val="-28"/>
        </w:rPr>
        <w:t xml:space="preserve"> </w:t>
      </w:r>
      <w:r w:rsidRPr="00A20381">
        <w:t>“the</w:t>
      </w:r>
      <w:r w:rsidRPr="00A20381">
        <w:rPr>
          <w:spacing w:val="-27"/>
        </w:rPr>
        <w:t xml:space="preserve"> </w:t>
      </w:r>
      <w:r w:rsidRPr="00A20381">
        <w:t>more</w:t>
      </w:r>
      <w:r w:rsidRPr="00A20381">
        <w:rPr>
          <w:spacing w:val="-28"/>
        </w:rPr>
        <w:t xml:space="preserve"> </w:t>
      </w:r>
      <w:r w:rsidRPr="00A20381">
        <w:t>efficient”</w:t>
      </w:r>
      <w:r w:rsidRPr="00A20381">
        <w:rPr>
          <w:spacing w:val="-20"/>
        </w:rPr>
        <w:t xml:space="preserve"> </w:t>
      </w:r>
      <w:r w:rsidRPr="00A20381">
        <w:t>in</w:t>
      </w:r>
      <w:r w:rsidRPr="00A20381">
        <w:rPr>
          <w:spacing w:val="-28"/>
        </w:rPr>
        <w:t xml:space="preserve"> </w:t>
      </w:r>
      <w:r w:rsidRPr="00A20381">
        <w:t>incorporating</w:t>
      </w:r>
      <w:r w:rsidRPr="00A20381">
        <w:rPr>
          <w:spacing w:val="-28"/>
        </w:rPr>
        <w:t xml:space="preserve"> </w:t>
      </w:r>
      <w:r w:rsidRPr="00A20381">
        <w:t>more</w:t>
      </w:r>
      <w:r w:rsidRPr="00A20381">
        <w:rPr>
          <w:spacing w:val="-27"/>
        </w:rPr>
        <w:t xml:space="preserve"> </w:t>
      </w:r>
      <w:r w:rsidRPr="00A20381">
        <w:t>rapidly</w:t>
      </w:r>
      <w:r w:rsidRPr="00A20381">
        <w:rPr>
          <w:spacing w:val="-27"/>
        </w:rPr>
        <w:t xml:space="preserve"> </w:t>
      </w:r>
      <w:r w:rsidRPr="00A20381">
        <w:t>the</w:t>
      </w:r>
      <w:r w:rsidRPr="00A20381">
        <w:rPr>
          <w:spacing w:val="-28"/>
        </w:rPr>
        <w:t xml:space="preserve"> </w:t>
      </w:r>
      <w:r w:rsidRPr="00A20381">
        <w:t xml:space="preserve">sovereign credit risk information. The </w:t>
      </w:r>
      <w:r w:rsidRPr="00A20381">
        <w:rPr>
          <w:i/>
        </w:rPr>
        <w:t xml:space="preserve">VECM </w:t>
      </w:r>
      <w:r w:rsidRPr="00A20381">
        <w:t xml:space="preserve">estimation outputs are reported in the following </w:t>
      </w:r>
      <w:r w:rsidRPr="00A20381">
        <w:rPr>
          <w:i/>
          <w:spacing w:val="-4"/>
        </w:rPr>
        <w:t xml:space="preserve">Table </w:t>
      </w:r>
      <w:r w:rsidRPr="00A20381">
        <w:rPr>
          <w:i/>
        </w:rPr>
        <w:t xml:space="preserve">3 </w:t>
      </w:r>
      <w:r w:rsidRPr="00A20381">
        <w:rPr>
          <w:spacing w:val="4"/>
        </w:rPr>
        <w:t>(</w:t>
      </w:r>
      <w:r w:rsidRPr="00A20381">
        <w:rPr>
          <w:i/>
          <w:spacing w:val="4"/>
        </w:rPr>
        <w:t>a</w:t>
      </w:r>
      <w:r w:rsidRPr="00A20381">
        <w:rPr>
          <w:spacing w:val="4"/>
        </w:rPr>
        <w:t xml:space="preserve">) </w:t>
      </w:r>
      <w:r w:rsidRPr="00A20381">
        <w:t xml:space="preserve">and </w:t>
      </w:r>
      <w:r w:rsidRPr="00A20381">
        <w:rPr>
          <w:i/>
          <w:spacing w:val="-4"/>
        </w:rPr>
        <w:t xml:space="preserve">Table </w:t>
      </w:r>
      <w:r w:rsidRPr="00A20381">
        <w:rPr>
          <w:i/>
        </w:rPr>
        <w:t>3</w:t>
      </w:r>
      <w:r w:rsidRPr="00A20381">
        <w:rPr>
          <w:i/>
          <w:spacing w:val="20"/>
        </w:rPr>
        <w:t xml:space="preserve"> </w:t>
      </w:r>
      <w:r w:rsidRPr="00A20381">
        <w:rPr>
          <w:spacing w:val="2"/>
        </w:rPr>
        <w:t>(</w:t>
      </w:r>
      <w:r w:rsidRPr="00A20381">
        <w:rPr>
          <w:i/>
          <w:spacing w:val="2"/>
        </w:rPr>
        <w:t>b</w:t>
      </w:r>
      <w:r w:rsidRPr="00A20381">
        <w:rPr>
          <w:spacing w:val="2"/>
        </w:rPr>
        <w:t>).</w:t>
      </w:r>
    </w:p>
    <w:p w:rsidR="000377FF" w:rsidRPr="008767EA" w:rsidRDefault="000377FF" w:rsidP="001A4FB4">
      <w:pPr>
        <w:pStyle w:val="Corpotesto"/>
        <w:spacing w:before="4" w:line="360" w:lineRule="auto"/>
        <w:jc w:val="both"/>
      </w:pPr>
    </w:p>
    <w:p w:rsidR="000377FF" w:rsidRPr="003A69CF" w:rsidRDefault="00E85B85" w:rsidP="001A4FB4">
      <w:pPr>
        <w:spacing w:before="1" w:line="360" w:lineRule="auto"/>
        <w:ind w:left="113"/>
        <w:jc w:val="both"/>
        <w:rPr>
          <w:i/>
          <w:sz w:val="20"/>
        </w:rPr>
      </w:pPr>
      <w:r w:rsidRPr="00A20381">
        <w:rPr>
          <w:b/>
          <w:sz w:val="20"/>
        </w:rPr>
        <w:t xml:space="preserve">Table 3 (a) </w:t>
      </w:r>
      <w:r w:rsidRPr="00A20381">
        <w:rPr>
          <w:sz w:val="20"/>
        </w:rPr>
        <w:t xml:space="preserve">- </w:t>
      </w:r>
      <w:r w:rsidR="00E74FF8" w:rsidRPr="00A20381">
        <w:rPr>
          <w:i/>
          <w:sz w:val="20"/>
        </w:rPr>
        <w:t>VECM:</w:t>
      </w:r>
      <w:r w:rsidRPr="00A20381">
        <w:rPr>
          <w:sz w:val="20"/>
        </w:rPr>
        <w:t xml:space="preserve"> dependent variable </w:t>
      </w:r>
      <w:r w:rsidR="00E74FF8" w:rsidRPr="00E74FF8">
        <w:rPr>
          <w:rFonts w:ascii="Calibri" w:hAnsi="Calibri"/>
          <w:sz w:val="20"/>
        </w:rPr>
        <w:t>Δ</w:t>
      </w:r>
      <w:r w:rsidRPr="00E74FF8">
        <w:rPr>
          <w:i/>
          <w:sz w:val="20"/>
        </w:rPr>
        <w:t>CDS</w:t>
      </w:r>
      <w:r w:rsidRPr="00A20381">
        <w:rPr>
          <w:i/>
          <w:sz w:val="20"/>
        </w:rPr>
        <w:t xml:space="preserve"> </w:t>
      </w:r>
      <w:r w:rsidRPr="00A20381">
        <w:rPr>
          <w:sz w:val="20"/>
        </w:rPr>
        <w:t xml:space="preserve">- period </w:t>
      </w:r>
      <w:r w:rsidRPr="00A20381">
        <w:rPr>
          <w:i/>
          <w:sz w:val="20"/>
        </w:rPr>
        <w:t>2007-10</w:t>
      </w:r>
    </w:p>
    <w:p w:rsidR="000377FF" w:rsidRPr="00A20381" w:rsidRDefault="000377FF" w:rsidP="001A4FB4">
      <w:pPr>
        <w:pStyle w:val="Corpotesto"/>
        <w:spacing w:line="360" w:lineRule="auto"/>
        <w:jc w:val="both"/>
        <w:rPr>
          <w:i/>
          <w:sz w:val="10"/>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3"/>
        <w:gridCol w:w="1309"/>
        <w:gridCol w:w="1303"/>
        <w:gridCol w:w="1237"/>
        <w:gridCol w:w="803"/>
      </w:tblGrid>
      <w:tr w:rsidR="000377FF" w:rsidRPr="00A20381">
        <w:trPr>
          <w:trHeight w:val="410"/>
        </w:trPr>
        <w:tc>
          <w:tcPr>
            <w:tcW w:w="543" w:type="dxa"/>
            <w:tcBorders>
              <w:bottom w:val="double" w:sz="1" w:space="0" w:color="000000"/>
            </w:tcBorders>
          </w:tcPr>
          <w:p w:rsidR="000377FF" w:rsidRPr="00A20381" w:rsidRDefault="000377FF" w:rsidP="001A4FB4">
            <w:pPr>
              <w:pStyle w:val="TableParagraph"/>
              <w:spacing w:before="0" w:line="360" w:lineRule="auto"/>
              <w:jc w:val="both"/>
              <w:rPr>
                <w:sz w:val="18"/>
              </w:rPr>
            </w:pPr>
          </w:p>
        </w:tc>
        <w:tc>
          <w:tcPr>
            <w:tcW w:w="1309" w:type="dxa"/>
            <w:tcBorders>
              <w:bottom w:val="double" w:sz="1" w:space="0" w:color="000000"/>
            </w:tcBorders>
          </w:tcPr>
          <w:p w:rsidR="000377FF" w:rsidRPr="00A20381" w:rsidRDefault="00E85B85" w:rsidP="001A4FB4">
            <w:pPr>
              <w:pStyle w:val="TableParagraph"/>
              <w:spacing w:before="94" w:line="360" w:lineRule="auto"/>
              <w:ind w:left="73" w:right="64"/>
              <w:jc w:val="both"/>
              <w:rPr>
                <w:b/>
                <w:sz w:val="20"/>
              </w:rPr>
            </w:pPr>
            <w:r w:rsidRPr="00A20381">
              <w:rPr>
                <w:b/>
                <w:sz w:val="20"/>
              </w:rPr>
              <w:t>Coefficient</w:t>
            </w:r>
          </w:p>
        </w:tc>
        <w:tc>
          <w:tcPr>
            <w:tcW w:w="1303" w:type="dxa"/>
            <w:tcBorders>
              <w:bottom w:val="double" w:sz="1" w:space="0" w:color="000000"/>
            </w:tcBorders>
          </w:tcPr>
          <w:p w:rsidR="000377FF" w:rsidRPr="00A20381" w:rsidRDefault="00E85B85" w:rsidP="001A4FB4">
            <w:pPr>
              <w:pStyle w:val="TableParagraph"/>
              <w:spacing w:before="94" w:line="360" w:lineRule="auto"/>
              <w:ind w:left="111" w:right="100"/>
              <w:jc w:val="both"/>
              <w:rPr>
                <w:b/>
                <w:sz w:val="20"/>
              </w:rPr>
            </w:pPr>
            <w:r w:rsidRPr="00A20381">
              <w:rPr>
                <w:b/>
                <w:sz w:val="20"/>
              </w:rPr>
              <w:t>Std. Error</w:t>
            </w:r>
          </w:p>
        </w:tc>
        <w:tc>
          <w:tcPr>
            <w:tcW w:w="1237" w:type="dxa"/>
            <w:tcBorders>
              <w:bottom w:val="double" w:sz="1" w:space="0" w:color="000000"/>
            </w:tcBorders>
          </w:tcPr>
          <w:p w:rsidR="000377FF" w:rsidRPr="00A20381" w:rsidRDefault="00E85B85" w:rsidP="001A4FB4">
            <w:pPr>
              <w:pStyle w:val="TableParagraph"/>
              <w:spacing w:before="94" w:line="360" w:lineRule="auto"/>
              <w:ind w:left="103" w:right="90"/>
              <w:jc w:val="both"/>
              <w:rPr>
                <w:b/>
                <w:sz w:val="20"/>
              </w:rPr>
            </w:pPr>
            <w:r w:rsidRPr="00A20381">
              <w:rPr>
                <w:b/>
                <w:sz w:val="20"/>
              </w:rPr>
              <w:t>t-Statistic</w:t>
            </w:r>
          </w:p>
        </w:tc>
        <w:tc>
          <w:tcPr>
            <w:tcW w:w="803" w:type="dxa"/>
            <w:tcBorders>
              <w:bottom w:val="double" w:sz="1" w:space="0" w:color="000000"/>
            </w:tcBorders>
          </w:tcPr>
          <w:p w:rsidR="000377FF" w:rsidRPr="00A20381" w:rsidRDefault="00E85B85" w:rsidP="001A4FB4">
            <w:pPr>
              <w:pStyle w:val="TableParagraph"/>
              <w:spacing w:before="94" w:line="360" w:lineRule="auto"/>
              <w:ind w:right="108"/>
              <w:jc w:val="both"/>
              <w:rPr>
                <w:b/>
                <w:sz w:val="20"/>
              </w:rPr>
            </w:pPr>
            <w:r w:rsidRPr="00A20381">
              <w:rPr>
                <w:b/>
                <w:w w:val="95"/>
                <w:sz w:val="20"/>
              </w:rPr>
              <w:t>Prob.</w:t>
            </w:r>
          </w:p>
        </w:tc>
      </w:tr>
      <w:tr w:rsidR="000377FF" w:rsidRPr="00A20381">
        <w:trPr>
          <w:trHeight w:val="410"/>
        </w:trPr>
        <w:tc>
          <w:tcPr>
            <w:tcW w:w="543" w:type="dxa"/>
            <w:tcBorders>
              <w:top w:val="double" w:sz="1" w:space="0" w:color="000000"/>
            </w:tcBorders>
          </w:tcPr>
          <w:p w:rsidR="000377FF" w:rsidRPr="00A20381" w:rsidRDefault="00E85B85" w:rsidP="001A4FB4">
            <w:pPr>
              <w:pStyle w:val="TableParagraph"/>
              <w:spacing w:before="108" w:line="360" w:lineRule="auto"/>
              <w:ind w:left="97" w:right="98"/>
              <w:jc w:val="both"/>
              <w:rPr>
                <w:sz w:val="14"/>
              </w:rPr>
            </w:pPr>
            <w:r w:rsidRPr="00A20381">
              <w:rPr>
                <w:i/>
                <w:position w:val="3"/>
                <w:sz w:val="20"/>
              </w:rPr>
              <w:t>β</w:t>
            </w:r>
            <w:r w:rsidRPr="00A20381">
              <w:rPr>
                <w:sz w:val="14"/>
              </w:rPr>
              <w:t>10</w:t>
            </w:r>
          </w:p>
        </w:tc>
        <w:tc>
          <w:tcPr>
            <w:tcW w:w="1309" w:type="dxa"/>
            <w:tcBorders>
              <w:top w:val="double" w:sz="1" w:space="0" w:color="000000"/>
            </w:tcBorders>
          </w:tcPr>
          <w:p w:rsidR="000377FF" w:rsidRPr="00A20381" w:rsidRDefault="00E85B85" w:rsidP="001A4FB4">
            <w:pPr>
              <w:pStyle w:val="TableParagraph"/>
              <w:spacing w:before="100" w:line="360" w:lineRule="auto"/>
              <w:ind w:left="73" w:right="64"/>
              <w:jc w:val="both"/>
              <w:rPr>
                <w:sz w:val="20"/>
              </w:rPr>
            </w:pPr>
            <w:r w:rsidRPr="00A20381">
              <w:rPr>
                <w:sz w:val="20"/>
              </w:rPr>
              <w:t>0.000749</w:t>
            </w:r>
          </w:p>
        </w:tc>
        <w:tc>
          <w:tcPr>
            <w:tcW w:w="1303" w:type="dxa"/>
            <w:tcBorders>
              <w:top w:val="double" w:sz="1" w:space="0" w:color="000000"/>
            </w:tcBorders>
          </w:tcPr>
          <w:p w:rsidR="000377FF" w:rsidRPr="00A20381" w:rsidRDefault="00E85B85" w:rsidP="001A4FB4">
            <w:pPr>
              <w:pStyle w:val="TableParagraph"/>
              <w:spacing w:before="100" w:line="360" w:lineRule="auto"/>
              <w:ind w:left="111" w:right="100"/>
              <w:jc w:val="both"/>
              <w:rPr>
                <w:sz w:val="20"/>
              </w:rPr>
            </w:pPr>
            <w:r w:rsidRPr="00A20381">
              <w:rPr>
                <w:sz w:val="20"/>
              </w:rPr>
              <w:t>0.001170</w:t>
            </w:r>
          </w:p>
        </w:tc>
        <w:tc>
          <w:tcPr>
            <w:tcW w:w="1237" w:type="dxa"/>
            <w:tcBorders>
              <w:top w:val="double" w:sz="1" w:space="0" w:color="000000"/>
            </w:tcBorders>
          </w:tcPr>
          <w:p w:rsidR="000377FF" w:rsidRPr="00A20381" w:rsidRDefault="00E85B85" w:rsidP="001A4FB4">
            <w:pPr>
              <w:pStyle w:val="TableParagraph"/>
              <w:spacing w:before="100" w:line="360" w:lineRule="auto"/>
              <w:ind w:left="103" w:right="90"/>
              <w:jc w:val="both"/>
              <w:rPr>
                <w:sz w:val="20"/>
              </w:rPr>
            </w:pPr>
            <w:r w:rsidRPr="00A20381">
              <w:rPr>
                <w:sz w:val="20"/>
              </w:rPr>
              <w:t>0.639985</w:t>
            </w:r>
          </w:p>
        </w:tc>
        <w:tc>
          <w:tcPr>
            <w:tcW w:w="803" w:type="dxa"/>
            <w:tcBorders>
              <w:top w:val="double" w:sz="1" w:space="0" w:color="000000"/>
            </w:tcBorders>
          </w:tcPr>
          <w:p w:rsidR="000377FF" w:rsidRPr="00A20381" w:rsidRDefault="00E85B85" w:rsidP="001A4FB4">
            <w:pPr>
              <w:pStyle w:val="TableParagraph"/>
              <w:spacing w:before="100" w:line="360" w:lineRule="auto"/>
              <w:ind w:right="110"/>
              <w:jc w:val="both"/>
              <w:rPr>
                <w:sz w:val="20"/>
              </w:rPr>
            </w:pPr>
            <w:r w:rsidRPr="00A20381">
              <w:rPr>
                <w:sz w:val="20"/>
              </w:rPr>
              <w:t>0.5224</w:t>
            </w:r>
          </w:p>
        </w:tc>
      </w:tr>
      <w:tr w:rsidR="000377FF" w:rsidRPr="00A20381">
        <w:trPr>
          <w:trHeight w:val="396"/>
        </w:trPr>
        <w:tc>
          <w:tcPr>
            <w:tcW w:w="543" w:type="dxa"/>
          </w:tcPr>
          <w:p w:rsidR="000377FF" w:rsidRPr="00A20381" w:rsidRDefault="00E85B85" w:rsidP="001A4FB4">
            <w:pPr>
              <w:pStyle w:val="TableParagraph"/>
              <w:spacing w:before="94" w:line="360" w:lineRule="auto"/>
              <w:ind w:left="97" w:right="98"/>
              <w:jc w:val="both"/>
              <w:rPr>
                <w:sz w:val="14"/>
              </w:rPr>
            </w:pPr>
            <w:r w:rsidRPr="00A20381">
              <w:rPr>
                <w:i/>
                <w:position w:val="3"/>
                <w:sz w:val="20"/>
              </w:rPr>
              <w:t>β</w:t>
            </w:r>
            <w:r w:rsidRPr="00A20381">
              <w:rPr>
                <w:sz w:val="14"/>
              </w:rPr>
              <w:t>11</w:t>
            </w:r>
          </w:p>
        </w:tc>
        <w:tc>
          <w:tcPr>
            <w:tcW w:w="1309" w:type="dxa"/>
          </w:tcPr>
          <w:p w:rsidR="000377FF" w:rsidRPr="00A20381" w:rsidRDefault="00E85B85" w:rsidP="001A4FB4">
            <w:pPr>
              <w:pStyle w:val="TableParagraph"/>
              <w:spacing w:line="360" w:lineRule="auto"/>
              <w:ind w:left="73" w:right="64"/>
              <w:jc w:val="both"/>
              <w:rPr>
                <w:sz w:val="20"/>
              </w:rPr>
            </w:pPr>
            <w:r w:rsidRPr="00A20381">
              <w:rPr>
                <w:sz w:val="20"/>
              </w:rPr>
              <w:t>0.063998</w:t>
            </w:r>
          </w:p>
        </w:tc>
        <w:tc>
          <w:tcPr>
            <w:tcW w:w="1303" w:type="dxa"/>
          </w:tcPr>
          <w:p w:rsidR="000377FF" w:rsidRPr="00A20381" w:rsidRDefault="00E85B85" w:rsidP="001A4FB4">
            <w:pPr>
              <w:pStyle w:val="TableParagraph"/>
              <w:spacing w:line="360" w:lineRule="auto"/>
              <w:ind w:left="111" w:right="100"/>
              <w:jc w:val="both"/>
              <w:rPr>
                <w:sz w:val="20"/>
              </w:rPr>
            </w:pPr>
            <w:r w:rsidRPr="00A20381">
              <w:rPr>
                <w:sz w:val="20"/>
              </w:rPr>
              <w:t>0.078157</w:t>
            </w:r>
          </w:p>
        </w:tc>
        <w:tc>
          <w:tcPr>
            <w:tcW w:w="1237" w:type="dxa"/>
          </w:tcPr>
          <w:p w:rsidR="000377FF" w:rsidRPr="00A20381" w:rsidRDefault="00E85B85" w:rsidP="001A4FB4">
            <w:pPr>
              <w:pStyle w:val="TableParagraph"/>
              <w:spacing w:line="360" w:lineRule="auto"/>
              <w:ind w:left="103" w:right="90"/>
              <w:jc w:val="both"/>
              <w:rPr>
                <w:sz w:val="20"/>
              </w:rPr>
            </w:pPr>
            <w:r w:rsidRPr="00A20381">
              <w:rPr>
                <w:sz w:val="20"/>
              </w:rPr>
              <w:t>0.818843</w:t>
            </w:r>
          </w:p>
        </w:tc>
        <w:tc>
          <w:tcPr>
            <w:tcW w:w="803" w:type="dxa"/>
          </w:tcPr>
          <w:p w:rsidR="000377FF" w:rsidRPr="00A20381" w:rsidRDefault="00E85B85" w:rsidP="001A4FB4">
            <w:pPr>
              <w:pStyle w:val="TableParagraph"/>
              <w:spacing w:line="360" w:lineRule="auto"/>
              <w:ind w:right="110"/>
              <w:jc w:val="both"/>
              <w:rPr>
                <w:sz w:val="20"/>
              </w:rPr>
            </w:pPr>
            <w:r w:rsidRPr="00A20381">
              <w:rPr>
                <w:sz w:val="20"/>
              </w:rPr>
              <w:t>0.4132</w:t>
            </w:r>
          </w:p>
        </w:tc>
      </w:tr>
      <w:tr w:rsidR="000377FF" w:rsidRPr="00A20381">
        <w:trPr>
          <w:trHeight w:val="396"/>
        </w:trPr>
        <w:tc>
          <w:tcPr>
            <w:tcW w:w="543" w:type="dxa"/>
          </w:tcPr>
          <w:p w:rsidR="000377FF" w:rsidRPr="00A20381" w:rsidRDefault="00E85B85" w:rsidP="001A4FB4">
            <w:pPr>
              <w:pStyle w:val="TableParagraph"/>
              <w:spacing w:before="94" w:line="360" w:lineRule="auto"/>
              <w:ind w:left="97" w:right="98"/>
              <w:jc w:val="both"/>
              <w:rPr>
                <w:sz w:val="14"/>
              </w:rPr>
            </w:pPr>
            <w:r w:rsidRPr="00A20381">
              <w:rPr>
                <w:i/>
                <w:position w:val="3"/>
                <w:sz w:val="20"/>
              </w:rPr>
              <w:t>β</w:t>
            </w:r>
            <w:r w:rsidRPr="00A20381">
              <w:rPr>
                <w:sz w:val="14"/>
              </w:rPr>
              <w:t>12</w:t>
            </w:r>
          </w:p>
        </w:tc>
        <w:tc>
          <w:tcPr>
            <w:tcW w:w="1309" w:type="dxa"/>
          </w:tcPr>
          <w:p w:rsidR="000377FF" w:rsidRPr="00A20381" w:rsidRDefault="00E85B85" w:rsidP="001A4FB4">
            <w:pPr>
              <w:pStyle w:val="TableParagraph"/>
              <w:spacing w:line="360" w:lineRule="auto"/>
              <w:ind w:left="73" w:right="64"/>
              <w:jc w:val="both"/>
              <w:rPr>
                <w:sz w:val="20"/>
              </w:rPr>
            </w:pPr>
            <w:r w:rsidRPr="00A20381">
              <w:rPr>
                <w:sz w:val="20"/>
              </w:rPr>
              <w:t>0.024382</w:t>
            </w:r>
          </w:p>
        </w:tc>
        <w:tc>
          <w:tcPr>
            <w:tcW w:w="1303" w:type="dxa"/>
          </w:tcPr>
          <w:p w:rsidR="000377FF" w:rsidRPr="00A20381" w:rsidRDefault="00E85B85" w:rsidP="001A4FB4">
            <w:pPr>
              <w:pStyle w:val="TableParagraph"/>
              <w:spacing w:line="360" w:lineRule="auto"/>
              <w:ind w:left="111" w:right="100"/>
              <w:jc w:val="both"/>
              <w:rPr>
                <w:sz w:val="20"/>
              </w:rPr>
            </w:pPr>
            <w:r w:rsidRPr="00A20381">
              <w:rPr>
                <w:sz w:val="20"/>
              </w:rPr>
              <w:t>0.071193</w:t>
            </w:r>
          </w:p>
        </w:tc>
        <w:tc>
          <w:tcPr>
            <w:tcW w:w="1237" w:type="dxa"/>
          </w:tcPr>
          <w:p w:rsidR="000377FF" w:rsidRPr="00A20381" w:rsidRDefault="00E85B85" w:rsidP="001A4FB4">
            <w:pPr>
              <w:pStyle w:val="TableParagraph"/>
              <w:spacing w:line="360" w:lineRule="auto"/>
              <w:ind w:left="103" w:right="90"/>
              <w:jc w:val="both"/>
              <w:rPr>
                <w:sz w:val="20"/>
              </w:rPr>
            </w:pPr>
            <w:r w:rsidRPr="00A20381">
              <w:rPr>
                <w:sz w:val="20"/>
              </w:rPr>
              <w:t>0.342479</w:t>
            </w:r>
          </w:p>
        </w:tc>
        <w:tc>
          <w:tcPr>
            <w:tcW w:w="803" w:type="dxa"/>
          </w:tcPr>
          <w:p w:rsidR="000377FF" w:rsidRPr="00A20381" w:rsidRDefault="00E85B85" w:rsidP="001A4FB4">
            <w:pPr>
              <w:pStyle w:val="TableParagraph"/>
              <w:spacing w:line="360" w:lineRule="auto"/>
              <w:ind w:right="110"/>
              <w:jc w:val="both"/>
              <w:rPr>
                <w:sz w:val="20"/>
              </w:rPr>
            </w:pPr>
            <w:r w:rsidRPr="00A20381">
              <w:rPr>
                <w:sz w:val="20"/>
              </w:rPr>
              <w:t>0.7321</w:t>
            </w:r>
          </w:p>
        </w:tc>
      </w:tr>
      <w:tr w:rsidR="000377FF" w:rsidRPr="00A20381">
        <w:trPr>
          <w:trHeight w:val="396"/>
        </w:trPr>
        <w:tc>
          <w:tcPr>
            <w:tcW w:w="543" w:type="dxa"/>
          </w:tcPr>
          <w:p w:rsidR="000377FF" w:rsidRPr="00A20381" w:rsidRDefault="00E85B85" w:rsidP="001A4FB4">
            <w:pPr>
              <w:pStyle w:val="TableParagraph"/>
              <w:spacing w:before="94" w:line="360" w:lineRule="auto"/>
              <w:ind w:left="97" w:right="98"/>
              <w:jc w:val="both"/>
              <w:rPr>
                <w:sz w:val="14"/>
              </w:rPr>
            </w:pPr>
            <w:r w:rsidRPr="00A20381">
              <w:rPr>
                <w:i/>
                <w:position w:val="3"/>
                <w:sz w:val="20"/>
              </w:rPr>
              <w:t>α</w:t>
            </w:r>
            <w:r w:rsidRPr="00A20381">
              <w:rPr>
                <w:sz w:val="14"/>
              </w:rPr>
              <w:t>11</w:t>
            </w:r>
          </w:p>
        </w:tc>
        <w:tc>
          <w:tcPr>
            <w:tcW w:w="1309" w:type="dxa"/>
          </w:tcPr>
          <w:p w:rsidR="000377FF" w:rsidRPr="00A20381" w:rsidRDefault="00E85B85" w:rsidP="001A4FB4">
            <w:pPr>
              <w:pStyle w:val="TableParagraph"/>
              <w:spacing w:before="39" w:line="360" w:lineRule="auto"/>
              <w:ind w:left="64" w:right="64"/>
              <w:jc w:val="both"/>
              <w:rPr>
                <w:i/>
                <w:sz w:val="20"/>
              </w:rPr>
            </w:pPr>
            <w:r w:rsidRPr="00A20381">
              <w:rPr>
                <w:sz w:val="20"/>
              </w:rPr>
              <w:t>0</w:t>
            </w:r>
            <w:r w:rsidRPr="00A20381">
              <w:rPr>
                <w:i/>
                <w:sz w:val="20"/>
              </w:rPr>
              <w:t>.</w:t>
            </w:r>
            <w:r w:rsidRPr="00A20381">
              <w:rPr>
                <w:sz w:val="20"/>
              </w:rPr>
              <w:t>165030</w:t>
            </w:r>
            <w:r w:rsidRPr="00A20381">
              <w:rPr>
                <w:rFonts w:ascii="Cambria Math" w:hAnsi="Cambria Math" w:cs="Cambria Math"/>
                <w:i/>
                <w:sz w:val="20"/>
                <w:vertAlign w:val="superscript"/>
              </w:rPr>
              <w:t>∗∗∗</w:t>
            </w:r>
          </w:p>
        </w:tc>
        <w:tc>
          <w:tcPr>
            <w:tcW w:w="1303" w:type="dxa"/>
          </w:tcPr>
          <w:p w:rsidR="000377FF" w:rsidRPr="00A20381" w:rsidRDefault="00E85B85" w:rsidP="001A4FB4">
            <w:pPr>
              <w:pStyle w:val="TableParagraph"/>
              <w:spacing w:line="360" w:lineRule="auto"/>
              <w:ind w:left="111" w:right="100"/>
              <w:jc w:val="both"/>
              <w:rPr>
                <w:sz w:val="20"/>
              </w:rPr>
            </w:pPr>
            <w:r w:rsidRPr="00A20381">
              <w:rPr>
                <w:sz w:val="20"/>
              </w:rPr>
              <w:t>0.059933</w:t>
            </w:r>
          </w:p>
        </w:tc>
        <w:tc>
          <w:tcPr>
            <w:tcW w:w="1237" w:type="dxa"/>
          </w:tcPr>
          <w:p w:rsidR="000377FF" w:rsidRPr="00A20381" w:rsidRDefault="00E85B85" w:rsidP="001A4FB4">
            <w:pPr>
              <w:pStyle w:val="TableParagraph"/>
              <w:spacing w:line="360" w:lineRule="auto"/>
              <w:ind w:left="103" w:right="90"/>
              <w:jc w:val="both"/>
              <w:rPr>
                <w:sz w:val="20"/>
              </w:rPr>
            </w:pPr>
            <w:r w:rsidRPr="00A20381">
              <w:rPr>
                <w:sz w:val="20"/>
              </w:rPr>
              <w:t>2.753558</w:t>
            </w:r>
          </w:p>
        </w:tc>
        <w:tc>
          <w:tcPr>
            <w:tcW w:w="803" w:type="dxa"/>
          </w:tcPr>
          <w:p w:rsidR="000377FF" w:rsidRPr="00A20381" w:rsidRDefault="00E85B85" w:rsidP="001A4FB4">
            <w:pPr>
              <w:pStyle w:val="TableParagraph"/>
              <w:spacing w:line="360" w:lineRule="auto"/>
              <w:ind w:right="110"/>
              <w:jc w:val="both"/>
              <w:rPr>
                <w:sz w:val="20"/>
              </w:rPr>
            </w:pPr>
            <w:r w:rsidRPr="00A20381">
              <w:rPr>
                <w:sz w:val="20"/>
              </w:rPr>
              <w:t>0.0060</w:t>
            </w:r>
          </w:p>
        </w:tc>
      </w:tr>
      <w:tr w:rsidR="000377FF" w:rsidRPr="00A20381">
        <w:trPr>
          <w:trHeight w:val="396"/>
        </w:trPr>
        <w:tc>
          <w:tcPr>
            <w:tcW w:w="543" w:type="dxa"/>
          </w:tcPr>
          <w:p w:rsidR="000377FF" w:rsidRPr="00A20381" w:rsidRDefault="00E85B85" w:rsidP="001A4FB4">
            <w:pPr>
              <w:pStyle w:val="TableParagraph"/>
              <w:spacing w:before="94" w:line="360" w:lineRule="auto"/>
              <w:ind w:left="97" w:right="98"/>
              <w:jc w:val="both"/>
              <w:rPr>
                <w:sz w:val="14"/>
              </w:rPr>
            </w:pPr>
            <w:r w:rsidRPr="00A20381">
              <w:rPr>
                <w:i/>
                <w:position w:val="3"/>
                <w:sz w:val="20"/>
              </w:rPr>
              <w:t>α</w:t>
            </w:r>
            <w:r w:rsidRPr="00A20381">
              <w:rPr>
                <w:sz w:val="14"/>
              </w:rPr>
              <w:t>12</w:t>
            </w:r>
          </w:p>
        </w:tc>
        <w:tc>
          <w:tcPr>
            <w:tcW w:w="1309" w:type="dxa"/>
          </w:tcPr>
          <w:p w:rsidR="000377FF" w:rsidRPr="00A20381" w:rsidRDefault="00E85B85" w:rsidP="001A4FB4">
            <w:pPr>
              <w:pStyle w:val="TableParagraph"/>
              <w:spacing w:line="360" w:lineRule="auto"/>
              <w:ind w:left="73" w:right="63"/>
              <w:jc w:val="both"/>
              <w:rPr>
                <w:sz w:val="20"/>
              </w:rPr>
            </w:pPr>
            <w:r w:rsidRPr="00A20381">
              <w:rPr>
                <w:sz w:val="20"/>
              </w:rPr>
              <w:t>-0.017265</w:t>
            </w:r>
          </w:p>
        </w:tc>
        <w:tc>
          <w:tcPr>
            <w:tcW w:w="1303" w:type="dxa"/>
          </w:tcPr>
          <w:p w:rsidR="000377FF" w:rsidRPr="00A20381" w:rsidRDefault="00E85B85" w:rsidP="001A4FB4">
            <w:pPr>
              <w:pStyle w:val="TableParagraph"/>
              <w:spacing w:line="360" w:lineRule="auto"/>
              <w:ind w:left="111" w:right="100"/>
              <w:jc w:val="both"/>
              <w:rPr>
                <w:sz w:val="20"/>
              </w:rPr>
            </w:pPr>
            <w:r w:rsidRPr="00A20381">
              <w:rPr>
                <w:sz w:val="20"/>
              </w:rPr>
              <w:t>0.054450</w:t>
            </w:r>
          </w:p>
        </w:tc>
        <w:tc>
          <w:tcPr>
            <w:tcW w:w="1237" w:type="dxa"/>
          </w:tcPr>
          <w:p w:rsidR="000377FF" w:rsidRPr="00A20381" w:rsidRDefault="00E85B85" w:rsidP="001A4FB4">
            <w:pPr>
              <w:pStyle w:val="TableParagraph"/>
              <w:spacing w:line="360" w:lineRule="auto"/>
              <w:ind w:left="103" w:right="89"/>
              <w:jc w:val="both"/>
              <w:rPr>
                <w:sz w:val="20"/>
              </w:rPr>
            </w:pPr>
            <w:r w:rsidRPr="00A20381">
              <w:rPr>
                <w:sz w:val="20"/>
              </w:rPr>
              <w:t>-0.317088</w:t>
            </w:r>
          </w:p>
        </w:tc>
        <w:tc>
          <w:tcPr>
            <w:tcW w:w="803" w:type="dxa"/>
          </w:tcPr>
          <w:p w:rsidR="000377FF" w:rsidRPr="00A20381" w:rsidRDefault="00E85B85" w:rsidP="001A4FB4">
            <w:pPr>
              <w:pStyle w:val="TableParagraph"/>
              <w:spacing w:line="360" w:lineRule="auto"/>
              <w:ind w:right="110"/>
              <w:jc w:val="both"/>
              <w:rPr>
                <w:sz w:val="20"/>
              </w:rPr>
            </w:pPr>
            <w:r w:rsidRPr="00A20381">
              <w:rPr>
                <w:sz w:val="20"/>
              </w:rPr>
              <w:t>0.7513</w:t>
            </w:r>
          </w:p>
        </w:tc>
      </w:tr>
      <w:tr w:rsidR="000377FF" w:rsidRPr="00A20381">
        <w:trPr>
          <w:trHeight w:val="396"/>
        </w:trPr>
        <w:tc>
          <w:tcPr>
            <w:tcW w:w="543" w:type="dxa"/>
          </w:tcPr>
          <w:p w:rsidR="000377FF" w:rsidRPr="00A20381" w:rsidRDefault="00E85B85" w:rsidP="001A4FB4">
            <w:pPr>
              <w:pStyle w:val="TableParagraph"/>
              <w:spacing w:before="77" w:line="360" w:lineRule="auto"/>
              <w:ind w:left="97" w:right="98"/>
              <w:jc w:val="both"/>
              <w:rPr>
                <w:sz w:val="20"/>
              </w:rPr>
            </w:pPr>
            <w:r w:rsidRPr="00A20381">
              <w:rPr>
                <w:i/>
                <w:sz w:val="20"/>
              </w:rPr>
              <w:t>λ</w:t>
            </w:r>
            <w:r w:rsidRPr="00A20381">
              <w:rPr>
                <w:sz w:val="20"/>
                <w:vertAlign w:val="subscript"/>
              </w:rPr>
              <w:t>1</w:t>
            </w:r>
          </w:p>
        </w:tc>
        <w:tc>
          <w:tcPr>
            <w:tcW w:w="1309" w:type="dxa"/>
          </w:tcPr>
          <w:p w:rsidR="000377FF" w:rsidRPr="00A20381" w:rsidRDefault="00E85B85" w:rsidP="001A4FB4">
            <w:pPr>
              <w:pStyle w:val="TableParagraph"/>
              <w:spacing w:line="360" w:lineRule="auto"/>
              <w:ind w:left="73" w:right="63"/>
              <w:jc w:val="both"/>
              <w:rPr>
                <w:sz w:val="20"/>
              </w:rPr>
            </w:pPr>
            <w:r w:rsidRPr="00A20381">
              <w:rPr>
                <w:sz w:val="20"/>
              </w:rPr>
              <w:t>-0.003740</w:t>
            </w:r>
          </w:p>
        </w:tc>
        <w:tc>
          <w:tcPr>
            <w:tcW w:w="1303" w:type="dxa"/>
          </w:tcPr>
          <w:p w:rsidR="000377FF" w:rsidRPr="00A20381" w:rsidRDefault="00E85B85" w:rsidP="001A4FB4">
            <w:pPr>
              <w:pStyle w:val="TableParagraph"/>
              <w:spacing w:line="360" w:lineRule="auto"/>
              <w:ind w:left="111" w:right="100"/>
              <w:jc w:val="both"/>
              <w:rPr>
                <w:sz w:val="20"/>
              </w:rPr>
            </w:pPr>
            <w:r w:rsidRPr="00A20381">
              <w:rPr>
                <w:sz w:val="20"/>
              </w:rPr>
              <w:t>0.013030</w:t>
            </w:r>
          </w:p>
        </w:tc>
        <w:tc>
          <w:tcPr>
            <w:tcW w:w="1237" w:type="dxa"/>
          </w:tcPr>
          <w:p w:rsidR="000377FF" w:rsidRPr="00A20381" w:rsidRDefault="00E85B85" w:rsidP="001A4FB4">
            <w:pPr>
              <w:pStyle w:val="TableParagraph"/>
              <w:spacing w:line="360" w:lineRule="auto"/>
              <w:ind w:left="103" w:right="89"/>
              <w:jc w:val="both"/>
              <w:rPr>
                <w:sz w:val="20"/>
              </w:rPr>
            </w:pPr>
            <w:r w:rsidRPr="00A20381">
              <w:rPr>
                <w:sz w:val="20"/>
              </w:rPr>
              <w:t>-0.287049</w:t>
            </w:r>
          </w:p>
        </w:tc>
        <w:tc>
          <w:tcPr>
            <w:tcW w:w="803" w:type="dxa"/>
          </w:tcPr>
          <w:p w:rsidR="000377FF" w:rsidRPr="00A20381" w:rsidRDefault="00E85B85" w:rsidP="001A4FB4">
            <w:pPr>
              <w:pStyle w:val="TableParagraph"/>
              <w:spacing w:line="360" w:lineRule="auto"/>
              <w:ind w:right="110"/>
              <w:jc w:val="both"/>
              <w:rPr>
                <w:sz w:val="20"/>
              </w:rPr>
            </w:pPr>
            <w:r w:rsidRPr="00A20381">
              <w:rPr>
                <w:sz w:val="20"/>
              </w:rPr>
              <w:t>0.7742</w:t>
            </w:r>
          </w:p>
        </w:tc>
      </w:tr>
    </w:tbl>
    <w:p w:rsidR="000377FF" w:rsidRPr="00A20381" w:rsidRDefault="000377FF" w:rsidP="001A4FB4">
      <w:pPr>
        <w:pStyle w:val="Corpotesto"/>
        <w:spacing w:before="9" w:line="360" w:lineRule="auto"/>
        <w:jc w:val="both"/>
        <w:rPr>
          <w:i/>
          <w:sz w:val="18"/>
        </w:rPr>
      </w:pPr>
    </w:p>
    <w:p w:rsidR="000377FF" w:rsidRPr="00A6518A" w:rsidRDefault="00A6518A" w:rsidP="001A4FB4">
      <w:pPr>
        <w:pStyle w:val="Corpotesto"/>
        <w:spacing w:line="360" w:lineRule="auto"/>
        <w:ind w:left="113"/>
        <w:jc w:val="both"/>
        <w:sectPr w:rsidR="000377FF" w:rsidRPr="00A6518A">
          <w:pgSz w:w="12240" w:h="15840"/>
          <w:pgMar w:top="1320" w:right="1020" w:bottom="1000" w:left="1020" w:header="0" w:footer="806" w:gutter="0"/>
          <w:cols w:space="720"/>
        </w:sectPr>
      </w:pPr>
      <w:r w:rsidRPr="00A6518A">
        <w:rPr>
          <w:i/>
        </w:rPr>
        <w:t>Note</w:t>
      </w:r>
      <w:r w:rsidRPr="00A6518A">
        <w:t xml:space="preserve">: *** signals parameter significance at 1%. </w:t>
      </w:r>
      <w:r w:rsidRPr="00A6518A">
        <w:rPr>
          <w:i/>
        </w:rPr>
        <w:t>Source</w:t>
      </w:r>
      <w:r w:rsidRPr="00A6518A">
        <w:t xml:space="preserve">: authors’ calculations in </w:t>
      </w:r>
      <w:proofErr w:type="spellStart"/>
      <w:r w:rsidRPr="00A6518A">
        <w:t>Eviews</w:t>
      </w:r>
      <w:proofErr w:type="spellEnd"/>
      <w:r w:rsidRPr="00A6518A">
        <w:t xml:space="preserve"> 10 based on Bloomberg data. </w:t>
      </w:r>
    </w:p>
    <w:p w:rsidR="000377FF" w:rsidRPr="003A69CF" w:rsidRDefault="00E85B85" w:rsidP="001A4FB4">
      <w:pPr>
        <w:spacing w:before="84" w:line="360" w:lineRule="auto"/>
        <w:ind w:left="113"/>
        <w:jc w:val="both"/>
        <w:rPr>
          <w:i/>
          <w:sz w:val="20"/>
        </w:rPr>
      </w:pPr>
      <w:r w:rsidRPr="00A20381">
        <w:rPr>
          <w:b/>
          <w:sz w:val="20"/>
        </w:rPr>
        <w:lastRenderedPageBreak/>
        <w:t xml:space="preserve">Table 3 (b) </w:t>
      </w:r>
      <w:r w:rsidRPr="00A20381">
        <w:rPr>
          <w:sz w:val="20"/>
        </w:rPr>
        <w:t xml:space="preserve">- </w:t>
      </w:r>
      <w:r w:rsidR="001E4EE3" w:rsidRPr="00A20381">
        <w:rPr>
          <w:i/>
          <w:sz w:val="20"/>
        </w:rPr>
        <w:t>VECM</w:t>
      </w:r>
      <w:r w:rsidRPr="00A20381">
        <w:rPr>
          <w:sz w:val="20"/>
        </w:rPr>
        <w:t xml:space="preserve">: dependent variable </w:t>
      </w:r>
      <w:r w:rsidR="00E74FF8" w:rsidRPr="00E74FF8">
        <w:rPr>
          <w:rFonts w:ascii="Calibri" w:hAnsi="Calibri"/>
          <w:sz w:val="20"/>
        </w:rPr>
        <w:t>Δ</w:t>
      </w:r>
      <w:r w:rsidR="00E74FF8">
        <w:rPr>
          <w:i/>
          <w:sz w:val="20"/>
        </w:rPr>
        <w:t>GBS</w:t>
      </w:r>
      <w:r w:rsidRPr="00A20381">
        <w:rPr>
          <w:i/>
          <w:sz w:val="20"/>
        </w:rPr>
        <w:t xml:space="preserve"> </w:t>
      </w:r>
      <w:r w:rsidRPr="00A20381">
        <w:rPr>
          <w:sz w:val="20"/>
        </w:rPr>
        <w:t xml:space="preserve">- period </w:t>
      </w:r>
      <w:r w:rsidRPr="00A20381">
        <w:rPr>
          <w:i/>
          <w:sz w:val="20"/>
        </w:rPr>
        <w:t>2007-10</w:t>
      </w:r>
    </w:p>
    <w:p w:rsidR="000377FF" w:rsidRPr="00A20381" w:rsidRDefault="000377FF" w:rsidP="001A4FB4">
      <w:pPr>
        <w:pStyle w:val="Corpotesto"/>
        <w:spacing w:after="1" w:line="360" w:lineRule="auto"/>
        <w:jc w:val="both"/>
        <w:rPr>
          <w:i/>
          <w:sz w:val="10"/>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3"/>
        <w:gridCol w:w="1309"/>
        <w:gridCol w:w="1303"/>
        <w:gridCol w:w="1237"/>
        <w:gridCol w:w="803"/>
      </w:tblGrid>
      <w:tr w:rsidR="000377FF" w:rsidRPr="00A20381">
        <w:trPr>
          <w:trHeight w:val="410"/>
        </w:trPr>
        <w:tc>
          <w:tcPr>
            <w:tcW w:w="543" w:type="dxa"/>
            <w:tcBorders>
              <w:bottom w:val="double" w:sz="1" w:space="0" w:color="000000"/>
            </w:tcBorders>
          </w:tcPr>
          <w:p w:rsidR="000377FF" w:rsidRPr="00A20381" w:rsidRDefault="000377FF" w:rsidP="001A4FB4">
            <w:pPr>
              <w:pStyle w:val="TableParagraph"/>
              <w:spacing w:before="0" w:line="360" w:lineRule="auto"/>
              <w:jc w:val="both"/>
              <w:rPr>
                <w:sz w:val="18"/>
              </w:rPr>
            </w:pPr>
          </w:p>
        </w:tc>
        <w:tc>
          <w:tcPr>
            <w:tcW w:w="1309" w:type="dxa"/>
            <w:tcBorders>
              <w:bottom w:val="double" w:sz="1" w:space="0" w:color="000000"/>
            </w:tcBorders>
          </w:tcPr>
          <w:p w:rsidR="000377FF" w:rsidRPr="00A20381" w:rsidRDefault="00E85B85" w:rsidP="001A4FB4">
            <w:pPr>
              <w:pStyle w:val="TableParagraph"/>
              <w:spacing w:before="94" w:line="360" w:lineRule="auto"/>
              <w:ind w:left="73" w:right="64"/>
              <w:jc w:val="both"/>
              <w:rPr>
                <w:b/>
                <w:sz w:val="20"/>
              </w:rPr>
            </w:pPr>
            <w:r w:rsidRPr="00A20381">
              <w:rPr>
                <w:b/>
                <w:sz w:val="20"/>
              </w:rPr>
              <w:t>Coefficient</w:t>
            </w:r>
          </w:p>
        </w:tc>
        <w:tc>
          <w:tcPr>
            <w:tcW w:w="1303" w:type="dxa"/>
            <w:tcBorders>
              <w:bottom w:val="double" w:sz="1" w:space="0" w:color="000000"/>
            </w:tcBorders>
          </w:tcPr>
          <w:p w:rsidR="000377FF" w:rsidRPr="00A20381" w:rsidRDefault="00E85B85" w:rsidP="001A4FB4">
            <w:pPr>
              <w:pStyle w:val="TableParagraph"/>
              <w:spacing w:before="94" w:line="360" w:lineRule="auto"/>
              <w:ind w:left="111" w:right="100"/>
              <w:jc w:val="both"/>
              <w:rPr>
                <w:b/>
                <w:sz w:val="20"/>
              </w:rPr>
            </w:pPr>
            <w:r w:rsidRPr="00A20381">
              <w:rPr>
                <w:b/>
                <w:sz w:val="20"/>
              </w:rPr>
              <w:t>Std. Error</w:t>
            </w:r>
          </w:p>
        </w:tc>
        <w:tc>
          <w:tcPr>
            <w:tcW w:w="1237" w:type="dxa"/>
            <w:tcBorders>
              <w:bottom w:val="double" w:sz="1" w:space="0" w:color="000000"/>
            </w:tcBorders>
          </w:tcPr>
          <w:p w:rsidR="000377FF" w:rsidRPr="00A20381" w:rsidRDefault="00E85B85" w:rsidP="001A4FB4">
            <w:pPr>
              <w:pStyle w:val="TableParagraph"/>
              <w:spacing w:before="94" w:line="360" w:lineRule="auto"/>
              <w:ind w:left="103" w:right="90"/>
              <w:jc w:val="both"/>
              <w:rPr>
                <w:b/>
                <w:sz w:val="20"/>
              </w:rPr>
            </w:pPr>
            <w:r w:rsidRPr="00A20381">
              <w:rPr>
                <w:b/>
                <w:sz w:val="20"/>
              </w:rPr>
              <w:t>t-Statistic</w:t>
            </w:r>
          </w:p>
        </w:tc>
        <w:tc>
          <w:tcPr>
            <w:tcW w:w="803" w:type="dxa"/>
            <w:tcBorders>
              <w:bottom w:val="double" w:sz="1" w:space="0" w:color="000000"/>
            </w:tcBorders>
          </w:tcPr>
          <w:p w:rsidR="000377FF" w:rsidRPr="00A20381" w:rsidRDefault="00E85B85" w:rsidP="001A4FB4">
            <w:pPr>
              <w:pStyle w:val="TableParagraph"/>
              <w:spacing w:before="94" w:line="360" w:lineRule="auto"/>
              <w:ind w:right="108"/>
              <w:jc w:val="both"/>
              <w:rPr>
                <w:b/>
                <w:sz w:val="20"/>
              </w:rPr>
            </w:pPr>
            <w:r w:rsidRPr="00A20381">
              <w:rPr>
                <w:b/>
                <w:w w:val="95"/>
                <w:sz w:val="20"/>
              </w:rPr>
              <w:t>Prob.</w:t>
            </w:r>
          </w:p>
        </w:tc>
      </w:tr>
      <w:tr w:rsidR="000377FF" w:rsidRPr="00A20381">
        <w:trPr>
          <w:trHeight w:val="410"/>
        </w:trPr>
        <w:tc>
          <w:tcPr>
            <w:tcW w:w="543" w:type="dxa"/>
            <w:tcBorders>
              <w:top w:val="double" w:sz="1" w:space="0" w:color="000000"/>
            </w:tcBorders>
          </w:tcPr>
          <w:p w:rsidR="000377FF" w:rsidRPr="00A20381" w:rsidRDefault="00E85B85" w:rsidP="001A4FB4">
            <w:pPr>
              <w:pStyle w:val="TableParagraph"/>
              <w:spacing w:before="108" w:line="360" w:lineRule="auto"/>
              <w:ind w:left="97" w:right="98"/>
              <w:jc w:val="both"/>
              <w:rPr>
                <w:sz w:val="14"/>
              </w:rPr>
            </w:pPr>
            <w:r w:rsidRPr="00A20381">
              <w:rPr>
                <w:i/>
                <w:position w:val="3"/>
                <w:sz w:val="20"/>
              </w:rPr>
              <w:t>β</w:t>
            </w:r>
            <w:r w:rsidRPr="00A20381">
              <w:rPr>
                <w:sz w:val="14"/>
              </w:rPr>
              <w:t>20</w:t>
            </w:r>
          </w:p>
        </w:tc>
        <w:tc>
          <w:tcPr>
            <w:tcW w:w="1309" w:type="dxa"/>
            <w:tcBorders>
              <w:top w:val="double" w:sz="1" w:space="0" w:color="000000"/>
            </w:tcBorders>
          </w:tcPr>
          <w:p w:rsidR="000377FF" w:rsidRPr="00A20381" w:rsidRDefault="00E85B85" w:rsidP="001A4FB4">
            <w:pPr>
              <w:pStyle w:val="TableParagraph"/>
              <w:spacing w:before="100" w:line="360" w:lineRule="auto"/>
              <w:ind w:left="73" w:right="64"/>
              <w:jc w:val="both"/>
              <w:rPr>
                <w:sz w:val="20"/>
              </w:rPr>
            </w:pPr>
            <w:r w:rsidRPr="00A20381">
              <w:rPr>
                <w:sz w:val="20"/>
              </w:rPr>
              <w:t>0.000613</w:t>
            </w:r>
          </w:p>
        </w:tc>
        <w:tc>
          <w:tcPr>
            <w:tcW w:w="1303" w:type="dxa"/>
            <w:tcBorders>
              <w:top w:val="double" w:sz="1" w:space="0" w:color="000000"/>
            </w:tcBorders>
          </w:tcPr>
          <w:p w:rsidR="000377FF" w:rsidRPr="00A20381" w:rsidRDefault="00E85B85" w:rsidP="001A4FB4">
            <w:pPr>
              <w:pStyle w:val="TableParagraph"/>
              <w:spacing w:before="100" w:line="360" w:lineRule="auto"/>
              <w:ind w:left="111" w:right="100"/>
              <w:jc w:val="both"/>
              <w:rPr>
                <w:sz w:val="20"/>
              </w:rPr>
            </w:pPr>
            <w:r w:rsidRPr="00A20381">
              <w:rPr>
                <w:sz w:val="20"/>
              </w:rPr>
              <w:t>0.001208</w:t>
            </w:r>
          </w:p>
        </w:tc>
        <w:tc>
          <w:tcPr>
            <w:tcW w:w="1237" w:type="dxa"/>
            <w:tcBorders>
              <w:top w:val="double" w:sz="1" w:space="0" w:color="000000"/>
            </w:tcBorders>
          </w:tcPr>
          <w:p w:rsidR="000377FF" w:rsidRPr="00A20381" w:rsidRDefault="00E85B85" w:rsidP="001A4FB4">
            <w:pPr>
              <w:pStyle w:val="TableParagraph"/>
              <w:spacing w:before="100" w:line="360" w:lineRule="auto"/>
              <w:ind w:left="103" w:right="90"/>
              <w:jc w:val="both"/>
              <w:rPr>
                <w:sz w:val="20"/>
              </w:rPr>
            </w:pPr>
            <w:r w:rsidRPr="00A20381">
              <w:rPr>
                <w:sz w:val="20"/>
              </w:rPr>
              <w:t>0.507348</w:t>
            </w:r>
          </w:p>
        </w:tc>
        <w:tc>
          <w:tcPr>
            <w:tcW w:w="803" w:type="dxa"/>
            <w:tcBorders>
              <w:top w:val="double" w:sz="1" w:space="0" w:color="000000"/>
            </w:tcBorders>
          </w:tcPr>
          <w:p w:rsidR="000377FF" w:rsidRPr="00A20381" w:rsidRDefault="00E85B85" w:rsidP="001A4FB4">
            <w:pPr>
              <w:pStyle w:val="TableParagraph"/>
              <w:spacing w:before="100" w:line="360" w:lineRule="auto"/>
              <w:ind w:right="110"/>
              <w:jc w:val="both"/>
              <w:rPr>
                <w:sz w:val="20"/>
              </w:rPr>
            </w:pPr>
            <w:r w:rsidRPr="00A20381">
              <w:rPr>
                <w:sz w:val="20"/>
              </w:rPr>
              <w:t>0.6121</w:t>
            </w:r>
          </w:p>
        </w:tc>
      </w:tr>
      <w:tr w:rsidR="000377FF" w:rsidRPr="00A20381">
        <w:trPr>
          <w:trHeight w:val="396"/>
        </w:trPr>
        <w:tc>
          <w:tcPr>
            <w:tcW w:w="543" w:type="dxa"/>
          </w:tcPr>
          <w:p w:rsidR="000377FF" w:rsidRPr="00A20381" w:rsidRDefault="00E85B85" w:rsidP="001A4FB4">
            <w:pPr>
              <w:pStyle w:val="TableParagraph"/>
              <w:spacing w:before="94" w:line="360" w:lineRule="auto"/>
              <w:ind w:left="97" w:right="98"/>
              <w:jc w:val="both"/>
              <w:rPr>
                <w:sz w:val="14"/>
              </w:rPr>
            </w:pPr>
            <w:r w:rsidRPr="00A20381">
              <w:rPr>
                <w:i/>
                <w:position w:val="3"/>
                <w:sz w:val="20"/>
              </w:rPr>
              <w:t>β</w:t>
            </w:r>
            <w:r w:rsidRPr="00A20381">
              <w:rPr>
                <w:sz w:val="14"/>
              </w:rPr>
              <w:t>21</w:t>
            </w:r>
          </w:p>
        </w:tc>
        <w:tc>
          <w:tcPr>
            <w:tcW w:w="1309" w:type="dxa"/>
          </w:tcPr>
          <w:p w:rsidR="000377FF" w:rsidRPr="00A20381" w:rsidRDefault="00E85B85" w:rsidP="001A4FB4">
            <w:pPr>
              <w:pStyle w:val="TableParagraph"/>
              <w:spacing w:line="360" w:lineRule="auto"/>
              <w:ind w:left="73" w:right="64"/>
              <w:jc w:val="both"/>
              <w:rPr>
                <w:sz w:val="20"/>
              </w:rPr>
            </w:pPr>
            <w:r w:rsidRPr="00A20381">
              <w:rPr>
                <w:sz w:val="20"/>
              </w:rPr>
              <w:t>0.062537</w:t>
            </w:r>
          </w:p>
        </w:tc>
        <w:tc>
          <w:tcPr>
            <w:tcW w:w="1303" w:type="dxa"/>
          </w:tcPr>
          <w:p w:rsidR="000377FF" w:rsidRPr="00A20381" w:rsidRDefault="00E85B85" w:rsidP="001A4FB4">
            <w:pPr>
              <w:pStyle w:val="TableParagraph"/>
              <w:spacing w:line="360" w:lineRule="auto"/>
              <w:ind w:left="111" w:right="100"/>
              <w:jc w:val="both"/>
              <w:rPr>
                <w:sz w:val="20"/>
              </w:rPr>
            </w:pPr>
            <w:r w:rsidRPr="00A20381">
              <w:rPr>
                <w:sz w:val="20"/>
              </w:rPr>
              <w:t>0.062073</w:t>
            </w:r>
          </w:p>
        </w:tc>
        <w:tc>
          <w:tcPr>
            <w:tcW w:w="1237" w:type="dxa"/>
          </w:tcPr>
          <w:p w:rsidR="000377FF" w:rsidRPr="00A20381" w:rsidRDefault="00E85B85" w:rsidP="001A4FB4">
            <w:pPr>
              <w:pStyle w:val="TableParagraph"/>
              <w:spacing w:line="360" w:lineRule="auto"/>
              <w:ind w:left="103" w:right="90"/>
              <w:jc w:val="both"/>
              <w:rPr>
                <w:sz w:val="20"/>
              </w:rPr>
            </w:pPr>
            <w:r w:rsidRPr="00A20381">
              <w:rPr>
                <w:sz w:val="20"/>
              </w:rPr>
              <w:t>1.007475</w:t>
            </w:r>
          </w:p>
        </w:tc>
        <w:tc>
          <w:tcPr>
            <w:tcW w:w="803" w:type="dxa"/>
          </w:tcPr>
          <w:p w:rsidR="000377FF" w:rsidRPr="00A20381" w:rsidRDefault="00E85B85" w:rsidP="001A4FB4">
            <w:pPr>
              <w:pStyle w:val="TableParagraph"/>
              <w:spacing w:line="360" w:lineRule="auto"/>
              <w:ind w:right="110"/>
              <w:jc w:val="both"/>
              <w:rPr>
                <w:sz w:val="20"/>
              </w:rPr>
            </w:pPr>
            <w:r w:rsidRPr="00A20381">
              <w:rPr>
                <w:sz w:val="20"/>
              </w:rPr>
              <w:t>0.3141</w:t>
            </w:r>
          </w:p>
        </w:tc>
      </w:tr>
      <w:tr w:rsidR="000377FF" w:rsidRPr="00A20381">
        <w:trPr>
          <w:trHeight w:val="396"/>
        </w:trPr>
        <w:tc>
          <w:tcPr>
            <w:tcW w:w="543" w:type="dxa"/>
          </w:tcPr>
          <w:p w:rsidR="000377FF" w:rsidRPr="00A20381" w:rsidRDefault="00E85B85" w:rsidP="001A4FB4">
            <w:pPr>
              <w:pStyle w:val="TableParagraph"/>
              <w:spacing w:before="94" w:line="360" w:lineRule="auto"/>
              <w:ind w:left="97" w:right="98"/>
              <w:jc w:val="both"/>
              <w:rPr>
                <w:sz w:val="14"/>
              </w:rPr>
            </w:pPr>
            <w:r w:rsidRPr="00A20381">
              <w:rPr>
                <w:i/>
                <w:position w:val="3"/>
                <w:sz w:val="20"/>
              </w:rPr>
              <w:t>β</w:t>
            </w:r>
            <w:r w:rsidRPr="00A20381">
              <w:rPr>
                <w:sz w:val="14"/>
              </w:rPr>
              <w:t>22</w:t>
            </w:r>
          </w:p>
        </w:tc>
        <w:tc>
          <w:tcPr>
            <w:tcW w:w="1309" w:type="dxa"/>
          </w:tcPr>
          <w:p w:rsidR="000377FF" w:rsidRPr="00A20381" w:rsidRDefault="00E85B85" w:rsidP="001A4FB4">
            <w:pPr>
              <w:pStyle w:val="TableParagraph"/>
              <w:spacing w:line="360" w:lineRule="auto"/>
              <w:ind w:left="73" w:right="63"/>
              <w:jc w:val="both"/>
              <w:rPr>
                <w:sz w:val="20"/>
              </w:rPr>
            </w:pPr>
            <w:r w:rsidRPr="00A20381">
              <w:rPr>
                <w:sz w:val="20"/>
              </w:rPr>
              <w:t>-0.069744</w:t>
            </w:r>
          </w:p>
        </w:tc>
        <w:tc>
          <w:tcPr>
            <w:tcW w:w="1303" w:type="dxa"/>
          </w:tcPr>
          <w:p w:rsidR="000377FF" w:rsidRPr="00A20381" w:rsidRDefault="00E85B85" w:rsidP="001A4FB4">
            <w:pPr>
              <w:pStyle w:val="TableParagraph"/>
              <w:spacing w:line="360" w:lineRule="auto"/>
              <w:ind w:left="111" w:right="100"/>
              <w:jc w:val="both"/>
              <w:rPr>
                <w:sz w:val="20"/>
              </w:rPr>
            </w:pPr>
            <w:r w:rsidRPr="00A20381">
              <w:rPr>
                <w:sz w:val="20"/>
              </w:rPr>
              <w:t>0.057683</w:t>
            </w:r>
          </w:p>
        </w:tc>
        <w:tc>
          <w:tcPr>
            <w:tcW w:w="1237" w:type="dxa"/>
          </w:tcPr>
          <w:p w:rsidR="000377FF" w:rsidRPr="00A20381" w:rsidRDefault="00E85B85" w:rsidP="001A4FB4">
            <w:pPr>
              <w:pStyle w:val="TableParagraph"/>
              <w:spacing w:line="360" w:lineRule="auto"/>
              <w:ind w:left="103" w:right="89"/>
              <w:jc w:val="both"/>
              <w:rPr>
                <w:sz w:val="20"/>
              </w:rPr>
            </w:pPr>
            <w:r w:rsidRPr="00A20381">
              <w:rPr>
                <w:sz w:val="20"/>
              </w:rPr>
              <w:t>-1.209103</w:t>
            </w:r>
          </w:p>
        </w:tc>
        <w:tc>
          <w:tcPr>
            <w:tcW w:w="803" w:type="dxa"/>
          </w:tcPr>
          <w:p w:rsidR="000377FF" w:rsidRPr="00A20381" w:rsidRDefault="00E85B85" w:rsidP="001A4FB4">
            <w:pPr>
              <w:pStyle w:val="TableParagraph"/>
              <w:spacing w:line="360" w:lineRule="auto"/>
              <w:ind w:right="110"/>
              <w:jc w:val="both"/>
              <w:rPr>
                <w:sz w:val="20"/>
              </w:rPr>
            </w:pPr>
            <w:r w:rsidRPr="00A20381">
              <w:rPr>
                <w:sz w:val="20"/>
              </w:rPr>
              <w:t>0.2270</w:t>
            </w:r>
          </w:p>
        </w:tc>
      </w:tr>
      <w:tr w:rsidR="000377FF" w:rsidRPr="00A20381">
        <w:trPr>
          <w:trHeight w:val="396"/>
        </w:trPr>
        <w:tc>
          <w:tcPr>
            <w:tcW w:w="543" w:type="dxa"/>
          </w:tcPr>
          <w:p w:rsidR="000377FF" w:rsidRPr="00A20381" w:rsidRDefault="00E85B85" w:rsidP="001A4FB4">
            <w:pPr>
              <w:pStyle w:val="TableParagraph"/>
              <w:spacing w:before="94" w:line="360" w:lineRule="auto"/>
              <w:ind w:left="97" w:right="98"/>
              <w:jc w:val="both"/>
              <w:rPr>
                <w:sz w:val="14"/>
              </w:rPr>
            </w:pPr>
            <w:r w:rsidRPr="00A20381">
              <w:rPr>
                <w:i/>
                <w:position w:val="3"/>
                <w:sz w:val="20"/>
              </w:rPr>
              <w:t>α</w:t>
            </w:r>
            <w:r w:rsidRPr="00A20381">
              <w:rPr>
                <w:sz w:val="14"/>
              </w:rPr>
              <w:t>21</w:t>
            </w:r>
          </w:p>
        </w:tc>
        <w:tc>
          <w:tcPr>
            <w:tcW w:w="1309" w:type="dxa"/>
          </w:tcPr>
          <w:p w:rsidR="000377FF" w:rsidRPr="00A20381" w:rsidRDefault="00E85B85" w:rsidP="001A4FB4">
            <w:pPr>
              <w:pStyle w:val="TableParagraph"/>
              <w:spacing w:before="39" w:line="360" w:lineRule="auto"/>
              <w:ind w:left="64" w:right="64"/>
              <w:jc w:val="both"/>
              <w:rPr>
                <w:i/>
                <w:sz w:val="20"/>
              </w:rPr>
            </w:pPr>
            <w:r w:rsidRPr="00A20381">
              <w:rPr>
                <w:sz w:val="20"/>
              </w:rPr>
              <w:t>0</w:t>
            </w:r>
            <w:r w:rsidRPr="00A20381">
              <w:rPr>
                <w:i/>
                <w:sz w:val="20"/>
              </w:rPr>
              <w:t>.</w:t>
            </w:r>
            <w:r w:rsidRPr="00A20381">
              <w:rPr>
                <w:sz w:val="20"/>
              </w:rPr>
              <w:t>236661</w:t>
            </w:r>
            <w:r w:rsidRPr="00A20381">
              <w:rPr>
                <w:rFonts w:ascii="Cambria Math" w:hAnsi="Cambria Math" w:cs="Cambria Math"/>
                <w:i/>
                <w:sz w:val="20"/>
                <w:vertAlign w:val="superscript"/>
              </w:rPr>
              <w:t>∗∗∗</w:t>
            </w:r>
          </w:p>
        </w:tc>
        <w:tc>
          <w:tcPr>
            <w:tcW w:w="1303" w:type="dxa"/>
          </w:tcPr>
          <w:p w:rsidR="000377FF" w:rsidRPr="00A20381" w:rsidRDefault="00E85B85" w:rsidP="001A4FB4">
            <w:pPr>
              <w:pStyle w:val="TableParagraph"/>
              <w:spacing w:line="360" w:lineRule="auto"/>
              <w:ind w:left="111" w:right="100"/>
              <w:jc w:val="both"/>
              <w:rPr>
                <w:sz w:val="20"/>
              </w:rPr>
            </w:pPr>
            <w:r w:rsidRPr="00A20381">
              <w:rPr>
                <w:sz w:val="20"/>
              </w:rPr>
              <w:t>0.054175</w:t>
            </w:r>
          </w:p>
        </w:tc>
        <w:tc>
          <w:tcPr>
            <w:tcW w:w="1237" w:type="dxa"/>
          </w:tcPr>
          <w:p w:rsidR="000377FF" w:rsidRPr="00A20381" w:rsidRDefault="00E85B85" w:rsidP="001A4FB4">
            <w:pPr>
              <w:pStyle w:val="TableParagraph"/>
              <w:spacing w:line="360" w:lineRule="auto"/>
              <w:ind w:left="103" w:right="90"/>
              <w:jc w:val="both"/>
              <w:rPr>
                <w:sz w:val="20"/>
              </w:rPr>
            </w:pPr>
            <w:r w:rsidRPr="00A20381">
              <w:rPr>
                <w:sz w:val="20"/>
              </w:rPr>
              <w:t>4.368449</w:t>
            </w:r>
          </w:p>
        </w:tc>
        <w:tc>
          <w:tcPr>
            <w:tcW w:w="803" w:type="dxa"/>
          </w:tcPr>
          <w:p w:rsidR="000377FF" w:rsidRPr="00A20381" w:rsidRDefault="00E85B85" w:rsidP="001A4FB4">
            <w:pPr>
              <w:pStyle w:val="TableParagraph"/>
              <w:spacing w:line="360" w:lineRule="auto"/>
              <w:ind w:right="110"/>
              <w:jc w:val="both"/>
              <w:rPr>
                <w:sz w:val="20"/>
              </w:rPr>
            </w:pPr>
            <w:r w:rsidRPr="00A20381">
              <w:rPr>
                <w:sz w:val="20"/>
              </w:rPr>
              <w:t>0.0000</w:t>
            </w:r>
          </w:p>
        </w:tc>
      </w:tr>
      <w:tr w:rsidR="000377FF" w:rsidRPr="00A20381">
        <w:trPr>
          <w:trHeight w:val="396"/>
        </w:trPr>
        <w:tc>
          <w:tcPr>
            <w:tcW w:w="543" w:type="dxa"/>
          </w:tcPr>
          <w:p w:rsidR="000377FF" w:rsidRPr="00A20381" w:rsidRDefault="00E85B85" w:rsidP="001A4FB4">
            <w:pPr>
              <w:pStyle w:val="TableParagraph"/>
              <w:spacing w:before="94" w:line="360" w:lineRule="auto"/>
              <w:ind w:left="97" w:right="98"/>
              <w:jc w:val="both"/>
              <w:rPr>
                <w:sz w:val="14"/>
              </w:rPr>
            </w:pPr>
            <w:r w:rsidRPr="00A20381">
              <w:rPr>
                <w:i/>
                <w:position w:val="3"/>
                <w:sz w:val="20"/>
              </w:rPr>
              <w:t>α</w:t>
            </w:r>
            <w:r w:rsidRPr="00A20381">
              <w:rPr>
                <w:sz w:val="14"/>
              </w:rPr>
              <w:t>22</w:t>
            </w:r>
          </w:p>
        </w:tc>
        <w:tc>
          <w:tcPr>
            <w:tcW w:w="1309" w:type="dxa"/>
          </w:tcPr>
          <w:p w:rsidR="000377FF" w:rsidRPr="00A20381" w:rsidRDefault="00E85B85" w:rsidP="001A4FB4">
            <w:pPr>
              <w:pStyle w:val="TableParagraph"/>
              <w:spacing w:line="360" w:lineRule="auto"/>
              <w:ind w:left="73" w:right="63"/>
              <w:jc w:val="both"/>
              <w:rPr>
                <w:sz w:val="20"/>
              </w:rPr>
            </w:pPr>
            <w:r w:rsidRPr="00A20381">
              <w:rPr>
                <w:sz w:val="20"/>
              </w:rPr>
              <w:t>-0.063678</w:t>
            </w:r>
          </w:p>
        </w:tc>
        <w:tc>
          <w:tcPr>
            <w:tcW w:w="1303" w:type="dxa"/>
          </w:tcPr>
          <w:p w:rsidR="000377FF" w:rsidRPr="00A20381" w:rsidRDefault="00E85B85" w:rsidP="001A4FB4">
            <w:pPr>
              <w:pStyle w:val="TableParagraph"/>
              <w:spacing w:line="360" w:lineRule="auto"/>
              <w:ind w:left="111" w:right="100"/>
              <w:jc w:val="both"/>
              <w:rPr>
                <w:sz w:val="20"/>
              </w:rPr>
            </w:pPr>
            <w:r w:rsidRPr="00A20381">
              <w:rPr>
                <w:sz w:val="20"/>
              </w:rPr>
              <w:t>0.055415</w:t>
            </w:r>
          </w:p>
        </w:tc>
        <w:tc>
          <w:tcPr>
            <w:tcW w:w="1237" w:type="dxa"/>
          </w:tcPr>
          <w:p w:rsidR="000377FF" w:rsidRPr="00A20381" w:rsidRDefault="00E85B85" w:rsidP="001A4FB4">
            <w:pPr>
              <w:pStyle w:val="TableParagraph"/>
              <w:spacing w:line="360" w:lineRule="auto"/>
              <w:ind w:left="103" w:right="89"/>
              <w:jc w:val="both"/>
              <w:rPr>
                <w:sz w:val="20"/>
              </w:rPr>
            </w:pPr>
            <w:r w:rsidRPr="00A20381">
              <w:rPr>
                <w:sz w:val="20"/>
              </w:rPr>
              <w:t>-1.149114</w:t>
            </w:r>
          </w:p>
        </w:tc>
        <w:tc>
          <w:tcPr>
            <w:tcW w:w="803" w:type="dxa"/>
          </w:tcPr>
          <w:p w:rsidR="000377FF" w:rsidRPr="00A20381" w:rsidRDefault="00E85B85" w:rsidP="001A4FB4">
            <w:pPr>
              <w:pStyle w:val="TableParagraph"/>
              <w:spacing w:line="360" w:lineRule="auto"/>
              <w:ind w:right="110"/>
              <w:jc w:val="both"/>
              <w:rPr>
                <w:sz w:val="20"/>
              </w:rPr>
            </w:pPr>
            <w:r w:rsidRPr="00A20381">
              <w:rPr>
                <w:sz w:val="20"/>
              </w:rPr>
              <w:t>0.2509</w:t>
            </w:r>
          </w:p>
        </w:tc>
      </w:tr>
      <w:tr w:rsidR="000377FF" w:rsidRPr="00A20381">
        <w:trPr>
          <w:trHeight w:val="396"/>
        </w:trPr>
        <w:tc>
          <w:tcPr>
            <w:tcW w:w="543" w:type="dxa"/>
          </w:tcPr>
          <w:p w:rsidR="000377FF" w:rsidRPr="00A20381" w:rsidRDefault="00E85B85" w:rsidP="001A4FB4">
            <w:pPr>
              <w:pStyle w:val="TableParagraph"/>
              <w:spacing w:before="77" w:line="360" w:lineRule="auto"/>
              <w:ind w:left="97" w:right="98"/>
              <w:jc w:val="both"/>
              <w:rPr>
                <w:sz w:val="20"/>
              </w:rPr>
            </w:pPr>
            <w:r w:rsidRPr="00A20381">
              <w:rPr>
                <w:i/>
                <w:sz w:val="20"/>
              </w:rPr>
              <w:t>λ</w:t>
            </w:r>
            <w:r w:rsidRPr="00A20381">
              <w:rPr>
                <w:sz w:val="20"/>
                <w:vertAlign w:val="subscript"/>
              </w:rPr>
              <w:t>2</w:t>
            </w:r>
          </w:p>
        </w:tc>
        <w:tc>
          <w:tcPr>
            <w:tcW w:w="1309" w:type="dxa"/>
          </w:tcPr>
          <w:p w:rsidR="000377FF" w:rsidRPr="00A20381" w:rsidRDefault="00E85B85" w:rsidP="001A4FB4">
            <w:pPr>
              <w:pStyle w:val="TableParagraph"/>
              <w:spacing w:before="39" w:line="360" w:lineRule="auto"/>
              <w:ind w:left="64" w:right="64"/>
              <w:jc w:val="both"/>
              <w:rPr>
                <w:i/>
                <w:sz w:val="20"/>
              </w:rPr>
            </w:pPr>
            <w:r w:rsidRPr="00A20381">
              <w:rPr>
                <w:sz w:val="20"/>
              </w:rPr>
              <w:t>0</w:t>
            </w:r>
            <w:r w:rsidRPr="00A20381">
              <w:rPr>
                <w:i/>
                <w:sz w:val="20"/>
              </w:rPr>
              <w:t>.</w:t>
            </w:r>
            <w:r w:rsidRPr="00A20381">
              <w:rPr>
                <w:sz w:val="20"/>
              </w:rPr>
              <w:t>051628</w:t>
            </w:r>
            <w:r w:rsidRPr="00A20381">
              <w:rPr>
                <w:rFonts w:ascii="Cambria Math" w:hAnsi="Cambria Math" w:cs="Cambria Math"/>
                <w:i/>
                <w:sz w:val="20"/>
                <w:vertAlign w:val="superscript"/>
              </w:rPr>
              <w:t>∗∗∗</w:t>
            </w:r>
          </w:p>
        </w:tc>
        <w:tc>
          <w:tcPr>
            <w:tcW w:w="1303" w:type="dxa"/>
          </w:tcPr>
          <w:p w:rsidR="000377FF" w:rsidRPr="00A20381" w:rsidRDefault="00E85B85" w:rsidP="001A4FB4">
            <w:pPr>
              <w:pStyle w:val="TableParagraph"/>
              <w:spacing w:line="360" w:lineRule="auto"/>
              <w:ind w:left="111" w:right="100"/>
              <w:jc w:val="both"/>
              <w:rPr>
                <w:sz w:val="20"/>
              </w:rPr>
            </w:pPr>
            <w:r w:rsidRPr="00A20381">
              <w:rPr>
                <w:sz w:val="20"/>
              </w:rPr>
              <w:t>0.012697</w:t>
            </w:r>
          </w:p>
        </w:tc>
        <w:tc>
          <w:tcPr>
            <w:tcW w:w="1237" w:type="dxa"/>
          </w:tcPr>
          <w:p w:rsidR="000377FF" w:rsidRPr="00A20381" w:rsidRDefault="00E85B85" w:rsidP="001A4FB4">
            <w:pPr>
              <w:pStyle w:val="TableParagraph"/>
              <w:spacing w:line="360" w:lineRule="auto"/>
              <w:ind w:left="103" w:right="90"/>
              <w:jc w:val="both"/>
              <w:rPr>
                <w:sz w:val="20"/>
              </w:rPr>
            </w:pPr>
            <w:r w:rsidRPr="00A20381">
              <w:rPr>
                <w:sz w:val="20"/>
              </w:rPr>
              <w:t>4.066062</w:t>
            </w:r>
          </w:p>
        </w:tc>
        <w:tc>
          <w:tcPr>
            <w:tcW w:w="803" w:type="dxa"/>
          </w:tcPr>
          <w:p w:rsidR="000377FF" w:rsidRPr="00A20381" w:rsidRDefault="00E85B85" w:rsidP="001A4FB4">
            <w:pPr>
              <w:pStyle w:val="TableParagraph"/>
              <w:spacing w:line="360" w:lineRule="auto"/>
              <w:ind w:right="110"/>
              <w:jc w:val="both"/>
              <w:rPr>
                <w:sz w:val="20"/>
              </w:rPr>
            </w:pPr>
            <w:r w:rsidRPr="00A20381">
              <w:rPr>
                <w:sz w:val="20"/>
              </w:rPr>
              <w:t>0.0001</w:t>
            </w:r>
          </w:p>
        </w:tc>
      </w:tr>
    </w:tbl>
    <w:p w:rsidR="000377FF" w:rsidRPr="00A20381" w:rsidRDefault="000377FF" w:rsidP="001A4FB4">
      <w:pPr>
        <w:pStyle w:val="Corpotesto"/>
        <w:spacing w:before="9" w:line="360" w:lineRule="auto"/>
        <w:jc w:val="both"/>
        <w:rPr>
          <w:i/>
          <w:sz w:val="18"/>
        </w:rPr>
      </w:pPr>
    </w:p>
    <w:p w:rsidR="00A6518A" w:rsidRDefault="00A6518A" w:rsidP="001A4FB4">
      <w:pPr>
        <w:pStyle w:val="Corpotesto"/>
        <w:spacing w:line="360" w:lineRule="auto"/>
        <w:ind w:left="113"/>
        <w:jc w:val="both"/>
      </w:pPr>
      <w:r w:rsidRPr="00A6518A">
        <w:rPr>
          <w:i/>
        </w:rPr>
        <w:t>Note</w:t>
      </w:r>
      <w:r w:rsidRPr="00A6518A">
        <w:t xml:space="preserve">: *** signals parameter significance at 1%. </w:t>
      </w:r>
      <w:r w:rsidRPr="00A6518A">
        <w:rPr>
          <w:i/>
        </w:rPr>
        <w:t>Source</w:t>
      </w:r>
      <w:r w:rsidRPr="00A6518A">
        <w:t xml:space="preserve">: authors’ calculations in </w:t>
      </w:r>
      <w:proofErr w:type="spellStart"/>
      <w:r w:rsidRPr="00A6518A">
        <w:t>Eviews</w:t>
      </w:r>
      <w:proofErr w:type="spellEnd"/>
      <w:r w:rsidRPr="00A6518A">
        <w:t xml:space="preserve"> 10 based on Bloomberg data. </w:t>
      </w:r>
    </w:p>
    <w:p w:rsidR="00A6518A" w:rsidRDefault="00A6518A" w:rsidP="001A4FB4">
      <w:pPr>
        <w:pStyle w:val="Corpotesto"/>
        <w:spacing w:line="360" w:lineRule="auto"/>
        <w:ind w:left="113"/>
        <w:jc w:val="both"/>
      </w:pPr>
    </w:p>
    <w:p w:rsidR="000377FF" w:rsidRPr="00A20381" w:rsidRDefault="00E85B85" w:rsidP="001A4FB4">
      <w:pPr>
        <w:spacing w:line="360" w:lineRule="auto"/>
        <w:ind w:left="113" w:right="111"/>
        <w:jc w:val="both"/>
        <w:rPr>
          <w:sz w:val="20"/>
        </w:rPr>
      </w:pPr>
      <w:r w:rsidRPr="00A20381">
        <w:rPr>
          <w:sz w:val="20"/>
        </w:rPr>
        <w:t xml:space="preserve">As </w:t>
      </w:r>
      <w:r w:rsidRPr="00A20381">
        <w:rPr>
          <w:spacing w:val="-3"/>
          <w:sz w:val="20"/>
        </w:rPr>
        <w:t xml:space="preserve">we </w:t>
      </w:r>
      <w:r w:rsidRPr="00A20381">
        <w:rPr>
          <w:sz w:val="20"/>
        </w:rPr>
        <w:t xml:space="preserve">can see from </w:t>
      </w:r>
      <w:r w:rsidRPr="00A20381">
        <w:rPr>
          <w:i/>
          <w:spacing w:val="-4"/>
          <w:sz w:val="20"/>
        </w:rPr>
        <w:t xml:space="preserve">Table </w:t>
      </w:r>
      <w:r w:rsidRPr="00A20381">
        <w:rPr>
          <w:i/>
          <w:sz w:val="20"/>
        </w:rPr>
        <w:t xml:space="preserve">2 </w:t>
      </w:r>
      <w:r w:rsidRPr="00A20381">
        <w:rPr>
          <w:spacing w:val="4"/>
          <w:sz w:val="20"/>
        </w:rPr>
        <w:t>(</w:t>
      </w:r>
      <w:r w:rsidRPr="00A20381">
        <w:rPr>
          <w:i/>
          <w:spacing w:val="4"/>
          <w:sz w:val="20"/>
        </w:rPr>
        <w:t>a</w:t>
      </w:r>
      <w:r w:rsidRPr="00A20381">
        <w:rPr>
          <w:spacing w:val="4"/>
          <w:sz w:val="20"/>
        </w:rPr>
        <w:t xml:space="preserve">) </w:t>
      </w:r>
      <w:r w:rsidRPr="00A20381">
        <w:rPr>
          <w:sz w:val="20"/>
        </w:rPr>
        <w:t xml:space="preserve">and </w:t>
      </w:r>
      <w:r w:rsidRPr="00A20381">
        <w:rPr>
          <w:i/>
          <w:spacing w:val="-4"/>
          <w:sz w:val="20"/>
        </w:rPr>
        <w:t xml:space="preserve">Table </w:t>
      </w:r>
      <w:r w:rsidRPr="00A20381">
        <w:rPr>
          <w:i/>
          <w:sz w:val="20"/>
        </w:rPr>
        <w:t xml:space="preserve">2 </w:t>
      </w:r>
      <w:r w:rsidRPr="00A20381">
        <w:rPr>
          <w:spacing w:val="2"/>
          <w:sz w:val="20"/>
        </w:rPr>
        <w:t>(</w:t>
      </w:r>
      <w:r w:rsidRPr="00A20381">
        <w:rPr>
          <w:i/>
          <w:spacing w:val="2"/>
          <w:sz w:val="20"/>
        </w:rPr>
        <w:t>b</w:t>
      </w:r>
      <w:r w:rsidRPr="00A20381">
        <w:rPr>
          <w:spacing w:val="2"/>
          <w:sz w:val="20"/>
        </w:rPr>
        <w:t xml:space="preserve">), </w:t>
      </w:r>
      <w:r w:rsidRPr="00A20381">
        <w:rPr>
          <w:sz w:val="20"/>
        </w:rPr>
        <w:t xml:space="preserve">only </w:t>
      </w:r>
      <w:r w:rsidRPr="00A20381">
        <w:rPr>
          <w:i/>
          <w:sz w:val="20"/>
        </w:rPr>
        <w:t>λ</w:t>
      </w:r>
      <w:r w:rsidRPr="00A20381">
        <w:rPr>
          <w:sz w:val="20"/>
          <w:vertAlign w:val="subscript"/>
        </w:rPr>
        <w:t>2</w:t>
      </w:r>
      <w:r w:rsidRPr="00A20381">
        <w:rPr>
          <w:sz w:val="20"/>
        </w:rPr>
        <w:t xml:space="preserve"> is </w:t>
      </w:r>
      <w:r w:rsidR="001E4EE3" w:rsidRPr="00A20381">
        <w:rPr>
          <w:i/>
          <w:sz w:val="20"/>
        </w:rPr>
        <w:t>statistically significant</w:t>
      </w:r>
      <w:r w:rsidRPr="00A20381">
        <w:rPr>
          <w:i/>
          <w:sz w:val="20"/>
        </w:rPr>
        <w:t xml:space="preserve"> </w:t>
      </w:r>
      <w:r w:rsidRPr="00A20381">
        <w:rPr>
          <w:sz w:val="20"/>
        </w:rPr>
        <w:t xml:space="preserve">and </w:t>
      </w:r>
      <w:r w:rsidR="001E4EE3" w:rsidRPr="00A20381">
        <w:rPr>
          <w:i/>
          <w:sz w:val="20"/>
        </w:rPr>
        <w:t xml:space="preserve">positive </w:t>
      </w:r>
      <w:r w:rsidRPr="00A20381">
        <w:rPr>
          <w:sz w:val="20"/>
        </w:rPr>
        <w:t xml:space="preserve">while </w:t>
      </w:r>
      <w:r w:rsidRPr="00A20381">
        <w:rPr>
          <w:i/>
          <w:sz w:val="20"/>
        </w:rPr>
        <w:t>λ</w:t>
      </w:r>
      <w:r w:rsidRPr="00A20381">
        <w:rPr>
          <w:sz w:val="20"/>
          <w:vertAlign w:val="subscript"/>
        </w:rPr>
        <w:t>1</w:t>
      </w:r>
      <w:r w:rsidRPr="00A20381">
        <w:rPr>
          <w:sz w:val="20"/>
        </w:rPr>
        <w:t xml:space="preserve"> is </w:t>
      </w:r>
      <w:r w:rsidRPr="00A20381">
        <w:rPr>
          <w:i/>
          <w:spacing w:val="-3"/>
          <w:sz w:val="20"/>
        </w:rPr>
        <w:t xml:space="preserve">negative </w:t>
      </w:r>
      <w:r w:rsidRPr="00A20381">
        <w:rPr>
          <w:sz w:val="20"/>
        </w:rPr>
        <w:t xml:space="preserve">but </w:t>
      </w:r>
      <w:r w:rsidRPr="00A20381">
        <w:rPr>
          <w:i/>
          <w:sz w:val="20"/>
        </w:rPr>
        <w:t>not statistically significant</w:t>
      </w:r>
      <w:r w:rsidRPr="00A20381">
        <w:rPr>
          <w:sz w:val="20"/>
        </w:rPr>
        <w:t xml:space="preserve">. This means that the CDS market </w:t>
      </w:r>
      <w:r w:rsidRPr="00A20381">
        <w:rPr>
          <w:spacing w:val="-3"/>
          <w:sz w:val="20"/>
        </w:rPr>
        <w:t>(</w:t>
      </w:r>
      <w:r w:rsidRPr="00A20381">
        <w:rPr>
          <w:i/>
          <w:spacing w:val="-3"/>
          <w:sz w:val="20"/>
        </w:rPr>
        <w:t>lead</w:t>
      </w:r>
      <w:r w:rsidR="001E4EE3" w:rsidRPr="00A20381">
        <w:rPr>
          <w:sz w:val="20"/>
        </w:rPr>
        <w:t xml:space="preserve">) embodied more rapidly </w:t>
      </w:r>
      <w:r w:rsidRPr="00A20381">
        <w:rPr>
          <w:sz w:val="20"/>
        </w:rPr>
        <w:t xml:space="preserve">the credit risk information than the </w:t>
      </w:r>
      <w:r w:rsidRPr="00A20381">
        <w:rPr>
          <w:spacing w:val="-3"/>
          <w:sz w:val="20"/>
        </w:rPr>
        <w:t xml:space="preserve">bond </w:t>
      </w:r>
      <w:r w:rsidRPr="00A20381">
        <w:rPr>
          <w:sz w:val="20"/>
        </w:rPr>
        <w:t>market (</w:t>
      </w:r>
      <w:r w:rsidR="000D4A62" w:rsidRPr="00A20381">
        <w:rPr>
          <w:i/>
          <w:sz w:val="20"/>
        </w:rPr>
        <w:t>lag</w:t>
      </w:r>
      <w:r w:rsidRPr="00A20381">
        <w:rPr>
          <w:sz w:val="20"/>
        </w:rPr>
        <w:t xml:space="preserve">) during the </w:t>
      </w:r>
      <w:r w:rsidRPr="00A20381">
        <w:rPr>
          <w:i/>
          <w:sz w:val="20"/>
        </w:rPr>
        <w:t xml:space="preserve">financial crisis </w:t>
      </w:r>
      <w:r w:rsidRPr="00A20381">
        <w:rPr>
          <w:sz w:val="20"/>
        </w:rPr>
        <w:t xml:space="preserve">period and that this latter market </w:t>
      </w:r>
      <w:r w:rsidRPr="00A20381">
        <w:rPr>
          <w:spacing w:val="-3"/>
          <w:sz w:val="20"/>
        </w:rPr>
        <w:t xml:space="preserve">moved </w:t>
      </w:r>
      <w:r w:rsidRPr="00A20381">
        <w:rPr>
          <w:sz w:val="20"/>
        </w:rPr>
        <w:t>in the direction to restore the long-run equilibrium</w:t>
      </w:r>
      <w:r w:rsidRPr="00A20381">
        <w:rPr>
          <w:spacing w:val="13"/>
          <w:sz w:val="20"/>
        </w:rPr>
        <w:t xml:space="preserve"> </w:t>
      </w:r>
      <w:r w:rsidRPr="00A20381">
        <w:rPr>
          <w:sz w:val="20"/>
        </w:rPr>
        <w:t>relationship.</w:t>
      </w:r>
    </w:p>
    <w:p w:rsidR="000377FF" w:rsidRPr="008767EA" w:rsidRDefault="000377FF" w:rsidP="001A4FB4">
      <w:pPr>
        <w:pStyle w:val="Corpotesto"/>
        <w:spacing w:before="2" w:line="360" w:lineRule="auto"/>
        <w:jc w:val="both"/>
      </w:pPr>
    </w:p>
    <w:p w:rsidR="00B93295" w:rsidRPr="00B93295" w:rsidRDefault="00E85B85" w:rsidP="001A4FB4">
      <w:pPr>
        <w:pStyle w:val="Titolo2"/>
        <w:tabs>
          <w:tab w:val="left" w:pos="726"/>
          <w:tab w:val="left" w:pos="727"/>
        </w:tabs>
        <w:spacing w:line="360" w:lineRule="auto"/>
        <w:ind w:left="112" w:firstLine="0"/>
        <w:jc w:val="both"/>
        <w:rPr>
          <w:rFonts w:ascii="Book Antiqua" w:hAnsi="Book Antiqua"/>
          <w:b/>
        </w:rPr>
      </w:pPr>
      <w:bookmarkStart w:id="5" w:name="_TOC_250004"/>
      <w:r w:rsidRPr="00A20381">
        <w:rPr>
          <w:rFonts w:ascii="Book Antiqua" w:hAnsi="Book Antiqua"/>
          <w:b/>
        </w:rPr>
        <w:t xml:space="preserve">Sovereign debt </w:t>
      </w:r>
      <w:r w:rsidRPr="00A20381">
        <w:rPr>
          <w:rFonts w:ascii="Book Antiqua" w:hAnsi="Book Antiqua"/>
          <w:b/>
          <w:spacing w:val="2"/>
        </w:rPr>
        <w:t>crisis</w:t>
      </w:r>
      <w:r w:rsidRPr="00A20381">
        <w:rPr>
          <w:rFonts w:ascii="Book Antiqua" w:hAnsi="Book Antiqua"/>
          <w:b/>
          <w:i w:val="0"/>
          <w:spacing w:val="2"/>
        </w:rPr>
        <w:t>:</w:t>
      </w:r>
      <w:r w:rsidRPr="00A20381">
        <w:rPr>
          <w:rFonts w:ascii="Book Antiqua" w:hAnsi="Book Antiqua"/>
          <w:b/>
          <w:i w:val="0"/>
          <w:spacing w:val="20"/>
        </w:rPr>
        <w:t xml:space="preserve"> </w:t>
      </w:r>
      <w:bookmarkEnd w:id="5"/>
      <w:r w:rsidRPr="00A20381">
        <w:rPr>
          <w:rFonts w:ascii="Book Antiqua" w:hAnsi="Book Antiqua"/>
          <w:b/>
        </w:rPr>
        <w:t>2010-12</w:t>
      </w:r>
    </w:p>
    <w:p w:rsidR="000377FF" w:rsidRDefault="000D4A62" w:rsidP="001A4FB4">
      <w:pPr>
        <w:spacing w:line="360" w:lineRule="auto"/>
        <w:ind w:left="113" w:right="112"/>
        <w:jc w:val="both"/>
        <w:rPr>
          <w:sz w:val="20"/>
        </w:rPr>
      </w:pPr>
      <w:r w:rsidRPr="00A20381">
        <w:rPr>
          <w:sz w:val="20"/>
        </w:rPr>
        <w:t>We evaluate</w:t>
      </w:r>
      <w:r w:rsidR="00E85B85" w:rsidRPr="00A20381">
        <w:rPr>
          <w:sz w:val="20"/>
        </w:rPr>
        <w:t xml:space="preserve"> the existence of </w:t>
      </w:r>
      <w:proofErr w:type="spellStart"/>
      <w:r w:rsidR="00E85B85" w:rsidRPr="00A20381">
        <w:rPr>
          <w:sz w:val="20"/>
        </w:rPr>
        <w:t>cointegration</w:t>
      </w:r>
      <w:proofErr w:type="spellEnd"/>
      <w:r w:rsidR="00E85B85" w:rsidRPr="00A20381">
        <w:rPr>
          <w:sz w:val="20"/>
        </w:rPr>
        <w:t xml:space="preserve"> between the </w:t>
      </w:r>
      <w:r w:rsidR="00E85B85" w:rsidRPr="00A20381">
        <w:rPr>
          <w:spacing w:val="-4"/>
          <w:sz w:val="20"/>
        </w:rPr>
        <w:t xml:space="preserve">two </w:t>
      </w:r>
      <w:r w:rsidR="00E85B85" w:rsidRPr="00A20381">
        <w:rPr>
          <w:sz w:val="20"/>
        </w:rPr>
        <w:t xml:space="preserve">series through the </w:t>
      </w:r>
      <w:r w:rsidR="00E85B85" w:rsidRPr="00A20381">
        <w:rPr>
          <w:i/>
          <w:spacing w:val="-3"/>
          <w:sz w:val="20"/>
        </w:rPr>
        <w:t xml:space="preserve">Augmented </w:t>
      </w:r>
      <w:r w:rsidR="00E85B85" w:rsidRPr="00A20381">
        <w:rPr>
          <w:i/>
          <w:sz w:val="20"/>
        </w:rPr>
        <w:t xml:space="preserve">Dickey-Fuller </w:t>
      </w:r>
      <w:r w:rsidR="00E85B85" w:rsidRPr="00A20381">
        <w:rPr>
          <w:i/>
          <w:spacing w:val="-4"/>
          <w:sz w:val="20"/>
        </w:rPr>
        <w:t>Test</w:t>
      </w:r>
      <w:r w:rsidR="00E85B85" w:rsidRPr="00A20381">
        <w:rPr>
          <w:spacing w:val="-4"/>
          <w:sz w:val="20"/>
        </w:rPr>
        <w:t xml:space="preserve">. </w:t>
      </w:r>
      <w:r w:rsidR="00E85B85" w:rsidRPr="00A20381">
        <w:rPr>
          <w:sz w:val="20"/>
        </w:rPr>
        <w:t>The latter test is reported in</w:t>
      </w:r>
      <w:r w:rsidR="00E85B85" w:rsidRPr="00A20381">
        <w:rPr>
          <w:spacing w:val="4"/>
          <w:sz w:val="20"/>
        </w:rPr>
        <w:t xml:space="preserve"> </w:t>
      </w:r>
      <w:r w:rsidR="00E85B85" w:rsidRPr="00A20381">
        <w:rPr>
          <w:i/>
          <w:spacing w:val="-4"/>
          <w:sz w:val="20"/>
        </w:rPr>
        <w:t xml:space="preserve">Table </w:t>
      </w:r>
      <w:r w:rsidR="00E85B85" w:rsidRPr="00A20381">
        <w:rPr>
          <w:i/>
          <w:sz w:val="20"/>
        </w:rPr>
        <w:t>4</w:t>
      </w:r>
      <w:r w:rsidR="00E85B85" w:rsidRPr="00A20381">
        <w:rPr>
          <w:sz w:val="20"/>
        </w:rPr>
        <w:t>.</w:t>
      </w:r>
    </w:p>
    <w:p w:rsidR="00E74FF8" w:rsidRPr="00E74FF8" w:rsidRDefault="00E74FF8" w:rsidP="001A4FB4">
      <w:pPr>
        <w:spacing w:line="360" w:lineRule="auto"/>
        <w:ind w:left="113" w:right="112"/>
        <w:jc w:val="both"/>
        <w:rPr>
          <w:sz w:val="20"/>
        </w:rPr>
      </w:pPr>
    </w:p>
    <w:p w:rsidR="000377FF" w:rsidRPr="003A69CF" w:rsidRDefault="00E85B85" w:rsidP="001A4FB4">
      <w:pPr>
        <w:spacing w:line="360" w:lineRule="auto"/>
        <w:ind w:left="113"/>
        <w:jc w:val="both"/>
        <w:rPr>
          <w:i/>
          <w:sz w:val="20"/>
        </w:rPr>
      </w:pPr>
      <w:r w:rsidRPr="00A20381">
        <w:rPr>
          <w:b/>
          <w:spacing w:val="-5"/>
          <w:w w:val="105"/>
          <w:sz w:val="20"/>
        </w:rPr>
        <w:t xml:space="preserve">Table </w:t>
      </w:r>
      <w:r w:rsidRPr="00A20381">
        <w:rPr>
          <w:b/>
          <w:w w:val="105"/>
          <w:sz w:val="20"/>
        </w:rPr>
        <w:t xml:space="preserve">4 </w:t>
      </w:r>
      <w:r w:rsidRPr="00A20381">
        <w:rPr>
          <w:w w:val="105"/>
          <w:sz w:val="20"/>
        </w:rPr>
        <w:t xml:space="preserve">- </w:t>
      </w:r>
      <w:r w:rsidRPr="00A20381">
        <w:rPr>
          <w:i/>
          <w:spacing w:val="-3"/>
          <w:w w:val="105"/>
          <w:sz w:val="20"/>
        </w:rPr>
        <w:t xml:space="preserve">Augmented </w:t>
      </w:r>
      <w:r w:rsidRPr="00A20381">
        <w:rPr>
          <w:i/>
          <w:w w:val="105"/>
          <w:sz w:val="20"/>
        </w:rPr>
        <w:t xml:space="preserve">Dickey-Fuller </w:t>
      </w:r>
      <w:r w:rsidR="003A69CF" w:rsidRPr="00A20381">
        <w:rPr>
          <w:i/>
          <w:spacing w:val="-5"/>
          <w:w w:val="105"/>
          <w:sz w:val="20"/>
        </w:rPr>
        <w:t>Test:</w:t>
      </w:r>
      <w:r w:rsidRPr="00A20381">
        <w:rPr>
          <w:w w:val="105"/>
          <w:sz w:val="20"/>
        </w:rPr>
        <w:t xml:space="preserve"> period</w:t>
      </w:r>
      <w:r w:rsidRPr="00A20381">
        <w:rPr>
          <w:spacing w:val="-26"/>
          <w:w w:val="105"/>
          <w:sz w:val="20"/>
        </w:rPr>
        <w:t xml:space="preserve"> </w:t>
      </w:r>
      <w:r w:rsidRPr="00A20381">
        <w:rPr>
          <w:i/>
          <w:w w:val="105"/>
          <w:sz w:val="20"/>
        </w:rPr>
        <w:t>2010-12</w:t>
      </w:r>
    </w:p>
    <w:p w:rsidR="000377FF" w:rsidRPr="00A20381" w:rsidRDefault="000377FF" w:rsidP="001A4FB4">
      <w:pPr>
        <w:pStyle w:val="Corpotesto"/>
        <w:spacing w:line="360" w:lineRule="auto"/>
        <w:jc w:val="both"/>
        <w:rPr>
          <w:i/>
          <w:sz w:val="10"/>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1"/>
        <w:gridCol w:w="1103"/>
        <w:gridCol w:w="881"/>
      </w:tblGrid>
      <w:tr w:rsidR="000377FF" w:rsidRPr="00A20381">
        <w:trPr>
          <w:trHeight w:val="396"/>
        </w:trPr>
        <w:tc>
          <w:tcPr>
            <w:tcW w:w="2895" w:type="dxa"/>
            <w:gridSpan w:val="3"/>
          </w:tcPr>
          <w:p w:rsidR="000377FF" w:rsidRPr="00A20381" w:rsidRDefault="00E85B85" w:rsidP="001A4FB4">
            <w:pPr>
              <w:pStyle w:val="TableParagraph"/>
              <w:spacing w:before="93" w:line="360" w:lineRule="auto"/>
              <w:ind w:left="122"/>
              <w:jc w:val="both"/>
              <w:rPr>
                <w:i/>
                <w:sz w:val="20"/>
              </w:rPr>
            </w:pPr>
            <w:r w:rsidRPr="00A20381">
              <w:rPr>
                <w:i/>
                <w:w w:val="105"/>
                <w:sz w:val="20"/>
              </w:rPr>
              <w:t>Augmented Dickey-Fuller Test</w:t>
            </w:r>
          </w:p>
        </w:tc>
      </w:tr>
      <w:tr w:rsidR="000377FF" w:rsidRPr="00A20381">
        <w:trPr>
          <w:trHeight w:val="396"/>
        </w:trPr>
        <w:tc>
          <w:tcPr>
            <w:tcW w:w="2895" w:type="dxa"/>
            <w:gridSpan w:val="3"/>
          </w:tcPr>
          <w:p w:rsidR="000377FF" w:rsidRPr="00A20381" w:rsidRDefault="00E85B85" w:rsidP="001A4FB4">
            <w:pPr>
              <w:pStyle w:val="TableParagraph"/>
              <w:spacing w:line="360" w:lineRule="auto"/>
              <w:ind w:left="997" w:right="989"/>
              <w:jc w:val="both"/>
              <w:rPr>
                <w:sz w:val="20"/>
              </w:rPr>
            </w:pPr>
            <w:r w:rsidRPr="00A20381">
              <w:rPr>
                <w:sz w:val="20"/>
              </w:rPr>
              <w:t>Residuals</w:t>
            </w:r>
          </w:p>
        </w:tc>
      </w:tr>
      <w:tr w:rsidR="000377FF" w:rsidRPr="00A20381">
        <w:trPr>
          <w:trHeight w:val="410"/>
        </w:trPr>
        <w:tc>
          <w:tcPr>
            <w:tcW w:w="911" w:type="dxa"/>
            <w:tcBorders>
              <w:bottom w:val="double" w:sz="1" w:space="0" w:color="000000"/>
            </w:tcBorders>
          </w:tcPr>
          <w:p w:rsidR="000377FF" w:rsidRPr="00A20381" w:rsidRDefault="00E85B85" w:rsidP="001A4FB4">
            <w:pPr>
              <w:pStyle w:val="TableParagraph"/>
              <w:spacing w:before="93" w:line="360" w:lineRule="auto"/>
              <w:ind w:left="83" w:right="93"/>
              <w:jc w:val="both"/>
              <w:rPr>
                <w:i/>
                <w:sz w:val="20"/>
              </w:rPr>
            </w:pPr>
            <w:r w:rsidRPr="00A20381">
              <w:rPr>
                <w:i/>
                <w:w w:val="110"/>
                <w:sz w:val="20"/>
              </w:rPr>
              <w:t>Period</w:t>
            </w:r>
          </w:p>
        </w:tc>
        <w:tc>
          <w:tcPr>
            <w:tcW w:w="1103" w:type="dxa"/>
            <w:tcBorders>
              <w:bottom w:val="double" w:sz="1" w:space="0" w:color="000000"/>
            </w:tcBorders>
          </w:tcPr>
          <w:p w:rsidR="000377FF" w:rsidRPr="00A20381" w:rsidRDefault="00E85B85" w:rsidP="001A4FB4">
            <w:pPr>
              <w:pStyle w:val="TableParagraph"/>
              <w:spacing w:before="93" w:line="360" w:lineRule="auto"/>
              <w:ind w:left="104" w:right="104"/>
              <w:jc w:val="both"/>
              <w:rPr>
                <w:i/>
                <w:sz w:val="20"/>
              </w:rPr>
            </w:pPr>
            <w:r w:rsidRPr="00A20381">
              <w:rPr>
                <w:i/>
                <w:w w:val="105"/>
                <w:sz w:val="20"/>
              </w:rPr>
              <w:t>t-Statistic</w:t>
            </w:r>
          </w:p>
        </w:tc>
        <w:tc>
          <w:tcPr>
            <w:tcW w:w="881" w:type="dxa"/>
            <w:tcBorders>
              <w:bottom w:val="double" w:sz="1" w:space="0" w:color="000000"/>
            </w:tcBorders>
          </w:tcPr>
          <w:p w:rsidR="000377FF" w:rsidRPr="00A20381" w:rsidRDefault="00E85B85" w:rsidP="001A4FB4">
            <w:pPr>
              <w:pStyle w:val="TableParagraph"/>
              <w:spacing w:before="39" w:line="360" w:lineRule="auto"/>
              <w:ind w:left="129" w:right="129"/>
              <w:jc w:val="both"/>
              <w:rPr>
                <w:i/>
                <w:sz w:val="20"/>
              </w:rPr>
            </w:pPr>
            <w:r w:rsidRPr="00A20381">
              <w:rPr>
                <w:i/>
                <w:sz w:val="20"/>
              </w:rPr>
              <w:t>Prob.</w:t>
            </w:r>
            <w:r w:rsidRPr="00A20381">
              <w:rPr>
                <w:rFonts w:ascii="Cambria Math" w:hAnsi="Cambria Math" w:cs="Cambria Math"/>
                <w:i/>
                <w:sz w:val="20"/>
                <w:vertAlign w:val="superscript"/>
              </w:rPr>
              <w:t>∗</w:t>
            </w:r>
          </w:p>
        </w:tc>
      </w:tr>
      <w:tr w:rsidR="000377FF" w:rsidRPr="00A20381">
        <w:trPr>
          <w:trHeight w:val="410"/>
        </w:trPr>
        <w:tc>
          <w:tcPr>
            <w:tcW w:w="911" w:type="dxa"/>
            <w:tcBorders>
              <w:top w:val="double" w:sz="1" w:space="0" w:color="000000"/>
            </w:tcBorders>
          </w:tcPr>
          <w:p w:rsidR="000377FF" w:rsidRPr="00A20381" w:rsidRDefault="00E85B85" w:rsidP="001A4FB4">
            <w:pPr>
              <w:pStyle w:val="TableParagraph"/>
              <w:spacing w:before="100" w:line="360" w:lineRule="auto"/>
              <w:ind w:left="101" w:right="93"/>
              <w:jc w:val="both"/>
              <w:rPr>
                <w:sz w:val="20"/>
              </w:rPr>
            </w:pPr>
            <w:r w:rsidRPr="00A20381">
              <w:rPr>
                <w:sz w:val="20"/>
              </w:rPr>
              <w:t>2010-12</w:t>
            </w:r>
          </w:p>
        </w:tc>
        <w:tc>
          <w:tcPr>
            <w:tcW w:w="1103" w:type="dxa"/>
            <w:tcBorders>
              <w:top w:val="double" w:sz="1" w:space="0" w:color="000000"/>
            </w:tcBorders>
          </w:tcPr>
          <w:p w:rsidR="000377FF" w:rsidRPr="00A20381" w:rsidRDefault="00E85B85" w:rsidP="001A4FB4">
            <w:pPr>
              <w:pStyle w:val="TableParagraph"/>
              <w:spacing w:before="100" w:line="360" w:lineRule="auto"/>
              <w:ind w:left="104" w:right="95"/>
              <w:jc w:val="both"/>
              <w:rPr>
                <w:sz w:val="20"/>
              </w:rPr>
            </w:pPr>
            <w:r w:rsidRPr="00A20381">
              <w:rPr>
                <w:sz w:val="20"/>
              </w:rPr>
              <w:t>-5.011417</w:t>
            </w:r>
          </w:p>
        </w:tc>
        <w:tc>
          <w:tcPr>
            <w:tcW w:w="881" w:type="dxa"/>
            <w:tcBorders>
              <w:top w:val="double" w:sz="1" w:space="0" w:color="000000"/>
            </w:tcBorders>
          </w:tcPr>
          <w:p w:rsidR="000377FF" w:rsidRPr="00A20381" w:rsidRDefault="00E85B85" w:rsidP="001A4FB4">
            <w:pPr>
              <w:pStyle w:val="TableParagraph"/>
              <w:spacing w:before="100" w:line="360" w:lineRule="auto"/>
              <w:ind w:left="129" w:right="120"/>
              <w:jc w:val="both"/>
              <w:rPr>
                <w:sz w:val="20"/>
              </w:rPr>
            </w:pPr>
            <w:r w:rsidRPr="00A20381">
              <w:rPr>
                <w:sz w:val="20"/>
              </w:rPr>
              <w:t>0.0002</w:t>
            </w:r>
          </w:p>
        </w:tc>
      </w:tr>
    </w:tbl>
    <w:p w:rsidR="000377FF" w:rsidRPr="00A20381" w:rsidRDefault="000377FF" w:rsidP="001A4FB4">
      <w:pPr>
        <w:pStyle w:val="Corpotesto"/>
        <w:spacing w:before="9" w:line="360" w:lineRule="auto"/>
        <w:jc w:val="both"/>
        <w:rPr>
          <w:i/>
          <w:sz w:val="18"/>
        </w:rPr>
      </w:pPr>
    </w:p>
    <w:p w:rsidR="000377FF" w:rsidRDefault="00E85B85" w:rsidP="001A4FB4">
      <w:pPr>
        <w:pStyle w:val="Corpotesto"/>
        <w:spacing w:line="360" w:lineRule="auto"/>
        <w:ind w:left="113"/>
        <w:jc w:val="both"/>
      </w:pPr>
      <w:r w:rsidRPr="00A20381">
        <w:rPr>
          <w:i/>
        </w:rPr>
        <w:t>Source</w:t>
      </w:r>
      <w:r w:rsidR="003A69CF">
        <w:t>: author</w:t>
      </w:r>
      <w:r w:rsidRPr="00A20381">
        <w:t>s</w:t>
      </w:r>
      <w:r w:rsidR="003A69CF">
        <w:t>’</w:t>
      </w:r>
      <w:r w:rsidRPr="00A20381">
        <w:t xml:space="preserve"> own calculations in </w:t>
      </w:r>
      <w:proofErr w:type="spellStart"/>
      <w:r w:rsidRPr="00A20381">
        <w:t>Eviews</w:t>
      </w:r>
      <w:proofErr w:type="spellEnd"/>
      <w:r w:rsidRPr="00A20381">
        <w:t xml:space="preserve"> 10</w:t>
      </w:r>
      <w:r w:rsidR="00A6518A">
        <w:t xml:space="preserve"> based on Bloomberg data.</w:t>
      </w:r>
    </w:p>
    <w:p w:rsidR="00E74FF8" w:rsidRPr="00E74FF8" w:rsidRDefault="00E74FF8" w:rsidP="001A4FB4">
      <w:pPr>
        <w:pStyle w:val="Corpotesto"/>
        <w:spacing w:line="360" w:lineRule="auto"/>
        <w:ind w:left="113"/>
        <w:jc w:val="both"/>
      </w:pPr>
    </w:p>
    <w:p w:rsidR="000377FF" w:rsidRPr="00A20381" w:rsidRDefault="00E85B85" w:rsidP="001A4FB4">
      <w:pPr>
        <w:pStyle w:val="Corpotesto"/>
        <w:spacing w:line="360" w:lineRule="auto"/>
        <w:ind w:left="113" w:right="112"/>
        <w:jc w:val="both"/>
      </w:pPr>
      <w:r w:rsidRPr="00A20381">
        <w:t xml:space="preserve">Once again, the </w:t>
      </w:r>
      <w:r w:rsidRPr="00A20381">
        <w:rPr>
          <w:spacing w:val="-4"/>
        </w:rPr>
        <w:t xml:space="preserve">two </w:t>
      </w:r>
      <w:r w:rsidRPr="00A20381">
        <w:t xml:space="preserve">series are </w:t>
      </w:r>
      <w:proofErr w:type="spellStart"/>
      <w:r w:rsidRPr="00A20381">
        <w:t>cointegrated</w:t>
      </w:r>
      <w:proofErr w:type="spellEnd"/>
      <w:r w:rsidRPr="00A20381">
        <w:t xml:space="preserve">. The </w:t>
      </w:r>
      <w:r w:rsidRPr="00A20381">
        <w:rPr>
          <w:i/>
        </w:rPr>
        <w:t xml:space="preserve">VECM </w:t>
      </w:r>
      <w:r w:rsidRPr="00A20381">
        <w:t xml:space="preserve">estimation outputs, relative to this </w:t>
      </w:r>
      <w:r w:rsidR="000D4A62" w:rsidRPr="00A20381">
        <w:rPr>
          <w:spacing w:val="-3"/>
        </w:rPr>
        <w:t xml:space="preserve">interval, </w:t>
      </w:r>
      <w:r w:rsidR="003A69CF">
        <w:t>are re</w:t>
      </w:r>
      <w:r w:rsidRPr="00A20381">
        <w:t xml:space="preserve">ported in the following </w:t>
      </w:r>
      <w:r w:rsidRPr="00A20381">
        <w:rPr>
          <w:i/>
          <w:spacing w:val="-4"/>
        </w:rPr>
        <w:t xml:space="preserve">Table </w:t>
      </w:r>
      <w:r w:rsidRPr="00A20381">
        <w:rPr>
          <w:i/>
        </w:rPr>
        <w:t xml:space="preserve">5 </w:t>
      </w:r>
      <w:r w:rsidRPr="00A20381">
        <w:rPr>
          <w:spacing w:val="4"/>
        </w:rPr>
        <w:t>(</w:t>
      </w:r>
      <w:r w:rsidRPr="00A20381">
        <w:rPr>
          <w:i/>
          <w:spacing w:val="4"/>
        </w:rPr>
        <w:t>a</w:t>
      </w:r>
      <w:r w:rsidRPr="00A20381">
        <w:rPr>
          <w:spacing w:val="4"/>
        </w:rPr>
        <w:t xml:space="preserve">) </w:t>
      </w:r>
      <w:r w:rsidRPr="00A20381">
        <w:t xml:space="preserve">and </w:t>
      </w:r>
      <w:r w:rsidRPr="00A20381">
        <w:rPr>
          <w:i/>
          <w:spacing w:val="-4"/>
        </w:rPr>
        <w:t xml:space="preserve">Table </w:t>
      </w:r>
      <w:r w:rsidRPr="00A20381">
        <w:rPr>
          <w:i/>
        </w:rPr>
        <w:t>5</w:t>
      </w:r>
      <w:r w:rsidRPr="00A20381">
        <w:rPr>
          <w:i/>
          <w:spacing w:val="38"/>
        </w:rPr>
        <w:t xml:space="preserve"> </w:t>
      </w:r>
      <w:r w:rsidRPr="00A20381">
        <w:rPr>
          <w:spacing w:val="2"/>
        </w:rPr>
        <w:t>(</w:t>
      </w:r>
      <w:r w:rsidRPr="00A20381">
        <w:rPr>
          <w:i/>
          <w:spacing w:val="2"/>
        </w:rPr>
        <w:t>b</w:t>
      </w:r>
      <w:r w:rsidRPr="00A20381">
        <w:rPr>
          <w:spacing w:val="2"/>
        </w:rPr>
        <w:t>).</w:t>
      </w:r>
    </w:p>
    <w:p w:rsidR="000377FF" w:rsidRPr="00A20381" w:rsidRDefault="000377FF" w:rsidP="001A4FB4">
      <w:pPr>
        <w:spacing w:line="360" w:lineRule="auto"/>
        <w:jc w:val="both"/>
        <w:sectPr w:rsidR="000377FF" w:rsidRPr="00A20381">
          <w:pgSz w:w="12240" w:h="15840"/>
          <w:pgMar w:top="1340" w:right="1020" w:bottom="1000" w:left="1020" w:header="0" w:footer="806" w:gutter="0"/>
          <w:cols w:space="720"/>
        </w:sectPr>
      </w:pPr>
    </w:p>
    <w:p w:rsidR="000377FF" w:rsidRPr="003A69CF" w:rsidRDefault="00E85B85" w:rsidP="001A4FB4">
      <w:pPr>
        <w:spacing w:before="84" w:line="360" w:lineRule="auto"/>
        <w:ind w:left="113"/>
        <w:jc w:val="both"/>
        <w:rPr>
          <w:i/>
          <w:sz w:val="20"/>
        </w:rPr>
      </w:pPr>
      <w:r w:rsidRPr="00A20381">
        <w:rPr>
          <w:b/>
          <w:sz w:val="20"/>
        </w:rPr>
        <w:lastRenderedPageBreak/>
        <w:t xml:space="preserve">Table 5 (a) </w:t>
      </w:r>
      <w:r w:rsidRPr="00A20381">
        <w:rPr>
          <w:sz w:val="20"/>
        </w:rPr>
        <w:t xml:space="preserve">- </w:t>
      </w:r>
      <w:r w:rsidRPr="00A20381">
        <w:rPr>
          <w:i/>
          <w:sz w:val="20"/>
        </w:rPr>
        <w:t>VECM</w:t>
      </w:r>
      <w:r w:rsidRPr="00A20381">
        <w:rPr>
          <w:sz w:val="20"/>
        </w:rPr>
        <w:t xml:space="preserve">: dependent variable </w:t>
      </w:r>
      <w:r w:rsidR="00E74FF8" w:rsidRPr="00E74FF8">
        <w:rPr>
          <w:rFonts w:ascii="Calibri" w:hAnsi="Calibri"/>
          <w:sz w:val="20"/>
        </w:rPr>
        <w:t>Δ</w:t>
      </w:r>
      <w:r w:rsidRPr="00E74FF8">
        <w:rPr>
          <w:i/>
          <w:sz w:val="20"/>
        </w:rPr>
        <w:t>CDS</w:t>
      </w:r>
      <w:r w:rsidRPr="00A20381">
        <w:rPr>
          <w:i/>
          <w:sz w:val="20"/>
        </w:rPr>
        <w:t xml:space="preserve"> </w:t>
      </w:r>
      <w:r w:rsidRPr="00A20381">
        <w:rPr>
          <w:sz w:val="20"/>
        </w:rPr>
        <w:t xml:space="preserve">- period </w:t>
      </w:r>
      <w:r w:rsidRPr="00A20381">
        <w:rPr>
          <w:i/>
          <w:sz w:val="20"/>
        </w:rPr>
        <w:t>2010-12</w:t>
      </w:r>
    </w:p>
    <w:p w:rsidR="000377FF" w:rsidRPr="00A20381" w:rsidRDefault="000377FF" w:rsidP="001A4FB4">
      <w:pPr>
        <w:pStyle w:val="Corpotesto"/>
        <w:spacing w:after="1" w:line="360" w:lineRule="auto"/>
        <w:jc w:val="both"/>
        <w:rPr>
          <w:i/>
          <w:sz w:val="10"/>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3"/>
        <w:gridCol w:w="1328"/>
        <w:gridCol w:w="1304"/>
        <w:gridCol w:w="1238"/>
        <w:gridCol w:w="804"/>
      </w:tblGrid>
      <w:tr w:rsidR="000377FF" w:rsidRPr="00A20381">
        <w:trPr>
          <w:trHeight w:val="410"/>
        </w:trPr>
        <w:tc>
          <w:tcPr>
            <w:tcW w:w="543" w:type="dxa"/>
            <w:tcBorders>
              <w:bottom w:val="double" w:sz="1" w:space="0" w:color="000000"/>
            </w:tcBorders>
          </w:tcPr>
          <w:p w:rsidR="000377FF" w:rsidRPr="00A20381" w:rsidRDefault="000377FF" w:rsidP="001A4FB4">
            <w:pPr>
              <w:pStyle w:val="TableParagraph"/>
              <w:spacing w:before="0" w:line="360" w:lineRule="auto"/>
              <w:jc w:val="both"/>
              <w:rPr>
                <w:sz w:val="18"/>
              </w:rPr>
            </w:pPr>
          </w:p>
        </w:tc>
        <w:tc>
          <w:tcPr>
            <w:tcW w:w="1328" w:type="dxa"/>
            <w:tcBorders>
              <w:bottom w:val="double" w:sz="1" w:space="0" w:color="000000"/>
            </w:tcBorders>
          </w:tcPr>
          <w:p w:rsidR="000377FF" w:rsidRPr="00A20381" w:rsidRDefault="00E85B85" w:rsidP="001A4FB4">
            <w:pPr>
              <w:pStyle w:val="TableParagraph"/>
              <w:spacing w:before="94" w:line="360" w:lineRule="auto"/>
              <w:ind w:left="82" w:right="74"/>
              <w:jc w:val="both"/>
              <w:rPr>
                <w:b/>
                <w:sz w:val="20"/>
              </w:rPr>
            </w:pPr>
            <w:r w:rsidRPr="00A20381">
              <w:rPr>
                <w:b/>
                <w:sz w:val="20"/>
              </w:rPr>
              <w:t>Coefficient</w:t>
            </w:r>
          </w:p>
        </w:tc>
        <w:tc>
          <w:tcPr>
            <w:tcW w:w="1304" w:type="dxa"/>
            <w:tcBorders>
              <w:bottom w:val="double" w:sz="1" w:space="0" w:color="000000"/>
            </w:tcBorders>
          </w:tcPr>
          <w:p w:rsidR="000377FF" w:rsidRPr="00A20381" w:rsidRDefault="00E85B85" w:rsidP="001A4FB4">
            <w:pPr>
              <w:pStyle w:val="TableParagraph"/>
              <w:spacing w:before="94" w:line="360" w:lineRule="auto"/>
              <w:ind w:left="110" w:right="101"/>
              <w:jc w:val="both"/>
              <w:rPr>
                <w:b/>
                <w:sz w:val="20"/>
              </w:rPr>
            </w:pPr>
            <w:r w:rsidRPr="00A20381">
              <w:rPr>
                <w:b/>
                <w:sz w:val="20"/>
              </w:rPr>
              <w:t>Std. Error</w:t>
            </w:r>
          </w:p>
        </w:tc>
        <w:tc>
          <w:tcPr>
            <w:tcW w:w="1238" w:type="dxa"/>
            <w:tcBorders>
              <w:bottom w:val="double" w:sz="1" w:space="0" w:color="000000"/>
            </w:tcBorders>
          </w:tcPr>
          <w:p w:rsidR="000377FF" w:rsidRPr="00A20381" w:rsidRDefault="00E85B85" w:rsidP="001A4FB4">
            <w:pPr>
              <w:pStyle w:val="TableParagraph"/>
              <w:spacing w:before="94" w:line="360" w:lineRule="auto"/>
              <w:ind w:left="102" w:right="93"/>
              <w:jc w:val="both"/>
              <w:rPr>
                <w:b/>
                <w:sz w:val="20"/>
              </w:rPr>
            </w:pPr>
            <w:r w:rsidRPr="00A20381">
              <w:rPr>
                <w:b/>
                <w:sz w:val="20"/>
              </w:rPr>
              <w:t>t-Statistic</w:t>
            </w:r>
          </w:p>
        </w:tc>
        <w:tc>
          <w:tcPr>
            <w:tcW w:w="804" w:type="dxa"/>
            <w:tcBorders>
              <w:bottom w:val="double" w:sz="1" w:space="0" w:color="000000"/>
            </w:tcBorders>
          </w:tcPr>
          <w:p w:rsidR="000377FF" w:rsidRPr="00A20381" w:rsidRDefault="00E85B85" w:rsidP="001A4FB4">
            <w:pPr>
              <w:pStyle w:val="TableParagraph"/>
              <w:spacing w:before="94" w:line="360" w:lineRule="auto"/>
              <w:ind w:right="112"/>
              <w:jc w:val="both"/>
              <w:rPr>
                <w:b/>
                <w:sz w:val="20"/>
              </w:rPr>
            </w:pPr>
            <w:r w:rsidRPr="00A20381">
              <w:rPr>
                <w:b/>
                <w:w w:val="95"/>
                <w:sz w:val="20"/>
              </w:rPr>
              <w:t>Prob.</w:t>
            </w:r>
          </w:p>
        </w:tc>
      </w:tr>
      <w:tr w:rsidR="000377FF" w:rsidRPr="00A20381">
        <w:trPr>
          <w:trHeight w:val="410"/>
        </w:trPr>
        <w:tc>
          <w:tcPr>
            <w:tcW w:w="543" w:type="dxa"/>
            <w:tcBorders>
              <w:top w:val="double" w:sz="1" w:space="0" w:color="000000"/>
            </w:tcBorders>
          </w:tcPr>
          <w:p w:rsidR="000377FF" w:rsidRPr="00A20381" w:rsidRDefault="00E85B85" w:rsidP="001A4FB4">
            <w:pPr>
              <w:pStyle w:val="TableParagraph"/>
              <w:spacing w:before="108" w:line="360" w:lineRule="auto"/>
              <w:ind w:left="97" w:right="98"/>
              <w:jc w:val="both"/>
              <w:rPr>
                <w:sz w:val="14"/>
              </w:rPr>
            </w:pPr>
            <w:r w:rsidRPr="00A20381">
              <w:rPr>
                <w:i/>
                <w:position w:val="3"/>
                <w:sz w:val="20"/>
              </w:rPr>
              <w:t>β</w:t>
            </w:r>
            <w:r w:rsidRPr="00A20381">
              <w:rPr>
                <w:sz w:val="14"/>
              </w:rPr>
              <w:t>10</w:t>
            </w:r>
          </w:p>
        </w:tc>
        <w:tc>
          <w:tcPr>
            <w:tcW w:w="1328" w:type="dxa"/>
            <w:tcBorders>
              <w:top w:val="double" w:sz="1" w:space="0" w:color="000000"/>
            </w:tcBorders>
          </w:tcPr>
          <w:p w:rsidR="000377FF" w:rsidRPr="00A20381" w:rsidRDefault="00E85B85" w:rsidP="001A4FB4">
            <w:pPr>
              <w:pStyle w:val="TableParagraph"/>
              <w:spacing w:before="100" w:line="360" w:lineRule="auto"/>
              <w:ind w:left="82" w:right="74"/>
              <w:jc w:val="both"/>
              <w:rPr>
                <w:sz w:val="20"/>
              </w:rPr>
            </w:pPr>
            <w:r w:rsidRPr="00A20381">
              <w:rPr>
                <w:sz w:val="20"/>
              </w:rPr>
              <w:t>0.002002</w:t>
            </w:r>
          </w:p>
        </w:tc>
        <w:tc>
          <w:tcPr>
            <w:tcW w:w="1304" w:type="dxa"/>
            <w:tcBorders>
              <w:top w:val="double" w:sz="1" w:space="0" w:color="000000"/>
            </w:tcBorders>
          </w:tcPr>
          <w:p w:rsidR="000377FF" w:rsidRPr="00A20381" w:rsidRDefault="00E85B85" w:rsidP="001A4FB4">
            <w:pPr>
              <w:pStyle w:val="TableParagraph"/>
              <w:spacing w:before="100" w:line="360" w:lineRule="auto"/>
              <w:ind w:left="110" w:right="101"/>
              <w:jc w:val="both"/>
              <w:rPr>
                <w:sz w:val="20"/>
              </w:rPr>
            </w:pPr>
            <w:r w:rsidRPr="00A20381">
              <w:rPr>
                <w:sz w:val="20"/>
              </w:rPr>
              <w:t>0.004302</w:t>
            </w:r>
          </w:p>
        </w:tc>
        <w:tc>
          <w:tcPr>
            <w:tcW w:w="1238" w:type="dxa"/>
            <w:tcBorders>
              <w:top w:val="double" w:sz="1" w:space="0" w:color="000000"/>
            </w:tcBorders>
          </w:tcPr>
          <w:p w:rsidR="000377FF" w:rsidRPr="00A20381" w:rsidRDefault="00E85B85" w:rsidP="001A4FB4">
            <w:pPr>
              <w:pStyle w:val="TableParagraph"/>
              <w:spacing w:before="100" w:line="360" w:lineRule="auto"/>
              <w:ind w:left="102" w:right="93"/>
              <w:jc w:val="both"/>
              <w:rPr>
                <w:sz w:val="20"/>
              </w:rPr>
            </w:pPr>
            <w:r w:rsidRPr="00A20381">
              <w:rPr>
                <w:sz w:val="20"/>
              </w:rPr>
              <w:t>0.465405</w:t>
            </w:r>
          </w:p>
        </w:tc>
        <w:tc>
          <w:tcPr>
            <w:tcW w:w="804" w:type="dxa"/>
            <w:tcBorders>
              <w:top w:val="double" w:sz="1" w:space="0" w:color="000000"/>
            </w:tcBorders>
          </w:tcPr>
          <w:p w:rsidR="000377FF" w:rsidRPr="00A20381" w:rsidRDefault="00E85B85" w:rsidP="001A4FB4">
            <w:pPr>
              <w:pStyle w:val="TableParagraph"/>
              <w:spacing w:before="100" w:line="360" w:lineRule="auto"/>
              <w:ind w:right="114"/>
              <w:jc w:val="both"/>
              <w:rPr>
                <w:sz w:val="20"/>
              </w:rPr>
            </w:pPr>
            <w:r w:rsidRPr="00A20381">
              <w:rPr>
                <w:sz w:val="20"/>
              </w:rPr>
              <w:t>0.6418</w:t>
            </w:r>
          </w:p>
        </w:tc>
      </w:tr>
      <w:tr w:rsidR="000377FF" w:rsidRPr="00A20381">
        <w:trPr>
          <w:trHeight w:val="396"/>
        </w:trPr>
        <w:tc>
          <w:tcPr>
            <w:tcW w:w="543" w:type="dxa"/>
          </w:tcPr>
          <w:p w:rsidR="000377FF" w:rsidRPr="00A20381" w:rsidRDefault="00E85B85" w:rsidP="001A4FB4">
            <w:pPr>
              <w:pStyle w:val="TableParagraph"/>
              <w:spacing w:before="94" w:line="360" w:lineRule="auto"/>
              <w:ind w:left="97" w:right="98"/>
              <w:jc w:val="both"/>
              <w:rPr>
                <w:sz w:val="14"/>
              </w:rPr>
            </w:pPr>
            <w:r w:rsidRPr="00A20381">
              <w:rPr>
                <w:i/>
                <w:position w:val="3"/>
                <w:sz w:val="20"/>
              </w:rPr>
              <w:t>β</w:t>
            </w:r>
            <w:r w:rsidRPr="00A20381">
              <w:rPr>
                <w:sz w:val="14"/>
              </w:rPr>
              <w:t>11</w:t>
            </w:r>
          </w:p>
        </w:tc>
        <w:tc>
          <w:tcPr>
            <w:tcW w:w="1328" w:type="dxa"/>
          </w:tcPr>
          <w:p w:rsidR="000377FF" w:rsidRPr="00A20381" w:rsidRDefault="00E85B85" w:rsidP="001A4FB4">
            <w:pPr>
              <w:pStyle w:val="TableParagraph"/>
              <w:spacing w:line="360" w:lineRule="auto"/>
              <w:ind w:left="82" w:right="74"/>
              <w:jc w:val="both"/>
              <w:rPr>
                <w:sz w:val="20"/>
              </w:rPr>
            </w:pPr>
            <w:r w:rsidRPr="00A20381">
              <w:rPr>
                <w:sz w:val="20"/>
              </w:rPr>
              <w:t>0.097455</w:t>
            </w:r>
          </w:p>
        </w:tc>
        <w:tc>
          <w:tcPr>
            <w:tcW w:w="1304" w:type="dxa"/>
          </w:tcPr>
          <w:p w:rsidR="000377FF" w:rsidRPr="00A20381" w:rsidRDefault="00E85B85" w:rsidP="001A4FB4">
            <w:pPr>
              <w:pStyle w:val="TableParagraph"/>
              <w:spacing w:line="360" w:lineRule="auto"/>
              <w:ind w:left="110" w:right="101"/>
              <w:jc w:val="both"/>
              <w:rPr>
                <w:sz w:val="20"/>
              </w:rPr>
            </w:pPr>
            <w:r w:rsidRPr="00A20381">
              <w:rPr>
                <w:sz w:val="20"/>
              </w:rPr>
              <w:t>0.088156</w:t>
            </w:r>
          </w:p>
        </w:tc>
        <w:tc>
          <w:tcPr>
            <w:tcW w:w="1238" w:type="dxa"/>
          </w:tcPr>
          <w:p w:rsidR="000377FF" w:rsidRPr="00A20381" w:rsidRDefault="00E85B85" w:rsidP="001A4FB4">
            <w:pPr>
              <w:pStyle w:val="TableParagraph"/>
              <w:spacing w:line="360" w:lineRule="auto"/>
              <w:ind w:left="102" w:right="93"/>
              <w:jc w:val="both"/>
              <w:rPr>
                <w:sz w:val="20"/>
              </w:rPr>
            </w:pPr>
            <w:r w:rsidRPr="00A20381">
              <w:rPr>
                <w:sz w:val="20"/>
              </w:rPr>
              <w:t>1.105493</w:t>
            </w:r>
          </w:p>
        </w:tc>
        <w:tc>
          <w:tcPr>
            <w:tcW w:w="804" w:type="dxa"/>
          </w:tcPr>
          <w:p w:rsidR="000377FF" w:rsidRPr="00A20381" w:rsidRDefault="00E85B85" w:rsidP="001A4FB4">
            <w:pPr>
              <w:pStyle w:val="TableParagraph"/>
              <w:spacing w:line="360" w:lineRule="auto"/>
              <w:ind w:right="114"/>
              <w:jc w:val="both"/>
              <w:rPr>
                <w:sz w:val="20"/>
              </w:rPr>
            </w:pPr>
            <w:r w:rsidRPr="00A20381">
              <w:rPr>
                <w:sz w:val="20"/>
              </w:rPr>
              <w:t>0.2693</w:t>
            </w:r>
          </w:p>
        </w:tc>
      </w:tr>
      <w:tr w:rsidR="000377FF" w:rsidRPr="00A20381">
        <w:trPr>
          <w:trHeight w:val="396"/>
        </w:trPr>
        <w:tc>
          <w:tcPr>
            <w:tcW w:w="543" w:type="dxa"/>
          </w:tcPr>
          <w:p w:rsidR="000377FF" w:rsidRPr="00A20381" w:rsidRDefault="00E85B85" w:rsidP="001A4FB4">
            <w:pPr>
              <w:pStyle w:val="TableParagraph"/>
              <w:spacing w:before="94" w:line="360" w:lineRule="auto"/>
              <w:ind w:left="97" w:right="98"/>
              <w:jc w:val="both"/>
              <w:rPr>
                <w:sz w:val="14"/>
              </w:rPr>
            </w:pPr>
            <w:r w:rsidRPr="00A20381">
              <w:rPr>
                <w:i/>
                <w:position w:val="3"/>
                <w:sz w:val="20"/>
              </w:rPr>
              <w:t>β</w:t>
            </w:r>
            <w:r w:rsidRPr="00A20381">
              <w:rPr>
                <w:sz w:val="14"/>
              </w:rPr>
              <w:t>12</w:t>
            </w:r>
          </w:p>
        </w:tc>
        <w:tc>
          <w:tcPr>
            <w:tcW w:w="1328" w:type="dxa"/>
          </w:tcPr>
          <w:p w:rsidR="000377FF" w:rsidRPr="00A20381" w:rsidRDefault="00E85B85" w:rsidP="001A4FB4">
            <w:pPr>
              <w:pStyle w:val="TableParagraph"/>
              <w:spacing w:line="360" w:lineRule="auto"/>
              <w:ind w:left="82" w:right="73"/>
              <w:jc w:val="both"/>
              <w:rPr>
                <w:sz w:val="20"/>
              </w:rPr>
            </w:pPr>
            <w:r w:rsidRPr="00A20381">
              <w:rPr>
                <w:sz w:val="20"/>
              </w:rPr>
              <w:t>-0.002739</w:t>
            </w:r>
          </w:p>
        </w:tc>
        <w:tc>
          <w:tcPr>
            <w:tcW w:w="1304" w:type="dxa"/>
          </w:tcPr>
          <w:p w:rsidR="000377FF" w:rsidRPr="00A20381" w:rsidRDefault="00E85B85" w:rsidP="001A4FB4">
            <w:pPr>
              <w:pStyle w:val="TableParagraph"/>
              <w:spacing w:line="360" w:lineRule="auto"/>
              <w:ind w:left="110" w:right="101"/>
              <w:jc w:val="both"/>
              <w:rPr>
                <w:sz w:val="20"/>
              </w:rPr>
            </w:pPr>
            <w:r w:rsidRPr="00A20381">
              <w:rPr>
                <w:sz w:val="20"/>
              </w:rPr>
              <w:t>0.067369</w:t>
            </w:r>
          </w:p>
        </w:tc>
        <w:tc>
          <w:tcPr>
            <w:tcW w:w="1238" w:type="dxa"/>
          </w:tcPr>
          <w:p w:rsidR="000377FF" w:rsidRPr="00A20381" w:rsidRDefault="00E85B85" w:rsidP="001A4FB4">
            <w:pPr>
              <w:pStyle w:val="TableParagraph"/>
              <w:spacing w:line="360" w:lineRule="auto"/>
              <w:ind w:left="102" w:right="93"/>
              <w:jc w:val="both"/>
              <w:rPr>
                <w:sz w:val="20"/>
              </w:rPr>
            </w:pPr>
            <w:r w:rsidRPr="00A20381">
              <w:rPr>
                <w:sz w:val="20"/>
              </w:rPr>
              <w:t>-0.040664</w:t>
            </w:r>
          </w:p>
        </w:tc>
        <w:tc>
          <w:tcPr>
            <w:tcW w:w="804" w:type="dxa"/>
          </w:tcPr>
          <w:p w:rsidR="000377FF" w:rsidRPr="00A20381" w:rsidRDefault="00E85B85" w:rsidP="001A4FB4">
            <w:pPr>
              <w:pStyle w:val="TableParagraph"/>
              <w:spacing w:line="360" w:lineRule="auto"/>
              <w:ind w:right="114"/>
              <w:jc w:val="both"/>
              <w:rPr>
                <w:sz w:val="20"/>
              </w:rPr>
            </w:pPr>
            <w:r w:rsidRPr="00A20381">
              <w:rPr>
                <w:sz w:val="20"/>
              </w:rPr>
              <w:t>0.9676</w:t>
            </w:r>
          </w:p>
        </w:tc>
      </w:tr>
      <w:tr w:rsidR="000377FF" w:rsidRPr="00A20381">
        <w:trPr>
          <w:trHeight w:val="396"/>
        </w:trPr>
        <w:tc>
          <w:tcPr>
            <w:tcW w:w="543" w:type="dxa"/>
          </w:tcPr>
          <w:p w:rsidR="000377FF" w:rsidRPr="00A20381" w:rsidRDefault="00E85B85" w:rsidP="001A4FB4">
            <w:pPr>
              <w:pStyle w:val="TableParagraph"/>
              <w:spacing w:before="94" w:line="360" w:lineRule="auto"/>
              <w:ind w:left="97" w:right="98"/>
              <w:jc w:val="both"/>
              <w:rPr>
                <w:sz w:val="14"/>
              </w:rPr>
            </w:pPr>
            <w:r w:rsidRPr="00A20381">
              <w:rPr>
                <w:i/>
                <w:position w:val="3"/>
                <w:sz w:val="20"/>
              </w:rPr>
              <w:t>α</w:t>
            </w:r>
            <w:r w:rsidRPr="00A20381">
              <w:rPr>
                <w:sz w:val="14"/>
              </w:rPr>
              <w:t>11</w:t>
            </w:r>
          </w:p>
        </w:tc>
        <w:tc>
          <w:tcPr>
            <w:tcW w:w="1328" w:type="dxa"/>
          </w:tcPr>
          <w:p w:rsidR="000377FF" w:rsidRPr="00A20381" w:rsidRDefault="00E85B85" w:rsidP="001A4FB4">
            <w:pPr>
              <w:pStyle w:val="TableParagraph"/>
              <w:spacing w:line="360" w:lineRule="auto"/>
              <w:ind w:left="82" w:right="74"/>
              <w:jc w:val="both"/>
              <w:rPr>
                <w:sz w:val="20"/>
              </w:rPr>
            </w:pPr>
            <w:r w:rsidRPr="00A20381">
              <w:rPr>
                <w:sz w:val="20"/>
              </w:rPr>
              <w:t>0.079697</w:t>
            </w:r>
          </w:p>
        </w:tc>
        <w:tc>
          <w:tcPr>
            <w:tcW w:w="1304" w:type="dxa"/>
          </w:tcPr>
          <w:p w:rsidR="000377FF" w:rsidRPr="00A20381" w:rsidRDefault="00E85B85" w:rsidP="001A4FB4">
            <w:pPr>
              <w:pStyle w:val="TableParagraph"/>
              <w:spacing w:line="360" w:lineRule="auto"/>
              <w:ind w:left="110" w:right="101"/>
              <w:jc w:val="both"/>
              <w:rPr>
                <w:sz w:val="20"/>
              </w:rPr>
            </w:pPr>
            <w:r w:rsidRPr="00A20381">
              <w:rPr>
                <w:sz w:val="20"/>
              </w:rPr>
              <w:t>0.079522</w:t>
            </w:r>
          </w:p>
        </w:tc>
        <w:tc>
          <w:tcPr>
            <w:tcW w:w="1238" w:type="dxa"/>
          </w:tcPr>
          <w:p w:rsidR="000377FF" w:rsidRPr="00A20381" w:rsidRDefault="00E85B85" w:rsidP="001A4FB4">
            <w:pPr>
              <w:pStyle w:val="TableParagraph"/>
              <w:spacing w:line="360" w:lineRule="auto"/>
              <w:ind w:left="102" w:right="93"/>
              <w:jc w:val="both"/>
              <w:rPr>
                <w:sz w:val="20"/>
              </w:rPr>
            </w:pPr>
            <w:r w:rsidRPr="00A20381">
              <w:rPr>
                <w:sz w:val="20"/>
              </w:rPr>
              <w:t>1.002194</w:t>
            </w:r>
          </w:p>
        </w:tc>
        <w:tc>
          <w:tcPr>
            <w:tcW w:w="804" w:type="dxa"/>
          </w:tcPr>
          <w:p w:rsidR="000377FF" w:rsidRPr="00A20381" w:rsidRDefault="00E85B85" w:rsidP="001A4FB4">
            <w:pPr>
              <w:pStyle w:val="TableParagraph"/>
              <w:spacing w:line="360" w:lineRule="auto"/>
              <w:ind w:right="114"/>
              <w:jc w:val="both"/>
              <w:rPr>
                <w:sz w:val="20"/>
              </w:rPr>
            </w:pPr>
            <w:r w:rsidRPr="00A20381">
              <w:rPr>
                <w:sz w:val="20"/>
              </w:rPr>
              <w:t>0.3166</w:t>
            </w:r>
          </w:p>
        </w:tc>
      </w:tr>
      <w:tr w:rsidR="000377FF" w:rsidRPr="00A20381">
        <w:trPr>
          <w:trHeight w:val="396"/>
        </w:trPr>
        <w:tc>
          <w:tcPr>
            <w:tcW w:w="543" w:type="dxa"/>
          </w:tcPr>
          <w:p w:rsidR="000377FF" w:rsidRPr="00A20381" w:rsidRDefault="00E85B85" w:rsidP="001A4FB4">
            <w:pPr>
              <w:pStyle w:val="TableParagraph"/>
              <w:spacing w:before="94" w:line="360" w:lineRule="auto"/>
              <w:ind w:left="97" w:right="98"/>
              <w:jc w:val="both"/>
              <w:rPr>
                <w:sz w:val="14"/>
              </w:rPr>
            </w:pPr>
            <w:r w:rsidRPr="00A20381">
              <w:rPr>
                <w:i/>
                <w:position w:val="3"/>
                <w:sz w:val="20"/>
              </w:rPr>
              <w:t>α</w:t>
            </w:r>
            <w:r w:rsidRPr="00A20381">
              <w:rPr>
                <w:sz w:val="14"/>
              </w:rPr>
              <w:t>12</w:t>
            </w:r>
          </w:p>
        </w:tc>
        <w:tc>
          <w:tcPr>
            <w:tcW w:w="1328" w:type="dxa"/>
          </w:tcPr>
          <w:p w:rsidR="000377FF" w:rsidRPr="00A20381" w:rsidRDefault="00E85B85" w:rsidP="001A4FB4">
            <w:pPr>
              <w:pStyle w:val="TableParagraph"/>
              <w:spacing w:line="360" w:lineRule="auto"/>
              <w:ind w:left="82" w:right="73"/>
              <w:jc w:val="both"/>
              <w:rPr>
                <w:sz w:val="20"/>
              </w:rPr>
            </w:pPr>
            <w:r w:rsidRPr="00A20381">
              <w:rPr>
                <w:sz w:val="20"/>
              </w:rPr>
              <w:t>-0.092484</w:t>
            </w:r>
          </w:p>
        </w:tc>
        <w:tc>
          <w:tcPr>
            <w:tcW w:w="1304" w:type="dxa"/>
          </w:tcPr>
          <w:p w:rsidR="000377FF" w:rsidRPr="00A20381" w:rsidRDefault="00E85B85" w:rsidP="001A4FB4">
            <w:pPr>
              <w:pStyle w:val="TableParagraph"/>
              <w:spacing w:line="360" w:lineRule="auto"/>
              <w:ind w:left="110" w:right="101"/>
              <w:jc w:val="both"/>
              <w:rPr>
                <w:sz w:val="20"/>
              </w:rPr>
            </w:pPr>
            <w:r w:rsidRPr="00A20381">
              <w:rPr>
                <w:sz w:val="20"/>
              </w:rPr>
              <w:t>0.064437</w:t>
            </w:r>
          </w:p>
        </w:tc>
        <w:tc>
          <w:tcPr>
            <w:tcW w:w="1238" w:type="dxa"/>
          </w:tcPr>
          <w:p w:rsidR="000377FF" w:rsidRPr="00A20381" w:rsidRDefault="00E85B85" w:rsidP="001A4FB4">
            <w:pPr>
              <w:pStyle w:val="TableParagraph"/>
              <w:spacing w:line="360" w:lineRule="auto"/>
              <w:ind w:left="102" w:right="93"/>
              <w:jc w:val="both"/>
              <w:rPr>
                <w:sz w:val="20"/>
              </w:rPr>
            </w:pPr>
            <w:r w:rsidRPr="00A20381">
              <w:rPr>
                <w:sz w:val="20"/>
              </w:rPr>
              <w:t>-1.435251</w:t>
            </w:r>
          </w:p>
        </w:tc>
        <w:tc>
          <w:tcPr>
            <w:tcW w:w="804" w:type="dxa"/>
          </w:tcPr>
          <w:p w:rsidR="000377FF" w:rsidRPr="00A20381" w:rsidRDefault="00E85B85" w:rsidP="001A4FB4">
            <w:pPr>
              <w:pStyle w:val="TableParagraph"/>
              <w:spacing w:line="360" w:lineRule="auto"/>
              <w:ind w:right="114"/>
              <w:jc w:val="both"/>
              <w:rPr>
                <w:sz w:val="20"/>
              </w:rPr>
            </w:pPr>
            <w:r w:rsidRPr="00A20381">
              <w:rPr>
                <w:sz w:val="20"/>
              </w:rPr>
              <w:t>0.1516</w:t>
            </w:r>
          </w:p>
        </w:tc>
      </w:tr>
      <w:tr w:rsidR="000377FF" w:rsidRPr="00A20381">
        <w:trPr>
          <w:trHeight w:val="396"/>
        </w:trPr>
        <w:tc>
          <w:tcPr>
            <w:tcW w:w="543" w:type="dxa"/>
          </w:tcPr>
          <w:p w:rsidR="000377FF" w:rsidRPr="00A20381" w:rsidRDefault="00E85B85" w:rsidP="001A4FB4">
            <w:pPr>
              <w:pStyle w:val="TableParagraph"/>
              <w:spacing w:before="77" w:line="360" w:lineRule="auto"/>
              <w:ind w:left="97" w:right="98"/>
              <w:jc w:val="both"/>
              <w:rPr>
                <w:sz w:val="20"/>
              </w:rPr>
            </w:pPr>
            <w:r w:rsidRPr="00A20381">
              <w:rPr>
                <w:i/>
                <w:sz w:val="20"/>
              </w:rPr>
              <w:t>λ</w:t>
            </w:r>
            <w:r w:rsidRPr="00A20381">
              <w:rPr>
                <w:sz w:val="20"/>
                <w:vertAlign w:val="subscript"/>
              </w:rPr>
              <w:t>1</w:t>
            </w:r>
          </w:p>
        </w:tc>
        <w:tc>
          <w:tcPr>
            <w:tcW w:w="1328" w:type="dxa"/>
          </w:tcPr>
          <w:p w:rsidR="000377FF" w:rsidRPr="00A20381" w:rsidRDefault="00E85B85" w:rsidP="001A4FB4">
            <w:pPr>
              <w:pStyle w:val="TableParagraph"/>
              <w:spacing w:before="39" w:line="360" w:lineRule="auto"/>
              <w:ind w:left="73" w:right="74"/>
              <w:jc w:val="both"/>
              <w:rPr>
                <w:i/>
                <w:sz w:val="20"/>
              </w:rPr>
            </w:pPr>
            <w:r w:rsidRPr="00A20381">
              <w:rPr>
                <w:i/>
                <w:w w:val="105"/>
                <w:sz w:val="20"/>
              </w:rPr>
              <w:t>−</w:t>
            </w:r>
            <w:r w:rsidRPr="00A20381">
              <w:rPr>
                <w:w w:val="105"/>
                <w:sz w:val="20"/>
              </w:rPr>
              <w:t>0</w:t>
            </w:r>
            <w:r w:rsidRPr="00A20381">
              <w:rPr>
                <w:i/>
                <w:w w:val="105"/>
                <w:sz w:val="20"/>
              </w:rPr>
              <w:t>.</w:t>
            </w:r>
            <w:r w:rsidRPr="00A20381">
              <w:rPr>
                <w:w w:val="105"/>
                <w:sz w:val="20"/>
              </w:rPr>
              <w:t>048971</w:t>
            </w:r>
            <w:r w:rsidRPr="00A20381">
              <w:rPr>
                <w:rFonts w:ascii="Cambria Math" w:hAnsi="Cambria Math" w:cs="Cambria Math"/>
                <w:i/>
                <w:w w:val="105"/>
                <w:sz w:val="20"/>
                <w:vertAlign w:val="superscript"/>
              </w:rPr>
              <w:t>∗∗</w:t>
            </w:r>
          </w:p>
        </w:tc>
        <w:tc>
          <w:tcPr>
            <w:tcW w:w="1304" w:type="dxa"/>
          </w:tcPr>
          <w:p w:rsidR="000377FF" w:rsidRPr="00A20381" w:rsidRDefault="00E85B85" w:rsidP="001A4FB4">
            <w:pPr>
              <w:pStyle w:val="TableParagraph"/>
              <w:spacing w:line="360" w:lineRule="auto"/>
              <w:ind w:left="110" w:right="101"/>
              <w:jc w:val="both"/>
              <w:rPr>
                <w:sz w:val="20"/>
              </w:rPr>
            </w:pPr>
            <w:r w:rsidRPr="00A20381">
              <w:rPr>
                <w:sz w:val="20"/>
              </w:rPr>
              <w:t>0.020721</w:t>
            </w:r>
          </w:p>
        </w:tc>
        <w:tc>
          <w:tcPr>
            <w:tcW w:w="1238" w:type="dxa"/>
          </w:tcPr>
          <w:p w:rsidR="000377FF" w:rsidRPr="00A20381" w:rsidRDefault="00E85B85" w:rsidP="001A4FB4">
            <w:pPr>
              <w:pStyle w:val="TableParagraph"/>
              <w:spacing w:line="360" w:lineRule="auto"/>
              <w:ind w:left="102" w:right="93"/>
              <w:jc w:val="both"/>
              <w:rPr>
                <w:sz w:val="20"/>
              </w:rPr>
            </w:pPr>
            <w:r w:rsidRPr="00A20381">
              <w:rPr>
                <w:sz w:val="20"/>
              </w:rPr>
              <w:t>-2.363368</w:t>
            </w:r>
          </w:p>
        </w:tc>
        <w:tc>
          <w:tcPr>
            <w:tcW w:w="804" w:type="dxa"/>
          </w:tcPr>
          <w:p w:rsidR="000377FF" w:rsidRPr="00A20381" w:rsidRDefault="00E85B85" w:rsidP="001A4FB4">
            <w:pPr>
              <w:pStyle w:val="TableParagraph"/>
              <w:spacing w:line="360" w:lineRule="auto"/>
              <w:ind w:right="114"/>
              <w:jc w:val="both"/>
              <w:rPr>
                <w:sz w:val="20"/>
              </w:rPr>
            </w:pPr>
            <w:r w:rsidRPr="00A20381">
              <w:rPr>
                <w:sz w:val="20"/>
              </w:rPr>
              <w:t>0.0184</w:t>
            </w:r>
          </w:p>
        </w:tc>
      </w:tr>
    </w:tbl>
    <w:p w:rsidR="000377FF" w:rsidRPr="00A20381" w:rsidRDefault="000377FF" w:rsidP="001A4FB4">
      <w:pPr>
        <w:pStyle w:val="Corpotesto"/>
        <w:spacing w:before="9" w:line="360" w:lineRule="auto"/>
        <w:jc w:val="both"/>
        <w:rPr>
          <w:i/>
          <w:sz w:val="18"/>
        </w:rPr>
      </w:pPr>
    </w:p>
    <w:p w:rsidR="000377FF" w:rsidRPr="00A6518A" w:rsidRDefault="00A6518A" w:rsidP="001A4FB4">
      <w:pPr>
        <w:pStyle w:val="Corpotesto"/>
        <w:spacing w:line="360" w:lineRule="auto"/>
        <w:ind w:left="113"/>
        <w:jc w:val="both"/>
      </w:pPr>
      <w:r w:rsidRPr="00A6518A">
        <w:rPr>
          <w:i/>
        </w:rPr>
        <w:t>Note</w:t>
      </w:r>
      <w:r>
        <w:t>: **</w:t>
      </w:r>
      <w:r w:rsidRPr="00A6518A">
        <w:t xml:space="preserve"> sig</w:t>
      </w:r>
      <w:r>
        <w:t>nals parameter significance at 5</w:t>
      </w:r>
      <w:r w:rsidRPr="00A6518A">
        <w:t xml:space="preserve">%. </w:t>
      </w:r>
      <w:r w:rsidRPr="00A6518A">
        <w:rPr>
          <w:i/>
        </w:rPr>
        <w:t>Source</w:t>
      </w:r>
      <w:r w:rsidRPr="00A6518A">
        <w:t xml:space="preserve">: authors’ calculations in </w:t>
      </w:r>
      <w:proofErr w:type="spellStart"/>
      <w:r w:rsidRPr="00A6518A">
        <w:t>Eviews</w:t>
      </w:r>
      <w:proofErr w:type="spellEnd"/>
      <w:r w:rsidRPr="00A6518A">
        <w:t xml:space="preserve"> 10 based on Bloomberg data. </w:t>
      </w:r>
    </w:p>
    <w:p w:rsidR="000377FF" w:rsidRPr="00A20381" w:rsidRDefault="000377FF" w:rsidP="001A4FB4">
      <w:pPr>
        <w:pStyle w:val="Corpotesto"/>
        <w:spacing w:before="2" w:line="360" w:lineRule="auto"/>
        <w:jc w:val="both"/>
      </w:pPr>
    </w:p>
    <w:p w:rsidR="000377FF" w:rsidRPr="003A69CF" w:rsidRDefault="00E85B85" w:rsidP="001A4FB4">
      <w:pPr>
        <w:spacing w:line="360" w:lineRule="auto"/>
        <w:ind w:left="113"/>
        <w:jc w:val="both"/>
        <w:rPr>
          <w:i/>
          <w:sz w:val="20"/>
        </w:rPr>
      </w:pPr>
      <w:r w:rsidRPr="00A20381">
        <w:rPr>
          <w:b/>
          <w:sz w:val="20"/>
        </w:rPr>
        <w:t xml:space="preserve">Table 5 (b) </w:t>
      </w:r>
      <w:r w:rsidRPr="00A20381">
        <w:rPr>
          <w:sz w:val="20"/>
        </w:rPr>
        <w:t xml:space="preserve">- </w:t>
      </w:r>
      <w:r w:rsidRPr="00A20381">
        <w:rPr>
          <w:i/>
          <w:sz w:val="20"/>
        </w:rPr>
        <w:t>VECM</w:t>
      </w:r>
      <w:r w:rsidRPr="00A20381">
        <w:rPr>
          <w:sz w:val="20"/>
        </w:rPr>
        <w:t xml:space="preserve">: dependent variable </w:t>
      </w:r>
      <w:r w:rsidR="00E74FF8">
        <w:rPr>
          <w:rFonts w:ascii="Calibri" w:hAnsi="Calibri"/>
          <w:i/>
          <w:sz w:val="20"/>
        </w:rPr>
        <w:t>ΔGBS</w:t>
      </w:r>
      <w:r w:rsidRPr="00A20381">
        <w:rPr>
          <w:i/>
          <w:sz w:val="20"/>
        </w:rPr>
        <w:t xml:space="preserve"> </w:t>
      </w:r>
      <w:r w:rsidRPr="00A20381">
        <w:rPr>
          <w:sz w:val="20"/>
        </w:rPr>
        <w:t xml:space="preserve">- period </w:t>
      </w:r>
      <w:r w:rsidRPr="00A20381">
        <w:rPr>
          <w:i/>
          <w:sz w:val="20"/>
        </w:rPr>
        <w:t>2010-12</w:t>
      </w:r>
    </w:p>
    <w:p w:rsidR="000377FF" w:rsidRPr="00A20381" w:rsidRDefault="000377FF" w:rsidP="001A4FB4">
      <w:pPr>
        <w:pStyle w:val="Corpotesto"/>
        <w:spacing w:line="360" w:lineRule="auto"/>
        <w:jc w:val="both"/>
        <w:rPr>
          <w:i/>
          <w:sz w:val="10"/>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3"/>
        <w:gridCol w:w="1328"/>
        <w:gridCol w:w="1304"/>
        <w:gridCol w:w="1238"/>
        <w:gridCol w:w="804"/>
      </w:tblGrid>
      <w:tr w:rsidR="000377FF" w:rsidRPr="00A20381">
        <w:trPr>
          <w:trHeight w:val="410"/>
        </w:trPr>
        <w:tc>
          <w:tcPr>
            <w:tcW w:w="543" w:type="dxa"/>
            <w:tcBorders>
              <w:bottom w:val="double" w:sz="1" w:space="0" w:color="000000"/>
            </w:tcBorders>
          </w:tcPr>
          <w:p w:rsidR="000377FF" w:rsidRPr="00A20381" w:rsidRDefault="000377FF" w:rsidP="001A4FB4">
            <w:pPr>
              <w:pStyle w:val="TableParagraph"/>
              <w:spacing w:before="0" w:line="360" w:lineRule="auto"/>
              <w:jc w:val="both"/>
              <w:rPr>
                <w:sz w:val="18"/>
              </w:rPr>
            </w:pPr>
          </w:p>
        </w:tc>
        <w:tc>
          <w:tcPr>
            <w:tcW w:w="1328" w:type="dxa"/>
            <w:tcBorders>
              <w:bottom w:val="double" w:sz="1" w:space="0" w:color="000000"/>
            </w:tcBorders>
          </w:tcPr>
          <w:p w:rsidR="000377FF" w:rsidRPr="00A20381" w:rsidRDefault="00E85B85" w:rsidP="001A4FB4">
            <w:pPr>
              <w:pStyle w:val="TableParagraph"/>
              <w:spacing w:before="94" w:line="360" w:lineRule="auto"/>
              <w:ind w:left="82" w:right="74"/>
              <w:jc w:val="both"/>
              <w:rPr>
                <w:b/>
                <w:sz w:val="20"/>
              </w:rPr>
            </w:pPr>
            <w:r w:rsidRPr="00A20381">
              <w:rPr>
                <w:b/>
                <w:sz w:val="20"/>
              </w:rPr>
              <w:t>Coefficient</w:t>
            </w:r>
          </w:p>
        </w:tc>
        <w:tc>
          <w:tcPr>
            <w:tcW w:w="1304" w:type="dxa"/>
            <w:tcBorders>
              <w:bottom w:val="double" w:sz="1" w:space="0" w:color="000000"/>
            </w:tcBorders>
          </w:tcPr>
          <w:p w:rsidR="000377FF" w:rsidRPr="00A20381" w:rsidRDefault="00E85B85" w:rsidP="001A4FB4">
            <w:pPr>
              <w:pStyle w:val="TableParagraph"/>
              <w:spacing w:before="94" w:line="360" w:lineRule="auto"/>
              <w:ind w:left="110" w:right="101"/>
              <w:jc w:val="both"/>
              <w:rPr>
                <w:b/>
                <w:sz w:val="20"/>
              </w:rPr>
            </w:pPr>
            <w:r w:rsidRPr="00A20381">
              <w:rPr>
                <w:b/>
                <w:sz w:val="20"/>
              </w:rPr>
              <w:t>Std. Error</w:t>
            </w:r>
          </w:p>
        </w:tc>
        <w:tc>
          <w:tcPr>
            <w:tcW w:w="1238" w:type="dxa"/>
            <w:tcBorders>
              <w:bottom w:val="double" w:sz="1" w:space="0" w:color="000000"/>
            </w:tcBorders>
          </w:tcPr>
          <w:p w:rsidR="000377FF" w:rsidRPr="00A20381" w:rsidRDefault="00E85B85" w:rsidP="001A4FB4">
            <w:pPr>
              <w:pStyle w:val="TableParagraph"/>
              <w:spacing w:before="94" w:line="360" w:lineRule="auto"/>
              <w:ind w:left="102" w:right="93"/>
              <w:jc w:val="both"/>
              <w:rPr>
                <w:b/>
                <w:sz w:val="20"/>
              </w:rPr>
            </w:pPr>
            <w:r w:rsidRPr="00A20381">
              <w:rPr>
                <w:b/>
                <w:sz w:val="20"/>
              </w:rPr>
              <w:t>t-Statistic</w:t>
            </w:r>
          </w:p>
        </w:tc>
        <w:tc>
          <w:tcPr>
            <w:tcW w:w="804" w:type="dxa"/>
            <w:tcBorders>
              <w:bottom w:val="double" w:sz="1" w:space="0" w:color="000000"/>
            </w:tcBorders>
          </w:tcPr>
          <w:p w:rsidR="000377FF" w:rsidRPr="00A20381" w:rsidRDefault="00E85B85" w:rsidP="001A4FB4">
            <w:pPr>
              <w:pStyle w:val="TableParagraph"/>
              <w:spacing w:before="94" w:line="360" w:lineRule="auto"/>
              <w:ind w:right="112"/>
              <w:jc w:val="both"/>
              <w:rPr>
                <w:b/>
                <w:sz w:val="20"/>
              </w:rPr>
            </w:pPr>
            <w:r w:rsidRPr="00A20381">
              <w:rPr>
                <w:b/>
                <w:w w:val="95"/>
                <w:sz w:val="20"/>
              </w:rPr>
              <w:t>Prob.</w:t>
            </w:r>
          </w:p>
        </w:tc>
      </w:tr>
      <w:tr w:rsidR="000377FF" w:rsidRPr="00A20381">
        <w:trPr>
          <w:trHeight w:val="410"/>
        </w:trPr>
        <w:tc>
          <w:tcPr>
            <w:tcW w:w="543" w:type="dxa"/>
            <w:tcBorders>
              <w:top w:val="double" w:sz="1" w:space="0" w:color="000000"/>
            </w:tcBorders>
          </w:tcPr>
          <w:p w:rsidR="000377FF" w:rsidRPr="00A20381" w:rsidRDefault="00E85B85" w:rsidP="001A4FB4">
            <w:pPr>
              <w:pStyle w:val="TableParagraph"/>
              <w:spacing w:before="108" w:line="360" w:lineRule="auto"/>
              <w:ind w:left="97" w:right="98"/>
              <w:jc w:val="both"/>
              <w:rPr>
                <w:sz w:val="14"/>
              </w:rPr>
            </w:pPr>
            <w:r w:rsidRPr="00A20381">
              <w:rPr>
                <w:i/>
                <w:position w:val="3"/>
                <w:sz w:val="20"/>
              </w:rPr>
              <w:t>β</w:t>
            </w:r>
            <w:r w:rsidRPr="00A20381">
              <w:rPr>
                <w:sz w:val="14"/>
              </w:rPr>
              <w:t>20</w:t>
            </w:r>
          </w:p>
        </w:tc>
        <w:tc>
          <w:tcPr>
            <w:tcW w:w="1328" w:type="dxa"/>
            <w:tcBorders>
              <w:top w:val="double" w:sz="1" w:space="0" w:color="000000"/>
            </w:tcBorders>
          </w:tcPr>
          <w:p w:rsidR="000377FF" w:rsidRPr="00A20381" w:rsidRDefault="00E85B85" w:rsidP="001A4FB4">
            <w:pPr>
              <w:pStyle w:val="TableParagraph"/>
              <w:spacing w:before="100" w:line="360" w:lineRule="auto"/>
              <w:ind w:left="82" w:right="74"/>
              <w:jc w:val="both"/>
              <w:rPr>
                <w:sz w:val="20"/>
              </w:rPr>
            </w:pPr>
            <w:r w:rsidRPr="00A20381">
              <w:rPr>
                <w:sz w:val="20"/>
              </w:rPr>
              <w:t>0.003343</w:t>
            </w:r>
          </w:p>
        </w:tc>
        <w:tc>
          <w:tcPr>
            <w:tcW w:w="1304" w:type="dxa"/>
            <w:tcBorders>
              <w:top w:val="double" w:sz="1" w:space="0" w:color="000000"/>
            </w:tcBorders>
          </w:tcPr>
          <w:p w:rsidR="000377FF" w:rsidRPr="00A20381" w:rsidRDefault="00E85B85" w:rsidP="001A4FB4">
            <w:pPr>
              <w:pStyle w:val="TableParagraph"/>
              <w:spacing w:before="100" w:line="360" w:lineRule="auto"/>
              <w:ind w:left="110" w:right="101"/>
              <w:jc w:val="both"/>
              <w:rPr>
                <w:sz w:val="20"/>
              </w:rPr>
            </w:pPr>
            <w:r w:rsidRPr="00A20381">
              <w:rPr>
                <w:sz w:val="20"/>
              </w:rPr>
              <w:t>0.004593</w:t>
            </w:r>
          </w:p>
        </w:tc>
        <w:tc>
          <w:tcPr>
            <w:tcW w:w="1238" w:type="dxa"/>
            <w:tcBorders>
              <w:top w:val="double" w:sz="1" w:space="0" w:color="000000"/>
            </w:tcBorders>
          </w:tcPr>
          <w:p w:rsidR="000377FF" w:rsidRPr="00A20381" w:rsidRDefault="00E85B85" w:rsidP="001A4FB4">
            <w:pPr>
              <w:pStyle w:val="TableParagraph"/>
              <w:spacing w:before="100" w:line="360" w:lineRule="auto"/>
              <w:ind w:left="102" w:right="93"/>
              <w:jc w:val="both"/>
              <w:rPr>
                <w:sz w:val="20"/>
              </w:rPr>
            </w:pPr>
            <w:r w:rsidRPr="00A20381">
              <w:rPr>
                <w:sz w:val="20"/>
              </w:rPr>
              <w:t>0.727878</w:t>
            </w:r>
          </w:p>
        </w:tc>
        <w:tc>
          <w:tcPr>
            <w:tcW w:w="804" w:type="dxa"/>
            <w:tcBorders>
              <w:top w:val="double" w:sz="1" w:space="0" w:color="000000"/>
            </w:tcBorders>
          </w:tcPr>
          <w:p w:rsidR="000377FF" w:rsidRPr="00A20381" w:rsidRDefault="00E85B85" w:rsidP="001A4FB4">
            <w:pPr>
              <w:pStyle w:val="TableParagraph"/>
              <w:spacing w:before="100" w:line="360" w:lineRule="auto"/>
              <w:ind w:right="114"/>
              <w:jc w:val="both"/>
              <w:rPr>
                <w:sz w:val="20"/>
              </w:rPr>
            </w:pPr>
            <w:r w:rsidRPr="00A20381">
              <w:rPr>
                <w:sz w:val="20"/>
              </w:rPr>
              <w:t>0.4669</w:t>
            </w:r>
          </w:p>
        </w:tc>
      </w:tr>
      <w:tr w:rsidR="000377FF" w:rsidRPr="00A20381">
        <w:trPr>
          <w:trHeight w:val="396"/>
        </w:trPr>
        <w:tc>
          <w:tcPr>
            <w:tcW w:w="543" w:type="dxa"/>
          </w:tcPr>
          <w:p w:rsidR="000377FF" w:rsidRPr="00A20381" w:rsidRDefault="00E85B85" w:rsidP="001A4FB4">
            <w:pPr>
              <w:pStyle w:val="TableParagraph"/>
              <w:spacing w:before="94" w:line="360" w:lineRule="auto"/>
              <w:ind w:left="97" w:right="98"/>
              <w:jc w:val="both"/>
              <w:rPr>
                <w:sz w:val="14"/>
              </w:rPr>
            </w:pPr>
            <w:r w:rsidRPr="00A20381">
              <w:rPr>
                <w:i/>
                <w:position w:val="3"/>
                <w:sz w:val="20"/>
              </w:rPr>
              <w:t>β</w:t>
            </w:r>
            <w:r w:rsidRPr="00A20381">
              <w:rPr>
                <w:sz w:val="14"/>
              </w:rPr>
              <w:t>21</w:t>
            </w:r>
          </w:p>
        </w:tc>
        <w:tc>
          <w:tcPr>
            <w:tcW w:w="1328" w:type="dxa"/>
          </w:tcPr>
          <w:p w:rsidR="000377FF" w:rsidRPr="00A20381" w:rsidRDefault="00E85B85" w:rsidP="001A4FB4">
            <w:pPr>
              <w:pStyle w:val="TableParagraph"/>
              <w:spacing w:before="39" w:line="360" w:lineRule="auto"/>
              <w:ind w:left="73" w:right="74"/>
              <w:jc w:val="both"/>
              <w:rPr>
                <w:i/>
                <w:sz w:val="20"/>
              </w:rPr>
            </w:pPr>
            <w:r w:rsidRPr="00A20381">
              <w:rPr>
                <w:sz w:val="20"/>
              </w:rPr>
              <w:t>0</w:t>
            </w:r>
            <w:r w:rsidRPr="00A20381">
              <w:rPr>
                <w:i/>
                <w:sz w:val="20"/>
              </w:rPr>
              <w:t>.</w:t>
            </w:r>
            <w:r w:rsidRPr="00A20381">
              <w:rPr>
                <w:sz w:val="20"/>
              </w:rPr>
              <w:t>166936</w:t>
            </w:r>
            <w:r w:rsidRPr="00A20381">
              <w:rPr>
                <w:rFonts w:ascii="Cambria Math" w:hAnsi="Cambria Math" w:cs="Cambria Math"/>
                <w:i/>
                <w:sz w:val="20"/>
                <w:vertAlign w:val="superscript"/>
              </w:rPr>
              <w:t>∗∗∗</w:t>
            </w:r>
          </w:p>
        </w:tc>
        <w:tc>
          <w:tcPr>
            <w:tcW w:w="1304" w:type="dxa"/>
          </w:tcPr>
          <w:p w:rsidR="000377FF" w:rsidRPr="00A20381" w:rsidRDefault="00E85B85" w:rsidP="001A4FB4">
            <w:pPr>
              <w:pStyle w:val="TableParagraph"/>
              <w:spacing w:line="360" w:lineRule="auto"/>
              <w:ind w:left="110" w:right="101"/>
              <w:jc w:val="both"/>
              <w:rPr>
                <w:sz w:val="20"/>
              </w:rPr>
            </w:pPr>
            <w:r w:rsidRPr="00A20381">
              <w:rPr>
                <w:sz w:val="20"/>
              </w:rPr>
              <w:t>0.061077</w:t>
            </w:r>
          </w:p>
        </w:tc>
        <w:tc>
          <w:tcPr>
            <w:tcW w:w="1238" w:type="dxa"/>
          </w:tcPr>
          <w:p w:rsidR="000377FF" w:rsidRPr="00A20381" w:rsidRDefault="00E85B85" w:rsidP="001A4FB4">
            <w:pPr>
              <w:pStyle w:val="TableParagraph"/>
              <w:spacing w:line="360" w:lineRule="auto"/>
              <w:ind w:left="102" w:right="93"/>
              <w:jc w:val="both"/>
              <w:rPr>
                <w:sz w:val="20"/>
              </w:rPr>
            </w:pPr>
            <w:r w:rsidRPr="00A20381">
              <w:rPr>
                <w:sz w:val="20"/>
              </w:rPr>
              <w:t>2.733217</w:t>
            </w:r>
          </w:p>
        </w:tc>
        <w:tc>
          <w:tcPr>
            <w:tcW w:w="804" w:type="dxa"/>
          </w:tcPr>
          <w:p w:rsidR="000377FF" w:rsidRPr="00A20381" w:rsidRDefault="00E85B85" w:rsidP="001A4FB4">
            <w:pPr>
              <w:pStyle w:val="TableParagraph"/>
              <w:spacing w:line="360" w:lineRule="auto"/>
              <w:ind w:right="114"/>
              <w:jc w:val="both"/>
              <w:rPr>
                <w:sz w:val="20"/>
              </w:rPr>
            </w:pPr>
            <w:r w:rsidRPr="00A20381">
              <w:rPr>
                <w:sz w:val="20"/>
              </w:rPr>
              <w:t>0.0064</w:t>
            </w:r>
          </w:p>
        </w:tc>
      </w:tr>
      <w:tr w:rsidR="000377FF" w:rsidRPr="00A20381">
        <w:trPr>
          <w:trHeight w:val="396"/>
        </w:trPr>
        <w:tc>
          <w:tcPr>
            <w:tcW w:w="543" w:type="dxa"/>
          </w:tcPr>
          <w:p w:rsidR="000377FF" w:rsidRPr="00A20381" w:rsidRDefault="00E85B85" w:rsidP="001A4FB4">
            <w:pPr>
              <w:pStyle w:val="TableParagraph"/>
              <w:spacing w:before="94" w:line="360" w:lineRule="auto"/>
              <w:ind w:left="97" w:right="98"/>
              <w:jc w:val="both"/>
              <w:rPr>
                <w:sz w:val="14"/>
              </w:rPr>
            </w:pPr>
            <w:r w:rsidRPr="00A20381">
              <w:rPr>
                <w:i/>
                <w:position w:val="3"/>
                <w:sz w:val="20"/>
              </w:rPr>
              <w:t>β</w:t>
            </w:r>
            <w:r w:rsidRPr="00A20381">
              <w:rPr>
                <w:sz w:val="14"/>
              </w:rPr>
              <w:t>22</w:t>
            </w:r>
          </w:p>
        </w:tc>
        <w:tc>
          <w:tcPr>
            <w:tcW w:w="1328" w:type="dxa"/>
          </w:tcPr>
          <w:p w:rsidR="000377FF" w:rsidRPr="00A20381" w:rsidRDefault="00E85B85" w:rsidP="001A4FB4">
            <w:pPr>
              <w:pStyle w:val="TableParagraph"/>
              <w:spacing w:line="360" w:lineRule="auto"/>
              <w:ind w:left="82" w:right="74"/>
              <w:jc w:val="both"/>
              <w:rPr>
                <w:sz w:val="20"/>
              </w:rPr>
            </w:pPr>
            <w:r w:rsidRPr="00A20381">
              <w:rPr>
                <w:sz w:val="20"/>
              </w:rPr>
              <w:t>0.024361</w:t>
            </w:r>
          </w:p>
        </w:tc>
        <w:tc>
          <w:tcPr>
            <w:tcW w:w="1304" w:type="dxa"/>
          </w:tcPr>
          <w:p w:rsidR="000377FF" w:rsidRPr="00A20381" w:rsidRDefault="00E85B85" w:rsidP="001A4FB4">
            <w:pPr>
              <w:pStyle w:val="TableParagraph"/>
              <w:spacing w:line="360" w:lineRule="auto"/>
              <w:ind w:left="110" w:right="101"/>
              <w:jc w:val="both"/>
              <w:rPr>
                <w:sz w:val="20"/>
              </w:rPr>
            </w:pPr>
            <w:r w:rsidRPr="00A20381">
              <w:rPr>
                <w:sz w:val="20"/>
              </w:rPr>
              <w:t>0.056063</w:t>
            </w:r>
          </w:p>
        </w:tc>
        <w:tc>
          <w:tcPr>
            <w:tcW w:w="1238" w:type="dxa"/>
          </w:tcPr>
          <w:p w:rsidR="000377FF" w:rsidRPr="00A20381" w:rsidRDefault="00E85B85" w:rsidP="001A4FB4">
            <w:pPr>
              <w:pStyle w:val="TableParagraph"/>
              <w:spacing w:line="360" w:lineRule="auto"/>
              <w:ind w:left="102" w:right="93"/>
              <w:jc w:val="both"/>
              <w:rPr>
                <w:sz w:val="20"/>
              </w:rPr>
            </w:pPr>
            <w:r w:rsidRPr="00A20381">
              <w:rPr>
                <w:sz w:val="20"/>
              </w:rPr>
              <w:t>0.434536</w:t>
            </w:r>
          </w:p>
        </w:tc>
        <w:tc>
          <w:tcPr>
            <w:tcW w:w="804" w:type="dxa"/>
          </w:tcPr>
          <w:p w:rsidR="000377FF" w:rsidRPr="00A20381" w:rsidRDefault="00E85B85" w:rsidP="001A4FB4">
            <w:pPr>
              <w:pStyle w:val="TableParagraph"/>
              <w:spacing w:line="360" w:lineRule="auto"/>
              <w:ind w:right="114"/>
              <w:jc w:val="both"/>
              <w:rPr>
                <w:sz w:val="20"/>
              </w:rPr>
            </w:pPr>
            <w:r w:rsidRPr="00A20381">
              <w:rPr>
                <w:sz w:val="20"/>
              </w:rPr>
              <w:t>0.6640</w:t>
            </w:r>
          </w:p>
        </w:tc>
      </w:tr>
      <w:tr w:rsidR="000377FF" w:rsidRPr="00A20381">
        <w:trPr>
          <w:trHeight w:val="396"/>
        </w:trPr>
        <w:tc>
          <w:tcPr>
            <w:tcW w:w="543" w:type="dxa"/>
          </w:tcPr>
          <w:p w:rsidR="000377FF" w:rsidRPr="00A20381" w:rsidRDefault="00E85B85" w:rsidP="001A4FB4">
            <w:pPr>
              <w:pStyle w:val="TableParagraph"/>
              <w:spacing w:before="94" w:line="360" w:lineRule="auto"/>
              <w:ind w:left="97" w:right="98"/>
              <w:jc w:val="both"/>
              <w:rPr>
                <w:sz w:val="14"/>
              </w:rPr>
            </w:pPr>
            <w:r w:rsidRPr="00A20381">
              <w:rPr>
                <w:i/>
                <w:position w:val="3"/>
                <w:sz w:val="20"/>
              </w:rPr>
              <w:t>α</w:t>
            </w:r>
            <w:r w:rsidRPr="00A20381">
              <w:rPr>
                <w:sz w:val="14"/>
              </w:rPr>
              <w:t>21</w:t>
            </w:r>
          </w:p>
        </w:tc>
        <w:tc>
          <w:tcPr>
            <w:tcW w:w="1328" w:type="dxa"/>
          </w:tcPr>
          <w:p w:rsidR="000377FF" w:rsidRPr="00A20381" w:rsidRDefault="00E85B85" w:rsidP="001A4FB4">
            <w:pPr>
              <w:pStyle w:val="TableParagraph"/>
              <w:spacing w:line="360" w:lineRule="auto"/>
              <w:ind w:left="82" w:right="73"/>
              <w:jc w:val="both"/>
              <w:rPr>
                <w:sz w:val="20"/>
              </w:rPr>
            </w:pPr>
            <w:r w:rsidRPr="00A20381">
              <w:rPr>
                <w:sz w:val="20"/>
              </w:rPr>
              <w:t>-0.028135</w:t>
            </w:r>
          </w:p>
        </w:tc>
        <w:tc>
          <w:tcPr>
            <w:tcW w:w="1304" w:type="dxa"/>
          </w:tcPr>
          <w:p w:rsidR="000377FF" w:rsidRPr="00A20381" w:rsidRDefault="00E85B85" w:rsidP="001A4FB4">
            <w:pPr>
              <w:pStyle w:val="TableParagraph"/>
              <w:spacing w:line="360" w:lineRule="auto"/>
              <w:ind w:left="110" w:right="101"/>
              <w:jc w:val="both"/>
              <w:rPr>
                <w:sz w:val="20"/>
              </w:rPr>
            </w:pPr>
            <w:r w:rsidRPr="00A20381">
              <w:rPr>
                <w:sz w:val="20"/>
              </w:rPr>
              <w:t>0.077136</w:t>
            </w:r>
          </w:p>
        </w:tc>
        <w:tc>
          <w:tcPr>
            <w:tcW w:w="1238" w:type="dxa"/>
          </w:tcPr>
          <w:p w:rsidR="000377FF" w:rsidRPr="00A20381" w:rsidRDefault="00E85B85" w:rsidP="001A4FB4">
            <w:pPr>
              <w:pStyle w:val="TableParagraph"/>
              <w:spacing w:line="360" w:lineRule="auto"/>
              <w:ind w:left="102" w:right="93"/>
              <w:jc w:val="both"/>
              <w:rPr>
                <w:sz w:val="20"/>
              </w:rPr>
            </w:pPr>
            <w:r w:rsidRPr="00A20381">
              <w:rPr>
                <w:sz w:val="20"/>
              </w:rPr>
              <w:t>-0.364747</w:t>
            </w:r>
          </w:p>
        </w:tc>
        <w:tc>
          <w:tcPr>
            <w:tcW w:w="804" w:type="dxa"/>
          </w:tcPr>
          <w:p w:rsidR="000377FF" w:rsidRPr="00A20381" w:rsidRDefault="00E85B85" w:rsidP="001A4FB4">
            <w:pPr>
              <w:pStyle w:val="TableParagraph"/>
              <w:spacing w:line="360" w:lineRule="auto"/>
              <w:ind w:right="114"/>
              <w:jc w:val="both"/>
              <w:rPr>
                <w:sz w:val="20"/>
              </w:rPr>
            </w:pPr>
            <w:r w:rsidRPr="00A20381">
              <w:rPr>
                <w:sz w:val="20"/>
              </w:rPr>
              <w:t>0.7154</w:t>
            </w:r>
          </w:p>
        </w:tc>
      </w:tr>
      <w:tr w:rsidR="000377FF" w:rsidRPr="00A20381">
        <w:trPr>
          <w:trHeight w:val="396"/>
        </w:trPr>
        <w:tc>
          <w:tcPr>
            <w:tcW w:w="543" w:type="dxa"/>
          </w:tcPr>
          <w:p w:rsidR="000377FF" w:rsidRPr="00A20381" w:rsidRDefault="00E85B85" w:rsidP="001A4FB4">
            <w:pPr>
              <w:pStyle w:val="TableParagraph"/>
              <w:spacing w:before="94" w:line="360" w:lineRule="auto"/>
              <w:ind w:left="97" w:right="98"/>
              <w:jc w:val="both"/>
              <w:rPr>
                <w:sz w:val="14"/>
              </w:rPr>
            </w:pPr>
            <w:r w:rsidRPr="00A20381">
              <w:rPr>
                <w:i/>
                <w:position w:val="3"/>
                <w:sz w:val="20"/>
              </w:rPr>
              <w:t>α</w:t>
            </w:r>
            <w:r w:rsidRPr="00A20381">
              <w:rPr>
                <w:sz w:val="14"/>
              </w:rPr>
              <w:t>22</w:t>
            </w:r>
          </w:p>
        </w:tc>
        <w:tc>
          <w:tcPr>
            <w:tcW w:w="1328" w:type="dxa"/>
          </w:tcPr>
          <w:p w:rsidR="000377FF" w:rsidRPr="00A20381" w:rsidRDefault="00E85B85" w:rsidP="001A4FB4">
            <w:pPr>
              <w:pStyle w:val="TableParagraph"/>
              <w:spacing w:before="39" w:line="360" w:lineRule="auto"/>
              <w:ind w:left="73" w:right="74"/>
              <w:jc w:val="both"/>
              <w:rPr>
                <w:i/>
                <w:sz w:val="20"/>
              </w:rPr>
            </w:pPr>
            <w:r w:rsidRPr="00A20381">
              <w:rPr>
                <w:i/>
                <w:w w:val="105"/>
                <w:sz w:val="20"/>
              </w:rPr>
              <w:t>−</w:t>
            </w:r>
            <w:r w:rsidRPr="00A20381">
              <w:rPr>
                <w:w w:val="105"/>
                <w:sz w:val="20"/>
              </w:rPr>
              <w:t>0</w:t>
            </w:r>
            <w:r w:rsidRPr="00A20381">
              <w:rPr>
                <w:i/>
                <w:w w:val="105"/>
                <w:sz w:val="20"/>
              </w:rPr>
              <w:t>.</w:t>
            </w:r>
            <w:r w:rsidRPr="00A20381">
              <w:rPr>
                <w:w w:val="105"/>
                <w:sz w:val="20"/>
              </w:rPr>
              <w:t>139668</w:t>
            </w:r>
            <w:r w:rsidRPr="00A20381">
              <w:rPr>
                <w:rFonts w:ascii="Cambria Math" w:hAnsi="Cambria Math" w:cs="Cambria Math"/>
                <w:i/>
                <w:w w:val="105"/>
                <w:sz w:val="20"/>
                <w:vertAlign w:val="superscript"/>
              </w:rPr>
              <w:t>∗∗</w:t>
            </w:r>
          </w:p>
        </w:tc>
        <w:tc>
          <w:tcPr>
            <w:tcW w:w="1304" w:type="dxa"/>
          </w:tcPr>
          <w:p w:rsidR="000377FF" w:rsidRPr="00A20381" w:rsidRDefault="00E85B85" w:rsidP="001A4FB4">
            <w:pPr>
              <w:pStyle w:val="TableParagraph"/>
              <w:spacing w:line="360" w:lineRule="auto"/>
              <w:ind w:left="110" w:right="101"/>
              <w:jc w:val="both"/>
              <w:rPr>
                <w:sz w:val="20"/>
              </w:rPr>
            </w:pPr>
            <w:r w:rsidRPr="00A20381">
              <w:rPr>
                <w:sz w:val="20"/>
              </w:rPr>
              <w:t>0.070373</w:t>
            </w:r>
          </w:p>
        </w:tc>
        <w:tc>
          <w:tcPr>
            <w:tcW w:w="1238" w:type="dxa"/>
          </w:tcPr>
          <w:p w:rsidR="000377FF" w:rsidRPr="00A20381" w:rsidRDefault="00E85B85" w:rsidP="001A4FB4">
            <w:pPr>
              <w:pStyle w:val="TableParagraph"/>
              <w:spacing w:line="360" w:lineRule="auto"/>
              <w:ind w:left="102" w:right="93"/>
              <w:jc w:val="both"/>
              <w:rPr>
                <w:sz w:val="20"/>
              </w:rPr>
            </w:pPr>
            <w:r w:rsidRPr="00A20381">
              <w:rPr>
                <w:sz w:val="20"/>
              </w:rPr>
              <w:t>-1.984683</w:t>
            </w:r>
          </w:p>
        </w:tc>
        <w:tc>
          <w:tcPr>
            <w:tcW w:w="804" w:type="dxa"/>
          </w:tcPr>
          <w:p w:rsidR="000377FF" w:rsidRPr="00A20381" w:rsidRDefault="00E85B85" w:rsidP="001A4FB4">
            <w:pPr>
              <w:pStyle w:val="TableParagraph"/>
              <w:spacing w:line="360" w:lineRule="auto"/>
              <w:ind w:right="114"/>
              <w:jc w:val="both"/>
              <w:rPr>
                <w:sz w:val="20"/>
              </w:rPr>
            </w:pPr>
            <w:r w:rsidRPr="00A20381">
              <w:rPr>
                <w:sz w:val="20"/>
              </w:rPr>
              <w:t>0.0475</w:t>
            </w:r>
          </w:p>
        </w:tc>
      </w:tr>
      <w:tr w:rsidR="000377FF" w:rsidRPr="00A20381">
        <w:trPr>
          <w:trHeight w:val="396"/>
        </w:trPr>
        <w:tc>
          <w:tcPr>
            <w:tcW w:w="543" w:type="dxa"/>
          </w:tcPr>
          <w:p w:rsidR="000377FF" w:rsidRPr="00A20381" w:rsidRDefault="00E85B85" w:rsidP="001A4FB4">
            <w:pPr>
              <w:pStyle w:val="TableParagraph"/>
              <w:spacing w:before="77" w:line="360" w:lineRule="auto"/>
              <w:ind w:left="97" w:right="98"/>
              <w:jc w:val="both"/>
              <w:rPr>
                <w:sz w:val="20"/>
              </w:rPr>
            </w:pPr>
            <w:r w:rsidRPr="00A20381">
              <w:rPr>
                <w:i/>
                <w:sz w:val="20"/>
              </w:rPr>
              <w:t>λ</w:t>
            </w:r>
            <w:r w:rsidRPr="00A20381">
              <w:rPr>
                <w:sz w:val="20"/>
                <w:vertAlign w:val="subscript"/>
              </w:rPr>
              <w:t>2</w:t>
            </w:r>
          </w:p>
        </w:tc>
        <w:tc>
          <w:tcPr>
            <w:tcW w:w="1328" w:type="dxa"/>
          </w:tcPr>
          <w:p w:rsidR="000377FF" w:rsidRPr="00A20381" w:rsidRDefault="00E85B85" w:rsidP="001A4FB4">
            <w:pPr>
              <w:pStyle w:val="TableParagraph"/>
              <w:spacing w:line="360" w:lineRule="auto"/>
              <w:ind w:left="82" w:right="74"/>
              <w:jc w:val="both"/>
              <w:rPr>
                <w:sz w:val="20"/>
              </w:rPr>
            </w:pPr>
            <w:r w:rsidRPr="00A20381">
              <w:rPr>
                <w:sz w:val="20"/>
              </w:rPr>
              <w:t>0.012396</w:t>
            </w:r>
          </w:p>
        </w:tc>
        <w:tc>
          <w:tcPr>
            <w:tcW w:w="1304" w:type="dxa"/>
          </w:tcPr>
          <w:p w:rsidR="000377FF" w:rsidRPr="00A20381" w:rsidRDefault="00E85B85" w:rsidP="001A4FB4">
            <w:pPr>
              <w:pStyle w:val="TableParagraph"/>
              <w:spacing w:line="360" w:lineRule="auto"/>
              <w:ind w:left="110" w:right="101"/>
              <w:jc w:val="both"/>
              <w:rPr>
                <w:sz w:val="20"/>
              </w:rPr>
            </w:pPr>
            <w:r w:rsidRPr="00A20381">
              <w:rPr>
                <w:sz w:val="20"/>
              </w:rPr>
              <w:t>0.022556</w:t>
            </w:r>
          </w:p>
        </w:tc>
        <w:tc>
          <w:tcPr>
            <w:tcW w:w="1238" w:type="dxa"/>
          </w:tcPr>
          <w:p w:rsidR="000377FF" w:rsidRPr="00A20381" w:rsidRDefault="00E85B85" w:rsidP="001A4FB4">
            <w:pPr>
              <w:pStyle w:val="TableParagraph"/>
              <w:spacing w:line="360" w:lineRule="auto"/>
              <w:ind w:left="102" w:right="93"/>
              <w:jc w:val="both"/>
              <w:rPr>
                <w:sz w:val="20"/>
              </w:rPr>
            </w:pPr>
            <w:r w:rsidRPr="00A20381">
              <w:rPr>
                <w:sz w:val="20"/>
              </w:rPr>
              <w:t>0.549555</w:t>
            </w:r>
          </w:p>
        </w:tc>
        <w:tc>
          <w:tcPr>
            <w:tcW w:w="804" w:type="dxa"/>
          </w:tcPr>
          <w:p w:rsidR="000377FF" w:rsidRPr="00A20381" w:rsidRDefault="00E85B85" w:rsidP="001A4FB4">
            <w:pPr>
              <w:pStyle w:val="TableParagraph"/>
              <w:spacing w:line="360" w:lineRule="auto"/>
              <w:ind w:right="114"/>
              <w:jc w:val="both"/>
              <w:rPr>
                <w:sz w:val="20"/>
              </w:rPr>
            </w:pPr>
            <w:r w:rsidRPr="00A20381">
              <w:rPr>
                <w:sz w:val="20"/>
              </w:rPr>
              <w:t>0.5828</w:t>
            </w:r>
          </w:p>
        </w:tc>
      </w:tr>
    </w:tbl>
    <w:p w:rsidR="000377FF" w:rsidRPr="00A20381" w:rsidRDefault="000377FF" w:rsidP="001A4FB4">
      <w:pPr>
        <w:pStyle w:val="Corpotesto"/>
        <w:spacing w:before="9" w:line="360" w:lineRule="auto"/>
        <w:jc w:val="both"/>
        <w:rPr>
          <w:i/>
          <w:sz w:val="18"/>
        </w:rPr>
      </w:pPr>
    </w:p>
    <w:p w:rsidR="000377FF" w:rsidRDefault="00A6518A" w:rsidP="001A4FB4">
      <w:pPr>
        <w:pStyle w:val="Corpotesto"/>
        <w:spacing w:line="360" w:lineRule="auto"/>
        <w:ind w:left="113"/>
        <w:jc w:val="both"/>
      </w:pPr>
      <w:r w:rsidRPr="00A6518A">
        <w:rPr>
          <w:i/>
        </w:rPr>
        <w:t>Note</w:t>
      </w:r>
      <w:r w:rsidRPr="00A6518A">
        <w:t>: *** signals parameter significance at 1%</w:t>
      </w:r>
      <w:r>
        <w:t>, ** is for significance at 5%</w:t>
      </w:r>
      <w:r w:rsidRPr="00A6518A">
        <w:t xml:space="preserve">. </w:t>
      </w:r>
      <w:r w:rsidRPr="00A6518A">
        <w:rPr>
          <w:i/>
        </w:rPr>
        <w:t>Source</w:t>
      </w:r>
      <w:r w:rsidRPr="00A6518A">
        <w:t xml:space="preserve">: authors’ calculations in </w:t>
      </w:r>
      <w:proofErr w:type="spellStart"/>
      <w:r w:rsidRPr="00A6518A">
        <w:t>Eviews</w:t>
      </w:r>
      <w:proofErr w:type="spellEnd"/>
      <w:r w:rsidRPr="00A6518A">
        <w:t xml:space="preserve"> 10 based on Bloomberg data. </w:t>
      </w:r>
    </w:p>
    <w:p w:rsidR="00A6518A" w:rsidRPr="00A6518A" w:rsidRDefault="00A6518A" w:rsidP="001A4FB4">
      <w:pPr>
        <w:pStyle w:val="Corpotesto"/>
        <w:spacing w:line="360" w:lineRule="auto"/>
        <w:ind w:left="113"/>
        <w:jc w:val="both"/>
        <w:rPr>
          <w:sz w:val="19"/>
        </w:rPr>
      </w:pPr>
    </w:p>
    <w:p w:rsidR="000377FF" w:rsidRPr="00A20381" w:rsidRDefault="00E85B85" w:rsidP="001A4FB4">
      <w:pPr>
        <w:spacing w:line="360" w:lineRule="auto"/>
        <w:ind w:left="113" w:right="111"/>
        <w:jc w:val="both"/>
        <w:rPr>
          <w:sz w:val="20"/>
        </w:rPr>
      </w:pPr>
      <w:r w:rsidRPr="00A20381">
        <w:rPr>
          <w:i/>
          <w:spacing w:val="-4"/>
          <w:sz w:val="20"/>
        </w:rPr>
        <w:t xml:space="preserve">Table </w:t>
      </w:r>
      <w:r w:rsidRPr="00A20381">
        <w:rPr>
          <w:i/>
          <w:sz w:val="20"/>
        </w:rPr>
        <w:t xml:space="preserve">5 </w:t>
      </w:r>
      <w:r w:rsidRPr="00A20381">
        <w:rPr>
          <w:spacing w:val="4"/>
          <w:sz w:val="20"/>
        </w:rPr>
        <w:t>(</w:t>
      </w:r>
      <w:r w:rsidRPr="00A20381">
        <w:rPr>
          <w:i/>
          <w:spacing w:val="4"/>
          <w:sz w:val="20"/>
        </w:rPr>
        <w:t>a</w:t>
      </w:r>
      <w:r w:rsidRPr="00A20381">
        <w:rPr>
          <w:spacing w:val="4"/>
          <w:sz w:val="20"/>
        </w:rPr>
        <w:t xml:space="preserve">) </w:t>
      </w:r>
      <w:r w:rsidRPr="00A20381">
        <w:rPr>
          <w:sz w:val="20"/>
        </w:rPr>
        <w:t xml:space="preserve">and </w:t>
      </w:r>
      <w:r w:rsidRPr="00A20381">
        <w:rPr>
          <w:i/>
          <w:spacing w:val="-4"/>
          <w:sz w:val="20"/>
        </w:rPr>
        <w:t xml:space="preserve">Table  </w:t>
      </w:r>
      <w:r w:rsidRPr="00A20381">
        <w:rPr>
          <w:i/>
          <w:sz w:val="20"/>
        </w:rPr>
        <w:t xml:space="preserve">5  </w:t>
      </w:r>
      <w:r w:rsidRPr="00A20381">
        <w:rPr>
          <w:spacing w:val="3"/>
          <w:sz w:val="20"/>
        </w:rPr>
        <w:t>(</w:t>
      </w:r>
      <w:r w:rsidRPr="00A20381">
        <w:rPr>
          <w:i/>
          <w:spacing w:val="3"/>
          <w:sz w:val="20"/>
        </w:rPr>
        <w:t>b</w:t>
      </w:r>
      <w:r w:rsidRPr="00A20381">
        <w:rPr>
          <w:spacing w:val="3"/>
          <w:sz w:val="20"/>
        </w:rPr>
        <w:t xml:space="preserve">)  </w:t>
      </w:r>
      <w:r w:rsidRPr="00A20381">
        <w:rPr>
          <w:sz w:val="20"/>
        </w:rPr>
        <w:t xml:space="preserve">show  that  only  </w:t>
      </w:r>
      <w:r w:rsidRPr="00A20381">
        <w:rPr>
          <w:i/>
          <w:sz w:val="20"/>
        </w:rPr>
        <w:t>λ</w:t>
      </w:r>
      <w:r w:rsidRPr="00A20381">
        <w:rPr>
          <w:sz w:val="20"/>
          <w:vertAlign w:val="subscript"/>
        </w:rPr>
        <w:t>1</w:t>
      </w:r>
      <w:r w:rsidRPr="00A20381">
        <w:rPr>
          <w:sz w:val="20"/>
        </w:rPr>
        <w:t xml:space="preserve"> is  </w:t>
      </w:r>
      <w:r w:rsidRPr="00A20381">
        <w:rPr>
          <w:i/>
          <w:sz w:val="20"/>
        </w:rPr>
        <w:t xml:space="preserve">statistically  significant  </w:t>
      </w:r>
      <w:r w:rsidRPr="00A20381">
        <w:rPr>
          <w:sz w:val="20"/>
        </w:rPr>
        <w:t xml:space="preserve">and  </w:t>
      </w:r>
      <w:r w:rsidRPr="00A20381">
        <w:rPr>
          <w:i/>
          <w:sz w:val="20"/>
        </w:rPr>
        <w:t xml:space="preserve">negative  </w:t>
      </w:r>
      <w:r w:rsidRPr="00A20381">
        <w:rPr>
          <w:sz w:val="20"/>
        </w:rPr>
        <w:t xml:space="preserve">while  </w:t>
      </w:r>
      <w:r w:rsidRPr="00A20381">
        <w:rPr>
          <w:i/>
          <w:sz w:val="20"/>
        </w:rPr>
        <w:t>λ</w:t>
      </w:r>
      <w:r w:rsidRPr="00A20381">
        <w:rPr>
          <w:sz w:val="20"/>
          <w:vertAlign w:val="subscript"/>
        </w:rPr>
        <w:t>2</w:t>
      </w:r>
      <w:r w:rsidRPr="00A20381">
        <w:rPr>
          <w:sz w:val="20"/>
        </w:rPr>
        <w:t xml:space="preserve"> is  </w:t>
      </w:r>
      <w:r w:rsidRPr="00A20381">
        <w:rPr>
          <w:i/>
          <w:sz w:val="20"/>
        </w:rPr>
        <w:t xml:space="preserve">positive  </w:t>
      </w:r>
      <w:r w:rsidRPr="00A20381">
        <w:rPr>
          <w:sz w:val="20"/>
        </w:rPr>
        <w:t xml:space="preserve">but </w:t>
      </w:r>
      <w:r w:rsidRPr="00A20381">
        <w:rPr>
          <w:i/>
          <w:sz w:val="20"/>
        </w:rPr>
        <w:t>not statistically significant</w:t>
      </w:r>
      <w:r w:rsidRPr="00A20381">
        <w:rPr>
          <w:sz w:val="20"/>
        </w:rPr>
        <w:t xml:space="preserve">. This means that the </w:t>
      </w:r>
      <w:r w:rsidRPr="00A20381">
        <w:rPr>
          <w:spacing w:val="-3"/>
          <w:sz w:val="20"/>
        </w:rPr>
        <w:t xml:space="preserve">bond </w:t>
      </w:r>
      <w:r w:rsidRPr="00A20381">
        <w:rPr>
          <w:sz w:val="20"/>
        </w:rPr>
        <w:t xml:space="preserve">market </w:t>
      </w:r>
      <w:r w:rsidRPr="00A20381">
        <w:rPr>
          <w:spacing w:val="-3"/>
          <w:sz w:val="20"/>
        </w:rPr>
        <w:t>(</w:t>
      </w:r>
      <w:r w:rsidRPr="00A20381">
        <w:rPr>
          <w:i/>
          <w:spacing w:val="-3"/>
          <w:sz w:val="20"/>
        </w:rPr>
        <w:t>lead</w:t>
      </w:r>
      <w:r w:rsidRPr="00A20381">
        <w:rPr>
          <w:sz w:val="20"/>
        </w:rPr>
        <w:t>) embodied more rapidly the credit risk information than the CDS market (</w:t>
      </w:r>
      <w:r w:rsidRPr="00A20381">
        <w:rPr>
          <w:i/>
          <w:sz w:val="20"/>
        </w:rPr>
        <w:t>lag</w:t>
      </w:r>
      <w:r w:rsidRPr="00A20381">
        <w:rPr>
          <w:sz w:val="20"/>
        </w:rPr>
        <w:t xml:space="preserve">) during the </w:t>
      </w:r>
      <w:r w:rsidRPr="00A20381">
        <w:rPr>
          <w:i/>
          <w:sz w:val="20"/>
        </w:rPr>
        <w:t xml:space="preserve">sovereign debt crisis </w:t>
      </w:r>
      <w:r w:rsidRPr="00A20381">
        <w:rPr>
          <w:sz w:val="20"/>
        </w:rPr>
        <w:t>period. The CDS market, therefore,</w:t>
      </w:r>
      <w:r w:rsidRPr="00A20381">
        <w:rPr>
          <w:spacing w:val="6"/>
          <w:sz w:val="20"/>
        </w:rPr>
        <w:t xml:space="preserve"> </w:t>
      </w:r>
      <w:r w:rsidR="000D4A62" w:rsidRPr="00A20381">
        <w:rPr>
          <w:sz w:val="20"/>
        </w:rPr>
        <w:t>favored</w:t>
      </w:r>
      <w:r w:rsidRPr="00A20381">
        <w:rPr>
          <w:spacing w:val="6"/>
          <w:sz w:val="20"/>
        </w:rPr>
        <w:t xml:space="preserve"> </w:t>
      </w:r>
      <w:r w:rsidRPr="00A20381">
        <w:rPr>
          <w:sz w:val="20"/>
        </w:rPr>
        <w:t>the</w:t>
      </w:r>
      <w:r w:rsidRPr="00A20381">
        <w:rPr>
          <w:spacing w:val="7"/>
          <w:sz w:val="20"/>
        </w:rPr>
        <w:t xml:space="preserve"> </w:t>
      </w:r>
      <w:r w:rsidRPr="00A20381">
        <w:rPr>
          <w:sz w:val="20"/>
        </w:rPr>
        <w:t>process</w:t>
      </w:r>
      <w:r w:rsidRPr="00A20381">
        <w:rPr>
          <w:spacing w:val="6"/>
          <w:sz w:val="20"/>
        </w:rPr>
        <w:t xml:space="preserve"> </w:t>
      </w:r>
      <w:r w:rsidRPr="00A20381">
        <w:rPr>
          <w:sz w:val="20"/>
        </w:rPr>
        <w:t>of</w:t>
      </w:r>
      <w:r w:rsidRPr="00A20381">
        <w:rPr>
          <w:spacing w:val="7"/>
          <w:sz w:val="20"/>
        </w:rPr>
        <w:t xml:space="preserve"> </w:t>
      </w:r>
      <w:r w:rsidRPr="00A20381">
        <w:rPr>
          <w:sz w:val="20"/>
        </w:rPr>
        <w:t>adjustment</w:t>
      </w:r>
      <w:r w:rsidRPr="00A20381">
        <w:rPr>
          <w:spacing w:val="6"/>
          <w:sz w:val="20"/>
        </w:rPr>
        <w:t xml:space="preserve"> </w:t>
      </w:r>
      <w:r w:rsidRPr="00A20381">
        <w:rPr>
          <w:spacing w:val="-3"/>
          <w:sz w:val="20"/>
        </w:rPr>
        <w:t>towards</w:t>
      </w:r>
      <w:r w:rsidRPr="00A20381">
        <w:rPr>
          <w:spacing w:val="7"/>
          <w:sz w:val="20"/>
        </w:rPr>
        <w:t xml:space="preserve"> </w:t>
      </w:r>
      <w:r w:rsidRPr="00A20381">
        <w:rPr>
          <w:sz w:val="20"/>
        </w:rPr>
        <w:t>the</w:t>
      </w:r>
      <w:r w:rsidRPr="00A20381">
        <w:rPr>
          <w:spacing w:val="6"/>
          <w:sz w:val="20"/>
        </w:rPr>
        <w:t xml:space="preserve"> </w:t>
      </w:r>
      <w:r w:rsidRPr="00A20381">
        <w:rPr>
          <w:sz w:val="20"/>
        </w:rPr>
        <w:t>long-run</w:t>
      </w:r>
      <w:r w:rsidRPr="00A20381">
        <w:rPr>
          <w:spacing w:val="7"/>
          <w:sz w:val="20"/>
        </w:rPr>
        <w:t xml:space="preserve"> </w:t>
      </w:r>
      <w:r w:rsidRPr="00A20381">
        <w:rPr>
          <w:sz w:val="20"/>
        </w:rPr>
        <w:t>equilibrium</w:t>
      </w:r>
      <w:r w:rsidRPr="00A20381">
        <w:rPr>
          <w:spacing w:val="6"/>
          <w:sz w:val="20"/>
        </w:rPr>
        <w:t xml:space="preserve"> </w:t>
      </w:r>
      <w:r w:rsidRPr="00A20381">
        <w:rPr>
          <w:sz w:val="20"/>
        </w:rPr>
        <w:t>relationship.</w:t>
      </w:r>
    </w:p>
    <w:p w:rsidR="000377FF" w:rsidRPr="008767EA" w:rsidRDefault="000377FF" w:rsidP="001A4FB4">
      <w:pPr>
        <w:pStyle w:val="Corpotesto"/>
        <w:spacing w:before="2" w:line="360" w:lineRule="auto"/>
        <w:jc w:val="both"/>
      </w:pPr>
    </w:p>
    <w:p w:rsidR="003A69CF" w:rsidRPr="003A69CF" w:rsidRDefault="00E85B85" w:rsidP="001A4FB4">
      <w:pPr>
        <w:pStyle w:val="Titolo2"/>
        <w:tabs>
          <w:tab w:val="left" w:pos="726"/>
          <w:tab w:val="left" w:pos="727"/>
        </w:tabs>
        <w:spacing w:line="360" w:lineRule="auto"/>
        <w:ind w:left="112" w:firstLine="0"/>
        <w:jc w:val="both"/>
        <w:rPr>
          <w:rFonts w:ascii="Book Antiqua" w:hAnsi="Book Antiqua"/>
          <w:b/>
        </w:rPr>
      </w:pPr>
      <w:bookmarkStart w:id="6" w:name="_TOC_250003"/>
      <w:r w:rsidRPr="00A20381">
        <w:rPr>
          <w:rFonts w:ascii="Book Antiqua" w:hAnsi="Book Antiqua"/>
          <w:b/>
        </w:rPr>
        <w:t xml:space="preserve">The </w:t>
      </w:r>
      <w:r w:rsidRPr="00A20381">
        <w:rPr>
          <w:rFonts w:ascii="Book Antiqua" w:hAnsi="Book Antiqua"/>
          <w:b/>
          <w:spacing w:val="-4"/>
        </w:rPr>
        <w:t xml:space="preserve">years </w:t>
      </w:r>
      <w:r w:rsidRPr="00A20381">
        <w:rPr>
          <w:rFonts w:ascii="Book Antiqua" w:hAnsi="Book Antiqua"/>
          <w:b/>
        </w:rPr>
        <w:t xml:space="preserve">of liquidity drug </w:t>
      </w:r>
      <w:r w:rsidRPr="00A20381">
        <w:rPr>
          <w:rFonts w:ascii="Book Antiqua" w:hAnsi="Book Antiqua"/>
          <w:b/>
          <w:i w:val="0"/>
        </w:rPr>
        <w:t xml:space="preserve">- </w:t>
      </w:r>
      <w:r w:rsidRPr="00A20381">
        <w:rPr>
          <w:rFonts w:ascii="Book Antiqua" w:hAnsi="Book Antiqua"/>
          <w:b/>
          <w:spacing w:val="-5"/>
        </w:rPr>
        <w:t xml:space="preserve">Pre </w:t>
      </w:r>
      <w:r w:rsidRPr="00A20381">
        <w:rPr>
          <w:rFonts w:ascii="Book Antiqua" w:hAnsi="Book Antiqua"/>
          <w:b/>
        </w:rPr>
        <w:t>QE</w:t>
      </w:r>
      <w:r w:rsidRPr="00A20381">
        <w:rPr>
          <w:rFonts w:ascii="Book Antiqua" w:hAnsi="Book Antiqua"/>
          <w:b/>
          <w:i w:val="0"/>
        </w:rPr>
        <w:t>:</w:t>
      </w:r>
      <w:r w:rsidRPr="00A20381">
        <w:rPr>
          <w:rFonts w:ascii="Book Antiqua" w:hAnsi="Book Antiqua"/>
          <w:b/>
          <w:i w:val="0"/>
          <w:spacing w:val="11"/>
        </w:rPr>
        <w:t xml:space="preserve"> </w:t>
      </w:r>
      <w:bookmarkEnd w:id="6"/>
      <w:r w:rsidRPr="00A20381">
        <w:rPr>
          <w:rFonts w:ascii="Book Antiqua" w:hAnsi="Book Antiqua"/>
          <w:b/>
        </w:rPr>
        <w:t>2012-14</w:t>
      </w:r>
    </w:p>
    <w:p w:rsidR="000377FF" w:rsidRPr="00A20381" w:rsidRDefault="00E85B85" w:rsidP="001A4FB4">
      <w:pPr>
        <w:spacing w:line="360" w:lineRule="auto"/>
        <w:ind w:left="113" w:right="112"/>
        <w:jc w:val="both"/>
        <w:rPr>
          <w:sz w:val="20"/>
        </w:rPr>
      </w:pPr>
      <w:r w:rsidRPr="00A20381">
        <w:rPr>
          <w:sz w:val="20"/>
        </w:rPr>
        <w:t xml:space="preserve">In the period immediately after the </w:t>
      </w:r>
      <w:r w:rsidRPr="00A20381">
        <w:rPr>
          <w:i/>
          <w:sz w:val="20"/>
        </w:rPr>
        <w:t>sovereign debt crisis</w:t>
      </w:r>
      <w:r w:rsidRPr="00A20381">
        <w:rPr>
          <w:sz w:val="20"/>
        </w:rPr>
        <w:t xml:space="preserve">, there is no </w:t>
      </w:r>
      <w:proofErr w:type="spellStart"/>
      <w:r w:rsidRPr="00A20381">
        <w:rPr>
          <w:sz w:val="20"/>
        </w:rPr>
        <w:t>cointegration</w:t>
      </w:r>
      <w:proofErr w:type="spellEnd"/>
      <w:r w:rsidRPr="00A20381">
        <w:rPr>
          <w:sz w:val="20"/>
        </w:rPr>
        <w:t xml:space="preserve"> between the series as supported by the </w:t>
      </w:r>
      <w:r w:rsidRPr="00A20381">
        <w:rPr>
          <w:i/>
          <w:sz w:val="20"/>
        </w:rPr>
        <w:t>Augmented Dickey-Fuller Test</w:t>
      </w:r>
      <w:r w:rsidRPr="00A20381">
        <w:rPr>
          <w:sz w:val="20"/>
        </w:rPr>
        <w:t xml:space="preserve">. The latter test is reported in </w:t>
      </w:r>
      <w:r w:rsidRPr="00A20381">
        <w:rPr>
          <w:i/>
          <w:sz w:val="20"/>
        </w:rPr>
        <w:t>Table 6</w:t>
      </w:r>
      <w:r w:rsidRPr="00A20381">
        <w:rPr>
          <w:sz w:val="20"/>
        </w:rPr>
        <w:t>.</w:t>
      </w:r>
    </w:p>
    <w:p w:rsidR="000377FF" w:rsidRPr="00A20381" w:rsidRDefault="000377FF" w:rsidP="001A4FB4">
      <w:pPr>
        <w:spacing w:line="360" w:lineRule="auto"/>
        <w:jc w:val="both"/>
        <w:rPr>
          <w:sz w:val="20"/>
        </w:rPr>
        <w:sectPr w:rsidR="000377FF" w:rsidRPr="00A20381">
          <w:pgSz w:w="12240" w:h="15840"/>
          <w:pgMar w:top="1340" w:right="1020" w:bottom="1000" w:left="1020" w:header="0" w:footer="806" w:gutter="0"/>
          <w:cols w:space="720"/>
        </w:sectPr>
      </w:pPr>
    </w:p>
    <w:p w:rsidR="000377FF" w:rsidRPr="00A20381" w:rsidRDefault="00E85B85" w:rsidP="001A4FB4">
      <w:pPr>
        <w:spacing w:before="84" w:line="360" w:lineRule="auto"/>
        <w:ind w:left="113"/>
        <w:jc w:val="both"/>
        <w:rPr>
          <w:i/>
          <w:sz w:val="20"/>
        </w:rPr>
      </w:pPr>
      <w:r w:rsidRPr="00A20381">
        <w:rPr>
          <w:b/>
          <w:w w:val="105"/>
          <w:sz w:val="20"/>
        </w:rPr>
        <w:lastRenderedPageBreak/>
        <w:t xml:space="preserve">Table 6 </w:t>
      </w:r>
      <w:r w:rsidRPr="00A20381">
        <w:rPr>
          <w:w w:val="105"/>
          <w:sz w:val="20"/>
        </w:rPr>
        <w:t xml:space="preserve">- </w:t>
      </w:r>
      <w:r w:rsidRPr="00A20381">
        <w:rPr>
          <w:i/>
          <w:w w:val="105"/>
          <w:sz w:val="20"/>
        </w:rPr>
        <w:t>Augmented Dickey-Fuller Test</w:t>
      </w:r>
      <w:r w:rsidRPr="00A20381">
        <w:rPr>
          <w:w w:val="105"/>
          <w:sz w:val="20"/>
        </w:rPr>
        <w:t xml:space="preserve">: period </w:t>
      </w:r>
      <w:r w:rsidRPr="00A20381">
        <w:rPr>
          <w:i/>
          <w:w w:val="105"/>
          <w:sz w:val="20"/>
        </w:rPr>
        <w:t>2012-14</w:t>
      </w:r>
    </w:p>
    <w:p w:rsidR="000377FF" w:rsidRPr="00A20381" w:rsidRDefault="000377FF" w:rsidP="001A4FB4">
      <w:pPr>
        <w:pStyle w:val="Corpotesto"/>
        <w:spacing w:after="1" w:line="360" w:lineRule="auto"/>
        <w:jc w:val="both"/>
        <w:rPr>
          <w:i/>
          <w:sz w:val="10"/>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1"/>
        <w:gridCol w:w="1103"/>
        <w:gridCol w:w="881"/>
      </w:tblGrid>
      <w:tr w:rsidR="000377FF" w:rsidRPr="00A20381">
        <w:trPr>
          <w:trHeight w:val="396"/>
        </w:trPr>
        <w:tc>
          <w:tcPr>
            <w:tcW w:w="2895" w:type="dxa"/>
            <w:gridSpan w:val="3"/>
          </w:tcPr>
          <w:p w:rsidR="000377FF" w:rsidRPr="00A20381" w:rsidRDefault="00E85B85" w:rsidP="001A4FB4">
            <w:pPr>
              <w:pStyle w:val="TableParagraph"/>
              <w:spacing w:before="93" w:line="360" w:lineRule="auto"/>
              <w:ind w:left="122"/>
              <w:jc w:val="both"/>
              <w:rPr>
                <w:i/>
                <w:sz w:val="20"/>
              </w:rPr>
            </w:pPr>
            <w:r w:rsidRPr="00A20381">
              <w:rPr>
                <w:i/>
                <w:w w:val="105"/>
                <w:sz w:val="20"/>
              </w:rPr>
              <w:t>Augmented Dickey-Fuller Test</w:t>
            </w:r>
          </w:p>
        </w:tc>
      </w:tr>
      <w:tr w:rsidR="000377FF" w:rsidRPr="00A20381">
        <w:trPr>
          <w:trHeight w:val="396"/>
        </w:trPr>
        <w:tc>
          <w:tcPr>
            <w:tcW w:w="2895" w:type="dxa"/>
            <w:gridSpan w:val="3"/>
          </w:tcPr>
          <w:p w:rsidR="000377FF" w:rsidRPr="00A20381" w:rsidRDefault="00E85B85" w:rsidP="001A4FB4">
            <w:pPr>
              <w:pStyle w:val="TableParagraph"/>
              <w:spacing w:line="360" w:lineRule="auto"/>
              <w:ind w:left="997" w:right="989"/>
              <w:jc w:val="both"/>
              <w:rPr>
                <w:sz w:val="20"/>
              </w:rPr>
            </w:pPr>
            <w:r w:rsidRPr="00A20381">
              <w:rPr>
                <w:sz w:val="20"/>
              </w:rPr>
              <w:t>Residuals</w:t>
            </w:r>
          </w:p>
        </w:tc>
      </w:tr>
      <w:tr w:rsidR="000377FF" w:rsidRPr="00A20381">
        <w:trPr>
          <w:trHeight w:val="410"/>
        </w:trPr>
        <w:tc>
          <w:tcPr>
            <w:tcW w:w="911" w:type="dxa"/>
            <w:tcBorders>
              <w:bottom w:val="double" w:sz="1" w:space="0" w:color="000000"/>
            </w:tcBorders>
          </w:tcPr>
          <w:p w:rsidR="000377FF" w:rsidRPr="00A20381" w:rsidRDefault="00E85B85" w:rsidP="001A4FB4">
            <w:pPr>
              <w:pStyle w:val="TableParagraph"/>
              <w:spacing w:before="93" w:line="360" w:lineRule="auto"/>
              <w:ind w:left="83" w:right="93"/>
              <w:jc w:val="both"/>
              <w:rPr>
                <w:i/>
                <w:sz w:val="20"/>
              </w:rPr>
            </w:pPr>
            <w:r w:rsidRPr="00A20381">
              <w:rPr>
                <w:i/>
                <w:w w:val="110"/>
                <w:sz w:val="20"/>
              </w:rPr>
              <w:t>Period</w:t>
            </w:r>
          </w:p>
        </w:tc>
        <w:tc>
          <w:tcPr>
            <w:tcW w:w="1103" w:type="dxa"/>
            <w:tcBorders>
              <w:bottom w:val="double" w:sz="1" w:space="0" w:color="000000"/>
            </w:tcBorders>
          </w:tcPr>
          <w:p w:rsidR="000377FF" w:rsidRPr="00A20381" w:rsidRDefault="00E85B85" w:rsidP="001A4FB4">
            <w:pPr>
              <w:pStyle w:val="TableParagraph"/>
              <w:spacing w:before="93" w:line="360" w:lineRule="auto"/>
              <w:ind w:left="104" w:right="104"/>
              <w:jc w:val="both"/>
              <w:rPr>
                <w:i/>
                <w:sz w:val="20"/>
              </w:rPr>
            </w:pPr>
            <w:r w:rsidRPr="00A20381">
              <w:rPr>
                <w:i/>
                <w:w w:val="105"/>
                <w:sz w:val="20"/>
              </w:rPr>
              <w:t>t-Statistic</w:t>
            </w:r>
          </w:p>
        </w:tc>
        <w:tc>
          <w:tcPr>
            <w:tcW w:w="881" w:type="dxa"/>
            <w:tcBorders>
              <w:bottom w:val="double" w:sz="1" w:space="0" w:color="000000"/>
            </w:tcBorders>
          </w:tcPr>
          <w:p w:rsidR="000377FF" w:rsidRPr="00A20381" w:rsidRDefault="00E85B85" w:rsidP="001A4FB4">
            <w:pPr>
              <w:pStyle w:val="TableParagraph"/>
              <w:spacing w:before="39" w:line="360" w:lineRule="auto"/>
              <w:ind w:left="129" w:right="129"/>
              <w:jc w:val="both"/>
              <w:rPr>
                <w:i/>
                <w:sz w:val="20"/>
              </w:rPr>
            </w:pPr>
            <w:r w:rsidRPr="00A20381">
              <w:rPr>
                <w:i/>
                <w:sz w:val="20"/>
              </w:rPr>
              <w:t>Prob.</w:t>
            </w:r>
            <w:r w:rsidRPr="00A20381">
              <w:rPr>
                <w:rFonts w:ascii="Cambria Math" w:hAnsi="Cambria Math" w:cs="Cambria Math"/>
                <w:i/>
                <w:sz w:val="20"/>
                <w:vertAlign w:val="superscript"/>
              </w:rPr>
              <w:t>∗</w:t>
            </w:r>
          </w:p>
        </w:tc>
      </w:tr>
      <w:tr w:rsidR="000377FF" w:rsidRPr="00A20381">
        <w:trPr>
          <w:trHeight w:val="410"/>
        </w:trPr>
        <w:tc>
          <w:tcPr>
            <w:tcW w:w="911" w:type="dxa"/>
            <w:tcBorders>
              <w:top w:val="double" w:sz="1" w:space="0" w:color="000000"/>
            </w:tcBorders>
          </w:tcPr>
          <w:p w:rsidR="000377FF" w:rsidRPr="00A20381" w:rsidRDefault="00E85B85" w:rsidP="001A4FB4">
            <w:pPr>
              <w:pStyle w:val="TableParagraph"/>
              <w:spacing w:before="100" w:line="360" w:lineRule="auto"/>
              <w:ind w:left="101" w:right="93"/>
              <w:jc w:val="both"/>
              <w:rPr>
                <w:sz w:val="20"/>
              </w:rPr>
            </w:pPr>
            <w:r w:rsidRPr="00A20381">
              <w:rPr>
                <w:sz w:val="20"/>
              </w:rPr>
              <w:t>2012-14</w:t>
            </w:r>
          </w:p>
        </w:tc>
        <w:tc>
          <w:tcPr>
            <w:tcW w:w="1103" w:type="dxa"/>
            <w:tcBorders>
              <w:top w:val="double" w:sz="1" w:space="0" w:color="000000"/>
            </w:tcBorders>
          </w:tcPr>
          <w:p w:rsidR="000377FF" w:rsidRPr="00A20381" w:rsidRDefault="00E85B85" w:rsidP="001A4FB4">
            <w:pPr>
              <w:pStyle w:val="TableParagraph"/>
              <w:spacing w:before="100" w:line="360" w:lineRule="auto"/>
              <w:ind w:left="104" w:right="95"/>
              <w:jc w:val="both"/>
              <w:rPr>
                <w:sz w:val="20"/>
              </w:rPr>
            </w:pPr>
            <w:r w:rsidRPr="00A20381">
              <w:rPr>
                <w:sz w:val="20"/>
              </w:rPr>
              <w:t>-1.055049</w:t>
            </w:r>
          </w:p>
        </w:tc>
        <w:tc>
          <w:tcPr>
            <w:tcW w:w="881" w:type="dxa"/>
            <w:tcBorders>
              <w:top w:val="double" w:sz="1" w:space="0" w:color="000000"/>
            </w:tcBorders>
          </w:tcPr>
          <w:p w:rsidR="000377FF" w:rsidRPr="00A20381" w:rsidRDefault="00E85B85" w:rsidP="001A4FB4">
            <w:pPr>
              <w:pStyle w:val="TableParagraph"/>
              <w:spacing w:before="100" w:line="360" w:lineRule="auto"/>
              <w:ind w:left="129" w:right="120"/>
              <w:jc w:val="both"/>
              <w:rPr>
                <w:sz w:val="20"/>
              </w:rPr>
            </w:pPr>
            <w:r w:rsidRPr="00A20381">
              <w:rPr>
                <w:sz w:val="20"/>
              </w:rPr>
              <w:t>0.9339</w:t>
            </w:r>
          </w:p>
        </w:tc>
      </w:tr>
    </w:tbl>
    <w:p w:rsidR="000377FF" w:rsidRPr="00A20381" w:rsidRDefault="000377FF" w:rsidP="001A4FB4">
      <w:pPr>
        <w:pStyle w:val="Corpotesto"/>
        <w:spacing w:before="9" w:line="360" w:lineRule="auto"/>
        <w:jc w:val="both"/>
        <w:rPr>
          <w:i/>
          <w:sz w:val="18"/>
        </w:rPr>
      </w:pPr>
    </w:p>
    <w:p w:rsidR="000377FF" w:rsidRPr="00A20381" w:rsidRDefault="00E85B85" w:rsidP="001A4FB4">
      <w:pPr>
        <w:pStyle w:val="Corpotesto"/>
        <w:spacing w:line="360" w:lineRule="auto"/>
        <w:ind w:left="113"/>
        <w:jc w:val="both"/>
      </w:pPr>
      <w:r w:rsidRPr="00A20381">
        <w:rPr>
          <w:i/>
        </w:rPr>
        <w:t>Source</w:t>
      </w:r>
      <w:r w:rsidR="001F0D6B">
        <w:t>: author</w:t>
      </w:r>
      <w:r w:rsidRPr="00A20381">
        <w:t>s</w:t>
      </w:r>
      <w:r w:rsidR="001F0D6B">
        <w:t>’</w:t>
      </w:r>
      <w:r w:rsidRPr="00A20381">
        <w:t xml:space="preserve"> own calculations in </w:t>
      </w:r>
      <w:proofErr w:type="spellStart"/>
      <w:r w:rsidRPr="00A20381">
        <w:t>Eviews</w:t>
      </w:r>
      <w:proofErr w:type="spellEnd"/>
      <w:r w:rsidRPr="00A20381">
        <w:t xml:space="preserve"> 10</w:t>
      </w:r>
      <w:r w:rsidR="00A6518A">
        <w:t xml:space="preserve"> based on Bloomberg data.</w:t>
      </w:r>
    </w:p>
    <w:p w:rsidR="000377FF" w:rsidRPr="00A20381" w:rsidRDefault="000377FF" w:rsidP="001A4FB4">
      <w:pPr>
        <w:pStyle w:val="Corpotesto"/>
        <w:spacing w:before="2" w:line="360" w:lineRule="auto"/>
        <w:jc w:val="both"/>
      </w:pPr>
    </w:p>
    <w:p w:rsidR="000377FF" w:rsidRPr="00A20381" w:rsidRDefault="00E85B85" w:rsidP="001A4FB4">
      <w:pPr>
        <w:pStyle w:val="Corpotesto"/>
        <w:spacing w:line="360" w:lineRule="auto"/>
        <w:ind w:left="113" w:right="111"/>
        <w:jc w:val="both"/>
      </w:pPr>
      <w:r w:rsidRPr="00A20381">
        <w:rPr>
          <w:spacing w:val="-3"/>
        </w:rPr>
        <w:t xml:space="preserve">At </w:t>
      </w:r>
      <w:r w:rsidRPr="00A20381">
        <w:t>this point of the analysis, given t</w:t>
      </w:r>
      <w:r w:rsidR="000D4A62" w:rsidRPr="00A20381">
        <w:t xml:space="preserve">hat there is no </w:t>
      </w:r>
      <w:proofErr w:type="spellStart"/>
      <w:r w:rsidR="000D4A62" w:rsidRPr="00A20381">
        <w:t>cointegration</w:t>
      </w:r>
      <w:proofErr w:type="spellEnd"/>
      <w:r w:rsidR="000D4A62" w:rsidRPr="00A20381">
        <w:t>, we</w:t>
      </w:r>
      <w:r w:rsidRPr="00A20381">
        <w:t xml:space="preserve"> </w:t>
      </w:r>
      <w:r w:rsidR="000D4A62" w:rsidRPr="00A20381">
        <w:t>analyze</w:t>
      </w:r>
      <w:r w:rsidRPr="00A20381">
        <w:t xml:space="preserve"> the </w:t>
      </w:r>
      <w:r w:rsidRPr="00A20381">
        <w:rPr>
          <w:i/>
        </w:rPr>
        <w:t xml:space="preserve">Granger-causality </w:t>
      </w:r>
      <w:r w:rsidR="000D4A62" w:rsidRPr="00A20381">
        <w:t>be</w:t>
      </w:r>
      <w:r w:rsidRPr="00A20381">
        <w:rPr>
          <w:spacing w:val="-3"/>
        </w:rPr>
        <w:t xml:space="preserve">tween </w:t>
      </w:r>
      <w:r w:rsidRPr="00A20381">
        <w:t xml:space="preserve">the </w:t>
      </w:r>
      <w:r w:rsidRPr="00A20381">
        <w:rPr>
          <w:i/>
        </w:rPr>
        <w:t xml:space="preserve">CDS </w:t>
      </w:r>
      <w:r w:rsidRPr="00A20381">
        <w:t xml:space="preserve">and </w:t>
      </w:r>
      <w:r w:rsidRPr="00A20381">
        <w:rPr>
          <w:i/>
        </w:rPr>
        <w:t xml:space="preserve">GBS </w:t>
      </w:r>
      <w:r w:rsidRPr="00A20381">
        <w:t xml:space="preserve">series in order to see if one time series is useful in forecasting another one. </w:t>
      </w:r>
      <w:r w:rsidR="000D4A62" w:rsidRPr="00A20381">
        <w:rPr>
          <w:spacing w:val="-3"/>
        </w:rPr>
        <w:t>Naturally,</w:t>
      </w:r>
      <w:r w:rsidRPr="00A20381">
        <w:rPr>
          <w:spacing w:val="-3"/>
        </w:rPr>
        <w:t xml:space="preserve"> </w:t>
      </w:r>
      <w:r w:rsidRPr="00A20381">
        <w:t xml:space="preserve">the Granger-causality is not necessarily </w:t>
      </w:r>
      <w:r w:rsidRPr="00A20381">
        <w:rPr>
          <w:spacing w:val="3"/>
        </w:rPr>
        <w:t>“</w:t>
      </w:r>
      <w:r w:rsidRPr="00A20381">
        <w:rPr>
          <w:i/>
          <w:spacing w:val="3"/>
        </w:rPr>
        <w:t xml:space="preserve">true </w:t>
      </w:r>
      <w:r w:rsidRPr="00A20381">
        <w:rPr>
          <w:i/>
        </w:rPr>
        <w:t>causality</w:t>
      </w:r>
      <w:r w:rsidRPr="00A20381">
        <w:t xml:space="preserve">”, econometricians assert that the Granger test finds only </w:t>
      </w:r>
      <w:r w:rsidRPr="00A20381">
        <w:rPr>
          <w:spacing w:val="-3"/>
        </w:rPr>
        <w:t>"</w:t>
      </w:r>
      <w:r w:rsidRPr="00A20381">
        <w:rPr>
          <w:i/>
          <w:spacing w:val="-3"/>
        </w:rPr>
        <w:t xml:space="preserve">predictive </w:t>
      </w:r>
      <w:r w:rsidRPr="00A20381">
        <w:rPr>
          <w:i/>
        </w:rPr>
        <w:t>causality</w:t>
      </w:r>
      <w:r w:rsidRPr="00A20381">
        <w:t>" (</w:t>
      </w:r>
      <w:r w:rsidRPr="00A20381">
        <w:rPr>
          <w:i/>
        </w:rPr>
        <w:t>Diebold</w:t>
      </w:r>
      <w:r w:rsidRPr="00A20381">
        <w:t xml:space="preserve">, </w:t>
      </w:r>
      <w:r w:rsidR="000D4A62" w:rsidRPr="00A20381">
        <w:rPr>
          <w:i/>
        </w:rPr>
        <w:t>2001</w:t>
      </w:r>
      <w:r w:rsidRPr="00A20381">
        <w:t xml:space="preserve">). </w:t>
      </w:r>
      <w:r w:rsidRPr="00A20381">
        <w:rPr>
          <w:i/>
          <w:spacing w:val="-4"/>
        </w:rPr>
        <w:t xml:space="preserve">Table </w:t>
      </w:r>
      <w:r w:rsidRPr="00A20381">
        <w:rPr>
          <w:i/>
        </w:rPr>
        <w:t xml:space="preserve">7 </w:t>
      </w:r>
      <w:r w:rsidRPr="00A20381">
        <w:t>reports the outcomes of the causality</w:t>
      </w:r>
      <w:r w:rsidRPr="00A20381">
        <w:rPr>
          <w:spacing w:val="31"/>
        </w:rPr>
        <w:t xml:space="preserve"> </w:t>
      </w:r>
      <w:r w:rsidRPr="00A20381">
        <w:t>test.</w:t>
      </w:r>
    </w:p>
    <w:p w:rsidR="000377FF" w:rsidRPr="008767EA" w:rsidRDefault="000377FF" w:rsidP="001A4FB4">
      <w:pPr>
        <w:pStyle w:val="Corpotesto"/>
        <w:spacing w:before="4" w:line="360" w:lineRule="auto"/>
        <w:jc w:val="both"/>
      </w:pPr>
    </w:p>
    <w:p w:rsidR="000377FF" w:rsidRPr="003A69CF" w:rsidRDefault="00E85B85" w:rsidP="001A4FB4">
      <w:pPr>
        <w:spacing w:before="1" w:line="360" w:lineRule="auto"/>
        <w:ind w:left="113"/>
        <w:jc w:val="both"/>
        <w:rPr>
          <w:i/>
          <w:sz w:val="20"/>
        </w:rPr>
      </w:pPr>
      <w:r w:rsidRPr="00A20381">
        <w:rPr>
          <w:b/>
          <w:w w:val="105"/>
          <w:sz w:val="20"/>
        </w:rPr>
        <w:t xml:space="preserve">Table 7 </w:t>
      </w:r>
      <w:r w:rsidRPr="00A20381">
        <w:rPr>
          <w:w w:val="105"/>
          <w:sz w:val="20"/>
        </w:rPr>
        <w:t xml:space="preserve">- </w:t>
      </w:r>
      <w:r w:rsidR="001E4EE3" w:rsidRPr="00A20381">
        <w:rPr>
          <w:i/>
          <w:w w:val="105"/>
          <w:sz w:val="20"/>
        </w:rPr>
        <w:t>Granger-causality Test</w:t>
      </w:r>
      <w:r w:rsidRPr="00A20381">
        <w:rPr>
          <w:w w:val="105"/>
          <w:sz w:val="20"/>
        </w:rPr>
        <w:t xml:space="preserve">: period </w:t>
      </w:r>
      <w:r w:rsidRPr="00A20381">
        <w:rPr>
          <w:i/>
          <w:w w:val="105"/>
          <w:sz w:val="20"/>
        </w:rPr>
        <w:t>2012-14</w:t>
      </w:r>
    </w:p>
    <w:p w:rsidR="000377FF" w:rsidRPr="00A20381" w:rsidRDefault="000377FF" w:rsidP="001A4FB4">
      <w:pPr>
        <w:pStyle w:val="Corpotesto"/>
        <w:spacing w:line="360" w:lineRule="auto"/>
        <w:jc w:val="both"/>
        <w:rPr>
          <w:i/>
          <w:sz w:val="10"/>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8"/>
        <w:gridCol w:w="589"/>
        <w:gridCol w:w="1167"/>
        <w:gridCol w:w="800"/>
      </w:tblGrid>
      <w:tr w:rsidR="000377FF" w:rsidRPr="00A20381">
        <w:trPr>
          <w:trHeight w:val="396"/>
        </w:trPr>
        <w:tc>
          <w:tcPr>
            <w:tcW w:w="3318" w:type="dxa"/>
          </w:tcPr>
          <w:p w:rsidR="000377FF" w:rsidRPr="00A20381" w:rsidRDefault="00E85B85" w:rsidP="001A4FB4">
            <w:pPr>
              <w:pStyle w:val="TableParagraph"/>
              <w:spacing w:before="93" w:line="360" w:lineRule="auto"/>
              <w:ind w:left="146" w:right="151"/>
              <w:jc w:val="both"/>
              <w:rPr>
                <w:i/>
                <w:sz w:val="20"/>
              </w:rPr>
            </w:pPr>
            <w:r w:rsidRPr="00A20381">
              <w:rPr>
                <w:i/>
                <w:sz w:val="20"/>
              </w:rPr>
              <w:t>Null Hypothesis</w:t>
            </w:r>
          </w:p>
        </w:tc>
        <w:tc>
          <w:tcPr>
            <w:tcW w:w="589" w:type="dxa"/>
          </w:tcPr>
          <w:p w:rsidR="000377FF" w:rsidRPr="00A20381" w:rsidRDefault="00E85B85" w:rsidP="001A4FB4">
            <w:pPr>
              <w:pStyle w:val="TableParagraph"/>
              <w:spacing w:before="93" w:line="360" w:lineRule="auto"/>
              <w:ind w:left="122"/>
              <w:jc w:val="both"/>
              <w:rPr>
                <w:i/>
                <w:sz w:val="20"/>
              </w:rPr>
            </w:pPr>
            <w:proofErr w:type="spellStart"/>
            <w:r w:rsidRPr="00A20381">
              <w:rPr>
                <w:i/>
                <w:sz w:val="20"/>
              </w:rPr>
              <w:t>Obs</w:t>
            </w:r>
            <w:proofErr w:type="spellEnd"/>
          </w:p>
        </w:tc>
        <w:tc>
          <w:tcPr>
            <w:tcW w:w="1167" w:type="dxa"/>
          </w:tcPr>
          <w:p w:rsidR="000377FF" w:rsidRPr="00A20381" w:rsidRDefault="00E85B85" w:rsidP="001A4FB4">
            <w:pPr>
              <w:pStyle w:val="TableParagraph"/>
              <w:spacing w:before="93" w:line="360" w:lineRule="auto"/>
              <w:ind w:left="113" w:right="113"/>
              <w:jc w:val="both"/>
              <w:rPr>
                <w:i/>
                <w:sz w:val="20"/>
              </w:rPr>
            </w:pPr>
            <w:r w:rsidRPr="00A20381">
              <w:rPr>
                <w:i/>
                <w:w w:val="105"/>
                <w:sz w:val="20"/>
              </w:rPr>
              <w:t>F-Statistic</w:t>
            </w:r>
          </w:p>
        </w:tc>
        <w:tc>
          <w:tcPr>
            <w:tcW w:w="800" w:type="dxa"/>
          </w:tcPr>
          <w:p w:rsidR="000377FF" w:rsidRPr="00A20381" w:rsidRDefault="00E85B85" w:rsidP="001A4FB4">
            <w:pPr>
              <w:pStyle w:val="TableParagraph"/>
              <w:spacing w:before="93" w:line="360" w:lineRule="auto"/>
              <w:ind w:left="168"/>
              <w:jc w:val="both"/>
              <w:rPr>
                <w:i/>
                <w:sz w:val="20"/>
              </w:rPr>
            </w:pPr>
            <w:r w:rsidRPr="00A20381">
              <w:rPr>
                <w:i/>
                <w:w w:val="110"/>
                <w:sz w:val="20"/>
              </w:rPr>
              <w:t>Prob.</w:t>
            </w:r>
          </w:p>
        </w:tc>
      </w:tr>
      <w:tr w:rsidR="000377FF" w:rsidRPr="00A20381">
        <w:trPr>
          <w:trHeight w:val="396"/>
        </w:trPr>
        <w:tc>
          <w:tcPr>
            <w:tcW w:w="3318" w:type="dxa"/>
          </w:tcPr>
          <w:p w:rsidR="000377FF" w:rsidRPr="00A20381" w:rsidRDefault="00E85B85" w:rsidP="001A4FB4">
            <w:pPr>
              <w:pStyle w:val="TableParagraph"/>
              <w:spacing w:before="93" w:line="360" w:lineRule="auto"/>
              <w:ind w:left="146" w:right="158"/>
              <w:jc w:val="both"/>
              <w:rPr>
                <w:i/>
                <w:sz w:val="20"/>
              </w:rPr>
            </w:pPr>
            <w:r w:rsidRPr="00A20381">
              <w:rPr>
                <w:i/>
                <w:w w:val="105"/>
                <w:sz w:val="20"/>
              </w:rPr>
              <w:t>GBS does not Granger-Cause CDS</w:t>
            </w:r>
          </w:p>
        </w:tc>
        <w:tc>
          <w:tcPr>
            <w:tcW w:w="589" w:type="dxa"/>
            <w:vMerge w:val="restart"/>
          </w:tcPr>
          <w:p w:rsidR="000377FF" w:rsidRPr="00A20381" w:rsidRDefault="000377FF" w:rsidP="001A4FB4">
            <w:pPr>
              <w:pStyle w:val="TableParagraph"/>
              <w:spacing w:before="7" w:line="360" w:lineRule="auto"/>
              <w:jc w:val="both"/>
              <w:rPr>
                <w:i/>
                <w:sz w:val="23"/>
              </w:rPr>
            </w:pPr>
          </w:p>
          <w:p w:rsidR="000377FF" w:rsidRPr="00A20381" w:rsidRDefault="00E85B85" w:rsidP="001A4FB4">
            <w:pPr>
              <w:pStyle w:val="TableParagraph"/>
              <w:spacing w:before="1" w:line="360" w:lineRule="auto"/>
              <w:ind w:left="144"/>
              <w:jc w:val="both"/>
              <w:rPr>
                <w:sz w:val="20"/>
              </w:rPr>
            </w:pPr>
            <w:r w:rsidRPr="00A20381">
              <w:rPr>
                <w:sz w:val="20"/>
              </w:rPr>
              <w:t>480</w:t>
            </w:r>
          </w:p>
        </w:tc>
        <w:tc>
          <w:tcPr>
            <w:tcW w:w="1167" w:type="dxa"/>
          </w:tcPr>
          <w:p w:rsidR="000377FF" w:rsidRPr="00A20381" w:rsidRDefault="00E85B85" w:rsidP="001A4FB4">
            <w:pPr>
              <w:pStyle w:val="TableParagraph"/>
              <w:spacing w:line="360" w:lineRule="auto"/>
              <w:ind w:left="113" w:right="104"/>
              <w:jc w:val="both"/>
              <w:rPr>
                <w:sz w:val="20"/>
              </w:rPr>
            </w:pPr>
            <w:r w:rsidRPr="00A20381">
              <w:rPr>
                <w:sz w:val="20"/>
              </w:rPr>
              <w:t>22.5738</w:t>
            </w:r>
          </w:p>
        </w:tc>
        <w:tc>
          <w:tcPr>
            <w:tcW w:w="800" w:type="dxa"/>
          </w:tcPr>
          <w:p w:rsidR="000377FF" w:rsidRPr="00A20381" w:rsidRDefault="00E85B85" w:rsidP="001A4FB4">
            <w:pPr>
              <w:pStyle w:val="TableParagraph"/>
              <w:spacing w:line="360" w:lineRule="auto"/>
              <w:ind w:left="123"/>
              <w:jc w:val="both"/>
              <w:rPr>
                <w:sz w:val="20"/>
              </w:rPr>
            </w:pPr>
            <w:r w:rsidRPr="00A20381">
              <w:rPr>
                <w:sz w:val="20"/>
              </w:rPr>
              <w:t>0.0000</w:t>
            </w:r>
          </w:p>
        </w:tc>
      </w:tr>
      <w:tr w:rsidR="000377FF" w:rsidRPr="00A20381">
        <w:trPr>
          <w:trHeight w:val="388"/>
        </w:trPr>
        <w:tc>
          <w:tcPr>
            <w:tcW w:w="3318" w:type="dxa"/>
          </w:tcPr>
          <w:p w:rsidR="000377FF" w:rsidRPr="00A20381" w:rsidRDefault="00E85B85" w:rsidP="001A4FB4">
            <w:pPr>
              <w:pStyle w:val="TableParagraph"/>
              <w:spacing w:before="85" w:line="360" w:lineRule="auto"/>
              <w:ind w:left="146" w:right="158"/>
              <w:jc w:val="both"/>
              <w:rPr>
                <w:i/>
                <w:sz w:val="20"/>
              </w:rPr>
            </w:pPr>
            <w:r w:rsidRPr="00A20381">
              <w:rPr>
                <w:i/>
                <w:w w:val="105"/>
                <w:sz w:val="20"/>
              </w:rPr>
              <w:t>CDS does not Granger-Cause GBS</w:t>
            </w:r>
          </w:p>
        </w:tc>
        <w:tc>
          <w:tcPr>
            <w:tcW w:w="589" w:type="dxa"/>
            <w:vMerge/>
            <w:tcBorders>
              <w:top w:val="nil"/>
            </w:tcBorders>
          </w:tcPr>
          <w:p w:rsidR="000377FF" w:rsidRPr="00A20381" w:rsidRDefault="000377FF" w:rsidP="001A4FB4">
            <w:pPr>
              <w:spacing w:line="360" w:lineRule="auto"/>
              <w:jc w:val="both"/>
              <w:rPr>
                <w:sz w:val="2"/>
                <w:szCs w:val="2"/>
              </w:rPr>
            </w:pPr>
          </w:p>
        </w:tc>
        <w:tc>
          <w:tcPr>
            <w:tcW w:w="1167" w:type="dxa"/>
          </w:tcPr>
          <w:p w:rsidR="000377FF" w:rsidRPr="00A20381" w:rsidRDefault="00E85B85" w:rsidP="001A4FB4">
            <w:pPr>
              <w:pStyle w:val="TableParagraph"/>
              <w:spacing w:before="78" w:line="360" w:lineRule="auto"/>
              <w:ind w:left="113" w:right="104"/>
              <w:jc w:val="both"/>
              <w:rPr>
                <w:sz w:val="20"/>
              </w:rPr>
            </w:pPr>
            <w:r w:rsidRPr="00A20381">
              <w:rPr>
                <w:sz w:val="20"/>
              </w:rPr>
              <w:t>1.09709</w:t>
            </w:r>
          </w:p>
        </w:tc>
        <w:tc>
          <w:tcPr>
            <w:tcW w:w="800" w:type="dxa"/>
          </w:tcPr>
          <w:p w:rsidR="000377FF" w:rsidRPr="00A20381" w:rsidRDefault="00E85B85" w:rsidP="001A4FB4">
            <w:pPr>
              <w:pStyle w:val="TableParagraph"/>
              <w:spacing w:before="78" w:line="360" w:lineRule="auto"/>
              <w:ind w:left="123"/>
              <w:jc w:val="both"/>
              <w:rPr>
                <w:sz w:val="20"/>
              </w:rPr>
            </w:pPr>
            <w:r w:rsidRPr="00A20381">
              <w:rPr>
                <w:sz w:val="20"/>
              </w:rPr>
              <w:t>0.3347</w:t>
            </w:r>
          </w:p>
        </w:tc>
      </w:tr>
    </w:tbl>
    <w:p w:rsidR="000377FF" w:rsidRPr="00A20381" w:rsidRDefault="000377FF" w:rsidP="001A4FB4">
      <w:pPr>
        <w:pStyle w:val="Corpotesto"/>
        <w:spacing w:before="9" w:line="360" w:lineRule="auto"/>
        <w:jc w:val="both"/>
        <w:rPr>
          <w:i/>
          <w:sz w:val="18"/>
        </w:rPr>
      </w:pPr>
    </w:p>
    <w:p w:rsidR="000377FF" w:rsidRPr="00A20381" w:rsidRDefault="00E85B85" w:rsidP="001A4FB4">
      <w:pPr>
        <w:pStyle w:val="Corpotesto"/>
        <w:spacing w:line="360" w:lineRule="auto"/>
        <w:ind w:left="113"/>
        <w:jc w:val="both"/>
      </w:pPr>
      <w:r w:rsidRPr="00A20381">
        <w:rPr>
          <w:i/>
        </w:rPr>
        <w:t>Source</w:t>
      </w:r>
      <w:r w:rsidR="001F0D6B">
        <w:t>: author</w:t>
      </w:r>
      <w:r w:rsidRPr="00A20381">
        <w:t>s</w:t>
      </w:r>
      <w:r w:rsidR="001F0D6B">
        <w:t>’</w:t>
      </w:r>
      <w:r w:rsidRPr="00A20381">
        <w:t xml:space="preserve"> own calculations in </w:t>
      </w:r>
      <w:proofErr w:type="spellStart"/>
      <w:r w:rsidRPr="00A20381">
        <w:t>Eviews</w:t>
      </w:r>
      <w:proofErr w:type="spellEnd"/>
      <w:r w:rsidRPr="00A20381">
        <w:t xml:space="preserve"> 10</w:t>
      </w:r>
      <w:r w:rsidR="00A6518A">
        <w:t xml:space="preserve"> based on Bloomberg data.</w:t>
      </w:r>
    </w:p>
    <w:p w:rsidR="000377FF" w:rsidRPr="00A20381" w:rsidRDefault="000377FF" w:rsidP="001A4FB4">
      <w:pPr>
        <w:pStyle w:val="Corpotesto"/>
        <w:spacing w:before="2" w:line="360" w:lineRule="auto"/>
        <w:jc w:val="both"/>
      </w:pPr>
    </w:p>
    <w:p w:rsidR="000377FF" w:rsidRPr="00A20381" w:rsidRDefault="00E85B85" w:rsidP="001A4FB4">
      <w:pPr>
        <w:spacing w:line="360" w:lineRule="auto"/>
        <w:ind w:left="113" w:right="111"/>
        <w:jc w:val="both"/>
        <w:rPr>
          <w:sz w:val="20"/>
        </w:rPr>
      </w:pPr>
      <w:r w:rsidRPr="00A20381">
        <w:rPr>
          <w:i/>
          <w:spacing w:val="-4"/>
          <w:sz w:val="20"/>
        </w:rPr>
        <w:t xml:space="preserve">Table </w:t>
      </w:r>
      <w:r w:rsidRPr="00A20381">
        <w:rPr>
          <w:i/>
          <w:sz w:val="20"/>
        </w:rPr>
        <w:t xml:space="preserve">7 </w:t>
      </w:r>
      <w:r w:rsidRPr="00A20381">
        <w:rPr>
          <w:sz w:val="20"/>
        </w:rPr>
        <w:t xml:space="preserve">shows that </w:t>
      </w:r>
      <w:r w:rsidRPr="00A20381">
        <w:rPr>
          <w:i/>
          <w:sz w:val="20"/>
        </w:rPr>
        <w:t xml:space="preserve">GBS </w:t>
      </w:r>
      <w:r w:rsidRPr="00A20381">
        <w:rPr>
          <w:sz w:val="20"/>
        </w:rPr>
        <w:t xml:space="preserve">Granger-causes </w:t>
      </w:r>
      <w:r w:rsidRPr="00A20381">
        <w:rPr>
          <w:i/>
          <w:sz w:val="20"/>
        </w:rPr>
        <w:t xml:space="preserve">CDS </w:t>
      </w:r>
      <w:r w:rsidRPr="00A20381">
        <w:rPr>
          <w:spacing w:val="-3"/>
          <w:sz w:val="20"/>
        </w:rPr>
        <w:t>premia</w:t>
      </w:r>
      <w:r w:rsidRPr="00A20381">
        <w:rPr>
          <w:i/>
          <w:spacing w:val="-3"/>
          <w:sz w:val="20"/>
        </w:rPr>
        <w:t xml:space="preserve"> </w:t>
      </w:r>
      <w:r w:rsidRPr="00A20381">
        <w:rPr>
          <w:sz w:val="20"/>
        </w:rPr>
        <w:t xml:space="preserve">but not the other </w:t>
      </w:r>
      <w:r w:rsidRPr="00A20381">
        <w:rPr>
          <w:spacing w:val="-4"/>
          <w:sz w:val="20"/>
        </w:rPr>
        <w:t xml:space="preserve">way </w:t>
      </w:r>
      <w:r w:rsidR="001E4EE3" w:rsidRPr="00A20381">
        <w:rPr>
          <w:sz w:val="20"/>
        </w:rPr>
        <w:t xml:space="preserve">round </w:t>
      </w:r>
      <w:r w:rsidRPr="00A20381">
        <w:rPr>
          <w:spacing w:val="-3"/>
          <w:sz w:val="20"/>
        </w:rPr>
        <w:t>(</w:t>
      </w:r>
      <w:r w:rsidR="000D4A62" w:rsidRPr="00A20381">
        <w:rPr>
          <w:i/>
          <w:spacing w:val="-3"/>
          <w:sz w:val="20"/>
        </w:rPr>
        <w:t>unidirectional Granger</w:t>
      </w:r>
      <w:r w:rsidRPr="00A20381">
        <w:rPr>
          <w:i/>
          <w:sz w:val="20"/>
        </w:rPr>
        <w:t>- causality</w:t>
      </w:r>
      <w:r w:rsidRPr="00A20381">
        <w:rPr>
          <w:sz w:val="20"/>
        </w:rPr>
        <w:t xml:space="preserve">). Therefore, it can </w:t>
      </w:r>
      <w:r w:rsidRPr="00A20381">
        <w:rPr>
          <w:spacing w:val="2"/>
          <w:sz w:val="20"/>
        </w:rPr>
        <w:t xml:space="preserve">be </w:t>
      </w:r>
      <w:r w:rsidRPr="00A20381">
        <w:rPr>
          <w:sz w:val="20"/>
        </w:rPr>
        <w:t xml:space="preserve">interesting to estimate the reaction of the </w:t>
      </w:r>
      <w:r w:rsidRPr="00A20381">
        <w:rPr>
          <w:i/>
          <w:sz w:val="20"/>
        </w:rPr>
        <w:t xml:space="preserve">CDS </w:t>
      </w:r>
      <w:r w:rsidRPr="00A20381">
        <w:rPr>
          <w:sz w:val="20"/>
        </w:rPr>
        <w:t xml:space="preserve">premia in response to the shocks of the </w:t>
      </w:r>
      <w:r w:rsidRPr="00A20381">
        <w:rPr>
          <w:i/>
          <w:sz w:val="20"/>
        </w:rPr>
        <w:t xml:space="preserve">GBS </w:t>
      </w:r>
      <w:r w:rsidRPr="00A20381">
        <w:rPr>
          <w:spacing w:val="-3"/>
          <w:sz w:val="20"/>
        </w:rPr>
        <w:t xml:space="preserve">variable. </w:t>
      </w:r>
      <w:r w:rsidRPr="00A20381">
        <w:rPr>
          <w:sz w:val="20"/>
        </w:rPr>
        <w:t xml:space="preserve">In particular, a </w:t>
      </w:r>
      <w:r w:rsidRPr="00A20381">
        <w:rPr>
          <w:i/>
          <w:sz w:val="20"/>
        </w:rPr>
        <w:t xml:space="preserve">unit </w:t>
      </w:r>
      <w:r w:rsidRPr="00A20381">
        <w:rPr>
          <w:i/>
          <w:spacing w:val="-3"/>
          <w:sz w:val="20"/>
        </w:rPr>
        <w:t xml:space="preserve">shock </w:t>
      </w:r>
      <w:r w:rsidR="001F0D6B">
        <w:rPr>
          <w:sz w:val="20"/>
        </w:rPr>
        <w:t xml:space="preserve">is </w:t>
      </w:r>
      <w:r w:rsidRPr="00A20381">
        <w:rPr>
          <w:sz w:val="20"/>
        </w:rPr>
        <w:t xml:space="preserve">applied to the error of the latter. </w:t>
      </w:r>
      <w:r w:rsidRPr="00A20381">
        <w:rPr>
          <w:i/>
          <w:spacing w:val="-3"/>
          <w:sz w:val="20"/>
        </w:rPr>
        <w:t xml:space="preserve">Figure </w:t>
      </w:r>
      <w:r w:rsidRPr="00A20381">
        <w:rPr>
          <w:i/>
          <w:sz w:val="20"/>
        </w:rPr>
        <w:t xml:space="preserve">2 </w:t>
      </w:r>
      <w:r w:rsidRPr="00A20381">
        <w:rPr>
          <w:sz w:val="20"/>
        </w:rPr>
        <w:t>shows the responsiveness of the</w:t>
      </w:r>
      <w:r w:rsidRPr="00A20381">
        <w:rPr>
          <w:spacing w:val="-19"/>
          <w:sz w:val="20"/>
        </w:rPr>
        <w:t xml:space="preserve"> </w:t>
      </w:r>
      <w:r w:rsidRPr="00A20381">
        <w:rPr>
          <w:sz w:val="20"/>
        </w:rPr>
        <w:t>CDSs</w:t>
      </w:r>
      <w:r w:rsidR="00423342">
        <w:rPr>
          <w:sz w:val="20"/>
        </w:rPr>
        <w:t xml:space="preserve"> to a unit shock of GBS variable</w:t>
      </w:r>
      <w:r w:rsidRPr="00A20381">
        <w:rPr>
          <w:sz w:val="20"/>
        </w:rPr>
        <w:t>.</w:t>
      </w:r>
    </w:p>
    <w:p w:rsidR="000377FF" w:rsidRPr="00A20381" w:rsidRDefault="000377FF" w:rsidP="001A4FB4">
      <w:pPr>
        <w:spacing w:line="360" w:lineRule="auto"/>
        <w:jc w:val="both"/>
        <w:rPr>
          <w:sz w:val="20"/>
        </w:rPr>
        <w:sectPr w:rsidR="000377FF" w:rsidRPr="00A20381">
          <w:pgSz w:w="12240" w:h="15840"/>
          <w:pgMar w:top="1340" w:right="1020" w:bottom="1000" w:left="1020" w:header="0" w:footer="806" w:gutter="0"/>
          <w:cols w:space="720"/>
        </w:sectPr>
      </w:pPr>
    </w:p>
    <w:p w:rsidR="000377FF" w:rsidRPr="001F0D6B" w:rsidRDefault="00E85B85" w:rsidP="001A4FB4">
      <w:pPr>
        <w:spacing w:before="84" w:line="360" w:lineRule="auto"/>
        <w:ind w:left="113"/>
        <w:jc w:val="both"/>
        <w:rPr>
          <w:i/>
          <w:sz w:val="20"/>
        </w:rPr>
      </w:pPr>
      <w:r w:rsidRPr="00A20381">
        <w:rPr>
          <w:b/>
          <w:sz w:val="20"/>
        </w:rPr>
        <w:lastRenderedPageBreak/>
        <w:t xml:space="preserve">Figure 2 </w:t>
      </w:r>
      <w:r w:rsidRPr="00A20381">
        <w:rPr>
          <w:sz w:val="20"/>
        </w:rPr>
        <w:t xml:space="preserve">- </w:t>
      </w:r>
      <w:r w:rsidRPr="00A20381">
        <w:rPr>
          <w:i/>
          <w:sz w:val="20"/>
        </w:rPr>
        <w:t xml:space="preserve">Impulse Response </w:t>
      </w:r>
      <w:r w:rsidRPr="00A20381">
        <w:rPr>
          <w:sz w:val="20"/>
        </w:rPr>
        <w:t>(</w:t>
      </w:r>
      <w:r w:rsidR="001E4EE3" w:rsidRPr="00A20381">
        <w:rPr>
          <w:i/>
          <w:sz w:val="20"/>
        </w:rPr>
        <w:t>Unit Shock</w:t>
      </w:r>
      <w:r w:rsidRPr="00A20381">
        <w:rPr>
          <w:sz w:val="20"/>
        </w:rPr>
        <w:t xml:space="preserve">): period </w:t>
      </w:r>
      <w:r w:rsidRPr="00A20381">
        <w:rPr>
          <w:i/>
          <w:sz w:val="20"/>
        </w:rPr>
        <w:t>2012-14</w:t>
      </w:r>
    </w:p>
    <w:p w:rsidR="000377FF" w:rsidRPr="001F0D6B" w:rsidRDefault="00E85B85" w:rsidP="001A4FB4">
      <w:pPr>
        <w:pStyle w:val="Corpotesto"/>
        <w:spacing w:before="1" w:line="360" w:lineRule="auto"/>
        <w:jc w:val="both"/>
        <w:rPr>
          <w:i/>
          <w:sz w:val="10"/>
        </w:rPr>
      </w:pPr>
      <w:r w:rsidRPr="00A20381">
        <w:rPr>
          <w:noProof/>
          <w:lang w:val="it-IT" w:eastAsia="it-IT"/>
        </w:rPr>
        <w:drawing>
          <wp:anchor distT="0" distB="0" distL="0" distR="0" simplePos="0" relativeHeight="251644416" behindDoc="0" locked="0" layoutInCell="1" allowOverlap="1">
            <wp:simplePos x="0" y="0"/>
            <wp:positionH relativeFrom="page">
              <wp:posOffset>853732</wp:posOffset>
            </wp:positionH>
            <wp:positionV relativeFrom="paragraph">
              <wp:posOffset>102310</wp:posOffset>
            </wp:positionV>
            <wp:extent cx="3529012" cy="2213991"/>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3529012" cy="2213991"/>
                    </a:xfrm>
                    <a:prstGeom prst="rect">
                      <a:avLst/>
                    </a:prstGeom>
                  </pic:spPr>
                </pic:pic>
              </a:graphicData>
            </a:graphic>
          </wp:anchor>
        </w:drawing>
      </w:r>
    </w:p>
    <w:p w:rsidR="000377FF" w:rsidRPr="00A20381" w:rsidRDefault="00E85B85" w:rsidP="001A4FB4">
      <w:pPr>
        <w:pStyle w:val="Corpotesto"/>
        <w:spacing w:before="95" w:line="360" w:lineRule="auto"/>
        <w:ind w:left="113"/>
        <w:jc w:val="both"/>
      </w:pPr>
      <w:r w:rsidRPr="00A20381">
        <w:rPr>
          <w:i/>
        </w:rPr>
        <w:t>Source</w:t>
      </w:r>
      <w:r w:rsidR="001F0D6B">
        <w:t>: author</w:t>
      </w:r>
      <w:r w:rsidRPr="00A20381">
        <w:t>s</w:t>
      </w:r>
      <w:r w:rsidR="001F0D6B">
        <w:t>’</w:t>
      </w:r>
      <w:r w:rsidRPr="00A20381">
        <w:t xml:space="preserve"> own calculations in </w:t>
      </w:r>
      <w:proofErr w:type="spellStart"/>
      <w:r w:rsidRPr="00A20381">
        <w:t>Eviews</w:t>
      </w:r>
      <w:proofErr w:type="spellEnd"/>
      <w:r w:rsidRPr="00A20381">
        <w:t xml:space="preserve"> 10</w:t>
      </w:r>
      <w:r w:rsidR="00A6518A">
        <w:t xml:space="preserve"> based on Bloomberg data.</w:t>
      </w:r>
    </w:p>
    <w:p w:rsidR="000377FF" w:rsidRPr="00A20381" w:rsidRDefault="000377FF" w:rsidP="001A4FB4">
      <w:pPr>
        <w:pStyle w:val="Corpotesto"/>
        <w:spacing w:before="2" w:line="360" w:lineRule="auto"/>
        <w:jc w:val="both"/>
      </w:pPr>
    </w:p>
    <w:p w:rsidR="000377FF" w:rsidRPr="00A20381" w:rsidRDefault="00E85B85" w:rsidP="001A4FB4">
      <w:pPr>
        <w:pStyle w:val="Corpotesto"/>
        <w:spacing w:line="360" w:lineRule="auto"/>
        <w:ind w:left="113"/>
        <w:jc w:val="both"/>
      </w:pPr>
      <w:r w:rsidRPr="00A20381">
        <w:t xml:space="preserve">As it is possible to note, after a unit shock in the </w:t>
      </w:r>
      <w:r w:rsidRPr="00A20381">
        <w:rPr>
          <w:i/>
        </w:rPr>
        <w:t xml:space="preserve">GBS </w:t>
      </w:r>
      <w:r w:rsidRPr="00A20381">
        <w:t xml:space="preserve">variable, the </w:t>
      </w:r>
      <w:r w:rsidRPr="00A20381">
        <w:rPr>
          <w:i/>
        </w:rPr>
        <w:t xml:space="preserve">CDS spread </w:t>
      </w:r>
      <w:r w:rsidRPr="00A20381">
        <w:t>tends to increase in the next day af</w:t>
      </w:r>
      <w:r w:rsidR="000D4A62" w:rsidRPr="00A20381">
        <w:t xml:space="preserve">ter the shock and it tends to </w:t>
      </w:r>
      <w:r w:rsidRPr="00A20381">
        <w:t>stabilize starting from the next second day.</w:t>
      </w:r>
    </w:p>
    <w:p w:rsidR="000377FF" w:rsidRPr="008767EA" w:rsidRDefault="000377FF" w:rsidP="001A4FB4">
      <w:pPr>
        <w:pStyle w:val="Corpotesto"/>
        <w:spacing w:line="360" w:lineRule="auto"/>
        <w:jc w:val="both"/>
      </w:pPr>
    </w:p>
    <w:p w:rsidR="000377FF" w:rsidRPr="00E74FF8" w:rsidRDefault="00E85B85" w:rsidP="001A4FB4">
      <w:pPr>
        <w:pStyle w:val="Titolo2"/>
        <w:tabs>
          <w:tab w:val="left" w:pos="726"/>
          <w:tab w:val="left" w:pos="727"/>
        </w:tabs>
        <w:spacing w:line="360" w:lineRule="auto"/>
        <w:ind w:left="112" w:firstLine="0"/>
        <w:jc w:val="both"/>
        <w:rPr>
          <w:rFonts w:ascii="Book Antiqua" w:hAnsi="Book Antiqua"/>
          <w:b/>
        </w:rPr>
      </w:pPr>
      <w:bookmarkStart w:id="7" w:name="_TOC_250002"/>
      <w:r w:rsidRPr="00A20381">
        <w:rPr>
          <w:rFonts w:ascii="Book Antiqua" w:hAnsi="Book Antiqua"/>
          <w:b/>
        </w:rPr>
        <w:t xml:space="preserve">The </w:t>
      </w:r>
      <w:r w:rsidRPr="00A20381">
        <w:rPr>
          <w:rFonts w:ascii="Book Antiqua" w:hAnsi="Book Antiqua"/>
          <w:b/>
          <w:spacing w:val="-4"/>
        </w:rPr>
        <w:t xml:space="preserve">years </w:t>
      </w:r>
      <w:r w:rsidRPr="00A20381">
        <w:rPr>
          <w:rFonts w:ascii="Book Antiqua" w:hAnsi="Book Antiqua"/>
          <w:b/>
        </w:rPr>
        <w:t xml:space="preserve">of </w:t>
      </w:r>
      <w:r w:rsidR="001E4EE3" w:rsidRPr="00A20381">
        <w:rPr>
          <w:rFonts w:ascii="Book Antiqua" w:hAnsi="Book Antiqua"/>
          <w:b/>
        </w:rPr>
        <w:t>abundant</w:t>
      </w:r>
      <w:r w:rsidRPr="00A20381">
        <w:rPr>
          <w:rFonts w:ascii="Book Antiqua" w:hAnsi="Book Antiqua"/>
          <w:b/>
        </w:rPr>
        <w:t xml:space="preserve"> liquidity drug </w:t>
      </w:r>
      <w:r w:rsidRPr="00A20381">
        <w:rPr>
          <w:rFonts w:ascii="Book Antiqua" w:hAnsi="Book Antiqua"/>
          <w:b/>
          <w:i w:val="0"/>
        </w:rPr>
        <w:t xml:space="preserve">- </w:t>
      </w:r>
      <w:r w:rsidR="001E4EE3" w:rsidRPr="00A20381">
        <w:rPr>
          <w:rFonts w:ascii="Book Antiqua" w:hAnsi="Book Antiqua"/>
          <w:b/>
        </w:rPr>
        <w:t>QE:</w:t>
      </w:r>
      <w:r w:rsidRPr="00A20381">
        <w:rPr>
          <w:rFonts w:ascii="Book Antiqua" w:hAnsi="Book Antiqua"/>
          <w:b/>
          <w:i w:val="0"/>
          <w:spacing w:val="-22"/>
        </w:rPr>
        <w:t xml:space="preserve"> </w:t>
      </w:r>
      <w:bookmarkEnd w:id="7"/>
      <w:r w:rsidRPr="00A20381">
        <w:rPr>
          <w:rFonts w:ascii="Book Antiqua" w:hAnsi="Book Antiqua"/>
          <w:b/>
        </w:rPr>
        <w:t>2014-17</w:t>
      </w:r>
    </w:p>
    <w:p w:rsidR="000377FF" w:rsidRPr="00A20381" w:rsidRDefault="00E85B85" w:rsidP="001A4FB4">
      <w:pPr>
        <w:spacing w:before="1" w:line="360" w:lineRule="auto"/>
        <w:ind w:left="113"/>
        <w:jc w:val="both"/>
        <w:rPr>
          <w:sz w:val="20"/>
        </w:rPr>
      </w:pPr>
      <w:r w:rsidRPr="00A20381">
        <w:rPr>
          <w:sz w:val="20"/>
        </w:rPr>
        <w:t>As</w:t>
      </w:r>
      <w:r w:rsidRPr="00A20381">
        <w:rPr>
          <w:spacing w:val="-7"/>
          <w:sz w:val="20"/>
        </w:rPr>
        <w:t xml:space="preserve"> </w:t>
      </w:r>
      <w:r w:rsidRPr="00A20381">
        <w:rPr>
          <w:sz w:val="20"/>
        </w:rPr>
        <w:t>well</w:t>
      </w:r>
      <w:r w:rsidRPr="00A20381">
        <w:rPr>
          <w:spacing w:val="-6"/>
          <w:sz w:val="20"/>
        </w:rPr>
        <w:t xml:space="preserve"> </w:t>
      </w:r>
      <w:r w:rsidRPr="00A20381">
        <w:rPr>
          <w:sz w:val="20"/>
        </w:rPr>
        <w:t>as</w:t>
      </w:r>
      <w:r w:rsidRPr="00A20381">
        <w:rPr>
          <w:spacing w:val="-6"/>
          <w:sz w:val="20"/>
        </w:rPr>
        <w:t xml:space="preserve"> </w:t>
      </w:r>
      <w:r w:rsidRPr="00A20381">
        <w:rPr>
          <w:sz w:val="20"/>
        </w:rPr>
        <w:t>the</w:t>
      </w:r>
      <w:r w:rsidRPr="00A20381">
        <w:rPr>
          <w:spacing w:val="-6"/>
          <w:sz w:val="20"/>
        </w:rPr>
        <w:t xml:space="preserve"> </w:t>
      </w:r>
      <w:r w:rsidRPr="00A20381">
        <w:rPr>
          <w:sz w:val="20"/>
        </w:rPr>
        <w:t>period</w:t>
      </w:r>
      <w:r w:rsidRPr="00A20381">
        <w:rPr>
          <w:spacing w:val="-6"/>
          <w:sz w:val="20"/>
        </w:rPr>
        <w:t xml:space="preserve"> </w:t>
      </w:r>
      <w:r w:rsidRPr="00A20381">
        <w:rPr>
          <w:i/>
          <w:sz w:val="20"/>
        </w:rPr>
        <w:t>2012-14</w:t>
      </w:r>
      <w:r w:rsidRPr="00A20381">
        <w:rPr>
          <w:sz w:val="20"/>
        </w:rPr>
        <w:t>,</w:t>
      </w:r>
      <w:r w:rsidRPr="00A20381">
        <w:rPr>
          <w:spacing w:val="-6"/>
          <w:sz w:val="20"/>
        </w:rPr>
        <w:t xml:space="preserve"> </w:t>
      </w:r>
      <w:r w:rsidRPr="00A20381">
        <w:rPr>
          <w:sz w:val="20"/>
        </w:rPr>
        <w:t>during</w:t>
      </w:r>
      <w:r w:rsidRPr="00A20381">
        <w:rPr>
          <w:spacing w:val="-6"/>
          <w:sz w:val="20"/>
        </w:rPr>
        <w:t xml:space="preserve"> </w:t>
      </w:r>
      <w:r w:rsidRPr="00A20381">
        <w:rPr>
          <w:sz w:val="20"/>
        </w:rPr>
        <w:t>the</w:t>
      </w:r>
      <w:r w:rsidRPr="00A20381">
        <w:rPr>
          <w:spacing w:val="-6"/>
          <w:sz w:val="20"/>
        </w:rPr>
        <w:t xml:space="preserve"> </w:t>
      </w:r>
      <w:r w:rsidRPr="00A20381">
        <w:rPr>
          <w:sz w:val="20"/>
        </w:rPr>
        <w:t>period</w:t>
      </w:r>
      <w:r w:rsidRPr="00A20381">
        <w:rPr>
          <w:spacing w:val="-7"/>
          <w:sz w:val="20"/>
        </w:rPr>
        <w:t xml:space="preserve"> </w:t>
      </w:r>
      <w:r w:rsidRPr="00A20381">
        <w:rPr>
          <w:i/>
          <w:sz w:val="20"/>
        </w:rPr>
        <w:t>2014-17</w:t>
      </w:r>
      <w:r w:rsidRPr="00A20381">
        <w:rPr>
          <w:i/>
          <w:spacing w:val="13"/>
          <w:sz w:val="20"/>
        </w:rPr>
        <w:t xml:space="preserve"> </w:t>
      </w:r>
      <w:r w:rsidRPr="00A20381">
        <w:rPr>
          <w:sz w:val="20"/>
        </w:rPr>
        <w:t>there</w:t>
      </w:r>
      <w:r w:rsidRPr="00A20381">
        <w:rPr>
          <w:spacing w:val="-7"/>
          <w:sz w:val="20"/>
        </w:rPr>
        <w:t xml:space="preserve"> </w:t>
      </w:r>
      <w:r w:rsidRPr="00A20381">
        <w:rPr>
          <w:sz w:val="20"/>
        </w:rPr>
        <w:t>is</w:t>
      </w:r>
      <w:r w:rsidRPr="00A20381">
        <w:rPr>
          <w:spacing w:val="-6"/>
          <w:sz w:val="20"/>
        </w:rPr>
        <w:t xml:space="preserve"> </w:t>
      </w:r>
      <w:r w:rsidRPr="00A20381">
        <w:rPr>
          <w:sz w:val="20"/>
        </w:rPr>
        <w:t>no</w:t>
      </w:r>
      <w:r w:rsidRPr="00A20381">
        <w:rPr>
          <w:spacing w:val="-6"/>
          <w:sz w:val="20"/>
        </w:rPr>
        <w:t xml:space="preserve"> </w:t>
      </w:r>
      <w:proofErr w:type="spellStart"/>
      <w:r w:rsidRPr="00A20381">
        <w:rPr>
          <w:sz w:val="20"/>
        </w:rPr>
        <w:t>cointegration</w:t>
      </w:r>
      <w:proofErr w:type="spellEnd"/>
      <w:r w:rsidRPr="00A20381">
        <w:rPr>
          <w:spacing w:val="-6"/>
          <w:sz w:val="20"/>
        </w:rPr>
        <w:t xml:space="preserve"> </w:t>
      </w:r>
      <w:r w:rsidRPr="00A20381">
        <w:rPr>
          <w:sz w:val="20"/>
        </w:rPr>
        <w:t>between</w:t>
      </w:r>
      <w:r w:rsidRPr="00A20381">
        <w:rPr>
          <w:spacing w:val="-6"/>
          <w:sz w:val="20"/>
        </w:rPr>
        <w:t xml:space="preserve"> </w:t>
      </w:r>
      <w:r w:rsidRPr="00A20381">
        <w:rPr>
          <w:sz w:val="20"/>
        </w:rPr>
        <w:t>the</w:t>
      </w:r>
      <w:r w:rsidRPr="00A20381">
        <w:rPr>
          <w:spacing w:val="-6"/>
          <w:sz w:val="20"/>
        </w:rPr>
        <w:t xml:space="preserve"> </w:t>
      </w:r>
      <w:r w:rsidRPr="00A20381">
        <w:rPr>
          <w:sz w:val="20"/>
        </w:rPr>
        <w:t>series</w:t>
      </w:r>
      <w:r w:rsidRPr="00A20381">
        <w:rPr>
          <w:spacing w:val="-6"/>
          <w:sz w:val="20"/>
        </w:rPr>
        <w:t xml:space="preserve"> </w:t>
      </w:r>
      <w:r w:rsidRPr="00A20381">
        <w:rPr>
          <w:sz w:val="20"/>
        </w:rPr>
        <w:t>as</w:t>
      </w:r>
      <w:r w:rsidRPr="00A20381">
        <w:rPr>
          <w:spacing w:val="-6"/>
          <w:sz w:val="20"/>
        </w:rPr>
        <w:t xml:space="preserve"> </w:t>
      </w:r>
      <w:r w:rsidRPr="00A20381">
        <w:rPr>
          <w:sz w:val="20"/>
        </w:rPr>
        <w:t xml:space="preserve">supported </w:t>
      </w:r>
      <w:r w:rsidRPr="00A20381">
        <w:rPr>
          <w:spacing w:val="-3"/>
          <w:sz w:val="20"/>
        </w:rPr>
        <w:t xml:space="preserve">by </w:t>
      </w:r>
      <w:r w:rsidRPr="00A20381">
        <w:rPr>
          <w:sz w:val="20"/>
        </w:rPr>
        <w:t xml:space="preserve">the </w:t>
      </w:r>
      <w:r w:rsidRPr="00A20381">
        <w:rPr>
          <w:i/>
          <w:spacing w:val="-3"/>
          <w:sz w:val="20"/>
        </w:rPr>
        <w:t xml:space="preserve">Augmented </w:t>
      </w:r>
      <w:r w:rsidRPr="00A20381">
        <w:rPr>
          <w:i/>
          <w:sz w:val="20"/>
        </w:rPr>
        <w:t xml:space="preserve">Dickey-Fuller </w:t>
      </w:r>
      <w:r w:rsidRPr="00A20381">
        <w:rPr>
          <w:i/>
          <w:spacing w:val="-5"/>
          <w:sz w:val="20"/>
        </w:rPr>
        <w:t xml:space="preserve">Test </w:t>
      </w:r>
      <w:r w:rsidRPr="00A20381">
        <w:rPr>
          <w:sz w:val="20"/>
        </w:rPr>
        <w:t xml:space="preserve">reported in </w:t>
      </w:r>
      <w:r w:rsidRPr="00A20381">
        <w:rPr>
          <w:i/>
          <w:spacing w:val="-4"/>
          <w:sz w:val="20"/>
        </w:rPr>
        <w:t>Table</w:t>
      </w:r>
      <w:r w:rsidRPr="00A20381">
        <w:rPr>
          <w:i/>
          <w:spacing w:val="-5"/>
          <w:sz w:val="20"/>
        </w:rPr>
        <w:t xml:space="preserve"> </w:t>
      </w:r>
      <w:r w:rsidRPr="00A20381">
        <w:rPr>
          <w:i/>
          <w:sz w:val="20"/>
        </w:rPr>
        <w:t>8</w:t>
      </w:r>
      <w:r w:rsidRPr="00A20381">
        <w:rPr>
          <w:sz w:val="20"/>
        </w:rPr>
        <w:t>.</w:t>
      </w:r>
    </w:p>
    <w:p w:rsidR="000377FF" w:rsidRPr="008767EA" w:rsidRDefault="000377FF" w:rsidP="001A4FB4">
      <w:pPr>
        <w:pStyle w:val="Corpotesto"/>
        <w:spacing w:before="2" w:line="360" w:lineRule="auto"/>
        <w:jc w:val="both"/>
      </w:pPr>
    </w:p>
    <w:p w:rsidR="000377FF" w:rsidRPr="001F0D6B" w:rsidRDefault="00E85B85" w:rsidP="001A4FB4">
      <w:pPr>
        <w:spacing w:line="360" w:lineRule="auto"/>
        <w:ind w:left="113"/>
        <w:jc w:val="both"/>
        <w:rPr>
          <w:i/>
          <w:sz w:val="20"/>
        </w:rPr>
      </w:pPr>
      <w:r w:rsidRPr="00A20381">
        <w:rPr>
          <w:b/>
          <w:spacing w:val="-5"/>
          <w:w w:val="105"/>
          <w:sz w:val="20"/>
        </w:rPr>
        <w:t xml:space="preserve">Table </w:t>
      </w:r>
      <w:r w:rsidRPr="00A20381">
        <w:rPr>
          <w:b/>
          <w:w w:val="105"/>
          <w:sz w:val="20"/>
        </w:rPr>
        <w:t xml:space="preserve">8 </w:t>
      </w:r>
      <w:r w:rsidRPr="00A20381">
        <w:rPr>
          <w:w w:val="105"/>
          <w:sz w:val="20"/>
        </w:rPr>
        <w:t xml:space="preserve">- </w:t>
      </w:r>
      <w:r w:rsidRPr="00A20381">
        <w:rPr>
          <w:i/>
          <w:spacing w:val="-3"/>
          <w:w w:val="105"/>
          <w:sz w:val="20"/>
        </w:rPr>
        <w:t xml:space="preserve">Augmented </w:t>
      </w:r>
      <w:r w:rsidRPr="00A20381">
        <w:rPr>
          <w:i/>
          <w:w w:val="105"/>
          <w:sz w:val="20"/>
        </w:rPr>
        <w:t xml:space="preserve">Dickey-Fuller </w:t>
      </w:r>
      <w:r w:rsidRPr="00A20381">
        <w:rPr>
          <w:i/>
          <w:spacing w:val="-5"/>
          <w:w w:val="105"/>
          <w:sz w:val="20"/>
        </w:rPr>
        <w:t>Test</w:t>
      </w:r>
      <w:r w:rsidRPr="00A20381">
        <w:rPr>
          <w:w w:val="105"/>
          <w:sz w:val="20"/>
        </w:rPr>
        <w:t>: period</w:t>
      </w:r>
      <w:r w:rsidRPr="00A20381">
        <w:rPr>
          <w:spacing w:val="-31"/>
          <w:w w:val="105"/>
          <w:sz w:val="20"/>
        </w:rPr>
        <w:t xml:space="preserve"> </w:t>
      </w:r>
      <w:r w:rsidRPr="00A20381">
        <w:rPr>
          <w:i/>
          <w:w w:val="105"/>
          <w:sz w:val="20"/>
        </w:rPr>
        <w:t>2014-17</w:t>
      </w:r>
    </w:p>
    <w:p w:rsidR="000377FF" w:rsidRPr="00A20381" w:rsidRDefault="000377FF" w:rsidP="001A4FB4">
      <w:pPr>
        <w:pStyle w:val="Corpotesto"/>
        <w:spacing w:before="1" w:line="360" w:lineRule="auto"/>
        <w:jc w:val="both"/>
        <w:rPr>
          <w:i/>
          <w:sz w:val="10"/>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1"/>
        <w:gridCol w:w="1103"/>
        <w:gridCol w:w="881"/>
      </w:tblGrid>
      <w:tr w:rsidR="000377FF" w:rsidRPr="00A20381">
        <w:trPr>
          <w:trHeight w:val="396"/>
        </w:trPr>
        <w:tc>
          <w:tcPr>
            <w:tcW w:w="2895" w:type="dxa"/>
            <w:gridSpan w:val="3"/>
          </w:tcPr>
          <w:p w:rsidR="000377FF" w:rsidRPr="00A20381" w:rsidRDefault="00E85B85" w:rsidP="001A4FB4">
            <w:pPr>
              <w:pStyle w:val="TableParagraph"/>
              <w:spacing w:before="93" w:line="360" w:lineRule="auto"/>
              <w:ind w:left="122"/>
              <w:jc w:val="both"/>
              <w:rPr>
                <w:i/>
                <w:sz w:val="20"/>
              </w:rPr>
            </w:pPr>
            <w:r w:rsidRPr="00A20381">
              <w:rPr>
                <w:i/>
                <w:w w:val="105"/>
                <w:sz w:val="20"/>
              </w:rPr>
              <w:t>Augmented Dickey-Fuller Test</w:t>
            </w:r>
          </w:p>
        </w:tc>
      </w:tr>
      <w:tr w:rsidR="000377FF" w:rsidRPr="00A20381">
        <w:trPr>
          <w:trHeight w:val="396"/>
        </w:trPr>
        <w:tc>
          <w:tcPr>
            <w:tcW w:w="2895" w:type="dxa"/>
            <w:gridSpan w:val="3"/>
          </w:tcPr>
          <w:p w:rsidR="000377FF" w:rsidRPr="00A20381" w:rsidRDefault="00E85B85" w:rsidP="001A4FB4">
            <w:pPr>
              <w:pStyle w:val="TableParagraph"/>
              <w:spacing w:line="360" w:lineRule="auto"/>
              <w:ind w:left="997" w:right="989"/>
              <w:jc w:val="both"/>
              <w:rPr>
                <w:sz w:val="20"/>
              </w:rPr>
            </w:pPr>
            <w:r w:rsidRPr="00A20381">
              <w:rPr>
                <w:sz w:val="20"/>
              </w:rPr>
              <w:t>Residuals</w:t>
            </w:r>
          </w:p>
        </w:tc>
      </w:tr>
      <w:tr w:rsidR="000377FF" w:rsidRPr="00A20381">
        <w:trPr>
          <w:trHeight w:val="410"/>
        </w:trPr>
        <w:tc>
          <w:tcPr>
            <w:tcW w:w="911" w:type="dxa"/>
            <w:tcBorders>
              <w:bottom w:val="double" w:sz="1" w:space="0" w:color="000000"/>
            </w:tcBorders>
          </w:tcPr>
          <w:p w:rsidR="000377FF" w:rsidRPr="00A20381" w:rsidRDefault="00E85B85" w:rsidP="001A4FB4">
            <w:pPr>
              <w:pStyle w:val="TableParagraph"/>
              <w:spacing w:before="93" w:line="360" w:lineRule="auto"/>
              <w:ind w:left="83" w:right="93"/>
              <w:jc w:val="both"/>
              <w:rPr>
                <w:i/>
                <w:sz w:val="20"/>
              </w:rPr>
            </w:pPr>
            <w:r w:rsidRPr="00A20381">
              <w:rPr>
                <w:i/>
                <w:w w:val="110"/>
                <w:sz w:val="20"/>
              </w:rPr>
              <w:t>Period</w:t>
            </w:r>
          </w:p>
        </w:tc>
        <w:tc>
          <w:tcPr>
            <w:tcW w:w="1103" w:type="dxa"/>
            <w:tcBorders>
              <w:bottom w:val="double" w:sz="1" w:space="0" w:color="000000"/>
            </w:tcBorders>
          </w:tcPr>
          <w:p w:rsidR="000377FF" w:rsidRPr="00A20381" w:rsidRDefault="00E85B85" w:rsidP="001A4FB4">
            <w:pPr>
              <w:pStyle w:val="TableParagraph"/>
              <w:spacing w:before="93" w:line="360" w:lineRule="auto"/>
              <w:ind w:left="104" w:right="104"/>
              <w:jc w:val="both"/>
              <w:rPr>
                <w:i/>
                <w:sz w:val="20"/>
              </w:rPr>
            </w:pPr>
            <w:r w:rsidRPr="00A20381">
              <w:rPr>
                <w:i/>
                <w:w w:val="105"/>
                <w:sz w:val="20"/>
              </w:rPr>
              <w:t>t-Statistic</w:t>
            </w:r>
          </w:p>
        </w:tc>
        <w:tc>
          <w:tcPr>
            <w:tcW w:w="881" w:type="dxa"/>
            <w:tcBorders>
              <w:bottom w:val="double" w:sz="1" w:space="0" w:color="000000"/>
            </w:tcBorders>
          </w:tcPr>
          <w:p w:rsidR="000377FF" w:rsidRPr="00A20381" w:rsidRDefault="00E85B85" w:rsidP="001A4FB4">
            <w:pPr>
              <w:pStyle w:val="TableParagraph"/>
              <w:spacing w:before="39" w:line="360" w:lineRule="auto"/>
              <w:ind w:left="129" w:right="129"/>
              <w:jc w:val="both"/>
              <w:rPr>
                <w:i/>
                <w:sz w:val="20"/>
              </w:rPr>
            </w:pPr>
            <w:r w:rsidRPr="00A20381">
              <w:rPr>
                <w:i/>
                <w:sz w:val="20"/>
              </w:rPr>
              <w:t>Prob.</w:t>
            </w:r>
            <w:r w:rsidRPr="00A20381">
              <w:rPr>
                <w:rFonts w:ascii="Cambria Math" w:hAnsi="Cambria Math" w:cs="Cambria Math"/>
                <w:i/>
                <w:sz w:val="20"/>
                <w:vertAlign w:val="superscript"/>
              </w:rPr>
              <w:t>∗</w:t>
            </w:r>
          </w:p>
        </w:tc>
      </w:tr>
      <w:tr w:rsidR="000377FF" w:rsidRPr="00A20381">
        <w:trPr>
          <w:trHeight w:val="410"/>
        </w:trPr>
        <w:tc>
          <w:tcPr>
            <w:tcW w:w="911" w:type="dxa"/>
            <w:tcBorders>
              <w:top w:val="double" w:sz="1" w:space="0" w:color="000000"/>
            </w:tcBorders>
          </w:tcPr>
          <w:p w:rsidR="000377FF" w:rsidRPr="00A20381" w:rsidRDefault="00E85B85" w:rsidP="001A4FB4">
            <w:pPr>
              <w:pStyle w:val="TableParagraph"/>
              <w:spacing w:before="100" w:line="360" w:lineRule="auto"/>
              <w:ind w:left="101" w:right="93"/>
              <w:jc w:val="both"/>
              <w:rPr>
                <w:sz w:val="20"/>
              </w:rPr>
            </w:pPr>
            <w:r w:rsidRPr="00A20381">
              <w:rPr>
                <w:sz w:val="20"/>
              </w:rPr>
              <w:t>2014-17</w:t>
            </w:r>
          </w:p>
        </w:tc>
        <w:tc>
          <w:tcPr>
            <w:tcW w:w="1103" w:type="dxa"/>
            <w:tcBorders>
              <w:top w:val="double" w:sz="1" w:space="0" w:color="000000"/>
            </w:tcBorders>
          </w:tcPr>
          <w:p w:rsidR="000377FF" w:rsidRPr="00A20381" w:rsidRDefault="00E85B85" w:rsidP="001A4FB4">
            <w:pPr>
              <w:pStyle w:val="TableParagraph"/>
              <w:spacing w:before="100" w:line="360" w:lineRule="auto"/>
              <w:ind w:left="104" w:right="95"/>
              <w:jc w:val="both"/>
              <w:rPr>
                <w:sz w:val="20"/>
              </w:rPr>
            </w:pPr>
            <w:r w:rsidRPr="00A20381">
              <w:rPr>
                <w:sz w:val="20"/>
              </w:rPr>
              <w:t>-2.298192</w:t>
            </w:r>
          </w:p>
        </w:tc>
        <w:tc>
          <w:tcPr>
            <w:tcW w:w="881" w:type="dxa"/>
            <w:tcBorders>
              <w:top w:val="double" w:sz="1" w:space="0" w:color="000000"/>
            </w:tcBorders>
          </w:tcPr>
          <w:p w:rsidR="000377FF" w:rsidRPr="00A20381" w:rsidRDefault="00E85B85" w:rsidP="001A4FB4">
            <w:pPr>
              <w:pStyle w:val="TableParagraph"/>
              <w:spacing w:before="100" w:line="360" w:lineRule="auto"/>
              <w:ind w:left="129" w:right="120"/>
              <w:jc w:val="both"/>
              <w:rPr>
                <w:sz w:val="20"/>
              </w:rPr>
            </w:pPr>
            <w:r w:rsidRPr="00A20381">
              <w:rPr>
                <w:sz w:val="20"/>
              </w:rPr>
              <w:t>0.4338</w:t>
            </w:r>
          </w:p>
        </w:tc>
      </w:tr>
    </w:tbl>
    <w:p w:rsidR="000377FF" w:rsidRPr="00A20381" w:rsidRDefault="000377FF" w:rsidP="001A4FB4">
      <w:pPr>
        <w:pStyle w:val="Corpotesto"/>
        <w:spacing w:before="9" w:line="360" w:lineRule="auto"/>
        <w:jc w:val="both"/>
        <w:rPr>
          <w:i/>
          <w:sz w:val="18"/>
        </w:rPr>
      </w:pPr>
    </w:p>
    <w:p w:rsidR="000377FF" w:rsidRPr="00A20381" w:rsidRDefault="00E85B85" w:rsidP="001A4FB4">
      <w:pPr>
        <w:pStyle w:val="Corpotesto"/>
        <w:spacing w:line="360" w:lineRule="auto"/>
        <w:ind w:left="113"/>
        <w:jc w:val="both"/>
      </w:pPr>
      <w:r w:rsidRPr="00A20381">
        <w:rPr>
          <w:i/>
        </w:rPr>
        <w:t>Source</w:t>
      </w:r>
      <w:r w:rsidR="001F0D6B">
        <w:t>: author</w:t>
      </w:r>
      <w:r w:rsidRPr="00A20381">
        <w:t>s</w:t>
      </w:r>
      <w:r w:rsidR="001F0D6B">
        <w:t>’</w:t>
      </w:r>
      <w:r w:rsidRPr="00A20381">
        <w:t xml:space="preserve"> own calculations in </w:t>
      </w:r>
      <w:proofErr w:type="spellStart"/>
      <w:r w:rsidRPr="00A20381">
        <w:t>Eviews</w:t>
      </w:r>
      <w:proofErr w:type="spellEnd"/>
      <w:r w:rsidRPr="00A20381">
        <w:t xml:space="preserve"> 10</w:t>
      </w:r>
      <w:r w:rsidR="00A6518A">
        <w:t xml:space="preserve"> based on Bloomberg data.</w:t>
      </w:r>
    </w:p>
    <w:p w:rsidR="000377FF" w:rsidRPr="00A20381" w:rsidRDefault="000377FF" w:rsidP="001A4FB4">
      <w:pPr>
        <w:pStyle w:val="Corpotesto"/>
        <w:spacing w:before="2" w:line="360" w:lineRule="auto"/>
        <w:jc w:val="both"/>
      </w:pPr>
    </w:p>
    <w:p w:rsidR="00E74FF8" w:rsidRDefault="00E85B85" w:rsidP="008767EA">
      <w:pPr>
        <w:pStyle w:val="Corpotesto"/>
        <w:spacing w:line="360" w:lineRule="auto"/>
        <w:ind w:left="113"/>
        <w:jc w:val="both"/>
      </w:pPr>
      <w:r w:rsidRPr="00A20381">
        <w:t xml:space="preserve">Also in this case, since there is no </w:t>
      </w:r>
      <w:proofErr w:type="spellStart"/>
      <w:r w:rsidRPr="00A20381">
        <w:t>cointegra</w:t>
      </w:r>
      <w:r w:rsidR="000D4A62" w:rsidRPr="00A20381">
        <w:t>tion</w:t>
      </w:r>
      <w:proofErr w:type="spellEnd"/>
      <w:r w:rsidR="000D4A62" w:rsidRPr="00A20381">
        <w:t xml:space="preserve"> in the current sub period, we check</w:t>
      </w:r>
      <w:r w:rsidRPr="00A20381">
        <w:t xml:space="preserve"> for the </w:t>
      </w:r>
      <w:r w:rsidRPr="00A20381">
        <w:rPr>
          <w:i/>
        </w:rPr>
        <w:t>Granger-causality</w:t>
      </w:r>
      <w:r w:rsidR="001F0D6B">
        <w:rPr>
          <w:i/>
        </w:rPr>
        <w:t xml:space="preserve"> </w:t>
      </w:r>
      <w:r w:rsidRPr="00A20381">
        <w:t xml:space="preserve">between the </w:t>
      </w:r>
      <w:r w:rsidRPr="00A20381">
        <w:rPr>
          <w:i/>
        </w:rPr>
        <w:t xml:space="preserve">CDS </w:t>
      </w:r>
      <w:r w:rsidRPr="00A20381">
        <w:t xml:space="preserve">and </w:t>
      </w:r>
      <w:r w:rsidRPr="00A20381">
        <w:rPr>
          <w:i/>
        </w:rPr>
        <w:t xml:space="preserve">GBS </w:t>
      </w:r>
      <w:r w:rsidRPr="00A20381">
        <w:t xml:space="preserve">series. </w:t>
      </w:r>
      <w:r w:rsidRPr="00A20381">
        <w:rPr>
          <w:i/>
        </w:rPr>
        <w:t xml:space="preserve">Table 9 </w:t>
      </w:r>
      <w:r w:rsidRPr="00A20381">
        <w:t>reports the outcomes of the causality test.</w:t>
      </w:r>
    </w:p>
    <w:p w:rsidR="008767EA" w:rsidRDefault="008767EA" w:rsidP="008767EA">
      <w:pPr>
        <w:pStyle w:val="Corpotesto"/>
        <w:spacing w:line="360" w:lineRule="auto"/>
        <w:ind w:left="113"/>
        <w:jc w:val="both"/>
      </w:pPr>
    </w:p>
    <w:p w:rsidR="008767EA" w:rsidRPr="008767EA" w:rsidRDefault="008767EA" w:rsidP="008767EA">
      <w:pPr>
        <w:pStyle w:val="Corpotesto"/>
        <w:spacing w:line="360" w:lineRule="auto"/>
        <w:ind w:left="113"/>
        <w:jc w:val="both"/>
      </w:pPr>
    </w:p>
    <w:p w:rsidR="00E74FF8" w:rsidRPr="001F0D6B" w:rsidRDefault="00E74FF8" w:rsidP="001A4FB4">
      <w:pPr>
        <w:pStyle w:val="Corpotesto"/>
        <w:spacing w:line="360" w:lineRule="auto"/>
        <w:ind w:left="113"/>
        <w:jc w:val="both"/>
        <w:rPr>
          <w:i/>
        </w:rPr>
      </w:pPr>
    </w:p>
    <w:p w:rsidR="000377FF" w:rsidRPr="00A20381" w:rsidRDefault="00E85B85" w:rsidP="001A4FB4">
      <w:pPr>
        <w:spacing w:before="84" w:line="360" w:lineRule="auto"/>
        <w:ind w:left="113"/>
        <w:jc w:val="both"/>
        <w:rPr>
          <w:i/>
          <w:sz w:val="20"/>
        </w:rPr>
      </w:pPr>
      <w:r w:rsidRPr="00A20381">
        <w:rPr>
          <w:b/>
          <w:w w:val="105"/>
          <w:sz w:val="20"/>
        </w:rPr>
        <w:lastRenderedPageBreak/>
        <w:t xml:space="preserve">Table 9 </w:t>
      </w:r>
      <w:r w:rsidRPr="00A20381">
        <w:rPr>
          <w:w w:val="105"/>
          <w:sz w:val="20"/>
        </w:rPr>
        <w:t xml:space="preserve">- </w:t>
      </w:r>
      <w:r w:rsidR="001E4EE3" w:rsidRPr="00A20381">
        <w:rPr>
          <w:i/>
          <w:w w:val="105"/>
          <w:sz w:val="20"/>
        </w:rPr>
        <w:t>Granger-causality</w:t>
      </w:r>
      <w:r w:rsidR="00702DF9">
        <w:rPr>
          <w:i/>
          <w:w w:val="105"/>
          <w:sz w:val="20"/>
        </w:rPr>
        <w:t xml:space="preserve"> </w:t>
      </w:r>
      <w:r w:rsidR="001E4EE3" w:rsidRPr="00A20381">
        <w:rPr>
          <w:i/>
          <w:w w:val="105"/>
          <w:sz w:val="20"/>
        </w:rPr>
        <w:t>Test</w:t>
      </w:r>
      <w:r w:rsidRPr="00A20381">
        <w:rPr>
          <w:w w:val="105"/>
          <w:sz w:val="20"/>
        </w:rPr>
        <w:t xml:space="preserve">: period </w:t>
      </w:r>
      <w:r w:rsidRPr="00A20381">
        <w:rPr>
          <w:i/>
          <w:w w:val="105"/>
          <w:sz w:val="20"/>
        </w:rPr>
        <w:t>2014-17</w:t>
      </w:r>
    </w:p>
    <w:p w:rsidR="000377FF" w:rsidRPr="00A20381" w:rsidRDefault="000377FF" w:rsidP="001A4FB4">
      <w:pPr>
        <w:pStyle w:val="Corpotesto"/>
        <w:spacing w:after="1" w:line="360" w:lineRule="auto"/>
        <w:jc w:val="both"/>
        <w:rPr>
          <w:i/>
          <w:sz w:val="10"/>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8"/>
        <w:gridCol w:w="589"/>
        <w:gridCol w:w="1167"/>
        <w:gridCol w:w="800"/>
      </w:tblGrid>
      <w:tr w:rsidR="000377FF" w:rsidRPr="00A20381">
        <w:trPr>
          <w:trHeight w:val="396"/>
        </w:trPr>
        <w:tc>
          <w:tcPr>
            <w:tcW w:w="3318" w:type="dxa"/>
          </w:tcPr>
          <w:p w:rsidR="000377FF" w:rsidRPr="00A20381" w:rsidRDefault="00E85B85" w:rsidP="001A4FB4">
            <w:pPr>
              <w:pStyle w:val="TableParagraph"/>
              <w:spacing w:before="93" w:line="360" w:lineRule="auto"/>
              <w:ind w:left="146" w:right="151"/>
              <w:jc w:val="both"/>
              <w:rPr>
                <w:i/>
                <w:sz w:val="20"/>
              </w:rPr>
            </w:pPr>
            <w:r w:rsidRPr="00A20381">
              <w:rPr>
                <w:i/>
                <w:sz w:val="20"/>
              </w:rPr>
              <w:t>Null Hypothesis</w:t>
            </w:r>
          </w:p>
        </w:tc>
        <w:tc>
          <w:tcPr>
            <w:tcW w:w="589" w:type="dxa"/>
          </w:tcPr>
          <w:p w:rsidR="000377FF" w:rsidRPr="00A20381" w:rsidRDefault="00E85B85" w:rsidP="001A4FB4">
            <w:pPr>
              <w:pStyle w:val="TableParagraph"/>
              <w:spacing w:before="93" w:line="360" w:lineRule="auto"/>
              <w:ind w:left="122"/>
              <w:jc w:val="both"/>
              <w:rPr>
                <w:i/>
                <w:sz w:val="20"/>
              </w:rPr>
            </w:pPr>
            <w:proofErr w:type="spellStart"/>
            <w:r w:rsidRPr="00A20381">
              <w:rPr>
                <w:i/>
                <w:sz w:val="20"/>
              </w:rPr>
              <w:t>Obs</w:t>
            </w:r>
            <w:proofErr w:type="spellEnd"/>
          </w:p>
        </w:tc>
        <w:tc>
          <w:tcPr>
            <w:tcW w:w="1167" w:type="dxa"/>
          </w:tcPr>
          <w:p w:rsidR="000377FF" w:rsidRPr="00A20381" w:rsidRDefault="00E85B85" w:rsidP="001A4FB4">
            <w:pPr>
              <w:pStyle w:val="TableParagraph"/>
              <w:spacing w:before="93" w:line="360" w:lineRule="auto"/>
              <w:ind w:left="113" w:right="113"/>
              <w:jc w:val="both"/>
              <w:rPr>
                <w:i/>
                <w:sz w:val="20"/>
              </w:rPr>
            </w:pPr>
            <w:r w:rsidRPr="00A20381">
              <w:rPr>
                <w:i/>
                <w:w w:val="105"/>
                <w:sz w:val="20"/>
              </w:rPr>
              <w:t>F-Statistic</w:t>
            </w:r>
          </w:p>
        </w:tc>
        <w:tc>
          <w:tcPr>
            <w:tcW w:w="800" w:type="dxa"/>
          </w:tcPr>
          <w:p w:rsidR="000377FF" w:rsidRPr="00A20381" w:rsidRDefault="00E85B85" w:rsidP="001A4FB4">
            <w:pPr>
              <w:pStyle w:val="TableParagraph"/>
              <w:spacing w:before="93" w:line="360" w:lineRule="auto"/>
              <w:ind w:left="168"/>
              <w:jc w:val="both"/>
              <w:rPr>
                <w:i/>
                <w:sz w:val="20"/>
              </w:rPr>
            </w:pPr>
            <w:r w:rsidRPr="00A20381">
              <w:rPr>
                <w:i/>
                <w:w w:val="110"/>
                <w:sz w:val="20"/>
              </w:rPr>
              <w:t>Prob.</w:t>
            </w:r>
          </w:p>
        </w:tc>
      </w:tr>
      <w:tr w:rsidR="000377FF" w:rsidRPr="00A20381">
        <w:trPr>
          <w:trHeight w:val="396"/>
        </w:trPr>
        <w:tc>
          <w:tcPr>
            <w:tcW w:w="3318" w:type="dxa"/>
          </w:tcPr>
          <w:p w:rsidR="000377FF" w:rsidRPr="00A20381" w:rsidRDefault="00E85B85" w:rsidP="001A4FB4">
            <w:pPr>
              <w:pStyle w:val="TableParagraph"/>
              <w:spacing w:before="93" w:line="360" w:lineRule="auto"/>
              <w:ind w:left="146" w:right="158"/>
              <w:jc w:val="both"/>
              <w:rPr>
                <w:i/>
                <w:sz w:val="20"/>
              </w:rPr>
            </w:pPr>
            <w:r w:rsidRPr="00A20381">
              <w:rPr>
                <w:i/>
                <w:w w:val="105"/>
                <w:sz w:val="20"/>
              </w:rPr>
              <w:t>GBS does not Granger-Cause CDS</w:t>
            </w:r>
          </w:p>
        </w:tc>
        <w:tc>
          <w:tcPr>
            <w:tcW w:w="589" w:type="dxa"/>
            <w:vMerge w:val="restart"/>
          </w:tcPr>
          <w:p w:rsidR="000377FF" w:rsidRPr="00A20381" w:rsidRDefault="000377FF" w:rsidP="001A4FB4">
            <w:pPr>
              <w:pStyle w:val="TableParagraph"/>
              <w:spacing w:before="7" w:line="360" w:lineRule="auto"/>
              <w:jc w:val="both"/>
              <w:rPr>
                <w:i/>
                <w:sz w:val="23"/>
              </w:rPr>
            </w:pPr>
          </w:p>
          <w:p w:rsidR="000377FF" w:rsidRPr="00A20381" w:rsidRDefault="00E85B85" w:rsidP="001A4FB4">
            <w:pPr>
              <w:pStyle w:val="TableParagraph"/>
              <w:spacing w:before="1" w:line="360" w:lineRule="auto"/>
              <w:ind w:left="144"/>
              <w:jc w:val="both"/>
              <w:rPr>
                <w:sz w:val="20"/>
              </w:rPr>
            </w:pPr>
            <w:r w:rsidRPr="00A20381">
              <w:rPr>
                <w:sz w:val="20"/>
              </w:rPr>
              <w:t>580</w:t>
            </w:r>
          </w:p>
        </w:tc>
        <w:tc>
          <w:tcPr>
            <w:tcW w:w="1167" w:type="dxa"/>
          </w:tcPr>
          <w:p w:rsidR="000377FF" w:rsidRPr="00A20381" w:rsidRDefault="00E85B85" w:rsidP="001A4FB4">
            <w:pPr>
              <w:pStyle w:val="TableParagraph"/>
              <w:spacing w:line="360" w:lineRule="auto"/>
              <w:ind w:left="113" w:right="104"/>
              <w:jc w:val="both"/>
              <w:rPr>
                <w:sz w:val="20"/>
              </w:rPr>
            </w:pPr>
            <w:r w:rsidRPr="00A20381">
              <w:rPr>
                <w:sz w:val="20"/>
              </w:rPr>
              <w:t>12.8949</w:t>
            </w:r>
          </w:p>
        </w:tc>
        <w:tc>
          <w:tcPr>
            <w:tcW w:w="800" w:type="dxa"/>
          </w:tcPr>
          <w:p w:rsidR="000377FF" w:rsidRPr="00A20381" w:rsidRDefault="00E85B85" w:rsidP="001A4FB4">
            <w:pPr>
              <w:pStyle w:val="TableParagraph"/>
              <w:spacing w:line="360" w:lineRule="auto"/>
              <w:ind w:left="123"/>
              <w:jc w:val="both"/>
              <w:rPr>
                <w:sz w:val="20"/>
              </w:rPr>
            </w:pPr>
            <w:r w:rsidRPr="00A20381">
              <w:rPr>
                <w:sz w:val="20"/>
              </w:rPr>
              <w:t>0.0000</w:t>
            </w:r>
          </w:p>
        </w:tc>
      </w:tr>
      <w:tr w:rsidR="000377FF" w:rsidRPr="00A20381">
        <w:trPr>
          <w:trHeight w:val="388"/>
        </w:trPr>
        <w:tc>
          <w:tcPr>
            <w:tcW w:w="3318" w:type="dxa"/>
          </w:tcPr>
          <w:p w:rsidR="000377FF" w:rsidRPr="00A20381" w:rsidRDefault="00E85B85" w:rsidP="001A4FB4">
            <w:pPr>
              <w:pStyle w:val="TableParagraph"/>
              <w:spacing w:before="85" w:line="360" w:lineRule="auto"/>
              <w:ind w:left="146" w:right="158"/>
              <w:jc w:val="both"/>
              <w:rPr>
                <w:i/>
                <w:sz w:val="20"/>
              </w:rPr>
            </w:pPr>
            <w:r w:rsidRPr="00A20381">
              <w:rPr>
                <w:i/>
                <w:w w:val="105"/>
                <w:sz w:val="20"/>
              </w:rPr>
              <w:t>CDS does not Granger-Cause GBS</w:t>
            </w:r>
          </w:p>
        </w:tc>
        <w:tc>
          <w:tcPr>
            <w:tcW w:w="589" w:type="dxa"/>
            <w:vMerge/>
            <w:tcBorders>
              <w:top w:val="nil"/>
            </w:tcBorders>
          </w:tcPr>
          <w:p w:rsidR="000377FF" w:rsidRPr="00A20381" w:rsidRDefault="000377FF" w:rsidP="001A4FB4">
            <w:pPr>
              <w:spacing w:line="360" w:lineRule="auto"/>
              <w:jc w:val="both"/>
              <w:rPr>
                <w:sz w:val="2"/>
                <w:szCs w:val="2"/>
              </w:rPr>
            </w:pPr>
          </w:p>
        </w:tc>
        <w:tc>
          <w:tcPr>
            <w:tcW w:w="1167" w:type="dxa"/>
          </w:tcPr>
          <w:p w:rsidR="000377FF" w:rsidRPr="00A20381" w:rsidRDefault="00E85B85" w:rsidP="001A4FB4">
            <w:pPr>
              <w:pStyle w:val="TableParagraph"/>
              <w:spacing w:before="78" w:line="360" w:lineRule="auto"/>
              <w:ind w:left="113" w:right="104"/>
              <w:jc w:val="both"/>
              <w:rPr>
                <w:sz w:val="20"/>
              </w:rPr>
            </w:pPr>
            <w:r w:rsidRPr="00A20381">
              <w:rPr>
                <w:sz w:val="20"/>
              </w:rPr>
              <w:t>0.60355</w:t>
            </w:r>
          </w:p>
        </w:tc>
        <w:tc>
          <w:tcPr>
            <w:tcW w:w="800" w:type="dxa"/>
          </w:tcPr>
          <w:p w:rsidR="000377FF" w:rsidRPr="00A20381" w:rsidRDefault="00E85B85" w:rsidP="001A4FB4">
            <w:pPr>
              <w:pStyle w:val="TableParagraph"/>
              <w:spacing w:before="78" w:line="360" w:lineRule="auto"/>
              <w:ind w:left="123"/>
              <w:jc w:val="both"/>
              <w:rPr>
                <w:sz w:val="20"/>
              </w:rPr>
            </w:pPr>
            <w:r w:rsidRPr="00A20381">
              <w:rPr>
                <w:sz w:val="20"/>
              </w:rPr>
              <w:t>0.6129</w:t>
            </w:r>
          </w:p>
        </w:tc>
      </w:tr>
    </w:tbl>
    <w:p w:rsidR="000377FF" w:rsidRPr="00A20381" w:rsidRDefault="000377FF" w:rsidP="001A4FB4">
      <w:pPr>
        <w:pStyle w:val="Corpotesto"/>
        <w:spacing w:before="9" w:line="360" w:lineRule="auto"/>
        <w:jc w:val="both"/>
        <w:rPr>
          <w:i/>
          <w:sz w:val="18"/>
        </w:rPr>
      </w:pPr>
    </w:p>
    <w:p w:rsidR="000377FF" w:rsidRPr="00A20381" w:rsidRDefault="00E85B85" w:rsidP="001A4FB4">
      <w:pPr>
        <w:pStyle w:val="Corpotesto"/>
        <w:spacing w:line="360" w:lineRule="auto"/>
        <w:ind w:left="113"/>
        <w:jc w:val="both"/>
      </w:pPr>
      <w:r w:rsidRPr="00A20381">
        <w:rPr>
          <w:i/>
        </w:rPr>
        <w:t>Source</w:t>
      </w:r>
      <w:r w:rsidR="001F0D6B">
        <w:t>: author</w:t>
      </w:r>
      <w:r w:rsidRPr="00A20381">
        <w:t>s</w:t>
      </w:r>
      <w:r w:rsidR="001F0D6B">
        <w:t>’</w:t>
      </w:r>
      <w:r w:rsidRPr="00A20381">
        <w:t xml:space="preserve"> own calculations in </w:t>
      </w:r>
      <w:proofErr w:type="spellStart"/>
      <w:r w:rsidRPr="00A20381">
        <w:t>Eviews</w:t>
      </w:r>
      <w:proofErr w:type="spellEnd"/>
      <w:r w:rsidRPr="00A20381">
        <w:t xml:space="preserve"> 10</w:t>
      </w:r>
      <w:r w:rsidR="00A6518A">
        <w:t xml:space="preserve"> based on Bloomberg data.</w:t>
      </w:r>
    </w:p>
    <w:p w:rsidR="000377FF" w:rsidRPr="00A20381" w:rsidRDefault="000377FF" w:rsidP="001A4FB4">
      <w:pPr>
        <w:pStyle w:val="Corpotesto"/>
        <w:spacing w:before="2" w:line="360" w:lineRule="auto"/>
        <w:jc w:val="both"/>
      </w:pPr>
    </w:p>
    <w:p w:rsidR="000377FF" w:rsidRDefault="00E85B85" w:rsidP="001A4FB4">
      <w:pPr>
        <w:spacing w:line="360" w:lineRule="auto"/>
        <w:ind w:left="113" w:right="315"/>
        <w:jc w:val="both"/>
        <w:rPr>
          <w:spacing w:val="-3"/>
          <w:w w:val="105"/>
          <w:sz w:val="20"/>
        </w:rPr>
      </w:pPr>
      <w:r w:rsidRPr="00A20381">
        <w:rPr>
          <w:i/>
          <w:spacing w:val="-4"/>
          <w:w w:val="105"/>
          <w:sz w:val="20"/>
        </w:rPr>
        <w:t xml:space="preserve">Table </w:t>
      </w:r>
      <w:r w:rsidRPr="00A20381">
        <w:rPr>
          <w:i/>
          <w:w w:val="105"/>
          <w:sz w:val="20"/>
        </w:rPr>
        <w:t xml:space="preserve">9 </w:t>
      </w:r>
      <w:r w:rsidRPr="00A20381">
        <w:rPr>
          <w:w w:val="105"/>
          <w:sz w:val="20"/>
        </w:rPr>
        <w:t xml:space="preserve">shows, once again, the </w:t>
      </w:r>
      <w:r w:rsidR="000D4A62" w:rsidRPr="00A20381">
        <w:rPr>
          <w:i/>
          <w:spacing w:val="-3"/>
          <w:w w:val="105"/>
          <w:sz w:val="20"/>
        </w:rPr>
        <w:t>unidirectional Granger</w:t>
      </w:r>
      <w:r w:rsidRPr="00A20381">
        <w:rPr>
          <w:i/>
          <w:w w:val="105"/>
          <w:sz w:val="20"/>
        </w:rPr>
        <w:t>-</w:t>
      </w:r>
      <w:r w:rsidR="000D4A62" w:rsidRPr="00A20381">
        <w:rPr>
          <w:i/>
          <w:w w:val="105"/>
          <w:sz w:val="20"/>
        </w:rPr>
        <w:t>causality running</w:t>
      </w:r>
      <w:r w:rsidRPr="00A20381">
        <w:rPr>
          <w:w w:val="105"/>
          <w:sz w:val="20"/>
        </w:rPr>
        <w:t xml:space="preserve"> from the </w:t>
      </w:r>
      <w:r w:rsidR="000D4A62" w:rsidRPr="00A20381">
        <w:rPr>
          <w:i/>
          <w:w w:val="105"/>
          <w:sz w:val="20"/>
        </w:rPr>
        <w:t>GBS</w:t>
      </w:r>
      <w:r w:rsidRPr="00A20381">
        <w:rPr>
          <w:i/>
          <w:w w:val="105"/>
          <w:sz w:val="20"/>
        </w:rPr>
        <w:t xml:space="preserve"> </w:t>
      </w:r>
      <w:r w:rsidRPr="00A20381">
        <w:rPr>
          <w:w w:val="105"/>
          <w:sz w:val="20"/>
        </w:rPr>
        <w:t xml:space="preserve">to </w:t>
      </w:r>
      <w:r w:rsidRPr="00A20381">
        <w:rPr>
          <w:i/>
          <w:w w:val="105"/>
          <w:sz w:val="20"/>
        </w:rPr>
        <w:t xml:space="preserve">CDS </w:t>
      </w:r>
      <w:r w:rsidRPr="00A20381">
        <w:rPr>
          <w:i/>
          <w:spacing w:val="-3"/>
          <w:w w:val="105"/>
          <w:sz w:val="20"/>
        </w:rPr>
        <w:t>premia</w:t>
      </w:r>
      <w:r w:rsidRPr="00A20381">
        <w:rPr>
          <w:spacing w:val="-3"/>
          <w:w w:val="105"/>
          <w:sz w:val="20"/>
        </w:rPr>
        <w:t xml:space="preserve">.  </w:t>
      </w:r>
      <w:r w:rsidR="000D4A62" w:rsidRPr="00A20381">
        <w:rPr>
          <w:i/>
          <w:w w:val="105"/>
          <w:sz w:val="20"/>
        </w:rPr>
        <w:t>Fig</w:t>
      </w:r>
      <w:r w:rsidRPr="00A20381">
        <w:rPr>
          <w:i/>
          <w:spacing w:val="-4"/>
          <w:w w:val="105"/>
          <w:sz w:val="20"/>
        </w:rPr>
        <w:t xml:space="preserve">ure </w:t>
      </w:r>
      <w:r w:rsidRPr="00A20381">
        <w:rPr>
          <w:i/>
          <w:w w:val="105"/>
          <w:sz w:val="20"/>
        </w:rPr>
        <w:t xml:space="preserve">3 </w:t>
      </w:r>
      <w:r w:rsidRPr="00A20381">
        <w:rPr>
          <w:w w:val="105"/>
          <w:sz w:val="20"/>
        </w:rPr>
        <w:t xml:space="preserve">shows, therefore, the </w:t>
      </w:r>
      <w:r w:rsidRPr="00A20381">
        <w:rPr>
          <w:i/>
          <w:spacing w:val="3"/>
          <w:w w:val="105"/>
          <w:sz w:val="20"/>
        </w:rPr>
        <w:t>CDSs</w:t>
      </w:r>
      <w:r w:rsidRPr="00A20381">
        <w:rPr>
          <w:spacing w:val="3"/>
          <w:w w:val="105"/>
          <w:sz w:val="20"/>
        </w:rPr>
        <w:t xml:space="preserve">’ </w:t>
      </w:r>
      <w:r w:rsidRPr="00A20381">
        <w:rPr>
          <w:i/>
          <w:w w:val="105"/>
          <w:sz w:val="20"/>
        </w:rPr>
        <w:t>Impulse</w:t>
      </w:r>
      <w:r w:rsidRPr="00A20381">
        <w:rPr>
          <w:i/>
          <w:spacing w:val="18"/>
          <w:w w:val="105"/>
          <w:sz w:val="20"/>
        </w:rPr>
        <w:t xml:space="preserve"> </w:t>
      </w:r>
      <w:r w:rsidRPr="00A20381">
        <w:rPr>
          <w:i/>
          <w:spacing w:val="-3"/>
          <w:w w:val="105"/>
          <w:sz w:val="20"/>
        </w:rPr>
        <w:t>Response</w:t>
      </w:r>
      <w:r w:rsidRPr="00A20381">
        <w:rPr>
          <w:spacing w:val="-3"/>
          <w:w w:val="105"/>
          <w:sz w:val="20"/>
        </w:rPr>
        <w:t>.</w:t>
      </w:r>
    </w:p>
    <w:p w:rsidR="00E74FF8" w:rsidRPr="00E74FF8" w:rsidRDefault="00E74FF8" w:rsidP="001A4FB4">
      <w:pPr>
        <w:spacing w:line="360" w:lineRule="auto"/>
        <w:ind w:left="113" w:right="315"/>
        <w:jc w:val="both"/>
        <w:rPr>
          <w:sz w:val="20"/>
        </w:rPr>
      </w:pPr>
    </w:p>
    <w:p w:rsidR="000377FF" w:rsidRPr="001F0D6B" w:rsidRDefault="00E85B85" w:rsidP="001A4FB4">
      <w:pPr>
        <w:spacing w:line="360" w:lineRule="auto"/>
        <w:ind w:left="113"/>
        <w:jc w:val="both"/>
        <w:rPr>
          <w:i/>
          <w:sz w:val="20"/>
        </w:rPr>
      </w:pPr>
      <w:r w:rsidRPr="00A20381">
        <w:rPr>
          <w:b/>
          <w:sz w:val="20"/>
        </w:rPr>
        <w:t xml:space="preserve">Figure 3 </w:t>
      </w:r>
      <w:r w:rsidRPr="00A20381">
        <w:rPr>
          <w:sz w:val="20"/>
        </w:rPr>
        <w:t xml:space="preserve">- </w:t>
      </w:r>
      <w:r w:rsidRPr="00A20381">
        <w:rPr>
          <w:i/>
          <w:sz w:val="20"/>
        </w:rPr>
        <w:t xml:space="preserve">Impulse Response </w:t>
      </w:r>
      <w:r w:rsidRPr="00A20381">
        <w:rPr>
          <w:sz w:val="20"/>
        </w:rPr>
        <w:t>(</w:t>
      </w:r>
      <w:r w:rsidRPr="00A20381">
        <w:rPr>
          <w:i/>
          <w:sz w:val="20"/>
        </w:rPr>
        <w:t xml:space="preserve">Unit </w:t>
      </w:r>
      <w:r w:rsidR="000D4A62" w:rsidRPr="00A20381">
        <w:rPr>
          <w:i/>
          <w:sz w:val="20"/>
        </w:rPr>
        <w:t>Shock)</w:t>
      </w:r>
      <w:r w:rsidRPr="00A20381">
        <w:rPr>
          <w:sz w:val="20"/>
        </w:rPr>
        <w:t xml:space="preserve">: period </w:t>
      </w:r>
      <w:r w:rsidRPr="00A20381">
        <w:rPr>
          <w:i/>
          <w:sz w:val="20"/>
        </w:rPr>
        <w:t>2014-17</w:t>
      </w:r>
    </w:p>
    <w:p w:rsidR="000377FF" w:rsidRPr="001F0D6B" w:rsidRDefault="00E85B85" w:rsidP="001A4FB4">
      <w:pPr>
        <w:pStyle w:val="Corpotesto"/>
        <w:spacing w:line="360" w:lineRule="auto"/>
        <w:jc w:val="both"/>
        <w:rPr>
          <w:i/>
          <w:sz w:val="11"/>
        </w:rPr>
      </w:pPr>
      <w:r w:rsidRPr="00A20381">
        <w:rPr>
          <w:noProof/>
          <w:lang w:val="it-IT" w:eastAsia="it-IT"/>
        </w:rPr>
        <w:drawing>
          <wp:anchor distT="0" distB="0" distL="0" distR="0" simplePos="0" relativeHeight="251649536" behindDoc="0" locked="0" layoutInCell="1" allowOverlap="1">
            <wp:simplePos x="0" y="0"/>
            <wp:positionH relativeFrom="page">
              <wp:posOffset>824014</wp:posOffset>
            </wp:positionH>
            <wp:positionV relativeFrom="paragraph">
              <wp:posOffset>109470</wp:posOffset>
            </wp:positionV>
            <wp:extent cx="3529012" cy="2213991"/>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3529012" cy="2213991"/>
                    </a:xfrm>
                    <a:prstGeom prst="rect">
                      <a:avLst/>
                    </a:prstGeom>
                  </pic:spPr>
                </pic:pic>
              </a:graphicData>
            </a:graphic>
          </wp:anchor>
        </w:drawing>
      </w:r>
    </w:p>
    <w:p w:rsidR="000377FF" w:rsidRPr="00A20381" w:rsidRDefault="00E85B85" w:rsidP="001A4FB4">
      <w:pPr>
        <w:pStyle w:val="Corpotesto"/>
        <w:spacing w:before="95" w:line="360" w:lineRule="auto"/>
        <w:ind w:left="113"/>
        <w:jc w:val="both"/>
      </w:pPr>
      <w:r w:rsidRPr="00A20381">
        <w:rPr>
          <w:i/>
        </w:rPr>
        <w:t>Source</w:t>
      </w:r>
      <w:r w:rsidR="001F0D6B">
        <w:t>: author</w:t>
      </w:r>
      <w:r w:rsidRPr="00A20381">
        <w:t>s</w:t>
      </w:r>
      <w:r w:rsidR="001F0D6B">
        <w:t>’</w:t>
      </w:r>
      <w:r w:rsidRPr="00A20381">
        <w:t xml:space="preserve"> own calculations in </w:t>
      </w:r>
      <w:proofErr w:type="spellStart"/>
      <w:r w:rsidRPr="00A20381">
        <w:t>Eviews</w:t>
      </w:r>
      <w:proofErr w:type="spellEnd"/>
      <w:r w:rsidRPr="00A20381">
        <w:t xml:space="preserve"> 10</w:t>
      </w:r>
      <w:r w:rsidR="00A6518A">
        <w:t xml:space="preserve"> based on Bloomberg data.</w:t>
      </w:r>
    </w:p>
    <w:p w:rsidR="000377FF" w:rsidRPr="00A20381" w:rsidRDefault="000377FF" w:rsidP="001A4FB4">
      <w:pPr>
        <w:pStyle w:val="Corpotesto"/>
        <w:spacing w:before="1" w:line="360" w:lineRule="auto"/>
        <w:jc w:val="both"/>
      </w:pPr>
    </w:p>
    <w:p w:rsidR="001F0D6B" w:rsidRDefault="00E85B85" w:rsidP="001A4FB4">
      <w:pPr>
        <w:pStyle w:val="Corpotesto"/>
        <w:spacing w:before="1" w:line="360" w:lineRule="auto"/>
        <w:ind w:left="113" w:right="113"/>
        <w:jc w:val="both"/>
        <w:rPr>
          <w:spacing w:val="-6"/>
        </w:rPr>
      </w:pPr>
      <w:r w:rsidRPr="00A20381">
        <w:t xml:space="preserve">After a unit shock in the </w:t>
      </w:r>
      <w:r w:rsidR="000D4A62" w:rsidRPr="00A20381">
        <w:rPr>
          <w:i/>
        </w:rPr>
        <w:t xml:space="preserve">GBS </w:t>
      </w:r>
      <w:r w:rsidRPr="00A20381">
        <w:rPr>
          <w:spacing w:val="-3"/>
        </w:rPr>
        <w:t>variable</w:t>
      </w:r>
      <w:r w:rsidR="000D4A62" w:rsidRPr="00A20381">
        <w:rPr>
          <w:spacing w:val="-3"/>
        </w:rPr>
        <w:t>, the</w:t>
      </w:r>
      <w:r w:rsidRPr="00A20381">
        <w:t xml:space="preserve"> </w:t>
      </w:r>
      <w:r w:rsidR="000D4A62" w:rsidRPr="00A20381">
        <w:rPr>
          <w:i/>
        </w:rPr>
        <w:t xml:space="preserve">CDS </w:t>
      </w:r>
      <w:r w:rsidRPr="00A20381">
        <w:rPr>
          <w:spacing w:val="-4"/>
        </w:rPr>
        <w:t>spread</w:t>
      </w:r>
      <w:r w:rsidR="000D4A62" w:rsidRPr="00A20381">
        <w:rPr>
          <w:spacing w:val="-4"/>
        </w:rPr>
        <w:t xml:space="preserve"> </w:t>
      </w:r>
      <w:r w:rsidRPr="00A20381">
        <w:t xml:space="preserve">tends to increase up </w:t>
      </w:r>
      <w:r w:rsidR="000D4A62" w:rsidRPr="00A20381">
        <w:t xml:space="preserve">to the next third day after the </w:t>
      </w:r>
      <w:r w:rsidRPr="00A20381">
        <w:t>shock</w:t>
      </w:r>
      <w:r w:rsidRPr="00A20381">
        <w:rPr>
          <w:spacing w:val="13"/>
        </w:rPr>
        <w:t xml:space="preserve"> </w:t>
      </w:r>
      <w:r w:rsidRPr="00A20381">
        <w:t>and</w:t>
      </w:r>
      <w:r w:rsidRPr="00A20381">
        <w:rPr>
          <w:spacing w:val="14"/>
        </w:rPr>
        <w:t xml:space="preserve"> </w:t>
      </w:r>
      <w:r w:rsidRPr="00A20381">
        <w:t>it</w:t>
      </w:r>
      <w:r w:rsidRPr="00A20381">
        <w:rPr>
          <w:spacing w:val="14"/>
        </w:rPr>
        <w:t xml:space="preserve"> </w:t>
      </w:r>
      <w:r w:rsidRPr="00A20381">
        <w:t>tends</w:t>
      </w:r>
      <w:r w:rsidRPr="00A20381">
        <w:rPr>
          <w:spacing w:val="14"/>
        </w:rPr>
        <w:t xml:space="preserve"> </w:t>
      </w:r>
      <w:r w:rsidRPr="00A20381">
        <w:t>to</w:t>
      </w:r>
      <w:r w:rsidRPr="00A20381">
        <w:rPr>
          <w:spacing w:val="14"/>
        </w:rPr>
        <w:t xml:space="preserve"> </w:t>
      </w:r>
      <w:r w:rsidRPr="00A20381">
        <w:t>stabilize</w:t>
      </w:r>
      <w:r w:rsidRPr="00A20381">
        <w:rPr>
          <w:spacing w:val="13"/>
        </w:rPr>
        <w:t xml:space="preserve"> </w:t>
      </w:r>
      <w:r w:rsidRPr="00A20381">
        <w:t>starting</w:t>
      </w:r>
      <w:r w:rsidRPr="00A20381">
        <w:rPr>
          <w:spacing w:val="14"/>
        </w:rPr>
        <w:t xml:space="preserve"> </w:t>
      </w:r>
      <w:r w:rsidRPr="00A20381">
        <w:t>from</w:t>
      </w:r>
      <w:r w:rsidRPr="00A20381">
        <w:rPr>
          <w:spacing w:val="14"/>
        </w:rPr>
        <w:t xml:space="preserve"> </w:t>
      </w:r>
      <w:r w:rsidRPr="00A20381">
        <w:t>the</w:t>
      </w:r>
      <w:r w:rsidRPr="00A20381">
        <w:rPr>
          <w:spacing w:val="14"/>
        </w:rPr>
        <w:t xml:space="preserve"> </w:t>
      </w:r>
      <w:r w:rsidRPr="00A20381">
        <w:t>next</w:t>
      </w:r>
      <w:r w:rsidRPr="00A20381">
        <w:rPr>
          <w:spacing w:val="14"/>
        </w:rPr>
        <w:t xml:space="preserve"> </w:t>
      </w:r>
      <w:r w:rsidRPr="00A20381">
        <w:t>fourth</w:t>
      </w:r>
      <w:r w:rsidRPr="00A20381">
        <w:rPr>
          <w:spacing w:val="13"/>
        </w:rPr>
        <w:t xml:space="preserve"> </w:t>
      </w:r>
      <w:r w:rsidRPr="00A20381">
        <w:rPr>
          <w:spacing w:val="-6"/>
        </w:rPr>
        <w:t>day.</w:t>
      </w:r>
    </w:p>
    <w:p w:rsidR="006E6FFB" w:rsidRDefault="006E6FFB" w:rsidP="001A4FB4">
      <w:pPr>
        <w:pStyle w:val="Corpotesto"/>
        <w:spacing w:before="1" w:line="360" w:lineRule="auto"/>
        <w:ind w:left="113" w:right="113"/>
        <w:jc w:val="both"/>
        <w:rPr>
          <w:spacing w:val="-6"/>
        </w:rPr>
      </w:pPr>
    </w:p>
    <w:p w:rsidR="006E6FFB" w:rsidRDefault="006E6FFB" w:rsidP="001A4FB4">
      <w:pPr>
        <w:pStyle w:val="Corpotesto"/>
        <w:spacing w:before="1" w:line="360" w:lineRule="auto"/>
        <w:ind w:left="113" w:right="113"/>
        <w:jc w:val="both"/>
        <w:rPr>
          <w:spacing w:val="-6"/>
        </w:rPr>
      </w:pPr>
    </w:p>
    <w:p w:rsidR="006E6FFB" w:rsidRDefault="006E6FFB" w:rsidP="001A4FB4">
      <w:pPr>
        <w:pStyle w:val="Corpotesto"/>
        <w:spacing w:before="1" w:line="360" w:lineRule="auto"/>
        <w:ind w:left="113" w:right="113"/>
        <w:jc w:val="both"/>
        <w:rPr>
          <w:spacing w:val="-6"/>
        </w:rPr>
      </w:pPr>
    </w:p>
    <w:p w:rsidR="006E6FFB" w:rsidRDefault="006E6FFB" w:rsidP="001A4FB4">
      <w:pPr>
        <w:pStyle w:val="Corpotesto"/>
        <w:spacing w:before="1" w:line="360" w:lineRule="auto"/>
        <w:ind w:left="113" w:right="113"/>
        <w:jc w:val="both"/>
        <w:rPr>
          <w:spacing w:val="-6"/>
        </w:rPr>
      </w:pPr>
    </w:p>
    <w:p w:rsidR="006E6FFB" w:rsidRDefault="006E6FFB" w:rsidP="001A4FB4">
      <w:pPr>
        <w:pStyle w:val="Corpotesto"/>
        <w:spacing w:before="1" w:line="360" w:lineRule="auto"/>
        <w:ind w:left="113" w:right="113"/>
        <w:jc w:val="both"/>
        <w:rPr>
          <w:spacing w:val="-6"/>
        </w:rPr>
      </w:pPr>
    </w:p>
    <w:p w:rsidR="006E6FFB" w:rsidRDefault="006E6FFB" w:rsidP="001A4FB4">
      <w:pPr>
        <w:pStyle w:val="Corpotesto"/>
        <w:spacing w:before="1" w:line="360" w:lineRule="auto"/>
        <w:ind w:left="113" w:right="113"/>
        <w:jc w:val="both"/>
        <w:rPr>
          <w:spacing w:val="-6"/>
        </w:rPr>
      </w:pPr>
    </w:p>
    <w:p w:rsidR="006E6FFB" w:rsidRDefault="006E6FFB" w:rsidP="001A4FB4">
      <w:pPr>
        <w:pStyle w:val="Corpotesto"/>
        <w:spacing w:before="1" w:line="360" w:lineRule="auto"/>
        <w:ind w:left="113" w:right="113"/>
        <w:jc w:val="both"/>
        <w:rPr>
          <w:spacing w:val="-6"/>
        </w:rPr>
      </w:pPr>
    </w:p>
    <w:p w:rsidR="006E6FFB" w:rsidRDefault="006E6FFB" w:rsidP="001A4FB4">
      <w:pPr>
        <w:pStyle w:val="Corpotesto"/>
        <w:spacing w:before="1" w:line="360" w:lineRule="auto"/>
        <w:ind w:left="113" w:right="113"/>
        <w:jc w:val="both"/>
      </w:pPr>
    </w:p>
    <w:p w:rsidR="00B93295" w:rsidRPr="001F0D6B" w:rsidRDefault="00B93295" w:rsidP="001A4FB4">
      <w:pPr>
        <w:pStyle w:val="Corpotesto"/>
        <w:spacing w:before="1" w:line="360" w:lineRule="auto"/>
        <w:ind w:left="113" w:right="113"/>
        <w:jc w:val="both"/>
      </w:pPr>
    </w:p>
    <w:p w:rsidR="000377FF" w:rsidRPr="00A20381" w:rsidRDefault="00E85B85" w:rsidP="001A4FB4">
      <w:pPr>
        <w:pStyle w:val="Titolo1"/>
        <w:numPr>
          <w:ilvl w:val="0"/>
          <w:numId w:val="5"/>
        </w:numPr>
        <w:tabs>
          <w:tab w:val="left" w:pos="587"/>
          <w:tab w:val="left" w:pos="588"/>
        </w:tabs>
        <w:spacing w:line="360" w:lineRule="auto"/>
        <w:ind w:hanging="475"/>
        <w:jc w:val="both"/>
      </w:pPr>
      <w:bookmarkStart w:id="8" w:name="_TOC_250001"/>
      <w:r w:rsidRPr="00A20381">
        <w:rPr>
          <w:w w:val="105"/>
        </w:rPr>
        <w:lastRenderedPageBreak/>
        <w:t>Economic</w:t>
      </w:r>
      <w:r w:rsidRPr="00A20381">
        <w:rPr>
          <w:spacing w:val="30"/>
          <w:w w:val="105"/>
        </w:rPr>
        <w:t xml:space="preserve"> </w:t>
      </w:r>
      <w:bookmarkEnd w:id="8"/>
      <w:r w:rsidRPr="00A20381">
        <w:rPr>
          <w:w w:val="105"/>
        </w:rPr>
        <w:t>discussion</w:t>
      </w:r>
    </w:p>
    <w:p w:rsidR="000377FF" w:rsidRPr="00A20381" w:rsidRDefault="00E85B85" w:rsidP="001A4FB4">
      <w:pPr>
        <w:pStyle w:val="Corpotesto"/>
        <w:spacing w:before="178" w:line="360" w:lineRule="auto"/>
        <w:ind w:left="113" w:right="111"/>
        <w:jc w:val="both"/>
      </w:pPr>
      <w:r w:rsidRPr="00A20381">
        <w:t>In order to explain in detail the above results it is necessary to call to mind the ECB monetary policy during this time of crisis. One of the first effect</w:t>
      </w:r>
      <w:r w:rsidR="00761B7C">
        <w:t>s of the financial crisis, recognized</w:t>
      </w:r>
      <w:r w:rsidR="000D4A62" w:rsidRPr="00A20381">
        <w:t xml:space="preserve"> in Europe since mid-2008, was</w:t>
      </w:r>
      <w:r w:rsidRPr="00A20381">
        <w:t xml:space="preserve"> the breakdown of trust among banks and, in turn, of the interbank market.</w:t>
      </w:r>
      <w:r w:rsidR="00CA3A4E" w:rsidRPr="00A20381">
        <w:rPr>
          <w:rStyle w:val="Rimandonotaapidipagina"/>
        </w:rPr>
        <w:footnoteReference w:id="9"/>
      </w:r>
      <w:r w:rsidRPr="00A20381">
        <w:rPr>
          <w:position w:val="7"/>
        </w:rPr>
        <w:t xml:space="preserve"> </w:t>
      </w:r>
      <w:r w:rsidRPr="00A20381">
        <w:t xml:space="preserve">By observing </w:t>
      </w:r>
      <w:r w:rsidRPr="00A20381">
        <w:rPr>
          <w:i/>
        </w:rPr>
        <w:t xml:space="preserve">Figure </w:t>
      </w:r>
      <w:r w:rsidR="00CA3A4E" w:rsidRPr="00A20381">
        <w:rPr>
          <w:i/>
        </w:rPr>
        <w:t>1,</w:t>
      </w:r>
      <w:r w:rsidRPr="00A20381">
        <w:rPr>
          <w:i/>
        </w:rPr>
        <w:t xml:space="preserve"> </w:t>
      </w:r>
      <w:r w:rsidRPr="00A20381">
        <w:t xml:space="preserve">we can </w:t>
      </w:r>
      <w:r w:rsidR="00CA3A4E" w:rsidRPr="00A20381">
        <w:t xml:space="preserve">note </w:t>
      </w:r>
      <w:r w:rsidRPr="00A20381">
        <w:t>the</w:t>
      </w:r>
      <w:r w:rsidR="00CA3A4E" w:rsidRPr="00A20381">
        <w:t xml:space="preserve"> </w:t>
      </w:r>
      <w:r w:rsidRPr="00A20381">
        <w:t>first</w:t>
      </w:r>
      <w:r w:rsidRPr="00A20381">
        <w:rPr>
          <w:spacing w:val="-4"/>
        </w:rPr>
        <w:t xml:space="preserve"> </w:t>
      </w:r>
      <w:r w:rsidRPr="00A20381">
        <w:t>relative</w:t>
      </w:r>
      <w:r w:rsidRPr="00A20381">
        <w:rPr>
          <w:spacing w:val="-4"/>
        </w:rPr>
        <w:t xml:space="preserve"> </w:t>
      </w:r>
      <w:r w:rsidRPr="00A20381">
        <w:t>maximum</w:t>
      </w:r>
      <w:r w:rsidRPr="00A20381">
        <w:rPr>
          <w:spacing w:val="-4"/>
        </w:rPr>
        <w:t xml:space="preserve"> </w:t>
      </w:r>
      <w:r w:rsidRPr="00A20381">
        <w:t>for</w:t>
      </w:r>
      <w:r w:rsidRPr="00A20381">
        <w:rPr>
          <w:spacing w:val="-3"/>
        </w:rPr>
        <w:t xml:space="preserve"> </w:t>
      </w:r>
      <w:r w:rsidRPr="00A20381">
        <w:t>both</w:t>
      </w:r>
      <w:r w:rsidRPr="00A20381">
        <w:rPr>
          <w:spacing w:val="-4"/>
        </w:rPr>
        <w:t xml:space="preserve"> </w:t>
      </w:r>
      <w:r w:rsidRPr="00A20381">
        <w:t>series,</w:t>
      </w:r>
      <w:r w:rsidRPr="00A20381">
        <w:rPr>
          <w:spacing w:val="-3"/>
        </w:rPr>
        <w:t xml:space="preserve"> </w:t>
      </w:r>
      <w:r w:rsidRPr="00A20381">
        <w:t>the</w:t>
      </w:r>
      <w:r w:rsidRPr="00A20381">
        <w:rPr>
          <w:spacing w:val="-4"/>
        </w:rPr>
        <w:t xml:space="preserve"> </w:t>
      </w:r>
      <w:r w:rsidRPr="00A20381">
        <w:t>first</w:t>
      </w:r>
      <w:r w:rsidRPr="00A20381">
        <w:rPr>
          <w:spacing w:val="-4"/>
        </w:rPr>
        <w:t xml:space="preserve"> </w:t>
      </w:r>
      <w:r w:rsidRPr="00A20381">
        <w:t>real</w:t>
      </w:r>
      <w:r w:rsidRPr="00A20381">
        <w:rPr>
          <w:spacing w:val="-3"/>
        </w:rPr>
        <w:t xml:space="preserve"> </w:t>
      </w:r>
      <w:r w:rsidRPr="00A20381">
        <w:t>signal</w:t>
      </w:r>
      <w:r w:rsidRPr="00A20381">
        <w:rPr>
          <w:spacing w:val="-4"/>
        </w:rPr>
        <w:t xml:space="preserve"> </w:t>
      </w:r>
      <w:r w:rsidRPr="00A20381">
        <w:t>of</w:t>
      </w:r>
      <w:r w:rsidRPr="00A20381">
        <w:rPr>
          <w:spacing w:val="-4"/>
        </w:rPr>
        <w:t xml:space="preserve"> </w:t>
      </w:r>
      <w:r w:rsidRPr="00A20381">
        <w:t>the</w:t>
      </w:r>
      <w:r w:rsidRPr="00A20381">
        <w:rPr>
          <w:spacing w:val="-4"/>
        </w:rPr>
        <w:t xml:space="preserve"> </w:t>
      </w:r>
      <w:r w:rsidRPr="00A20381">
        <w:t>evident</w:t>
      </w:r>
      <w:r w:rsidRPr="00A20381">
        <w:rPr>
          <w:spacing w:val="-3"/>
        </w:rPr>
        <w:t xml:space="preserve"> </w:t>
      </w:r>
      <w:r w:rsidRPr="00A20381">
        <w:t>ongoing</w:t>
      </w:r>
      <w:r w:rsidRPr="00A20381">
        <w:rPr>
          <w:spacing w:val="-4"/>
        </w:rPr>
        <w:t xml:space="preserve"> </w:t>
      </w:r>
      <w:r w:rsidRPr="00A20381">
        <w:t>economic</w:t>
      </w:r>
      <w:r w:rsidRPr="00A20381">
        <w:rPr>
          <w:spacing w:val="-4"/>
        </w:rPr>
        <w:t xml:space="preserve"> </w:t>
      </w:r>
      <w:r w:rsidRPr="00A20381">
        <w:t>difficulties.</w:t>
      </w:r>
      <w:r w:rsidRPr="00A20381">
        <w:rPr>
          <w:spacing w:val="15"/>
        </w:rPr>
        <w:t xml:space="preserve"> </w:t>
      </w:r>
      <w:r w:rsidRPr="00A20381">
        <w:t>The</w:t>
      </w:r>
      <w:r w:rsidRPr="00A20381">
        <w:rPr>
          <w:spacing w:val="-4"/>
        </w:rPr>
        <w:t xml:space="preserve"> </w:t>
      </w:r>
      <w:r w:rsidR="00CA3A4E" w:rsidRPr="00A20381">
        <w:t>breakup</w:t>
      </w:r>
      <w:r w:rsidRPr="00A20381">
        <w:t xml:space="preserve"> of the interbank market in Europe caused an immediate general increase in the interbank interest rates level and, as </w:t>
      </w:r>
      <w:r w:rsidR="00CA3A4E" w:rsidRPr="00A20381">
        <w:t xml:space="preserve">consequence, </w:t>
      </w:r>
      <w:r w:rsidRPr="00A20381">
        <w:t xml:space="preserve">in the interest rates level to retail customers during the period 2008-09. The </w:t>
      </w:r>
      <w:r w:rsidR="00CA3A4E" w:rsidRPr="00A20381">
        <w:t>necessity of</w:t>
      </w:r>
      <w:r w:rsidRPr="00A20381">
        <w:t xml:space="preserve"> liquidity for the banking system determined, on one side, the massive sales of their assets </w:t>
      </w:r>
      <w:r w:rsidRPr="00A20381">
        <w:rPr>
          <w:spacing w:val="-3"/>
        </w:rPr>
        <w:t xml:space="preserve">by </w:t>
      </w:r>
      <w:r w:rsidRPr="00A20381">
        <w:t>banks and, on the other side, the famous “</w:t>
      </w:r>
      <w:r w:rsidRPr="00A20381">
        <w:rPr>
          <w:i/>
        </w:rPr>
        <w:t>credit crunch</w:t>
      </w:r>
      <w:r w:rsidRPr="00A20381">
        <w:t xml:space="preserve">” </w:t>
      </w:r>
      <w:r w:rsidRPr="00A20381">
        <w:rPr>
          <w:spacing w:val="-3"/>
        </w:rPr>
        <w:t xml:space="preserve">towards </w:t>
      </w:r>
      <w:r w:rsidRPr="00A20381">
        <w:t xml:space="preserve">the real </w:t>
      </w:r>
      <w:r w:rsidRPr="00A20381">
        <w:rPr>
          <w:spacing w:val="-3"/>
        </w:rPr>
        <w:t xml:space="preserve">economy. </w:t>
      </w:r>
      <w:r w:rsidRPr="00A20381">
        <w:t>During this period of lack of liquidity (from mid-2008</w:t>
      </w:r>
      <w:r w:rsidRPr="00A20381">
        <w:rPr>
          <w:spacing w:val="-6"/>
        </w:rPr>
        <w:t xml:space="preserve"> </w:t>
      </w:r>
      <w:r w:rsidRPr="00A20381">
        <w:t>up</w:t>
      </w:r>
      <w:r w:rsidRPr="00A20381">
        <w:rPr>
          <w:spacing w:val="-6"/>
        </w:rPr>
        <w:t xml:space="preserve"> </w:t>
      </w:r>
      <w:r w:rsidRPr="00A20381">
        <w:t>to</w:t>
      </w:r>
      <w:r w:rsidRPr="00A20381">
        <w:rPr>
          <w:spacing w:val="-6"/>
        </w:rPr>
        <w:t xml:space="preserve"> </w:t>
      </w:r>
      <w:r w:rsidRPr="00A20381">
        <w:t>the</w:t>
      </w:r>
      <w:r w:rsidRPr="00A20381">
        <w:rPr>
          <w:spacing w:val="-6"/>
        </w:rPr>
        <w:t xml:space="preserve"> </w:t>
      </w:r>
      <w:r w:rsidRPr="00A20381">
        <w:t>end</w:t>
      </w:r>
      <w:r w:rsidRPr="00A20381">
        <w:rPr>
          <w:spacing w:val="-6"/>
        </w:rPr>
        <w:t xml:space="preserve"> </w:t>
      </w:r>
      <w:r w:rsidRPr="00A20381">
        <w:t>of</w:t>
      </w:r>
      <w:r w:rsidRPr="00A20381">
        <w:rPr>
          <w:spacing w:val="-6"/>
        </w:rPr>
        <w:t xml:space="preserve"> </w:t>
      </w:r>
      <w:r w:rsidRPr="00A20381">
        <w:t>2009),</w:t>
      </w:r>
      <w:r w:rsidRPr="00A20381">
        <w:rPr>
          <w:spacing w:val="-6"/>
        </w:rPr>
        <w:t xml:space="preserve"> </w:t>
      </w:r>
      <w:r w:rsidRPr="00A20381">
        <w:t>the</w:t>
      </w:r>
      <w:r w:rsidRPr="00A20381">
        <w:rPr>
          <w:spacing w:val="-6"/>
        </w:rPr>
        <w:t xml:space="preserve"> </w:t>
      </w:r>
      <w:r w:rsidRPr="00A20381">
        <w:t>traditional</w:t>
      </w:r>
      <w:r w:rsidRPr="00A20381">
        <w:rPr>
          <w:spacing w:val="-6"/>
        </w:rPr>
        <w:t xml:space="preserve"> </w:t>
      </w:r>
      <w:r w:rsidRPr="00A20381">
        <w:t>transmission</w:t>
      </w:r>
      <w:r w:rsidRPr="00A20381">
        <w:rPr>
          <w:spacing w:val="-6"/>
        </w:rPr>
        <w:t xml:space="preserve"> </w:t>
      </w:r>
      <w:r w:rsidRPr="00A20381">
        <w:t>mechanism</w:t>
      </w:r>
      <w:r w:rsidRPr="00A20381">
        <w:rPr>
          <w:spacing w:val="-6"/>
        </w:rPr>
        <w:t xml:space="preserve"> </w:t>
      </w:r>
      <w:r w:rsidRPr="00A20381">
        <w:t>of</w:t>
      </w:r>
      <w:r w:rsidRPr="00A20381">
        <w:rPr>
          <w:spacing w:val="-5"/>
        </w:rPr>
        <w:t xml:space="preserve"> </w:t>
      </w:r>
      <w:r w:rsidRPr="00A20381">
        <w:t>the</w:t>
      </w:r>
      <w:r w:rsidRPr="00A20381">
        <w:rPr>
          <w:spacing w:val="-6"/>
        </w:rPr>
        <w:t xml:space="preserve"> </w:t>
      </w:r>
      <w:r w:rsidRPr="00A20381">
        <w:t>ECB</w:t>
      </w:r>
      <w:r w:rsidRPr="00A20381">
        <w:rPr>
          <w:spacing w:val="-6"/>
        </w:rPr>
        <w:t xml:space="preserve"> </w:t>
      </w:r>
      <w:r w:rsidRPr="00A20381">
        <w:t>monetary</w:t>
      </w:r>
      <w:r w:rsidRPr="00A20381">
        <w:rPr>
          <w:spacing w:val="-6"/>
        </w:rPr>
        <w:t xml:space="preserve"> </w:t>
      </w:r>
      <w:r w:rsidRPr="00A20381">
        <w:t>policy</w:t>
      </w:r>
      <w:r w:rsidRPr="00A20381">
        <w:rPr>
          <w:spacing w:val="-6"/>
        </w:rPr>
        <w:t xml:space="preserve"> </w:t>
      </w:r>
      <w:r w:rsidRPr="00A20381">
        <w:rPr>
          <w:spacing w:val="-3"/>
        </w:rPr>
        <w:t>was</w:t>
      </w:r>
      <w:r w:rsidRPr="00A20381">
        <w:rPr>
          <w:spacing w:val="-6"/>
        </w:rPr>
        <w:t xml:space="preserve"> </w:t>
      </w:r>
      <w:r w:rsidRPr="00A20381">
        <w:t>literally</w:t>
      </w:r>
      <w:r w:rsidR="00CA3A4E" w:rsidRPr="00A20381">
        <w:t xml:space="preserve"> </w:t>
      </w:r>
      <w:r w:rsidRPr="00A20381">
        <w:t xml:space="preserve">unable to operate. The ECB, therefore, introduced the </w:t>
      </w:r>
      <w:r w:rsidR="00CA3A4E" w:rsidRPr="00A20381">
        <w:t>so-called</w:t>
      </w:r>
      <w:r w:rsidRPr="00A20381">
        <w:t xml:space="preserve"> “</w:t>
      </w:r>
      <w:r w:rsidR="00CA3A4E" w:rsidRPr="00A20381">
        <w:rPr>
          <w:i/>
        </w:rPr>
        <w:t>unconventional”</w:t>
      </w:r>
      <w:r w:rsidRPr="00A20381">
        <w:t xml:space="preserve"> policy measures (in particular, the</w:t>
      </w:r>
      <w:r w:rsidRPr="00A20381">
        <w:rPr>
          <w:spacing w:val="18"/>
        </w:rPr>
        <w:t xml:space="preserve"> </w:t>
      </w:r>
      <w:r w:rsidRPr="00A20381">
        <w:rPr>
          <w:i/>
          <w:spacing w:val="-3"/>
        </w:rPr>
        <w:t>Enhanced</w:t>
      </w:r>
      <w:r w:rsidRPr="00A20381">
        <w:rPr>
          <w:i/>
          <w:spacing w:val="18"/>
        </w:rPr>
        <w:t xml:space="preserve"> </w:t>
      </w:r>
      <w:r w:rsidRPr="00A20381">
        <w:rPr>
          <w:i/>
          <w:spacing w:val="-4"/>
        </w:rPr>
        <w:t>Credit</w:t>
      </w:r>
      <w:r w:rsidRPr="00A20381">
        <w:rPr>
          <w:i/>
          <w:spacing w:val="18"/>
        </w:rPr>
        <w:t xml:space="preserve"> </w:t>
      </w:r>
      <w:r w:rsidRPr="00A20381">
        <w:rPr>
          <w:i/>
        </w:rPr>
        <w:t>Support</w:t>
      </w:r>
      <w:r w:rsidR="00CA3A4E" w:rsidRPr="00A20381">
        <w:rPr>
          <w:rStyle w:val="Rimandonotaapidipagina"/>
          <w:i/>
        </w:rPr>
        <w:footnoteReference w:id="10"/>
      </w:r>
      <w:r w:rsidRPr="00A20381">
        <w:t>)</w:t>
      </w:r>
      <w:r w:rsidRPr="00A20381">
        <w:rPr>
          <w:spacing w:val="15"/>
        </w:rPr>
        <w:t xml:space="preserve"> </w:t>
      </w:r>
      <w:r w:rsidRPr="00A20381">
        <w:t>in</w:t>
      </w:r>
      <w:r w:rsidRPr="00A20381">
        <w:rPr>
          <w:spacing w:val="14"/>
        </w:rPr>
        <w:t xml:space="preserve"> </w:t>
      </w:r>
      <w:r w:rsidRPr="00A20381">
        <w:t>addition</w:t>
      </w:r>
      <w:r w:rsidRPr="00A20381">
        <w:rPr>
          <w:spacing w:val="15"/>
        </w:rPr>
        <w:t xml:space="preserve"> </w:t>
      </w:r>
      <w:r w:rsidRPr="00A20381">
        <w:t>to</w:t>
      </w:r>
      <w:r w:rsidRPr="00A20381">
        <w:rPr>
          <w:spacing w:val="15"/>
        </w:rPr>
        <w:t xml:space="preserve"> </w:t>
      </w:r>
      <w:r w:rsidRPr="00A20381">
        <w:t>the</w:t>
      </w:r>
      <w:r w:rsidRPr="00A20381">
        <w:rPr>
          <w:spacing w:val="14"/>
        </w:rPr>
        <w:t xml:space="preserve"> </w:t>
      </w:r>
      <w:r w:rsidRPr="00A20381">
        <w:t>simultaneous</w:t>
      </w:r>
      <w:r w:rsidRPr="00A20381">
        <w:rPr>
          <w:spacing w:val="15"/>
        </w:rPr>
        <w:t xml:space="preserve"> </w:t>
      </w:r>
      <w:r w:rsidRPr="00A20381">
        <w:t>gradual</w:t>
      </w:r>
      <w:r w:rsidRPr="00A20381">
        <w:rPr>
          <w:spacing w:val="15"/>
        </w:rPr>
        <w:t xml:space="preserve"> </w:t>
      </w:r>
      <w:r w:rsidRPr="00A20381">
        <w:t>reduction</w:t>
      </w:r>
      <w:r w:rsidRPr="00A20381">
        <w:rPr>
          <w:spacing w:val="14"/>
        </w:rPr>
        <w:t xml:space="preserve"> </w:t>
      </w:r>
      <w:r w:rsidRPr="00A20381">
        <w:t>of</w:t>
      </w:r>
      <w:r w:rsidRPr="00A20381">
        <w:rPr>
          <w:spacing w:val="15"/>
        </w:rPr>
        <w:t xml:space="preserve"> </w:t>
      </w:r>
      <w:r w:rsidRPr="00A20381">
        <w:t>the</w:t>
      </w:r>
      <w:r w:rsidRPr="00A20381">
        <w:rPr>
          <w:spacing w:val="15"/>
        </w:rPr>
        <w:t xml:space="preserve"> </w:t>
      </w:r>
      <w:r w:rsidRPr="00A20381">
        <w:t>policy</w:t>
      </w:r>
      <w:r w:rsidRPr="00A20381">
        <w:rPr>
          <w:spacing w:val="14"/>
        </w:rPr>
        <w:t xml:space="preserve"> </w:t>
      </w:r>
      <w:r w:rsidRPr="00A20381">
        <w:t>interest</w:t>
      </w:r>
      <w:r w:rsidRPr="00A20381">
        <w:rPr>
          <w:spacing w:val="15"/>
        </w:rPr>
        <w:t xml:space="preserve"> </w:t>
      </w:r>
      <w:r w:rsidRPr="00A20381">
        <w:t>rate</w:t>
      </w:r>
      <w:r w:rsidRPr="00A20381">
        <w:rPr>
          <w:spacing w:val="15"/>
        </w:rPr>
        <w:t xml:space="preserve"> </w:t>
      </w:r>
      <w:r w:rsidRPr="00A20381">
        <w:t>level</w:t>
      </w:r>
    </w:p>
    <w:p w:rsidR="000377FF" w:rsidRPr="00A20381" w:rsidRDefault="00E85B85" w:rsidP="001A4FB4">
      <w:pPr>
        <w:pStyle w:val="Corpotesto"/>
        <w:spacing w:before="51" w:line="360" w:lineRule="auto"/>
        <w:ind w:left="113" w:right="108"/>
        <w:jc w:val="both"/>
      </w:pPr>
      <w:r w:rsidRPr="00A20381">
        <w:t>(which fell from 4.25% in October 2008 to 1% in May 2009). The results of the previous analysis, for the period 2007-09,</w:t>
      </w:r>
      <w:r w:rsidRPr="00A20381">
        <w:rPr>
          <w:spacing w:val="-9"/>
        </w:rPr>
        <w:t xml:space="preserve"> </w:t>
      </w:r>
      <w:r w:rsidRPr="00A20381">
        <w:t>show</w:t>
      </w:r>
      <w:r w:rsidRPr="00A20381">
        <w:rPr>
          <w:spacing w:val="-9"/>
        </w:rPr>
        <w:t xml:space="preserve"> </w:t>
      </w:r>
      <w:r w:rsidRPr="00A20381">
        <w:t>that</w:t>
      </w:r>
      <w:r w:rsidRPr="00A20381">
        <w:rPr>
          <w:spacing w:val="-10"/>
        </w:rPr>
        <w:t xml:space="preserve"> </w:t>
      </w:r>
      <w:r w:rsidRPr="00A20381">
        <w:t>when</w:t>
      </w:r>
      <w:r w:rsidRPr="00A20381">
        <w:rPr>
          <w:spacing w:val="-9"/>
        </w:rPr>
        <w:t xml:space="preserve"> </w:t>
      </w:r>
      <w:r w:rsidRPr="00A20381">
        <w:t>the</w:t>
      </w:r>
      <w:r w:rsidRPr="00A20381">
        <w:rPr>
          <w:spacing w:val="-9"/>
        </w:rPr>
        <w:t xml:space="preserve"> </w:t>
      </w:r>
      <w:r w:rsidRPr="00A20381">
        <w:t>banking</w:t>
      </w:r>
      <w:r w:rsidRPr="00A20381">
        <w:rPr>
          <w:spacing w:val="-9"/>
        </w:rPr>
        <w:t xml:space="preserve"> </w:t>
      </w:r>
      <w:r w:rsidRPr="00A20381">
        <w:t>system</w:t>
      </w:r>
      <w:r w:rsidRPr="00A20381">
        <w:rPr>
          <w:spacing w:val="-9"/>
        </w:rPr>
        <w:t xml:space="preserve"> </w:t>
      </w:r>
      <w:r w:rsidRPr="00A20381">
        <w:rPr>
          <w:spacing w:val="-3"/>
        </w:rPr>
        <w:t>was</w:t>
      </w:r>
      <w:r w:rsidRPr="00A20381">
        <w:rPr>
          <w:spacing w:val="-10"/>
        </w:rPr>
        <w:t xml:space="preserve"> </w:t>
      </w:r>
      <w:r w:rsidRPr="00A20381">
        <w:t>not</w:t>
      </w:r>
      <w:r w:rsidRPr="00A20381">
        <w:rPr>
          <w:spacing w:val="-8"/>
        </w:rPr>
        <w:t xml:space="preserve"> </w:t>
      </w:r>
      <w:r w:rsidR="00CA3A4E" w:rsidRPr="00A20381">
        <w:rPr>
          <w:spacing w:val="-8"/>
        </w:rPr>
        <w:t xml:space="preserve">yet </w:t>
      </w:r>
      <w:r w:rsidR="00CA3A4E" w:rsidRPr="00A20381">
        <w:t>much</w:t>
      </w:r>
      <w:r w:rsidRPr="00A20381">
        <w:rPr>
          <w:spacing w:val="-9"/>
        </w:rPr>
        <w:t xml:space="preserve"> </w:t>
      </w:r>
      <w:r w:rsidRPr="00A20381">
        <w:t>affected</w:t>
      </w:r>
      <w:r w:rsidRPr="00A20381">
        <w:rPr>
          <w:spacing w:val="-9"/>
        </w:rPr>
        <w:t xml:space="preserve"> </w:t>
      </w:r>
      <w:r w:rsidRPr="00A20381">
        <w:rPr>
          <w:spacing w:val="-3"/>
        </w:rPr>
        <w:t>by</w:t>
      </w:r>
      <w:r w:rsidRPr="00A20381">
        <w:rPr>
          <w:spacing w:val="-10"/>
        </w:rPr>
        <w:t xml:space="preserve"> </w:t>
      </w:r>
      <w:r w:rsidRPr="00A20381">
        <w:t>an</w:t>
      </w:r>
      <w:r w:rsidRPr="00A20381">
        <w:rPr>
          <w:spacing w:val="-9"/>
        </w:rPr>
        <w:t xml:space="preserve"> </w:t>
      </w:r>
      <w:r w:rsidRPr="00A20381">
        <w:t>enormous</w:t>
      </w:r>
      <w:r w:rsidRPr="00A20381">
        <w:rPr>
          <w:spacing w:val="-9"/>
        </w:rPr>
        <w:t xml:space="preserve"> </w:t>
      </w:r>
      <w:r w:rsidRPr="00A20381">
        <w:t>amount</w:t>
      </w:r>
      <w:r w:rsidRPr="00A20381">
        <w:rPr>
          <w:spacing w:val="-9"/>
        </w:rPr>
        <w:t xml:space="preserve"> </w:t>
      </w:r>
      <w:r w:rsidRPr="00A20381">
        <w:t>of</w:t>
      </w:r>
      <w:r w:rsidRPr="00A20381">
        <w:rPr>
          <w:spacing w:val="-9"/>
        </w:rPr>
        <w:t xml:space="preserve"> </w:t>
      </w:r>
      <w:r w:rsidRPr="00A20381">
        <w:t>liquidity</w:t>
      </w:r>
      <w:r w:rsidRPr="00A20381">
        <w:rPr>
          <w:spacing w:val="-10"/>
        </w:rPr>
        <w:t xml:space="preserve"> </w:t>
      </w:r>
      <w:r w:rsidRPr="00A20381">
        <w:t>in circulation, the CDS market has been able to embed more rapidly than the bond market the information on the augmented</w:t>
      </w:r>
      <w:r w:rsidRPr="00A20381">
        <w:rPr>
          <w:spacing w:val="-8"/>
        </w:rPr>
        <w:t xml:space="preserve"> </w:t>
      </w:r>
      <w:r w:rsidRPr="00A20381">
        <w:t>level</w:t>
      </w:r>
      <w:r w:rsidRPr="00A20381">
        <w:rPr>
          <w:spacing w:val="-9"/>
        </w:rPr>
        <w:t xml:space="preserve"> </w:t>
      </w:r>
      <w:r w:rsidRPr="00A20381">
        <w:t>of</w:t>
      </w:r>
      <w:r w:rsidRPr="00A20381">
        <w:rPr>
          <w:spacing w:val="-8"/>
        </w:rPr>
        <w:t xml:space="preserve"> </w:t>
      </w:r>
      <w:r w:rsidRPr="00A20381">
        <w:t>sovereign</w:t>
      </w:r>
      <w:r w:rsidRPr="00A20381">
        <w:rPr>
          <w:spacing w:val="-8"/>
        </w:rPr>
        <w:t xml:space="preserve"> </w:t>
      </w:r>
      <w:r w:rsidRPr="00A20381">
        <w:t>credit</w:t>
      </w:r>
      <w:r w:rsidRPr="00A20381">
        <w:rPr>
          <w:spacing w:val="-8"/>
        </w:rPr>
        <w:t xml:space="preserve"> </w:t>
      </w:r>
      <w:r w:rsidR="00CA3A4E" w:rsidRPr="00A20381">
        <w:t>risk. This result confirm</w:t>
      </w:r>
      <w:r w:rsidRPr="00A20381">
        <w:rPr>
          <w:spacing w:val="-8"/>
        </w:rPr>
        <w:t xml:space="preserve"> </w:t>
      </w:r>
      <w:r w:rsidRPr="00A20381">
        <w:t>its</w:t>
      </w:r>
      <w:r w:rsidRPr="00A20381">
        <w:rPr>
          <w:spacing w:val="-8"/>
        </w:rPr>
        <w:t xml:space="preserve"> </w:t>
      </w:r>
      <w:r w:rsidRPr="00A20381">
        <w:t>superior</w:t>
      </w:r>
      <w:r w:rsidRPr="00A20381">
        <w:rPr>
          <w:spacing w:val="-9"/>
        </w:rPr>
        <w:t xml:space="preserve"> </w:t>
      </w:r>
      <w:r w:rsidRPr="00A20381">
        <w:t>capacity</w:t>
      </w:r>
      <w:r w:rsidRPr="00A20381">
        <w:rPr>
          <w:spacing w:val="-8"/>
        </w:rPr>
        <w:t xml:space="preserve"> </w:t>
      </w:r>
      <w:r w:rsidRPr="00A20381">
        <w:t>in</w:t>
      </w:r>
      <w:r w:rsidRPr="00A20381">
        <w:rPr>
          <w:spacing w:val="-8"/>
        </w:rPr>
        <w:t xml:space="preserve"> </w:t>
      </w:r>
      <w:r w:rsidRPr="00A20381">
        <w:t>the</w:t>
      </w:r>
      <w:r w:rsidRPr="00A20381">
        <w:rPr>
          <w:spacing w:val="-8"/>
        </w:rPr>
        <w:t xml:space="preserve"> </w:t>
      </w:r>
      <w:r w:rsidRPr="00A20381">
        <w:t>credit</w:t>
      </w:r>
      <w:r w:rsidRPr="00A20381">
        <w:rPr>
          <w:spacing w:val="-9"/>
        </w:rPr>
        <w:t xml:space="preserve"> </w:t>
      </w:r>
      <w:r w:rsidRPr="00A20381">
        <w:t>risk</w:t>
      </w:r>
      <w:r w:rsidRPr="00A20381">
        <w:rPr>
          <w:spacing w:val="-8"/>
        </w:rPr>
        <w:t xml:space="preserve"> </w:t>
      </w:r>
      <w:r w:rsidRPr="00A20381">
        <w:t>price</w:t>
      </w:r>
      <w:r w:rsidRPr="00A20381">
        <w:rPr>
          <w:spacing w:val="-8"/>
        </w:rPr>
        <w:t xml:space="preserve"> </w:t>
      </w:r>
      <w:r w:rsidRPr="00A20381">
        <w:t>discovery</w:t>
      </w:r>
      <w:r w:rsidRPr="00A20381">
        <w:rPr>
          <w:spacing w:val="-8"/>
        </w:rPr>
        <w:t xml:space="preserve"> </w:t>
      </w:r>
      <w:r w:rsidRPr="00A20381">
        <w:t>process in</w:t>
      </w:r>
      <w:r w:rsidRPr="00A20381">
        <w:rPr>
          <w:spacing w:val="-7"/>
        </w:rPr>
        <w:t xml:space="preserve"> </w:t>
      </w:r>
      <w:r w:rsidRPr="00A20381">
        <w:t>a</w:t>
      </w:r>
      <w:r w:rsidRPr="00A20381">
        <w:rPr>
          <w:spacing w:val="-7"/>
        </w:rPr>
        <w:t xml:space="preserve"> </w:t>
      </w:r>
      <w:r w:rsidRPr="00A20381">
        <w:t>situation</w:t>
      </w:r>
      <w:r w:rsidRPr="00A20381">
        <w:rPr>
          <w:spacing w:val="-7"/>
        </w:rPr>
        <w:t xml:space="preserve"> </w:t>
      </w:r>
      <w:r w:rsidRPr="00A20381">
        <w:t>of</w:t>
      </w:r>
      <w:r w:rsidRPr="00A20381">
        <w:rPr>
          <w:spacing w:val="-6"/>
        </w:rPr>
        <w:t xml:space="preserve"> </w:t>
      </w:r>
      <w:r w:rsidRPr="00A20381">
        <w:t>normal</w:t>
      </w:r>
      <w:r w:rsidRPr="00A20381">
        <w:rPr>
          <w:spacing w:val="-7"/>
        </w:rPr>
        <w:t xml:space="preserve"> </w:t>
      </w:r>
      <w:r w:rsidRPr="00A20381">
        <w:t>(more</w:t>
      </w:r>
      <w:r w:rsidRPr="00A20381">
        <w:rPr>
          <w:spacing w:val="-7"/>
        </w:rPr>
        <w:t xml:space="preserve"> </w:t>
      </w:r>
      <w:r w:rsidRPr="00A20381">
        <w:t>precisely,</w:t>
      </w:r>
      <w:r w:rsidRPr="00A20381">
        <w:rPr>
          <w:spacing w:val="-6"/>
        </w:rPr>
        <w:t xml:space="preserve"> </w:t>
      </w:r>
      <w:r w:rsidRPr="00A20381">
        <w:t>“partial”)</w:t>
      </w:r>
      <w:r w:rsidRPr="00A20381">
        <w:rPr>
          <w:spacing w:val="-7"/>
        </w:rPr>
        <w:t xml:space="preserve"> </w:t>
      </w:r>
      <w:r w:rsidRPr="00A20381">
        <w:t>functioning</w:t>
      </w:r>
      <w:r w:rsidRPr="00A20381">
        <w:rPr>
          <w:spacing w:val="-7"/>
        </w:rPr>
        <w:t xml:space="preserve"> </w:t>
      </w:r>
      <w:r w:rsidRPr="00A20381">
        <w:t>of</w:t>
      </w:r>
      <w:r w:rsidRPr="00A20381">
        <w:rPr>
          <w:spacing w:val="-6"/>
        </w:rPr>
        <w:t xml:space="preserve"> </w:t>
      </w:r>
      <w:r w:rsidRPr="00A20381">
        <w:t>the</w:t>
      </w:r>
      <w:r w:rsidRPr="00A20381">
        <w:rPr>
          <w:spacing w:val="-7"/>
        </w:rPr>
        <w:t xml:space="preserve"> </w:t>
      </w:r>
      <w:r w:rsidRPr="00A20381">
        <w:t>financial</w:t>
      </w:r>
      <w:r w:rsidRPr="00A20381">
        <w:rPr>
          <w:spacing w:val="-7"/>
        </w:rPr>
        <w:t xml:space="preserve"> </w:t>
      </w:r>
      <w:r w:rsidRPr="00A20381">
        <w:t>markets.</w:t>
      </w:r>
      <w:r w:rsidRPr="00A20381">
        <w:rPr>
          <w:spacing w:val="13"/>
        </w:rPr>
        <w:t xml:space="preserve"> </w:t>
      </w:r>
      <w:r w:rsidRPr="00A20381">
        <w:t>The</w:t>
      </w:r>
      <w:r w:rsidRPr="00A20381">
        <w:rPr>
          <w:spacing w:val="-6"/>
        </w:rPr>
        <w:t xml:space="preserve"> </w:t>
      </w:r>
      <w:r w:rsidRPr="00A20381">
        <w:t>augmented</w:t>
      </w:r>
      <w:r w:rsidRPr="00A20381">
        <w:rPr>
          <w:spacing w:val="-7"/>
        </w:rPr>
        <w:t xml:space="preserve"> </w:t>
      </w:r>
      <w:r w:rsidRPr="00A20381">
        <w:t>sovereign credit</w:t>
      </w:r>
      <w:r w:rsidRPr="00A20381">
        <w:rPr>
          <w:spacing w:val="-14"/>
        </w:rPr>
        <w:t xml:space="preserve"> </w:t>
      </w:r>
      <w:r w:rsidRPr="00A20381">
        <w:t>risk</w:t>
      </w:r>
      <w:r w:rsidRPr="00A20381">
        <w:rPr>
          <w:spacing w:val="-14"/>
        </w:rPr>
        <w:t xml:space="preserve"> </w:t>
      </w:r>
      <w:r w:rsidRPr="00A20381">
        <w:t>level</w:t>
      </w:r>
      <w:r w:rsidRPr="00A20381">
        <w:rPr>
          <w:spacing w:val="-14"/>
        </w:rPr>
        <w:t xml:space="preserve"> </w:t>
      </w:r>
      <w:r w:rsidRPr="00A20381">
        <w:t>caused</w:t>
      </w:r>
      <w:r w:rsidRPr="00A20381">
        <w:rPr>
          <w:spacing w:val="-13"/>
        </w:rPr>
        <w:t xml:space="preserve"> </w:t>
      </w:r>
      <w:r w:rsidRPr="00A20381">
        <w:rPr>
          <w:spacing w:val="-3"/>
        </w:rPr>
        <w:t>by</w:t>
      </w:r>
      <w:r w:rsidRPr="00A20381">
        <w:rPr>
          <w:spacing w:val="-13"/>
        </w:rPr>
        <w:t xml:space="preserve"> </w:t>
      </w:r>
      <w:r w:rsidRPr="00A20381">
        <w:t>the</w:t>
      </w:r>
      <w:r w:rsidRPr="00A20381">
        <w:rPr>
          <w:spacing w:val="-14"/>
        </w:rPr>
        <w:t xml:space="preserve"> </w:t>
      </w:r>
      <w:r w:rsidRPr="00A20381">
        <w:t>banking</w:t>
      </w:r>
      <w:r w:rsidRPr="00A20381">
        <w:rPr>
          <w:spacing w:val="-14"/>
        </w:rPr>
        <w:t xml:space="preserve"> </w:t>
      </w:r>
      <w:r w:rsidRPr="00A20381">
        <w:t>system</w:t>
      </w:r>
      <w:r w:rsidRPr="00A20381">
        <w:rPr>
          <w:spacing w:val="-13"/>
        </w:rPr>
        <w:t xml:space="preserve"> </w:t>
      </w:r>
      <w:r w:rsidRPr="00A20381">
        <w:t>trouble</w:t>
      </w:r>
      <w:r w:rsidRPr="00A20381">
        <w:rPr>
          <w:spacing w:val="-14"/>
        </w:rPr>
        <w:t xml:space="preserve"> </w:t>
      </w:r>
      <w:r w:rsidRPr="00A20381">
        <w:t>depends</w:t>
      </w:r>
      <w:r w:rsidRPr="00A20381">
        <w:rPr>
          <w:spacing w:val="-13"/>
        </w:rPr>
        <w:t xml:space="preserve"> </w:t>
      </w:r>
      <w:r w:rsidRPr="00A20381">
        <w:t>on</w:t>
      </w:r>
      <w:r w:rsidRPr="00A20381">
        <w:rPr>
          <w:spacing w:val="-14"/>
        </w:rPr>
        <w:t xml:space="preserve"> </w:t>
      </w:r>
      <w:r w:rsidRPr="00A20381">
        <w:t>the</w:t>
      </w:r>
      <w:r w:rsidRPr="00A20381">
        <w:rPr>
          <w:spacing w:val="-14"/>
        </w:rPr>
        <w:t xml:space="preserve"> </w:t>
      </w:r>
      <w:r w:rsidRPr="00A20381">
        <w:t>existence</w:t>
      </w:r>
      <w:r w:rsidRPr="00A20381">
        <w:rPr>
          <w:spacing w:val="-13"/>
        </w:rPr>
        <w:t xml:space="preserve"> </w:t>
      </w:r>
      <w:r w:rsidRPr="00A20381">
        <w:t>of</w:t>
      </w:r>
      <w:r w:rsidRPr="00A20381">
        <w:rPr>
          <w:spacing w:val="-14"/>
        </w:rPr>
        <w:t xml:space="preserve"> </w:t>
      </w:r>
      <w:r w:rsidRPr="00A20381">
        <w:t>a</w:t>
      </w:r>
      <w:r w:rsidRPr="00A20381">
        <w:rPr>
          <w:spacing w:val="-13"/>
        </w:rPr>
        <w:t xml:space="preserve"> </w:t>
      </w:r>
      <w:r w:rsidRPr="00A20381">
        <w:t>close</w:t>
      </w:r>
      <w:r w:rsidRPr="00A20381">
        <w:rPr>
          <w:spacing w:val="-13"/>
        </w:rPr>
        <w:t xml:space="preserve"> </w:t>
      </w:r>
      <w:r w:rsidRPr="00A20381">
        <w:t>relationship</w:t>
      </w:r>
      <w:r w:rsidRPr="00A20381">
        <w:rPr>
          <w:spacing w:val="-14"/>
        </w:rPr>
        <w:t xml:space="preserve"> </w:t>
      </w:r>
      <w:r w:rsidRPr="00A20381">
        <w:t>(</w:t>
      </w:r>
      <w:r w:rsidR="00CA3A4E" w:rsidRPr="00A20381">
        <w:t>“</w:t>
      </w:r>
      <w:r w:rsidR="00CA3A4E" w:rsidRPr="00761B7C">
        <w:rPr>
          <w:i/>
        </w:rPr>
        <w:t>doom</w:t>
      </w:r>
      <w:r w:rsidRPr="00761B7C">
        <w:rPr>
          <w:i/>
        </w:rPr>
        <w:t xml:space="preserve"> loop</w:t>
      </w:r>
      <w:r w:rsidRPr="00A20381">
        <w:t xml:space="preserve">”) between State and banking sector. In other terms, the application of the </w:t>
      </w:r>
      <w:r w:rsidR="00CA3A4E" w:rsidRPr="00A20381">
        <w:t>bailout</w:t>
      </w:r>
      <w:r w:rsidRPr="00A20381">
        <w:rPr>
          <w:i/>
        </w:rPr>
        <w:t xml:space="preserve"> </w:t>
      </w:r>
      <w:r w:rsidRPr="00A20381">
        <w:t xml:space="preserve">principle determines the transfer of risk from the latter to the former. </w:t>
      </w:r>
      <w:r w:rsidRPr="00A20381">
        <w:rPr>
          <w:spacing w:val="-3"/>
        </w:rPr>
        <w:t xml:space="preserve">At </w:t>
      </w:r>
      <w:r w:rsidRPr="00A20381">
        <w:t xml:space="preserve">the same time, </w:t>
      </w:r>
      <w:r w:rsidRPr="00A20381">
        <w:rPr>
          <w:spacing w:val="-3"/>
        </w:rPr>
        <w:t xml:space="preserve">however, </w:t>
      </w:r>
      <w:r w:rsidRPr="00A20381">
        <w:t>national banks play a fundamental role in the purchase</w:t>
      </w:r>
      <w:r w:rsidRPr="00A20381">
        <w:rPr>
          <w:spacing w:val="11"/>
        </w:rPr>
        <w:t xml:space="preserve"> </w:t>
      </w:r>
      <w:r w:rsidRPr="00A20381">
        <w:t>of</w:t>
      </w:r>
      <w:r w:rsidRPr="00A20381">
        <w:rPr>
          <w:spacing w:val="12"/>
        </w:rPr>
        <w:t xml:space="preserve"> </w:t>
      </w:r>
      <w:r w:rsidRPr="00A20381">
        <w:t>the</w:t>
      </w:r>
      <w:r w:rsidRPr="00A20381">
        <w:rPr>
          <w:spacing w:val="12"/>
        </w:rPr>
        <w:t xml:space="preserve"> </w:t>
      </w:r>
      <w:r w:rsidRPr="00A20381">
        <w:t>national</w:t>
      </w:r>
      <w:r w:rsidRPr="00A20381">
        <w:rPr>
          <w:spacing w:val="12"/>
        </w:rPr>
        <w:t xml:space="preserve"> </w:t>
      </w:r>
      <w:r w:rsidRPr="00A20381">
        <w:t>bonds,</w:t>
      </w:r>
      <w:r w:rsidRPr="00A20381">
        <w:rPr>
          <w:spacing w:val="12"/>
        </w:rPr>
        <w:t xml:space="preserve"> </w:t>
      </w:r>
      <w:r w:rsidRPr="00A20381">
        <w:t>definitely</w:t>
      </w:r>
      <w:r w:rsidRPr="00A20381">
        <w:rPr>
          <w:spacing w:val="11"/>
        </w:rPr>
        <w:t xml:space="preserve"> </w:t>
      </w:r>
      <w:r w:rsidRPr="00A20381">
        <w:rPr>
          <w:spacing w:val="-3"/>
        </w:rPr>
        <w:t>much</w:t>
      </w:r>
      <w:r w:rsidRPr="00A20381">
        <w:rPr>
          <w:spacing w:val="12"/>
        </w:rPr>
        <w:t xml:space="preserve"> </w:t>
      </w:r>
      <w:r w:rsidRPr="00A20381">
        <w:t>more</w:t>
      </w:r>
      <w:r w:rsidRPr="00A20381">
        <w:rPr>
          <w:spacing w:val="12"/>
        </w:rPr>
        <w:t xml:space="preserve"> </w:t>
      </w:r>
      <w:r w:rsidRPr="00A20381">
        <w:t>than</w:t>
      </w:r>
      <w:r w:rsidRPr="00A20381">
        <w:rPr>
          <w:spacing w:val="12"/>
        </w:rPr>
        <w:t xml:space="preserve"> </w:t>
      </w:r>
      <w:r w:rsidRPr="00A20381">
        <w:t>foreign</w:t>
      </w:r>
      <w:r w:rsidRPr="00A20381">
        <w:rPr>
          <w:spacing w:val="12"/>
        </w:rPr>
        <w:t xml:space="preserve"> </w:t>
      </w:r>
      <w:r w:rsidRPr="00A20381">
        <w:t>banks.</w:t>
      </w:r>
    </w:p>
    <w:p w:rsidR="00333A87" w:rsidRPr="00A20381" w:rsidRDefault="00E85B85" w:rsidP="001A4FB4">
      <w:pPr>
        <w:pStyle w:val="Corpotesto"/>
        <w:spacing w:before="12" w:line="360" w:lineRule="auto"/>
        <w:ind w:left="113"/>
        <w:jc w:val="both"/>
      </w:pPr>
      <w:r w:rsidRPr="00A20381">
        <w:t xml:space="preserve">The period directly following (2010-12) </w:t>
      </w:r>
      <w:r w:rsidRPr="00A20381">
        <w:rPr>
          <w:spacing w:val="-3"/>
        </w:rPr>
        <w:t xml:space="preserve">was </w:t>
      </w:r>
      <w:r w:rsidRPr="00A20381">
        <w:t>very delicate for the Eurozone in general (</w:t>
      </w:r>
      <w:r w:rsidR="001B1A8D" w:rsidRPr="00A20381">
        <w:t>let us</w:t>
      </w:r>
      <w:r w:rsidRPr="00A20381">
        <w:t xml:space="preserve"> remember the famous Greek</w:t>
      </w:r>
      <w:r w:rsidRPr="00A20381">
        <w:rPr>
          <w:spacing w:val="-14"/>
        </w:rPr>
        <w:t xml:space="preserve"> </w:t>
      </w:r>
      <w:r w:rsidRPr="00A20381">
        <w:t>crisis</w:t>
      </w:r>
      <w:r w:rsidRPr="00A20381">
        <w:rPr>
          <w:spacing w:val="-13"/>
        </w:rPr>
        <w:t xml:space="preserve"> </w:t>
      </w:r>
      <w:r w:rsidRPr="00A20381">
        <w:t>between</w:t>
      </w:r>
      <w:r w:rsidRPr="00A20381">
        <w:rPr>
          <w:spacing w:val="-13"/>
        </w:rPr>
        <w:t xml:space="preserve"> </w:t>
      </w:r>
      <w:r w:rsidRPr="00A20381">
        <w:t>2009</w:t>
      </w:r>
      <w:r w:rsidRPr="00A20381">
        <w:rPr>
          <w:spacing w:val="-13"/>
        </w:rPr>
        <w:t xml:space="preserve"> </w:t>
      </w:r>
      <w:r w:rsidRPr="00A20381">
        <w:t>and</w:t>
      </w:r>
      <w:r w:rsidRPr="00A20381">
        <w:rPr>
          <w:spacing w:val="-14"/>
        </w:rPr>
        <w:t xml:space="preserve"> </w:t>
      </w:r>
      <w:r w:rsidRPr="00A20381">
        <w:t>2010),</w:t>
      </w:r>
      <w:r w:rsidRPr="00A20381">
        <w:rPr>
          <w:spacing w:val="-12"/>
        </w:rPr>
        <w:t xml:space="preserve"> </w:t>
      </w:r>
      <w:r w:rsidRPr="00A20381">
        <w:t>but</w:t>
      </w:r>
      <w:r w:rsidRPr="00A20381">
        <w:rPr>
          <w:spacing w:val="-13"/>
        </w:rPr>
        <w:t xml:space="preserve"> </w:t>
      </w:r>
      <w:r w:rsidRPr="00A20381">
        <w:t>in</w:t>
      </w:r>
      <w:r w:rsidRPr="00A20381">
        <w:rPr>
          <w:spacing w:val="-13"/>
        </w:rPr>
        <w:t xml:space="preserve"> </w:t>
      </w:r>
      <w:r w:rsidRPr="00A20381">
        <w:t>particular</w:t>
      </w:r>
      <w:r w:rsidRPr="00A20381">
        <w:rPr>
          <w:spacing w:val="-13"/>
        </w:rPr>
        <w:t xml:space="preserve"> </w:t>
      </w:r>
      <w:r w:rsidRPr="00A20381">
        <w:t>for</w:t>
      </w:r>
      <w:r w:rsidRPr="00A20381">
        <w:rPr>
          <w:spacing w:val="-13"/>
        </w:rPr>
        <w:t xml:space="preserve"> </w:t>
      </w:r>
      <w:r w:rsidRPr="00A20381">
        <w:rPr>
          <w:spacing w:val="-3"/>
        </w:rPr>
        <w:t>Italy.</w:t>
      </w:r>
      <w:r w:rsidRPr="00A20381">
        <w:rPr>
          <w:spacing w:val="5"/>
        </w:rPr>
        <w:t xml:space="preserve"> </w:t>
      </w:r>
      <w:r w:rsidRPr="00A20381">
        <w:t>This</w:t>
      </w:r>
      <w:r w:rsidRPr="00A20381">
        <w:rPr>
          <w:spacing w:val="-13"/>
        </w:rPr>
        <w:t xml:space="preserve"> </w:t>
      </w:r>
      <w:r w:rsidRPr="00A20381">
        <w:t>period</w:t>
      </w:r>
      <w:r w:rsidRPr="00A20381">
        <w:rPr>
          <w:spacing w:val="-13"/>
        </w:rPr>
        <w:t xml:space="preserve"> </w:t>
      </w:r>
      <w:r w:rsidRPr="00A20381">
        <w:t>is</w:t>
      </w:r>
      <w:r w:rsidRPr="00A20381">
        <w:rPr>
          <w:spacing w:val="-13"/>
        </w:rPr>
        <w:t xml:space="preserve"> </w:t>
      </w:r>
      <w:r w:rsidRPr="00A20381">
        <w:t>also</w:t>
      </w:r>
      <w:r w:rsidRPr="00A20381">
        <w:rPr>
          <w:spacing w:val="-14"/>
        </w:rPr>
        <w:t xml:space="preserve"> </w:t>
      </w:r>
      <w:r w:rsidRPr="00A20381">
        <w:t>known</w:t>
      </w:r>
      <w:r w:rsidRPr="00A20381">
        <w:rPr>
          <w:spacing w:val="-13"/>
        </w:rPr>
        <w:t xml:space="preserve"> </w:t>
      </w:r>
      <w:r w:rsidRPr="00A20381">
        <w:t>as</w:t>
      </w:r>
      <w:r w:rsidRPr="00A20381">
        <w:rPr>
          <w:spacing w:val="-14"/>
        </w:rPr>
        <w:t xml:space="preserve"> </w:t>
      </w:r>
      <w:r w:rsidRPr="00A20381">
        <w:t>the</w:t>
      </w:r>
      <w:r w:rsidRPr="00A20381">
        <w:rPr>
          <w:spacing w:val="-13"/>
        </w:rPr>
        <w:t xml:space="preserve"> </w:t>
      </w:r>
      <w:r w:rsidRPr="00A20381">
        <w:t>“years</w:t>
      </w:r>
      <w:r w:rsidRPr="00A20381">
        <w:rPr>
          <w:spacing w:val="-13"/>
        </w:rPr>
        <w:t xml:space="preserve"> </w:t>
      </w:r>
      <w:r w:rsidRPr="00A20381">
        <w:t>of</w:t>
      </w:r>
      <w:r w:rsidRPr="00A20381">
        <w:rPr>
          <w:spacing w:val="-14"/>
        </w:rPr>
        <w:t xml:space="preserve"> </w:t>
      </w:r>
      <w:r w:rsidRPr="00A20381">
        <w:t>sovereign</w:t>
      </w:r>
      <w:r w:rsidR="001B1A8D" w:rsidRPr="00A20381">
        <w:t xml:space="preserve"> debt crisis”</w:t>
      </w:r>
      <w:r w:rsidRPr="00A20381">
        <w:t xml:space="preserve"> in the Eurozone.</w:t>
      </w:r>
      <w:r w:rsidR="001B1A8D" w:rsidRPr="00A20381">
        <w:rPr>
          <w:rStyle w:val="Rimandonotaapidipagina"/>
        </w:rPr>
        <w:footnoteReference w:id="11"/>
      </w:r>
      <w:r w:rsidR="001B1A8D" w:rsidRPr="00A20381">
        <w:rPr>
          <w:position w:val="7"/>
        </w:rPr>
        <w:t xml:space="preserve"> </w:t>
      </w:r>
      <w:r w:rsidR="001B1A8D" w:rsidRPr="00A20381">
        <w:t>However,</w:t>
      </w:r>
      <w:r w:rsidR="001B1A8D" w:rsidRPr="00A20381">
        <w:rPr>
          <w:spacing w:val="-3"/>
        </w:rPr>
        <w:t xml:space="preserve"> </w:t>
      </w:r>
      <w:r w:rsidRPr="00A20381">
        <w:t xml:space="preserve">this historical time </w:t>
      </w:r>
      <w:r w:rsidRPr="00A20381">
        <w:rPr>
          <w:spacing w:val="-3"/>
        </w:rPr>
        <w:t>interval</w:t>
      </w:r>
      <w:r w:rsidRPr="00A20381">
        <w:rPr>
          <w:spacing w:val="44"/>
        </w:rPr>
        <w:t xml:space="preserve"> </w:t>
      </w:r>
      <w:r w:rsidRPr="00A20381">
        <w:rPr>
          <w:spacing w:val="-3"/>
        </w:rPr>
        <w:t>was</w:t>
      </w:r>
      <w:r w:rsidR="00761B7C">
        <w:rPr>
          <w:spacing w:val="44"/>
        </w:rPr>
        <w:t xml:space="preserve"> </w:t>
      </w:r>
      <w:r w:rsidR="00761B7C" w:rsidRPr="00761B7C">
        <w:rPr>
          <w:spacing w:val="-3"/>
        </w:rPr>
        <w:t>very</w:t>
      </w:r>
      <w:r w:rsidRPr="00761B7C">
        <w:rPr>
          <w:spacing w:val="-3"/>
        </w:rPr>
        <w:t xml:space="preserve"> </w:t>
      </w:r>
      <w:r w:rsidRPr="00A20381">
        <w:rPr>
          <w:spacing w:val="-3"/>
        </w:rPr>
        <w:t>relevant</w:t>
      </w:r>
      <w:r w:rsidRPr="00A20381">
        <w:rPr>
          <w:spacing w:val="44"/>
        </w:rPr>
        <w:t xml:space="preserve"> </w:t>
      </w:r>
      <w:r w:rsidR="001B1A8D" w:rsidRPr="00A20381">
        <w:t>for</w:t>
      </w:r>
      <w:r w:rsidRPr="00A20381">
        <w:rPr>
          <w:spacing w:val="17"/>
        </w:rPr>
        <w:t xml:space="preserve"> </w:t>
      </w:r>
      <w:r w:rsidRPr="00A20381">
        <w:t>the</w:t>
      </w:r>
      <w:r w:rsidR="001B1A8D" w:rsidRPr="00A20381">
        <w:t xml:space="preserve"> </w:t>
      </w:r>
      <w:r w:rsidRPr="00A20381">
        <w:t xml:space="preserve">Italian </w:t>
      </w:r>
      <w:r w:rsidRPr="00A20381">
        <w:rPr>
          <w:spacing w:val="-3"/>
        </w:rPr>
        <w:t xml:space="preserve">economy. </w:t>
      </w:r>
      <w:r w:rsidRPr="00A20381">
        <w:t xml:space="preserve">In the summer of the 2011, indeed, the so-called </w:t>
      </w:r>
      <w:r w:rsidRPr="00A20381">
        <w:rPr>
          <w:spacing w:val="-4"/>
        </w:rPr>
        <w:t>"</w:t>
      </w:r>
      <w:r w:rsidRPr="00A20381">
        <w:rPr>
          <w:i/>
          <w:spacing w:val="-4"/>
        </w:rPr>
        <w:t xml:space="preserve">spread </w:t>
      </w:r>
      <w:r w:rsidRPr="00A20381">
        <w:rPr>
          <w:i/>
        </w:rPr>
        <w:t>crisis</w:t>
      </w:r>
      <w:r w:rsidRPr="00A20381">
        <w:t>" exploded (in this context,</w:t>
      </w:r>
      <w:r w:rsidR="001B1A8D" w:rsidRPr="00A20381">
        <w:t xml:space="preserve"> the </w:t>
      </w:r>
      <w:r w:rsidRPr="00A20381">
        <w:t>term "spread" refers to the differential between the 10-year BTP yield and that of the 10</w:t>
      </w:r>
      <w:r w:rsidR="00761B7C">
        <w:t xml:space="preserve">-year Bund) and hit the </w:t>
      </w:r>
      <w:r w:rsidRPr="00A20381">
        <w:rPr>
          <w:spacing w:val="-3"/>
        </w:rPr>
        <w:t>country</w:t>
      </w:r>
      <w:r w:rsidR="00761B7C">
        <w:rPr>
          <w:spacing w:val="-3"/>
        </w:rPr>
        <w:t xml:space="preserve"> of Italy</w:t>
      </w:r>
      <w:r w:rsidRPr="00A20381">
        <w:rPr>
          <w:spacing w:val="-3"/>
        </w:rPr>
        <w:t>.</w:t>
      </w:r>
      <w:r w:rsidR="001B1A8D" w:rsidRPr="00A20381">
        <w:rPr>
          <w:rStyle w:val="Rimandonotaapidipagina"/>
          <w:spacing w:val="-3"/>
        </w:rPr>
        <w:footnoteReference w:id="12"/>
      </w:r>
      <w:r w:rsidR="001B1A8D" w:rsidRPr="00A20381">
        <w:rPr>
          <w:spacing w:val="-3"/>
          <w:position w:val="7"/>
        </w:rPr>
        <w:t xml:space="preserve"> </w:t>
      </w:r>
      <w:r w:rsidRPr="00A20381">
        <w:t xml:space="preserve">The fundamental aspect that should </w:t>
      </w:r>
      <w:r w:rsidRPr="00A20381">
        <w:rPr>
          <w:spacing w:val="2"/>
        </w:rPr>
        <w:t xml:space="preserve">be </w:t>
      </w:r>
      <w:r w:rsidRPr="00A20381">
        <w:t>noted is that the risk a</w:t>
      </w:r>
      <w:r w:rsidR="00761B7C">
        <w:t>ssociated with the spread level</w:t>
      </w:r>
      <w:r w:rsidRPr="00A20381">
        <w:t xml:space="preserve"> is not a pure </w:t>
      </w:r>
      <w:r w:rsidRPr="00A20381">
        <w:rPr>
          <w:i/>
          <w:spacing w:val="-4"/>
        </w:rPr>
        <w:t xml:space="preserve">credit  </w:t>
      </w:r>
      <w:r w:rsidRPr="00A20381">
        <w:rPr>
          <w:i/>
        </w:rPr>
        <w:t xml:space="preserve">risk  </w:t>
      </w:r>
      <w:r w:rsidRPr="00A20381">
        <w:lastRenderedPageBreak/>
        <w:t xml:space="preserve">(as measured </w:t>
      </w:r>
      <w:r w:rsidRPr="00A20381">
        <w:rPr>
          <w:spacing w:val="-3"/>
        </w:rPr>
        <w:t xml:space="preserve">by  </w:t>
      </w:r>
      <w:r w:rsidRPr="00A20381">
        <w:t>the hazard rate level of the CDS instrument), but it is also a measure</w:t>
      </w:r>
      <w:r w:rsidR="001B1A8D" w:rsidRPr="00A20381">
        <w:t xml:space="preserve"> </w:t>
      </w:r>
      <w:r w:rsidRPr="00A20381">
        <w:t xml:space="preserve">of </w:t>
      </w:r>
      <w:r w:rsidRPr="00A20381">
        <w:rPr>
          <w:i/>
        </w:rPr>
        <w:t>debt redenomination risk</w:t>
      </w:r>
      <w:r w:rsidRPr="00A20381">
        <w:t xml:space="preserve">, that is the risk that Euro Area sovereign debt could </w:t>
      </w:r>
      <w:r w:rsidRPr="00A20381">
        <w:rPr>
          <w:spacing w:val="2"/>
        </w:rPr>
        <w:t xml:space="preserve">be </w:t>
      </w:r>
      <w:r w:rsidRPr="00A20381">
        <w:t>redenominated into new local currencies.</w:t>
      </w:r>
      <w:r w:rsidRPr="00A20381">
        <w:rPr>
          <w:spacing w:val="49"/>
        </w:rPr>
        <w:t xml:space="preserve"> </w:t>
      </w:r>
      <w:r w:rsidRPr="00A20381">
        <w:t>Nevertheless,</w:t>
      </w:r>
      <w:r w:rsidRPr="00A20381">
        <w:rPr>
          <w:spacing w:val="12"/>
        </w:rPr>
        <w:t xml:space="preserve"> </w:t>
      </w:r>
      <w:r w:rsidRPr="00A20381">
        <w:t>in</w:t>
      </w:r>
      <w:r w:rsidRPr="00A20381">
        <w:rPr>
          <w:spacing w:val="7"/>
        </w:rPr>
        <w:t xml:space="preserve"> </w:t>
      </w:r>
      <w:r w:rsidRPr="00A20381">
        <w:t>November</w:t>
      </w:r>
      <w:r w:rsidRPr="00A20381">
        <w:rPr>
          <w:spacing w:val="9"/>
        </w:rPr>
        <w:t xml:space="preserve"> </w:t>
      </w:r>
      <w:r w:rsidRPr="00A20381">
        <w:t>2011</w:t>
      </w:r>
      <w:r w:rsidRPr="00A20381">
        <w:rPr>
          <w:spacing w:val="8"/>
        </w:rPr>
        <w:t xml:space="preserve"> </w:t>
      </w:r>
      <w:r w:rsidRPr="00A20381">
        <w:t>the</w:t>
      </w:r>
      <w:r w:rsidRPr="00A20381">
        <w:rPr>
          <w:spacing w:val="8"/>
        </w:rPr>
        <w:t xml:space="preserve"> </w:t>
      </w:r>
      <w:r w:rsidRPr="00A20381">
        <w:t>high</w:t>
      </w:r>
      <w:r w:rsidRPr="00A20381">
        <w:rPr>
          <w:spacing w:val="8"/>
        </w:rPr>
        <w:t xml:space="preserve"> </w:t>
      </w:r>
      <w:r w:rsidRPr="00A20381">
        <w:t>spread</w:t>
      </w:r>
      <w:r w:rsidRPr="00A20381">
        <w:rPr>
          <w:spacing w:val="9"/>
        </w:rPr>
        <w:t xml:space="preserve"> </w:t>
      </w:r>
      <w:r w:rsidRPr="00A20381">
        <w:t>level</w:t>
      </w:r>
      <w:r w:rsidRPr="00A20381">
        <w:rPr>
          <w:spacing w:val="8"/>
        </w:rPr>
        <w:t xml:space="preserve"> </w:t>
      </w:r>
      <w:r w:rsidRPr="00A20381">
        <w:rPr>
          <w:spacing w:val="-3"/>
        </w:rPr>
        <w:t>was</w:t>
      </w:r>
      <w:r w:rsidRPr="00A20381">
        <w:rPr>
          <w:spacing w:val="8"/>
        </w:rPr>
        <w:t xml:space="preserve"> </w:t>
      </w:r>
      <w:r w:rsidRPr="00A20381">
        <w:t>perceived</w:t>
      </w:r>
      <w:r w:rsidRPr="00A20381">
        <w:rPr>
          <w:spacing w:val="8"/>
        </w:rPr>
        <w:t xml:space="preserve"> </w:t>
      </w:r>
      <w:r w:rsidRPr="00A20381">
        <w:t>as</w:t>
      </w:r>
      <w:r w:rsidRPr="00A20381">
        <w:rPr>
          <w:spacing w:val="9"/>
        </w:rPr>
        <w:t xml:space="preserve"> </w:t>
      </w:r>
      <w:r w:rsidR="00761B7C">
        <w:t>a</w:t>
      </w:r>
      <w:r w:rsidRPr="00A20381">
        <w:rPr>
          <w:spacing w:val="8"/>
        </w:rPr>
        <w:t xml:space="preserve"> </w:t>
      </w:r>
      <w:r w:rsidRPr="00A20381">
        <w:t>probable</w:t>
      </w:r>
      <w:r w:rsidRPr="00A20381">
        <w:rPr>
          <w:spacing w:val="8"/>
        </w:rPr>
        <w:t xml:space="preserve"> </w:t>
      </w:r>
      <w:r w:rsidRPr="00A20381">
        <w:t>Italian</w:t>
      </w:r>
      <w:r w:rsidRPr="00A20381">
        <w:rPr>
          <w:spacing w:val="8"/>
        </w:rPr>
        <w:t xml:space="preserve"> </w:t>
      </w:r>
      <w:r w:rsidRPr="00A20381">
        <w:t>default</w:t>
      </w:r>
      <w:r w:rsidR="001B1A8D" w:rsidRPr="00A20381">
        <w:t xml:space="preserve"> </w:t>
      </w:r>
      <w:r w:rsidRPr="00A20381">
        <w:t>(the spread comes to touch the historical record of 574 basis points!).</w:t>
      </w:r>
      <w:r w:rsidR="004543CD" w:rsidRPr="00A20381">
        <w:rPr>
          <w:rStyle w:val="Rimandonotaapidipagina"/>
        </w:rPr>
        <w:footnoteReference w:id="13"/>
      </w:r>
      <w:r w:rsidRPr="00A20381">
        <w:rPr>
          <w:position w:val="7"/>
          <w:sz w:val="14"/>
        </w:rPr>
        <w:t xml:space="preserve"> </w:t>
      </w:r>
      <w:r w:rsidRPr="00A20381">
        <w:t xml:space="preserve">A situation of reversal capital flow </w:t>
      </w:r>
      <w:r w:rsidRPr="00A20381">
        <w:rPr>
          <w:spacing w:val="-3"/>
        </w:rPr>
        <w:t xml:space="preserve">was </w:t>
      </w:r>
      <w:r w:rsidRPr="00A20381">
        <w:t xml:space="preserve">easily predictable </w:t>
      </w:r>
      <w:r w:rsidR="001B1A8D" w:rsidRPr="00A20381">
        <w:t>because</w:t>
      </w:r>
      <w:r w:rsidRPr="00A20381">
        <w:t xml:space="preserve"> almost half of the Italian public debt </w:t>
      </w:r>
      <w:r w:rsidRPr="00A20381">
        <w:rPr>
          <w:spacing w:val="-3"/>
        </w:rPr>
        <w:t xml:space="preserve">was </w:t>
      </w:r>
      <w:r w:rsidRPr="00A20381">
        <w:t>in foreign hands. Italian banks, moreover, were having trou</w:t>
      </w:r>
      <w:r w:rsidR="00761B7C">
        <w:t>ble</w:t>
      </w:r>
      <w:r w:rsidRPr="00A20381">
        <w:t xml:space="preserve"> raising funds on institutional markets because of </w:t>
      </w:r>
      <w:r w:rsidRPr="00A20381">
        <w:rPr>
          <w:i/>
          <w:spacing w:val="-4"/>
        </w:rPr>
        <w:t xml:space="preserve">spread </w:t>
      </w:r>
      <w:r w:rsidRPr="00A20381">
        <w:rPr>
          <w:i/>
        </w:rPr>
        <w:t xml:space="preserve">crisis </w:t>
      </w:r>
      <w:r w:rsidRPr="00A20381">
        <w:t xml:space="preserve">and they tried to collect capital mainly from retail customers. </w:t>
      </w:r>
      <w:r w:rsidR="00384594">
        <w:t>A</w:t>
      </w:r>
      <w:r w:rsidR="00384594" w:rsidRPr="00A20381">
        <w:t>t that time</w:t>
      </w:r>
      <w:r w:rsidR="00384594">
        <w:t>, the real problem was the</w:t>
      </w:r>
      <w:r w:rsidRPr="00A20381">
        <w:t xml:space="preserve"> </w:t>
      </w:r>
      <w:r w:rsidRPr="00A20381">
        <w:rPr>
          <w:spacing w:val="-6"/>
        </w:rPr>
        <w:t xml:space="preserve">need </w:t>
      </w:r>
      <w:r w:rsidRPr="00A20381">
        <w:t>for liquidity</w:t>
      </w:r>
      <w:r w:rsidR="00384594">
        <w:t>; it was not</w:t>
      </w:r>
      <w:r w:rsidRPr="00A20381">
        <w:t xml:space="preserve"> a solvency </w:t>
      </w:r>
      <w:r w:rsidR="00384594">
        <w:t>problem, even though the bond market was</w:t>
      </w:r>
      <w:r w:rsidRPr="00A20381">
        <w:t xml:space="preserve"> very thin. Although the higher</w:t>
      </w:r>
      <w:r w:rsidRPr="00A20381">
        <w:rPr>
          <w:spacing w:val="-19"/>
        </w:rPr>
        <w:t xml:space="preserve"> </w:t>
      </w:r>
      <w:r w:rsidRPr="00A20381">
        <w:t>Italian</w:t>
      </w:r>
      <w:r w:rsidRPr="00A20381">
        <w:rPr>
          <w:spacing w:val="-19"/>
        </w:rPr>
        <w:t xml:space="preserve"> </w:t>
      </w:r>
      <w:r w:rsidRPr="00A20381">
        <w:t>sovereign</w:t>
      </w:r>
      <w:r w:rsidRPr="00A20381">
        <w:rPr>
          <w:spacing w:val="-18"/>
        </w:rPr>
        <w:t xml:space="preserve"> </w:t>
      </w:r>
      <w:r w:rsidRPr="00A20381">
        <w:t>risk</w:t>
      </w:r>
      <w:r w:rsidRPr="00A20381">
        <w:rPr>
          <w:spacing w:val="-19"/>
        </w:rPr>
        <w:t xml:space="preserve"> </w:t>
      </w:r>
      <w:r w:rsidR="00384594">
        <w:rPr>
          <w:spacing w:val="-3"/>
        </w:rPr>
        <w:t>was</w:t>
      </w:r>
      <w:r w:rsidR="00C677BE">
        <w:rPr>
          <w:spacing w:val="-3"/>
        </w:rPr>
        <w:t xml:space="preserve"> </w:t>
      </w:r>
      <w:r w:rsidRPr="00A20381">
        <w:t>captured</w:t>
      </w:r>
      <w:r w:rsidRPr="00A20381">
        <w:rPr>
          <w:spacing w:val="-19"/>
        </w:rPr>
        <w:t xml:space="preserve"> </w:t>
      </w:r>
      <w:r w:rsidRPr="00A20381">
        <w:rPr>
          <w:spacing w:val="-3"/>
        </w:rPr>
        <w:t>by</w:t>
      </w:r>
      <w:r w:rsidRPr="00A20381">
        <w:rPr>
          <w:spacing w:val="-18"/>
        </w:rPr>
        <w:t xml:space="preserve"> </w:t>
      </w:r>
      <w:r w:rsidRPr="00A20381">
        <w:t>the</w:t>
      </w:r>
      <w:r w:rsidRPr="00A20381">
        <w:rPr>
          <w:spacing w:val="-19"/>
        </w:rPr>
        <w:t xml:space="preserve"> </w:t>
      </w:r>
      <w:r w:rsidRPr="00A20381">
        <w:t>increasing</w:t>
      </w:r>
      <w:r w:rsidRPr="00A20381">
        <w:rPr>
          <w:spacing w:val="-18"/>
        </w:rPr>
        <w:t xml:space="preserve"> </w:t>
      </w:r>
      <w:r w:rsidRPr="00A20381">
        <w:t>Italian</w:t>
      </w:r>
      <w:r w:rsidRPr="00A20381">
        <w:rPr>
          <w:spacing w:val="-19"/>
        </w:rPr>
        <w:t xml:space="preserve"> </w:t>
      </w:r>
      <w:r w:rsidRPr="00A20381">
        <w:t>sovereign</w:t>
      </w:r>
      <w:r w:rsidRPr="00A20381">
        <w:rPr>
          <w:spacing w:val="-18"/>
        </w:rPr>
        <w:t xml:space="preserve"> </w:t>
      </w:r>
      <w:r w:rsidRPr="00A20381">
        <w:t>CDS</w:t>
      </w:r>
      <w:r w:rsidRPr="00A20381">
        <w:rPr>
          <w:spacing w:val="-19"/>
        </w:rPr>
        <w:t xml:space="preserve"> </w:t>
      </w:r>
      <w:r w:rsidRPr="00A20381">
        <w:t>spreads,</w:t>
      </w:r>
      <w:r w:rsidRPr="00A20381">
        <w:rPr>
          <w:spacing w:val="-17"/>
        </w:rPr>
        <w:t xml:space="preserve"> </w:t>
      </w:r>
      <w:r w:rsidRPr="00A20381">
        <w:t>the</w:t>
      </w:r>
      <w:r w:rsidRPr="00A20381">
        <w:rPr>
          <w:spacing w:val="-19"/>
        </w:rPr>
        <w:t xml:space="preserve"> </w:t>
      </w:r>
      <w:r w:rsidRPr="00A20381">
        <w:t>attention</w:t>
      </w:r>
      <w:r w:rsidRPr="00A20381">
        <w:rPr>
          <w:spacing w:val="-18"/>
        </w:rPr>
        <w:t xml:space="preserve"> </w:t>
      </w:r>
      <w:r w:rsidRPr="00A20381">
        <w:t>of</w:t>
      </w:r>
      <w:r w:rsidRPr="00A20381">
        <w:rPr>
          <w:spacing w:val="-19"/>
        </w:rPr>
        <w:t xml:space="preserve"> </w:t>
      </w:r>
      <w:r w:rsidRPr="00A20381">
        <w:t>financial investors</w:t>
      </w:r>
      <w:r w:rsidRPr="00A20381">
        <w:rPr>
          <w:spacing w:val="-14"/>
        </w:rPr>
        <w:t xml:space="preserve"> </w:t>
      </w:r>
      <w:r w:rsidRPr="00A20381">
        <w:t>and</w:t>
      </w:r>
      <w:r w:rsidRPr="00A20381">
        <w:rPr>
          <w:spacing w:val="-14"/>
        </w:rPr>
        <w:t xml:space="preserve"> </w:t>
      </w:r>
      <w:r w:rsidR="00626E34" w:rsidRPr="00A20381">
        <w:rPr>
          <w:spacing w:val="-14"/>
        </w:rPr>
        <w:t xml:space="preserve">foreign </w:t>
      </w:r>
      <w:r w:rsidR="00626E34" w:rsidRPr="00A20381">
        <w:t>g</w:t>
      </w:r>
      <w:r w:rsidRPr="00A20381">
        <w:t>overnments</w:t>
      </w:r>
      <w:r w:rsidRPr="00A20381">
        <w:rPr>
          <w:spacing w:val="-13"/>
        </w:rPr>
        <w:t xml:space="preserve"> </w:t>
      </w:r>
      <w:r w:rsidRPr="00A20381">
        <w:t>remained</w:t>
      </w:r>
      <w:r w:rsidRPr="00A20381">
        <w:rPr>
          <w:spacing w:val="-14"/>
        </w:rPr>
        <w:t xml:space="preserve"> </w:t>
      </w:r>
      <w:r w:rsidRPr="00A20381">
        <w:t>the</w:t>
      </w:r>
      <w:r w:rsidRPr="00A20381">
        <w:rPr>
          <w:spacing w:val="-14"/>
        </w:rPr>
        <w:t xml:space="preserve"> </w:t>
      </w:r>
      <w:r w:rsidRPr="00A20381">
        <w:t>bond</w:t>
      </w:r>
      <w:r w:rsidRPr="00A20381">
        <w:rPr>
          <w:spacing w:val="-13"/>
        </w:rPr>
        <w:t xml:space="preserve"> </w:t>
      </w:r>
      <w:r w:rsidRPr="00A20381">
        <w:t>spread</w:t>
      </w:r>
      <w:r w:rsidRPr="00A20381">
        <w:rPr>
          <w:spacing w:val="-14"/>
        </w:rPr>
        <w:t xml:space="preserve"> </w:t>
      </w:r>
      <w:r w:rsidRPr="00A20381">
        <w:t>level.</w:t>
      </w:r>
      <w:r w:rsidRPr="00A20381">
        <w:rPr>
          <w:spacing w:val="-1"/>
        </w:rPr>
        <w:t xml:space="preserve"> </w:t>
      </w:r>
      <w:r w:rsidRPr="00A20381">
        <w:t>Reported</w:t>
      </w:r>
      <w:r w:rsidRPr="00A20381">
        <w:rPr>
          <w:spacing w:val="-14"/>
        </w:rPr>
        <w:t xml:space="preserve"> </w:t>
      </w:r>
      <w:r w:rsidRPr="00A20381">
        <w:t>results</w:t>
      </w:r>
      <w:r w:rsidRPr="00A20381">
        <w:rPr>
          <w:spacing w:val="-14"/>
        </w:rPr>
        <w:t xml:space="preserve"> </w:t>
      </w:r>
      <w:r w:rsidRPr="00A20381">
        <w:t>for</w:t>
      </w:r>
      <w:r w:rsidRPr="00A20381">
        <w:rPr>
          <w:spacing w:val="-13"/>
        </w:rPr>
        <w:t xml:space="preserve"> </w:t>
      </w:r>
      <w:r w:rsidRPr="00A20381">
        <w:t>the</w:t>
      </w:r>
      <w:r w:rsidRPr="00A20381">
        <w:rPr>
          <w:spacing w:val="-14"/>
        </w:rPr>
        <w:t xml:space="preserve"> </w:t>
      </w:r>
      <w:r w:rsidRPr="00A20381">
        <w:t>period</w:t>
      </w:r>
      <w:r w:rsidRPr="00A20381">
        <w:rPr>
          <w:spacing w:val="-14"/>
        </w:rPr>
        <w:t xml:space="preserve"> </w:t>
      </w:r>
      <w:r w:rsidRPr="00A20381">
        <w:t>2010-12,</w:t>
      </w:r>
      <w:r w:rsidRPr="00A20381">
        <w:rPr>
          <w:spacing w:val="-13"/>
        </w:rPr>
        <w:t xml:space="preserve"> </w:t>
      </w:r>
      <w:r w:rsidRPr="00A20381">
        <w:t>indeed,</w:t>
      </w:r>
      <w:r w:rsidRPr="00A20381">
        <w:rPr>
          <w:spacing w:val="-14"/>
        </w:rPr>
        <w:t xml:space="preserve"> </w:t>
      </w:r>
      <w:r w:rsidRPr="00A20381">
        <w:t>show that</w:t>
      </w:r>
      <w:r w:rsidRPr="00A20381">
        <w:rPr>
          <w:spacing w:val="-4"/>
        </w:rPr>
        <w:t xml:space="preserve"> </w:t>
      </w:r>
      <w:r w:rsidRPr="00A20381">
        <w:t>the</w:t>
      </w:r>
      <w:r w:rsidRPr="00A20381">
        <w:rPr>
          <w:spacing w:val="-4"/>
        </w:rPr>
        <w:t xml:space="preserve"> </w:t>
      </w:r>
      <w:r w:rsidRPr="00A20381">
        <w:rPr>
          <w:spacing w:val="-3"/>
        </w:rPr>
        <w:t>bond</w:t>
      </w:r>
      <w:r w:rsidRPr="00A20381">
        <w:rPr>
          <w:spacing w:val="19"/>
        </w:rPr>
        <w:t xml:space="preserve"> </w:t>
      </w:r>
      <w:r w:rsidRPr="00A20381">
        <w:t>market</w:t>
      </w:r>
      <w:r w:rsidRPr="00A20381">
        <w:rPr>
          <w:spacing w:val="-3"/>
        </w:rPr>
        <w:t xml:space="preserve"> (</w:t>
      </w:r>
      <w:r w:rsidRPr="00A20381">
        <w:rPr>
          <w:i/>
          <w:spacing w:val="-3"/>
        </w:rPr>
        <w:t>lead</w:t>
      </w:r>
      <w:r w:rsidRPr="00A20381">
        <w:t>)</w:t>
      </w:r>
      <w:r w:rsidRPr="00A20381">
        <w:rPr>
          <w:spacing w:val="-4"/>
        </w:rPr>
        <w:t xml:space="preserve"> </w:t>
      </w:r>
      <w:r w:rsidRPr="00A20381">
        <w:t>embodied</w:t>
      </w:r>
      <w:r w:rsidRPr="00A20381">
        <w:rPr>
          <w:spacing w:val="-3"/>
        </w:rPr>
        <w:t xml:space="preserve"> </w:t>
      </w:r>
      <w:r w:rsidRPr="00A20381">
        <w:t>more</w:t>
      </w:r>
      <w:r w:rsidRPr="00A20381">
        <w:rPr>
          <w:spacing w:val="-4"/>
        </w:rPr>
        <w:t xml:space="preserve"> </w:t>
      </w:r>
      <w:r w:rsidRPr="00A20381">
        <w:t>rapidly</w:t>
      </w:r>
      <w:r w:rsidRPr="00A20381">
        <w:rPr>
          <w:spacing w:val="-3"/>
        </w:rPr>
        <w:t xml:space="preserve"> </w:t>
      </w:r>
      <w:r w:rsidRPr="00A20381">
        <w:t>the</w:t>
      </w:r>
      <w:r w:rsidRPr="00A20381">
        <w:rPr>
          <w:spacing w:val="-4"/>
        </w:rPr>
        <w:t xml:space="preserve"> </w:t>
      </w:r>
      <w:r w:rsidRPr="00A20381">
        <w:t>credit</w:t>
      </w:r>
      <w:r w:rsidRPr="00A20381">
        <w:rPr>
          <w:spacing w:val="-3"/>
        </w:rPr>
        <w:t xml:space="preserve"> </w:t>
      </w:r>
      <w:r w:rsidRPr="00A20381">
        <w:t>risk</w:t>
      </w:r>
      <w:r w:rsidRPr="00A20381">
        <w:rPr>
          <w:spacing w:val="-4"/>
        </w:rPr>
        <w:t xml:space="preserve"> </w:t>
      </w:r>
      <w:r w:rsidRPr="00A20381">
        <w:t>information</w:t>
      </w:r>
      <w:r w:rsidRPr="00A20381">
        <w:rPr>
          <w:spacing w:val="-3"/>
        </w:rPr>
        <w:t xml:space="preserve"> </w:t>
      </w:r>
      <w:r w:rsidRPr="00A20381">
        <w:t>than</w:t>
      </w:r>
      <w:r w:rsidRPr="00A20381">
        <w:rPr>
          <w:spacing w:val="-4"/>
        </w:rPr>
        <w:t xml:space="preserve"> </w:t>
      </w:r>
      <w:r w:rsidRPr="00A20381">
        <w:t>the</w:t>
      </w:r>
      <w:r w:rsidRPr="00A20381">
        <w:rPr>
          <w:spacing w:val="-3"/>
        </w:rPr>
        <w:t xml:space="preserve"> </w:t>
      </w:r>
      <w:r w:rsidRPr="00A20381">
        <w:rPr>
          <w:i/>
        </w:rPr>
        <w:t>CDS</w:t>
      </w:r>
      <w:r w:rsidRPr="00A20381">
        <w:rPr>
          <w:i/>
          <w:spacing w:val="22"/>
        </w:rPr>
        <w:t xml:space="preserve"> </w:t>
      </w:r>
      <w:r w:rsidRPr="00A20381">
        <w:t>market</w:t>
      </w:r>
      <w:r w:rsidRPr="00A20381">
        <w:rPr>
          <w:spacing w:val="-4"/>
        </w:rPr>
        <w:t xml:space="preserve"> </w:t>
      </w:r>
      <w:r w:rsidRPr="00A20381">
        <w:t>(</w:t>
      </w:r>
      <w:r w:rsidRPr="00A20381">
        <w:rPr>
          <w:i/>
        </w:rPr>
        <w:t>lag</w:t>
      </w:r>
      <w:r w:rsidRPr="00A20381">
        <w:t>)</w:t>
      </w:r>
      <w:r w:rsidRPr="00A20381">
        <w:rPr>
          <w:spacing w:val="-4"/>
        </w:rPr>
        <w:t xml:space="preserve"> </w:t>
      </w:r>
      <w:r w:rsidRPr="00A20381">
        <w:t>and</w:t>
      </w:r>
      <w:r w:rsidRPr="00A20381">
        <w:rPr>
          <w:spacing w:val="-3"/>
        </w:rPr>
        <w:t xml:space="preserve"> </w:t>
      </w:r>
      <w:r w:rsidRPr="00A20381">
        <w:t xml:space="preserve">that the latter </w:t>
      </w:r>
      <w:r w:rsidRPr="00A20381">
        <w:rPr>
          <w:spacing w:val="-3"/>
        </w:rPr>
        <w:t xml:space="preserve">moved </w:t>
      </w:r>
      <w:r w:rsidRPr="00A20381">
        <w:t xml:space="preserve">in the direction to restore the long-run equilibrium relationship. </w:t>
      </w:r>
      <w:r w:rsidRPr="00A20381">
        <w:rPr>
          <w:spacing w:val="-3"/>
        </w:rPr>
        <w:t xml:space="preserve">Why </w:t>
      </w:r>
      <w:r w:rsidRPr="00A20381">
        <w:t xml:space="preserve">do </w:t>
      </w:r>
      <w:r w:rsidRPr="00A20381">
        <w:rPr>
          <w:spacing w:val="-3"/>
        </w:rPr>
        <w:t xml:space="preserve">we </w:t>
      </w:r>
      <w:r w:rsidRPr="00A20381">
        <w:t>obtain this result? In that period, the CDS market stopped working: the trade levels were extremely limited (almost no</w:t>
      </w:r>
      <w:r w:rsidR="00384594">
        <w:t>n-existent) because of the scarcity</w:t>
      </w:r>
      <w:r w:rsidRPr="00A20381">
        <w:t xml:space="preserve"> of investors to incur the counterparty risk as well as the illiquidity of this instrument. As a result, the CDS market </w:t>
      </w:r>
      <w:r w:rsidRPr="00A20381">
        <w:rPr>
          <w:spacing w:val="-3"/>
        </w:rPr>
        <w:t xml:space="preserve">was </w:t>
      </w:r>
      <w:r w:rsidR="00384594">
        <w:t>no longer</w:t>
      </w:r>
      <w:r w:rsidRPr="00A20381">
        <w:t xml:space="preserve"> a reliable indicator of sovereign credit risk. Given that the true point </w:t>
      </w:r>
      <w:r w:rsidR="00626E34" w:rsidRPr="00A20381">
        <w:rPr>
          <w:spacing w:val="-3"/>
        </w:rPr>
        <w:t xml:space="preserve">was </w:t>
      </w:r>
      <w:r w:rsidRPr="00A20381">
        <w:t>the</w:t>
      </w:r>
      <w:r w:rsidRPr="00A20381">
        <w:rPr>
          <w:spacing w:val="5"/>
        </w:rPr>
        <w:t xml:space="preserve"> </w:t>
      </w:r>
      <w:r w:rsidRPr="00A20381">
        <w:t>necessity</w:t>
      </w:r>
      <w:r w:rsidRPr="00A20381">
        <w:rPr>
          <w:spacing w:val="6"/>
        </w:rPr>
        <w:t xml:space="preserve"> </w:t>
      </w:r>
      <w:r w:rsidRPr="00A20381">
        <w:t>of</w:t>
      </w:r>
      <w:r w:rsidRPr="00A20381">
        <w:rPr>
          <w:spacing w:val="6"/>
        </w:rPr>
        <w:t xml:space="preserve"> </w:t>
      </w:r>
      <w:r w:rsidRPr="00A20381">
        <w:t>liquidity</w:t>
      </w:r>
      <w:r w:rsidRPr="00A20381">
        <w:rPr>
          <w:spacing w:val="6"/>
        </w:rPr>
        <w:t xml:space="preserve"> </w:t>
      </w:r>
      <w:r w:rsidRPr="00A20381">
        <w:t>for</w:t>
      </w:r>
      <w:r w:rsidRPr="00A20381">
        <w:rPr>
          <w:spacing w:val="6"/>
        </w:rPr>
        <w:t xml:space="preserve"> </w:t>
      </w:r>
      <w:r w:rsidRPr="00A20381">
        <w:t>Italy</w:t>
      </w:r>
      <w:r w:rsidRPr="00A20381">
        <w:rPr>
          <w:spacing w:val="6"/>
        </w:rPr>
        <w:t xml:space="preserve"> </w:t>
      </w:r>
      <w:r w:rsidRPr="00A20381">
        <w:t>(and</w:t>
      </w:r>
      <w:r w:rsidRPr="00A20381">
        <w:rPr>
          <w:spacing w:val="6"/>
        </w:rPr>
        <w:t xml:space="preserve"> </w:t>
      </w:r>
      <w:r w:rsidRPr="00A20381">
        <w:t>Spain),</w:t>
      </w:r>
      <w:r w:rsidRPr="00A20381">
        <w:rPr>
          <w:spacing w:val="6"/>
        </w:rPr>
        <w:t xml:space="preserve"> </w:t>
      </w:r>
      <w:r w:rsidRPr="00A20381">
        <w:t>in</w:t>
      </w:r>
      <w:r w:rsidRPr="00A20381">
        <w:rPr>
          <w:spacing w:val="6"/>
        </w:rPr>
        <w:t xml:space="preserve"> </w:t>
      </w:r>
      <w:r w:rsidRPr="00A20381">
        <w:t>order</w:t>
      </w:r>
      <w:r w:rsidRPr="00A20381">
        <w:rPr>
          <w:spacing w:val="6"/>
        </w:rPr>
        <w:t xml:space="preserve"> </w:t>
      </w:r>
      <w:r w:rsidRPr="00A20381">
        <w:t>to</w:t>
      </w:r>
      <w:r w:rsidRPr="00A20381">
        <w:rPr>
          <w:spacing w:val="6"/>
        </w:rPr>
        <w:t xml:space="preserve"> </w:t>
      </w:r>
      <w:r w:rsidRPr="00A20381">
        <w:rPr>
          <w:spacing w:val="-3"/>
        </w:rPr>
        <w:t>avoid</w:t>
      </w:r>
      <w:r w:rsidRPr="00A20381">
        <w:rPr>
          <w:spacing w:val="6"/>
        </w:rPr>
        <w:t xml:space="preserve"> </w:t>
      </w:r>
      <w:r w:rsidRPr="00A20381">
        <w:t>the</w:t>
      </w:r>
      <w:r w:rsidRPr="00A20381">
        <w:rPr>
          <w:spacing w:val="5"/>
        </w:rPr>
        <w:t xml:space="preserve"> </w:t>
      </w:r>
      <w:r w:rsidRPr="00A20381">
        <w:t>Euro</w:t>
      </w:r>
      <w:r w:rsidRPr="00A20381">
        <w:rPr>
          <w:spacing w:val="6"/>
        </w:rPr>
        <w:t xml:space="preserve"> </w:t>
      </w:r>
      <w:r w:rsidRPr="00A20381">
        <w:t>breakup,</w:t>
      </w:r>
      <w:r w:rsidRPr="00A20381">
        <w:rPr>
          <w:spacing w:val="6"/>
        </w:rPr>
        <w:t xml:space="preserve"> </w:t>
      </w:r>
      <w:r w:rsidRPr="00A20381">
        <w:t>the</w:t>
      </w:r>
      <w:r w:rsidRPr="00A20381">
        <w:rPr>
          <w:spacing w:val="6"/>
        </w:rPr>
        <w:t xml:space="preserve"> </w:t>
      </w:r>
      <w:r w:rsidRPr="00A20381">
        <w:t>ECB</w:t>
      </w:r>
      <w:r w:rsidRPr="00A20381">
        <w:rPr>
          <w:spacing w:val="6"/>
        </w:rPr>
        <w:t xml:space="preserve"> </w:t>
      </w:r>
      <w:r w:rsidR="00626E34" w:rsidRPr="00A20381">
        <w:t>launched</w:t>
      </w:r>
      <w:r w:rsidRPr="00A20381">
        <w:rPr>
          <w:spacing w:val="6"/>
        </w:rPr>
        <w:t xml:space="preserve"> </w:t>
      </w:r>
      <w:r w:rsidRPr="00A20381">
        <w:t>the</w:t>
      </w:r>
      <w:r w:rsidRPr="00A20381">
        <w:rPr>
          <w:spacing w:val="6"/>
        </w:rPr>
        <w:t xml:space="preserve"> </w:t>
      </w:r>
      <w:r w:rsidRPr="00A20381">
        <w:rPr>
          <w:i/>
          <w:spacing w:val="-5"/>
        </w:rPr>
        <w:t>VLTRO</w:t>
      </w:r>
      <w:r w:rsidR="00626E34" w:rsidRPr="00A20381">
        <w:rPr>
          <w:i/>
          <w:spacing w:val="-5"/>
        </w:rPr>
        <w:t xml:space="preserve"> </w:t>
      </w:r>
      <w:r w:rsidRPr="00A20381">
        <w:rPr>
          <w:spacing w:val="-4"/>
          <w:w w:val="105"/>
        </w:rPr>
        <w:t>(</w:t>
      </w:r>
      <w:r w:rsidRPr="00A20381">
        <w:rPr>
          <w:i/>
          <w:spacing w:val="-4"/>
          <w:w w:val="105"/>
        </w:rPr>
        <w:t xml:space="preserve">Very </w:t>
      </w:r>
      <w:r w:rsidRPr="00A20381">
        <w:rPr>
          <w:i/>
          <w:spacing w:val="-3"/>
          <w:w w:val="105"/>
        </w:rPr>
        <w:t xml:space="preserve">Long </w:t>
      </w:r>
      <w:r w:rsidRPr="00A20381">
        <w:rPr>
          <w:i/>
          <w:spacing w:val="-5"/>
          <w:w w:val="105"/>
        </w:rPr>
        <w:t xml:space="preserve">Term </w:t>
      </w:r>
      <w:r w:rsidRPr="00A20381">
        <w:rPr>
          <w:i/>
          <w:w w:val="105"/>
        </w:rPr>
        <w:t xml:space="preserve">Refinancing </w:t>
      </w:r>
      <w:r w:rsidRPr="00A20381">
        <w:rPr>
          <w:i/>
          <w:spacing w:val="-3"/>
          <w:w w:val="105"/>
        </w:rPr>
        <w:t xml:space="preserve">Operation </w:t>
      </w:r>
      <w:r w:rsidRPr="00A20381">
        <w:rPr>
          <w:w w:val="105"/>
        </w:rPr>
        <w:t xml:space="preserve">- 3 years </w:t>
      </w:r>
      <w:r w:rsidRPr="00A20381">
        <w:rPr>
          <w:spacing w:val="-5"/>
          <w:w w:val="105"/>
        </w:rPr>
        <w:t xml:space="preserve">LTRO) </w:t>
      </w:r>
      <w:r w:rsidRPr="00A20381">
        <w:rPr>
          <w:w w:val="105"/>
        </w:rPr>
        <w:t>in December 2011.</w:t>
      </w:r>
      <w:r w:rsidR="00626E34" w:rsidRPr="00A20381">
        <w:rPr>
          <w:rStyle w:val="Rimandonotaapidipagina"/>
          <w:w w:val="105"/>
        </w:rPr>
        <w:footnoteReference w:id="14"/>
      </w:r>
      <w:r w:rsidR="00626E34" w:rsidRPr="00A20381">
        <w:rPr>
          <w:w w:val="105"/>
        </w:rPr>
        <w:t xml:space="preserve"> </w:t>
      </w:r>
      <w:r w:rsidRPr="00A20381">
        <w:rPr>
          <w:w w:val="105"/>
        </w:rPr>
        <w:t>Through this measure, at the</w:t>
      </w:r>
      <w:r w:rsidRPr="00A20381">
        <w:rPr>
          <w:spacing w:val="-26"/>
          <w:w w:val="105"/>
        </w:rPr>
        <w:t xml:space="preserve"> </w:t>
      </w:r>
      <w:r w:rsidRPr="00A20381">
        <w:rPr>
          <w:w w:val="105"/>
        </w:rPr>
        <w:t>rate</w:t>
      </w:r>
      <w:r w:rsidR="00626E34" w:rsidRPr="00A20381">
        <w:rPr>
          <w:w w:val="105"/>
        </w:rPr>
        <w:t xml:space="preserve"> </w:t>
      </w:r>
      <w:r w:rsidRPr="00A20381">
        <w:t>of 1% (indexed t</w:t>
      </w:r>
      <w:r w:rsidR="00384594">
        <w:t xml:space="preserve">o the MRO rate), the ECB made </w:t>
      </w:r>
      <w:r w:rsidRPr="00A20381">
        <w:rPr>
          <w:spacing w:val="-3"/>
        </w:rPr>
        <w:t xml:space="preserve">available </w:t>
      </w:r>
      <w:r w:rsidRPr="00A20381">
        <w:t>more than one trillion of euros to the banking system (</w:t>
      </w:r>
      <w:proofErr w:type="spellStart"/>
      <w:r w:rsidRPr="00A20381">
        <w:rPr>
          <w:i/>
        </w:rPr>
        <w:t>Cesaratto</w:t>
      </w:r>
      <w:proofErr w:type="spellEnd"/>
      <w:r w:rsidRPr="00A20381">
        <w:t xml:space="preserve">, </w:t>
      </w:r>
      <w:r w:rsidRPr="00A20381">
        <w:rPr>
          <w:i/>
        </w:rPr>
        <w:t>2016</w:t>
      </w:r>
      <w:r w:rsidRPr="00A20381">
        <w:t xml:space="preserve">). </w:t>
      </w:r>
      <w:r w:rsidRPr="00A20381">
        <w:rPr>
          <w:spacing w:val="-3"/>
        </w:rPr>
        <w:t xml:space="preserve">Naturally, </w:t>
      </w:r>
      <w:r w:rsidRPr="00A20381">
        <w:t xml:space="preserve">this </w:t>
      </w:r>
      <w:r w:rsidRPr="00A20381">
        <w:rPr>
          <w:spacing w:val="-3"/>
        </w:rPr>
        <w:t xml:space="preserve">was </w:t>
      </w:r>
      <w:r w:rsidRPr="00A20381">
        <w:t>particularly beneficial for Italian and Spanish banks that had the possibility to use this liqu</w:t>
      </w:r>
      <w:r w:rsidR="00384594">
        <w:t>idity to satisfy their operational</w:t>
      </w:r>
      <w:r w:rsidRPr="00A20381">
        <w:t xml:space="preserve"> requirements and allow the </w:t>
      </w:r>
      <w:r w:rsidR="00626E34" w:rsidRPr="00A20381">
        <w:t>rollo</w:t>
      </w:r>
      <w:r w:rsidR="00626E34" w:rsidRPr="00A20381">
        <w:rPr>
          <w:spacing w:val="-3"/>
        </w:rPr>
        <w:t>ver</w:t>
      </w:r>
      <w:r w:rsidRPr="00A20381">
        <w:rPr>
          <w:spacing w:val="-3"/>
        </w:rPr>
        <w:t xml:space="preserve"> </w:t>
      </w:r>
      <w:r w:rsidRPr="00A20381">
        <w:t xml:space="preserve">of the national public debt. It is clear that this </w:t>
      </w:r>
      <w:r w:rsidRPr="00A20381">
        <w:rPr>
          <w:spacing w:val="-3"/>
        </w:rPr>
        <w:t xml:space="preserve">was </w:t>
      </w:r>
      <w:r w:rsidRPr="00A20381">
        <w:t xml:space="preserve">for the ECB a </w:t>
      </w:r>
      <w:r w:rsidRPr="00A20381">
        <w:rPr>
          <w:spacing w:val="-4"/>
        </w:rPr>
        <w:t xml:space="preserve">way </w:t>
      </w:r>
      <w:r w:rsidRPr="00A20381">
        <w:t>to finance</w:t>
      </w:r>
      <w:r w:rsidR="00626E34" w:rsidRPr="00A20381">
        <w:t xml:space="preserve"> indirectly</w:t>
      </w:r>
      <w:r w:rsidRPr="00A20381">
        <w:t xml:space="preserve"> the public debt of</w:t>
      </w:r>
      <w:r w:rsidR="00384594">
        <w:t xml:space="preserve"> member States</w:t>
      </w:r>
      <w:r w:rsidRPr="00A20381">
        <w:t xml:space="preserve"> w</w:t>
      </w:r>
      <w:r w:rsidR="00384594">
        <w:t>ithout negating the rules of its</w:t>
      </w:r>
      <w:r w:rsidRPr="00A20381">
        <w:t xml:space="preserve"> Statute. A pure consequence of this and all the other measures realized </w:t>
      </w:r>
      <w:r w:rsidRPr="00A20381">
        <w:rPr>
          <w:spacing w:val="-3"/>
        </w:rPr>
        <w:t xml:space="preserve">by </w:t>
      </w:r>
      <w:r w:rsidRPr="00A20381">
        <w:t>the ECB in order to provide</w:t>
      </w:r>
      <w:r w:rsidRPr="00A20381">
        <w:rPr>
          <w:spacing w:val="-14"/>
        </w:rPr>
        <w:t xml:space="preserve"> </w:t>
      </w:r>
      <w:r w:rsidRPr="00A20381">
        <w:t>liquidity</w:t>
      </w:r>
      <w:r w:rsidRPr="00A20381">
        <w:rPr>
          <w:spacing w:val="-14"/>
        </w:rPr>
        <w:t xml:space="preserve"> </w:t>
      </w:r>
      <w:r w:rsidRPr="00A20381">
        <w:t>for</w:t>
      </w:r>
      <w:r w:rsidRPr="00A20381">
        <w:rPr>
          <w:spacing w:val="-14"/>
        </w:rPr>
        <w:t xml:space="preserve"> </w:t>
      </w:r>
      <w:r w:rsidRPr="00A20381">
        <w:t>the</w:t>
      </w:r>
      <w:r w:rsidRPr="00A20381">
        <w:rPr>
          <w:spacing w:val="-14"/>
        </w:rPr>
        <w:t xml:space="preserve"> </w:t>
      </w:r>
      <w:r w:rsidRPr="00A20381">
        <w:t>banking</w:t>
      </w:r>
      <w:r w:rsidRPr="00A20381">
        <w:rPr>
          <w:spacing w:val="-14"/>
        </w:rPr>
        <w:t xml:space="preserve"> </w:t>
      </w:r>
      <w:r w:rsidRPr="00A20381">
        <w:t>system</w:t>
      </w:r>
      <w:r w:rsidRPr="00A20381">
        <w:rPr>
          <w:spacing w:val="-14"/>
        </w:rPr>
        <w:t xml:space="preserve"> </w:t>
      </w:r>
      <w:r w:rsidRPr="00A20381">
        <w:rPr>
          <w:spacing w:val="-3"/>
        </w:rPr>
        <w:t>have</w:t>
      </w:r>
      <w:r w:rsidRPr="00A20381">
        <w:rPr>
          <w:spacing w:val="-14"/>
        </w:rPr>
        <w:t xml:space="preserve"> </w:t>
      </w:r>
      <w:r w:rsidRPr="00A20381">
        <w:t>enforced</w:t>
      </w:r>
      <w:r w:rsidRPr="00A20381">
        <w:rPr>
          <w:spacing w:val="-14"/>
        </w:rPr>
        <w:t xml:space="preserve"> </w:t>
      </w:r>
      <w:r w:rsidRPr="00A20381">
        <w:t>the</w:t>
      </w:r>
      <w:r w:rsidRPr="00A20381">
        <w:rPr>
          <w:spacing w:val="-14"/>
        </w:rPr>
        <w:t xml:space="preserve"> </w:t>
      </w:r>
      <w:r w:rsidRPr="00A20381">
        <w:t>strict</w:t>
      </w:r>
      <w:r w:rsidRPr="00A20381">
        <w:rPr>
          <w:spacing w:val="-14"/>
        </w:rPr>
        <w:t xml:space="preserve"> </w:t>
      </w:r>
      <w:r w:rsidRPr="00A20381">
        <w:t>relationship</w:t>
      </w:r>
      <w:r w:rsidRPr="00A20381">
        <w:rPr>
          <w:spacing w:val="-14"/>
        </w:rPr>
        <w:t xml:space="preserve"> </w:t>
      </w:r>
      <w:r w:rsidRPr="00A20381">
        <w:t>between</w:t>
      </w:r>
      <w:r w:rsidRPr="00A20381">
        <w:rPr>
          <w:spacing w:val="-14"/>
        </w:rPr>
        <w:t xml:space="preserve"> </w:t>
      </w:r>
      <w:r w:rsidRPr="00A20381">
        <w:t>national</w:t>
      </w:r>
      <w:r w:rsidRPr="00A20381">
        <w:rPr>
          <w:spacing w:val="-14"/>
        </w:rPr>
        <w:t xml:space="preserve"> </w:t>
      </w:r>
      <w:r w:rsidRPr="00A20381">
        <w:t>banks</w:t>
      </w:r>
      <w:r w:rsidRPr="00A20381">
        <w:rPr>
          <w:spacing w:val="-14"/>
        </w:rPr>
        <w:t xml:space="preserve"> </w:t>
      </w:r>
      <w:r w:rsidRPr="00A20381">
        <w:t>and</w:t>
      </w:r>
      <w:r w:rsidRPr="00A20381">
        <w:rPr>
          <w:spacing w:val="-14"/>
        </w:rPr>
        <w:t xml:space="preserve"> </w:t>
      </w:r>
      <w:r w:rsidRPr="00A20381">
        <w:t>States</w:t>
      </w:r>
      <w:r w:rsidRPr="00A20381">
        <w:rPr>
          <w:spacing w:val="3"/>
        </w:rPr>
        <w:t>.</w:t>
      </w:r>
      <w:r w:rsidR="00626E34" w:rsidRPr="00A20381">
        <w:rPr>
          <w:rStyle w:val="Rimandonotaapidipagina"/>
          <w:spacing w:val="3"/>
        </w:rPr>
        <w:footnoteReference w:id="15"/>
      </w:r>
      <w:r w:rsidRPr="00A20381">
        <w:rPr>
          <w:spacing w:val="3"/>
        </w:rPr>
        <w:t xml:space="preserve"> </w:t>
      </w:r>
      <w:r w:rsidRPr="00A20381">
        <w:t xml:space="preserve">The </w:t>
      </w:r>
      <w:r w:rsidRPr="00A20381">
        <w:rPr>
          <w:i/>
        </w:rPr>
        <w:t xml:space="preserve">GBS </w:t>
      </w:r>
      <w:r w:rsidRPr="00A20381">
        <w:t xml:space="preserve">became the observed indicator </w:t>
      </w:r>
      <w:r w:rsidRPr="00A20381">
        <w:rPr>
          <w:spacing w:val="-3"/>
        </w:rPr>
        <w:t xml:space="preserve">(by </w:t>
      </w:r>
      <w:r w:rsidRPr="00A20381">
        <w:t xml:space="preserve">traders) of the sovereign risk. The abundant liquidity of bonds made these instruments </w:t>
      </w:r>
      <w:r w:rsidRPr="00A20381">
        <w:rPr>
          <w:spacing w:val="-3"/>
        </w:rPr>
        <w:t>much</w:t>
      </w:r>
      <w:r w:rsidR="00384594">
        <w:rPr>
          <w:spacing w:val="-3"/>
        </w:rPr>
        <w:t xml:space="preserve"> more</w:t>
      </w:r>
      <w:r w:rsidRPr="00A20381">
        <w:rPr>
          <w:spacing w:val="-3"/>
        </w:rPr>
        <w:t xml:space="preserve"> </w:t>
      </w:r>
      <w:r w:rsidRPr="00A20381">
        <w:t xml:space="preserve">tradable than others. </w:t>
      </w:r>
      <w:r w:rsidR="00333A87" w:rsidRPr="00A20381">
        <w:t>Therefore</w:t>
      </w:r>
      <w:r w:rsidRPr="00A20381">
        <w:t xml:space="preserve">, the spread </w:t>
      </w:r>
      <w:r w:rsidR="00333A87" w:rsidRPr="00A20381">
        <w:t>level</w:t>
      </w:r>
      <w:r w:rsidRPr="00A20381">
        <w:t xml:space="preserve"> affected </w:t>
      </w:r>
      <w:r w:rsidRPr="00A20381">
        <w:rPr>
          <w:spacing w:val="-3"/>
        </w:rPr>
        <w:t xml:space="preserve">by </w:t>
      </w:r>
      <w:r w:rsidRPr="00A20381">
        <w:t xml:space="preserve">strong selling and buying, started to </w:t>
      </w:r>
      <w:r w:rsidR="00333A87" w:rsidRPr="00A20381">
        <w:t>be a good indicator of</w:t>
      </w:r>
      <w:r w:rsidRPr="00A20381">
        <w:t xml:space="preserve"> the market sentiment on the sovereign credit risk. The </w:t>
      </w:r>
      <w:r w:rsidRPr="00A20381">
        <w:rPr>
          <w:spacing w:val="-3"/>
        </w:rPr>
        <w:t>event</w:t>
      </w:r>
      <w:r w:rsidR="00384594">
        <w:rPr>
          <w:spacing w:val="-3"/>
        </w:rPr>
        <w:t>s</w:t>
      </w:r>
      <w:r w:rsidRPr="00A20381">
        <w:rPr>
          <w:spacing w:val="-3"/>
        </w:rPr>
        <w:t xml:space="preserve"> </w:t>
      </w:r>
      <w:r w:rsidRPr="00A20381">
        <w:t xml:space="preserve">of July 2012 </w:t>
      </w:r>
      <w:r w:rsidR="00384594">
        <w:rPr>
          <w:spacing w:val="-3"/>
        </w:rPr>
        <w:t>were</w:t>
      </w:r>
      <w:r w:rsidRPr="00A20381">
        <w:t xml:space="preserve"> definitive confirm</w:t>
      </w:r>
      <w:r w:rsidR="00384594">
        <w:t>ation</w:t>
      </w:r>
      <w:r w:rsidRPr="00A20381">
        <w:t xml:space="preserve">. Despite the tough reforms undertaken </w:t>
      </w:r>
      <w:r w:rsidRPr="00A20381">
        <w:rPr>
          <w:spacing w:val="-3"/>
        </w:rPr>
        <w:t xml:space="preserve">by </w:t>
      </w:r>
      <w:proofErr w:type="spellStart"/>
      <w:r w:rsidR="00333A87" w:rsidRPr="00A20381">
        <w:t>Monti’s</w:t>
      </w:r>
      <w:proofErr w:type="spellEnd"/>
      <w:r w:rsidR="00333A87" w:rsidRPr="00A20381">
        <w:t xml:space="preserve"> government</w:t>
      </w:r>
      <w:r w:rsidRPr="00A20381">
        <w:t xml:space="preserve"> (especially the pension reform or </w:t>
      </w:r>
      <w:r w:rsidRPr="00A20381">
        <w:rPr>
          <w:spacing w:val="-4"/>
        </w:rPr>
        <w:t xml:space="preserve">Fornero </w:t>
      </w:r>
      <w:r w:rsidRPr="00A20381">
        <w:t xml:space="preserve">reform), in July the spread had returned to the levels it had touched before the fall of the </w:t>
      </w:r>
      <w:r w:rsidR="00333A87" w:rsidRPr="00A20381">
        <w:t>Berlusconi’s government</w:t>
      </w:r>
      <w:r w:rsidRPr="00A20381">
        <w:t>, m</w:t>
      </w:r>
      <w:r w:rsidR="00333A87" w:rsidRPr="00A20381">
        <w:t>ore than 500 basis points. A</w:t>
      </w:r>
      <w:r w:rsidRPr="00A20381">
        <w:t xml:space="preserve">t a speech in London on </w:t>
      </w:r>
      <w:r w:rsidR="00333A87" w:rsidRPr="00A20381">
        <w:t>26</w:t>
      </w:r>
      <w:r w:rsidRPr="00A20381">
        <w:t xml:space="preserve"> </w:t>
      </w:r>
      <w:r w:rsidRPr="00A20381">
        <w:rPr>
          <w:spacing w:val="-4"/>
        </w:rPr>
        <w:t>July</w:t>
      </w:r>
      <w:r w:rsidR="00E3310C">
        <w:rPr>
          <w:spacing w:val="-4"/>
        </w:rPr>
        <w:t xml:space="preserve"> 2012</w:t>
      </w:r>
      <w:r w:rsidRPr="00A20381">
        <w:rPr>
          <w:spacing w:val="-4"/>
        </w:rPr>
        <w:t xml:space="preserve">, </w:t>
      </w:r>
      <w:r w:rsidRPr="00A20381">
        <w:t xml:space="preserve">the ECB President </w:t>
      </w:r>
      <w:r w:rsidRPr="00A20381">
        <w:rPr>
          <w:spacing w:val="-4"/>
        </w:rPr>
        <w:t xml:space="preserve">gave </w:t>
      </w:r>
      <w:r w:rsidRPr="00A20381">
        <w:t xml:space="preserve">an account of the Eurozone </w:t>
      </w:r>
      <w:r w:rsidRPr="00A20381">
        <w:rPr>
          <w:spacing w:val="-3"/>
        </w:rPr>
        <w:t xml:space="preserve">economy. </w:t>
      </w:r>
      <w:r w:rsidRPr="00A20381">
        <w:t>Bond</w:t>
      </w:r>
      <w:r w:rsidRPr="00A20381">
        <w:rPr>
          <w:spacing w:val="-15"/>
        </w:rPr>
        <w:t xml:space="preserve"> </w:t>
      </w:r>
      <w:r w:rsidRPr="00A20381">
        <w:t>yields</w:t>
      </w:r>
      <w:r w:rsidRPr="00A20381">
        <w:rPr>
          <w:spacing w:val="-14"/>
        </w:rPr>
        <w:t xml:space="preserve"> </w:t>
      </w:r>
      <w:r w:rsidRPr="00A20381">
        <w:t>of</w:t>
      </w:r>
      <w:r w:rsidRPr="00A20381">
        <w:rPr>
          <w:spacing w:val="-14"/>
        </w:rPr>
        <w:t xml:space="preserve"> </w:t>
      </w:r>
      <w:r w:rsidRPr="00A20381">
        <w:t>weak</w:t>
      </w:r>
      <w:r w:rsidRPr="00A20381">
        <w:rPr>
          <w:spacing w:val="-14"/>
        </w:rPr>
        <w:t xml:space="preserve"> </w:t>
      </w:r>
      <w:r w:rsidRPr="00A20381">
        <w:t>euro-member</w:t>
      </w:r>
      <w:r w:rsidRPr="00A20381">
        <w:rPr>
          <w:spacing w:val="-15"/>
        </w:rPr>
        <w:t xml:space="preserve"> </w:t>
      </w:r>
      <w:r w:rsidRPr="00A20381">
        <w:t>Governments</w:t>
      </w:r>
      <w:r w:rsidRPr="00A20381">
        <w:rPr>
          <w:spacing w:val="-14"/>
        </w:rPr>
        <w:t xml:space="preserve"> </w:t>
      </w:r>
      <w:r w:rsidRPr="00A20381">
        <w:t>were</w:t>
      </w:r>
      <w:r w:rsidRPr="00A20381">
        <w:rPr>
          <w:spacing w:val="-14"/>
        </w:rPr>
        <w:t xml:space="preserve"> </w:t>
      </w:r>
      <w:r w:rsidRPr="00A20381">
        <w:t>soaring,</w:t>
      </w:r>
      <w:r w:rsidRPr="00A20381">
        <w:rPr>
          <w:spacing w:val="-14"/>
        </w:rPr>
        <w:t xml:space="preserve"> </w:t>
      </w:r>
      <w:r w:rsidRPr="00A20381">
        <w:t>and</w:t>
      </w:r>
      <w:r w:rsidRPr="00A20381">
        <w:rPr>
          <w:spacing w:val="-15"/>
        </w:rPr>
        <w:t xml:space="preserve"> </w:t>
      </w:r>
      <w:r w:rsidRPr="00A20381">
        <w:t>traders</w:t>
      </w:r>
      <w:r w:rsidRPr="00A20381">
        <w:rPr>
          <w:spacing w:val="-15"/>
        </w:rPr>
        <w:t xml:space="preserve"> </w:t>
      </w:r>
      <w:r w:rsidRPr="00A20381">
        <w:t>doubted</w:t>
      </w:r>
      <w:r w:rsidRPr="00A20381">
        <w:rPr>
          <w:spacing w:val="-14"/>
        </w:rPr>
        <w:t xml:space="preserve"> </w:t>
      </w:r>
      <w:r w:rsidRPr="00A20381">
        <w:t>that</w:t>
      </w:r>
      <w:r w:rsidRPr="00A20381">
        <w:rPr>
          <w:spacing w:val="-15"/>
        </w:rPr>
        <w:t xml:space="preserve"> </w:t>
      </w:r>
      <w:r w:rsidRPr="00A20381">
        <w:t>national,</w:t>
      </w:r>
      <w:r w:rsidRPr="00A20381">
        <w:rPr>
          <w:spacing w:val="-14"/>
        </w:rPr>
        <w:t xml:space="preserve"> </w:t>
      </w:r>
      <w:r w:rsidRPr="00A20381">
        <w:t>Euro</w:t>
      </w:r>
      <w:r w:rsidRPr="00A20381">
        <w:rPr>
          <w:spacing w:val="-14"/>
        </w:rPr>
        <w:t xml:space="preserve"> </w:t>
      </w:r>
      <w:r w:rsidRPr="00A20381">
        <w:t>or</w:t>
      </w:r>
      <w:r w:rsidRPr="00A20381">
        <w:rPr>
          <w:spacing w:val="-14"/>
        </w:rPr>
        <w:t xml:space="preserve"> </w:t>
      </w:r>
      <w:r w:rsidR="00333A87" w:rsidRPr="00A20381">
        <w:t xml:space="preserve">EU </w:t>
      </w:r>
      <w:r w:rsidRPr="00A20381">
        <w:t xml:space="preserve">level </w:t>
      </w:r>
      <w:r w:rsidR="00333A87" w:rsidRPr="00A20381">
        <w:t>institutions</w:t>
      </w:r>
      <w:r w:rsidRPr="00A20381">
        <w:t xml:space="preserve"> could act together in time to </w:t>
      </w:r>
      <w:r w:rsidRPr="00A20381">
        <w:rPr>
          <w:spacing w:val="-3"/>
        </w:rPr>
        <w:t xml:space="preserve">avert </w:t>
      </w:r>
      <w:r w:rsidRPr="00A20381">
        <w:t xml:space="preserve">disaster. </w:t>
      </w:r>
      <w:r w:rsidR="00333A87" w:rsidRPr="00A20381">
        <w:t xml:space="preserve">The ECB President Mario </w:t>
      </w:r>
      <w:proofErr w:type="spellStart"/>
      <w:r w:rsidRPr="00A20381">
        <w:t>Draghi</w:t>
      </w:r>
      <w:proofErr w:type="spellEnd"/>
      <w:r w:rsidRPr="00A20381">
        <w:t xml:space="preserve"> tried to convince </w:t>
      </w:r>
      <w:r w:rsidRPr="00A20381">
        <w:lastRenderedPageBreak/>
        <w:t>international</w:t>
      </w:r>
      <w:r w:rsidRPr="00A20381">
        <w:rPr>
          <w:spacing w:val="12"/>
        </w:rPr>
        <w:t xml:space="preserve"> </w:t>
      </w:r>
      <w:r w:rsidRPr="00A20381">
        <w:t>investors</w:t>
      </w:r>
      <w:r w:rsidR="00333A87" w:rsidRPr="00A20381">
        <w:t xml:space="preserve"> that that the region’s economy was not as bad as it seemed. Then he made a momentous remark: «</w:t>
      </w:r>
      <w:r w:rsidR="00333A87" w:rsidRPr="00A20381">
        <w:rPr>
          <w:i/>
        </w:rPr>
        <w:t xml:space="preserve">Within our mandate, the ECB is </w:t>
      </w:r>
      <w:r w:rsidR="00333A87" w:rsidRPr="00A20381">
        <w:rPr>
          <w:i/>
          <w:spacing w:val="-5"/>
        </w:rPr>
        <w:t xml:space="preserve">ready </w:t>
      </w:r>
      <w:r w:rsidR="00333A87" w:rsidRPr="00A20381">
        <w:rPr>
          <w:i/>
        </w:rPr>
        <w:t xml:space="preserve">to do whatever it takes to preserve the </w:t>
      </w:r>
      <w:r w:rsidR="00333A87" w:rsidRPr="00A20381">
        <w:rPr>
          <w:i/>
          <w:spacing w:val="-3"/>
        </w:rPr>
        <w:t xml:space="preserve">Euro. </w:t>
      </w:r>
      <w:r w:rsidR="00333A87" w:rsidRPr="00A20381">
        <w:rPr>
          <w:i/>
        </w:rPr>
        <w:t xml:space="preserve">And </w:t>
      </w:r>
      <w:r w:rsidR="00333A87" w:rsidRPr="00A20381">
        <w:rPr>
          <w:i/>
          <w:spacing w:val="-3"/>
        </w:rPr>
        <w:t xml:space="preserve">believe </w:t>
      </w:r>
      <w:r w:rsidR="00333A87" w:rsidRPr="00A20381">
        <w:rPr>
          <w:i/>
        </w:rPr>
        <w:t xml:space="preserve">me, it </w:t>
      </w:r>
      <w:r w:rsidR="00333A87" w:rsidRPr="00A20381">
        <w:rPr>
          <w:i/>
          <w:spacing w:val="2"/>
        </w:rPr>
        <w:t xml:space="preserve">will </w:t>
      </w:r>
      <w:r w:rsidR="00333A87" w:rsidRPr="00A20381">
        <w:rPr>
          <w:i/>
          <w:spacing w:val="-6"/>
        </w:rPr>
        <w:t xml:space="preserve">be </w:t>
      </w:r>
      <w:r w:rsidR="00333A87" w:rsidRPr="00A20381">
        <w:rPr>
          <w:i/>
        </w:rPr>
        <w:t>enough</w:t>
      </w:r>
      <w:r w:rsidR="00333A87" w:rsidRPr="00A20381">
        <w:t xml:space="preserve">». </w:t>
      </w:r>
      <w:r w:rsidR="00333A87" w:rsidRPr="00A20381">
        <w:rPr>
          <w:spacing w:val="-4"/>
        </w:rPr>
        <w:t xml:space="preserve">Traders </w:t>
      </w:r>
      <w:r w:rsidR="00333A87" w:rsidRPr="00A20381">
        <w:t xml:space="preserve">reacted immediately to </w:t>
      </w:r>
      <w:proofErr w:type="spellStart"/>
      <w:r w:rsidR="00333A87" w:rsidRPr="00A20381">
        <w:t>Draghi’s</w:t>
      </w:r>
      <w:proofErr w:type="spellEnd"/>
      <w:r w:rsidR="00333A87" w:rsidRPr="00A20381">
        <w:t xml:space="preserve"> forthright resolution, and a week after his speech the ECB announced a program to buy the bonds of its distressed countries, known as </w:t>
      </w:r>
      <w:r w:rsidR="00333A87" w:rsidRPr="00A20381">
        <w:rPr>
          <w:i/>
        </w:rPr>
        <w:t xml:space="preserve">Outright Monetary </w:t>
      </w:r>
      <w:r w:rsidR="00333A87" w:rsidRPr="00A20381">
        <w:rPr>
          <w:i/>
          <w:spacing w:val="-3"/>
        </w:rPr>
        <w:t>Transactions</w:t>
      </w:r>
      <w:r w:rsidR="00333A87" w:rsidRPr="00A20381">
        <w:rPr>
          <w:spacing w:val="-3"/>
        </w:rPr>
        <w:t xml:space="preserve">.  </w:t>
      </w:r>
      <w:r w:rsidR="00333A87" w:rsidRPr="00A20381">
        <w:t>Although the ECB never ended up</w:t>
      </w:r>
      <w:r w:rsidR="00333A87" w:rsidRPr="00A20381">
        <w:rPr>
          <w:spacing w:val="-14"/>
        </w:rPr>
        <w:t xml:space="preserve"> </w:t>
      </w:r>
      <w:r w:rsidR="00333A87" w:rsidRPr="00A20381">
        <w:t>using</w:t>
      </w:r>
      <w:r w:rsidR="00333A87" w:rsidRPr="00A20381">
        <w:rPr>
          <w:spacing w:val="-13"/>
        </w:rPr>
        <w:t xml:space="preserve"> </w:t>
      </w:r>
      <w:r w:rsidR="00333A87" w:rsidRPr="00A20381">
        <w:t>this</w:t>
      </w:r>
      <w:r w:rsidR="00333A87" w:rsidRPr="00A20381">
        <w:rPr>
          <w:spacing w:val="-13"/>
        </w:rPr>
        <w:t xml:space="preserve"> </w:t>
      </w:r>
      <w:r w:rsidR="00333A87" w:rsidRPr="00A20381">
        <w:t>program,</w:t>
      </w:r>
      <w:r w:rsidR="00333A87" w:rsidRPr="00A20381">
        <w:rPr>
          <w:spacing w:val="-13"/>
        </w:rPr>
        <w:t xml:space="preserve"> </w:t>
      </w:r>
      <w:r w:rsidR="00333A87" w:rsidRPr="00A20381">
        <w:t>the</w:t>
      </w:r>
      <w:r w:rsidR="00333A87" w:rsidRPr="00A20381">
        <w:rPr>
          <w:spacing w:val="-14"/>
        </w:rPr>
        <w:t xml:space="preserve"> </w:t>
      </w:r>
      <w:r w:rsidR="00333A87" w:rsidRPr="00A20381">
        <w:t>promise</w:t>
      </w:r>
      <w:r w:rsidR="00333A87" w:rsidRPr="00A20381">
        <w:rPr>
          <w:spacing w:val="-13"/>
        </w:rPr>
        <w:t xml:space="preserve"> </w:t>
      </w:r>
      <w:r w:rsidR="00333A87" w:rsidRPr="00A20381">
        <w:rPr>
          <w:spacing w:val="-3"/>
        </w:rPr>
        <w:t>was</w:t>
      </w:r>
      <w:r w:rsidR="00333A87" w:rsidRPr="00A20381">
        <w:rPr>
          <w:spacing w:val="-13"/>
        </w:rPr>
        <w:t xml:space="preserve"> </w:t>
      </w:r>
      <w:r w:rsidR="00333A87" w:rsidRPr="00A20381">
        <w:t>enough</w:t>
      </w:r>
      <w:r w:rsidR="00333A87" w:rsidRPr="00A20381">
        <w:rPr>
          <w:spacing w:val="-13"/>
        </w:rPr>
        <w:t xml:space="preserve"> </w:t>
      </w:r>
      <w:r w:rsidR="00333A87" w:rsidRPr="00A20381">
        <w:t>to</w:t>
      </w:r>
      <w:r w:rsidR="00333A87" w:rsidRPr="00A20381">
        <w:rPr>
          <w:spacing w:val="-14"/>
        </w:rPr>
        <w:t xml:space="preserve"> </w:t>
      </w:r>
      <w:r w:rsidR="00333A87" w:rsidRPr="00A20381">
        <w:t>calm</w:t>
      </w:r>
      <w:r w:rsidR="00333A87" w:rsidRPr="00A20381">
        <w:rPr>
          <w:spacing w:val="-13"/>
        </w:rPr>
        <w:t xml:space="preserve"> </w:t>
      </w:r>
      <w:r w:rsidR="00333A87" w:rsidRPr="00A20381">
        <w:t>investors</w:t>
      </w:r>
      <w:r w:rsidR="00333A87" w:rsidRPr="00A20381">
        <w:rPr>
          <w:spacing w:val="-13"/>
        </w:rPr>
        <w:t xml:space="preserve"> </w:t>
      </w:r>
      <w:r w:rsidR="00333A87" w:rsidRPr="00A20381">
        <w:t>and</w:t>
      </w:r>
      <w:r w:rsidR="00333A87" w:rsidRPr="00A20381">
        <w:rPr>
          <w:spacing w:val="-13"/>
        </w:rPr>
        <w:t xml:space="preserve"> </w:t>
      </w:r>
      <w:r w:rsidR="00333A87" w:rsidRPr="00A20381">
        <w:t>bring</w:t>
      </w:r>
      <w:r w:rsidR="00333A87" w:rsidRPr="00A20381">
        <w:rPr>
          <w:spacing w:val="-13"/>
        </w:rPr>
        <w:t xml:space="preserve"> </w:t>
      </w:r>
      <w:r w:rsidR="00333A87" w:rsidRPr="00A20381">
        <w:t>down</w:t>
      </w:r>
      <w:r w:rsidR="00333A87" w:rsidRPr="00A20381">
        <w:rPr>
          <w:spacing w:val="-14"/>
        </w:rPr>
        <w:t xml:space="preserve"> </w:t>
      </w:r>
      <w:r w:rsidR="00333A87" w:rsidRPr="00A20381">
        <w:t>bond</w:t>
      </w:r>
      <w:r w:rsidR="00333A87" w:rsidRPr="00A20381">
        <w:rPr>
          <w:spacing w:val="-13"/>
        </w:rPr>
        <w:t xml:space="preserve"> </w:t>
      </w:r>
      <w:r w:rsidR="00333A87" w:rsidRPr="00A20381">
        <w:t>yields</w:t>
      </w:r>
      <w:r w:rsidR="00333A87" w:rsidRPr="00A20381">
        <w:rPr>
          <w:spacing w:val="-13"/>
        </w:rPr>
        <w:t xml:space="preserve"> </w:t>
      </w:r>
      <w:r w:rsidR="00333A87" w:rsidRPr="00A20381">
        <w:t>across</w:t>
      </w:r>
      <w:r w:rsidR="00333A87" w:rsidRPr="00A20381">
        <w:rPr>
          <w:spacing w:val="-13"/>
        </w:rPr>
        <w:t xml:space="preserve"> </w:t>
      </w:r>
      <w:r w:rsidR="00333A87" w:rsidRPr="00A20381">
        <w:t>the</w:t>
      </w:r>
      <w:r w:rsidR="00333A87" w:rsidRPr="00A20381">
        <w:rPr>
          <w:spacing w:val="-14"/>
        </w:rPr>
        <w:t xml:space="preserve"> </w:t>
      </w:r>
      <w:r w:rsidR="00333A87" w:rsidRPr="00A20381">
        <w:t>Eurozone (</w:t>
      </w:r>
      <w:r w:rsidR="00333A87" w:rsidRPr="00A20381">
        <w:rPr>
          <w:i/>
        </w:rPr>
        <w:t>Nelson</w:t>
      </w:r>
      <w:r w:rsidR="00333A87" w:rsidRPr="00A20381">
        <w:t xml:space="preserve">, </w:t>
      </w:r>
      <w:r w:rsidR="00333A87" w:rsidRPr="00A20381">
        <w:rPr>
          <w:i/>
        </w:rPr>
        <w:t>2017</w:t>
      </w:r>
      <w:r w:rsidR="00333A87" w:rsidRPr="00A20381">
        <w:t xml:space="preserve">). The explicit introduction of the </w:t>
      </w:r>
      <w:r w:rsidR="00333A87" w:rsidRPr="00A20381">
        <w:rPr>
          <w:i/>
          <w:spacing w:val="-3"/>
        </w:rPr>
        <w:t xml:space="preserve">forward guidance </w:t>
      </w:r>
      <w:r w:rsidR="00333A87" w:rsidRPr="00A20381">
        <w:rPr>
          <w:spacing w:val="-3"/>
        </w:rPr>
        <w:t xml:space="preserve">by </w:t>
      </w:r>
      <w:r w:rsidR="00333A87" w:rsidRPr="00A20381">
        <w:t xml:space="preserve">the ECB has been fundamental in order to reduce the gap within the BTP-Bund yield spread on which </w:t>
      </w:r>
      <w:r w:rsidR="00333A87" w:rsidRPr="00A20381">
        <w:rPr>
          <w:spacing w:val="-3"/>
        </w:rPr>
        <w:t xml:space="preserve">was </w:t>
      </w:r>
      <w:r w:rsidR="00333A87" w:rsidRPr="00A20381">
        <w:t>concentrated the attention for the sovereign risk appraisal</w:t>
      </w:r>
      <w:r w:rsidR="00333A87" w:rsidRPr="00A20381">
        <w:rPr>
          <w:spacing w:val="-9"/>
        </w:rPr>
        <w:t xml:space="preserve"> </w:t>
      </w:r>
      <w:r w:rsidR="00333A87" w:rsidRPr="00A20381">
        <w:rPr>
          <w:spacing w:val="-3"/>
        </w:rPr>
        <w:t>by</w:t>
      </w:r>
      <w:r w:rsidR="00333A87" w:rsidRPr="00A20381">
        <w:rPr>
          <w:spacing w:val="-9"/>
        </w:rPr>
        <w:t xml:space="preserve"> </w:t>
      </w:r>
      <w:r w:rsidR="00333A87" w:rsidRPr="00A20381">
        <w:t>international</w:t>
      </w:r>
      <w:r w:rsidR="00333A87" w:rsidRPr="00A20381">
        <w:rPr>
          <w:spacing w:val="-9"/>
        </w:rPr>
        <w:t xml:space="preserve"> </w:t>
      </w:r>
      <w:r w:rsidR="00333A87" w:rsidRPr="00A20381">
        <w:t>investors</w:t>
      </w:r>
      <w:r w:rsidR="00333A87" w:rsidRPr="00A20381">
        <w:rPr>
          <w:spacing w:val="-8"/>
        </w:rPr>
        <w:t xml:space="preserve"> </w:t>
      </w:r>
      <w:r w:rsidR="00333A87" w:rsidRPr="00A20381">
        <w:t>and</w:t>
      </w:r>
      <w:r w:rsidR="00333A87" w:rsidRPr="00A20381">
        <w:rPr>
          <w:spacing w:val="-9"/>
        </w:rPr>
        <w:t xml:space="preserve"> </w:t>
      </w:r>
      <w:r w:rsidR="00333A87" w:rsidRPr="00A20381">
        <w:rPr>
          <w:spacing w:val="-3"/>
        </w:rPr>
        <w:t>save</w:t>
      </w:r>
      <w:r w:rsidR="00333A87" w:rsidRPr="00A20381">
        <w:rPr>
          <w:spacing w:val="-9"/>
        </w:rPr>
        <w:t xml:space="preserve"> </w:t>
      </w:r>
      <w:r w:rsidR="00333A87" w:rsidRPr="00A20381">
        <w:t>the</w:t>
      </w:r>
      <w:r w:rsidR="00333A87" w:rsidRPr="00A20381">
        <w:rPr>
          <w:spacing w:val="-9"/>
        </w:rPr>
        <w:t xml:space="preserve"> </w:t>
      </w:r>
      <w:r w:rsidR="00333A87" w:rsidRPr="00A20381">
        <w:t>whole</w:t>
      </w:r>
      <w:r w:rsidR="00333A87" w:rsidRPr="00A20381">
        <w:rPr>
          <w:spacing w:val="-9"/>
        </w:rPr>
        <w:t xml:space="preserve"> </w:t>
      </w:r>
      <w:r w:rsidR="00333A87" w:rsidRPr="00A20381">
        <w:t>Eurozone</w:t>
      </w:r>
      <w:r w:rsidR="00333A87" w:rsidRPr="00A20381">
        <w:rPr>
          <w:spacing w:val="-8"/>
        </w:rPr>
        <w:t xml:space="preserve"> </w:t>
      </w:r>
      <w:r w:rsidR="00333A87" w:rsidRPr="00A20381">
        <w:t>(not</w:t>
      </w:r>
      <w:r w:rsidR="00333A87" w:rsidRPr="00A20381">
        <w:rPr>
          <w:spacing w:val="-9"/>
        </w:rPr>
        <w:t xml:space="preserve"> </w:t>
      </w:r>
      <w:r w:rsidR="00333A87" w:rsidRPr="00A20381">
        <w:t>only</w:t>
      </w:r>
      <w:r w:rsidR="00333A87" w:rsidRPr="00A20381">
        <w:rPr>
          <w:spacing w:val="-9"/>
        </w:rPr>
        <w:t xml:space="preserve"> </w:t>
      </w:r>
      <w:r w:rsidR="00333A87" w:rsidRPr="00A20381">
        <w:t>Italy).</w:t>
      </w:r>
      <w:r w:rsidR="00333A87" w:rsidRPr="00A20381">
        <w:rPr>
          <w:spacing w:val="8"/>
        </w:rPr>
        <w:t xml:space="preserve"> </w:t>
      </w:r>
      <w:r w:rsidR="00333A87" w:rsidRPr="00A20381">
        <w:t>In</w:t>
      </w:r>
      <w:r w:rsidR="00333A87" w:rsidRPr="00A20381">
        <w:rPr>
          <w:spacing w:val="-9"/>
        </w:rPr>
        <w:t xml:space="preserve"> </w:t>
      </w:r>
      <w:r w:rsidR="00333A87" w:rsidRPr="00A20381">
        <w:t>line</w:t>
      </w:r>
      <w:r w:rsidR="00333A87" w:rsidRPr="00A20381">
        <w:rPr>
          <w:spacing w:val="-9"/>
        </w:rPr>
        <w:t xml:space="preserve"> </w:t>
      </w:r>
      <w:r w:rsidR="00333A87" w:rsidRPr="00A20381">
        <w:t>with</w:t>
      </w:r>
      <w:r w:rsidR="00333A87" w:rsidRPr="00A20381">
        <w:rPr>
          <w:spacing w:val="-9"/>
        </w:rPr>
        <w:t xml:space="preserve"> </w:t>
      </w:r>
      <w:r w:rsidR="00333A87" w:rsidRPr="00A20381">
        <w:t>this</w:t>
      </w:r>
      <w:r w:rsidR="00333A87" w:rsidRPr="00A20381">
        <w:rPr>
          <w:spacing w:val="-9"/>
        </w:rPr>
        <w:t xml:space="preserve"> </w:t>
      </w:r>
      <w:r w:rsidR="00333A87" w:rsidRPr="00A20381">
        <w:t xml:space="preserve">argumentation, the analysis shows that the bond market </w:t>
      </w:r>
      <w:r w:rsidR="00333A87" w:rsidRPr="00A20381">
        <w:rPr>
          <w:spacing w:val="-3"/>
        </w:rPr>
        <w:t>(</w:t>
      </w:r>
      <w:r w:rsidR="00333A87" w:rsidRPr="00A20381">
        <w:rPr>
          <w:i/>
          <w:spacing w:val="-3"/>
        </w:rPr>
        <w:t>lead</w:t>
      </w:r>
      <w:r w:rsidR="00333A87" w:rsidRPr="00A20381">
        <w:t xml:space="preserve">) embodied more rapidly the credit risk information than the </w:t>
      </w:r>
      <w:r w:rsidR="00333A87" w:rsidRPr="00A20381">
        <w:rPr>
          <w:i/>
        </w:rPr>
        <w:t xml:space="preserve">CDS </w:t>
      </w:r>
      <w:r w:rsidR="00333A87" w:rsidRPr="00A20381">
        <w:t>market (</w:t>
      </w:r>
      <w:r w:rsidR="00333A87" w:rsidRPr="00A20381">
        <w:rPr>
          <w:i/>
        </w:rPr>
        <w:t>lag</w:t>
      </w:r>
      <w:r w:rsidR="00333A87" w:rsidRPr="00A20381">
        <w:t xml:space="preserve">) during the </w:t>
      </w:r>
      <w:r w:rsidR="00333A87" w:rsidRPr="00A20381">
        <w:rPr>
          <w:i/>
        </w:rPr>
        <w:t xml:space="preserve">sovereign debt crisis </w:t>
      </w:r>
      <w:r w:rsidR="00333A87" w:rsidRPr="00A20381">
        <w:t>period (2010-12).  This outcome</w:t>
      </w:r>
      <w:r w:rsidR="00384594">
        <w:t xml:space="preserve"> would seem to support the idea</w:t>
      </w:r>
      <w:r w:rsidR="00333A87" w:rsidRPr="00A20381">
        <w:t xml:space="preserve"> that, in situations in which all financial investors go searching liquid assets, the CDS market (an illiquid market </w:t>
      </w:r>
      <w:r w:rsidR="00333A87" w:rsidRPr="00A20381">
        <w:rPr>
          <w:spacing w:val="-3"/>
        </w:rPr>
        <w:t xml:space="preserve">by </w:t>
      </w:r>
      <w:r w:rsidR="00333A87" w:rsidRPr="00A20381">
        <w:t>nature) lose a fundamental part of its information power and the bond market (a very liquid market) starts to become</w:t>
      </w:r>
      <w:r w:rsidR="00333A87" w:rsidRPr="00A20381">
        <w:rPr>
          <w:spacing w:val="11"/>
        </w:rPr>
        <w:t xml:space="preserve"> </w:t>
      </w:r>
      <w:r w:rsidR="00333A87" w:rsidRPr="00A20381">
        <w:t>the</w:t>
      </w:r>
      <w:r w:rsidR="00333A87" w:rsidRPr="00A20381">
        <w:rPr>
          <w:spacing w:val="11"/>
        </w:rPr>
        <w:t xml:space="preserve"> </w:t>
      </w:r>
      <w:r w:rsidR="00333A87" w:rsidRPr="00A20381">
        <w:t>key</w:t>
      </w:r>
      <w:r w:rsidR="00333A87" w:rsidRPr="00A20381">
        <w:rPr>
          <w:spacing w:val="11"/>
        </w:rPr>
        <w:t xml:space="preserve"> </w:t>
      </w:r>
      <w:r w:rsidR="00333A87" w:rsidRPr="00A20381">
        <w:t>market</w:t>
      </w:r>
      <w:r w:rsidR="00333A87" w:rsidRPr="00A20381">
        <w:rPr>
          <w:spacing w:val="11"/>
        </w:rPr>
        <w:t xml:space="preserve"> </w:t>
      </w:r>
      <w:r w:rsidR="00333A87" w:rsidRPr="00A20381">
        <w:t>in</w:t>
      </w:r>
      <w:r w:rsidR="00333A87" w:rsidRPr="00A20381">
        <w:rPr>
          <w:spacing w:val="11"/>
        </w:rPr>
        <w:t xml:space="preserve"> </w:t>
      </w:r>
      <w:r w:rsidR="00333A87" w:rsidRPr="00A20381">
        <w:t>the</w:t>
      </w:r>
      <w:r w:rsidR="00333A87" w:rsidRPr="00A20381">
        <w:rPr>
          <w:spacing w:val="12"/>
        </w:rPr>
        <w:t xml:space="preserve"> </w:t>
      </w:r>
      <w:r w:rsidR="00333A87" w:rsidRPr="00A20381">
        <w:t>discovery</w:t>
      </w:r>
      <w:r w:rsidR="00333A87" w:rsidRPr="00A20381">
        <w:rPr>
          <w:spacing w:val="11"/>
        </w:rPr>
        <w:t xml:space="preserve"> </w:t>
      </w:r>
      <w:r w:rsidR="00333A87" w:rsidRPr="00A20381">
        <w:t>process</w:t>
      </w:r>
      <w:r w:rsidR="00333A87" w:rsidRPr="00A20381">
        <w:rPr>
          <w:spacing w:val="11"/>
        </w:rPr>
        <w:t xml:space="preserve"> </w:t>
      </w:r>
      <w:r w:rsidR="00333A87" w:rsidRPr="00A20381">
        <w:t>of</w:t>
      </w:r>
      <w:r w:rsidR="00333A87" w:rsidRPr="00A20381">
        <w:rPr>
          <w:spacing w:val="11"/>
        </w:rPr>
        <w:t xml:space="preserve"> </w:t>
      </w:r>
      <w:r w:rsidR="00333A87" w:rsidRPr="00A20381">
        <w:t>the</w:t>
      </w:r>
      <w:r w:rsidR="00333A87" w:rsidRPr="00A20381">
        <w:rPr>
          <w:spacing w:val="11"/>
        </w:rPr>
        <w:t xml:space="preserve"> </w:t>
      </w:r>
      <w:r w:rsidR="00333A87" w:rsidRPr="00A20381">
        <w:t>sovereign</w:t>
      </w:r>
      <w:r w:rsidR="00333A87" w:rsidRPr="00A20381">
        <w:rPr>
          <w:spacing w:val="11"/>
        </w:rPr>
        <w:t xml:space="preserve"> </w:t>
      </w:r>
      <w:r w:rsidR="00333A87" w:rsidRPr="00A20381">
        <w:t>credit</w:t>
      </w:r>
      <w:r w:rsidR="00333A87" w:rsidRPr="00A20381">
        <w:rPr>
          <w:spacing w:val="12"/>
        </w:rPr>
        <w:t xml:space="preserve"> </w:t>
      </w:r>
      <w:r w:rsidR="00333A87" w:rsidRPr="00A20381">
        <w:t xml:space="preserve">risk. </w:t>
      </w:r>
    </w:p>
    <w:p w:rsidR="00333A87" w:rsidRPr="00A20381" w:rsidRDefault="00333A87" w:rsidP="001A4FB4">
      <w:pPr>
        <w:pStyle w:val="Corpotesto"/>
        <w:spacing w:before="12" w:line="360" w:lineRule="auto"/>
        <w:ind w:left="113"/>
        <w:jc w:val="both"/>
      </w:pPr>
      <w:r w:rsidRPr="00A20381">
        <w:t>What happened when the system started to be fully flooded of liquidity?</w:t>
      </w:r>
    </w:p>
    <w:p w:rsidR="00333A87" w:rsidRDefault="00333A87" w:rsidP="001A4FB4">
      <w:pPr>
        <w:pStyle w:val="Corpotesto"/>
        <w:spacing w:line="360" w:lineRule="auto"/>
        <w:ind w:left="113" w:right="111"/>
        <w:jc w:val="both"/>
      </w:pPr>
      <w:r w:rsidRPr="00A20381">
        <w:t>On 6 September 2012, the ECB announced the potential</w:t>
      </w:r>
      <w:r w:rsidRPr="00A20381">
        <w:rPr>
          <w:spacing w:val="-3"/>
        </w:rPr>
        <w:t xml:space="preserve"> revival </w:t>
      </w:r>
      <w:r w:rsidRPr="00A20381">
        <w:t xml:space="preserve">of purchases of public securities already carried out in 2010 and in 2011 with the </w:t>
      </w:r>
      <w:r w:rsidRPr="00A20381">
        <w:rPr>
          <w:i/>
        </w:rPr>
        <w:t xml:space="preserve">Security Market </w:t>
      </w:r>
      <w:r w:rsidRPr="00A20381">
        <w:rPr>
          <w:i/>
          <w:spacing w:val="-5"/>
        </w:rPr>
        <w:t xml:space="preserve">Program </w:t>
      </w:r>
      <w:r w:rsidRPr="00A20381">
        <w:t>(</w:t>
      </w:r>
      <w:r w:rsidRPr="00A20381">
        <w:rPr>
          <w:i/>
        </w:rPr>
        <w:t>SMP</w:t>
      </w:r>
      <w:r w:rsidRPr="00A20381">
        <w:rPr>
          <w:spacing w:val="2"/>
        </w:rPr>
        <w:t>)</w:t>
      </w:r>
      <w:r w:rsidR="00E94085" w:rsidRPr="00A20381">
        <w:rPr>
          <w:rStyle w:val="Rimandonotaapidipagina"/>
          <w:spacing w:val="2"/>
        </w:rPr>
        <w:footnoteReference w:id="16"/>
      </w:r>
      <w:r w:rsidRPr="00A20381">
        <w:rPr>
          <w:spacing w:val="2"/>
        </w:rPr>
        <w:t xml:space="preserve">, </w:t>
      </w:r>
      <w:r w:rsidRPr="00A20381">
        <w:t xml:space="preserve">but this time on a scale potentially unlimited, that is the </w:t>
      </w:r>
      <w:r w:rsidRPr="00A20381">
        <w:rPr>
          <w:i/>
        </w:rPr>
        <w:t xml:space="preserve">Outright Monetary </w:t>
      </w:r>
      <w:r w:rsidRPr="00A20381">
        <w:rPr>
          <w:i/>
          <w:spacing w:val="-3"/>
        </w:rPr>
        <w:t xml:space="preserve">Transactions </w:t>
      </w:r>
      <w:r w:rsidRPr="00A20381">
        <w:t>(</w:t>
      </w:r>
      <w:r w:rsidRPr="00A20381">
        <w:rPr>
          <w:i/>
        </w:rPr>
        <w:t>OMT</w:t>
      </w:r>
      <w:r w:rsidRPr="00A20381">
        <w:t xml:space="preserve">) or </w:t>
      </w:r>
      <w:r w:rsidRPr="00A20381">
        <w:rPr>
          <w:spacing w:val="3"/>
        </w:rPr>
        <w:t>“</w:t>
      </w:r>
      <w:r w:rsidRPr="00A20381">
        <w:rPr>
          <w:i/>
          <w:spacing w:val="3"/>
        </w:rPr>
        <w:t xml:space="preserve">Big </w:t>
      </w:r>
      <w:r w:rsidRPr="00A20381">
        <w:rPr>
          <w:i/>
        </w:rPr>
        <w:t>Bazooka</w:t>
      </w:r>
      <w:r w:rsidRPr="00A20381">
        <w:t xml:space="preserve">”.  The </w:t>
      </w:r>
      <w:r w:rsidR="00E94085" w:rsidRPr="00A20381">
        <w:rPr>
          <w:i/>
        </w:rPr>
        <w:t>OMT was</w:t>
      </w:r>
      <w:r w:rsidR="00E94085" w:rsidRPr="00A20381">
        <w:rPr>
          <w:spacing w:val="-3"/>
        </w:rPr>
        <w:t xml:space="preserve"> certainly</w:t>
      </w:r>
      <w:r w:rsidR="00E94085" w:rsidRPr="00A20381">
        <w:t xml:space="preserve"> effective in reducing the long-term</w:t>
      </w:r>
      <w:r w:rsidRPr="00A20381">
        <w:t xml:space="preserve"> interest rates for Spain and Italy to more sustainable levels and in encouraging the recovery of interbank loans and the early </w:t>
      </w:r>
      <w:r w:rsidRPr="00A20381">
        <w:rPr>
          <w:spacing w:val="-2"/>
        </w:rPr>
        <w:t xml:space="preserve">repayment </w:t>
      </w:r>
      <w:r w:rsidRPr="00A20381">
        <w:t xml:space="preserve">of </w:t>
      </w:r>
      <w:r w:rsidRPr="00A20381">
        <w:rPr>
          <w:i/>
          <w:spacing w:val="-5"/>
        </w:rPr>
        <w:t xml:space="preserve">VLTRO </w:t>
      </w:r>
      <w:r w:rsidRPr="00A20381">
        <w:t xml:space="preserve">funds during the period 2013-14. Moreover, also the </w:t>
      </w:r>
      <w:r w:rsidRPr="00A20381">
        <w:rPr>
          <w:i/>
          <w:spacing w:val="-5"/>
        </w:rPr>
        <w:t xml:space="preserve">Target </w:t>
      </w:r>
      <w:r w:rsidRPr="00A20381">
        <w:rPr>
          <w:i/>
        </w:rPr>
        <w:t xml:space="preserve">2 </w:t>
      </w:r>
      <w:r w:rsidRPr="00A20381">
        <w:t xml:space="preserve">balances </w:t>
      </w:r>
      <w:r w:rsidRPr="00A20381">
        <w:rPr>
          <w:spacing w:val="-3"/>
        </w:rPr>
        <w:t xml:space="preserve">was </w:t>
      </w:r>
      <w:r w:rsidRPr="00A20381">
        <w:t>reduced (</w:t>
      </w:r>
      <w:proofErr w:type="spellStart"/>
      <w:r w:rsidRPr="00A20381">
        <w:rPr>
          <w:i/>
        </w:rPr>
        <w:t>Cesaratto</w:t>
      </w:r>
      <w:proofErr w:type="spellEnd"/>
      <w:r w:rsidRPr="00A20381">
        <w:t xml:space="preserve">, </w:t>
      </w:r>
      <w:r w:rsidRPr="00A20381">
        <w:rPr>
          <w:i/>
        </w:rPr>
        <w:t>2016</w:t>
      </w:r>
      <w:r w:rsidRPr="00A20381">
        <w:t xml:space="preserve">), as reported in the </w:t>
      </w:r>
      <w:r w:rsidRPr="00A20381">
        <w:rPr>
          <w:i/>
          <w:spacing w:val="-3"/>
        </w:rPr>
        <w:t xml:space="preserve">Figure </w:t>
      </w:r>
      <w:r w:rsidRPr="00A20381">
        <w:rPr>
          <w:i/>
        </w:rPr>
        <w:t>4</w:t>
      </w:r>
      <w:r w:rsidRPr="00A20381">
        <w:t>.</w:t>
      </w:r>
    </w:p>
    <w:p w:rsidR="00334825" w:rsidRDefault="00334825" w:rsidP="001A4FB4">
      <w:pPr>
        <w:pStyle w:val="Corpotesto"/>
        <w:spacing w:line="360" w:lineRule="auto"/>
        <w:ind w:left="113" w:right="111"/>
        <w:jc w:val="both"/>
      </w:pPr>
    </w:p>
    <w:p w:rsidR="00334825" w:rsidRDefault="00334825" w:rsidP="001A4FB4">
      <w:pPr>
        <w:pStyle w:val="Corpotesto"/>
        <w:spacing w:line="360" w:lineRule="auto"/>
        <w:ind w:left="113" w:right="111"/>
        <w:jc w:val="both"/>
      </w:pPr>
    </w:p>
    <w:p w:rsidR="00334825" w:rsidRDefault="00334825" w:rsidP="001A4FB4">
      <w:pPr>
        <w:pStyle w:val="Corpotesto"/>
        <w:spacing w:line="360" w:lineRule="auto"/>
        <w:ind w:left="113" w:right="111"/>
        <w:jc w:val="both"/>
      </w:pPr>
    </w:p>
    <w:p w:rsidR="00334825" w:rsidRDefault="00334825" w:rsidP="001A4FB4">
      <w:pPr>
        <w:pStyle w:val="Corpotesto"/>
        <w:spacing w:line="360" w:lineRule="auto"/>
        <w:ind w:left="113" w:right="111"/>
        <w:jc w:val="both"/>
      </w:pPr>
    </w:p>
    <w:p w:rsidR="00334825" w:rsidRDefault="00334825" w:rsidP="001A4FB4">
      <w:pPr>
        <w:pStyle w:val="Corpotesto"/>
        <w:spacing w:line="360" w:lineRule="auto"/>
        <w:ind w:left="113" w:right="111"/>
        <w:jc w:val="both"/>
      </w:pPr>
    </w:p>
    <w:p w:rsidR="00334825" w:rsidRDefault="00334825" w:rsidP="001A4FB4">
      <w:pPr>
        <w:pStyle w:val="Corpotesto"/>
        <w:spacing w:line="360" w:lineRule="auto"/>
        <w:ind w:left="113" w:right="111"/>
        <w:jc w:val="both"/>
      </w:pPr>
    </w:p>
    <w:p w:rsidR="00334825" w:rsidRDefault="00334825" w:rsidP="001A4FB4">
      <w:pPr>
        <w:pStyle w:val="Corpotesto"/>
        <w:spacing w:line="360" w:lineRule="auto"/>
        <w:ind w:left="113" w:right="111"/>
        <w:jc w:val="both"/>
      </w:pPr>
    </w:p>
    <w:p w:rsidR="00334825" w:rsidRDefault="00334825" w:rsidP="001A4FB4">
      <w:pPr>
        <w:pStyle w:val="Corpotesto"/>
        <w:spacing w:line="360" w:lineRule="auto"/>
        <w:ind w:left="113" w:right="111"/>
        <w:jc w:val="both"/>
      </w:pPr>
    </w:p>
    <w:p w:rsidR="00334825" w:rsidRDefault="00334825" w:rsidP="001A4FB4">
      <w:pPr>
        <w:pStyle w:val="Corpotesto"/>
        <w:spacing w:line="360" w:lineRule="auto"/>
        <w:ind w:left="113" w:right="111"/>
        <w:jc w:val="both"/>
      </w:pPr>
    </w:p>
    <w:p w:rsidR="00334825" w:rsidRDefault="00334825" w:rsidP="001A4FB4">
      <w:pPr>
        <w:pStyle w:val="Corpotesto"/>
        <w:spacing w:line="360" w:lineRule="auto"/>
        <w:ind w:left="113" w:right="111"/>
        <w:jc w:val="both"/>
      </w:pPr>
    </w:p>
    <w:p w:rsidR="00334825" w:rsidRDefault="00334825" w:rsidP="001A4FB4">
      <w:pPr>
        <w:pStyle w:val="Corpotesto"/>
        <w:spacing w:line="360" w:lineRule="auto"/>
        <w:ind w:left="113" w:right="111"/>
        <w:jc w:val="both"/>
      </w:pPr>
    </w:p>
    <w:p w:rsidR="00334825" w:rsidRDefault="00334825" w:rsidP="001A4FB4">
      <w:pPr>
        <w:pStyle w:val="Corpotesto"/>
        <w:spacing w:line="360" w:lineRule="auto"/>
        <w:ind w:left="113" w:right="111"/>
        <w:jc w:val="both"/>
      </w:pPr>
    </w:p>
    <w:p w:rsidR="00334825" w:rsidRDefault="00334825" w:rsidP="001A4FB4">
      <w:pPr>
        <w:pStyle w:val="Corpotesto"/>
        <w:spacing w:line="360" w:lineRule="auto"/>
        <w:ind w:left="113" w:right="111"/>
        <w:jc w:val="both"/>
      </w:pPr>
    </w:p>
    <w:p w:rsidR="00334825" w:rsidRPr="00A20381" w:rsidRDefault="00334825" w:rsidP="001A4FB4">
      <w:pPr>
        <w:pStyle w:val="Corpotesto"/>
        <w:spacing w:line="360" w:lineRule="auto"/>
        <w:ind w:left="113" w:right="111"/>
        <w:jc w:val="both"/>
      </w:pPr>
    </w:p>
    <w:p w:rsidR="000377FF" w:rsidRPr="00C677BE" w:rsidRDefault="00C677BE" w:rsidP="001A4FB4">
      <w:pPr>
        <w:pStyle w:val="Corpotesto"/>
        <w:spacing w:before="84" w:line="360" w:lineRule="auto"/>
        <w:ind w:right="110" w:firstLine="113"/>
        <w:jc w:val="both"/>
      </w:pPr>
      <w:r w:rsidRPr="00A20381">
        <w:rPr>
          <w:b/>
        </w:rPr>
        <w:lastRenderedPageBreak/>
        <w:t xml:space="preserve">Figure 4 </w:t>
      </w:r>
      <w:r w:rsidRPr="00A20381">
        <w:t xml:space="preserve">- </w:t>
      </w:r>
      <w:r w:rsidRPr="00A20381">
        <w:rPr>
          <w:i/>
        </w:rPr>
        <w:t xml:space="preserve">Target 2 balances </w:t>
      </w:r>
      <w:r w:rsidRPr="00A20381">
        <w:t>(</w:t>
      </w:r>
      <w:r w:rsidRPr="00A20381">
        <w:rPr>
          <w:i/>
        </w:rPr>
        <w:t xml:space="preserve">Italy </w:t>
      </w:r>
      <w:proofErr w:type="spellStart"/>
      <w:r w:rsidRPr="00A20381">
        <w:rPr>
          <w:i/>
        </w:rPr>
        <w:t>vs</w:t>
      </w:r>
      <w:proofErr w:type="spellEnd"/>
      <w:r w:rsidRPr="00A20381">
        <w:rPr>
          <w:i/>
        </w:rPr>
        <w:t xml:space="preserve"> Germany</w:t>
      </w:r>
      <w:r>
        <w:t>)</w:t>
      </w:r>
    </w:p>
    <w:p w:rsidR="00E74FF8" w:rsidRDefault="00E85B85" w:rsidP="001A4FB4">
      <w:pPr>
        <w:spacing w:before="84" w:line="360" w:lineRule="auto"/>
        <w:ind w:left="113"/>
        <w:jc w:val="both"/>
        <w:rPr>
          <w:sz w:val="20"/>
        </w:rPr>
      </w:pPr>
      <w:r w:rsidRPr="00A20381">
        <w:rPr>
          <w:noProof/>
          <w:lang w:val="it-IT" w:eastAsia="it-IT"/>
        </w:rPr>
        <w:drawing>
          <wp:anchor distT="0" distB="0" distL="0" distR="0" simplePos="0" relativeHeight="251655680" behindDoc="0" locked="0" layoutInCell="1" allowOverlap="1" wp14:anchorId="5D963968" wp14:editId="672537F3">
            <wp:simplePos x="0" y="0"/>
            <wp:positionH relativeFrom="page">
              <wp:posOffset>720001</wp:posOffset>
            </wp:positionH>
            <wp:positionV relativeFrom="paragraph">
              <wp:posOffset>230203</wp:posOffset>
            </wp:positionV>
            <wp:extent cx="4789931" cy="3483102"/>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3" cstate="print"/>
                    <a:stretch>
                      <a:fillRect/>
                    </a:stretch>
                  </pic:blipFill>
                  <pic:spPr>
                    <a:xfrm>
                      <a:off x="0" y="0"/>
                      <a:ext cx="4789931" cy="3483102"/>
                    </a:xfrm>
                    <a:prstGeom prst="rect">
                      <a:avLst/>
                    </a:prstGeom>
                  </pic:spPr>
                </pic:pic>
              </a:graphicData>
            </a:graphic>
            <wp14:sizeRelH relativeFrom="margin">
              <wp14:pctWidth>0</wp14:pctWidth>
            </wp14:sizeRelH>
            <wp14:sizeRelV relativeFrom="margin">
              <wp14:pctHeight>0</wp14:pctHeight>
            </wp14:sizeRelV>
          </wp:anchor>
        </w:drawing>
      </w:r>
      <w:r w:rsidR="00C677BE">
        <w:rPr>
          <w:sz w:val="20"/>
        </w:rPr>
        <w:t xml:space="preserve"> </w:t>
      </w:r>
    </w:p>
    <w:p w:rsidR="000377FF" w:rsidRDefault="00E85B85" w:rsidP="001A4FB4">
      <w:pPr>
        <w:spacing w:before="84" w:line="360" w:lineRule="auto"/>
        <w:ind w:left="113"/>
        <w:jc w:val="both"/>
        <w:rPr>
          <w:w w:val="105"/>
          <w:sz w:val="20"/>
        </w:rPr>
      </w:pPr>
      <w:r w:rsidRPr="00A20381">
        <w:rPr>
          <w:i/>
          <w:w w:val="105"/>
          <w:sz w:val="20"/>
        </w:rPr>
        <w:t>Source</w:t>
      </w:r>
      <w:r w:rsidRPr="00A20381">
        <w:rPr>
          <w:w w:val="105"/>
          <w:sz w:val="20"/>
        </w:rPr>
        <w:t xml:space="preserve">: </w:t>
      </w:r>
      <w:r w:rsidR="00977775">
        <w:rPr>
          <w:w w:val="105"/>
          <w:sz w:val="20"/>
        </w:rPr>
        <w:t xml:space="preserve">author’s calculation in </w:t>
      </w:r>
      <w:r w:rsidRPr="00A20381">
        <w:rPr>
          <w:w w:val="105"/>
          <w:sz w:val="20"/>
        </w:rPr>
        <w:t>Bloomberg</w:t>
      </w:r>
    </w:p>
    <w:p w:rsidR="009C31DC" w:rsidRPr="00A20381" w:rsidRDefault="009C31DC" w:rsidP="001A4FB4">
      <w:pPr>
        <w:spacing w:before="84" w:line="360" w:lineRule="auto"/>
        <w:ind w:left="113"/>
        <w:jc w:val="both"/>
        <w:rPr>
          <w:sz w:val="20"/>
        </w:rPr>
      </w:pPr>
    </w:p>
    <w:p w:rsidR="000377FF" w:rsidRPr="00A20381" w:rsidRDefault="00E85B85" w:rsidP="001A4FB4">
      <w:pPr>
        <w:pStyle w:val="Corpotesto"/>
        <w:spacing w:line="360" w:lineRule="auto"/>
        <w:ind w:left="113" w:right="110"/>
        <w:jc w:val="both"/>
      </w:pPr>
      <w:r w:rsidRPr="00A20381">
        <w:t xml:space="preserve">This measure </w:t>
      </w:r>
      <w:r w:rsidRPr="00A20381">
        <w:rPr>
          <w:spacing w:val="-3"/>
        </w:rPr>
        <w:t xml:space="preserve">was </w:t>
      </w:r>
      <w:r w:rsidRPr="00A20381">
        <w:t xml:space="preserve">fundamental in order to stabilize markets and convince the financial operators that it would </w:t>
      </w:r>
      <w:r w:rsidR="00384594">
        <w:t xml:space="preserve">not </w:t>
      </w:r>
      <w:r w:rsidRPr="00A20381">
        <w:rPr>
          <w:spacing w:val="-3"/>
        </w:rPr>
        <w:t>have</w:t>
      </w:r>
      <w:r w:rsidRPr="00A20381">
        <w:rPr>
          <w:spacing w:val="-7"/>
        </w:rPr>
        <w:t xml:space="preserve"> </w:t>
      </w:r>
      <w:r w:rsidRPr="00A20381">
        <w:t>been</w:t>
      </w:r>
      <w:r w:rsidRPr="00A20381">
        <w:rPr>
          <w:spacing w:val="-7"/>
        </w:rPr>
        <w:t xml:space="preserve"> </w:t>
      </w:r>
      <w:r w:rsidRPr="00A20381">
        <w:t>worthwhile</w:t>
      </w:r>
      <w:r w:rsidRPr="00A20381">
        <w:rPr>
          <w:spacing w:val="-7"/>
        </w:rPr>
        <w:t xml:space="preserve"> </w:t>
      </w:r>
      <w:r w:rsidRPr="00A20381">
        <w:t>(for</w:t>
      </w:r>
      <w:r w:rsidRPr="00A20381">
        <w:rPr>
          <w:spacing w:val="-8"/>
        </w:rPr>
        <w:t xml:space="preserve"> </w:t>
      </w:r>
      <w:r w:rsidRPr="00A20381">
        <w:t>them)</w:t>
      </w:r>
      <w:r w:rsidRPr="00A20381">
        <w:rPr>
          <w:spacing w:val="-7"/>
        </w:rPr>
        <w:t xml:space="preserve"> </w:t>
      </w:r>
      <w:r w:rsidRPr="00A20381">
        <w:t>to</w:t>
      </w:r>
      <w:r w:rsidRPr="00A20381">
        <w:rPr>
          <w:spacing w:val="-7"/>
        </w:rPr>
        <w:t xml:space="preserve"> </w:t>
      </w:r>
      <w:r w:rsidRPr="00A20381">
        <w:rPr>
          <w:spacing w:val="-3"/>
        </w:rPr>
        <w:t>move</w:t>
      </w:r>
      <w:r w:rsidRPr="00A20381">
        <w:rPr>
          <w:spacing w:val="-7"/>
        </w:rPr>
        <w:t xml:space="preserve"> </w:t>
      </w:r>
      <w:r w:rsidRPr="00A20381">
        <w:t>against</w:t>
      </w:r>
      <w:r w:rsidRPr="00A20381">
        <w:rPr>
          <w:spacing w:val="-7"/>
        </w:rPr>
        <w:t xml:space="preserve"> </w:t>
      </w:r>
      <w:r w:rsidRPr="00A20381">
        <w:t>the</w:t>
      </w:r>
      <w:r w:rsidRPr="00A20381">
        <w:rPr>
          <w:spacing w:val="-8"/>
        </w:rPr>
        <w:t xml:space="preserve"> </w:t>
      </w:r>
      <w:r w:rsidRPr="00A20381">
        <w:t>ECB</w:t>
      </w:r>
      <w:r w:rsidRPr="00A20381">
        <w:rPr>
          <w:spacing w:val="-7"/>
        </w:rPr>
        <w:t xml:space="preserve"> </w:t>
      </w:r>
      <w:r w:rsidRPr="00A20381">
        <w:rPr>
          <w:spacing w:val="-3"/>
        </w:rPr>
        <w:t>policy.</w:t>
      </w:r>
      <w:r w:rsidRPr="00A20381">
        <w:rPr>
          <w:spacing w:val="12"/>
        </w:rPr>
        <w:t xml:space="preserve"> </w:t>
      </w:r>
      <w:r w:rsidRPr="00A20381">
        <w:rPr>
          <w:spacing w:val="-3"/>
        </w:rPr>
        <w:t>Naturally,</w:t>
      </w:r>
      <w:r w:rsidRPr="00A20381">
        <w:rPr>
          <w:spacing w:val="-6"/>
        </w:rPr>
        <w:t xml:space="preserve"> </w:t>
      </w:r>
      <w:r w:rsidRPr="00A20381">
        <w:t>the</w:t>
      </w:r>
      <w:r w:rsidRPr="00A20381">
        <w:rPr>
          <w:spacing w:val="-7"/>
        </w:rPr>
        <w:t xml:space="preserve"> </w:t>
      </w:r>
      <w:r w:rsidRPr="00A20381">
        <w:t>amount</w:t>
      </w:r>
      <w:r w:rsidRPr="00A20381">
        <w:rPr>
          <w:spacing w:val="-7"/>
        </w:rPr>
        <w:t xml:space="preserve"> </w:t>
      </w:r>
      <w:r w:rsidRPr="00A20381">
        <w:t>of</w:t>
      </w:r>
      <w:r w:rsidRPr="00A20381">
        <w:rPr>
          <w:spacing w:val="-8"/>
        </w:rPr>
        <w:t xml:space="preserve"> </w:t>
      </w:r>
      <w:r w:rsidRPr="00A20381">
        <w:t>(low-cost</w:t>
      </w:r>
      <w:r w:rsidR="00E94085" w:rsidRPr="00A20381">
        <w:rPr>
          <w:rStyle w:val="Rimandonotaapidipagina"/>
        </w:rPr>
        <w:footnoteReference w:id="17"/>
      </w:r>
      <w:r w:rsidRPr="00A20381">
        <w:t>)</w:t>
      </w:r>
      <w:r w:rsidRPr="00A20381">
        <w:rPr>
          <w:spacing w:val="-7"/>
        </w:rPr>
        <w:t xml:space="preserve"> </w:t>
      </w:r>
      <w:r w:rsidR="00E94085" w:rsidRPr="00A20381">
        <w:t>liquid</w:t>
      </w:r>
      <w:r w:rsidRPr="00A20381">
        <w:rPr>
          <w:spacing w:val="-3"/>
        </w:rPr>
        <w:t>ity</w:t>
      </w:r>
      <w:r w:rsidRPr="00A20381">
        <w:rPr>
          <w:spacing w:val="-13"/>
        </w:rPr>
        <w:t xml:space="preserve"> </w:t>
      </w:r>
      <w:r w:rsidRPr="00A20381">
        <w:t>provided</w:t>
      </w:r>
      <w:r w:rsidRPr="00A20381">
        <w:rPr>
          <w:spacing w:val="-12"/>
        </w:rPr>
        <w:t xml:space="preserve"> </w:t>
      </w:r>
      <w:r w:rsidRPr="00A20381">
        <w:rPr>
          <w:spacing w:val="-3"/>
        </w:rPr>
        <w:t>by</w:t>
      </w:r>
      <w:r w:rsidRPr="00A20381">
        <w:rPr>
          <w:spacing w:val="-12"/>
        </w:rPr>
        <w:t xml:space="preserve"> </w:t>
      </w:r>
      <w:r w:rsidRPr="00A20381">
        <w:t>the</w:t>
      </w:r>
      <w:r w:rsidRPr="00A20381">
        <w:rPr>
          <w:spacing w:val="-12"/>
        </w:rPr>
        <w:t xml:space="preserve"> </w:t>
      </w:r>
      <w:r w:rsidRPr="00A20381">
        <w:t>Central</w:t>
      </w:r>
      <w:r w:rsidRPr="00A20381">
        <w:rPr>
          <w:spacing w:val="-12"/>
        </w:rPr>
        <w:t xml:space="preserve"> </w:t>
      </w:r>
      <w:r w:rsidRPr="00A20381">
        <w:t>Bank</w:t>
      </w:r>
      <w:r w:rsidRPr="00A20381">
        <w:rPr>
          <w:spacing w:val="-12"/>
        </w:rPr>
        <w:t xml:space="preserve"> </w:t>
      </w:r>
      <w:r w:rsidRPr="00A20381">
        <w:t>has</w:t>
      </w:r>
      <w:r w:rsidRPr="00A20381">
        <w:rPr>
          <w:spacing w:val="-11"/>
        </w:rPr>
        <w:t xml:space="preserve"> </w:t>
      </w:r>
      <w:r w:rsidRPr="00A20381">
        <w:t>been</w:t>
      </w:r>
      <w:r w:rsidRPr="00A20381">
        <w:rPr>
          <w:spacing w:val="-12"/>
        </w:rPr>
        <w:t xml:space="preserve"> </w:t>
      </w:r>
      <w:r w:rsidRPr="00A20381">
        <w:t>enough</w:t>
      </w:r>
      <w:r w:rsidRPr="00A20381">
        <w:rPr>
          <w:spacing w:val="-11"/>
        </w:rPr>
        <w:t xml:space="preserve"> </w:t>
      </w:r>
      <w:r w:rsidRPr="00A20381">
        <w:t>both</w:t>
      </w:r>
      <w:r w:rsidRPr="00A20381">
        <w:rPr>
          <w:spacing w:val="-12"/>
        </w:rPr>
        <w:t xml:space="preserve"> </w:t>
      </w:r>
      <w:r w:rsidRPr="00A20381">
        <w:t>to</w:t>
      </w:r>
      <w:r w:rsidRPr="00A20381">
        <w:rPr>
          <w:spacing w:val="-12"/>
        </w:rPr>
        <w:t xml:space="preserve"> </w:t>
      </w:r>
      <w:r w:rsidRPr="00A20381">
        <w:t>stimulate</w:t>
      </w:r>
      <w:r w:rsidRPr="00A20381">
        <w:rPr>
          <w:spacing w:val="-12"/>
        </w:rPr>
        <w:t xml:space="preserve"> </w:t>
      </w:r>
      <w:r w:rsidRPr="00A20381">
        <w:t>the</w:t>
      </w:r>
      <w:r w:rsidRPr="00A20381">
        <w:rPr>
          <w:spacing w:val="-12"/>
        </w:rPr>
        <w:t xml:space="preserve"> </w:t>
      </w:r>
      <w:r w:rsidRPr="00A20381">
        <w:rPr>
          <w:spacing w:val="-3"/>
        </w:rPr>
        <w:t>revival</w:t>
      </w:r>
      <w:r w:rsidRPr="00A20381">
        <w:rPr>
          <w:spacing w:val="-12"/>
        </w:rPr>
        <w:t xml:space="preserve"> </w:t>
      </w:r>
      <w:r w:rsidRPr="00A20381">
        <w:t>of</w:t>
      </w:r>
      <w:r w:rsidRPr="00A20381">
        <w:rPr>
          <w:spacing w:val="-12"/>
        </w:rPr>
        <w:t xml:space="preserve"> </w:t>
      </w:r>
      <w:r w:rsidRPr="00A20381">
        <w:t>trust</w:t>
      </w:r>
      <w:r w:rsidRPr="00A20381">
        <w:rPr>
          <w:spacing w:val="-13"/>
        </w:rPr>
        <w:t xml:space="preserve"> </w:t>
      </w:r>
      <w:r w:rsidRPr="00A20381">
        <w:t>in</w:t>
      </w:r>
      <w:r w:rsidRPr="00A20381">
        <w:rPr>
          <w:spacing w:val="-12"/>
        </w:rPr>
        <w:t xml:space="preserve"> </w:t>
      </w:r>
      <w:r w:rsidRPr="00A20381">
        <w:t>the</w:t>
      </w:r>
      <w:r w:rsidRPr="00A20381">
        <w:rPr>
          <w:spacing w:val="-12"/>
        </w:rPr>
        <w:t xml:space="preserve"> </w:t>
      </w:r>
      <w:r w:rsidRPr="00A20381">
        <w:t>interbank</w:t>
      </w:r>
      <w:r w:rsidRPr="00A20381">
        <w:rPr>
          <w:spacing w:val="-12"/>
        </w:rPr>
        <w:t xml:space="preserve"> </w:t>
      </w:r>
      <w:r w:rsidRPr="00A20381">
        <w:t>market</w:t>
      </w:r>
      <w:r w:rsidRPr="00A20381">
        <w:rPr>
          <w:spacing w:val="-11"/>
        </w:rPr>
        <w:t xml:space="preserve"> </w:t>
      </w:r>
      <w:r w:rsidRPr="00A20381">
        <w:t xml:space="preserve">and to allow banks to realize genuine </w:t>
      </w:r>
      <w:r w:rsidRPr="00A20381">
        <w:rPr>
          <w:i/>
          <w:spacing w:val="-6"/>
        </w:rPr>
        <w:t xml:space="preserve">free </w:t>
      </w:r>
      <w:r w:rsidRPr="00A20381">
        <w:rPr>
          <w:i/>
        </w:rPr>
        <w:t xml:space="preserve">lunches </w:t>
      </w:r>
      <w:r w:rsidRPr="00A20381">
        <w:t xml:space="preserve">(or </w:t>
      </w:r>
      <w:r w:rsidRPr="00A20381">
        <w:rPr>
          <w:i/>
        </w:rPr>
        <w:t>arbitrage</w:t>
      </w:r>
      <w:r w:rsidRPr="00A20381">
        <w:t xml:space="preserve">s) </w:t>
      </w:r>
      <w:r w:rsidRPr="00A20381">
        <w:rPr>
          <w:spacing w:val="-3"/>
        </w:rPr>
        <w:t xml:space="preserve">by </w:t>
      </w:r>
      <w:r w:rsidRPr="00A20381">
        <w:t>investing in government bonds. CDSs, in a system that</w:t>
      </w:r>
      <w:r w:rsidRPr="00A20381">
        <w:rPr>
          <w:spacing w:val="-3"/>
        </w:rPr>
        <w:t xml:space="preserve"> </w:t>
      </w:r>
      <w:r w:rsidRPr="00A20381">
        <w:t>already</w:t>
      </w:r>
      <w:r w:rsidRPr="00A20381">
        <w:rPr>
          <w:spacing w:val="-3"/>
        </w:rPr>
        <w:t xml:space="preserve"> </w:t>
      </w:r>
      <w:r w:rsidRPr="00A20381">
        <w:t>recorded</w:t>
      </w:r>
      <w:r w:rsidRPr="00A20381">
        <w:rPr>
          <w:spacing w:val="-3"/>
        </w:rPr>
        <w:t xml:space="preserve"> </w:t>
      </w:r>
      <w:r w:rsidRPr="00A20381">
        <w:t>high</w:t>
      </w:r>
      <w:r w:rsidRPr="00A20381">
        <w:rPr>
          <w:spacing w:val="-3"/>
        </w:rPr>
        <w:t xml:space="preserve"> </w:t>
      </w:r>
      <w:r w:rsidRPr="00A20381">
        <w:t>amount</w:t>
      </w:r>
      <w:r w:rsidRPr="00A20381">
        <w:rPr>
          <w:spacing w:val="-3"/>
        </w:rPr>
        <w:t xml:space="preserve"> </w:t>
      </w:r>
      <w:r w:rsidRPr="00A20381">
        <w:t>of</w:t>
      </w:r>
      <w:r w:rsidRPr="00A20381">
        <w:rPr>
          <w:spacing w:val="-2"/>
        </w:rPr>
        <w:t xml:space="preserve"> </w:t>
      </w:r>
      <w:r w:rsidRPr="00A20381">
        <w:t>outstanding</w:t>
      </w:r>
      <w:r w:rsidRPr="00A20381">
        <w:rPr>
          <w:spacing w:val="-4"/>
        </w:rPr>
        <w:t xml:space="preserve"> </w:t>
      </w:r>
      <w:r w:rsidRPr="00A20381">
        <w:t>cash,</w:t>
      </w:r>
      <w:r w:rsidRPr="00A20381">
        <w:rPr>
          <w:spacing w:val="-1"/>
        </w:rPr>
        <w:t xml:space="preserve"> </w:t>
      </w:r>
      <w:r w:rsidRPr="00A20381">
        <w:rPr>
          <w:spacing w:val="-3"/>
        </w:rPr>
        <w:t xml:space="preserve">was </w:t>
      </w:r>
      <w:r w:rsidRPr="00A20381">
        <w:t>no</w:t>
      </w:r>
      <w:r w:rsidRPr="00A20381">
        <w:rPr>
          <w:spacing w:val="-2"/>
        </w:rPr>
        <w:t xml:space="preserve"> </w:t>
      </w:r>
      <w:r w:rsidRPr="00A20381">
        <w:t>longer</w:t>
      </w:r>
      <w:r w:rsidRPr="00A20381">
        <w:rPr>
          <w:spacing w:val="-3"/>
        </w:rPr>
        <w:t xml:space="preserve"> </w:t>
      </w:r>
      <w:r w:rsidRPr="00A20381">
        <w:t>considered</w:t>
      </w:r>
      <w:r w:rsidRPr="00A20381">
        <w:rPr>
          <w:spacing w:val="-3"/>
        </w:rPr>
        <w:t xml:space="preserve"> </w:t>
      </w:r>
      <w:r w:rsidRPr="00A20381">
        <w:t>as</w:t>
      </w:r>
      <w:r w:rsidRPr="00A20381">
        <w:rPr>
          <w:spacing w:val="-2"/>
        </w:rPr>
        <w:t xml:space="preserve"> </w:t>
      </w:r>
      <w:r w:rsidRPr="00A20381">
        <w:t>benchmark</w:t>
      </w:r>
      <w:r w:rsidRPr="00A20381">
        <w:rPr>
          <w:spacing w:val="-3"/>
        </w:rPr>
        <w:t xml:space="preserve"> </w:t>
      </w:r>
      <w:r w:rsidRPr="00A20381">
        <w:t>of</w:t>
      </w:r>
      <w:r w:rsidRPr="00A20381">
        <w:rPr>
          <w:spacing w:val="-3"/>
        </w:rPr>
        <w:t xml:space="preserve"> </w:t>
      </w:r>
      <w:r w:rsidRPr="00A20381">
        <w:t>the</w:t>
      </w:r>
      <w:r w:rsidRPr="00A20381">
        <w:rPr>
          <w:spacing w:val="-2"/>
        </w:rPr>
        <w:t xml:space="preserve"> </w:t>
      </w:r>
      <w:r w:rsidRPr="00A20381">
        <w:t>sovereign credit</w:t>
      </w:r>
      <w:r w:rsidRPr="00A20381">
        <w:rPr>
          <w:spacing w:val="-12"/>
        </w:rPr>
        <w:t xml:space="preserve"> </w:t>
      </w:r>
      <w:r w:rsidRPr="00A20381">
        <w:t>risk:</w:t>
      </w:r>
      <w:r w:rsidRPr="00A20381">
        <w:rPr>
          <w:spacing w:val="5"/>
        </w:rPr>
        <w:t xml:space="preserve"> </w:t>
      </w:r>
      <w:r w:rsidRPr="00A20381">
        <w:t>the</w:t>
      </w:r>
      <w:r w:rsidRPr="00A20381">
        <w:rPr>
          <w:spacing w:val="-11"/>
        </w:rPr>
        <w:t xml:space="preserve"> </w:t>
      </w:r>
      <w:r w:rsidRPr="00A20381">
        <w:t>level</w:t>
      </w:r>
      <w:r w:rsidRPr="00A20381">
        <w:rPr>
          <w:spacing w:val="-11"/>
        </w:rPr>
        <w:t xml:space="preserve"> </w:t>
      </w:r>
      <w:r w:rsidRPr="00A20381">
        <w:t>of</w:t>
      </w:r>
      <w:r w:rsidRPr="00A20381">
        <w:rPr>
          <w:spacing w:val="-12"/>
        </w:rPr>
        <w:t xml:space="preserve"> </w:t>
      </w:r>
      <w:r w:rsidRPr="00A20381">
        <w:t>trades</w:t>
      </w:r>
      <w:r w:rsidRPr="00A20381">
        <w:rPr>
          <w:spacing w:val="-11"/>
        </w:rPr>
        <w:t xml:space="preserve"> </w:t>
      </w:r>
      <w:r w:rsidRPr="00A20381">
        <w:t>were</w:t>
      </w:r>
      <w:r w:rsidRPr="00A20381">
        <w:rPr>
          <w:spacing w:val="-11"/>
        </w:rPr>
        <w:t xml:space="preserve"> </w:t>
      </w:r>
      <w:r w:rsidRPr="00A20381">
        <w:t>sporadic</w:t>
      </w:r>
      <w:r w:rsidRPr="00A20381">
        <w:rPr>
          <w:spacing w:val="-11"/>
        </w:rPr>
        <w:t xml:space="preserve"> </w:t>
      </w:r>
      <w:r w:rsidRPr="00A20381">
        <w:t>because</w:t>
      </w:r>
      <w:r w:rsidRPr="00A20381">
        <w:rPr>
          <w:spacing w:val="-11"/>
        </w:rPr>
        <w:t xml:space="preserve"> </w:t>
      </w:r>
      <w:r w:rsidRPr="00A20381">
        <w:t>of</w:t>
      </w:r>
      <w:r w:rsidRPr="00A20381">
        <w:rPr>
          <w:spacing w:val="-11"/>
        </w:rPr>
        <w:t xml:space="preserve"> </w:t>
      </w:r>
      <w:r w:rsidRPr="00A20381">
        <w:t>the</w:t>
      </w:r>
      <w:r w:rsidRPr="00A20381">
        <w:rPr>
          <w:spacing w:val="-11"/>
        </w:rPr>
        <w:t xml:space="preserve"> </w:t>
      </w:r>
      <w:r w:rsidRPr="00A20381">
        <w:t>increased</w:t>
      </w:r>
      <w:r w:rsidRPr="00A20381">
        <w:rPr>
          <w:spacing w:val="-11"/>
        </w:rPr>
        <w:t xml:space="preserve"> </w:t>
      </w:r>
      <w:r w:rsidRPr="00A20381">
        <w:t>counterparty</w:t>
      </w:r>
      <w:r w:rsidRPr="00A20381">
        <w:rPr>
          <w:spacing w:val="-11"/>
        </w:rPr>
        <w:t xml:space="preserve"> </w:t>
      </w:r>
      <w:r w:rsidRPr="00A20381">
        <w:t>risk</w:t>
      </w:r>
      <w:r w:rsidRPr="00A20381">
        <w:rPr>
          <w:spacing w:val="-11"/>
        </w:rPr>
        <w:t xml:space="preserve"> </w:t>
      </w:r>
      <w:r w:rsidRPr="00A20381">
        <w:t>perceived</w:t>
      </w:r>
      <w:r w:rsidRPr="00A20381">
        <w:rPr>
          <w:spacing w:val="-11"/>
        </w:rPr>
        <w:t xml:space="preserve"> </w:t>
      </w:r>
      <w:r w:rsidRPr="00A20381">
        <w:rPr>
          <w:spacing w:val="-3"/>
        </w:rPr>
        <w:t>by</w:t>
      </w:r>
      <w:r w:rsidRPr="00A20381">
        <w:rPr>
          <w:spacing w:val="-11"/>
        </w:rPr>
        <w:t xml:space="preserve"> </w:t>
      </w:r>
      <w:r w:rsidRPr="00A20381">
        <w:t>operators</w:t>
      </w:r>
      <w:r w:rsidRPr="00A20381">
        <w:rPr>
          <w:spacing w:val="-11"/>
        </w:rPr>
        <w:t xml:space="preserve"> </w:t>
      </w:r>
      <w:r w:rsidRPr="00A20381">
        <w:t>that continued</w:t>
      </w:r>
      <w:r w:rsidRPr="00A20381">
        <w:rPr>
          <w:spacing w:val="-5"/>
        </w:rPr>
        <w:t xml:space="preserve"> </w:t>
      </w:r>
      <w:r w:rsidRPr="00A20381">
        <w:t>to</w:t>
      </w:r>
      <w:r w:rsidRPr="00A20381">
        <w:rPr>
          <w:spacing w:val="-4"/>
        </w:rPr>
        <w:t xml:space="preserve"> </w:t>
      </w:r>
      <w:r w:rsidRPr="00A20381">
        <w:t>prefer</w:t>
      </w:r>
      <w:r w:rsidRPr="00A20381">
        <w:rPr>
          <w:spacing w:val="-4"/>
        </w:rPr>
        <w:t xml:space="preserve"> </w:t>
      </w:r>
      <w:r w:rsidRPr="00A20381">
        <w:t>liquid</w:t>
      </w:r>
      <w:r w:rsidRPr="00A20381">
        <w:rPr>
          <w:spacing w:val="-4"/>
        </w:rPr>
        <w:t xml:space="preserve"> </w:t>
      </w:r>
      <w:r w:rsidRPr="00A20381">
        <w:t>instruments.</w:t>
      </w:r>
      <w:r w:rsidRPr="00A20381">
        <w:rPr>
          <w:spacing w:val="19"/>
        </w:rPr>
        <w:t xml:space="preserve"> </w:t>
      </w:r>
      <w:r w:rsidRPr="00A20381">
        <w:t>The</w:t>
      </w:r>
      <w:r w:rsidRPr="00A20381">
        <w:rPr>
          <w:spacing w:val="-4"/>
        </w:rPr>
        <w:t xml:space="preserve"> </w:t>
      </w:r>
      <w:r w:rsidRPr="00A20381">
        <w:t>whole</w:t>
      </w:r>
      <w:r w:rsidRPr="00A20381">
        <w:rPr>
          <w:spacing w:val="-4"/>
        </w:rPr>
        <w:t xml:space="preserve"> </w:t>
      </w:r>
      <w:r w:rsidRPr="00A20381">
        <w:t>attention</w:t>
      </w:r>
      <w:r w:rsidRPr="00A20381">
        <w:rPr>
          <w:spacing w:val="-5"/>
        </w:rPr>
        <w:t xml:space="preserve"> </w:t>
      </w:r>
      <w:r w:rsidRPr="00A20381">
        <w:t>of</w:t>
      </w:r>
      <w:r w:rsidRPr="00A20381">
        <w:rPr>
          <w:spacing w:val="-4"/>
        </w:rPr>
        <w:t xml:space="preserve"> </w:t>
      </w:r>
      <w:r w:rsidRPr="00A20381">
        <w:t>the</w:t>
      </w:r>
      <w:r w:rsidRPr="00A20381">
        <w:rPr>
          <w:spacing w:val="-4"/>
        </w:rPr>
        <w:t xml:space="preserve"> </w:t>
      </w:r>
      <w:r w:rsidRPr="00A20381">
        <w:t>financial</w:t>
      </w:r>
      <w:r w:rsidRPr="00A20381">
        <w:rPr>
          <w:spacing w:val="-4"/>
        </w:rPr>
        <w:t xml:space="preserve"> </w:t>
      </w:r>
      <w:r w:rsidRPr="00A20381">
        <w:t>world</w:t>
      </w:r>
      <w:r w:rsidRPr="00A20381">
        <w:rPr>
          <w:spacing w:val="-4"/>
        </w:rPr>
        <w:t xml:space="preserve"> </w:t>
      </w:r>
      <w:r w:rsidRPr="00A20381">
        <w:rPr>
          <w:spacing w:val="-3"/>
        </w:rPr>
        <w:t>was</w:t>
      </w:r>
      <w:r w:rsidRPr="00A20381">
        <w:rPr>
          <w:spacing w:val="-4"/>
        </w:rPr>
        <w:t xml:space="preserve"> </w:t>
      </w:r>
      <w:r w:rsidRPr="00A20381">
        <w:t>completely</w:t>
      </w:r>
      <w:r w:rsidRPr="00A20381">
        <w:rPr>
          <w:spacing w:val="-4"/>
        </w:rPr>
        <w:t xml:space="preserve"> </w:t>
      </w:r>
      <w:r w:rsidRPr="00A20381">
        <w:t>focused</w:t>
      </w:r>
      <w:r w:rsidRPr="00A20381">
        <w:rPr>
          <w:spacing w:val="-4"/>
        </w:rPr>
        <w:t xml:space="preserve"> </w:t>
      </w:r>
      <w:r w:rsidRPr="00A20381">
        <w:t>on</w:t>
      </w:r>
      <w:r w:rsidRPr="00A20381">
        <w:rPr>
          <w:spacing w:val="-4"/>
        </w:rPr>
        <w:t xml:space="preserve"> </w:t>
      </w:r>
      <w:r w:rsidRPr="00A20381">
        <w:t>the bond</w:t>
      </w:r>
      <w:r w:rsidRPr="00A20381">
        <w:rPr>
          <w:spacing w:val="-12"/>
        </w:rPr>
        <w:t xml:space="preserve"> </w:t>
      </w:r>
      <w:r w:rsidRPr="00A20381">
        <w:t>market,</w:t>
      </w:r>
      <w:r w:rsidRPr="00A20381">
        <w:rPr>
          <w:spacing w:val="-9"/>
        </w:rPr>
        <w:t xml:space="preserve"> </w:t>
      </w:r>
      <w:r w:rsidRPr="00A20381">
        <w:t>where</w:t>
      </w:r>
      <w:r w:rsidRPr="00A20381">
        <w:rPr>
          <w:spacing w:val="-12"/>
        </w:rPr>
        <w:t xml:space="preserve"> </w:t>
      </w:r>
      <w:r w:rsidRPr="00A20381">
        <w:t>the</w:t>
      </w:r>
      <w:r w:rsidRPr="00A20381">
        <w:rPr>
          <w:spacing w:val="-11"/>
        </w:rPr>
        <w:t xml:space="preserve"> </w:t>
      </w:r>
      <w:r w:rsidRPr="00A20381">
        <w:rPr>
          <w:i/>
        </w:rPr>
        <w:t>flight-to-quality</w:t>
      </w:r>
      <w:r w:rsidRPr="00A20381">
        <w:rPr>
          <w:i/>
          <w:spacing w:val="1"/>
        </w:rPr>
        <w:t xml:space="preserve"> </w:t>
      </w:r>
      <w:r w:rsidRPr="00A20381">
        <w:rPr>
          <w:i/>
          <w:spacing w:val="-4"/>
        </w:rPr>
        <w:t>strategy</w:t>
      </w:r>
      <w:r w:rsidRPr="00A20381">
        <w:rPr>
          <w:i/>
          <w:spacing w:val="2"/>
        </w:rPr>
        <w:t xml:space="preserve"> </w:t>
      </w:r>
      <w:r w:rsidRPr="00A20381">
        <w:t>represented</w:t>
      </w:r>
      <w:r w:rsidRPr="00A20381">
        <w:rPr>
          <w:spacing w:val="-11"/>
        </w:rPr>
        <w:t xml:space="preserve"> </w:t>
      </w:r>
      <w:r w:rsidRPr="00A20381">
        <w:t>the</w:t>
      </w:r>
      <w:r w:rsidRPr="00A20381">
        <w:rPr>
          <w:spacing w:val="-11"/>
        </w:rPr>
        <w:t xml:space="preserve"> </w:t>
      </w:r>
      <w:r w:rsidRPr="00A20381">
        <w:t>main</w:t>
      </w:r>
      <w:r w:rsidRPr="00A20381">
        <w:rPr>
          <w:spacing w:val="-11"/>
        </w:rPr>
        <w:t xml:space="preserve"> </w:t>
      </w:r>
      <w:r w:rsidRPr="00A20381">
        <w:t>allocation</w:t>
      </w:r>
      <w:r w:rsidRPr="00A20381">
        <w:rPr>
          <w:spacing w:val="-11"/>
        </w:rPr>
        <w:t xml:space="preserve"> </w:t>
      </w:r>
      <w:r w:rsidRPr="00A20381">
        <w:t>strategy</w:t>
      </w:r>
      <w:r w:rsidRPr="00A20381">
        <w:rPr>
          <w:spacing w:val="-11"/>
        </w:rPr>
        <w:t xml:space="preserve"> </w:t>
      </w:r>
      <w:r w:rsidRPr="00A20381">
        <w:t>for</w:t>
      </w:r>
      <w:r w:rsidRPr="00A20381">
        <w:rPr>
          <w:spacing w:val="-12"/>
        </w:rPr>
        <w:t xml:space="preserve"> </w:t>
      </w:r>
      <w:r w:rsidRPr="00A20381">
        <w:t>fixed</w:t>
      </w:r>
      <w:r w:rsidRPr="00A20381">
        <w:rPr>
          <w:spacing w:val="-11"/>
        </w:rPr>
        <w:t xml:space="preserve"> </w:t>
      </w:r>
      <w:r w:rsidRPr="00A20381">
        <w:t>income</w:t>
      </w:r>
      <w:r w:rsidRPr="00A20381">
        <w:rPr>
          <w:spacing w:val="-11"/>
        </w:rPr>
        <w:t xml:space="preserve"> </w:t>
      </w:r>
      <w:r w:rsidRPr="00A20381">
        <w:t xml:space="preserve">portfolio managers and defensive hedge funds. </w:t>
      </w:r>
      <w:r w:rsidRPr="00A20381">
        <w:rPr>
          <w:spacing w:val="-6"/>
        </w:rPr>
        <w:t xml:space="preserve">For </w:t>
      </w:r>
      <w:r w:rsidRPr="00A20381">
        <w:t xml:space="preserve">the period 2012-14, the </w:t>
      </w:r>
      <w:r w:rsidRPr="00A20381">
        <w:rPr>
          <w:spacing w:val="-4"/>
        </w:rPr>
        <w:t xml:space="preserve">two </w:t>
      </w:r>
      <w:r w:rsidRPr="00A20381">
        <w:t xml:space="preserve">examined series are not </w:t>
      </w:r>
      <w:proofErr w:type="spellStart"/>
      <w:r w:rsidRPr="00A20381">
        <w:t>cointegrated</w:t>
      </w:r>
      <w:proofErr w:type="spellEnd"/>
      <w:r w:rsidRPr="00A20381">
        <w:t xml:space="preserve">. The </w:t>
      </w:r>
      <w:r w:rsidRPr="00A20381">
        <w:rPr>
          <w:i/>
        </w:rPr>
        <w:t>Granger-causality test</w:t>
      </w:r>
      <w:r w:rsidRPr="00A20381">
        <w:t xml:space="preserve">, </w:t>
      </w:r>
      <w:r w:rsidRPr="00A20381">
        <w:rPr>
          <w:spacing w:val="-3"/>
        </w:rPr>
        <w:t xml:space="preserve">however, </w:t>
      </w:r>
      <w:r w:rsidRPr="00A20381">
        <w:t xml:space="preserve">shows that the bond spreads </w:t>
      </w:r>
      <w:r w:rsidRPr="00A20381">
        <w:rPr>
          <w:i/>
          <w:spacing w:val="-3"/>
        </w:rPr>
        <w:t xml:space="preserve">Granger-caused </w:t>
      </w:r>
      <w:r w:rsidRPr="00A20381">
        <w:t>the CDS premia during this market phase.</w:t>
      </w:r>
    </w:p>
    <w:p w:rsidR="000377FF" w:rsidRPr="00A20381" w:rsidRDefault="00E85B85" w:rsidP="001A4FB4">
      <w:pPr>
        <w:spacing w:before="136" w:line="360" w:lineRule="auto"/>
        <w:ind w:left="113" w:right="111"/>
        <w:jc w:val="both"/>
        <w:rPr>
          <w:sz w:val="20"/>
          <w:szCs w:val="20"/>
        </w:rPr>
      </w:pPr>
      <w:r w:rsidRPr="00A20381">
        <w:rPr>
          <w:sz w:val="20"/>
        </w:rPr>
        <w:t>What</w:t>
      </w:r>
      <w:r w:rsidRPr="00A20381">
        <w:rPr>
          <w:spacing w:val="-13"/>
          <w:sz w:val="20"/>
        </w:rPr>
        <w:t xml:space="preserve"> </w:t>
      </w:r>
      <w:r w:rsidRPr="00A20381">
        <w:rPr>
          <w:sz w:val="20"/>
        </w:rPr>
        <w:t>should</w:t>
      </w:r>
      <w:r w:rsidRPr="00A20381">
        <w:rPr>
          <w:spacing w:val="-13"/>
          <w:sz w:val="20"/>
        </w:rPr>
        <w:t xml:space="preserve"> </w:t>
      </w:r>
      <w:r w:rsidRPr="00A20381">
        <w:rPr>
          <w:spacing w:val="-3"/>
          <w:sz w:val="20"/>
        </w:rPr>
        <w:t>we</w:t>
      </w:r>
      <w:r w:rsidRPr="00A20381">
        <w:rPr>
          <w:spacing w:val="-13"/>
          <w:sz w:val="20"/>
        </w:rPr>
        <w:t xml:space="preserve"> </w:t>
      </w:r>
      <w:r w:rsidRPr="00A20381">
        <w:rPr>
          <w:sz w:val="20"/>
        </w:rPr>
        <w:t>expect</w:t>
      </w:r>
      <w:r w:rsidRPr="00A20381">
        <w:rPr>
          <w:spacing w:val="-13"/>
          <w:sz w:val="20"/>
        </w:rPr>
        <w:t xml:space="preserve"> </w:t>
      </w:r>
      <w:r w:rsidRPr="00A20381">
        <w:rPr>
          <w:sz w:val="20"/>
        </w:rPr>
        <w:t>for</w:t>
      </w:r>
      <w:r w:rsidRPr="00A20381">
        <w:rPr>
          <w:spacing w:val="-12"/>
          <w:sz w:val="20"/>
        </w:rPr>
        <w:t xml:space="preserve"> </w:t>
      </w:r>
      <w:r w:rsidRPr="00A20381">
        <w:rPr>
          <w:sz w:val="20"/>
        </w:rPr>
        <w:t>the</w:t>
      </w:r>
      <w:r w:rsidRPr="00A20381">
        <w:rPr>
          <w:spacing w:val="-13"/>
          <w:sz w:val="20"/>
        </w:rPr>
        <w:t xml:space="preserve"> </w:t>
      </w:r>
      <w:r w:rsidRPr="00A20381">
        <w:rPr>
          <w:spacing w:val="-3"/>
          <w:sz w:val="20"/>
        </w:rPr>
        <w:t>interval</w:t>
      </w:r>
      <w:r w:rsidRPr="00A20381">
        <w:rPr>
          <w:spacing w:val="-13"/>
          <w:sz w:val="20"/>
        </w:rPr>
        <w:t xml:space="preserve"> </w:t>
      </w:r>
      <w:r w:rsidRPr="00A20381">
        <w:rPr>
          <w:sz w:val="20"/>
        </w:rPr>
        <w:t>2014-17</w:t>
      </w:r>
      <w:r w:rsidRPr="00A20381">
        <w:rPr>
          <w:spacing w:val="-13"/>
          <w:sz w:val="20"/>
        </w:rPr>
        <w:t xml:space="preserve"> </w:t>
      </w:r>
      <w:r w:rsidRPr="00A20381">
        <w:rPr>
          <w:sz w:val="20"/>
        </w:rPr>
        <w:t>when</w:t>
      </w:r>
      <w:r w:rsidRPr="00A20381">
        <w:rPr>
          <w:spacing w:val="-12"/>
          <w:sz w:val="20"/>
        </w:rPr>
        <w:t xml:space="preserve"> </w:t>
      </w:r>
      <w:r w:rsidRPr="00A20381">
        <w:rPr>
          <w:sz w:val="20"/>
        </w:rPr>
        <w:t>the</w:t>
      </w:r>
      <w:r w:rsidRPr="00A20381">
        <w:rPr>
          <w:spacing w:val="-13"/>
          <w:sz w:val="20"/>
        </w:rPr>
        <w:t xml:space="preserve"> </w:t>
      </w:r>
      <w:r w:rsidRPr="00A20381">
        <w:rPr>
          <w:sz w:val="20"/>
        </w:rPr>
        <w:t>ECB</w:t>
      </w:r>
      <w:r w:rsidRPr="00A20381">
        <w:rPr>
          <w:spacing w:val="-13"/>
          <w:sz w:val="20"/>
        </w:rPr>
        <w:t xml:space="preserve"> </w:t>
      </w:r>
      <w:r w:rsidRPr="00A20381">
        <w:rPr>
          <w:sz w:val="20"/>
        </w:rPr>
        <w:t>increases</w:t>
      </w:r>
      <w:r w:rsidRPr="00A20381">
        <w:rPr>
          <w:spacing w:val="-13"/>
          <w:sz w:val="20"/>
        </w:rPr>
        <w:t xml:space="preserve"> </w:t>
      </w:r>
      <w:r w:rsidRPr="00A20381">
        <w:rPr>
          <w:sz w:val="20"/>
        </w:rPr>
        <w:t>the</w:t>
      </w:r>
      <w:r w:rsidRPr="00A20381">
        <w:rPr>
          <w:spacing w:val="-12"/>
          <w:sz w:val="20"/>
        </w:rPr>
        <w:t xml:space="preserve"> </w:t>
      </w:r>
      <w:r w:rsidR="00E94085" w:rsidRPr="00A20381">
        <w:rPr>
          <w:sz w:val="20"/>
        </w:rPr>
        <w:t>“</w:t>
      </w:r>
      <w:r w:rsidR="00E94085" w:rsidRPr="00A20381">
        <w:rPr>
          <w:i/>
          <w:spacing w:val="3"/>
          <w:sz w:val="20"/>
        </w:rPr>
        <w:t>liquidity drug</w:t>
      </w:r>
      <w:r w:rsidRPr="00A20381">
        <w:rPr>
          <w:spacing w:val="3"/>
          <w:sz w:val="20"/>
        </w:rPr>
        <w:t>”</w:t>
      </w:r>
      <w:r w:rsidRPr="00A20381">
        <w:rPr>
          <w:spacing w:val="-1"/>
          <w:sz w:val="20"/>
        </w:rPr>
        <w:t xml:space="preserve"> </w:t>
      </w:r>
      <w:r w:rsidRPr="00A20381">
        <w:rPr>
          <w:sz w:val="20"/>
        </w:rPr>
        <w:t>in</w:t>
      </w:r>
      <w:r w:rsidRPr="00A20381">
        <w:rPr>
          <w:spacing w:val="-13"/>
          <w:sz w:val="20"/>
        </w:rPr>
        <w:t xml:space="preserve"> </w:t>
      </w:r>
      <w:r w:rsidRPr="00A20381">
        <w:rPr>
          <w:sz w:val="20"/>
        </w:rPr>
        <w:t>the</w:t>
      </w:r>
      <w:r w:rsidRPr="00A20381">
        <w:rPr>
          <w:spacing w:val="-13"/>
          <w:sz w:val="20"/>
        </w:rPr>
        <w:t xml:space="preserve"> </w:t>
      </w:r>
      <w:r w:rsidRPr="00A20381">
        <w:rPr>
          <w:sz w:val="20"/>
        </w:rPr>
        <w:t>financial</w:t>
      </w:r>
      <w:r w:rsidRPr="00A20381">
        <w:rPr>
          <w:spacing w:val="-12"/>
          <w:sz w:val="20"/>
        </w:rPr>
        <w:t xml:space="preserve"> </w:t>
      </w:r>
      <w:r w:rsidRPr="00A20381">
        <w:rPr>
          <w:sz w:val="20"/>
        </w:rPr>
        <w:t xml:space="preserve">markets </w:t>
      </w:r>
      <w:r w:rsidRPr="00A20381">
        <w:rPr>
          <w:sz w:val="20"/>
          <w:szCs w:val="20"/>
        </w:rPr>
        <w:t xml:space="preserve">with the </w:t>
      </w:r>
      <w:r w:rsidRPr="00A20381">
        <w:rPr>
          <w:i/>
          <w:sz w:val="20"/>
          <w:szCs w:val="20"/>
        </w:rPr>
        <w:t xml:space="preserve">Quantitative Easing </w:t>
      </w:r>
      <w:r w:rsidRPr="00A20381">
        <w:rPr>
          <w:sz w:val="20"/>
          <w:szCs w:val="20"/>
        </w:rPr>
        <w:t>(</w:t>
      </w:r>
      <w:r w:rsidR="00E94085" w:rsidRPr="00A20381">
        <w:rPr>
          <w:i/>
          <w:sz w:val="20"/>
          <w:szCs w:val="20"/>
        </w:rPr>
        <w:t>QE</w:t>
      </w:r>
      <w:r w:rsidR="00E94085" w:rsidRPr="00A20381">
        <w:rPr>
          <w:i/>
          <w:spacing w:val="-39"/>
          <w:sz w:val="20"/>
          <w:szCs w:val="20"/>
        </w:rPr>
        <w:t>)</w:t>
      </w:r>
      <w:r w:rsidR="00C677BE">
        <w:rPr>
          <w:i/>
          <w:spacing w:val="-39"/>
          <w:sz w:val="20"/>
          <w:szCs w:val="20"/>
        </w:rPr>
        <w:t>?</w:t>
      </w:r>
    </w:p>
    <w:p w:rsidR="000377FF" w:rsidRPr="00A20381" w:rsidRDefault="00E85B85" w:rsidP="001A4FB4">
      <w:pPr>
        <w:pStyle w:val="Corpotesto"/>
        <w:spacing w:before="1" w:line="360" w:lineRule="auto"/>
        <w:ind w:left="113"/>
        <w:jc w:val="both"/>
      </w:pPr>
      <w:r w:rsidRPr="00A20381">
        <w:t>The increased pace of the expansive ECB monetary policy starting from the 2014 wa</w:t>
      </w:r>
      <w:r w:rsidR="00384594">
        <w:t>s related to the fear</w:t>
      </w:r>
      <w:r w:rsidR="00E94085" w:rsidRPr="00A20381">
        <w:t xml:space="preserve"> of </w:t>
      </w:r>
      <w:r w:rsidR="00E94085" w:rsidRPr="00A20381">
        <w:lastRenderedPageBreak/>
        <w:t>defla</w:t>
      </w:r>
      <w:r w:rsidRPr="00A20381">
        <w:t>tion.</w:t>
      </w:r>
      <w:r w:rsidRPr="00A20381">
        <w:rPr>
          <w:spacing w:val="12"/>
        </w:rPr>
        <w:t xml:space="preserve"> </w:t>
      </w:r>
      <w:r w:rsidRPr="00A20381">
        <w:t>This</w:t>
      </w:r>
      <w:r w:rsidRPr="00A20381">
        <w:rPr>
          <w:spacing w:val="-6"/>
        </w:rPr>
        <w:t xml:space="preserve"> </w:t>
      </w:r>
      <w:r w:rsidRPr="00A20381">
        <w:t>latter</w:t>
      </w:r>
      <w:r w:rsidRPr="00A20381">
        <w:rPr>
          <w:spacing w:val="-5"/>
        </w:rPr>
        <w:t xml:space="preserve"> </w:t>
      </w:r>
      <w:r w:rsidRPr="00A20381">
        <w:t>would</w:t>
      </w:r>
      <w:r w:rsidRPr="00A20381">
        <w:rPr>
          <w:spacing w:val="-6"/>
        </w:rPr>
        <w:t xml:space="preserve"> </w:t>
      </w:r>
      <w:r w:rsidRPr="00A20381">
        <w:rPr>
          <w:spacing w:val="-3"/>
        </w:rPr>
        <w:t>have</w:t>
      </w:r>
      <w:r w:rsidRPr="00A20381">
        <w:rPr>
          <w:spacing w:val="-6"/>
        </w:rPr>
        <w:t xml:space="preserve"> </w:t>
      </w:r>
      <w:r w:rsidR="00384594">
        <w:rPr>
          <w:spacing w:val="-6"/>
        </w:rPr>
        <w:t xml:space="preserve">surely </w:t>
      </w:r>
      <w:r w:rsidRPr="00A20381">
        <w:t>weakened</w:t>
      </w:r>
      <w:r w:rsidRPr="00A20381">
        <w:rPr>
          <w:spacing w:val="-6"/>
        </w:rPr>
        <w:t xml:space="preserve"> </w:t>
      </w:r>
      <w:r w:rsidRPr="00A20381">
        <w:t>the</w:t>
      </w:r>
      <w:r w:rsidRPr="00A20381">
        <w:rPr>
          <w:spacing w:val="-6"/>
        </w:rPr>
        <w:t xml:space="preserve"> </w:t>
      </w:r>
      <w:r w:rsidRPr="00A20381">
        <w:t>fragile</w:t>
      </w:r>
      <w:r w:rsidRPr="00A20381">
        <w:rPr>
          <w:spacing w:val="-5"/>
        </w:rPr>
        <w:t xml:space="preserve"> </w:t>
      </w:r>
      <w:r w:rsidRPr="00A20381">
        <w:t>structure</w:t>
      </w:r>
      <w:r w:rsidRPr="00A20381">
        <w:rPr>
          <w:spacing w:val="-6"/>
        </w:rPr>
        <w:t xml:space="preserve"> </w:t>
      </w:r>
      <w:r w:rsidRPr="00A20381">
        <w:t>of</w:t>
      </w:r>
      <w:r w:rsidRPr="00A20381">
        <w:rPr>
          <w:spacing w:val="-6"/>
        </w:rPr>
        <w:t xml:space="preserve"> </w:t>
      </w:r>
      <w:r w:rsidRPr="00A20381">
        <w:t>the</w:t>
      </w:r>
      <w:r w:rsidRPr="00A20381">
        <w:rPr>
          <w:spacing w:val="-5"/>
        </w:rPr>
        <w:t xml:space="preserve"> </w:t>
      </w:r>
      <w:r w:rsidRPr="00A20381">
        <w:t>peripheral</w:t>
      </w:r>
      <w:r w:rsidRPr="00A20381">
        <w:rPr>
          <w:spacing w:val="-6"/>
        </w:rPr>
        <w:t xml:space="preserve"> </w:t>
      </w:r>
      <w:r w:rsidRPr="00A20381">
        <w:t>countries</w:t>
      </w:r>
      <w:r w:rsidRPr="00A20381">
        <w:rPr>
          <w:spacing w:val="-6"/>
        </w:rPr>
        <w:t xml:space="preserve"> </w:t>
      </w:r>
      <w:r w:rsidRPr="00A20381">
        <w:t>heavily</w:t>
      </w:r>
      <w:r w:rsidRPr="00A20381">
        <w:rPr>
          <w:spacing w:val="-5"/>
        </w:rPr>
        <w:t xml:space="preserve"> </w:t>
      </w:r>
      <w:r w:rsidRPr="00A20381">
        <w:t>indebted</w:t>
      </w:r>
      <w:r w:rsidRPr="00A20381">
        <w:rPr>
          <w:spacing w:val="-6"/>
        </w:rPr>
        <w:t xml:space="preserve"> </w:t>
      </w:r>
      <w:r w:rsidRPr="00A20381">
        <w:t>(as Italy).</w:t>
      </w:r>
      <w:r w:rsidRPr="00A20381">
        <w:rPr>
          <w:spacing w:val="12"/>
        </w:rPr>
        <w:t xml:space="preserve"> </w:t>
      </w:r>
      <w:r w:rsidRPr="00A20381">
        <w:t>In</w:t>
      </w:r>
      <w:r w:rsidRPr="00A20381">
        <w:rPr>
          <w:spacing w:val="-11"/>
        </w:rPr>
        <w:t xml:space="preserve"> </w:t>
      </w:r>
      <w:r w:rsidRPr="00A20381">
        <w:t>absence</w:t>
      </w:r>
      <w:r w:rsidRPr="00A20381">
        <w:rPr>
          <w:spacing w:val="-11"/>
        </w:rPr>
        <w:t xml:space="preserve"> </w:t>
      </w:r>
      <w:r w:rsidRPr="00A20381">
        <w:t>of</w:t>
      </w:r>
      <w:r w:rsidRPr="00A20381">
        <w:rPr>
          <w:spacing w:val="-12"/>
        </w:rPr>
        <w:t xml:space="preserve"> </w:t>
      </w:r>
      <w:r w:rsidRPr="00A20381">
        <w:t>a</w:t>
      </w:r>
      <w:r w:rsidRPr="00A20381">
        <w:rPr>
          <w:spacing w:val="-11"/>
        </w:rPr>
        <w:t xml:space="preserve"> </w:t>
      </w:r>
      <w:r w:rsidRPr="00A20381">
        <w:t>limited</w:t>
      </w:r>
      <w:r w:rsidRPr="00A20381">
        <w:rPr>
          <w:spacing w:val="-12"/>
        </w:rPr>
        <w:t xml:space="preserve"> </w:t>
      </w:r>
      <w:r w:rsidRPr="00A20381">
        <w:t>fiscal</w:t>
      </w:r>
      <w:r w:rsidRPr="00A20381">
        <w:rPr>
          <w:spacing w:val="-11"/>
        </w:rPr>
        <w:t xml:space="preserve"> </w:t>
      </w:r>
      <w:r w:rsidRPr="00A20381">
        <w:t>policy</w:t>
      </w:r>
      <w:r w:rsidRPr="00A20381">
        <w:rPr>
          <w:spacing w:val="-11"/>
        </w:rPr>
        <w:t xml:space="preserve"> </w:t>
      </w:r>
      <w:r w:rsidRPr="00A20381">
        <w:t>(due</w:t>
      </w:r>
      <w:r w:rsidRPr="00A20381">
        <w:rPr>
          <w:spacing w:val="-12"/>
        </w:rPr>
        <w:t xml:space="preserve"> </w:t>
      </w:r>
      <w:r w:rsidRPr="00A20381">
        <w:t>to</w:t>
      </w:r>
      <w:r w:rsidRPr="00A20381">
        <w:rPr>
          <w:spacing w:val="-11"/>
        </w:rPr>
        <w:t xml:space="preserve"> </w:t>
      </w:r>
      <w:r w:rsidRPr="00A20381">
        <w:t>“</w:t>
      </w:r>
      <w:r w:rsidRPr="00A20381">
        <w:rPr>
          <w:i/>
        </w:rPr>
        <w:t>austerity</w:t>
      </w:r>
      <w:r w:rsidRPr="00A20381">
        <w:t>”),</w:t>
      </w:r>
      <w:r w:rsidRPr="00A20381">
        <w:rPr>
          <w:spacing w:val="-9"/>
        </w:rPr>
        <w:t xml:space="preserve"> </w:t>
      </w:r>
      <w:r w:rsidRPr="00A20381">
        <w:t>the</w:t>
      </w:r>
      <w:r w:rsidRPr="00A20381">
        <w:rPr>
          <w:spacing w:val="-12"/>
        </w:rPr>
        <w:t xml:space="preserve"> </w:t>
      </w:r>
      <w:r w:rsidRPr="00A20381">
        <w:t>monetary</w:t>
      </w:r>
      <w:r w:rsidRPr="00A20381">
        <w:rPr>
          <w:spacing w:val="-11"/>
        </w:rPr>
        <w:t xml:space="preserve"> </w:t>
      </w:r>
      <w:r w:rsidRPr="00A20381">
        <w:t>policy</w:t>
      </w:r>
      <w:r w:rsidRPr="00A20381">
        <w:rPr>
          <w:spacing w:val="-11"/>
        </w:rPr>
        <w:t xml:space="preserve"> </w:t>
      </w:r>
      <w:r w:rsidRPr="00A20381">
        <w:t>is</w:t>
      </w:r>
      <w:r w:rsidRPr="00A20381">
        <w:rPr>
          <w:spacing w:val="-12"/>
        </w:rPr>
        <w:t xml:space="preserve"> </w:t>
      </w:r>
      <w:r w:rsidRPr="00A20381">
        <w:t>the</w:t>
      </w:r>
      <w:r w:rsidRPr="00A20381">
        <w:rPr>
          <w:spacing w:val="-11"/>
        </w:rPr>
        <w:t xml:space="preserve"> </w:t>
      </w:r>
      <w:r w:rsidRPr="00A20381">
        <w:t>only</w:t>
      </w:r>
      <w:r w:rsidRPr="00A20381">
        <w:rPr>
          <w:spacing w:val="-12"/>
        </w:rPr>
        <w:t xml:space="preserve"> </w:t>
      </w:r>
      <w:r w:rsidRPr="00A20381">
        <w:t>tool</w:t>
      </w:r>
      <w:r w:rsidRPr="00A20381">
        <w:rPr>
          <w:spacing w:val="-11"/>
        </w:rPr>
        <w:t xml:space="preserve"> </w:t>
      </w:r>
      <w:r w:rsidRPr="00A20381">
        <w:t>able</w:t>
      </w:r>
      <w:r w:rsidRPr="00A20381">
        <w:rPr>
          <w:spacing w:val="-11"/>
        </w:rPr>
        <w:t xml:space="preserve"> </w:t>
      </w:r>
      <w:r w:rsidRPr="00A20381">
        <w:t>to</w:t>
      </w:r>
      <w:r w:rsidRPr="00A20381">
        <w:rPr>
          <w:spacing w:val="-12"/>
        </w:rPr>
        <w:t xml:space="preserve"> </w:t>
      </w:r>
      <w:r w:rsidRPr="00A20381">
        <w:t>stimulate a potential up trend of the national income level (</w:t>
      </w:r>
      <w:r w:rsidRPr="00A20381">
        <w:rPr>
          <w:i/>
        </w:rPr>
        <w:t>Blanchard et al.</w:t>
      </w:r>
      <w:r w:rsidRPr="00A20381">
        <w:t xml:space="preserve">, </w:t>
      </w:r>
      <w:r w:rsidRPr="00A20381">
        <w:rPr>
          <w:i/>
        </w:rPr>
        <w:t>2009</w:t>
      </w:r>
      <w:r w:rsidRPr="00A20381">
        <w:t xml:space="preserve">). The Central bank </w:t>
      </w:r>
      <w:r w:rsidRPr="00A20381">
        <w:rPr>
          <w:spacing w:val="-3"/>
        </w:rPr>
        <w:t xml:space="preserve">policy, however, </w:t>
      </w:r>
      <w:r w:rsidRPr="00A20381">
        <w:t>is only</w:t>
      </w:r>
      <w:r w:rsidRPr="00A20381">
        <w:rPr>
          <w:spacing w:val="-16"/>
        </w:rPr>
        <w:t xml:space="preserve"> </w:t>
      </w:r>
      <w:r w:rsidRPr="00A20381">
        <w:t>able</w:t>
      </w:r>
      <w:r w:rsidRPr="00A20381">
        <w:rPr>
          <w:spacing w:val="-16"/>
        </w:rPr>
        <w:t xml:space="preserve"> </w:t>
      </w:r>
      <w:r w:rsidRPr="00A20381">
        <w:t>to</w:t>
      </w:r>
      <w:r w:rsidRPr="00A20381">
        <w:rPr>
          <w:spacing w:val="-15"/>
        </w:rPr>
        <w:t xml:space="preserve"> </w:t>
      </w:r>
      <w:r w:rsidRPr="00A20381">
        <w:t>act</w:t>
      </w:r>
      <w:r w:rsidRPr="00A20381">
        <w:rPr>
          <w:spacing w:val="-16"/>
        </w:rPr>
        <w:t xml:space="preserve"> </w:t>
      </w:r>
      <w:r w:rsidRPr="00A20381">
        <w:t>on</w:t>
      </w:r>
      <w:r w:rsidRPr="00A20381">
        <w:rPr>
          <w:spacing w:val="-15"/>
        </w:rPr>
        <w:t xml:space="preserve"> </w:t>
      </w:r>
      <w:r w:rsidRPr="00A20381">
        <w:t>the</w:t>
      </w:r>
      <w:r w:rsidRPr="00A20381">
        <w:rPr>
          <w:spacing w:val="-16"/>
        </w:rPr>
        <w:t xml:space="preserve"> </w:t>
      </w:r>
      <w:r w:rsidRPr="00A20381">
        <w:t>short-term</w:t>
      </w:r>
      <w:r w:rsidRPr="00A20381">
        <w:rPr>
          <w:spacing w:val="-16"/>
        </w:rPr>
        <w:t xml:space="preserve"> </w:t>
      </w:r>
      <w:r w:rsidRPr="00A20381">
        <w:t>rates</w:t>
      </w:r>
      <w:r w:rsidRPr="00A20381">
        <w:rPr>
          <w:spacing w:val="-15"/>
        </w:rPr>
        <w:t xml:space="preserve"> </w:t>
      </w:r>
      <w:r w:rsidRPr="00A20381">
        <w:t>while</w:t>
      </w:r>
      <w:r w:rsidRPr="00A20381">
        <w:rPr>
          <w:spacing w:val="-16"/>
        </w:rPr>
        <w:t xml:space="preserve"> </w:t>
      </w:r>
      <w:r w:rsidRPr="00A20381">
        <w:t>some</w:t>
      </w:r>
      <w:r w:rsidRPr="00A20381">
        <w:rPr>
          <w:spacing w:val="-15"/>
        </w:rPr>
        <w:t xml:space="preserve"> </w:t>
      </w:r>
      <w:r w:rsidR="00E94085" w:rsidRPr="00A20381">
        <w:t>households’</w:t>
      </w:r>
      <w:r w:rsidRPr="00A20381">
        <w:rPr>
          <w:spacing w:val="-16"/>
        </w:rPr>
        <w:t xml:space="preserve"> </w:t>
      </w:r>
      <w:r w:rsidRPr="00A20381">
        <w:t>consumption</w:t>
      </w:r>
      <w:r w:rsidRPr="00A20381">
        <w:rPr>
          <w:spacing w:val="-16"/>
        </w:rPr>
        <w:t xml:space="preserve"> </w:t>
      </w:r>
      <w:r w:rsidRPr="00A20381">
        <w:t>decisions</w:t>
      </w:r>
      <w:r w:rsidRPr="00A20381">
        <w:rPr>
          <w:spacing w:val="-15"/>
        </w:rPr>
        <w:t xml:space="preserve"> </w:t>
      </w:r>
      <w:r w:rsidRPr="00A20381">
        <w:t>are</w:t>
      </w:r>
      <w:r w:rsidRPr="00A20381">
        <w:rPr>
          <w:spacing w:val="-16"/>
        </w:rPr>
        <w:t xml:space="preserve"> </w:t>
      </w:r>
      <w:r w:rsidRPr="00A20381">
        <w:t>affected</w:t>
      </w:r>
      <w:r w:rsidRPr="00A20381">
        <w:rPr>
          <w:spacing w:val="-15"/>
        </w:rPr>
        <w:t xml:space="preserve"> </w:t>
      </w:r>
      <w:r w:rsidRPr="00A20381">
        <w:rPr>
          <w:spacing w:val="-3"/>
        </w:rPr>
        <w:t>by</w:t>
      </w:r>
      <w:r w:rsidRPr="00A20381">
        <w:rPr>
          <w:spacing w:val="-16"/>
        </w:rPr>
        <w:t xml:space="preserve"> </w:t>
      </w:r>
      <w:r w:rsidRPr="00A20381">
        <w:t>the</w:t>
      </w:r>
      <w:r w:rsidRPr="00A20381">
        <w:rPr>
          <w:spacing w:val="-16"/>
        </w:rPr>
        <w:t xml:space="preserve"> </w:t>
      </w:r>
      <w:r w:rsidRPr="00A20381">
        <w:t xml:space="preserve">long-term rates. </w:t>
      </w:r>
      <w:r w:rsidRPr="00A20381">
        <w:rPr>
          <w:spacing w:val="-6"/>
        </w:rPr>
        <w:t xml:space="preserve">For </w:t>
      </w:r>
      <w:r w:rsidRPr="00A20381">
        <w:t xml:space="preserve">ease of reference, let us assume that long-term rates are the sum of </w:t>
      </w:r>
      <w:r w:rsidRPr="00A20381">
        <w:rPr>
          <w:spacing w:val="-4"/>
        </w:rPr>
        <w:t xml:space="preserve">two </w:t>
      </w:r>
      <w:r w:rsidRPr="00A20381">
        <w:t xml:space="preserve">components, the short-term rates and a </w:t>
      </w:r>
      <w:r w:rsidRPr="00A20381">
        <w:rPr>
          <w:i/>
        </w:rPr>
        <w:t xml:space="preserve">risk </w:t>
      </w:r>
      <w:r w:rsidRPr="00A20381">
        <w:rPr>
          <w:i/>
          <w:spacing w:val="-3"/>
        </w:rPr>
        <w:t xml:space="preserve">premium </w:t>
      </w:r>
      <w:r w:rsidRPr="00A20381">
        <w:t xml:space="preserve">component. The core problem is that, </w:t>
      </w:r>
      <w:r w:rsidR="00384594">
        <w:t xml:space="preserve">in a climate of difficulties in </w:t>
      </w:r>
      <w:r w:rsidRPr="00A20381">
        <w:t xml:space="preserve">the real </w:t>
      </w:r>
      <w:r w:rsidRPr="00A20381">
        <w:rPr>
          <w:spacing w:val="-3"/>
        </w:rPr>
        <w:t xml:space="preserve">economy, </w:t>
      </w:r>
      <w:r w:rsidRPr="00A20381">
        <w:t>the long-term</w:t>
      </w:r>
      <w:r w:rsidRPr="00A20381">
        <w:rPr>
          <w:spacing w:val="-11"/>
        </w:rPr>
        <w:t xml:space="preserve"> </w:t>
      </w:r>
      <w:r w:rsidRPr="00A20381">
        <w:t>rates,</w:t>
      </w:r>
      <w:r w:rsidRPr="00A20381">
        <w:rPr>
          <w:spacing w:val="-11"/>
        </w:rPr>
        <w:t xml:space="preserve"> </w:t>
      </w:r>
      <w:r w:rsidRPr="00A20381">
        <w:t>even</w:t>
      </w:r>
      <w:r w:rsidRPr="00A20381">
        <w:rPr>
          <w:spacing w:val="-11"/>
        </w:rPr>
        <w:t xml:space="preserve"> </w:t>
      </w:r>
      <w:r w:rsidRPr="00A20381">
        <w:t>operating</w:t>
      </w:r>
      <w:r w:rsidRPr="00A20381">
        <w:rPr>
          <w:spacing w:val="-11"/>
        </w:rPr>
        <w:t xml:space="preserve"> </w:t>
      </w:r>
      <w:r w:rsidRPr="00A20381">
        <w:t>a</w:t>
      </w:r>
      <w:r w:rsidRPr="00A20381">
        <w:rPr>
          <w:spacing w:val="-10"/>
        </w:rPr>
        <w:t xml:space="preserve"> </w:t>
      </w:r>
      <w:r w:rsidRPr="00A20381">
        <w:t>short-term</w:t>
      </w:r>
      <w:r w:rsidRPr="00A20381">
        <w:rPr>
          <w:spacing w:val="-11"/>
        </w:rPr>
        <w:t xml:space="preserve"> </w:t>
      </w:r>
      <w:r w:rsidRPr="00A20381">
        <w:t>rates</w:t>
      </w:r>
      <w:r w:rsidRPr="00A20381">
        <w:rPr>
          <w:spacing w:val="-11"/>
        </w:rPr>
        <w:t xml:space="preserve"> </w:t>
      </w:r>
      <w:r w:rsidRPr="00A20381">
        <w:t>reduction,</w:t>
      </w:r>
      <w:r w:rsidRPr="00A20381">
        <w:rPr>
          <w:spacing w:val="-11"/>
        </w:rPr>
        <w:t xml:space="preserve"> </w:t>
      </w:r>
      <w:r w:rsidRPr="00A20381">
        <w:t>tend</w:t>
      </w:r>
      <w:r w:rsidRPr="00A20381">
        <w:rPr>
          <w:spacing w:val="-11"/>
        </w:rPr>
        <w:t xml:space="preserve"> </w:t>
      </w:r>
      <w:r w:rsidRPr="00A20381">
        <w:t>to</w:t>
      </w:r>
      <w:r w:rsidRPr="00A20381">
        <w:rPr>
          <w:spacing w:val="-10"/>
        </w:rPr>
        <w:t xml:space="preserve"> </w:t>
      </w:r>
      <w:r w:rsidRPr="00A20381">
        <w:t>increase</w:t>
      </w:r>
      <w:r w:rsidRPr="00A20381">
        <w:rPr>
          <w:spacing w:val="-11"/>
        </w:rPr>
        <w:t xml:space="preserve"> </w:t>
      </w:r>
      <w:r w:rsidRPr="00A20381">
        <w:t>due</w:t>
      </w:r>
      <w:r w:rsidRPr="00A20381">
        <w:rPr>
          <w:spacing w:val="-11"/>
        </w:rPr>
        <w:t xml:space="preserve"> </w:t>
      </w:r>
      <w:r w:rsidRPr="00A20381">
        <w:t>to</w:t>
      </w:r>
      <w:r w:rsidRPr="00A20381">
        <w:rPr>
          <w:spacing w:val="-11"/>
        </w:rPr>
        <w:t xml:space="preserve"> </w:t>
      </w:r>
      <w:r w:rsidRPr="00A20381">
        <w:t>the</w:t>
      </w:r>
      <w:r w:rsidRPr="00A20381">
        <w:rPr>
          <w:spacing w:val="-11"/>
        </w:rPr>
        <w:t xml:space="preserve"> </w:t>
      </w:r>
      <w:r w:rsidRPr="00A20381">
        <w:t>increased</w:t>
      </w:r>
      <w:r w:rsidRPr="00A20381">
        <w:rPr>
          <w:spacing w:val="-11"/>
        </w:rPr>
        <w:t xml:space="preserve"> </w:t>
      </w:r>
      <w:r w:rsidRPr="00A20381">
        <w:t>risk</w:t>
      </w:r>
      <w:r w:rsidRPr="00A20381">
        <w:rPr>
          <w:spacing w:val="-11"/>
        </w:rPr>
        <w:t xml:space="preserve"> </w:t>
      </w:r>
      <w:r w:rsidRPr="00A20381">
        <w:t xml:space="preserve">component. This condition is further </w:t>
      </w:r>
      <w:r w:rsidRPr="00A20381">
        <w:rPr>
          <w:spacing w:val="-3"/>
        </w:rPr>
        <w:t xml:space="preserve">aggravated </w:t>
      </w:r>
      <w:r w:rsidRPr="00A20381">
        <w:t xml:space="preserve">in a situation of </w:t>
      </w:r>
      <w:r w:rsidRPr="00A20381">
        <w:rPr>
          <w:i/>
          <w:spacing w:val="-4"/>
        </w:rPr>
        <w:t xml:space="preserve">zero </w:t>
      </w:r>
      <w:r w:rsidRPr="00A20381">
        <w:rPr>
          <w:i/>
        </w:rPr>
        <w:t xml:space="preserve">lower </w:t>
      </w:r>
      <w:r w:rsidRPr="00A20381">
        <w:rPr>
          <w:i/>
          <w:spacing w:val="-2"/>
        </w:rPr>
        <w:t>bound</w:t>
      </w:r>
      <w:r w:rsidRPr="00A20381">
        <w:rPr>
          <w:spacing w:val="-2"/>
        </w:rPr>
        <w:t xml:space="preserve">. </w:t>
      </w:r>
      <w:r w:rsidRPr="00A20381">
        <w:rPr>
          <w:spacing w:val="-3"/>
        </w:rPr>
        <w:t xml:space="preserve">How </w:t>
      </w:r>
      <w:r w:rsidR="00384594">
        <w:rPr>
          <w:spacing w:val="-3"/>
        </w:rPr>
        <w:t xml:space="preserve">can this limit be </w:t>
      </w:r>
      <w:r w:rsidRPr="00A20381">
        <w:t>overcome? Once again, the</w:t>
      </w:r>
      <w:r w:rsidRPr="00A20381">
        <w:rPr>
          <w:spacing w:val="-15"/>
        </w:rPr>
        <w:t xml:space="preserve"> </w:t>
      </w:r>
      <w:r w:rsidR="00E94085" w:rsidRPr="00A20381">
        <w:t>Holy Grail</w:t>
      </w:r>
      <w:r w:rsidRPr="00A20381">
        <w:rPr>
          <w:spacing w:val="-15"/>
        </w:rPr>
        <w:t xml:space="preserve"> </w:t>
      </w:r>
      <w:r w:rsidRPr="00A20381">
        <w:t>is</w:t>
      </w:r>
      <w:r w:rsidRPr="00A20381">
        <w:rPr>
          <w:spacing w:val="-14"/>
        </w:rPr>
        <w:t xml:space="preserve"> </w:t>
      </w:r>
      <w:r w:rsidRPr="00A20381">
        <w:t>the</w:t>
      </w:r>
      <w:r w:rsidRPr="00A20381">
        <w:rPr>
          <w:spacing w:val="-15"/>
        </w:rPr>
        <w:t xml:space="preserve"> </w:t>
      </w:r>
      <w:r w:rsidR="00384594">
        <w:t>cost-</w:t>
      </w:r>
      <w:r w:rsidR="00E94085" w:rsidRPr="00A20381">
        <w:t>free</w:t>
      </w:r>
      <w:r w:rsidRPr="00A20381">
        <w:rPr>
          <w:spacing w:val="-15"/>
        </w:rPr>
        <w:t xml:space="preserve"> </w:t>
      </w:r>
      <w:r w:rsidRPr="00A20381">
        <w:t>and</w:t>
      </w:r>
      <w:r w:rsidRPr="00A20381">
        <w:rPr>
          <w:spacing w:val="-14"/>
        </w:rPr>
        <w:t xml:space="preserve"> </w:t>
      </w:r>
      <w:r w:rsidRPr="00A20381">
        <w:t>massive</w:t>
      </w:r>
      <w:r w:rsidRPr="00A20381">
        <w:rPr>
          <w:spacing w:val="-15"/>
        </w:rPr>
        <w:t xml:space="preserve"> </w:t>
      </w:r>
      <w:r w:rsidRPr="00A20381">
        <w:t>liquidity</w:t>
      </w:r>
      <w:r w:rsidRPr="00A20381">
        <w:rPr>
          <w:spacing w:val="-14"/>
        </w:rPr>
        <w:t xml:space="preserve"> </w:t>
      </w:r>
      <w:r w:rsidRPr="00A20381">
        <w:t>provision</w:t>
      </w:r>
      <w:r w:rsidRPr="00A20381">
        <w:rPr>
          <w:spacing w:val="-15"/>
        </w:rPr>
        <w:t xml:space="preserve"> </w:t>
      </w:r>
      <w:r w:rsidRPr="00A20381">
        <w:t>to</w:t>
      </w:r>
      <w:r w:rsidRPr="00A20381">
        <w:rPr>
          <w:spacing w:val="-14"/>
        </w:rPr>
        <w:t xml:space="preserve"> </w:t>
      </w:r>
      <w:r w:rsidRPr="00A20381">
        <w:t>the</w:t>
      </w:r>
      <w:r w:rsidRPr="00A20381">
        <w:rPr>
          <w:spacing w:val="-15"/>
        </w:rPr>
        <w:t xml:space="preserve"> </w:t>
      </w:r>
      <w:r w:rsidRPr="00A20381">
        <w:t>economic</w:t>
      </w:r>
      <w:r w:rsidRPr="00A20381">
        <w:rPr>
          <w:spacing w:val="-14"/>
        </w:rPr>
        <w:t xml:space="preserve"> </w:t>
      </w:r>
      <w:r w:rsidRPr="00A20381">
        <w:t>system!</w:t>
      </w:r>
      <w:r w:rsidRPr="00A20381">
        <w:rPr>
          <w:spacing w:val="3"/>
        </w:rPr>
        <w:t xml:space="preserve"> </w:t>
      </w:r>
      <w:r w:rsidRPr="00A20381">
        <w:t>The</w:t>
      </w:r>
      <w:r w:rsidRPr="00A20381">
        <w:rPr>
          <w:spacing w:val="-15"/>
        </w:rPr>
        <w:t xml:space="preserve"> </w:t>
      </w:r>
      <w:r w:rsidRPr="00A20381">
        <w:t>spectrum</w:t>
      </w:r>
      <w:r w:rsidRPr="00A20381">
        <w:rPr>
          <w:spacing w:val="-14"/>
        </w:rPr>
        <w:t xml:space="preserve"> </w:t>
      </w:r>
      <w:r w:rsidRPr="00A20381">
        <w:t>of</w:t>
      </w:r>
      <w:r w:rsidRPr="00A20381">
        <w:rPr>
          <w:spacing w:val="-15"/>
        </w:rPr>
        <w:t xml:space="preserve"> </w:t>
      </w:r>
      <w:r w:rsidRPr="00A20381">
        <w:t>deflation</w:t>
      </w:r>
      <w:r w:rsidRPr="00A20381">
        <w:rPr>
          <w:spacing w:val="-14"/>
        </w:rPr>
        <w:t xml:space="preserve"> </w:t>
      </w:r>
      <w:r w:rsidRPr="00A20381">
        <w:t xml:space="preserve">and the necessity to </w:t>
      </w:r>
      <w:r w:rsidRPr="00A20381">
        <w:rPr>
          <w:spacing w:val="-3"/>
        </w:rPr>
        <w:t xml:space="preserve">avoid </w:t>
      </w:r>
      <w:r w:rsidR="006E4E81">
        <w:t>that</w:t>
      </w:r>
      <w:r w:rsidRPr="00A20381">
        <w:t xml:space="preserve"> </w:t>
      </w:r>
      <w:r w:rsidR="00E94085" w:rsidRPr="00A20381">
        <w:t>European</w:t>
      </w:r>
      <w:r w:rsidRPr="00A20381">
        <w:t xml:space="preserve"> unemployment became structural were sufficient to incentivize the ECB to continue in this direction. The ECB, in June 2014, announced the </w:t>
      </w:r>
      <w:r w:rsidRPr="00A20381">
        <w:rPr>
          <w:i/>
          <w:spacing w:val="-5"/>
        </w:rPr>
        <w:t xml:space="preserve">TLTRO </w:t>
      </w:r>
      <w:r w:rsidRPr="00A20381">
        <w:rPr>
          <w:spacing w:val="-5"/>
        </w:rPr>
        <w:t>(</w:t>
      </w:r>
      <w:r w:rsidRPr="00A20381">
        <w:rPr>
          <w:i/>
          <w:spacing w:val="-5"/>
        </w:rPr>
        <w:t xml:space="preserve">Targeted </w:t>
      </w:r>
      <w:r w:rsidRPr="00A20381">
        <w:rPr>
          <w:i/>
          <w:spacing w:val="-3"/>
        </w:rPr>
        <w:t xml:space="preserve">Long </w:t>
      </w:r>
      <w:r w:rsidRPr="00A20381">
        <w:rPr>
          <w:i/>
          <w:spacing w:val="-5"/>
        </w:rPr>
        <w:t xml:space="preserve">Term </w:t>
      </w:r>
      <w:r w:rsidRPr="00A20381">
        <w:rPr>
          <w:i/>
        </w:rPr>
        <w:t>Refinancing Operation</w:t>
      </w:r>
      <w:r w:rsidRPr="00A20381">
        <w:t xml:space="preserve">), preferential lending to banks (with expiry date four years for banks that respect the ECB rules) but linked to the amount of loans that credit institutions in turn provide to businesses in order to sustain the real </w:t>
      </w:r>
      <w:r w:rsidRPr="00A20381">
        <w:rPr>
          <w:spacing w:val="-3"/>
        </w:rPr>
        <w:t xml:space="preserve">economy. </w:t>
      </w:r>
      <w:r w:rsidRPr="00A20381">
        <w:t xml:space="preserve">As already mentioned, in September of the same </w:t>
      </w:r>
      <w:r w:rsidR="00E94085" w:rsidRPr="00A20381">
        <w:t>year,</w:t>
      </w:r>
      <w:r w:rsidRPr="00A20381">
        <w:t xml:space="preserve"> the policy rate level </w:t>
      </w:r>
      <w:r w:rsidRPr="00A20381">
        <w:rPr>
          <w:spacing w:val="-3"/>
        </w:rPr>
        <w:t xml:space="preserve">went </w:t>
      </w:r>
      <w:r w:rsidRPr="00A20381">
        <w:t xml:space="preserve">down at the 0.05% and the ECB Governor </w:t>
      </w:r>
      <w:proofErr w:type="spellStart"/>
      <w:r w:rsidRPr="00A20381">
        <w:t>Draghi</w:t>
      </w:r>
      <w:proofErr w:type="spellEnd"/>
      <w:r w:rsidRPr="00A20381">
        <w:t xml:space="preserve"> officially adopted the so-called “</w:t>
      </w:r>
      <w:r w:rsidRPr="00A20381">
        <w:rPr>
          <w:i/>
        </w:rPr>
        <w:t>forward guidance</w:t>
      </w:r>
      <w:r w:rsidRPr="00A20381">
        <w:t xml:space="preserve">” stating that that level would </w:t>
      </w:r>
      <w:r w:rsidRPr="00A20381">
        <w:rPr>
          <w:spacing w:val="-3"/>
        </w:rPr>
        <w:t xml:space="preserve">have </w:t>
      </w:r>
      <w:r w:rsidRPr="00A20381">
        <w:t>been</w:t>
      </w:r>
      <w:r w:rsidRPr="00A20381">
        <w:rPr>
          <w:spacing w:val="-11"/>
        </w:rPr>
        <w:t xml:space="preserve"> </w:t>
      </w:r>
      <w:r w:rsidR="00E94085" w:rsidRPr="00A20381">
        <w:t>maintained</w:t>
      </w:r>
      <w:r w:rsidRPr="00A20381">
        <w:rPr>
          <w:spacing w:val="-11"/>
        </w:rPr>
        <w:t xml:space="preserve"> </w:t>
      </w:r>
      <w:r w:rsidRPr="00A20381">
        <w:t>“low”</w:t>
      </w:r>
      <w:r w:rsidRPr="00A20381">
        <w:rPr>
          <w:spacing w:val="-1"/>
        </w:rPr>
        <w:t xml:space="preserve"> </w:t>
      </w:r>
      <w:r w:rsidRPr="00A20381">
        <w:t>for</w:t>
      </w:r>
      <w:r w:rsidRPr="00A20381">
        <w:rPr>
          <w:spacing w:val="-11"/>
        </w:rPr>
        <w:t xml:space="preserve"> </w:t>
      </w:r>
      <w:r w:rsidRPr="00A20381">
        <w:t>a</w:t>
      </w:r>
      <w:r w:rsidRPr="00A20381">
        <w:rPr>
          <w:spacing w:val="-11"/>
        </w:rPr>
        <w:t xml:space="preserve"> </w:t>
      </w:r>
      <w:r w:rsidRPr="00A20381">
        <w:t>long</w:t>
      </w:r>
      <w:r w:rsidRPr="00A20381">
        <w:rPr>
          <w:spacing w:val="-12"/>
        </w:rPr>
        <w:t xml:space="preserve"> </w:t>
      </w:r>
      <w:r w:rsidRPr="00A20381">
        <w:t>time.</w:t>
      </w:r>
      <w:r w:rsidRPr="00A20381">
        <w:rPr>
          <w:spacing w:val="3"/>
        </w:rPr>
        <w:t xml:space="preserve"> </w:t>
      </w:r>
      <w:r w:rsidRPr="00A20381">
        <w:t>This</w:t>
      </w:r>
      <w:r w:rsidRPr="00A20381">
        <w:rPr>
          <w:spacing w:val="-11"/>
        </w:rPr>
        <w:t xml:space="preserve"> </w:t>
      </w:r>
      <w:r w:rsidRPr="00A20381">
        <w:t>measure</w:t>
      </w:r>
      <w:r w:rsidRPr="00A20381">
        <w:rPr>
          <w:spacing w:val="-11"/>
        </w:rPr>
        <w:t xml:space="preserve"> </w:t>
      </w:r>
      <w:r w:rsidRPr="00A20381">
        <w:rPr>
          <w:spacing w:val="-3"/>
        </w:rPr>
        <w:t>was</w:t>
      </w:r>
      <w:r w:rsidRPr="00A20381">
        <w:rPr>
          <w:spacing w:val="-12"/>
        </w:rPr>
        <w:t xml:space="preserve"> </w:t>
      </w:r>
      <w:r w:rsidRPr="00A20381">
        <w:t>adopted</w:t>
      </w:r>
      <w:r w:rsidRPr="00A20381">
        <w:rPr>
          <w:spacing w:val="-11"/>
        </w:rPr>
        <w:t xml:space="preserve"> </w:t>
      </w:r>
      <w:r w:rsidRPr="00A20381">
        <w:t>in</w:t>
      </w:r>
      <w:r w:rsidRPr="00A20381">
        <w:rPr>
          <w:spacing w:val="-11"/>
        </w:rPr>
        <w:t xml:space="preserve"> </w:t>
      </w:r>
      <w:r w:rsidRPr="00A20381">
        <w:t>order</w:t>
      </w:r>
      <w:r w:rsidRPr="00A20381">
        <w:rPr>
          <w:spacing w:val="-11"/>
        </w:rPr>
        <w:t xml:space="preserve"> </w:t>
      </w:r>
      <w:r w:rsidRPr="00A20381">
        <w:t>to</w:t>
      </w:r>
      <w:r w:rsidRPr="00A20381">
        <w:rPr>
          <w:spacing w:val="-12"/>
        </w:rPr>
        <w:t xml:space="preserve"> </w:t>
      </w:r>
      <w:r w:rsidRPr="00A20381">
        <w:t>correct</w:t>
      </w:r>
      <w:r w:rsidRPr="00A20381">
        <w:rPr>
          <w:spacing w:val="-11"/>
        </w:rPr>
        <w:t xml:space="preserve"> </w:t>
      </w:r>
      <w:r w:rsidRPr="00A20381">
        <w:t>what</w:t>
      </w:r>
      <w:r w:rsidRPr="00A20381">
        <w:rPr>
          <w:spacing w:val="-11"/>
        </w:rPr>
        <w:t xml:space="preserve"> </w:t>
      </w:r>
      <w:r w:rsidRPr="00A20381">
        <w:t>market</w:t>
      </w:r>
      <w:r w:rsidRPr="00A20381">
        <w:rPr>
          <w:spacing w:val="-11"/>
        </w:rPr>
        <w:t xml:space="preserve"> </w:t>
      </w:r>
      <w:r w:rsidRPr="00A20381">
        <w:rPr>
          <w:spacing w:val="-3"/>
        </w:rPr>
        <w:t>was</w:t>
      </w:r>
      <w:r w:rsidRPr="00A20381">
        <w:rPr>
          <w:spacing w:val="-10"/>
        </w:rPr>
        <w:t xml:space="preserve"> </w:t>
      </w:r>
      <w:r w:rsidRPr="00A20381">
        <w:t>discounting in</w:t>
      </w:r>
      <w:r w:rsidRPr="00A20381">
        <w:rPr>
          <w:spacing w:val="-11"/>
        </w:rPr>
        <w:t xml:space="preserve"> </w:t>
      </w:r>
      <w:r w:rsidRPr="00A20381">
        <w:t>terms</w:t>
      </w:r>
      <w:r w:rsidRPr="00A20381">
        <w:rPr>
          <w:spacing w:val="-11"/>
        </w:rPr>
        <w:t xml:space="preserve"> </w:t>
      </w:r>
      <w:r w:rsidRPr="00A20381">
        <w:t>of</w:t>
      </w:r>
      <w:r w:rsidRPr="00A20381">
        <w:rPr>
          <w:spacing w:val="-11"/>
        </w:rPr>
        <w:t xml:space="preserve"> </w:t>
      </w:r>
      <w:r w:rsidRPr="00A20381">
        <w:t>its</w:t>
      </w:r>
      <w:r w:rsidRPr="00A20381">
        <w:rPr>
          <w:spacing w:val="-11"/>
        </w:rPr>
        <w:t xml:space="preserve"> </w:t>
      </w:r>
      <w:r w:rsidRPr="00A20381">
        <w:t>expectation</w:t>
      </w:r>
      <w:r w:rsidRPr="00A20381">
        <w:rPr>
          <w:spacing w:val="-10"/>
        </w:rPr>
        <w:t xml:space="preserve"> </w:t>
      </w:r>
      <w:r w:rsidRPr="00A20381">
        <w:t>on</w:t>
      </w:r>
      <w:r w:rsidRPr="00A20381">
        <w:rPr>
          <w:spacing w:val="-11"/>
        </w:rPr>
        <w:t xml:space="preserve"> </w:t>
      </w:r>
      <w:r w:rsidRPr="00A20381">
        <w:t>long-term</w:t>
      </w:r>
      <w:r w:rsidRPr="00A20381">
        <w:rPr>
          <w:spacing w:val="-11"/>
        </w:rPr>
        <w:t xml:space="preserve"> </w:t>
      </w:r>
      <w:r w:rsidRPr="00A20381">
        <w:t>interest</w:t>
      </w:r>
      <w:r w:rsidRPr="00A20381">
        <w:rPr>
          <w:spacing w:val="-11"/>
        </w:rPr>
        <w:t xml:space="preserve"> </w:t>
      </w:r>
      <w:r w:rsidRPr="00A20381">
        <w:t>rates.</w:t>
      </w:r>
      <w:r w:rsidRPr="00A20381">
        <w:rPr>
          <w:spacing w:val="8"/>
        </w:rPr>
        <w:t xml:space="preserve"> </w:t>
      </w:r>
      <w:r w:rsidRPr="00A20381">
        <w:t>Moreover,</w:t>
      </w:r>
      <w:r w:rsidRPr="00A20381">
        <w:rPr>
          <w:spacing w:val="-10"/>
        </w:rPr>
        <w:t xml:space="preserve"> </w:t>
      </w:r>
      <w:r w:rsidRPr="00A20381">
        <w:t>during</w:t>
      </w:r>
      <w:r w:rsidRPr="00A20381">
        <w:rPr>
          <w:spacing w:val="-11"/>
        </w:rPr>
        <w:t xml:space="preserve"> </w:t>
      </w:r>
      <w:r w:rsidRPr="00A20381">
        <w:t>this</w:t>
      </w:r>
      <w:r w:rsidRPr="00A20381">
        <w:rPr>
          <w:spacing w:val="-11"/>
        </w:rPr>
        <w:t xml:space="preserve"> </w:t>
      </w:r>
      <w:r w:rsidRPr="00A20381">
        <w:t>period,</w:t>
      </w:r>
      <w:r w:rsidRPr="00A20381">
        <w:rPr>
          <w:spacing w:val="-9"/>
        </w:rPr>
        <w:t xml:space="preserve"> </w:t>
      </w:r>
      <w:r w:rsidRPr="00A20381">
        <w:t>the</w:t>
      </w:r>
      <w:r w:rsidRPr="00A20381">
        <w:rPr>
          <w:spacing w:val="-11"/>
        </w:rPr>
        <w:t xml:space="preserve"> </w:t>
      </w:r>
      <w:r w:rsidRPr="00A20381">
        <w:t>Central</w:t>
      </w:r>
      <w:r w:rsidRPr="00A20381">
        <w:rPr>
          <w:spacing w:val="-11"/>
        </w:rPr>
        <w:t xml:space="preserve"> </w:t>
      </w:r>
      <w:r w:rsidRPr="00A20381">
        <w:t>Bank</w:t>
      </w:r>
      <w:r w:rsidRPr="00A20381">
        <w:rPr>
          <w:spacing w:val="-10"/>
        </w:rPr>
        <w:t xml:space="preserve"> </w:t>
      </w:r>
      <w:r w:rsidRPr="00A20381">
        <w:t>realized</w:t>
      </w:r>
      <w:r w:rsidRPr="00A20381">
        <w:rPr>
          <w:spacing w:val="-11"/>
        </w:rPr>
        <w:t xml:space="preserve"> </w:t>
      </w:r>
      <w:r w:rsidRPr="00A20381">
        <w:t xml:space="preserve">also the purchase program of </w:t>
      </w:r>
      <w:r w:rsidRPr="00A20381">
        <w:rPr>
          <w:i/>
          <w:spacing w:val="-5"/>
        </w:rPr>
        <w:t xml:space="preserve">covered </w:t>
      </w:r>
      <w:r w:rsidRPr="00A20381">
        <w:rPr>
          <w:i/>
          <w:spacing w:val="-3"/>
        </w:rPr>
        <w:t xml:space="preserve">bonds </w:t>
      </w:r>
      <w:r w:rsidRPr="00A20381">
        <w:t xml:space="preserve">and </w:t>
      </w:r>
      <w:r w:rsidRPr="00A20381">
        <w:rPr>
          <w:i/>
        </w:rPr>
        <w:t>Asset-Backed Securities</w:t>
      </w:r>
      <w:r w:rsidR="00DE51CC">
        <w:t xml:space="preserve"> (</w:t>
      </w:r>
      <w:r w:rsidR="00DE51CC">
        <w:rPr>
          <w:i/>
        </w:rPr>
        <w:t>ABS</w:t>
      </w:r>
      <w:r w:rsidR="00DE51CC">
        <w:t>)</w:t>
      </w:r>
      <w:r w:rsidRPr="00A20381">
        <w:t xml:space="preserve">. Nonetheless, these measures were not </w:t>
      </w:r>
      <w:r w:rsidR="00E94085" w:rsidRPr="00A20381">
        <w:t>sufficient</w:t>
      </w:r>
      <w:r w:rsidRPr="00A20381">
        <w:rPr>
          <w:spacing w:val="-11"/>
        </w:rPr>
        <w:t xml:space="preserve"> </w:t>
      </w:r>
      <w:r w:rsidRPr="00A20381">
        <w:t>to</w:t>
      </w:r>
      <w:r w:rsidRPr="00A20381">
        <w:rPr>
          <w:spacing w:val="-11"/>
        </w:rPr>
        <w:t xml:space="preserve"> </w:t>
      </w:r>
      <w:r w:rsidRPr="00A20381">
        <w:t>reduce</w:t>
      </w:r>
      <w:r w:rsidRPr="00A20381">
        <w:rPr>
          <w:spacing w:val="-11"/>
        </w:rPr>
        <w:t xml:space="preserve"> </w:t>
      </w:r>
      <w:r w:rsidRPr="00A20381">
        <w:t>the</w:t>
      </w:r>
      <w:r w:rsidRPr="00A20381">
        <w:rPr>
          <w:spacing w:val="-11"/>
        </w:rPr>
        <w:t xml:space="preserve"> </w:t>
      </w:r>
      <w:r w:rsidR="00E94085" w:rsidRPr="00A20381">
        <w:t>high</w:t>
      </w:r>
      <w:r w:rsidR="00E94085" w:rsidRPr="00A20381">
        <w:rPr>
          <w:spacing w:val="-11"/>
        </w:rPr>
        <w:t>-risk</w:t>
      </w:r>
      <w:r w:rsidRPr="00A20381">
        <w:rPr>
          <w:spacing w:val="-11"/>
        </w:rPr>
        <w:t xml:space="preserve"> </w:t>
      </w:r>
      <w:r w:rsidRPr="00A20381">
        <w:t>premium.</w:t>
      </w:r>
      <w:r w:rsidRPr="00A20381">
        <w:rPr>
          <w:spacing w:val="7"/>
        </w:rPr>
        <w:t xml:space="preserve"> </w:t>
      </w:r>
      <w:r w:rsidRPr="00A20381">
        <w:t>What</w:t>
      </w:r>
      <w:r w:rsidRPr="00A20381">
        <w:rPr>
          <w:spacing w:val="-11"/>
        </w:rPr>
        <w:t xml:space="preserve"> </w:t>
      </w:r>
      <w:r w:rsidRPr="00A20381">
        <w:t>did</w:t>
      </w:r>
      <w:r w:rsidRPr="00A20381">
        <w:rPr>
          <w:spacing w:val="-12"/>
        </w:rPr>
        <w:t xml:space="preserve"> </w:t>
      </w:r>
      <w:r w:rsidRPr="00A20381">
        <w:t>the</w:t>
      </w:r>
      <w:r w:rsidRPr="00A20381">
        <w:rPr>
          <w:spacing w:val="-11"/>
        </w:rPr>
        <w:t xml:space="preserve"> </w:t>
      </w:r>
      <w:r w:rsidRPr="00A20381">
        <w:t>ECB</w:t>
      </w:r>
      <w:r w:rsidRPr="00A20381">
        <w:rPr>
          <w:spacing w:val="-11"/>
        </w:rPr>
        <w:t xml:space="preserve"> </w:t>
      </w:r>
      <w:r w:rsidRPr="00A20381">
        <w:t>think</w:t>
      </w:r>
      <w:r w:rsidRPr="00A20381">
        <w:rPr>
          <w:spacing w:val="-11"/>
        </w:rPr>
        <w:t xml:space="preserve"> </w:t>
      </w:r>
      <w:r w:rsidRPr="00A20381">
        <w:t>to</w:t>
      </w:r>
      <w:r w:rsidRPr="00A20381">
        <w:rPr>
          <w:spacing w:val="-11"/>
        </w:rPr>
        <w:t xml:space="preserve"> </w:t>
      </w:r>
      <w:r w:rsidRPr="00A20381">
        <w:t>do</w:t>
      </w:r>
      <w:r w:rsidRPr="00A20381">
        <w:rPr>
          <w:spacing w:val="-11"/>
        </w:rPr>
        <w:t xml:space="preserve"> </w:t>
      </w:r>
      <w:r w:rsidRPr="00A20381">
        <w:t>in</w:t>
      </w:r>
      <w:r w:rsidRPr="00A20381">
        <w:rPr>
          <w:spacing w:val="-11"/>
        </w:rPr>
        <w:t xml:space="preserve"> </w:t>
      </w:r>
      <w:r w:rsidRPr="00A20381">
        <w:t>order</w:t>
      </w:r>
      <w:r w:rsidRPr="00A20381">
        <w:rPr>
          <w:spacing w:val="-11"/>
        </w:rPr>
        <w:t xml:space="preserve"> </w:t>
      </w:r>
      <w:r w:rsidRPr="00A20381">
        <w:t>to</w:t>
      </w:r>
      <w:r w:rsidRPr="00A20381">
        <w:rPr>
          <w:spacing w:val="-11"/>
        </w:rPr>
        <w:t xml:space="preserve"> </w:t>
      </w:r>
      <w:r w:rsidRPr="00A20381">
        <w:t>renormalize</w:t>
      </w:r>
      <w:r w:rsidRPr="00A20381">
        <w:rPr>
          <w:spacing w:val="-12"/>
        </w:rPr>
        <w:t xml:space="preserve"> </w:t>
      </w:r>
      <w:r w:rsidRPr="00A20381">
        <w:t xml:space="preserve">markets? In January 2015, </w:t>
      </w:r>
      <w:proofErr w:type="spellStart"/>
      <w:r w:rsidRPr="00A20381">
        <w:t>Draghi</w:t>
      </w:r>
      <w:proofErr w:type="spellEnd"/>
      <w:r w:rsidRPr="00A20381">
        <w:t xml:space="preserve"> announced the </w:t>
      </w:r>
      <w:r w:rsidRPr="00A20381">
        <w:rPr>
          <w:i/>
        </w:rPr>
        <w:t xml:space="preserve">Quantitative Easing </w:t>
      </w:r>
      <w:r w:rsidRPr="00A20381">
        <w:t>(</w:t>
      </w:r>
      <w:r w:rsidR="00E94085" w:rsidRPr="00A20381">
        <w:rPr>
          <w:i/>
        </w:rPr>
        <w:t>QE)</w:t>
      </w:r>
      <w:r w:rsidRPr="00A20381">
        <w:t xml:space="preserve">. In March of the same year, indeed, the </w:t>
      </w:r>
      <w:r w:rsidR="006E4E81">
        <w:t>ECB</w:t>
      </w:r>
      <w:r w:rsidRPr="00A20381">
        <w:rPr>
          <w:spacing w:val="-8"/>
        </w:rPr>
        <w:t xml:space="preserve"> </w:t>
      </w:r>
      <w:r w:rsidRPr="00A20381">
        <w:t>implemented</w:t>
      </w:r>
      <w:r w:rsidRPr="00A20381">
        <w:rPr>
          <w:spacing w:val="-8"/>
        </w:rPr>
        <w:t xml:space="preserve"> </w:t>
      </w:r>
      <w:r w:rsidRPr="00A20381">
        <w:t>the</w:t>
      </w:r>
      <w:r w:rsidRPr="00A20381">
        <w:rPr>
          <w:spacing w:val="-8"/>
        </w:rPr>
        <w:t xml:space="preserve"> </w:t>
      </w:r>
      <w:r w:rsidR="00E94085" w:rsidRPr="00A20381">
        <w:t>large</w:t>
      </w:r>
      <w:r w:rsidR="00E94085" w:rsidRPr="00A20381">
        <w:rPr>
          <w:spacing w:val="-8"/>
        </w:rPr>
        <w:t>-scale</w:t>
      </w:r>
      <w:r w:rsidRPr="00A20381">
        <w:rPr>
          <w:spacing w:val="-8"/>
        </w:rPr>
        <w:t xml:space="preserve"> </w:t>
      </w:r>
      <w:r w:rsidRPr="00A20381">
        <w:t>purchase</w:t>
      </w:r>
      <w:r w:rsidRPr="00A20381">
        <w:rPr>
          <w:spacing w:val="-8"/>
        </w:rPr>
        <w:t xml:space="preserve"> </w:t>
      </w:r>
      <w:r w:rsidRPr="00A20381">
        <w:t>program</w:t>
      </w:r>
      <w:r w:rsidRPr="00A20381">
        <w:rPr>
          <w:spacing w:val="-8"/>
        </w:rPr>
        <w:t xml:space="preserve"> </w:t>
      </w:r>
      <w:r w:rsidRPr="00A20381">
        <w:t>of</w:t>
      </w:r>
      <w:r w:rsidRPr="00A20381">
        <w:rPr>
          <w:spacing w:val="-8"/>
        </w:rPr>
        <w:t xml:space="preserve"> </w:t>
      </w:r>
      <w:r w:rsidRPr="00A20381">
        <w:t>60</w:t>
      </w:r>
      <w:r w:rsidRPr="00A20381">
        <w:rPr>
          <w:spacing w:val="-8"/>
        </w:rPr>
        <w:t xml:space="preserve"> </w:t>
      </w:r>
      <w:r w:rsidRPr="00A20381">
        <w:t>billion</w:t>
      </w:r>
      <w:r w:rsidRPr="00A20381">
        <w:rPr>
          <w:spacing w:val="-8"/>
        </w:rPr>
        <w:t xml:space="preserve"> </w:t>
      </w:r>
      <w:r w:rsidRPr="00A20381">
        <w:t>of</w:t>
      </w:r>
      <w:r w:rsidRPr="00A20381">
        <w:rPr>
          <w:spacing w:val="-8"/>
        </w:rPr>
        <w:t xml:space="preserve"> </w:t>
      </w:r>
      <w:r w:rsidRPr="00A20381">
        <w:t>euros</w:t>
      </w:r>
      <w:r w:rsidRPr="00A20381">
        <w:rPr>
          <w:spacing w:val="-8"/>
        </w:rPr>
        <w:t xml:space="preserve"> </w:t>
      </w:r>
      <w:r w:rsidRPr="00A20381">
        <w:t>(monthly)</w:t>
      </w:r>
      <w:r w:rsidRPr="00A20381">
        <w:rPr>
          <w:spacing w:val="-8"/>
        </w:rPr>
        <w:t xml:space="preserve"> </w:t>
      </w:r>
      <w:r w:rsidRPr="00A20381">
        <w:t>of</w:t>
      </w:r>
      <w:r w:rsidRPr="00A20381">
        <w:rPr>
          <w:spacing w:val="-8"/>
        </w:rPr>
        <w:t xml:space="preserve"> </w:t>
      </w:r>
      <w:r w:rsidRPr="00A20381">
        <w:t>government</w:t>
      </w:r>
      <w:r w:rsidRPr="00A20381">
        <w:rPr>
          <w:spacing w:val="-8"/>
        </w:rPr>
        <w:t xml:space="preserve"> </w:t>
      </w:r>
      <w:r w:rsidRPr="00A20381">
        <w:t>bonds,</w:t>
      </w:r>
      <w:r w:rsidRPr="00A20381">
        <w:rPr>
          <w:spacing w:val="-7"/>
        </w:rPr>
        <w:t xml:space="preserve"> </w:t>
      </w:r>
      <w:r w:rsidRPr="00A20381">
        <w:t>covered</w:t>
      </w:r>
      <w:r w:rsidR="00E94085" w:rsidRPr="00A20381">
        <w:t xml:space="preserve"> </w:t>
      </w:r>
      <w:r w:rsidRPr="00A20381">
        <w:t xml:space="preserve">bonds and ABS </w:t>
      </w:r>
      <w:r w:rsidR="00E94085" w:rsidRPr="00A20381">
        <w:t>based on</w:t>
      </w:r>
      <w:r w:rsidRPr="00A20381">
        <w:t xml:space="preserve"> specific rules</w:t>
      </w:r>
      <w:r w:rsidR="00E94085" w:rsidRPr="00A20381">
        <w:rPr>
          <w:rStyle w:val="Rimandonotaapidipagina"/>
        </w:rPr>
        <w:footnoteReference w:id="18"/>
      </w:r>
      <w:r w:rsidRPr="00A20381">
        <w:t xml:space="preserve">.  The deadline of this </w:t>
      </w:r>
      <w:r w:rsidR="00DE51CC" w:rsidRPr="00A20381">
        <w:t>exceptional</w:t>
      </w:r>
      <w:r w:rsidRPr="00A20381">
        <w:t xml:space="preserve"> and unconventional measure</w:t>
      </w:r>
      <w:r w:rsidRPr="00A20381">
        <w:rPr>
          <w:spacing w:val="-7"/>
        </w:rPr>
        <w:t xml:space="preserve"> </w:t>
      </w:r>
      <w:r w:rsidR="00C677BE">
        <w:rPr>
          <w:spacing w:val="-3"/>
        </w:rPr>
        <w:t>had</w:t>
      </w:r>
      <w:r w:rsidR="00F37214" w:rsidRPr="00A20381">
        <w:rPr>
          <w:spacing w:val="-3"/>
        </w:rPr>
        <w:t xml:space="preserve"> </w:t>
      </w:r>
      <w:r w:rsidRPr="00A20381">
        <w:t xml:space="preserve">programmed in September 2016. </w:t>
      </w:r>
      <w:r w:rsidRPr="00A20381">
        <w:rPr>
          <w:spacing w:val="-3"/>
        </w:rPr>
        <w:t xml:space="preserve">How </w:t>
      </w:r>
      <w:r w:rsidRPr="00A20381">
        <w:t xml:space="preserve">did market react? The equity market prices reacted positively (merely as example, </w:t>
      </w:r>
      <w:r w:rsidR="00F37214" w:rsidRPr="00A20381">
        <w:t>let us</w:t>
      </w:r>
      <w:r w:rsidRPr="00A20381">
        <w:t xml:space="preserve"> imagine the possibility for firms to </w:t>
      </w:r>
      <w:r w:rsidRPr="00A20381">
        <w:rPr>
          <w:spacing w:val="-3"/>
        </w:rPr>
        <w:t xml:space="preserve">low </w:t>
      </w:r>
      <w:r w:rsidRPr="00A20381">
        <w:t xml:space="preserve">cost finance their </w:t>
      </w:r>
      <w:r w:rsidRPr="00A20381">
        <w:rPr>
          <w:i/>
          <w:spacing w:val="-3"/>
        </w:rPr>
        <w:t xml:space="preserve">stock </w:t>
      </w:r>
      <w:r w:rsidRPr="00A20381">
        <w:rPr>
          <w:i/>
        </w:rPr>
        <w:t>buybacks</w:t>
      </w:r>
      <w:r w:rsidRPr="00A20381">
        <w:t>!), the Euro-Dollar exchange rate</w:t>
      </w:r>
      <w:r w:rsidRPr="00A20381">
        <w:rPr>
          <w:spacing w:val="-23"/>
        </w:rPr>
        <w:t xml:space="preserve"> </w:t>
      </w:r>
      <w:r w:rsidRPr="00A20381">
        <w:t>depreciated</w:t>
      </w:r>
      <w:r w:rsidRPr="00A20381">
        <w:rPr>
          <w:spacing w:val="-22"/>
        </w:rPr>
        <w:t xml:space="preserve"> </w:t>
      </w:r>
      <w:r w:rsidRPr="00A20381">
        <w:t>and</w:t>
      </w:r>
      <w:r w:rsidRPr="00A20381">
        <w:rPr>
          <w:spacing w:val="-22"/>
        </w:rPr>
        <w:t xml:space="preserve"> </w:t>
      </w:r>
      <w:r w:rsidRPr="00A20381">
        <w:t>the</w:t>
      </w:r>
      <w:r w:rsidRPr="00A20381">
        <w:rPr>
          <w:spacing w:val="-22"/>
        </w:rPr>
        <w:t xml:space="preserve"> </w:t>
      </w:r>
      <w:r w:rsidRPr="00A20381">
        <w:t>bond</w:t>
      </w:r>
      <w:r w:rsidRPr="00A20381">
        <w:rPr>
          <w:spacing w:val="-22"/>
        </w:rPr>
        <w:t xml:space="preserve"> </w:t>
      </w:r>
      <w:r w:rsidRPr="00A20381">
        <w:t>spread</w:t>
      </w:r>
      <w:r w:rsidRPr="00A20381">
        <w:rPr>
          <w:spacing w:val="-23"/>
        </w:rPr>
        <w:t xml:space="preserve"> </w:t>
      </w:r>
      <w:r w:rsidR="00F37214" w:rsidRPr="00A20381">
        <w:t>decreased</w:t>
      </w:r>
      <w:r w:rsidRPr="00A20381">
        <w:t>.</w:t>
      </w:r>
      <w:r w:rsidRPr="00A20381">
        <w:rPr>
          <w:spacing w:val="-11"/>
        </w:rPr>
        <w:t xml:space="preserve"> </w:t>
      </w:r>
      <w:r w:rsidRPr="00A20381">
        <w:t>Markets</w:t>
      </w:r>
      <w:r w:rsidRPr="00A20381">
        <w:rPr>
          <w:spacing w:val="-22"/>
        </w:rPr>
        <w:t xml:space="preserve"> </w:t>
      </w:r>
      <w:r w:rsidRPr="00A20381">
        <w:t>were</w:t>
      </w:r>
      <w:r w:rsidRPr="00A20381">
        <w:rPr>
          <w:spacing w:val="-22"/>
        </w:rPr>
        <w:t xml:space="preserve"> </w:t>
      </w:r>
      <w:r w:rsidRPr="00A20381">
        <w:t>already</w:t>
      </w:r>
      <w:r w:rsidRPr="00A20381">
        <w:rPr>
          <w:spacing w:val="-22"/>
        </w:rPr>
        <w:t xml:space="preserve"> </w:t>
      </w:r>
      <w:r w:rsidRPr="00A20381">
        <w:t>enormously</w:t>
      </w:r>
      <w:r w:rsidRPr="00A20381">
        <w:rPr>
          <w:spacing w:val="-22"/>
        </w:rPr>
        <w:t xml:space="preserve"> </w:t>
      </w:r>
      <w:r w:rsidRPr="00A20381">
        <w:t>drugged</w:t>
      </w:r>
      <w:r w:rsidRPr="00A20381">
        <w:rPr>
          <w:spacing w:val="-23"/>
        </w:rPr>
        <w:t xml:space="preserve"> </w:t>
      </w:r>
      <w:r w:rsidRPr="00A20381">
        <w:t>of</w:t>
      </w:r>
      <w:r w:rsidRPr="00A20381">
        <w:rPr>
          <w:spacing w:val="-22"/>
        </w:rPr>
        <w:t xml:space="preserve"> </w:t>
      </w:r>
      <w:r w:rsidRPr="00A20381">
        <w:t>outstanding</w:t>
      </w:r>
      <w:r w:rsidRPr="00A20381">
        <w:rPr>
          <w:spacing w:val="-22"/>
        </w:rPr>
        <w:t xml:space="preserve"> </w:t>
      </w:r>
      <w:r w:rsidRPr="00A20381">
        <w:t xml:space="preserve">liquidity but the ECB continued its expansive monetary policy in the course of 2016 and 2017. In particular, on </w:t>
      </w:r>
      <w:r w:rsidR="00F37214" w:rsidRPr="00A20381">
        <w:t>10</w:t>
      </w:r>
      <w:r w:rsidRPr="00A20381">
        <w:rPr>
          <w:spacing w:val="-36"/>
        </w:rPr>
        <w:t xml:space="preserve"> </w:t>
      </w:r>
      <w:r w:rsidRPr="00A20381">
        <w:t xml:space="preserve">March 2016, the Central Bank reduced the policy rate to 0.00% and the </w:t>
      </w:r>
      <w:r w:rsidRPr="00A20381">
        <w:rPr>
          <w:i/>
          <w:spacing w:val="-5"/>
        </w:rPr>
        <w:t xml:space="preserve">TLTRO </w:t>
      </w:r>
      <w:r w:rsidRPr="00A20381">
        <w:rPr>
          <w:i/>
        </w:rPr>
        <w:t xml:space="preserve">II </w:t>
      </w:r>
      <w:r w:rsidRPr="00A20381">
        <w:rPr>
          <w:spacing w:val="-3"/>
        </w:rPr>
        <w:t xml:space="preserve">was </w:t>
      </w:r>
      <w:r w:rsidRPr="00A20381">
        <w:t>announced, leaving his purchase program</w:t>
      </w:r>
      <w:r w:rsidRPr="00A20381">
        <w:rPr>
          <w:spacing w:val="15"/>
        </w:rPr>
        <w:t xml:space="preserve"> </w:t>
      </w:r>
      <w:r w:rsidRPr="00A20381">
        <w:rPr>
          <w:spacing w:val="-3"/>
        </w:rPr>
        <w:t>unvaried.</w:t>
      </w:r>
    </w:p>
    <w:p w:rsidR="00E74FF8" w:rsidRDefault="00E85B85" w:rsidP="008767EA">
      <w:pPr>
        <w:pStyle w:val="Corpotesto"/>
        <w:spacing w:before="84" w:line="360" w:lineRule="auto"/>
        <w:ind w:left="113" w:right="109"/>
        <w:jc w:val="both"/>
      </w:pPr>
      <w:r w:rsidRPr="00A20381">
        <w:t xml:space="preserve">Once again, as for the previous period 2012-14, during the </w:t>
      </w:r>
      <w:r w:rsidRPr="00A20381">
        <w:rPr>
          <w:spacing w:val="-3"/>
        </w:rPr>
        <w:t xml:space="preserve">interval </w:t>
      </w:r>
      <w:r w:rsidRPr="00A20381">
        <w:t>2014-17, wh</w:t>
      </w:r>
      <w:r w:rsidR="00F37214" w:rsidRPr="00A20381">
        <w:t>en financial markets</w:t>
      </w:r>
      <w:r w:rsidRPr="00A20381">
        <w:t xml:space="preserve"> </w:t>
      </w:r>
      <w:r w:rsidR="00F37214" w:rsidRPr="00A20381">
        <w:t xml:space="preserve">were fully </w:t>
      </w:r>
      <w:r w:rsidR="00B93295">
        <w:t>plenty</w:t>
      </w:r>
      <w:r w:rsidR="00F37214" w:rsidRPr="00A20381">
        <w:t xml:space="preserve"> of </w:t>
      </w:r>
      <w:r w:rsidR="00F37214" w:rsidRPr="00A20381">
        <w:rPr>
          <w:spacing w:val="-3"/>
        </w:rPr>
        <w:t xml:space="preserve">liquidity, </w:t>
      </w:r>
      <w:r w:rsidR="00F37214" w:rsidRPr="00A20381">
        <w:t xml:space="preserve">the </w:t>
      </w:r>
      <w:r w:rsidR="00F37214" w:rsidRPr="00A20381">
        <w:rPr>
          <w:spacing w:val="-4"/>
        </w:rPr>
        <w:t xml:space="preserve">two </w:t>
      </w:r>
      <w:r w:rsidR="00F37214" w:rsidRPr="00A20381">
        <w:t xml:space="preserve">examined series continued to </w:t>
      </w:r>
      <w:r w:rsidR="00F37214" w:rsidRPr="00A20381">
        <w:rPr>
          <w:spacing w:val="2"/>
        </w:rPr>
        <w:t xml:space="preserve">be </w:t>
      </w:r>
      <w:r w:rsidR="00F37214" w:rsidRPr="00A20381">
        <w:t xml:space="preserve">not </w:t>
      </w:r>
      <w:proofErr w:type="spellStart"/>
      <w:r w:rsidR="00F37214" w:rsidRPr="00A20381">
        <w:t>cointegrated</w:t>
      </w:r>
      <w:proofErr w:type="spellEnd"/>
      <w:r w:rsidR="00F37214" w:rsidRPr="00A20381">
        <w:t xml:space="preserve">. </w:t>
      </w:r>
      <w:r w:rsidRPr="00A20381">
        <w:t xml:space="preserve">The </w:t>
      </w:r>
      <w:r w:rsidRPr="00A20381">
        <w:rPr>
          <w:i/>
        </w:rPr>
        <w:t>Granger-causality test</w:t>
      </w:r>
      <w:r w:rsidRPr="00A20381">
        <w:rPr>
          <w:i/>
          <w:spacing w:val="-8"/>
        </w:rPr>
        <w:t xml:space="preserve"> </w:t>
      </w:r>
      <w:r w:rsidRPr="00A20381">
        <w:t>s</w:t>
      </w:r>
      <w:r w:rsidR="00F37214" w:rsidRPr="00A20381">
        <w:t xml:space="preserve">how that the bond spreads </w:t>
      </w:r>
      <w:r w:rsidR="00F37214" w:rsidRPr="00A20381">
        <w:rPr>
          <w:i/>
          <w:spacing w:val="-3"/>
        </w:rPr>
        <w:t xml:space="preserve">Granger-caused </w:t>
      </w:r>
      <w:r w:rsidR="00F37214" w:rsidRPr="00A20381">
        <w:t xml:space="preserve">the CDS premia. This would </w:t>
      </w:r>
      <w:r w:rsidR="00F37214" w:rsidRPr="00A20381">
        <w:rPr>
          <w:spacing w:val="-3"/>
        </w:rPr>
        <w:t xml:space="preserve">prove </w:t>
      </w:r>
      <w:r w:rsidR="00F37214" w:rsidRPr="00A20381">
        <w:t xml:space="preserve">that, in abnormal (drugged) market conditions, the natural connection between the CDS market and bond market tend to </w:t>
      </w:r>
      <w:r w:rsidR="00F37214" w:rsidRPr="00A20381">
        <w:rPr>
          <w:spacing w:val="2"/>
        </w:rPr>
        <w:t xml:space="preserve">be </w:t>
      </w:r>
      <w:r w:rsidR="00F37214" w:rsidRPr="00A20381">
        <w:t>obfuscate and the price discovery</w:t>
      </w:r>
      <w:r w:rsidR="00F37214" w:rsidRPr="00A20381">
        <w:rPr>
          <w:spacing w:val="-8"/>
        </w:rPr>
        <w:t xml:space="preserve"> </w:t>
      </w:r>
      <w:r w:rsidR="00F37214" w:rsidRPr="00A20381">
        <w:t>process</w:t>
      </w:r>
      <w:r w:rsidR="00F37214" w:rsidRPr="00A20381">
        <w:rPr>
          <w:spacing w:val="-8"/>
        </w:rPr>
        <w:t xml:space="preserve"> </w:t>
      </w:r>
      <w:r w:rsidR="00F37214" w:rsidRPr="00A20381">
        <w:t>of</w:t>
      </w:r>
      <w:r w:rsidR="00F37214" w:rsidRPr="00A20381">
        <w:rPr>
          <w:spacing w:val="-7"/>
        </w:rPr>
        <w:t xml:space="preserve"> </w:t>
      </w:r>
      <w:r w:rsidR="00F37214" w:rsidRPr="00A20381">
        <w:t>credit</w:t>
      </w:r>
      <w:r w:rsidR="00F37214" w:rsidRPr="00A20381">
        <w:rPr>
          <w:spacing w:val="-8"/>
        </w:rPr>
        <w:t xml:space="preserve"> </w:t>
      </w:r>
      <w:r w:rsidR="00F37214" w:rsidRPr="00A20381">
        <w:t>risk</w:t>
      </w:r>
      <w:r w:rsidR="00F37214" w:rsidRPr="00A20381">
        <w:rPr>
          <w:spacing w:val="-7"/>
        </w:rPr>
        <w:t xml:space="preserve"> </w:t>
      </w:r>
      <w:r w:rsidR="00B53138" w:rsidRPr="00A20381">
        <w:t>altere</w:t>
      </w:r>
      <w:r w:rsidR="00F37214" w:rsidRPr="00A20381">
        <w:t>d.</w:t>
      </w:r>
      <w:r w:rsidR="00F37214" w:rsidRPr="00A20381">
        <w:rPr>
          <w:spacing w:val="8"/>
        </w:rPr>
        <w:t xml:space="preserve"> </w:t>
      </w:r>
      <w:r w:rsidR="00F37214" w:rsidRPr="00A20381">
        <w:t>In</w:t>
      </w:r>
      <w:r w:rsidR="00F37214" w:rsidRPr="00A20381">
        <w:rPr>
          <w:spacing w:val="-8"/>
        </w:rPr>
        <w:t xml:space="preserve"> </w:t>
      </w:r>
      <w:r w:rsidR="00F37214" w:rsidRPr="00A20381">
        <w:t>a</w:t>
      </w:r>
      <w:r w:rsidR="00F37214" w:rsidRPr="00A20381">
        <w:rPr>
          <w:spacing w:val="-8"/>
        </w:rPr>
        <w:t xml:space="preserve"> </w:t>
      </w:r>
      <w:r w:rsidR="00F37214" w:rsidRPr="00A20381">
        <w:t>similar</w:t>
      </w:r>
      <w:r w:rsidR="00F37214" w:rsidRPr="00A20381">
        <w:rPr>
          <w:spacing w:val="-7"/>
        </w:rPr>
        <w:t xml:space="preserve"> </w:t>
      </w:r>
      <w:r w:rsidR="00F37214" w:rsidRPr="00A20381">
        <w:t>backdrop,</w:t>
      </w:r>
      <w:r w:rsidR="00F37214" w:rsidRPr="00A20381">
        <w:rPr>
          <w:spacing w:val="-8"/>
        </w:rPr>
        <w:t xml:space="preserve"> </w:t>
      </w:r>
      <w:r w:rsidR="00F37214" w:rsidRPr="00A20381">
        <w:t>operators</w:t>
      </w:r>
      <w:r w:rsidR="00F37214" w:rsidRPr="00A20381">
        <w:rPr>
          <w:spacing w:val="-7"/>
        </w:rPr>
        <w:t xml:space="preserve"> </w:t>
      </w:r>
      <w:r w:rsidR="00F37214" w:rsidRPr="00A20381">
        <w:t>focus</w:t>
      </w:r>
      <w:r w:rsidR="00F37214" w:rsidRPr="00A20381">
        <w:rPr>
          <w:spacing w:val="-8"/>
        </w:rPr>
        <w:t xml:space="preserve"> </w:t>
      </w:r>
      <w:r w:rsidR="00F37214" w:rsidRPr="00A20381">
        <w:t>predominantly</w:t>
      </w:r>
      <w:r w:rsidR="00F37214" w:rsidRPr="00A20381">
        <w:rPr>
          <w:spacing w:val="-8"/>
        </w:rPr>
        <w:t xml:space="preserve"> </w:t>
      </w:r>
      <w:r w:rsidR="00F37214" w:rsidRPr="00A20381">
        <w:t>on</w:t>
      </w:r>
      <w:r w:rsidR="00F37214" w:rsidRPr="00A20381">
        <w:rPr>
          <w:spacing w:val="-7"/>
        </w:rPr>
        <w:t xml:space="preserve"> </w:t>
      </w:r>
      <w:r w:rsidR="00F37214" w:rsidRPr="00A20381">
        <w:t>current</w:t>
      </w:r>
      <w:r w:rsidR="00F37214" w:rsidRPr="00A20381">
        <w:rPr>
          <w:spacing w:val="-8"/>
        </w:rPr>
        <w:t xml:space="preserve"> </w:t>
      </w:r>
      <w:r w:rsidR="00F37214" w:rsidRPr="00A20381">
        <w:t xml:space="preserve">market </w:t>
      </w:r>
      <w:r w:rsidR="00F37214" w:rsidRPr="00A20381">
        <w:lastRenderedPageBreak/>
        <w:t>topics</w:t>
      </w:r>
      <w:r w:rsidR="00F37214" w:rsidRPr="00A20381">
        <w:rPr>
          <w:spacing w:val="-18"/>
        </w:rPr>
        <w:t xml:space="preserve"> </w:t>
      </w:r>
      <w:r w:rsidR="00F37214" w:rsidRPr="00A20381">
        <w:t>(what</w:t>
      </w:r>
      <w:r w:rsidR="00F37214" w:rsidRPr="00A20381">
        <w:rPr>
          <w:spacing w:val="-17"/>
        </w:rPr>
        <w:t xml:space="preserve"> </w:t>
      </w:r>
      <w:r w:rsidR="00F37214" w:rsidRPr="00A20381">
        <w:t>the</w:t>
      </w:r>
      <w:r w:rsidR="00F37214" w:rsidRPr="00A20381">
        <w:rPr>
          <w:spacing w:val="-18"/>
        </w:rPr>
        <w:t xml:space="preserve"> </w:t>
      </w:r>
      <w:r w:rsidR="00F37214" w:rsidRPr="00A20381">
        <w:t>whole</w:t>
      </w:r>
      <w:r w:rsidR="00F37214" w:rsidRPr="00A20381">
        <w:rPr>
          <w:spacing w:val="-17"/>
        </w:rPr>
        <w:t xml:space="preserve"> </w:t>
      </w:r>
      <w:r w:rsidR="00F37214" w:rsidRPr="00A20381">
        <w:t>market</w:t>
      </w:r>
      <w:r w:rsidR="00F37214" w:rsidRPr="00A20381">
        <w:rPr>
          <w:spacing w:val="-17"/>
        </w:rPr>
        <w:t xml:space="preserve"> </w:t>
      </w:r>
      <w:r w:rsidR="00F37214" w:rsidRPr="00A20381">
        <w:t>is</w:t>
      </w:r>
      <w:r w:rsidR="00F37214" w:rsidRPr="00A20381">
        <w:rPr>
          <w:spacing w:val="-18"/>
        </w:rPr>
        <w:t xml:space="preserve"> </w:t>
      </w:r>
      <w:r w:rsidR="00F37214" w:rsidRPr="00A20381">
        <w:t>looking</w:t>
      </w:r>
      <w:r w:rsidR="00F37214" w:rsidRPr="00A20381">
        <w:rPr>
          <w:spacing w:val="-17"/>
        </w:rPr>
        <w:t xml:space="preserve"> </w:t>
      </w:r>
      <w:r w:rsidR="00F37214" w:rsidRPr="00A20381">
        <w:t>at</w:t>
      </w:r>
      <w:r w:rsidR="00F37214" w:rsidRPr="00A20381">
        <w:rPr>
          <w:spacing w:val="-18"/>
        </w:rPr>
        <w:t xml:space="preserve"> </w:t>
      </w:r>
      <w:r w:rsidR="00F37214" w:rsidRPr="00A20381">
        <w:t>that</w:t>
      </w:r>
      <w:r w:rsidR="00F37214" w:rsidRPr="00A20381">
        <w:rPr>
          <w:spacing w:val="-18"/>
        </w:rPr>
        <w:t xml:space="preserve"> </w:t>
      </w:r>
      <w:r w:rsidR="00F37214" w:rsidRPr="00A20381">
        <w:t>particular</w:t>
      </w:r>
      <w:r w:rsidR="00F37214" w:rsidRPr="00A20381">
        <w:rPr>
          <w:spacing w:val="-17"/>
        </w:rPr>
        <w:t xml:space="preserve"> </w:t>
      </w:r>
      <w:r w:rsidR="00F37214" w:rsidRPr="00A20381">
        <w:t>moment)</w:t>
      </w:r>
      <w:r w:rsidR="00F37214" w:rsidRPr="00A20381">
        <w:rPr>
          <w:spacing w:val="-17"/>
        </w:rPr>
        <w:t xml:space="preserve"> </w:t>
      </w:r>
      <w:r w:rsidR="00F37214" w:rsidRPr="00A20381">
        <w:t>and</w:t>
      </w:r>
      <w:r w:rsidR="00F37214" w:rsidRPr="00A20381">
        <w:rPr>
          <w:spacing w:val="-17"/>
        </w:rPr>
        <w:t xml:space="preserve"> </w:t>
      </w:r>
      <w:r w:rsidR="00F37214" w:rsidRPr="00A20381">
        <w:t>specialized</w:t>
      </w:r>
      <w:r w:rsidR="00F37214" w:rsidRPr="00A20381">
        <w:rPr>
          <w:spacing w:val="-18"/>
        </w:rPr>
        <w:t xml:space="preserve"> </w:t>
      </w:r>
      <w:r w:rsidR="00F37214" w:rsidRPr="00A20381">
        <w:t>financial</w:t>
      </w:r>
      <w:r w:rsidR="00F37214" w:rsidRPr="00A20381">
        <w:rPr>
          <w:spacing w:val="-17"/>
        </w:rPr>
        <w:t xml:space="preserve"> </w:t>
      </w:r>
      <w:r w:rsidR="00F37214" w:rsidRPr="00A20381">
        <w:t>instruments,</w:t>
      </w:r>
      <w:r w:rsidR="00F37214" w:rsidRPr="00A20381">
        <w:rPr>
          <w:spacing w:val="-16"/>
        </w:rPr>
        <w:t xml:space="preserve"> </w:t>
      </w:r>
      <w:r w:rsidR="00F37214" w:rsidRPr="00A20381">
        <w:t>as</w:t>
      </w:r>
      <w:r w:rsidR="00F37214" w:rsidRPr="00A20381">
        <w:rPr>
          <w:spacing w:val="-17"/>
        </w:rPr>
        <w:t xml:space="preserve"> </w:t>
      </w:r>
      <w:r w:rsidR="00F37214" w:rsidRPr="00A20381">
        <w:t xml:space="preserve">CDSs, can lose their core function in the price discovery process of risks due to the undermined CDS market </w:t>
      </w:r>
      <w:r w:rsidR="00F37214" w:rsidRPr="00A20381">
        <w:rPr>
          <w:spacing w:val="-3"/>
        </w:rPr>
        <w:t xml:space="preserve">liquidity. </w:t>
      </w:r>
      <w:r w:rsidR="00F37214" w:rsidRPr="00A20381">
        <w:t>This</w:t>
      </w:r>
      <w:r w:rsidR="00F37214" w:rsidRPr="00A20381">
        <w:rPr>
          <w:spacing w:val="-10"/>
        </w:rPr>
        <w:t xml:space="preserve"> </w:t>
      </w:r>
      <w:r w:rsidR="00F37214" w:rsidRPr="00A20381">
        <w:t>condition,</w:t>
      </w:r>
      <w:r w:rsidR="00F37214" w:rsidRPr="00A20381">
        <w:rPr>
          <w:spacing w:val="-8"/>
        </w:rPr>
        <w:t xml:space="preserve"> </w:t>
      </w:r>
      <w:r w:rsidR="00F37214" w:rsidRPr="00A20381">
        <w:rPr>
          <w:spacing w:val="-3"/>
        </w:rPr>
        <w:t>by</w:t>
      </w:r>
      <w:r w:rsidR="00F37214" w:rsidRPr="00A20381">
        <w:rPr>
          <w:spacing w:val="-10"/>
        </w:rPr>
        <w:t xml:space="preserve"> </w:t>
      </w:r>
      <w:r w:rsidR="00F37214" w:rsidRPr="00A20381">
        <w:t>the</w:t>
      </w:r>
      <w:r w:rsidR="00F37214" w:rsidRPr="00A20381">
        <w:rPr>
          <w:spacing w:val="-9"/>
        </w:rPr>
        <w:t xml:space="preserve"> </w:t>
      </w:r>
      <w:r w:rsidR="00F37214" w:rsidRPr="00A20381">
        <w:rPr>
          <w:spacing w:val="-8"/>
        </w:rPr>
        <w:t>way,</w:t>
      </w:r>
      <w:r w:rsidR="00F37214" w:rsidRPr="00A20381">
        <w:rPr>
          <w:spacing w:val="-9"/>
        </w:rPr>
        <w:t xml:space="preserve"> </w:t>
      </w:r>
      <w:r w:rsidR="00F37214" w:rsidRPr="00A20381">
        <w:t>is</w:t>
      </w:r>
      <w:r w:rsidR="00F37214" w:rsidRPr="00A20381">
        <w:rPr>
          <w:spacing w:val="-9"/>
        </w:rPr>
        <w:t xml:space="preserve"> </w:t>
      </w:r>
      <w:r w:rsidR="00F37214" w:rsidRPr="00A20381">
        <w:t>even</w:t>
      </w:r>
      <w:r w:rsidR="00F37214" w:rsidRPr="00A20381">
        <w:rPr>
          <w:spacing w:val="-9"/>
        </w:rPr>
        <w:t xml:space="preserve"> </w:t>
      </w:r>
      <w:r w:rsidR="00F37214" w:rsidRPr="00A20381">
        <w:t>more</w:t>
      </w:r>
      <w:r w:rsidR="00F37214" w:rsidRPr="00A20381">
        <w:rPr>
          <w:spacing w:val="-9"/>
        </w:rPr>
        <w:t xml:space="preserve"> </w:t>
      </w:r>
      <w:r w:rsidR="00F37214" w:rsidRPr="00A20381">
        <w:rPr>
          <w:spacing w:val="-3"/>
        </w:rPr>
        <w:t>valid</w:t>
      </w:r>
      <w:r w:rsidR="00F37214" w:rsidRPr="00A20381">
        <w:rPr>
          <w:spacing w:val="-9"/>
        </w:rPr>
        <w:t xml:space="preserve"> </w:t>
      </w:r>
      <w:r w:rsidR="00F37214" w:rsidRPr="00A20381">
        <w:t>inside</w:t>
      </w:r>
      <w:r w:rsidR="00F37214" w:rsidRPr="00A20381">
        <w:rPr>
          <w:spacing w:val="-10"/>
        </w:rPr>
        <w:t xml:space="preserve"> </w:t>
      </w:r>
      <w:r w:rsidR="00F37214" w:rsidRPr="00A20381">
        <w:t>a</w:t>
      </w:r>
      <w:r w:rsidR="00F37214" w:rsidRPr="00A20381">
        <w:rPr>
          <w:spacing w:val="-9"/>
        </w:rPr>
        <w:t xml:space="preserve"> </w:t>
      </w:r>
      <w:r w:rsidR="00F37214" w:rsidRPr="00A20381">
        <w:t>global</w:t>
      </w:r>
      <w:r w:rsidR="00F37214" w:rsidRPr="00A20381">
        <w:rPr>
          <w:spacing w:val="-10"/>
        </w:rPr>
        <w:t xml:space="preserve"> </w:t>
      </w:r>
      <w:r w:rsidR="00F37214" w:rsidRPr="00A20381">
        <w:t>market</w:t>
      </w:r>
      <w:r w:rsidR="00F37214" w:rsidRPr="00A20381">
        <w:rPr>
          <w:spacing w:val="-9"/>
        </w:rPr>
        <w:t xml:space="preserve"> </w:t>
      </w:r>
      <w:r w:rsidR="00F37214" w:rsidRPr="00A20381">
        <w:t>in</w:t>
      </w:r>
      <w:r w:rsidR="00F37214" w:rsidRPr="00A20381">
        <w:rPr>
          <w:spacing w:val="-9"/>
        </w:rPr>
        <w:t xml:space="preserve"> </w:t>
      </w:r>
      <w:r w:rsidR="00F37214" w:rsidRPr="00A20381">
        <w:t>which</w:t>
      </w:r>
      <w:r w:rsidR="00F37214" w:rsidRPr="00A20381">
        <w:rPr>
          <w:spacing w:val="-9"/>
        </w:rPr>
        <w:t xml:space="preserve"> </w:t>
      </w:r>
      <w:r w:rsidR="00F37214" w:rsidRPr="00A20381">
        <w:t>almost</w:t>
      </w:r>
      <w:r w:rsidR="00F37214" w:rsidRPr="00A20381">
        <w:rPr>
          <w:spacing w:val="-10"/>
        </w:rPr>
        <w:t xml:space="preserve"> </w:t>
      </w:r>
      <w:r w:rsidR="00F37214" w:rsidRPr="00A20381">
        <w:t>the</w:t>
      </w:r>
      <w:r w:rsidR="00F37214" w:rsidRPr="00A20381">
        <w:rPr>
          <w:spacing w:val="-9"/>
        </w:rPr>
        <w:t xml:space="preserve"> </w:t>
      </w:r>
      <w:r w:rsidR="00F37214" w:rsidRPr="00A20381">
        <w:t>70%</w:t>
      </w:r>
      <w:r w:rsidR="00F37214" w:rsidRPr="00A20381">
        <w:rPr>
          <w:spacing w:val="-10"/>
        </w:rPr>
        <w:t xml:space="preserve"> </w:t>
      </w:r>
      <w:r w:rsidR="00F37214" w:rsidRPr="00A20381">
        <w:t>of</w:t>
      </w:r>
      <w:r w:rsidR="00F37214" w:rsidRPr="00A20381">
        <w:rPr>
          <w:spacing w:val="-9"/>
        </w:rPr>
        <w:t xml:space="preserve"> </w:t>
      </w:r>
      <w:r w:rsidR="00F37214" w:rsidRPr="00A20381">
        <w:t>trading activity</w:t>
      </w:r>
      <w:r w:rsidR="00F37214" w:rsidRPr="00A20381">
        <w:rPr>
          <w:spacing w:val="-10"/>
        </w:rPr>
        <w:t xml:space="preserve"> </w:t>
      </w:r>
      <w:r w:rsidR="006E4E81">
        <w:t>takes place</w:t>
      </w:r>
      <w:r w:rsidR="00F37214" w:rsidRPr="00A20381">
        <w:t xml:space="preserve"> </w:t>
      </w:r>
      <w:r w:rsidR="00F37214" w:rsidRPr="00A20381">
        <w:rPr>
          <w:spacing w:val="-3"/>
        </w:rPr>
        <w:t xml:space="preserve">by </w:t>
      </w:r>
      <w:r w:rsidR="00F37214" w:rsidRPr="00A20381">
        <w:t>means of</w:t>
      </w:r>
      <w:r w:rsidR="00F37214" w:rsidRPr="00A20381">
        <w:rPr>
          <w:spacing w:val="1"/>
        </w:rPr>
        <w:t xml:space="preserve"> </w:t>
      </w:r>
      <w:r w:rsidR="00F37214" w:rsidRPr="00A20381">
        <w:t>a</w:t>
      </w:r>
      <w:r w:rsidR="00B93295">
        <w:t>lgorithms.</w:t>
      </w:r>
    </w:p>
    <w:p w:rsidR="00334825" w:rsidRPr="00B93295" w:rsidRDefault="00334825" w:rsidP="008767EA">
      <w:pPr>
        <w:pStyle w:val="Corpotesto"/>
        <w:spacing w:before="84" w:line="360" w:lineRule="auto"/>
        <w:ind w:left="113" w:right="109"/>
        <w:jc w:val="both"/>
      </w:pPr>
    </w:p>
    <w:p w:rsidR="000377FF" w:rsidRPr="00B93295" w:rsidRDefault="00E85B85" w:rsidP="001A4FB4">
      <w:pPr>
        <w:pStyle w:val="Titolo1"/>
        <w:numPr>
          <w:ilvl w:val="0"/>
          <w:numId w:val="5"/>
        </w:numPr>
        <w:tabs>
          <w:tab w:val="left" w:pos="587"/>
          <w:tab w:val="left" w:pos="588"/>
        </w:tabs>
        <w:spacing w:before="4" w:line="360" w:lineRule="auto"/>
        <w:ind w:hanging="475"/>
        <w:jc w:val="both"/>
        <w:rPr>
          <w:sz w:val="27"/>
        </w:rPr>
      </w:pPr>
      <w:bookmarkStart w:id="9" w:name="_TOC_250000"/>
      <w:bookmarkEnd w:id="9"/>
      <w:r w:rsidRPr="00B93295">
        <w:rPr>
          <w:w w:val="105"/>
        </w:rPr>
        <w:t>Conclusion</w:t>
      </w:r>
    </w:p>
    <w:p w:rsidR="00423342" w:rsidRDefault="00E85B85" w:rsidP="00F17B5E">
      <w:pPr>
        <w:pStyle w:val="Corpotesto"/>
        <w:spacing w:line="360" w:lineRule="auto"/>
        <w:ind w:left="113" w:right="110"/>
        <w:jc w:val="both"/>
      </w:pPr>
      <w:r w:rsidRPr="00A20381">
        <w:t xml:space="preserve">In order to </w:t>
      </w:r>
      <w:r w:rsidR="00B53138" w:rsidRPr="00A20381">
        <w:t>analyze</w:t>
      </w:r>
      <w:r w:rsidRPr="00A20381">
        <w:t xml:space="preserve"> the lead-lag relationships between </w:t>
      </w:r>
      <w:r w:rsidR="00B53138" w:rsidRPr="00A20381">
        <w:t xml:space="preserve">Sovereign </w:t>
      </w:r>
      <w:r w:rsidRPr="00A20381">
        <w:rPr>
          <w:i/>
        </w:rPr>
        <w:t>C</w:t>
      </w:r>
      <w:r w:rsidR="00B53138" w:rsidRPr="00A20381">
        <w:rPr>
          <w:i/>
        </w:rPr>
        <w:t xml:space="preserve">redit </w:t>
      </w:r>
      <w:r w:rsidRPr="00A20381">
        <w:rPr>
          <w:i/>
        </w:rPr>
        <w:t>D</w:t>
      </w:r>
      <w:r w:rsidR="00B53138" w:rsidRPr="00A20381">
        <w:rPr>
          <w:i/>
        </w:rPr>
        <w:t xml:space="preserve">efault </w:t>
      </w:r>
      <w:r w:rsidRPr="00A20381">
        <w:rPr>
          <w:i/>
        </w:rPr>
        <w:t>S</w:t>
      </w:r>
      <w:r w:rsidR="00B53138" w:rsidRPr="00A20381">
        <w:rPr>
          <w:i/>
        </w:rPr>
        <w:t>wap</w:t>
      </w:r>
      <w:r w:rsidR="00B53138" w:rsidRPr="00A20381">
        <w:t xml:space="preserve"> (</w:t>
      </w:r>
      <w:r w:rsidR="00B53138" w:rsidRPr="00A20381">
        <w:rPr>
          <w:i/>
        </w:rPr>
        <w:t>CDS</w:t>
      </w:r>
      <w:r w:rsidR="00B53138" w:rsidRPr="00A20381">
        <w:t>)</w:t>
      </w:r>
      <w:r w:rsidRPr="00A20381">
        <w:rPr>
          <w:i/>
        </w:rPr>
        <w:t xml:space="preserve"> </w:t>
      </w:r>
      <w:r w:rsidRPr="00A20381">
        <w:rPr>
          <w:i/>
          <w:spacing w:val="-3"/>
        </w:rPr>
        <w:t xml:space="preserve">premia </w:t>
      </w:r>
      <w:r w:rsidRPr="00A20381">
        <w:t xml:space="preserve">and </w:t>
      </w:r>
      <w:r w:rsidRPr="00A20381">
        <w:rPr>
          <w:i/>
        </w:rPr>
        <w:t xml:space="preserve">government </w:t>
      </w:r>
      <w:r w:rsidRPr="00A20381">
        <w:rPr>
          <w:i/>
          <w:spacing w:val="-3"/>
        </w:rPr>
        <w:t xml:space="preserve">bond </w:t>
      </w:r>
      <w:r w:rsidR="00B53138" w:rsidRPr="00A20381">
        <w:rPr>
          <w:i/>
          <w:spacing w:val="-3"/>
        </w:rPr>
        <w:t xml:space="preserve">yield </w:t>
      </w:r>
      <w:r w:rsidRPr="00A20381">
        <w:rPr>
          <w:i/>
          <w:spacing w:val="-4"/>
        </w:rPr>
        <w:t xml:space="preserve">spreads </w:t>
      </w:r>
      <w:r w:rsidRPr="00A20381">
        <w:t>(</w:t>
      </w:r>
      <w:r w:rsidRPr="00A20381">
        <w:rPr>
          <w:i/>
        </w:rPr>
        <w:t>GBS</w:t>
      </w:r>
      <w:r w:rsidR="00B53138" w:rsidRPr="00A20381">
        <w:t>), we em</w:t>
      </w:r>
      <w:r w:rsidRPr="00A20381">
        <w:t>p</w:t>
      </w:r>
      <w:r w:rsidR="002D6096">
        <w:t>loyed 2522 daily observations of</w:t>
      </w:r>
      <w:r w:rsidRPr="00A20381">
        <w:t xml:space="preserve"> Italy 10 years CDS premia and BTP-Bund spread </w:t>
      </w:r>
      <w:r w:rsidRPr="00A20381">
        <w:rPr>
          <w:spacing w:val="-3"/>
        </w:rPr>
        <w:t xml:space="preserve">values </w:t>
      </w:r>
      <w:r w:rsidRPr="00A20381">
        <w:t xml:space="preserve">from January 2007 to October 2017, provided </w:t>
      </w:r>
      <w:r w:rsidRPr="00A20381">
        <w:rPr>
          <w:spacing w:val="-3"/>
        </w:rPr>
        <w:t xml:space="preserve">by </w:t>
      </w:r>
      <w:r w:rsidRPr="00A20381">
        <w:rPr>
          <w:i/>
          <w:spacing w:val="-4"/>
        </w:rPr>
        <w:t>Bloomberg</w:t>
      </w:r>
      <w:r w:rsidRPr="00A20381">
        <w:rPr>
          <w:spacing w:val="-4"/>
        </w:rPr>
        <w:t xml:space="preserve">. </w:t>
      </w:r>
      <w:r w:rsidRPr="00A20381">
        <w:t xml:space="preserve">This study concludes that, in normal market conditions, the CDS is the best instrument in the price discovery process of the credit risk. During the </w:t>
      </w:r>
      <w:r w:rsidRPr="00A20381">
        <w:rPr>
          <w:i/>
        </w:rPr>
        <w:t xml:space="preserve">financial crisis </w:t>
      </w:r>
      <w:r w:rsidRPr="00A20381">
        <w:t>(</w:t>
      </w:r>
      <w:r w:rsidRPr="00A20381">
        <w:rPr>
          <w:i/>
        </w:rPr>
        <w:t>2007-10</w:t>
      </w:r>
      <w:r w:rsidRPr="00A20381">
        <w:t xml:space="preserve">), when markets </w:t>
      </w:r>
      <w:r w:rsidR="002D6096">
        <w:t>lacked</w:t>
      </w:r>
      <w:r w:rsidR="00B53138" w:rsidRPr="00A20381">
        <w:t xml:space="preserve"> liquidity</w:t>
      </w:r>
      <w:r w:rsidRPr="00A20381">
        <w:rPr>
          <w:spacing w:val="-3"/>
        </w:rPr>
        <w:t xml:space="preserve">, </w:t>
      </w:r>
      <w:r w:rsidRPr="00A20381">
        <w:t xml:space="preserve">the CDS market </w:t>
      </w:r>
      <w:r w:rsidRPr="00A20381">
        <w:rPr>
          <w:spacing w:val="-3"/>
        </w:rPr>
        <w:t xml:space="preserve">leads </w:t>
      </w:r>
      <w:r w:rsidRPr="00A20381">
        <w:t xml:space="preserve">the </w:t>
      </w:r>
      <w:r w:rsidRPr="00A20381">
        <w:rPr>
          <w:spacing w:val="-3"/>
        </w:rPr>
        <w:t xml:space="preserve">bond </w:t>
      </w:r>
      <w:r w:rsidRPr="00A20381">
        <w:t xml:space="preserve">market to incorporate more rapidly the sovereign credit risk information. In the following period, when markets started to </w:t>
      </w:r>
      <w:r w:rsidRPr="00A20381">
        <w:rPr>
          <w:spacing w:val="2"/>
        </w:rPr>
        <w:t>be</w:t>
      </w:r>
      <w:r w:rsidR="002D6096">
        <w:rPr>
          <w:spacing w:val="2"/>
        </w:rPr>
        <w:t xml:space="preserve"> </w:t>
      </w:r>
      <w:r w:rsidRPr="00A20381">
        <w:t xml:space="preserve">affected </w:t>
      </w:r>
      <w:r w:rsidRPr="00A20381">
        <w:rPr>
          <w:spacing w:val="-3"/>
        </w:rPr>
        <w:t xml:space="preserve">by </w:t>
      </w:r>
      <w:r w:rsidRPr="00A20381">
        <w:t xml:space="preserve">the expansive ECB monetary policy albeit maintaining part of their normal structure, this relationship </w:t>
      </w:r>
      <w:r w:rsidR="002D6096">
        <w:t>reverses</w:t>
      </w:r>
      <w:r w:rsidRPr="00A20381">
        <w:t xml:space="preserve">. In fact, during the </w:t>
      </w:r>
      <w:r w:rsidRPr="00A20381">
        <w:rPr>
          <w:i/>
        </w:rPr>
        <w:t>sovereign debt crisis</w:t>
      </w:r>
      <w:r w:rsidRPr="00A20381">
        <w:t xml:space="preserve"> (</w:t>
      </w:r>
      <w:r w:rsidR="00B53138" w:rsidRPr="00A20381">
        <w:t>2010-12</w:t>
      </w:r>
      <w:r w:rsidRPr="00A20381">
        <w:t xml:space="preserve">), the </w:t>
      </w:r>
      <w:r w:rsidRPr="00A20381">
        <w:rPr>
          <w:spacing w:val="-3"/>
        </w:rPr>
        <w:t xml:space="preserve">bond </w:t>
      </w:r>
      <w:r w:rsidRPr="00A20381">
        <w:t xml:space="preserve">market </w:t>
      </w:r>
      <w:r w:rsidRPr="00A20381">
        <w:rPr>
          <w:spacing w:val="-3"/>
        </w:rPr>
        <w:t xml:space="preserve">leads </w:t>
      </w:r>
      <w:r w:rsidRPr="00A20381">
        <w:t xml:space="preserve">the CDS market to incorporate more rapidly the sovereign credit risk information. The most impressive result is that, in the </w:t>
      </w:r>
      <w:r w:rsidR="00B53138" w:rsidRPr="00A20381">
        <w:t>sub periods</w:t>
      </w:r>
      <w:r w:rsidRPr="00A20381">
        <w:t xml:space="preserve"> in which the market functioning</w:t>
      </w:r>
      <w:r w:rsidRPr="00A20381">
        <w:rPr>
          <w:spacing w:val="-7"/>
        </w:rPr>
        <w:t xml:space="preserve"> </w:t>
      </w:r>
      <w:r w:rsidRPr="00A20381">
        <w:t>comes</w:t>
      </w:r>
      <w:r w:rsidRPr="00A20381">
        <w:rPr>
          <w:spacing w:val="-6"/>
        </w:rPr>
        <w:t xml:space="preserve"> </w:t>
      </w:r>
      <w:r w:rsidRPr="00A20381">
        <w:t>completely</w:t>
      </w:r>
      <w:r w:rsidRPr="00A20381">
        <w:rPr>
          <w:spacing w:val="-7"/>
        </w:rPr>
        <w:t xml:space="preserve"> </w:t>
      </w:r>
      <w:r w:rsidRPr="00A20381">
        <w:t>altered</w:t>
      </w:r>
      <w:r w:rsidRPr="00A20381">
        <w:rPr>
          <w:spacing w:val="-6"/>
        </w:rPr>
        <w:t xml:space="preserve"> </w:t>
      </w:r>
      <w:r w:rsidRPr="00A20381">
        <w:rPr>
          <w:spacing w:val="-3"/>
        </w:rPr>
        <w:t>by</w:t>
      </w:r>
      <w:r w:rsidRPr="00A20381">
        <w:rPr>
          <w:spacing w:val="-7"/>
        </w:rPr>
        <w:t xml:space="preserve"> </w:t>
      </w:r>
      <w:r w:rsidRPr="00A20381">
        <w:t>the</w:t>
      </w:r>
      <w:r w:rsidRPr="00A20381">
        <w:rPr>
          <w:spacing w:val="-6"/>
        </w:rPr>
        <w:t xml:space="preserve"> </w:t>
      </w:r>
      <w:r w:rsidRPr="00A20381">
        <w:t>excessive</w:t>
      </w:r>
      <w:r w:rsidRPr="00A20381">
        <w:rPr>
          <w:spacing w:val="-7"/>
        </w:rPr>
        <w:t xml:space="preserve"> </w:t>
      </w:r>
      <w:r w:rsidRPr="00A20381">
        <w:t>outstanding</w:t>
      </w:r>
      <w:r w:rsidRPr="00A20381">
        <w:rPr>
          <w:spacing w:val="-6"/>
        </w:rPr>
        <w:t xml:space="preserve"> </w:t>
      </w:r>
      <w:r w:rsidRPr="00A20381">
        <w:t>liquidity</w:t>
      </w:r>
      <w:r w:rsidRPr="00A20381">
        <w:rPr>
          <w:spacing w:val="-7"/>
        </w:rPr>
        <w:t xml:space="preserve"> </w:t>
      </w:r>
      <w:r w:rsidRPr="00A20381">
        <w:t>(2012-14</w:t>
      </w:r>
      <w:r w:rsidRPr="00A20381">
        <w:rPr>
          <w:spacing w:val="-6"/>
        </w:rPr>
        <w:t xml:space="preserve"> </w:t>
      </w:r>
      <w:r w:rsidRPr="00A20381">
        <w:t>and</w:t>
      </w:r>
      <w:r w:rsidRPr="00A20381">
        <w:rPr>
          <w:spacing w:val="-7"/>
        </w:rPr>
        <w:t xml:space="preserve"> </w:t>
      </w:r>
      <w:r w:rsidRPr="00A20381">
        <w:t>2014-17),</w:t>
      </w:r>
      <w:r w:rsidRPr="00A20381">
        <w:rPr>
          <w:spacing w:val="-6"/>
        </w:rPr>
        <w:t xml:space="preserve"> </w:t>
      </w:r>
      <w:r w:rsidRPr="00A20381">
        <w:t>because</w:t>
      </w:r>
      <w:r w:rsidRPr="00A20381">
        <w:rPr>
          <w:spacing w:val="-6"/>
        </w:rPr>
        <w:t xml:space="preserve"> </w:t>
      </w:r>
      <w:r w:rsidRPr="00A20381">
        <w:t>of</w:t>
      </w:r>
      <w:r w:rsidRPr="00A20381">
        <w:rPr>
          <w:spacing w:val="-7"/>
        </w:rPr>
        <w:t xml:space="preserve"> </w:t>
      </w:r>
      <w:r w:rsidRPr="00A20381">
        <w:t xml:space="preserve">the unconventional </w:t>
      </w:r>
      <w:r w:rsidRPr="00A20381">
        <w:rPr>
          <w:spacing w:val="-3"/>
        </w:rPr>
        <w:t xml:space="preserve">measures </w:t>
      </w:r>
      <w:r w:rsidR="002D6096">
        <w:t>undertaken</w:t>
      </w:r>
      <w:r w:rsidRPr="00A20381">
        <w:t xml:space="preserve"> </w:t>
      </w:r>
      <w:r w:rsidRPr="00A20381">
        <w:rPr>
          <w:spacing w:val="-3"/>
        </w:rPr>
        <w:t xml:space="preserve">by </w:t>
      </w:r>
      <w:r w:rsidRPr="00A20381">
        <w:t xml:space="preserve">the ECB, the </w:t>
      </w:r>
      <w:r w:rsidRPr="00A20381">
        <w:rPr>
          <w:spacing w:val="-4"/>
        </w:rPr>
        <w:t xml:space="preserve">two </w:t>
      </w:r>
      <w:r w:rsidRPr="00A20381">
        <w:t xml:space="preserve">series are no more </w:t>
      </w:r>
      <w:proofErr w:type="spellStart"/>
      <w:r w:rsidRPr="00A20381">
        <w:t>cointegrated</w:t>
      </w:r>
      <w:proofErr w:type="spellEnd"/>
      <w:r w:rsidRPr="00A20381">
        <w:t xml:space="preserve">. In particular, during the </w:t>
      </w:r>
      <w:r w:rsidRPr="00A20381">
        <w:rPr>
          <w:spacing w:val="-3"/>
        </w:rPr>
        <w:t xml:space="preserve">years </w:t>
      </w:r>
      <w:r w:rsidRPr="00A20381">
        <w:t xml:space="preserve">of </w:t>
      </w:r>
      <w:r w:rsidR="002D6096">
        <w:t xml:space="preserve">the </w:t>
      </w:r>
      <w:r w:rsidRPr="00A20381">
        <w:t xml:space="preserve">liquidity drug - </w:t>
      </w:r>
      <w:r w:rsidRPr="00A20381">
        <w:rPr>
          <w:spacing w:val="-4"/>
        </w:rPr>
        <w:t xml:space="preserve">pre </w:t>
      </w:r>
      <w:r w:rsidRPr="00A20381">
        <w:t>QE (</w:t>
      </w:r>
      <w:r w:rsidR="00B53138" w:rsidRPr="00A20381">
        <w:t>2012-14</w:t>
      </w:r>
      <w:r w:rsidRPr="00A20381">
        <w:t xml:space="preserve">), the GBS Granger-cause the CDS </w:t>
      </w:r>
      <w:r w:rsidRPr="00A20381">
        <w:rPr>
          <w:spacing w:val="-3"/>
        </w:rPr>
        <w:t xml:space="preserve">spreads. </w:t>
      </w:r>
      <w:r w:rsidRPr="00A20381">
        <w:t xml:space="preserve">This last result is </w:t>
      </w:r>
      <w:r w:rsidR="00E74FF8">
        <w:t>further</w:t>
      </w:r>
      <w:r w:rsidRPr="00A20381">
        <w:t xml:space="preserve"> confirmed during the </w:t>
      </w:r>
      <w:r w:rsidRPr="00A20381">
        <w:rPr>
          <w:spacing w:val="-3"/>
        </w:rPr>
        <w:t xml:space="preserve">years </w:t>
      </w:r>
      <w:r w:rsidRPr="00A20381">
        <w:t xml:space="preserve">of </w:t>
      </w:r>
      <w:r w:rsidR="00B53138" w:rsidRPr="00A20381">
        <w:rPr>
          <w:spacing w:val="-3"/>
        </w:rPr>
        <w:t>abundant</w:t>
      </w:r>
      <w:r w:rsidRPr="00A20381">
        <w:rPr>
          <w:spacing w:val="-3"/>
        </w:rPr>
        <w:t xml:space="preserve"> </w:t>
      </w:r>
      <w:r w:rsidRPr="00A20381">
        <w:t>liquidity drug - QE (2014-17).</w:t>
      </w:r>
    </w:p>
    <w:p w:rsidR="00F17B5E" w:rsidRDefault="00F17B5E" w:rsidP="00F17B5E">
      <w:pPr>
        <w:pStyle w:val="Corpotesto"/>
        <w:spacing w:line="360" w:lineRule="auto"/>
        <w:ind w:left="113" w:right="110"/>
        <w:jc w:val="both"/>
      </w:pPr>
    </w:p>
    <w:p w:rsidR="00334825" w:rsidRDefault="00334825" w:rsidP="00F17B5E">
      <w:pPr>
        <w:pStyle w:val="Corpotesto"/>
        <w:spacing w:line="360" w:lineRule="auto"/>
        <w:ind w:left="113" w:right="110"/>
        <w:jc w:val="both"/>
      </w:pPr>
    </w:p>
    <w:p w:rsidR="00334825" w:rsidRDefault="00334825" w:rsidP="00F17B5E">
      <w:pPr>
        <w:pStyle w:val="Corpotesto"/>
        <w:spacing w:line="360" w:lineRule="auto"/>
        <w:ind w:left="113" w:right="110"/>
        <w:jc w:val="both"/>
      </w:pPr>
    </w:p>
    <w:p w:rsidR="00334825" w:rsidRDefault="00334825" w:rsidP="00F17B5E">
      <w:pPr>
        <w:pStyle w:val="Corpotesto"/>
        <w:spacing w:line="360" w:lineRule="auto"/>
        <w:ind w:left="113" w:right="110"/>
        <w:jc w:val="both"/>
      </w:pPr>
    </w:p>
    <w:p w:rsidR="00334825" w:rsidRDefault="00334825" w:rsidP="00F17B5E">
      <w:pPr>
        <w:pStyle w:val="Corpotesto"/>
        <w:spacing w:line="360" w:lineRule="auto"/>
        <w:ind w:left="113" w:right="110"/>
        <w:jc w:val="both"/>
      </w:pPr>
    </w:p>
    <w:p w:rsidR="00334825" w:rsidRDefault="00334825" w:rsidP="00F17B5E">
      <w:pPr>
        <w:pStyle w:val="Corpotesto"/>
        <w:spacing w:line="360" w:lineRule="auto"/>
        <w:ind w:left="113" w:right="110"/>
        <w:jc w:val="both"/>
      </w:pPr>
    </w:p>
    <w:p w:rsidR="00334825" w:rsidRDefault="00334825" w:rsidP="00F17B5E">
      <w:pPr>
        <w:pStyle w:val="Corpotesto"/>
        <w:spacing w:line="360" w:lineRule="auto"/>
        <w:ind w:left="113" w:right="110"/>
        <w:jc w:val="both"/>
      </w:pPr>
    </w:p>
    <w:p w:rsidR="00334825" w:rsidRDefault="00334825" w:rsidP="00F17B5E">
      <w:pPr>
        <w:pStyle w:val="Corpotesto"/>
        <w:spacing w:line="360" w:lineRule="auto"/>
        <w:ind w:left="113" w:right="110"/>
        <w:jc w:val="both"/>
      </w:pPr>
    </w:p>
    <w:p w:rsidR="00334825" w:rsidRDefault="00334825" w:rsidP="00F17B5E">
      <w:pPr>
        <w:pStyle w:val="Corpotesto"/>
        <w:spacing w:line="360" w:lineRule="auto"/>
        <w:ind w:left="113" w:right="110"/>
        <w:jc w:val="both"/>
      </w:pPr>
    </w:p>
    <w:p w:rsidR="00334825" w:rsidRDefault="00334825" w:rsidP="00F17B5E">
      <w:pPr>
        <w:pStyle w:val="Corpotesto"/>
        <w:spacing w:line="360" w:lineRule="auto"/>
        <w:ind w:left="113" w:right="110"/>
        <w:jc w:val="both"/>
      </w:pPr>
    </w:p>
    <w:p w:rsidR="00334825" w:rsidRDefault="00334825" w:rsidP="00F17B5E">
      <w:pPr>
        <w:pStyle w:val="Corpotesto"/>
        <w:spacing w:line="360" w:lineRule="auto"/>
        <w:ind w:left="113" w:right="110"/>
        <w:jc w:val="both"/>
      </w:pPr>
    </w:p>
    <w:p w:rsidR="00334825" w:rsidRDefault="00334825" w:rsidP="00F17B5E">
      <w:pPr>
        <w:pStyle w:val="Corpotesto"/>
        <w:spacing w:line="360" w:lineRule="auto"/>
        <w:ind w:left="113" w:right="110"/>
        <w:jc w:val="both"/>
      </w:pPr>
    </w:p>
    <w:p w:rsidR="00334825" w:rsidRDefault="00334825" w:rsidP="00F17B5E">
      <w:pPr>
        <w:pStyle w:val="Corpotesto"/>
        <w:spacing w:line="360" w:lineRule="auto"/>
        <w:ind w:left="113" w:right="110"/>
        <w:jc w:val="both"/>
      </w:pPr>
    </w:p>
    <w:p w:rsidR="00334825" w:rsidRDefault="00334825" w:rsidP="00F17B5E">
      <w:pPr>
        <w:pStyle w:val="Corpotesto"/>
        <w:spacing w:line="360" w:lineRule="auto"/>
        <w:ind w:left="113" w:right="110"/>
        <w:jc w:val="both"/>
      </w:pPr>
    </w:p>
    <w:p w:rsidR="009C31DC" w:rsidRDefault="009C31DC" w:rsidP="00F17B5E">
      <w:pPr>
        <w:pStyle w:val="Corpotesto"/>
        <w:spacing w:line="360" w:lineRule="auto"/>
        <w:ind w:left="113" w:right="110"/>
        <w:jc w:val="both"/>
      </w:pPr>
    </w:p>
    <w:p w:rsidR="000377FF" w:rsidRDefault="00423342" w:rsidP="00F17B5E">
      <w:pPr>
        <w:jc w:val="both"/>
      </w:pPr>
      <w:r w:rsidRPr="008767EA">
        <w:rPr>
          <w:b/>
          <w:sz w:val="16"/>
          <w:szCs w:val="16"/>
        </w:rPr>
        <w:t>Author Contributions</w:t>
      </w:r>
      <w:r w:rsidRPr="008767EA">
        <w:rPr>
          <w:sz w:val="16"/>
          <w:szCs w:val="16"/>
        </w:rPr>
        <w:t>: Conceptualization and writing, M. Anelli</w:t>
      </w:r>
      <w:r w:rsidR="008767EA" w:rsidRPr="008767EA">
        <w:rPr>
          <w:sz w:val="16"/>
          <w:szCs w:val="16"/>
        </w:rPr>
        <w:t xml:space="preserve"> and A. Gioia</w:t>
      </w:r>
      <w:r w:rsidRPr="008767EA">
        <w:rPr>
          <w:sz w:val="16"/>
          <w:szCs w:val="16"/>
        </w:rPr>
        <w:t>; methodology, software, data curation, M. Anelli; valid</w:t>
      </w:r>
      <w:r w:rsidR="008767EA" w:rsidRPr="008767EA">
        <w:rPr>
          <w:sz w:val="16"/>
          <w:szCs w:val="16"/>
        </w:rPr>
        <w:t xml:space="preserve">ation, </w:t>
      </w:r>
      <w:r w:rsidR="009C31DC">
        <w:rPr>
          <w:sz w:val="16"/>
          <w:szCs w:val="16"/>
        </w:rPr>
        <w:t xml:space="preserve">M. </w:t>
      </w:r>
      <w:proofErr w:type="spellStart"/>
      <w:r w:rsidR="009C31DC">
        <w:rPr>
          <w:sz w:val="16"/>
          <w:szCs w:val="16"/>
        </w:rPr>
        <w:t>Anelli</w:t>
      </w:r>
      <w:proofErr w:type="spellEnd"/>
      <w:r w:rsidR="009C31DC">
        <w:rPr>
          <w:sz w:val="16"/>
          <w:szCs w:val="16"/>
        </w:rPr>
        <w:t xml:space="preserve">, </w:t>
      </w:r>
      <w:r w:rsidR="008767EA" w:rsidRPr="008767EA">
        <w:rPr>
          <w:sz w:val="16"/>
          <w:szCs w:val="16"/>
        </w:rPr>
        <w:t xml:space="preserve">M. Patanè, M. </w:t>
      </w:r>
      <w:proofErr w:type="spellStart"/>
      <w:r w:rsidR="008767EA" w:rsidRPr="008767EA">
        <w:rPr>
          <w:sz w:val="16"/>
          <w:szCs w:val="16"/>
        </w:rPr>
        <w:t>Toscano</w:t>
      </w:r>
      <w:proofErr w:type="spellEnd"/>
      <w:r w:rsidRPr="008767EA">
        <w:rPr>
          <w:sz w:val="16"/>
          <w:szCs w:val="16"/>
        </w:rPr>
        <w:t xml:space="preserve">. All authors have read and agreed to the published version of the manuscript. </w:t>
      </w:r>
    </w:p>
    <w:p w:rsidR="00423342" w:rsidRPr="00A20381" w:rsidRDefault="00423342" w:rsidP="001A4FB4">
      <w:pPr>
        <w:spacing w:line="360" w:lineRule="auto"/>
        <w:jc w:val="both"/>
        <w:sectPr w:rsidR="00423342" w:rsidRPr="00A20381">
          <w:pgSz w:w="12240" w:h="15840"/>
          <w:pgMar w:top="1340" w:right="1020" w:bottom="1000" w:left="1020" w:header="0" w:footer="806" w:gutter="0"/>
          <w:cols w:space="720"/>
        </w:sectPr>
      </w:pPr>
    </w:p>
    <w:p w:rsidR="000377FF" w:rsidRPr="00E74FF8" w:rsidRDefault="00E85B85" w:rsidP="001A4FB4">
      <w:pPr>
        <w:pStyle w:val="Titolo1"/>
        <w:spacing w:before="73" w:line="360" w:lineRule="auto"/>
        <w:ind w:left="113" w:firstLine="0"/>
        <w:jc w:val="both"/>
      </w:pPr>
      <w:r w:rsidRPr="00A20381">
        <w:rPr>
          <w:w w:val="105"/>
        </w:rPr>
        <w:lastRenderedPageBreak/>
        <w:t>References</w:t>
      </w:r>
    </w:p>
    <w:p w:rsidR="000377FF" w:rsidRPr="00A20381" w:rsidRDefault="007C0C4C" w:rsidP="001A4FB4">
      <w:pPr>
        <w:pStyle w:val="Paragrafoelenco"/>
        <w:numPr>
          <w:ilvl w:val="0"/>
          <w:numId w:val="1"/>
        </w:numPr>
        <w:tabs>
          <w:tab w:val="left" w:pos="524"/>
        </w:tabs>
        <w:spacing w:before="161" w:line="360" w:lineRule="auto"/>
        <w:ind w:hanging="411"/>
        <w:jc w:val="both"/>
        <w:rPr>
          <w:sz w:val="20"/>
        </w:rPr>
      </w:pPr>
      <w:proofErr w:type="spellStart"/>
      <w:r w:rsidRPr="00553E89">
        <w:rPr>
          <w:sz w:val="20"/>
          <w:lang w:val="it-IT"/>
        </w:rPr>
        <w:t>Amadei</w:t>
      </w:r>
      <w:proofErr w:type="spellEnd"/>
      <w:r w:rsidRPr="00553E89">
        <w:rPr>
          <w:sz w:val="20"/>
          <w:lang w:val="it-IT"/>
        </w:rPr>
        <w:t>, Luca, Di Rocco, Simona, Gentile, Monica, Grasso, Renato and Siciliano, Giovanni</w:t>
      </w:r>
      <w:r w:rsidR="00E85B85" w:rsidRPr="00553E89">
        <w:rPr>
          <w:sz w:val="20"/>
          <w:lang w:val="it-IT"/>
        </w:rPr>
        <w:t xml:space="preserve"> (2011). </w:t>
      </w:r>
      <w:r w:rsidR="00E85B85" w:rsidRPr="00A20381">
        <w:rPr>
          <w:sz w:val="20"/>
        </w:rPr>
        <w:t>Credit Default Swaps: Contract Characteristics</w:t>
      </w:r>
      <w:r w:rsidR="00E85B85" w:rsidRPr="007C0C4C">
        <w:rPr>
          <w:sz w:val="20"/>
        </w:rPr>
        <w:t xml:space="preserve"> </w:t>
      </w:r>
      <w:r w:rsidR="00E85B85" w:rsidRPr="00A20381">
        <w:rPr>
          <w:sz w:val="20"/>
        </w:rPr>
        <w:t>and</w:t>
      </w:r>
      <w:r w:rsidR="00E85B85" w:rsidRPr="007C0C4C">
        <w:rPr>
          <w:sz w:val="20"/>
        </w:rPr>
        <w:t xml:space="preserve"> </w:t>
      </w:r>
      <w:r w:rsidR="00E85B85" w:rsidRPr="00A20381">
        <w:rPr>
          <w:sz w:val="20"/>
        </w:rPr>
        <w:t>Interrelations</w:t>
      </w:r>
      <w:r w:rsidR="00E85B85" w:rsidRPr="007C0C4C">
        <w:rPr>
          <w:sz w:val="20"/>
        </w:rPr>
        <w:t xml:space="preserve"> </w:t>
      </w:r>
      <w:r w:rsidR="00E85B85" w:rsidRPr="00A20381">
        <w:rPr>
          <w:sz w:val="20"/>
        </w:rPr>
        <w:t>with</w:t>
      </w:r>
      <w:r w:rsidR="00E85B85" w:rsidRPr="007C0C4C">
        <w:rPr>
          <w:sz w:val="20"/>
        </w:rPr>
        <w:t xml:space="preserve"> </w:t>
      </w:r>
      <w:r w:rsidR="00E85B85" w:rsidRPr="00A20381">
        <w:rPr>
          <w:sz w:val="20"/>
        </w:rPr>
        <w:t>the</w:t>
      </w:r>
      <w:r w:rsidR="00E85B85" w:rsidRPr="007C0C4C">
        <w:rPr>
          <w:sz w:val="20"/>
        </w:rPr>
        <w:t xml:space="preserve"> </w:t>
      </w:r>
      <w:r w:rsidR="00E85B85" w:rsidRPr="00A20381">
        <w:rPr>
          <w:sz w:val="20"/>
        </w:rPr>
        <w:t>Bond</w:t>
      </w:r>
      <w:r w:rsidR="00E85B85" w:rsidRPr="007C0C4C">
        <w:rPr>
          <w:sz w:val="20"/>
        </w:rPr>
        <w:t xml:space="preserve"> </w:t>
      </w:r>
      <w:r w:rsidR="00E85B85" w:rsidRPr="00A20381">
        <w:rPr>
          <w:sz w:val="20"/>
        </w:rPr>
        <w:t>Market.</w:t>
      </w:r>
      <w:r w:rsidR="00E85B85" w:rsidRPr="007C0C4C">
        <w:rPr>
          <w:sz w:val="20"/>
        </w:rPr>
        <w:t xml:space="preserve"> </w:t>
      </w:r>
      <w:r w:rsidR="00E85B85" w:rsidRPr="00A20381">
        <w:rPr>
          <w:sz w:val="20"/>
        </w:rPr>
        <w:t>SSRN</w:t>
      </w:r>
      <w:r w:rsidR="00E85B85" w:rsidRPr="007C0C4C">
        <w:rPr>
          <w:sz w:val="20"/>
        </w:rPr>
        <w:t xml:space="preserve"> </w:t>
      </w:r>
      <w:r w:rsidR="00E85B85" w:rsidRPr="00A20381">
        <w:rPr>
          <w:sz w:val="20"/>
        </w:rPr>
        <w:t>Electronic</w:t>
      </w:r>
      <w:r w:rsidR="00E85B85" w:rsidRPr="007C0C4C">
        <w:rPr>
          <w:sz w:val="20"/>
        </w:rPr>
        <w:t xml:space="preserve"> </w:t>
      </w:r>
      <w:r w:rsidR="00E85B85" w:rsidRPr="00A20381">
        <w:rPr>
          <w:sz w:val="20"/>
        </w:rPr>
        <w:t>Journal.</w:t>
      </w:r>
      <w:r>
        <w:rPr>
          <w:sz w:val="20"/>
        </w:rPr>
        <w:t xml:space="preserve"> Available at: </w:t>
      </w:r>
      <w:r w:rsidRPr="007C0C4C">
        <w:rPr>
          <w:sz w:val="20"/>
        </w:rPr>
        <w:t>https://papers.ssrn.com/sol3/papers.cfm?abstract_id=1905416</w:t>
      </w:r>
      <w:r>
        <w:rPr>
          <w:sz w:val="20"/>
        </w:rPr>
        <w:t xml:space="preserve"> (accessed 7 November 2020).</w:t>
      </w:r>
    </w:p>
    <w:p w:rsidR="00DE57E9" w:rsidRPr="00DE57E9" w:rsidRDefault="00E85B85" w:rsidP="001A4FB4">
      <w:pPr>
        <w:pStyle w:val="Paragrafoelenco"/>
        <w:numPr>
          <w:ilvl w:val="0"/>
          <w:numId w:val="1"/>
        </w:numPr>
        <w:tabs>
          <w:tab w:val="left" w:pos="524"/>
        </w:tabs>
        <w:spacing w:before="161" w:line="360" w:lineRule="auto"/>
        <w:ind w:hanging="411"/>
        <w:jc w:val="both"/>
      </w:pPr>
      <w:proofErr w:type="spellStart"/>
      <w:r w:rsidRPr="00DE57E9">
        <w:rPr>
          <w:sz w:val="20"/>
        </w:rPr>
        <w:t>Bai</w:t>
      </w:r>
      <w:proofErr w:type="spellEnd"/>
      <w:r w:rsidRPr="00DE57E9">
        <w:rPr>
          <w:sz w:val="20"/>
        </w:rPr>
        <w:t xml:space="preserve">, </w:t>
      </w:r>
      <w:r w:rsidR="000435D2" w:rsidRPr="00DE57E9">
        <w:rPr>
          <w:sz w:val="20"/>
        </w:rPr>
        <w:t>Jennie</w:t>
      </w:r>
      <w:r w:rsidRPr="00DE57E9">
        <w:rPr>
          <w:sz w:val="20"/>
        </w:rPr>
        <w:t xml:space="preserve"> and Collin-</w:t>
      </w:r>
      <w:proofErr w:type="spellStart"/>
      <w:r w:rsidRPr="00DE57E9">
        <w:rPr>
          <w:sz w:val="20"/>
        </w:rPr>
        <w:t>Dufresne</w:t>
      </w:r>
      <w:proofErr w:type="spellEnd"/>
      <w:r w:rsidRPr="00DE57E9">
        <w:rPr>
          <w:sz w:val="20"/>
        </w:rPr>
        <w:t xml:space="preserve">, </w:t>
      </w:r>
      <w:r w:rsidR="000435D2" w:rsidRPr="00DE57E9">
        <w:rPr>
          <w:sz w:val="20"/>
        </w:rPr>
        <w:t>Pierre</w:t>
      </w:r>
      <w:r w:rsidRPr="00DE57E9">
        <w:rPr>
          <w:sz w:val="20"/>
        </w:rPr>
        <w:t xml:space="preserve"> (2011). </w:t>
      </w:r>
      <w:r w:rsidRPr="00553E89">
        <w:rPr>
          <w:sz w:val="20"/>
        </w:rPr>
        <w:t xml:space="preserve">The CDS-Bond Basis During the Financial Crisis of 2007-2009. </w:t>
      </w:r>
      <w:proofErr w:type="spellStart"/>
      <w:r w:rsidR="007C0C4C" w:rsidRPr="00DE57E9">
        <w:rPr>
          <w:sz w:val="20"/>
          <w:lang w:val="it-IT"/>
        </w:rPr>
        <w:t>Working</w:t>
      </w:r>
      <w:proofErr w:type="spellEnd"/>
      <w:r w:rsidR="007C0C4C" w:rsidRPr="00DE57E9">
        <w:rPr>
          <w:sz w:val="20"/>
          <w:lang w:val="it-IT"/>
        </w:rPr>
        <w:t xml:space="preserve"> </w:t>
      </w:r>
      <w:proofErr w:type="spellStart"/>
      <w:r w:rsidR="007C0C4C" w:rsidRPr="00DE57E9">
        <w:rPr>
          <w:sz w:val="20"/>
          <w:lang w:val="it-IT"/>
        </w:rPr>
        <w:t>Paper</w:t>
      </w:r>
      <w:proofErr w:type="spellEnd"/>
      <w:r w:rsidRPr="00DE57E9">
        <w:rPr>
          <w:sz w:val="20"/>
          <w:lang w:val="it-IT"/>
        </w:rPr>
        <w:t>.</w:t>
      </w:r>
    </w:p>
    <w:p w:rsidR="00DE57E9" w:rsidRPr="00553E89" w:rsidRDefault="00DE57E9" w:rsidP="001A4FB4">
      <w:pPr>
        <w:pStyle w:val="Paragrafoelenco"/>
        <w:numPr>
          <w:ilvl w:val="0"/>
          <w:numId w:val="1"/>
        </w:numPr>
        <w:tabs>
          <w:tab w:val="left" w:pos="524"/>
        </w:tabs>
        <w:spacing w:before="161" w:line="360" w:lineRule="auto"/>
        <w:ind w:hanging="411"/>
        <w:jc w:val="both"/>
        <w:rPr>
          <w:sz w:val="20"/>
          <w:lang w:val="it-IT"/>
        </w:rPr>
      </w:pPr>
      <w:r w:rsidRPr="00553E89">
        <w:rPr>
          <w:sz w:val="20"/>
          <w:lang w:val="it-IT"/>
        </w:rPr>
        <w:t xml:space="preserve">Bini, </w:t>
      </w:r>
      <w:r w:rsidR="00977775" w:rsidRPr="00553E89">
        <w:rPr>
          <w:sz w:val="20"/>
          <w:lang w:val="it-IT"/>
        </w:rPr>
        <w:t>Flavio and Ricciardi, Raffaele</w:t>
      </w:r>
      <w:r w:rsidRPr="00553E89">
        <w:rPr>
          <w:sz w:val="20"/>
          <w:lang w:val="it-IT"/>
        </w:rPr>
        <w:t xml:space="preserve"> </w:t>
      </w:r>
      <w:r w:rsidR="00977775" w:rsidRPr="00553E89">
        <w:rPr>
          <w:sz w:val="20"/>
          <w:lang w:val="it-IT"/>
        </w:rPr>
        <w:t>(</w:t>
      </w:r>
      <w:r w:rsidRPr="00553E89">
        <w:rPr>
          <w:sz w:val="20"/>
          <w:lang w:val="it-IT"/>
        </w:rPr>
        <w:t>2018</w:t>
      </w:r>
      <w:r w:rsidR="00977775" w:rsidRPr="00553E89">
        <w:rPr>
          <w:sz w:val="20"/>
          <w:lang w:val="it-IT"/>
        </w:rPr>
        <w:t>).</w:t>
      </w:r>
      <w:r w:rsidRPr="00553E89">
        <w:rPr>
          <w:sz w:val="20"/>
          <w:lang w:val="it-IT"/>
        </w:rPr>
        <w:t xml:space="preserve"> </w:t>
      </w:r>
      <w:r w:rsidR="00977775" w:rsidRPr="00553E89">
        <w:rPr>
          <w:sz w:val="20"/>
          <w:lang w:val="it-IT"/>
        </w:rPr>
        <w:t>Chi ha in mano il debito pubblico italiano: l'evoluzione in 30 a</w:t>
      </w:r>
      <w:r w:rsidRPr="00553E89">
        <w:rPr>
          <w:sz w:val="20"/>
          <w:lang w:val="it-IT"/>
        </w:rPr>
        <w:t>nni. [online]</w:t>
      </w:r>
      <w:r w:rsidR="00977775" w:rsidRPr="00553E89">
        <w:rPr>
          <w:sz w:val="20"/>
          <w:lang w:val="it-IT"/>
        </w:rPr>
        <w:t xml:space="preserve"> </w:t>
      </w:r>
      <w:r w:rsidRPr="00553E89">
        <w:rPr>
          <w:sz w:val="20"/>
          <w:lang w:val="it-IT"/>
        </w:rPr>
        <w:t xml:space="preserve">la Repubblica. </w:t>
      </w:r>
      <w:proofErr w:type="spellStart"/>
      <w:r w:rsidRPr="00553E89">
        <w:rPr>
          <w:sz w:val="20"/>
          <w:lang w:val="it-IT"/>
        </w:rPr>
        <w:t>Available</w:t>
      </w:r>
      <w:proofErr w:type="spellEnd"/>
      <w:r w:rsidRPr="00553E89">
        <w:rPr>
          <w:sz w:val="20"/>
          <w:lang w:val="it-IT"/>
        </w:rPr>
        <w:t xml:space="preserve"> </w:t>
      </w:r>
      <w:proofErr w:type="spellStart"/>
      <w:r w:rsidRPr="00553E89">
        <w:rPr>
          <w:sz w:val="20"/>
          <w:lang w:val="it-IT"/>
        </w:rPr>
        <w:t>at</w:t>
      </w:r>
      <w:proofErr w:type="spellEnd"/>
      <w:r w:rsidRPr="00553E89">
        <w:rPr>
          <w:sz w:val="20"/>
          <w:lang w:val="it-IT"/>
        </w:rPr>
        <w:t>: &lt;https://www.repubblica.it/economia/2018/05/29/news/chi_detiene_il_debito_pubblico_italiano_30_anni_di_cambiamenti-197562</w:t>
      </w:r>
      <w:r w:rsidR="00977775" w:rsidRPr="00553E89">
        <w:rPr>
          <w:sz w:val="20"/>
          <w:lang w:val="it-IT"/>
        </w:rPr>
        <w:t>983/&gt; (</w:t>
      </w:r>
      <w:proofErr w:type="spellStart"/>
      <w:r w:rsidR="00977775" w:rsidRPr="00553E89">
        <w:rPr>
          <w:sz w:val="20"/>
          <w:lang w:val="it-IT"/>
        </w:rPr>
        <w:t>a</w:t>
      </w:r>
      <w:r w:rsidRPr="00553E89">
        <w:rPr>
          <w:sz w:val="20"/>
          <w:lang w:val="it-IT"/>
        </w:rPr>
        <w:t>ccessed</w:t>
      </w:r>
      <w:proofErr w:type="spellEnd"/>
      <w:r w:rsidRPr="00553E89">
        <w:rPr>
          <w:sz w:val="20"/>
          <w:lang w:val="it-IT"/>
        </w:rPr>
        <w:t xml:space="preserve"> 7 </w:t>
      </w:r>
      <w:proofErr w:type="spellStart"/>
      <w:r w:rsidRPr="00553E89">
        <w:rPr>
          <w:sz w:val="20"/>
          <w:lang w:val="it-IT"/>
        </w:rPr>
        <w:t>November</w:t>
      </w:r>
      <w:proofErr w:type="spellEnd"/>
      <w:r w:rsidRPr="00553E89">
        <w:rPr>
          <w:sz w:val="20"/>
          <w:lang w:val="it-IT"/>
        </w:rPr>
        <w:t xml:space="preserve"> 2020</w:t>
      </w:r>
      <w:r w:rsidR="00977775" w:rsidRPr="00553E89">
        <w:rPr>
          <w:sz w:val="20"/>
          <w:lang w:val="it-IT"/>
        </w:rPr>
        <w:t>)</w:t>
      </w:r>
      <w:r w:rsidRPr="00553E89">
        <w:rPr>
          <w:sz w:val="20"/>
          <w:lang w:val="it-IT"/>
        </w:rPr>
        <w:t>.</w:t>
      </w:r>
    </w:p>
    <w:p w:rsidR="000377FF" w:rsidRPr="005B56A1" w:rsidRDefault="00E85B85" w:rsidP="001A4FB4">
      <w:pPr>
        <w:pStyle w:val="Paragrafoelenco"/>
        <w:numPr>
          <w:ilvl w:val="0"/>
          <w:numId w:val="1"/>
        </w:numPr>
        <w:tabs>
          <w:tab w:val="left" w:pos="524"/>
        </w:tabs>
        <w:spacing w:before="161" w:line="360" w:lineRule="auto"/>
        <w:ind w:hanging="411"/>
        <w:jc w:val="both"/>
        <w:rPr>
          <w:sz w:val="20"/>
        </w:rPr>
      </w:pPr>
      <w:proofErr w:type="spellStart"/>
      <w:r w:rsidRPr="000435D2">
        <w:rPr>
          <w:sz w:val="20"/>
          <w:lang w:val="it-IT"/>
        </w:rPr>
        <w:t>Blanchard</w:t>
      </w:r>
      <w:proofErr w:type="spellEnd"/>
      <w:r w:rsidRPr="000435D2">
        <w:rPr>
          <w:sz w:val="20"/>
          <w:lang w:val="it-IT"/>
        </w:rPr>
        <w:t xml:space="preserve">, </w:t>
      </w:r>
      <w:r w:rsidR="005B56A1" w:rsidRPr="000435D2">
        <w:rPr>
          <w:sz w:val="20"/>
          <w:lang w:val="it-IT"/>
        </w:rPr>
        <w:t>Olivier</w:t>
      </w:r>
      <w:r w:rsidRPr="000435D2">
        <w:rPr>
          <w:sz w:val="20"/>
          <w:lang w:val="it-IT"/>
        </w:rPr>
        <w:t xml:space="preserve">, </w:t>
      </w:r>
      <w:proofErr w:type="spellStart"/>
      <w:r w:rsidRPr="000435D2">
        <w:rPr>
          <w:sz w:val="20"/>
          <w:lang w:val="it-IT"/>
        </w:rPr>
        <w:t>Amighini</w:t>
      </w:r>
      <w:proofErr w:type="spellEnd"/>
      <w:r w:rsidRPr="000435D2">
        <w:rPr>
          <w:sz w:val="20"/>
          <w:lang w:val="it-IT"/>
        </w:rPr>
        <w:t xml:space="preserve">, </w:t>
      </w:r>
      <w:r w:rsidR="000435D2" w:rsidRPr="000435D2">
        <w:rPr>
          <w:sz w:val="20"/>
          <w:lang w:val="it-IT"/>
        </w:rPr>
        <w:t>Alessia</w:t>
      </w:r>
      <w:r w:rsidRPr="000435D2">
        <w:rPr>
          <w:sz w:val="20"/>
          <w:lang w:val="it-IT"/>
        </w:rPr>
        <w:t xml:space="preserve"> and Giavazzi, </w:t>
      </w:r>
      <w:r w:rsidR="000435D2" w:rsidRPr="000435D2">
        <w:rPr>
          <w:sz w:val="20"/>
          <w:lang w:val="it-IT"/>
        </w:rPr>
        <w:t>Francesco</w:t>
      </w:r>
      <w:r w:rsidRPr="000435D2">
        <w:rPr>
          <w:sz w:val="20"/>
          <w:lang w:val="it-IT"/>
        </w:rPr>
        <w:t xml:space="preserve"> (2009). </w:t>
      </w:r>
      <w:proofErr w:type="spellStart"/>
      <w:r w:rsidRPr="005B56A1">
        <w:rPr>
          <w:sz w:val="20"/>
        </w:rPr>
        <w:t>Macroeconomia</w:t>
      </w:r>
      <w:proofErr w:type="spellEnd"/>
      <w:r w:rsidRPr="005B56A1">
        <w:rPr>
          <w:sz w:val="20"/>
        </w:rPr>
        <w:t>. Il Mulino.</w:t>
      </w:r>
    </w:p>
    <w:p w:rsidR="008476D4" w:rsidRPr="008476D4" w:rsidRDefault="00E85B85" w:rsidP="008476D4">
      <w:pPr>
        <w:pStyle w:val="Paragrafoelenco"/>
        <w:numPr>
          <w:ilvl w:val="0"/>
          <w:numId w:val="1"/>
        </w:numPr>
        <w:tabs>
          <w:tab w:val="left" w:pos="524"/>
        </w:tabs>
        <w:spacing w:before="161" w:line="360" w:lineRule="auto"/>
        <w:ind w:hanging="411"/>
        <w:jc w:val="both"/>
        <w:rPr>
          <w:sz w:val="20"/>
        </w:rPr>
      </w:pPr>
      <w:proofErr w:type="spellStart"/>
      <w:r w:rsidRPr="00553E89">
        <w:rPr>
          <w:sz w:val="20"/>
          <w:lang w:val="it-IT"/>
        </w:rPr>
        <w:t>Cesaratto</w:t>
      </w:r>
      <w:proofErr w:type="spellEnd"/>
      <w:r w:rsidRPr="00553E89">
        <w:rPr>
          <w:sz w:val="20"/>
          <w:lang w:val="it-IT"/>
        </w:rPr>
        <w:t xml:space="preserve">, S. (2016). Sei lezioni di economia. </w:t>
      </w:r>
      <w:r w:rsidRPr="00A20381">
        <w:rPr>
          <w:sz w:val="20"/>
        </w:rPr>
        <w:t>Reggio</w:t>
      </w:r>
      <w:r w:rsidRPr="005B56A1">
        <w:rPr>
          <w:sz w:val="20"/>
        </w:rPr>
        <w:t xml:space="preserve"> </w:t>
      </w:r>
      <w:r w:rsidRPr="00A20381">
        <w:rPr>
          <w:sz w:val="20"/>
        </w:rPr>
        <w:t>Emilia:</w:t>
      </w:r>
      <w:r w:rsidRPr="005B56A1">
        <w:rPr>
          <w:sz w:val="20"/>
        </w:rPr>
        <w:t xml:space="preserve"> </w:t>
      </w:r>
      <w:r w:rsidRPr="00A20381">
        <w:rPr>
          <w:sz w:val="20"/>
        </w:rPr>
        <w:t>Imprimatur.</w:t>
      </w:r>
    </w:p>
    <w:p w:rsidR="008476D4" w:rsidRPr="009C31DC" w:rsidRDefault="008476D4" w:rsidP="008476D4">
      <w:pPr>
        <w:pStyle w:val="Paragrafoelenco"/>
        <w:numPr>
          <w:ilvl w:val="0"/>
          <w:numId w:val="1"/>
        </w:numPr>
        <w:tabs>
          <w:tab w:val="left" w:pos="524"/>
        </w:tabs>
        <w:spacing w:before="161" w:line="360" w:lineRule="auto"/>
        <w:ind w:hanging="411"/>
        <w:jc w:val="both"/>
        <w:rPr>
          <w:sz w:val="20"/>
        </w:rPr>
      </w:pPr>
      <w:proofErr w:type="spellStart"/>
      <w:r w:rsidRPr="009C31DC">
        <w:rPr>
          <w:sz w:val="20"/>
        </w:rPr>
        <w:t>Coudert</w:t>
      </w:r>
      <w:proofErr w:type="spellEnd"/>
      <w:r w:rsidRPr="009C31DC">
        <w:rPr>
          <w:sz w:val="20"/>
        </w:rPr>
        <w:t xml:space="preserve">, </w:t>
      </w:r>
      <w:proofErr w:type="spellStart"/>
      <w:r w:rsidRPr="009C31DC">
        <w:rPr>
          <w:sz w:val="20"/>
        </w:rPr>
        <w:t>Virginie</w:t>
      </w:r>
      <w:proofErr w:type="spellEnd"/>
      <w:r w:rsidRPr="009C31DC">
        <w:rPr>
          <w:sz w:val="20"/>
        </w:rPr>
        <w:t xml:space="preserve"> and </w:t>
      </w:r>
      <w:proofErr w:type="spellStart"/>
      <w:r w:rsidRPr="009C31DC">
        <w:rPr>
          <w:sz w:val="20"/>
        </w:rPr>
        <w:t>Gex</w:t>
      </w:r>
      <w:proofErr w:type="spellEnd"/>
      <w:r w:rsidRPr="009C31DC">
        <w:rPr>
          <w:sz w:val="20"/>
        </w:rPr>
        <w:t>, Mathieu (2010). Credit Default Swap And Bond Markets: Which Leads The Other?. [online] Core.ac.uk. Available at: https://core.ac.uk/download/pdf/6612165.pdf (accessed 8 December 2020).</w:t>
      </w:r>
    </w:p>
    <w:p w:rsidR="005A0A40" w:rsidRPr="005A0A40" w:rsidRDefault="005A0A40" w:rsidP="005A0A40">
      <w:pPr>
        <w:pStyle w:val="Paragrafoelenco"/>
        <w:numPr>
          <w:ilvl w:val="0"/>
          <w:numId w:val="1"/>
        </w:numPr>
        <w:tabs>
          <w:tab w:val="left" w:pos="524"/>
        </w:tabs>
        <w:spacing w:before="161" w:line="360" w:lineRule="auto"/>
        <w:ind w:hanging="411"/>
        <w:jc w:val="both"/>
        <w:rPr>
          <w:sz w:val="20"/>
        </w:rPr>
      </w:pPr>
      <w:r>
        <w:rPr>
          <w:sz w:val="20"/>
        </w:rPr>
        <w:t xml:space="preserve">De </w:t>
      </w:r>
      <w:proofErr w:type="spellStart"/>
      <w:r>
        <w:rPr>
          <w:sz w:val="20"/>
        </w:rPr>
        <w:t>Pooter</w:t>
      </w:r>
      <w:proofErr w:type="spellEnd"/>
      <w:r>
        <w:rPr>
          <w:sz w:val="20"/>
        </w:rPr>
        <w:t xml:space="preserve">, </w:t>
      </w:r>
      <w:proofErr w:type="spellStart"/>
      <w:r>
        <w:rPr>
          <w:sz w:val="20"/>
        </w:rPr>
        <w:t>Michiel</w:t>
      </w:r>
      <w:proofErr w:type="spellEnd"/>
      <w:r>
        <w:rPr>
          <w:sz w:val="20"/>
        </w:rPr>
        <w:t>, Martin, Robert F. and Pruitt, Seth</w:t>
      </w:r>
      <w:r w:rsidRPr="00A20381">
        <w:rPr>
          <w:sz w:val="20"/>
        </w:rPr>
        <w:t xml:space="preserve"> (2018). The Liquidity Effects of Official Bond Market Intervention. Journal</w:t>
      </w:r>
      <w:r w:rsidRPr="0031057A">
        <w:rPr>
          <w:sz w:val="20"/>
        </w:rPr>
        <w:t xml:space="preserve"> </w:t>
      </w:r>
      <w:r w:rsidRPr="00A20381">
        <w:rPr>
          <w:sz w:val="20"/>
        </w:rPr>
        <w:t>of</w:t>
      </w:r>
      <w:r w:rsidRPr="0031057A">
        <w:rPr>
          <w:sz w:val="20"/>
        </w:rPr>
        <w:t xml:space="preserve"> </w:t>
      </w:r>
      <w:r w:rsidRPr="00A20381">
        <w:rPr>
          <w:sz w:val="20"/>
        </w:rPr>
        <w:t>Financial</w:t>
      </w:r>
      <w:r w:rsidRPr="0031057A">
        <w:rPr>
          <w:sz w:val="20"/>
        </w:rPr>
        <w:t xml:space="preserve"> </w:t>
      </w:r>
      <w:r w:rsidRPr="00A20381">
        <w:rPr>
          <w:sz w:val="20"/>
        </w:rPr>
        <w:t>and</w:t>
      </w:r>
      <w:r w:rsidRPr="0031057A">
        <w:rPr>
          <w:sz w:val="20"/>
        </w:rPr>
        <w:t xml:space="preserve"> </w:t>
      </w:r>
      <w:r w:rsidRPr="00A20381">
        <w:rPr>
          <w:sz w:val="20"/>
        </w:rPr>
        <w:t>Quantitative</w:t>
      </w:r>
      <w:r w:rsidRPr="0031057A">
        <w:rPr>
          <w:sz w:val="20"/>
        </w:rPr>
        <w:t xml:space="preserve"> </w:t>
      </w:r>
      <w:r w:rsidRPr="00A20381">
        <w:rPr>
          <w:sz w:val="20"/>
        </w:rPr>
        <w:t>Analysis,</w:t>
      </w:r>
      <w:r w:rsidRPr="0031057A">
        <w:rPr>
          <w:sz w:val="20"/>
        </w:rPr>
        <w:t xml:space="preserve"> </w:t>
      </w:r>
      <w:r w:rsidRPr="00A20381">
        <w:rPr>
          <w:sz w:val="20"/>
        </w:rPr>
        <w:t>53(01),</w:t>
      </w:r>
      <w:r w:rsidRPr="0031057A">
        <w:rPr>
          <w:sz w:val="20"/>
        </w:rPr>
        <w:t xml:space="preserve"> </w:t>
      </w:r>
      <w:r w:rsidRPr="00A20381">
        <w:rPr>
          <w:sz w:val="20"/>
        </w:rPr>
        <w:t>pp.243-268.</w:t>
      </w:r>
      <w:r>
        <w:rPr>
          <w:sz w:val="20"/>
        </w:rPr>
        <w:t xml:space="preserve"> Available at: </w:t>
      </w:r>
      <w:r w:rsidRPr="0031057A">
        <w:rPr>
          <w:sz w:val="20"/>
        </w:rPr>
        <w:t>https://doi.org/10.1017/S0022109017000898</w:t>
      </w:r>
      <w:r>
        <w:rPr>
          <w:sz w:val="20"/>
        </w:rPr>
        <w:t xml:space="preserve"> (accessed 7 November 2020)</w:t>
      </w:r>
      <w:r w:rsidRPr="0031057A">
        <w:rPr>
          <w:sz w:val="20"/>
        </w:rPr>
        <w:t>.</w:t>
      </w:r>
    </w:p>
    <w:p w:rsidR="000377FF" w:rsidRPr="009C31DC" w:rsidRDefault="0031057A" w:rsidP="005A0A40">
      <w:pPr>
        <w:pStyle w:val="Paragrafoelenco"/>
        <w:numPr>
          <w:ilvl w:val="0"/>
          <w:numId w:val="1"/>
        </w:numPr>
        <w:tabs>
          <w:tab w:val="left" w:pos="524"/>
        </w:tabs>
        <w:spacing w:before="161" w:line="360" w:lineRule="auto"/>
        <w:ind w:hanging="411"/>
        <w:jc w:val="both"/>
        <w:rPr>
          <w:sz w:val="20"/>
        </w:rPr>
      </w:pPr>
      <w:r w:rsidRPr="009C31DC">
        <w:rPr>
          <w:sz w:val="20"/>
        </w:rPr>
        <w:t xml:space="preserve">De </w:t>
      </w:r>
      <w:proofErr w:type="spellStart"/>
      <w:r w:rsidR="005A0A40" w:rsidRPr="009C31DC">
        <w:rPr>
          <w:sz w:val="20"/>
        </w:rPr>
        <w:t>de</w:t>
      </w:r>
      <w:proofErr w:type="spellEnd"/>
      <w:r w:rsidR="005A0A40" w:rsidRPr="009C31DC">
        <w:rPr>
          <w:sz w:val="20"/>
        </w:rPr>
        <w:t xml:space="preserve"> Jong, Frank (2002). Measures of contributions to price discovery: a comparison. Journal of Financial Markets, 5(3), 323–327. Available at: https://doi.org/10.1016/s1386-4181(02)00028-9 (accessed 8 December 2020).</w:t>
      </w:r>
    </w:p>
    <w:p w:rsidR="003F5CCB" w:rsidRPr="009C31DC" w:rsidRDefault="003F5CCB" w:rsidP="003F5CCB">
      <w:pPr>
        <w:pStyle w:val="Paragrafoelenco"/>
        <w:numPr>
          <w:ilvl w:val="0"/>
          <w:numId w:val="1"/>
        </w:numPr>
        <w:tabs>
          <w:tab w:val="left" w:pos="524"/>
        </w:tabs>
        <w:spacing w:before="161" w:line="360" w:lineRule="auto"/>
        <w:ind w:hanging="411"/>
        <w:jc w:val="both"/>
        <w:rPr>
          <w:sz w:val="20"/>
        </w:rPr>
      </w:pPr>
      <w:r w:rsidRPr="009C31DC">
        <w:rPr>
          <w:sz w:val="20"/>
          <w:lang w:val="it-IT"/>
        </w:rPr>
        <w:t xml:space="preserve">Di Cesare, Antonio, Grande, Giuseppe, Manna, Michele and </w:t>
      </w:r>
      <w:proofErr w:type="spellStart"/>
      <w:r w:rsidRPr="009C31DC">
        <w:rPr>
          <w:sz w:val="20"/>
          <w:lang w:val="it-IT"/>
        </w:rPr>
        <w:t>Taboga</w:t>
      </w:r>
      <w:proofErr w:type="spellEnd"/>
      <w:r w:rsidRPr="009C31DC">
        <w:rPr>
          <w:sz w:val="20"/>
          <w:lang w:val="it-IT"/>
        </w:rPr>
        <w:t xml:space="preserve">, Marco (2013). </w:t>
      </w:r>
      <w:r w:rsidRPr="009C31DC">
        <w:rPr>
          <w:sz w:val="20"/>
        </w:rPr>
        <w:t xml:space="preserve">Recent estimates of sovereign risk </w:t>
      </w:r>
      <w:proofErr w:type="spellStart"/>
      <w:r w:rsidRPr="009C31DC">
        <w:rPr>
          <w:sz w:val="20"/>
        </w:rPr>
        <w:t>premia</w:t>
      </w:r>
      <w:proofErr w:type="spellEnd"/>
      <w:r w:rsidRPr="009C31DC">
        <w:rPr>
          <w:sz w:val="20"/>
        </w:rPr>
        <w:t xml:space="preserve"> for euro-area countries. </w:t>
      </w:r>
      <w:proofErr w:type="spellStart"/>
      <w:r w:rsidRPr="009C31DC">
        <w:rPr>
          <w:sz w:val="20"/>
        </w:rPr>
        <w:t>Banca</w:t>
      </w:r>
      <w:proofErr w:type="spellEnd"/>
      <w:r w:rsidRPr="009C31DC">
        <w:rPr>
          <w:sz w:val="20"/>
        </w:rPr>
        <w:t xml:space="preserve"> </w:t>
      </w:r>
      <w:proofErr w:type="spellStart"/>
      <w:r w:rsidRPr="009C31DC">
        <w:rPr>
          <w:sz w:val="20"/>
        </w:rPr>
        <w:t>d’Italia</w:t>
      </w:r>
      <w:proofErr w:type="spellEnd"/>
      <w:r w:rsidRPr="009C31DC">
        <w:rPr>
          <w:sz w:val="20"/>
        </w:rPr>
        <w:t>. Available at: https://www.bancaditalia.it/pubblicazioni/altri-atti-convegni/2013-2-sovereign-debt-crisis/dicesare.pdf (accessed 8 December 2020).</w:t>
      </w:r>
    </w:p>
    <w:p w:rsidR="000377FF" w:rsidRPr="005E6CA2" w:rsidRDefault="00E85B85" w:rsidP="001A4FB4">
      <w:pPr>
        <w:pStyle w:val="Paragrafoelenco"/>
        <w:numPr>
          <w:ilvl w:val="0"/>
          <w:numId w:val="1"/>
        </w:numPr>
        <w:tabs>
          <w:tab w:val="left" w:pos="524"/>
        </w:tabs>
        <w:spacing w:before="162" w:line="360" w:lineRule="auto"/>
        <w:ind w:right="111" w:hanging="410"/>
        <w:jc w:val="both"/>
        <w:rPr>
          <w:sz w:val="20"/>
        </w:rPr>
      </w:pPr>
      <w:bookmarkStart w:id="10" w:name="_GoBack"/>
      <w:bookmarkEnd w:id="10"/>
      <w:r w:rsidRPr="00A20381">
        <w:rPr>
          <w:sz w:val="20"/>
        </w:rPr>
        <w:t xml:space="preserve">Diebold, </w:t>
      </w:r>
      <w:r w:rsidRPr="005B56A1">
        <w:rPr>
          <w:sz w:val="20"/>
        </w:rPr>
        <w:t xml:space="preserve">Francis </w:t>
      </w:r>
      <w:r w:rsidRPr="00A20381">
        <w:rPr>
          <w:sz w:val="20"/>
        </w:rPr>
        <w:t xml:space="preserve">X. (2001). Elements of </w:t>
      </w:r>
      <w:r w:rsidRPr="005B56A1">
        <w:rPr>
          <w:sz w:val="20"/>
        </w:rPr>
        <w:t xml:space="preserve">Forecasting </w:t>
      </w:r>
      <w:r w:rsidRPr="00A20381">
        <w:rPr>
          <w:sz w:val="20"/>
        </w:rPr>
        <w:t xml:space="preserve">(2nd ed.). Cincinnati: South </w:t>
      </w:r>
      <w:r w:rsidR="00C4118E" w:rsidRPr="005B56A1">
        <w:rPr>
          <w:sz w:val="20"/>
        </w:rPr>
        <w:t>Western.</w:t>
      </w:r>
    </w:p>
    <w:p w:rsidR="000377FF" w:rsidRPr="005E6CA2" w:rsidRDefault="00E85B85" w:rsidP="001A4FB4">
      <w:pPr>
        <w:pStyle w:val="Paragrafoelenco"/>
        <w:numPr>
          <w:ilvl w:val="0"/>
          <w:numId w:val="1"/>
        </w:numPr>
        <w:tabs>
          <w:tab w:val="left" w:pos="524"/>
        </w:tabs>
        <w:spacing w:before="162" w:line="360" w:lineRule="auto"/>
        <w:ind w:right="111" w:hanging="410"/>
        <w:jc w:val="both"/>
        <w:rPr>
          <w:sz w:val="20"/>
        </w:rPr>
      </w:pPr>
      <w:proofErr w:type="spellStart"/>
      <w:r w:rsidRPr="00A20381">
        <w:rPr>
          <w:sz w:val="20"/>
        </w:rPr>
        <w:t>Duffie</w:t>
      </w:r>
      <w:proofErr w:type="spellEnd"/>
      <w:r w:rsidRPr="00A20381">
        <w:rPr>
          <w:sz w:val="20"/>
        </w:rPr>
        <w:t>,</w:t>
      </w:r>
      <w:r w:rsidRPr="005E6CA2">
        <w:rPr>
          <w:sz w:val="20"/>
        </w:rPr>
        <w:t xml:space="preserve"> </w:t>
      </w:r>
      <w:r w:rsidR="005E6CA2">
        <w:rPr>
          <w:sz w:val="20"/>
        </w:rPr>
        <w:t>Darrell</w:t>
      </w:r>
      <w:r w:rsidRPr="005E6CA2">
        <w:rPr>
          <w:sz w:val="20"/>
        </w:rPr>
        <w:t xml:space="preserve"> </w:t>
      </w:r>
      <w:r w:rsidRPr="00A20381">
        <w:rPr>
          <w:sz w:val="20"/>
        </w:rPr>
        <w:t>(1999).</w:t>
      </w:r>
      <w:r w:rsidRPr="005E6CA2">
        <w:rPr>
          <w:sz w:val="20"/>
        </w:rPr>
        <w:t xml:space="preserve"> </w:t>
      </w:r>
      <w:r w:rsidRPr="00A20381">
        <w:rPr>
          <w:sz w:val="20"/>
        </w:rPr>
        <w:t>Credit</w:t>
      </w:r>
      <w:r w:rsidRPr="005E6CA2">
        <w:rPr>
          <w:sz w:val="20"/>
        </w:rPr>
        <w:t xml:space="preserve"> </w:t>
      </w:r>
      <w:r w:rsidRPr="00A20381">
        <w:rPr>
          <w:sz w:val="20"/>
        </w:rPr>
        <w:t>Swap</w:t>
      </w:r>
      <w:r w:rsidRPr="005E6CA2">
        <w:rPr>
          <w:sz w:val="20"/>
        </w:rPr>
        <w:t xml:space="preserve"> Valuation. </w:t>
      </w:r>
      <w:r w:rsidRPr="00A20381">
        <w:rPr>
          <w:sz w:val="20"/>
        </w:rPr>
        <w:t>Financial</w:t>
      </w:r>
      <w:r w:rsidRPr="005E6CA2">
        <w:rPr>
          <w:sz w:val="20"/>
        </w:rPr>
        <w:t xml:space="preserve"> </w:t>
      </w:r>
      <w:r w:rsidRPr="00A20381">
        <w:rPr>
          <w:sz w:val="20"/>
        </w:rPr>
        <w:t>Analysts</w:t>
      </w:r>
      <w:r w:rsidRPr="005E6CA2">
        <w:rPr>
          <w:sz w:val="20"/>
        </w:rPr>
        <w:t xml:space="preserve"> </w:t>
      </w:r>
      <w:r w:rsidRPr="00A20381">
        <w:rPr>
          <w:sz w:val="20"/>
        </w:rPr>
        <w:t>Journal,</w:t>
      </w:r>
      <w:r w:rsidRPr="005E6CA2">
        <w:rPr>
          <w:sz w:val="20"/>
        </w:rPr>
        <w:t xml:space="preserve"> </w:t>
      </w:r>
      <w:r w:rsidRPr="00A20381">
        <w:rPr>
          <w:sz w:val="20"/>
        </w:rPr>
        <w:t>55(1),</w:t>
      </w:r>
      <w:r w:rsidRPr="005E6CA2">
        <w:rPr>
          <w:sz w:val="20"/>
        </w:rPr>
        <w:t xml:space="preserve"> </w:t>
      </w:r>
      <w:r w:rsidRPr="00A20381">
        <w:rPr>
          <w:sz w:val="20"/>
        </w:rPr>
        <w:t>pp.73-87.</w:t>
      </w:r>
      <w:r w:rsidR="005E6CA2" w:rsidRPr="005E6CA2">
        <w:rPr>
          <w:sz w:val="20"/>
        </w:rPr>
        <w:t xml:space="preserve"> </w:t>
      </w:r>
      <w:r w:rsidR="005E6CA2">
        <w:rPr>
          <w:sz w:val="20"/>
        </w:rPr>
        <w:t>Available at:</w:t>
      </w:r>
      <w:r w:rsidR="005E6CA2" w:rsidRPr="005E6CA2">
        <w:rPr>
          <w:sz w:val="20"/>
        </w:rPr>
        <w:t xml:space="preserve"> </w:t>
      </w:r>
      <w:r w:rsidR="00F13F48" w:rsidRPr="00F13F48">
        <w:rPr>
          <w:sz w:val="20"/>
        </w:rPr>
        <w:t>https://www.darrellduffie.com/uploads/pubs/DuffieCreditSwapValuation1999.pdf</w:t>
      </w:r>
      <w:r w:rsidR="00F13F48">
        <w:rPr>
          <w:sz w:val="20"/>
        </w:rPr>
        <w:t xml:space="preserve"> </w:t>
      </w:r>
      <w:r w:rsidR="007C0C4C">
        <w:rPr>
          <w:sz w:val="20"/>
        </w:rPr>
        <w:t>(</w:t>
      </w:r>
      <w:r w:rsidR="00C4118E">
        <w:rPr>
          <w:sz w:val="20"/>
        </w:rPr>
        <w:t>a</w:t>
      </w:r>
      <w:r w:rsidR="005E6CA2" w:rsidRPr="00F44A3F">
        <w:rPr>
          <w:sz w:val="20"/>
        </w:rPr>
        <w:t>ccessed</w:t>
      </w:r>
      <w:r w:rsidR="007C0C4C">
        <w:rPr>
          <w:sz w:val="20"/>
        </w:rPr>
        <w:t xml:space="preserve"> 7 November 2020)</w:t>
      </w:r>
      <w:r w:rsidR="005E6CA2" w:rsidRPr="00F44A3F">
        <w:rPr>
          <w:sz w:val="20"/>
        </w:rPr>
        <w:t>.</w:t>
      </w:r>
    </w:p>
    <w:p w:rsidR="000377FF" w:rsidRPr="005E6CA2" w:rsidRDefault="005E6CA2" w:rsidP="001A4FB4">
      <w:pPr>
        <w:pStyle w:val="Paragrafoelenco"/>
        <w:numPr>
          <w:ilvl w:val="0"/>
          <w:numId w:val="1"/>
        </w:numPr>
        <w:tabs>
          <w:tab w:val="left" w:pos="524"/>
        </w:tabs>
        <w:spacing w:before="162" w:line="360" w:lineRule="auto"/>
        <w:ind w:right="111" w:hanging="410"/>
        <w:jc w:val="both"/>
        <w:rPr>
          <w:sz w:val="20"/>
        </w:rPr>
      </w:pPr>
      <w:r>
        <w:rPr>
          <w:sz w:val="20"/>
        </w:rPr>
        <w:t>Elton, Edwin</w:t>
      </w:r>
      <w:r w:rsidR="00E85B85" w:rsidRPr="00A20381">
        <w:rPr>
          <w:sz w:val="20"/>
        </w:rPr>
        <w:t xml:space="preserve"> </w:t>
      </w:r>
      <w:r w:rsidR="00E85B85" w:rsidRPr="005E6CA2">
        <w:rPr>
          <w:sz w:val="20"/>
        </w:rPr>
        <w:t xml:space="preserve">J., </w:t>
      </w:r>
      <w:r>
        <w:rPr>
          <w:sz w:val="20"/>
        </w:rPr>
        <w:t>Martin</w:t>
      </w:r>
      <w:r w:rsidR="00E85B85" w:rsidRPr="00A20381">
        <w:rPr>
          <w:sz w:val="20"/>
        </w:rPr>
        <w:t xml:space="preserve"> </w:t>
      </w:r>
      <w:r w:rsidR="00E85B85" w:rsidRPr="005E6CA2">
        <w:rPr>
          <w:sz w:val="20"/>
        </w:rPr>
        <w:t xml:space="preserve">J. </w:t>
      </w:r>
      <w:r>
        <w:rPr>
          <w:sz w:val="20"/>
        </w:rPr>
        <w:t>Gruber, Deepak</w:t>
      </w:r>
      <w:r w:rsidR="00E85B85" w:rsidRPr="00A20381">
        <w:rPr>
          <w:sz w:val="20"/>
        </w:rPr>
        <w:t xml:space="preserve"> </w:t>
      </w:r>
      <w:r w:rsidR="00E85B85" w:rsidRPr="005E6CA2">
        <w:rPr>
          <w:sz w:val="20"/>
        </w:rPr>
        <w:t xml:space="preserve">Agrawal, </w:t>
      </w:r>
      <w:r>
        <w:rPr>
          <w:sz w:val="20"/>
        </w:rPr>
        <w:t>and Christopher Mann (2002).</w:t>
      </w:r>
      <w:r w:rsidR="00E85B85" w:rsidRPr="00A20381">
        <w:rPr>
          <w:sz w:val="20"/>
        </w:rPr>
        <w:t xml:space="preserve"> Explaining the rate </w:t>
      </w:r>
      <w:r w:rsidR="00E85B85" w:rsidRPr="00A20381">
        <w:rPr>
          <w:sz w:val="20"/>
        </w:rPr>
        <w:lastRenderedPageBreak/>
        <w:t>spread on corporate bonds, Journal of Finance 56,</w:t>
      </w:r>
      <w:r w:rsidR="00E85B85" w:rsidRPr="005E6CA2">
        <w:rPr>
          <w:sz w:val="20"/>
        </w:rPr>
        <w:t xml:space="preserve"> </w:t>
      </w:r>
      <w:r w:rsidR="00E85B85" w:rsidRPr="00A20381">
        <w:rPr>
          <w:sz w:val="20"/>
        </w:rPr>
        <w:t>247-277.</w:t>
      </w:r>
      <w:r>
        <w:rPr>
          <w:sz w:val="20"/>
        </w:rPr>
        <w:t xml:space="preserve"> Available at: </w:t>
      </w:r>
      <w:hyperlink r:id="rId14" w:history="1">
        <w:r w:rsidRPr="005E6CA2">
          <w:rPr>
            <w:sz w:val="20"/>
          </w:rPr>
          <w:t>https://doi.org/10.1111/0022-1082.00324</w:t>
        </w:r>
      </w:hyperlink>
      <w:r w:rsidRPr="005E6CA2">
        <w:rPr>
          <w:sz w:val="20"/>
        </w:rPr>
        <w:t xml:space="preserve"> </w:t>
      </w:r>
      <w:r w:rsidR="007C0C4C">
        <w:rPr>
          <w:sz w:val="20"/>
        </w:rPr>
        <w:t>(</w:t>
      </w:r>
      <w:r w:rsidR="00C4118E">
        <w:rPr>
          <w:sz w:val="20"/>
        </w:rPr>
        <w:t>a</w:t>
      </w:r>
      <w:r w:rsidRPr="00F44A3F">
        <w:rPr>
          <w:sz w:val="20"/>
        </w:rPr>
        <w:t>ccessed</w:t>
      </w:r>
      <w:r w:rsidR="007C0C4C">
        <w:rPr>
          <w:sz w:val="20"/>
        </w:rPr>
        <w:t xml:space="preserve"> 7 November 2020)</w:t>
      </w:r>
      <w:r w:rsidRPr="00F44A3F">
        <w:rPr>
          <w:sz w:val="20"/>
        </w:rPr>
        <w:t>.</w:t>
      </w:r>
    </w:p>
    <w:p w:rsidR="000377FF" w:rsidRPr="00A20381" w:rsidRDefault="00E85B85" w:rsidP="001A4FB4">
      <w:pPr>
        <w:pStyle w:val="Paragrafoelenco"/>
        <w:numPr>
          <w:ilvl w:val="0"/>
          <w:numId w:val="1"/>
        </w:numPr>
        <w:tabs>
          <w:tab w:val="left" w:pos="524"/>
        </w:tabs>
        <w:spacing w:before="162" w:line="360" w:lineRule="auto"/>
        <w:ind w:right="111" w:hanging="410"/>
        <w:jc w:val="both"/>
        <w:rPr>
          <w:sz w:val="20"/>
        </w:rPr>
      </w:pPr>
      <w:r w:rsidRPr="00A20381">
        <w:rPr>
          <w:sz w:val="20"/>
        </w:rPr>
        <w:t>Engle, R</w:t>
      </w:r>
      <w:r w:rsidR="002A4186">
        <w:rPr>
          <w:sz w:val="20"/>
        </w:rPr>
        <w:t>obert F.</w:t>
      </w:r>
      <w:r w:rsidRPr="00A20381">
        <w:rPr>
          <w:sz w:val="20"/>
        </w:rPr>
        <w:t xml:space="preserve"> and Granger, C.</w:t>
      </w:r>
      <w:r w:rsidR="002A4186">
        <w:rPr>
          <w:sz w:val="20"/>
        </w:rPr>
        <w:t xml:space="preserve"> W. J.</w:t>
      </w:r>
      <w:r w:rsidRPr="00A20381">
        <w:rPr>
          <w:sz w:val="20"/>
        </w:rPr>
        <w:t xml:space="preserve"> (1987). Co-Integration and Error Correction: Representation, Estimation, and </w:t>
      </w:r>
      <w:r w:rsidRPr="005E6CA2">
        <w:rPr>
          <w:sz w:val="20"/>
        </w:rPr>
        <w:t xml:space="preserve">Testing. </w:t>
      </w:r>
      <w:proofErr w:type="spellStart"/>
      <w:r w:rsidRPr="00A20381">
        <w:rPr>
          <w:sz w:val="20"/>
        </w:rPr>
        <w:t>Econometrica</w:t>
      </w:r>
      <w:proofErr w:type="spellEnd"/>
      <w:r w:rsidRPr="00A20381">
        <w:rPr>
          <w:sz w:val="20"/>
        </w:rPr>
        <w:t>, 55(2),</w:t>
      </w:r>
      <w:r w:rsidRPr="005E6CA2">
        <w:rPr>
          <w:sz w:val="20"/>
        </w:rPr>
        <w:t xml:space="preserve"> </w:t>
      </w:r>
      <w:r w:rsidRPr="00A20381">
        <w:rPr>
          <w:sz w:val="20"/>
        </w:rPr>
        <w:t>p.251.</w:t>
      </w:r>
      <w:r w:rsidR="002A4186">
        <w:rPr>
          <w:sz w:val="20"/>
        </w:rPr>
        <w:t xml:space="preserve"> Available at: </w:t>
      </w:r>
      <w:hyperlink r:id="rId15" w:history="1">
        <w:r w:rsidR="005E6CA2" w:rsidRPr="005E6CA2">
          <w:rPr>
            <w:sz w:val="20"/>
          </w:rPr>
          <w:t>https://www.jstor.org/stable/1913236</w:t>
        </w:r>
      </w:hyperlink>
      <w:r w:rsidR="00F13F48">
        <w:rPr>
          <w:sz w:val="20"/>
        </w:rPr>
        <w:t xml:space="preserve"> </w:t>
      </w:r>
      <w:r w:rsidR="007C0C4C">
        <w:rPr>
          <w:sz w:val="20"/>
        </w:rPr>
        <w:t>(</w:t>
      </w:r>
      <w:r w:rsidR="00F13F48">
        <w:rPr>
          <w:sz w:val="20"/>
        </w:rPr>
        <w:t>a</w:t>
      </w:r>
      <w:r w:rsidR="005E6CA2" w:rsidRPr="00F44A3F">
        <w:rPr>
          <w:sz w:val="20"/>
        </w:rPr>
        <w:t>ccessed</w:t>
      </w:r>
      <w:r w:rsidR="007C0C4C">
        <w:rPr>
          <w:sz w:val="20"/>
        </w:rPr>
        <w:t xml:space="preserve"> 7 November 2020)</w:t>
      </w:r>
      <w:r w:rsidR="005E6CA2" w:rsidRPr="00F44A3F">
        <w:rPr>
          <w:sz w:val="20"/>
        </w:rPr>
        <w:t>.</w:t>
      </w:r>
    </w:p>
    <w:p w:rsidR="00F44A3F" w:rsidRDefault="00E85B85" w:rsidP="001A4FB4">
      <w:pPr>
        <w:pStyle w:val="Paragrafoelenco"/>
        <w:numPr>
          <w:ilvl w:val="0"/>
          <w:numId w:val="1"/>
        </w:numPr>
        <w:tabs>
          <w:tab w:val="left" w:pos="524"/>
        </w:tabs>
        <w:spacing w:before="162" w:line="360" w:lineRule="auto"/>
        <w:ind w:right="111" w:hanging="410"/>
        <w:jc w:val="both"/>
        <w:rPr>
          <w:sz w:val="20"/>
        </w:rPr>
      </w:pPr>
      <w:r w:rsidRPr="00F13F48">
        <w:rPr>
          <w:sz w:val="20"/>
          <w:lang w:val="it-IT"/>
        </w:rPr>
        <w:t xml:space="preserve">Fontana, </w:t>
      </w:r>
      <w:r w:rsidR="00F44A3F" w:rsidRPr="00F13F48">
        <w:rPr>
          <w:sz w:val="20"/>
          <w:lang w:val="it-IT"/>
        </w:rPr>
        <w:t xml:space="preserve">Alessandro and </w:t>
      </w:r>
      <w:proofErr w:type="spellStart"/>
      <w:r w:rsidR="00F44A3F" w:rsidRPr="00F13F48">
        <w:rPr>
          <w:sz w:val="20"/>
          <w:lang w:val="it-IT"/>
        </w:rPr>
        <w:t>Scheicher</w:t>
      </w:r>
      <w:proofErr w:type="spellEnd"/>
      <w:r w:rsidR="00F44A3F" w:rsidRPr="00F13F48">
        <w:rPr>
          <w:sz w:val="20"/>
          <w:lang w:val="it-IT"/>
        </w:rPr>
        <w:t>, Martin</w:t>
      </w:r>
      <w:r w:rsidRPr="00F13F48">
        <w:rPr>
          <w:sz w:val="20"/>
          <w:lang w:val="it-IT"/>
        </w:rPr>
        <w:t xml:space="preserve"> (2016). </w:t>
      </w:r>
      <w:r w:rsidRPr="00F44A3F">
        <w:rPr>
          <w:sz w:val="20"/>
        </w:rPr>
        <w:t xml:space="preserve">An analysis of Euro Area sovereign CDS and their relation with </w:t>
      </w:r>
      <w:r w:rsidR="00DE51CC" w:rsidRPr="00F44A3F">
        <w:rPr>
          <w:sz w:val="20"/>
        </w:rPr>
        <w:t>gov</w:t>
      </w:r>
      <w:r w:rsidRPr="00F44A3F">
        <w:rPr>
          <w:sz w:val="20"/>
        </w:rPr>
        <w:t xml:space="preserve">ernment bonds. Journal of Banking &amp; Finance, 62, </w:t>
      </w:r>
      <w:r w:rsidR="00F44A3F" w:rsidRPr="00F44A3F">
        <w:rPr>
          <w:sz w:val="20"/>
        </w:rPr>
        <w:t xml:space="preserve">pp.126-140. Available at: </w:t>
      </w:r>
      <w:hyperlink r:id="rId16" w:tgtFrame="_blank" w:tooltip="Persistent link using digital object identifier" w:history="1">
        <w:r w:rsidR="00F44A3F" w:rsidRPr="00F44A3F">
          <w:rPr>
            <w:sz w:val="20"/>
          </w:rPr>
          <w:t>https://doi.org/10.1016/j.jbankfin.2015.10.010</w:t>
        </w:r>
      </w:hyperlink>
      <w:r w:rsidR="007C0C4C">
        <w:rPr>
          <w:sz w:val="20"/>
        </w:rPr>
        <w:t xml:space="preserve">  (</w:t>
      </w:r>
      <w:r w:rsidR="00F13F48">
        <w:rPr>
          <w:sz w:val="20"/>
        </w:rPr>
        <w:t>a</w:t>
      </w:r>
      <w:r w:rsidR="007C0C4C">
        <w:rPr>
          <w:sz w:val="20"/>
        </w:rPr>
        <w:t>ccessed 7 November 2020)</w:t>
      </w:r>
      <w:r w:rsidR="00F44A3F" w:rsidRPr="00F44A3F">
        <w:rPr>
          <w:sz w:val="20"/>
        </w:rPr>
        <w:t>.</w:t>
      </w:r>
    </w:p>
    <w:p w:rsidR="000377FF" w:rsidRPr="00F44A3F" w:rsidRDefault="00E85B85" w:rsidP="001A4FB4">
      <w:pPr>
        <w:pStyle w:val="Paragrafoelenco"/>
        <w:numPr>
          <w:ilvl w:val="0"/>
          <w:numId w:val="1"/>
        </w:numPr>
        <w:tabs>
          <w:tab w:val="left" w:pos="524"/>
        </w:tabs>
        <w:spacing w:before="162" w:line="360" w:lineRule="auto"/>
        <w:ind w:right="111" w:hanging="410"/>
        <w:jc w:val="both"/>
        <w:rPr>
          <w:sz w:val="20"/>
        </w:rPr>
      </w:pPr>
      <w:r w:rsidRPr="00F44A3F">
        <w:rPr>
          <w:sz w:val="20"/>
        </w:rPr>
        <w:t xml:space="preserve">Gonzalo, </w:t>
      </w:r>
      <w:r w:rsidR="00946B96" w:rsidRPr="00F44A3F">
        <w:rPr>
          <w:sz w:val="20"/>
        </w:rPr>
        <w:t>Jesus</w:t>
      </w:r>
      <w:r w:rsidRPr="00F44A3F">
        <w:rPr>
          <w:sz w:val="20"/>
        </w:rPr>
        <w:t xml:space="preserve"> </w:t>
      </w:r>
      <w:r w:rsidR="00946B96" w:rsidRPr="00F44A3F">
        <w:rPr>
          <w:sz w:val="20"/>
        </w:rPr>
        <w:t>and Granger, Clive</w:t>
      </w:r>
      <w:r w:rsidRPr="00F44A3F">
        <w:rPr>
          <w:sz w:val="20"/>
        </w:rPr>
        <w:t xml:space="preserve"> (1995). Estimation of Common Long-Memory </w:t>
      </w:r>
      <w:r w:rsidR="00946B96" w:rsidRPr="00F44A3F">
        <w:rPr>
          <w:sz w:val="20"/>
        </w:rPr>
        <w:t xml:space="preserve">Components in </w:t>
      </w:r>
      <w:proofErr w:type="spellStart"/>
      <w:r w:rsidR="00946B96" w:rsidRPr="00F44A3F">
        <w:rPr>
          <w:sz w:val="20"/>
        </w:rPr>
        <w:t>Cointegrated</w:t>
      </w:r>
      <w:proofErr w:type="spellEnd"/>
      <w:r w:rsidR="00946B96" w:rsidRPr="00F44A3F">
        <w:rPr>
          <w:sz w:val="20"/>
        </w:rPr>
        <w:t xml:space="preserve"> Sys</w:t>
      </w:r>
      <w:r w:rsidRPr="00F44A3F">
        <w:rPr>
          <w:sz w:val="20"/>
        </w:rPr>
        <w:t>tems. Journal of Business &amp; Economic Statistics, 13(1), pp.27-35.</w:t>
      </w:r>
      <w:r w:rsidR="00946B96" w:rsidRPr="00F44A3F">
        <w:rPr>
          <w:sz w:val="20"/>
        </w:rPr>
        <w:t xml:space="preserve"> Available at: </w:t>
      </w:r>
      <w:hyperlink r:id="rId17" w:history="1">
        <w:r w:rsidR="00946B96" w:rsidRPr="00F44A3F">
          <w:rPr>
            <w:sz w:val="20"/>
          </w:rPr>
          <w:t>https://www.jstor.org/stable/1392518</w:t>
        </w:r>
      </w:hyperlink>
      <w:r w:rsidR="007C0C4C">
        <w:rPr>
          <w:sz w:val="20"/>
        </w:rPr>
        <w:t xml:space="preserve"> (</w:t>
      </w:r>
      <w:r w:rsidR="00F13F48">
        <w:rPr>
          <w:sz w:val="20"/>
        </w:rPr>
        <w:t>a</w:t>
      </w:r>
      <w:r w:rsidR="007C0C4C">
        <w:rPr>
          <w:sz w:val="20"/>
        </w:rPr>
        <w:t>ccessed 7 November 2020)</w:t>
      </w:r>
      <w:r w:rsidR="00946B96" w:rsidRPr="00F44A3F">
        <w:rPr>
          <w:sz w:val="20"/>
        </w:rPr>
        <w:t>.</w:t>
      </w:r>
    </w:p>
    <w:p w:rsidR="000377FF" w:rsidRPr="005D499C" w:rsidRDefault="00E85B85" w:rsidP="001A4FB4">
      <w:pPr>
        <w:pStyle w:val="Paragrafoelenco"/>
        <w:numPr>
          <w:ilvl w:val="0"/>
          <w:numId w:val="1"/>
        </w:numPr>
        <w:tabs>
          <w:tab w:val="left" w:pos="524"/>
        </w:tabs>
        <w:spacing w:before="162" w:line="360" w:lineRule="auto"/>
        <w:ind w:right="111" w:hanging="410"/>
        <w:jc w:val="both"/>
        <w:rPr>
          <w:sz w:val="20"/>
        </w:rPr>
      </w:pPr>
      <w:proofErr w:type="spellStart"/>
      <w:r w:rsidRPr="00A81521">
        <w:rPr>
          <w:sz w:val="20"/>
        </w:rPr>
        <w:t>Gyntelberg</w:t>
      </w:r>
      <w:proofErr w:type="spellEnd"/>
      <w:r w:rsidRPr="00A81521">
        <w:rPr>
          <w:sz w:val="20"/>
        </w:rPr>
        <w:t xml:space="preserve">, </w:t>
      </w:r>
      <w:r w:rsidR="005D499C" w:rsidRPr="00A81521">
        <w:rPr>
          <w:sz w:val="20"/>
        </w:rPr>
        <w:t>Jacob</w:t>
      </w:r>
      <w:r w:rsidRPr="00A81521">
        <w:rPr>
          <w:sz w:val="20"/>
        </w:rPr>
        <w:t>,</w:t>
      </w:r>
      <w:r w:rsidR="005D499C" w:rsidRPr="00A81521">
        <w:rPr>
          <w:sz w:val="20"/>
        </w:rPr>
        <w:t xml:space="preserve"> </w:t>
      </w:r>
      <w:proofErr w:type="spellStart"/>
      <w:r w:rsidR="005D499C" w:rsidRPr="00A81521">
        <w:rPr>
          <w:sz w:val="20"/>
        </w:rPr>
        <w:t>Hördahl</w:t>
      </w:r>
      <w:proofErr w:type="spellEnd"/>
      <w:r w:rsidR="005D499C" w:rsidRPr="00A81521">
        <w:rPr>
          <w:sz w:val="20"/>
        </w:rPr>
        <w:t>, Peter,</w:t>
      </w:r>
      <w:r w:rsidRPr="00A81521">
        <w:rPr>
          <w:sz w:val="20"/>
        </w:rPr>
        <w:t xml:space="preserve"> </w:t>
      </w:r>
      <w:proofErr w:type="spellStart"/>
      <w:r w:rsidRPr="00A81521">
        <w:rPr>
          <w:sz w:val="20"/>
        </w:rPr>
        <w:t>Ters</w:t>
      </w:r>
      <w:proofErr w:type="spellEnd"/>
      <w:r w:rsidRPr="00A81521">
        <w:rPr>
          <w:sz w:val="20"/>
        </w:rPr>
        <w:t xml:space="preserve">, </w:t>
      </w:r>
      <w:proofErr w:type="spellStart"/>
      <w:r w:rsidR="005D499C" w:rsidRPr="00A81521">
        <w:rPr>
          <w:sz w:val="20"/>
        </w:rPr>
        <w:t>Kristyna</w:t>
      </w:r>
      <w:proofErr w:type="spellEnd"/>
      <w:r w:rsidRPr="00A81521">
        <w:rPr>
          <w:sz w:val="20"/>
        </w:rPr>
        <w:t xml:space="preserve"> and Urban, </w:t>
      </w:r>
      <w:proofErr w:type="spellStart"/>
      <w:r w:rsidR="005D499C" w:rsidRPr="00A81521">
        <w:rPr>
          <w:sz w:val="20"/>
        </w:rPr>
        <w:t>Jörg</w:t>
      </w:r>
      <w:proofErr w:type="spellEnd"/>
      <w:r w:rsidRPr="00A81521">
        <w:rPr>
          <w:sz w:val="20"/>
        </w:rPr>
        <w:t xml:space="preserve"> (2016). Arbitrage Costs and the Persistent Non-Zero CDS-Bond Basis: Evidence from Intraday Euro Area Sovereign Debt Markets. SSRN Electronic Journal.</w:t>
      </w:r>
      <w:r w:rsidR="005D499C" w:rsidRPr="00A81521">
        <w:rPr>
          <w:sz w:val="20"/>
        </w:rPr>
        <w:t xml:space="preserve"> </w:t>
      </w:r>
      <w:r w:rsidR="005D499C">
        <w:rPr>
          <w:sz w:val="20"/>
        </w:rPr>
        <w:t xml:space="preserve">Available at: </w:t>
      </w:r>
      <w:r w:rsidR="005D499C" w:rsidRPr="005D499C">
        <w:rPr>
          <w:sz w:val="20"/>
        </w:rPr>
        <w:t>https://papers.ssrn.com/sol3/papers.cfm?abstract_id=2866893</w:t>
      </w:r>
      <w:r w:rsidR="005D499C">
        <w:rPr>
          <w:sz w:val="20"/>
        </w:rPr>
        <w:t xml:space="preserve"> </w:t>
      </w:r>
      <w:r w:rsidR="007C0C4C">
        <w:rPr>
          <w:sz w:val="20"/>
        </w:rPr>
        <w:t>(</w:t>
      </w:r>
      <w:r w:rsidR="00F13F48">
        <w:rPr>
          <w:sz w:val="20"/>
        </w:rPr>
        <w:t>a</w:t>
      </w:r>
      <w:r w:rsidR="007C0C4C">
        <w:rPr>
          <w:sz w:val="20"/>
        </w:rPr>
        <w:t>ccessed 7 November 2020)</w:t>
      </w:r>
      <w:r w:rsidR="005D499C" w:rsidRPr="00912D7E">
        <w:rPr>
          <w:sz w:val="20"/>
        </w:rPr>
        <w:t>.</w:t>
      </w:r>
    </w:p>
    <w:p w:rsidR="000377FF" w:rsidRPr="00AE64CF" w:rsidRDefault="002F44BF" w:rsidP="001A4FB4">
      <w:pPr>
        <w:pStyle w:val="Paragrafoelenco"/>
        <w:numPr>
          <w:ilvl w:val="0"/>
          <w:numId w:val="1"/>
        </w:numPr>
        <w:tabs>
          <w:tab w:val="left" w:pos="524"/>
        </w:tabs>
        <w:spacing w:before="162" w:line="360" w:lineRule="auto"/>
        <w:ind w:right="111" w:hanging="410"/>
        <w:jc w:val="both"/>
        <w:rPr>
          <w:sz w:val="20"/>
        </w:rPr>
      </w:pPr>
      <w:proofErr w:type="spellStart"/>
      <w:r>
        <w:rPr>
          <w:sz w:val="20"/>
        </w:rPr>
        <w:t>Koutmos</w:t>
      </w:r>
      <w:proofErr w:type="spellEnd"/>
      <w:r>
        <w:rPr>
          <w:sz w:val="20"/>
        </w:rPr>
        <w:t xml:space="preserve">, </w:t>
      </w:r>
      <w:proofErr w:type="spellStart"/>
      <w:r>
        <w:rPr>
          <w:sz w:val="20"/>
        </w:rPr>
        <w:t>Dimitrios</w:t>
      </w:r>
      <w:proofErr w:type="spellEnd"/>
      <w:r w:rsidR="00E85B85" w:rsidRPr="00A20381">
        <w:rPr>
          <w:sz w:val="20"/>
        </w:rPr>
        <w:t xml:space="preserve"> (2018). Interdependencies between CDS spreads in the European Union: Is Greece the black sheep</w:t>
      </w:r>
      <w:r w:rsidR="00E85B85" w:rsidRPr="00AE64CF">
        <w:rPr>
          <w:sz w:val="20"/>
        </w:rPr>
        <w:t xml:space="preserve"> </w:t>
      </w:r>
      <w:r w:rsidR="00E85B85" w:rsidRPr="00A20381">
        <w:rPr>
          <w:sz w:val="20"/>
        </w:rPr>
        <w:t>or</w:t>
      </w:r>
      <w:r w:rsidR="00E85B85" w:rsidRPr="00AE64CF">
        <w:rPr>
          <w:sz w:val="20"/>
        </w:rPr>
        <w:t xml:space="preserve"> </w:t>
      </w:r>
      <w:r w:rsidR="00E85B85" w:rsidRPr="00A20381">
        <w:rPr>
          <w:sz w:val="20"/>
        </w:rPr>
        <w:t>black</w:t>
      </w:r>
      <w:r w:rsidR="00E85B85" w:rsidRPr="00AE64CF">
        <w:rPr>
          <w:sz w:val="20"/>
        </w:rPr>
        <w:t xml:space="preserve"> </w:t>
      </w:r>
      <w:r w:rsidR="00586C27">
        <w:rPr>
          <w:sz w:val="20"/>
        </w:rPr>
        <w:t xml:space="preserve">swan? </w:t>
      </w:r>
      <w:r w:rsidR="00E85B85" w:rsidRPr="00A20381">
        <w:rPr>
          <w:sz w:val="20"/>
        </w:rPr>
        <w:t>Annals</w:t>
      </w:r>
      <w:r w:rsidR="00E85B85" w:rsidRPr="00AE64CF">
        <w:rPr>
          <w:sz w:val="20"/>
        </w:rPr>
        <w:t xml:space="preserve"> </w:t>
      </w:r>
      <w:r w:rsidR="00E85B85" w:rsidRPr="00A20381">
        <w:rPr>
          <w:sz w:val="20"/>
        </w:rPr>
        <w:t>of</w:t>
      </w:r>
      <w:r w:rsidR="00E85B85" w:rsidRPr="00AE64CF">
        <w:rPr>
          <w:sz w:val="20"/>
        </w:rPr>
        <w:t xml:space="preserve"> </w:t>
      </w:r>
      <w:r w:rsidR="00E85B85" w:rsidRPr="00A20381">
        <w:rPr>
          <w:sz w:val="20"/>
        </w:rPr>
        <w:t>Operations</w:t>
      </w:r>
      <w:r w:rsidR="00E85B85" w:rsidRPr="00AE64CF">
        <w:rPr>
          <w:sz w:val="20"/>
        </w:rPr>
        <w:t xml:space="preserve"> </w:t>
      </w:r>
      <w:r w:rsidR="00E85B85" w:rsidRPr="00A20381">
        <w:rPr>
          <w:sz w:val="20"/>
        </w:rPr>
        <w:t>Research.</w:t>
      </w:r>
      <w:r w:rsidR="00AE64CF">
        <w:rPr>
          <w:sz w:val="20"/>
        </w:rPr>
        <w:t xml:space="preserve"> Available at: </w:t>
      </w:r>
      <w:r w:rsidR="00AE64CF" w:rsidRPr="00AE64CF">
        <w:rPr>
          <w:sz w:val="20"/>
        </w:rPr>
        <w:t>https://link.springer.com/article/10.1007/s10479-018-2788-0</w:t>
      </w:r>
      <w:r w:rsidR="00AE64CF">
        <w:rPr>
          <w:sz w:val="20"/>
        </w:rPr>
        <w:t xml:space="preserve"> </w:t>
      </w:r>
      <w:r w:rsidR="007C0C4C">
        <w:rPr>
          <w:sz w:val="20"/>
        </w:rPr>
        <w:t>(</w:t>
      </w:r>
      <w:r w:rsidR="00F13F48">
        <w:rPr>
          <w:sz w:val="20"/>
        </w:rPr>
        <w:t>a</w:t>
      </w:r>
      <w:r w:rsidR="007C0C4C">
        <w:rPr>
          <w:sz w:val="20"/>
        </w:rPr>
        <w:t>ccessed 7 November 2020)</w:t>
      </w:r>
      <w:r w:rsidR="00AE64CF" w:rsidRPr="00912D7E">
        <w:rPr>
          <w:sz w:val="20"/>
        </w:rPr>
        <w:t>.</w:t>
      </w:r>
    </w:p>
    <w:p w:rsidR="000377FF" w:rsidRPr="00AE64CF" w:rsidRDefault="00E85B85" w:rsidP="001A4FB4">
      <w:pPr>
        <w:pStyle w:val="Paragrafoelenco"/>
        <w:numPr>
          <w:ilvl w:val="0"/>
          <w:numId w:val="1"/>
        </w:numPr>
        <w:tabs>
          <w:tab w:val="left" w:pos="524"/>
        </w:tabs>
        <w:spacing w:before="162" w:line="360" w:lineRule="auto"/>
        <w:ind w:right="111" w:hanging="410"/>
        <w:jc w:val="both"/>
        <w:rPr>
          <w:sz w:val="20"/>
        </w:rPr>
      </w:pPr>
      <w:r w:rsidRPr="00A20381">
        <w:rPr>
          <w:sz w:val="20"/>
        </w:rPr>
        <w:t>Lehmann</w:t>
      </w:r>
      <w:r w:rsidRPr="00912D7E">
        <w:rPr>
          <w:sz w:val="20"/>
        </w:rPr>
        <w:t xml:space="preserve"> </w:t>
      </w:r>
      <w:r w:rsidRPr="00A20381">
        <w:rPr>
          <w:sz w:val="20"/>
        </w:rPr>
        <w:t>Bruce</w:t>
      </w:r>
      <w:r w:rsidRPr="00912D7E">
        <w:rPr>
          <w:sz w:val="20"/>
        </w:rPr>
        <w:t xml:space="preserve"> </w:t>
      </w:r>
      <w:r w:rsidRPr="00A20381">
        <w:rPr>
          <w:sz w:val="20"/>
        </w:rPr>
        <w:t>N.</w:t>
      </w:r>
      <w:r w:rsidRPr="00912D7E">
        <w:rPr>
          <w:sz w:val="20"/>
        </w:rPr>
        <w:t xml:space="preserve"> </w:t>
      </w:r>
      <w:r w:rsidRPr="00A20381">
        <w:rPr>
          <w:sz w:val="20"/>
        </w:rPr>
        <w:t>(2004).</w:t>
      </w:r>
      <w:r w:rsidRPr="00912D7E">
        <w:rPr>
          <w:sz w:val="20"/>
        </w:rPr>
        <w:t xml:space="preserve"> </w:t>
      </w:r>
      <w:r w:rsidRPr="00A20381">
        <w:rPr>
          <w:sz w:val="20"/>
        </w:rPr>
        <w:t>Some</w:t>
      </w:r>
      <w:r w:rsidRPr="00912D7E">
        <w:rPr>
          <w:sz w:val="20"/>
        </w:rPr>
        <w:t xml:space="preserve"> </w:t>
      </w:r>
      <w:r w:rsidRPr="00A20381">
        <w:rPr>
          <w:sz w:val="20"/>
        </w:rPr>
        <w:t>desiderata</w:t>
      </w:r>
      <w:r w:rsidRPr="00912D7E">
        <w:rPr>
          <w:sz w:val="20"/>
        </w:rPr>
        <w:t xml:space="preserve"> </w:t>
      </w:r>
      <w:r w:rsidRPr="00A20381">
        <w:rPr>
          <w:sz w:val="20"/>
        </w:rPr>
        <w:t>for</w:t>
      </w:r>
      <w:r w:rsidRPr="00912D7E">
        <w:rPr>
          <w:sz w:val="20"/>
        </w:rPr>
        <w:t xml:space="preserve"> </w:t>
      </w:r>
      <w:r w:rsidRPr="00A20381">
        <w:rPr>
          <w:sz w:val="20"/>
        </w:rPr>
        <w:t>the</w:t>
      </w:r>
      <w:r w:rsidRPr="00912D7E">
        <w:rPr>
          <w:sz w:val="20"/>
        </w:rPr>
        <w:t xml:space="preserve"> </w:t>
      </w:r>
      <w:r w:rsidRPr="00A20381">
        <w:rPr>
          <w:sz w:val="20"/>
        </w:rPr>
        <w:t>measurement</w:t>
      </w:r>
      <w:r w:rsidRPr="00912D7E">
        <w:rPr>
          <w:sz w:val="20"/>
        </w:rPr>
        <w:t xml:space="preserve"> </w:t>
      </w:r>
      <w:r w:rsidRPr="00A20381">
        <w:rPr>
          <w:sz w:val="20"/>
        </w:rPr>
        <w:t>of</w:t>
      </w:r>
      <w:r w:rsidRPr="00912D7E">
        <w:rPr>
          <w:sz w:val="20"/>
        </w:rPr>
        <w:t xml:space="preserve"> </w:t>
      </w:r>
      <w:r w:rsidRPr="00A20381">
        <w:rPr>
          <w:sz w:val="20"/>
        </w:rPr>
        <w:t>price</w:t>
      </w:r>
      <w:r w:rsidRPr="00912D7E">
        <w:rPr>
          <w:sz w:val="20"/>
        </w:rPr>
        <w:t xml:space="preserve"> </w:t>
      </w:r>
      <w:r w:rsidRPr="00A20381">
        <w:rPr>
          <w:sz w:val="20"/>
        </w:rPr>
        <w:t>discovery</w:t>
      </w:r>
      <w:r w:rsidRPr="00912D7E">
        <w:rPr>
          <w:sz w:val="20"/>
        </w:rPr>
        <w:t xml:space="preserve"> </w:t>
      </w:r>
      <w:r w:rsidRPr="00A20381">
        <w:rPr>
          <w:sz w:val="20"/>
        </w:rPr>
        <w:t>across</w:t>
      </w:r>
      <w:r w:rsidRPr="00912D7E">
        <w:rPr>
          <w:sz w:val="20"/>
        </w:rPr>
        <w:t xml:space="preserve"> </w:t>
      </w:r>
      <w:r w:rsidRPr="00A20381">
        <w:rPr>
          <w:sz w:val="20"/>
        </w:rPr>
        <w:t>markets.</w:t>
      </w:r>
      <w:r w:rsidR="00AE64CF">
        <w:rPr>
          <w:sz w:val="20"/>
        </w:rPr>
        <w:t xml:space="preserve"> </w:t>
      </w:r>
      <w:r w:rsidR="00AE64CF" w:rsidRPr="00A20381">
        <w:rPr>
          <w:sz w:val="20"/>
        </w:rPr>
        <w:t>Journal</w:t>
      </w:r>
      <w:r w:rsidR="00AE64CF" w:rsidRPr="00912D7E">
        <w:rPr>
          <w:sz w:val="20"/>
        </w:rPr>
        <w:t xml:space="preserve"> </w:t>
      </w:r>
      <w:r w:rsidR="00AE64CF" w:rsidRPr="00A20381">
        <w:rPr>
          <w:sz w:val="20"/>
        </w:rPr>
        <w:t>of financial</w:t>
      </w:r>
      <w:r w:rsidR="00AE64CF" w:rsidRPr="00912D7E">
        <w:rPr>
          <w:sz w:val="20"/>
        </w:rPr>
        <w:t xml:space="preserve"> </w:t>
      </w:r>
      <w:r w:rsidR="00AE64CF" w:rsidRPr="00A20381">
        <w:rPr>
          <w:sz w:val="20"/>
        </w:rPr>
        <w:t>markets.</w:t>
      </w:r>
      <w:r w:rsidRPr="00912D7E">
        <w:rPr>
          <w:sz w:val="20"/>
        </w:rPr>
        <w:t xml:space="preserve"> </w:t>
      </w:r>
      <w:r w:rsidR="00912D7E" w:rsidRPr="00912D7E">
        <w:rPr>
          <w:sz w:val="20"/>
        </w:rPr>
        <w:t>Available at: https://doi.or</w:t>
      </w:r>
      <w:r w:rsidR="00F13F48">
        <w:rPr>
          <w:sz w:val="20"/>
        </w:rPr>
        <w:t>g/10.1016/S1386-4181(02)00025-3</w:t>
      </w:r>
      <w:r w:rsidR="00912D7E" w:rsidRPr="00912D7E">
        <w:rPr>
          <w:sz w:val="20"/>
        </w:rPr>
        <w:t xml:space="preserve"> </w:t>
      </w:r>
      <w:r w:rsidR="007C0C4C">
        <w:rPr>
          <w:sz w:val="20"/>
        </w:rPr>
        <w:t>(</w:t>
      </w:r>
      <w:r w:rsidR="00F13F48">
        <w:rPr>
          <w:sz w:val="20"/>
        </w:rPr>
        <w:t>a</w:t>
      </w:r>
      <w:r w:rsidR="007C0C4C">
        <w:rPr>
          <w:sz w:val="20"/>
        </w:rPr>
        <w:t>ccessed 7 November 2020)</w:t>
      </w:r>
      <w:r w:rsidR="00AE64CF" w:rsidRPr="00912D7E">
        <w:rPr>
          <w:sz w:val="20"/>
        </w:rPr>
        <w:t>.</w:t>
      </w:r>
    </w:p>
    <w:p w:rsidR="00070094" w:rsidRDefault="00E85B85" w:rsidP="001A4FB4">
      <w:pPr>
        <w:pStyle w:val="Paragrafoelenco"/>
        <w:numPr>
          <w:ilvl w:val="0"/>
          <w:numId w:val="1"/>
        </w:numPr>
        <w:tabs>
          <w:tab w:val="left" w:pos="524"/>
        </w:tabs>
        <w:spacing w:before="162" w:line="360" w:lineRule="auto"/>
        <w:ind w:right="111" w:hanging="410"/>
        <w:jc w:val="both"/>
        <w:rPr>
          <w:sz w:val="20"/>
        </w:rPr>
      </w:pPr>
      <w:proofErr w:type="spellStart"/>
      <w:r w:rsidRPr="00AE64CF">
        <w:rPr>
          <w:sz w:val="20"/>
        </w:rPr>
        <w:t>Liew</w:t>
      </w:r>
      <w:proofErr w:type="spellEnd"/>
      <w:r w:rsidRPr="00AE64CF">
        <w:rPr>
          <w:sz w:val="20"/>
        </w:rPr>
        <w:t>, V</w:t>
      </w:r>
      <w:r w:rsidR="005D3615">
        <w:rPr>
          <w:sz w:val="20"/>
        </w:rPr>
        <w:t>enus</w:t>
      </w:r>
      <w:r w:rsidRPr="00AE64CF">
        <w:rPr>
          <w:sz w:val="20"/>
        </w:rPr>
        <w:t xml:space="preserve"> </w:t>
      </w:r>
      <w:proofErr w:type="spellStart"/>
      <w:r w:rsidRPr="00AE64CF">
        <w:rPr>
          <w:sz w:val="20"/>
        </w:rPr>
        <w:t>K</w:t>
      </w:r>
      <w:r w:rsidR="005D3615">
        <w:rPr>
          <w:sz w:val="20"/>
        </w:rPr>
        <w:t>him</w:t>
      </w:r>
      <w:r w:rsidRPr="00AE64CF">
        <w:rPr>
          <w:sz w:val="20"/>
        </w:rPr>
        <w:t>-S</w:t>
      </w:r>
      <w:r w:rsidR="005D3615">
        <w:rPr>
          <w:sz w:val="20"/>
        </w:rPr>
        <w:t>en</w:t>
      </w:r>
      <w:proofErr w:type="spellEnd"/>
      <w:r w:rsidRPr="00AE64CF">
        <w:rPr>
          <w:sz w:val="20"/>
        </w:rPr>
        <w:t>, (2004). What lag selection criteria should we employ?</w:t>
      </w:r>
      <w:r w:rsidR="00912D7E" w:rsidRPr="00AE64CF">
        <w:rPr>
          <w:sz w:val="20"/>
        </w:rPr>
        <w:t xml:space="preserve"> </w:t>
      </w:r>
      <w:r w:rsidRPr="00AE64CF">
        <w:rPr>
          <w:sz w:val="20"/>
        </w:rPr>
        <w:t>Economics Bulletin, 33(3), pp. 1-9.</w:t>
      </w:r>
      <w:r w:rsidR="00912D7E" w:rsidRPr="00AE64CF">
        <w:rPr>
          <w:sz w:val="20"/>
        </w:rPr>
        <w:t xml:space="preserve"> </w:t>
      </w:r>
      <w:r w:rsidR="00912D7E">
        <w:rPr>
          <w:sz w:val="20"/>
        </w:rPr>
        <w:t xml:space="preserve">Available </w:t>
      </w:r>
      <w:r w:rsidR="00912D7E" w:rsidRPr="00912D7E">
        <w:rPr>
          <w:sz w:val="20"/>
        </w:rPr>
        <w:t>at:  http://www.accessecon.com/pubs/EB/2004/Volume3/EB-04C</w:t>
      </w:r>
      <w:r w:rsidR="007C0C4C">
        <w:rPr>
          <w:sz w:val="20"/>
        </w:rPr>
        <w:t>20021A.pdf (</w:t>
      </w:r>
      <w:r w:rsidR="00F13F48">
        <w:rPr>
          <w:sz w:val="20"/>
        </w:rPr>
        <w:t>a</w:t>
      </w:r>
      <w:r w:rsidR="007C0C4C">
        <w:rPr>
          <w:sz w:val="20"/>
        </w:rPr>
        <w:t>ccessed 7 November 2020)</w:t>
      </w:r>
      <w:r w:rsidR="00912D7E" w:rsidRPr="00912D7E">
        <w:rPr>
          <w:sz w:val="20"/>
        </w:rPr>
        <w:t>.</w:t>
      </w:r>
    </w:p>
    <w:p w:rsidR="00977775" w:rsidRPr="00977775" w:rsidRDefault="00070094" w:rsidP="001A4FB4">
      <w:pPr>
        <w:pStyle w:val="Paragrafoelenco"/>
        <w:numPr>
          <w:ilvl w:val="0"/>
          <w:numId w:val="1"/>
        </w:numPr>
        <w:tabs>
          <w:tab w:val="left" w:pos="524"/>
        </w:tabs>
        <w:spacing w:before="162" w:line="360" w:lineRule="auto"/>
        <w:ind w:right="111" w:hanging="410"/>
        <w:jc w:val="both"/>
        <w:rPr>
          <w:sz w:val="20"/>
        </w:rPr>
      </w:pPr>
      <w:r w:rsidRPr="00070094">
        <w:rPr>
          <w:sz w:val="20"/>
          <w:lang w:val="it-IT"/>
        </w:rPr>
        <w:t>Longo</w:t>
      </w:r>
      <w:r>
        <w:rPr>
          <w:sz w:val="20"/>
          <w:lang w:val="it-IT"/>
        </w:rPr>
        <w:t xml:space="preserve">, </w:t>
      </w:r>
      <w:proofErr w:type="spellStart"/>
      <w:r>
        <w:rPr>
          <w:sz w:val="20"/>
          <w:lang w:val="it-IT"/>
        </w:rPr>
        <w:t>Morya</w:t>
      </w:r>
      <w:proofErr w:type="spellEnd"/>
      <w:r>
        <w:rPr>
          <w:sz w:val="20"/>
          <w:lang w:val="it-IT"/>
        </w:rPr>
        <w:t xml:space="preserve"> (</w:t>
      </w:r>
      <w:r w:rsidRPr="00070094">
        <w:rPr>
          <w:sz w:val="20"/>
          <w:lang w:val="it-IT"/>
        </w:rPr>
        <w:t>2018</w:t>
      </w:r>
      <w:r>
        <w:rPr>
          <w:sz w:val="20"/>
          <w:lang w:val="it-IT"/>
        </w:rPr>
        <w:t>)</w:t>
      </w:r>
      <w:r w:rsidRPr="00070094">
        <w:rPr>
          <w:sz w:val="20"/>
          <w:lang w:val="it-IT"/>
        </w:rPr>
        <w:t xml:space="preserve">. Quali rischi corrono davvero le banche se lo spread va a 400. </w:t>
      </w:r>
      <w:r w:rsidRPr="00070094">
        <w:rPr>
          <w:sz w:val="20"/>
        </w:rPr>
        <w:t>[online] Ilsole24ore.com. Available at: &lt;https://www.ilsole24ore.com/art/quali-rischi-corrono-davvero-banc</w:t>
      </w:r>
      <w:r>
        <w:rPr>
          <w:sz w:val="20"/>
        </w:rPr>
        <w:t>he-se-spread-va-400-AEOZejUG&gt; (accessed 7 November 2020)</w:t>
      </w:r>
      <w:r w:rsidRPr="00070094">
        <w:rPr>
          <w:sz w:val="20"/>
        </w:rPr>
        <w:t>.</w:t>
      </w:r>
    </w:p>
    <w:p w:rsidR="00FB2727" w:rsidRPr="00553E89" w:rsidRDefault="00FB2727" w:rsidP="001A4FB4">
      <w:pPr>
        <w:pStyle w:val="Paragrafoelenco"/>
        <w:numPr>
          <w:ilvl w:val="0"/>
          <w:numId w:val="1"/>
        </w:numPr>
        <w:tabs>
          <w:tab w:val="left" w:pos="524"/>
        </w:tabs>
        <w:spacing w:line="360" w:lineRule="auto"/>
        <w:ind w:right="110" w:hanging="410"/>
        <w:jc w:val="both"/>
        <w:rPr>
          <w:sz w:val="20"/>
          <w:lang w:val="it-IT"/>
        </w:rPr>
      </w:pPr>
      <w:r w:rsidRPr="00FB2727">
        <w:rPr>
          <w:sz w:val="20"/>
          <w:lang w:val="it-IT"/>
        </w:rPr>
        <w:t xml:space="preserve">Ministero dell’Economia e delle Finanze (MEF), 2017. </w:t>
      </w:r>
      <w:r w:rsidRPr="00FB2727">
        <w:rPr>
          <w:sz w:val="20"/>
        </w:rPr>
        <w:t xml:space="preserve">The Secondary Market For Italian Government Securities. </w:t>
      </w:r>
      <w:r>
        <w:rPr>
          <w:sz w:val="20"/>
          <w:lang w:val="it-IT"/>
        </w:rPr>
        <w:t>[Pdf</w:t>
      </w:r>
      <w:r w:rsidRPr="00FB2727">
        <w:rPr>
          <w:sz w:val="20"/>
          <w:lang w:val="it-IT"/>
        </w:rPr>
        <w:t xml:space="preserve">] Washington DC: Ministero dell'Economia e delle Finanze. </w:t>
      </w:r>
      <w:proofErr w:type="spellStart"/>
      <w:r w:rsidRPr="00553E89">
        <w:rPr>
          <w:sz w:val="20"/>
          <w:lang w:val="it-IT"/>
        </w:rPr>
        <w:t>Available</w:t>
      </w:r>
      <w:proofErr w:type="spellEnd"/>
      <w:r w:rsidRPr="00553E89">
        <w:rPr>
          <w:sz w:val="20"/>
          <w:lang w:val="it-IT"/>
        </w:rPr>
        <w:t xml:space="preserve"> </w:t>
      </w:r>
      <w:proofErr w:type="spellStart"/>
      <w:r w:rsidRPr="00553E89">
        <w:rPr>
          <w:sz w:val="20"/>
          <w:lang w:val="it-IT"/>
        </w:rPr>
        <w:t>at</w:t>
      </w:r>
      <w:proofErr w:type="spellEnd"/>
      <w:r w:rsidRPr="00553E89">
        <w:rPr>
          <w:sz w:val="20"/>
          <w:lang w:val="it-IT"/>
        </w:rPr>
        <w:t>: &lt;http://pubdocs.worldbank.org/en/625091493405007505/bonds-conf-2017-Davide-WB-conference-</w:t>
      </w:r>
      <w:r w:rsidR="007C0C4C" w:rsidRPr="00553E89">
        <w:rPr>
          <w:sz w:val="20"/>
          <w:lang w:val="it-IT"/>
        </w:rPr>
        <w:t>Italy-experience-on-ETPs.pdf&gt; (</w:t>
      </w:r>
      <w:proofErr w:type="spellStart"/>
      <w:r w:rsidR="00F13F48" w:rsidRPr="00553E89">
        <w:rPr>
          <w:sz w:val="20"/>
          <w:lang w:val="it-IT"/>
        </w:rPr>
        <w:t>a</w:t>
      </w:r>
      <w:r w:rsidR="007C0C4C" w:rsidRPr="00553E89">
        <w:rPr>
          <w:sz w:val="20"/>
          <w:lang w:val="it-IT"/>
        </w:rPr>
        <w:t>ccessed</w:t>
      </w:r>
      <w:proofErr w:type="spellEnd"/>
      <w:r w:rsidR="007C0C4C" w:rsidRPr="00553E89">
        <w:rPr>
          <w:sz w:val="20"/>
          <w:lang w:val="it-IT"/>
        </w:rPr>
        <w:t xml:space="preserve"> 4 </w:t>
      </w:r>
      <w:proofErr w:type="spellStart"/>
      <w:r w:rsidR="007C0C4C" w:rsidRPr="00553E89">
        <w:rPr>
          <w:sz w:val="20"/>
          <w:lang w:val="it-IT"/>
        </w:rPr>
        <w:t>October</w:t>
      </w:r>
      <w:proofErr w:type="spellEnd"/>
      <w:r w:rsidR="007C0C4C" w:rsidRPr="00553E89">
        <w:rPr>
          <w:sz w:val="20"/>
          <w:lang w:val="it-IT"/>
        </w:rPr>
        <w:t xml:space="preserve"> 2020)</w:t>
      </w:r>
      <w:r w:rsidRPr="00553E89">
        <w:rPr>
          <w:sz w:val="20"/>
          <w:lang w:val="it-IT"/>
        </w:rPr>
        <w:t>.</w:t>
      </w:r>
    </w:p>
    <w:p w:rsidR="000377FF" w:rsidRPr="00EE4A62" w:rsidRDefault="00E85B85" w:rsidP="00EE4A62">
      <w:pPr>
        <w:pStyle w:val="Paragrafoelenco"/>
        <w:numPr>
          <w:ilvl w:val="0"/>
          <w:numId w:val="1"/>
        </w:numPr>
        <w:tabs>
          <w:tab w:val="left" w:pos="524"/>
        </w:tabs>
        <w:spacing w:line="360" w:lineRule="auto"/>
        <w:ind w:right="110" w:hanging="410"/>
        <w:jc w:val="both"/>
        <w:rPr>
          <w:sz w:val="20"/>
        </w:rPr>
      </w:pPr>
      <w:r w:rsidRPr="009C31DC">
        <w:rPr>
          <w:sz w:val="20"/>
        </w:rPr>
        <w:t>Nelson</w:t>
      </w:r>
      <w:r w:rsidR="00FB2727" w:rsidRPr="009C31DC">
        <w:rPr>
          <w:sz w:val="20"/>
        </w:rPr>
        <w:t xml:space="preserve">, </w:t>
      </w:r>
      <w:proofErr w:type="spellStart"/>
      <w:r w:rsidR="00FB2727" w:rsidRPr="009C31DC">
        <w:rPr>
          <w:sz w:val="20"/>
        </w:rPr>
        <w:t>E</w:t>
      </w:r>
      <w:r w:rsidR="005D3615" w:rsidRPr="009C31DC">
        <w:rPr>
          <w:sz w:val="20"/>
        </w:rPr>
        <w:t>she</w:t>
      </w:r>
      <w:proofErr w:type="spellEnd"/>
      <w:r w:rsidRPr="009C31DC">
        <w:rPr>
          <w:sz w:val="20"/>
        </w:rPr>
        <w:t xml:space="preserve"> (2017)</w:t>
      </w:r>
      <w:r w:rsidR="00FB2727" w:rsidRPr="009C31DC">
        <w:rPr>
          <w:sz w:val="20"/>
        </w:rPr>
        <w:t>. Five years ago today</w:t>
      </w:r>
      <w:r w:rsidRPr="009C31DC">
        <w:rPr>
          <w:sz w:val="20"/>
        </w:rPr>
        <w:t xml:space="preserve">,   </w:t>
      </w:r>
      <w:r w:rsidR="00FB2727" w:rsidRPr="009C31DC">
        <w:rPr>
          <w:sz w:val="20"/>
        </w:rPr>
        <w:t xml:space="preserve">Mario </w:t>
      </w:r>
      <w:proofErr w:type="spellStart"/>
      <w:r w:rsidRPr="009C31DC">
        <w:rPr>
          <w:sz w:val="20"/>
        </w:rPr>
        <w:t>Draghi</w:t>
      </w:r>
      <w:proofErr w:type="spellEnd"/>
      <w:r w:rsidRPr="009C31DC">
        <w:rPr>
          <w:sz w:val="20"/>
        </w:rPr>
        <w:t xml:space="preserve">   saved   the   Euro.   [online]   Quartz.   </w:t>
      </w:r>
      <w:r w:rsidR="00912D7E" w:rsidRPr="00EE4A62">
        <w:rPr>
          <w:sz w:val="20"/>
        </w:rPr>
        <w:t>Avail</w:t>
      </w:r>
      <w:r w:rsidR="00EE4A62" w:rsidRPr="00EE4A62">
        <w:rPr>
          <w:sz w:val="20"/>
        </w:rPr>
        <w:t xml:space="preserve">able at: </w:t>
      </w:r>
      <w:r w:rsidRPr="00EE4A62">
        <w:rPr>
          <w:sz w:val="20"/>
        </w:rPr>
        <w:t xml:space="preserve">https://qz.com/1038954/whatever-it-takes-five-years-ago-today-mario-draghi-saved-the-euro-with-a- </w:t>
      </w:r>
      <w:r w:rsidR="007C0C4C" w:rsidRPr="00EE4A62">
        <w:rPr>
          <w:sz w:val="20"/>
        </w:rPr>
        <w:lastRenderedPageBreak/>
        <w:t>momentous-speech/ (</w:t>
      </w:r>
      <w:r w:rsidR="00F13F48" w:rsidRPr="00EE4A62">
        <w:rPr>
          <w:sz w:val="20"/>
        </w:rPr>
        <w:t>a</w:t>
      </w:r>
      <w:r w:rsidR="00FB2727" w:rsidRPr="00EE4A62">
        <w:rPr>
          <w:sz w:val="20"/>
        </w:rPr>
        <w:t>ccessed 26</w:t>
      </w:r>
      <w:r w:rsidRPr="00EE4A62">
        <w:rPr>
          <w:sz w:val="20"/>
        </w:rPr>
        <w:t xml:space="preserve"> July </w:t>
      </w:r>
      <w:r w:rsidR="007C0C4C" w:rsidRPr="00EE4A62">
        <w:rPr>
          <w:sz w:val="20"/>
        </w:rPr>
        <w:t>2017)</w:t>
      </w:r>
      <w:r w:rsidRPr="00EE4A62">
        <w:rPr>
          <w:sz w:val="20"/>
        </w:rPr>
        <w:t>.</w:t>
      </w:r>
    </w:p>
    <w:p w:rsidR="000377FF" w:rsidRDefault="00E03552" w:rsidP="001A4FB4">
      <w:pPr>
        <w:pStyle w:val="Paragrafoelenco"/>
        <w:numPr>
          <w:ilvl w:val="0"/>
          <w:numId w:val="1"/>
        </w:numPr>
        <w:tabs>
          <w:tab w:val="left" w:pos="524"/>
        </w:tabs>
        <w:spacing w:before="163" w:line="360" w:lineRule="auto"/>
        <w:ind w:right="110" w:hanging="410"/>
        <w:jc w:val="both"/>
        <w:rPr>
          <w:sz w:val="20"/>
        </w:rPr>
      </w:pPr>
      <w:proofErr w:type="spellStart"/>
      <w:r>
        <w:rPr>
          <w:sz w:val="20"/>
        </w:rPr>
        <w:t>Palladini</w:t>
      </w:r>
      <w:proofErr w:type="spellEnd"/>
      <w:r>
        <w:rPr>
          <w:sz w:val="20"/>
        </w:rPr>
        <w:t xml:space="preserve">, </w:t>
      </w:r>
      <w:proofErr w:type="spellStart"/>
      <w:r>
        <w:rPr>
          <w:sz w:val="20"/>
        </w:rPr>
        <w:t>Giorgia</w:t>
      </w:r>
      <w:proofErr w:type="spellEnd"/>
      <w:r>
        <w:rPr>
          <w:sz w:val="20"/>
        </w:rPr>
        <w:t xml:space="preserve"> and </w:t>
      </w:r>
      <w:proofErr w:type="spellStart"/>
      <w:r>
        <w:rPr>
          <w:sz w:val="20"/>
        </w:rPr>
        <w:t>Portes</w:t>
      </w:r>
      <w:proofErr w:type="spellEnd"/>
      <w:r>
        <w:rPr>
          <w:sz w:val="20"/>
        </w:rPr>
        <w:t>, Richard</w:t>
      </w:r>
      <w:r w:rsidR="00E85B85" w:rsidRPr="00A20381">
        <w:rPr>
          <w:sz w:val="20"/>
        </w:rPr>
        <w:t xml:space="preserve"> (2011). Sovereign CDS and Bond Pricing Dynamics in the Euro-Area. NBER </w:t>
      </w:r>
      <w:r w:rsidR="00E85B85" w:rsidRPr="00A20381">
        <w:rPr>
          <w:spacing w:val="-4"/>
          <w:sz w:val="20"/>
        </w:rPr>
        <w:t xml:space="preserve">Working </w:t>
      </w:r>
      <w:r w:rsidR="00E85B85" w:rsidRPr="00A20381">
        <w:rPr>
          <w:sz w:val="20"/>
        </w:rPr>
        <w:t xml:space="preserve">Paper Series, [online] </w:t>
      </w:r>
      <w:r w:rsidR="00E85B85" w:rsidRPr="00A20381">
        <w:rPr>
          <w:spacing w:val="-3"/>
          <w:sz w:val="20"/>
        </w:rPr>
        <w:t xml:space="preserve">(Working </w:t>
      </w:r>
      <w:r w:rsidR="00E85B85" w:rsidRPr="00A20381">
        <w:rPr>
          <w:sz w:val="20"/>
        </w:rPr>
        <w:t xml:space="preserve">Paper 17586). </w:t>
      </w:r>
      <w:r w:rsidR="00E85B85" w:rsidRPr="00A20381">
        <w:rPr>
          <w:spacing w:val="-5"/>
          <w:sz w:val="20"/>
        </w:rPr>
        <w:t xml:space="preserve">Available </w:t>
      </w:r>
      <w:r w:rsidR="00E85B85" w:rsidRPr="00A20381">
        <w:rPr>
          <w:sz w:val="20"/>
        </w:rPr>
        <w:t xml:space="preserve">at: </w:t>
      </w:r>
      <w:hyperlink r:id="rId18">
        <w:r w:rsidR="00E85B85" w:rsidRPr="00A20381">
          <w:rPr>
            <w:sz w:val="20"/>
          </w:rPr>
          <w:t>http://www.nber.org/papers/w17586</w:t>
        </w:r>
      </w:hyperlink>
      <w:r w:rsidR="007C0C4C">
        <w:rPr>
          <w:sz w:val="20"/>
        </w:rPr>
        <w:t xml:space="preserve"> (</w:t>
      </w:r>
      <w:r w:rsidR="00C4118E">
        <w:rPr>
          <w:sz w:val="20"/>
        </w:rPr>
        <w:t>a</w:t>
      </w:r>
      <w:r w:rsidR="00E85B85" w:rsidRPr="00A20381">
        <w:rPr>
          <w:sz w:val="20"/>
        </w:rPr>
        <w:t xml:space="preserve">ccessed </w:t>
      </w:r>
      <w:r w:rsidR="007C0C4C">
        <w:rPr>
          <w:sz w:val="20"/>
        </w:rPr>
        <w:t>7</w:t>
      </w:r>
      <w:r w:rsidR="00DE51CC">
        <w:rPr>
          <w:sz w:val="20"/>
        </w:rPr>
        <w:t xml:space="preserve"> November </w:t>
      </w:r>
      <w:r w:rsidR="007C0C4C">
        <w:rPr>
          <w:sz w:val="20"/>
        </w:rPr>
        <w:t>2020)</w:t>
      </w:r>
      <w:r w:rsidR="00E85B85" w:rsidRPr="00A20381">
        <w:rPr>
          <w:sz w:val="20"/>
        </w:rPr>
        <w:t>.</w:t>
      </w:r>
    </w:p>
    <w:p w:rsidR="00DE51CC" w:rsidRDefault="00AE64CF" w:rsidP="001A4FB4">
      <w:pPr>
        <w:pStyle w:val="Paragrafoelenco"/>
        <w:numPr>
          <w:ilvl w:val="0"/>
          <w:numId w:val="1"/>
        </w:numPr>
        <w:tabs>
          <w:tab w:val="left" w:pos="524"/>
        </w:tabs>
        <w:spacing w:before="163" w:line="360" w:lineRule="auto"/>
        <w:ind w:right="110" w:hanging="410"/>
        <w:jc w:val="both"/>
        <w:rPr>
          <w:sz w:val="20"/>
        </w:rPr>
      </w:pPr>
      <w:proofErr w:type="spellStart"/>
      <w:r>
        <w:rPr>
          <w:sz w:val="20"/>
          <w:lang w:val="it-IT"/>
        </w:rPr>
        <w:t>Panzarino</w:t>
      </w:r>
      <w:proofErr w:type="spellEnd"/>
      <w:r>
        <w:rPr>
          <w:sz w:val="20"/>
          <w:lang w:val="it-IT"/>
        </w:rPr>
        <w:t xml:space="preserve">, Onofrio, Potente, Francesco and </w:t>
      </w:r>
      <w:proofErr w:type="spellStart"/>
      <w:r>
        <w:rPr>
          <w:sz w:val="20"/>
          <w:lang w:val="it-IT"/>
        </w:rPr>
        <w:t>Puorro</w:t>
      </w:r>
      <w:proofErr w:type="spellEnd"/>
      <w:r>
        <w:rPr>
          <w:sz w:val="20"/>
          <w:lang w:val="it-IT"/>
        </w:rPr>
        <w:t>, Alfonso</w:t>
      </w:r>
      <w:r w:rsidR="00DE51CC" w:rsidRPr="00DE51CC">
        <w:rPr>
          <w:sz w:val="20"/>
          <w:lang w:val="it-IT"/>
        </w:rPr>
        <w:t xml:space="preserve"> </w:t>
      </w:r>
      <w:r w:rsidR="00DE51CC">
        <w:rPr>
          <w:sz w:val="20"/>
          <w:lang w:val="it-IT"/>
        </w:rPr>
        <w:t>(</w:t>
      </w:r>
      <w:r w:rsidR="00DE51CC" w:rsidRPr="00DE51CC">
        <w:rPr>
          <w:sz w:val="20"/>
          <w:lang w:val="it-IT"/>
        </w:rPr>
        <w:t>2016</w:t>
      </w:r>
      <w:r w:rsidR="00DE51CC">
        <w:rPr>
          <w:sz w:val="20"/>
          <w:lang w:val="it-IT"/>
        </w:rPr>
        <w:t>)</w:t>
      </w:r>
      <w:r w:rsidR="00DE51CC" w:rsidRPr="00DE51CC">
        <w:rPr>
          <w:sz w:val="20"/>
          <w:lang w:val="it-IT"/>
        </w:rPr>
        <w:t xml:space="preserve">. </w:t>
      </w:r>
      <w:r w:rsidR="00DE51CC" w:rsidRPr="00DE51CC">
        <w:rPr>
          <w:sz w:val="20"/>
        </w:rPr>
        <w:t>BTP Futures and Cash Relationships: A High Frequency Data An</w:t>
      </w:r>
      <w:r w:rsidR="00DE51CC">
        <w:rPr>
          <w:sz w:val="20"/>
        </w:rPr>
        <w:t>alysis.</w:t>
      </w:r>
      <w:r>
        <w:rPr>
          <w:sz w:val="20"/>
        </w:rPr>
        <w:t xml:space="preserve"> </w:t>
      </w:r>
      <w:r w:rsidR="00912D7E">
        <w:rPr>
          <w:sz w:val="20"/>
        </w:rPr>
        <w:t>SSRN Electronic Journal</w:t>
      </w:r>
      <w:r>
        <w:rPr>
          <w:sz w:val="20"/>
        </w:rPr>
        <w:t>.</w:t>
      </w:r>
      <w:r w:rsidR="00DE51CC">
        <w:rPr>
          <w:sz w:val="20"/>
        </w:rPr>
        <w:t xml:space="preserve"> </w:t>
      </w:r>
      <w:r w:rsidR="00912D7E" w:rsidRPr="00A20381">
        <w:rPr>
          <w:spacing w:val="-5"/>
          <w:sz w:val="20"/>
        </w:rPr>
        <w:t xml:space="preserve">Available </w:t>
      </w:r>
      <w:r w:rsidR="00912D7E" w:rsidRPr="00A20381">
        <w:rPr>
          <w:sz w:val="20"/>
        </w:rPr>
        <w:t xml:space="preserve">at: </w:t>
      </w:r>
      <w:r w:rsidR="00912D7E" w:rsidRPr="00912D7E">
        <w:rPr>
          <w:sz w:val="20"/>
        </w:rPr>
        <w:t>https://www.bancaditalia.it/pubblicazioni/temi-discussione/2016/2016-1083/en_tema_1083.pdf</w:t>
      </w:r>
      <w:r w:rsidR="00912D7E">
        <w:rPr>
          <w:sz w:val="20"/>
        </w:rPr>
        <w:t xml:space="preserve"> </w:t>
      </w:r>
      <w:r w:rsidR="007C0C4C">
        <w:rPr>
          <w:sz w:val="20"/>
        </w:rPr>
        <w:t>(</w:t>
      </w:r>
      <w:r w:rsidR="00C4118E">
        <w:rPr>
          <w:sz w:val="20"/>
        </w:rPr>
        <w:t>a</w:t>
      </w:r>
      <w:r w:rsidR="00DE51CC" w:rsidRPr="00A20381">
        <w:rPr>
          <w:sz w:val="20"/>
        </w:rPr>
        <w:t xml:space="preserve">ccessed </w:t>
      </w:r>
      <w:r w:rsidR="00DE51CC">
        <w:rPr>
          <w:sz w:val="20"/>
        </w:rPr>
        <w:t>4 October 2020</w:t>
      </w:r>
      <w:r w:rsidR="007C0C4C">
        <w:rPr>
          <w:sz w:val="20"/>
        </w:rPr>
        <w:t>)</w:t>
      </w:r>
      <w:r w:rsidR="00DE51CC">
        <w:rPr>
          <w:sz w:val="20"/>
        </w:rPr>
        <w:t>.</w:t>
      </w:r>
    </w:p>
    <w:p w:rsidR="00EE4A62" w:rsidRPr="009C31DC" w:rsidRDefault="00EE4A62" w:rsidP="00EE4A62">
      <w:pPr>
        <w:pStyle w:val="Paragrafoelenco"/>
        <w:numPr>
          <w:ilvl w:val="0"/>
          <w:numId w:val="1"/>
        </w:numPr>
        <w:tabs>
          <w:tab w:val="left" w:pos="524"/>
        </w:tabs>
        <w:spacing w:before="163" w:line="360" w:lineRule="auto"/>
        <w:ind w:right="110" w:hanging="410"/>
        <w:jc w:val="both"/>
        <w:rPr>
          <w:sz w:val="20"/>
        </w:rPr>
      </w:pPr>
      <w:proofErr w:type="spellStart"/>
      <w:r w:rsidRPr="009C31DC">
        <w:rPr>
          <w:sz w:val="20"/>
        </w:rPr>
        <w:t>Paret</w:t>
      </w:r>
      <w:proofErr w:type="spellEnd"/>
      <w:r w:rsidRPr="009C31DC">
        <w:rPr>
          <w:sz w:val="20"/>
        </w:rPr>
        <w:t xml:space="preserve">, Anne-Charlotte and Weber, </w:t>
      </w:r>
      <w:proofErr w:type="spellStart"/>
      <w:r w:rsidRPr="009C31DC">
        <w:rPr>
          <w:sz w:val="20"/>
        </w:rPr>
        <w:t>Anke</w:t>
      </w:r>
      <w:proofErr w:type="spellEnd"/>
      <w:r w:rsidRPr="009C31DC">
        <w:rPr>
          <w:sz w:val="20"/>
        </w:rPr>
        <w:t xml:space="preserve"> (2019). German Bond Yields and Debt Supply: Is There a “Bund Premium”? IMF Working Papers. Available at: https://www.imf.org/en/Publications/WP/Issues/2019/11/01/German-Bond-Yields-and-Debt-Supply-Is-There-a-Bund-Premium-48730 (accessed 8 December 2020).</w:t>
      </w:r>
    </w:p>
    <w:p w:rsidR="000377FF" w:rsidRPr="00A20381" w:rsidRDefault="00E85B85" w:rsidP="001A4FB4">
      <w:pPr>
        <w:pStyle w:val="Paragrafoelenco"/>
        <w:numPr>
          <w:ilvl w:val="0"/>
          <w:numId w:val="1"/>
        </w:numPr>
        <w:tabs>
          <w:tab w:val="left" w:pos="524"/>
        </w:tabs>
        <w:spacing w:before="162" w:line="360" w:lineRule="auto"/>
        <w:ind w:hanging="411"/>
        <w:jc w:val="both"/>
        <w:rPr>
          <w:sz w:val="20"/>
        </w:rPr>
      </w:pPr>
      <w:r w:rsidRPr="00A20381">
        <w:rPr>
          <w:w w:val="105"/>
          <w:sz w:val="20"/>
        </w:rPr>
        <w:t>Wooldridge, J</w:t>
      </w:r>
      <w:r w:rsidR="00AE64CF">
        <w:rPr>
          <w:w w:val="105"/>
          <w:sz w:val="20"/>
        </w:rPr>
        <w:t>effrey M</w:t>
      </w:r>
      <w:r w:rsidRPr="00A20381">
        <w:rPr>
          <w:w w:val="105"/>
          <w:sz w:val="20"/>
        </w:rPr>
        <w:t>. (2003). Introductory econometrics. Mason, Ohio:</w:t>
      </w:r>
      <w:r w:rsidRPr="00A20381">
        <w:rPr>
          <w:spacing w:val="-11"/>
          <w:w w:val="105"/>
          <w:sz w:val="20"/>
        </w:rPr>
        <w:t xml:space="preserve"> </w:t>
      </w:r>
      <w:r w:rsidRPr="00A20381">
        <w:rPr>
          <w:w w:val="105"/>
          <w:sz w:val="20"/>
        </w:rPr>
        <w:t>Thomson/South-Western.</w:t>
      </w:r>
    </w:p>
    <w:p w:rsidR="000377FF" w:rsidRPr="00A20381" w:rsidRDefault="000377FF" w:rsidP="001A4FB4">
      <w:pPr>
        <w:spacing w:line="360" w:lineRule="auto"/>
        <w:jc w:val="both"/>
        <w:rPr>
          <w:sz w:val="20"/>
        </w:rPr>
        <w:sectPr w:rsidR="000377FF" w:rsidRPr="00A20381">
          <w:pgSz w:w="12240" w:h="15840"/>
          <w:pgMar w:top="1340" w:right="1020" w:bottom="1000" w:left="1020" w:header="0" w:footer="806" w:gutter="0"/>
          <w:cols w:space="720"/>
        </w:sectPr>
      </w:pPr>
    </w:p>
    <w:p w:rsidR="000377FF" w:rsidRPr="00A20381" w:rsidRDefault="00E85B85" w:rsidP="001A4FB4">
      <w:pPr>
        <w:spacing w:before="73" w:line="360" w:lineRule="auto"/>
        <w:ind w:left="113"/>
        <w:jc w:val="both"/>
        <w:rPr>
          <w:b/>
          <w:w w:val="105"/>
          <w:sz w:val="28"/>
        </w:rPr>
      </w:pPr>
      <w:r w:rsidRPr="00A20381">
        <w:rPr>
          <w:b/>
          <w:w w:val="105"/>
          <w:sz w:val="28"/>
        </w:rPr>
        <w:lastRenderedPageBreak/>
        <w:t>Appendix</w:t>
      </w:r>
    </w:p>
    <w:p w:rsidR="000377FF" w:rsidRPr="009C31DC" w:rsidRDefault="000377FF" w:rsidP="001A4FB4">
      <w:pPr>
        <w:pStyle w:val="Corpotesto"/>
        <w:spacing w:line="360" w:lineRule="auto"/>
        <w:jc w:val="both"/>
      </w:pPr>
    </w:p>
    <w:p w:rsidR="000377FF" w:rsidRPr="00E74FF8" w:rsidRDefault="009C31DC" w:rsidP="001A4FB4">
      <w:pPr>
        <w:pStyle w:val="Titolo3"/>
        <w:spacing w:line="360" w:lineRule="auto"/>
        <w:jc w:val="both"/>
        <w:rPr>
          <w:rFonts w:ascii="Book Antiqua" w:hAnsi="Book Antiqua"/>
        </w:rPr>
      </w:pPr>
      <w:r>
        <w:rPr>
          <w:rFonts w:ascii="Book Antiqua" w:hAnsi="Book Antiqua"/>
        </w:rPr>
        <w:t xml:space="preserve">Table A.1 - </w:t>
      </w:r>
      <w:r w:rsidR="00E85B85" w:rsidRPr="009C31DC">
        <w:rPr>
          <w:rFonts w:ascii="Book Antiqua" w:hAnsi="Book Antiqua"/>
          <w:b w:val="0"/>
        </w:rPr>
        <w:t>Lag Order Selection Criteria</w:t>
      </w:r>
    </w:p>
    <w:p w:rsidR="000377FF" w:rsidRPr="00A20381" w:rsidRDefault="000377FF" w:rsidP="001A4FB4">
      <w:pPr>
        <w:pStyle w:val="Corpotesto"/>
        <w:spacing w:before="10" w:after="1" w:line="360" w:lineRule="auto"/>
        <w:jc w:val="both"/>
        <w:rPr>
          <w:b/>
          <w:sz w:val="12"/>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1"/>
        <w:gridCol w:w="644"/>
        <w:gridCol w:w="3554"/>
      </w:tblGrid>
      <w:tr w:rsidR="000377FF" w:rsidRPr="00A20381">
        <w:trPr>
          <w:trHeight w:val="410"/>
        </w:trPr>
        <w:tc>
          <w:tcPr>
            <w:tcW w:w="911" w:type="dxa"/>
            <w:tcBorders>
              <w:bottom w:val="double" w:sz="1" w:space="0" w:color="000000"/>
            </w:tcBorders>
          </w:tcPr>
          <w:p w:rsidR="000377FF" w:rsidRPr="00A20381" w:rsidRDefault="00E85B85" w:rsidP="001A4FB4">
            <w:pPr>
              <w:pStyle w:val="TableParagraph"/>
              <w:spacing w:before="93" w:line="360" w:lineRule="auto"/>
              <w:ind w:left="83" w:right="93"/>
              <w:jc w:val="both"/>
              <w:rPr>
                <w:i/>
                <w:sz w:val="20"/>
              </w:rPr>
            </w:pPr>
            <w:r w:rsidRPr="00A20381">
              <w:rPr>
                <w:i/>
                <w:w w:val="110"/>
                <w:sz w:val="20"/>
              </w:rPr>
              <w:t>Period</w:t>
            </w:r>
          </w:p>
        </w:tc>
        <w:tc>
          <w:tcPr>
            <w:tcW w:w="644" w:type="dxa"/>
            <w:tcBorders>
              <w:bottom w:val="double" w:sz="1" w:space="0" w:color="000000"/>
            </w:tcBorders>
          </w:tcPr>
          <w:p w:rsidR="000377FF" w:rsidRPr="00A20381" w:rsidRDefault="00E85B85" w:rsidP="001A4FB4">
            <w:pPr>
              <w:pStyle w:val="TableParagraph"/>
              <w:spacing w:before="93" w:line="360" w:lineRule="auto"/>
              <w:ind w:left="100" w:right="178"/>
              <w:jc w:val="both"/>
              <w:rPr>
                <w:i/>
                <w:sz w:val="20"/>
              </w:rPr>
            </w:pPr>
            <w:r w:rsidRPr="00A20381">
              <w:rPr>
                <w:i/>
                <w:w w:val="105"/>
                <w:sz w:val="20"/>
              </w:rPr>
              <w:t>Lag</w:t>
            </w:r>
          </w:p>
        </w:tc>
        <w:tc>
          <w:tcPr>
            <w:tcW w:w="3554" w:type="dxa"/>
            <w:tcBorders>
              <w:bottom w:val="double" w:sz="1" w:space="0" w:color="000000"/>
            </w:tcBorders>
          </w:tcPr>
          <w:p w:rsidR="000377FF" w:rsidRPr="00A20381" w:rsidRDefault="00E85B85" w:rsidP="001A4FB4">
            <w:pPr>
              <w:pStyle w:val="TableParagraph"/>
              <w:spacing w:before="93" w:line="360" w:lineRule="auto"/>
              <w:ind w:left="129" w:right="131"/>
              <w:jc w:val="both"/>
              <w:rPr>
                <w:i/>
                <w:sz w:val="20"/>
              </w:rPr>
            </w:pPr>
            <w:r w:rsidRPr="00A20381">
              <w:rPr>
                <w:i/>
                <w:w w:val="105"/>
                <w:sz w:val="20"/>
              </w:rPr>
              <w:t>Hannan-Quinn Information Criterion</w:t>
            </w:r>
          </w:p>
        </w:tc>
      </w:tr>
      <w:tr w:rsidR="000377FF" w:rsidRPr="00A20381">
        <w:trPr>
          <w:trHeight w:val="410"/>
        </w:trPr>
        <w:tc>
          <w:tcPr>
            <w:tcW w:w="911" w:type="dxa"/>
            <w:tcBorders>
              <w:top w:val="double" w:sz="1" w:space="0" w:color="000000"/>
            </w:tcBorders>
          </w:tcPr>
          <w:p w:rsidR="000377FF" w:rsidRPr="008767EA" w:rsidRDefault="00E85B85" w:rsidP="008767EA">
            <w:pPr>
              <w:pStyle w:val="TableParagraph"/>
              <w:spacing w:before="100" w:line="360" w:lineRule="auto"/>
              <w:ind w:left="101" w:right="93"/>
              <w:rPr>
                <w:sz w:val="20"/>
              </w:rPr>
            </w:pPr>
            <w:r w:rsidRPr="008767EA">
              <w:rPr>
                <w:sz w:val="20"/>
              </w:rPr>
              <w:t>2007-10</w:t>
            </w:r>
          </w:p>
        </w:tc>
        <w:tc>
          <w:tcPr>
            <w:tcW w:w="644" w:type="dxa"/>
            <w:tcBorders>
              <w:top w:val="double" w:sz="1" w:space="0" w:color="000000"/>
            </w:tcBorders>
          </w:tcPr>
          <w:p w:rsidR="000377FF" w:rsidRPr="008767EA" w:rsidRDefault="00E85B85" w:rsidP="008767EA">
            <w:pPr>
              <w:pStyle w:val="TableParagraph"/>
              <w:spacing w:before="100" w:line="360" w:lineRule="auto"/>
              <w:ind w:left="8"/>
              <w:rPr>
                <w:sz w:val="20"/>
              </w:rPr>
            </w:pPr>
            <w:r w:rsidRPr="008767EA">
              <w:rPr>
                <w:w w:val="99"/>
                <w:sz w:val="20"/>
              </w:rPr>
              <w:t>2</w:t>
            </w:r>
          </w:p>
        </w:tc>
        <w:tc>
          <w:tcPr>
            <w:tcW w:w="3554" w:type="dxa"/>
            <w:tcBorders>
              <w:top w:val="double" w:sz="1" w:space="0" w:color="000000"/>
            </w:tcBorders>
          </w:tcPr>
          <w:p w:rsidR="000377FF" w:rsidRPr="008767EA" w:rsidRDefault="00E85B85" w:rsidP="008767EA">
            <w:pPr>
              <w:pStyle w:val="TableParagraph"/>
              <w:spacing w:before="53" w:line="360" w:lineRule="auto"/>
              <w:ind w:left="129" w:right="130"/>
              <w:rPr>
                <w:i/>
                <w:sz w:val="20"/>
              </w:rPr>
            </w:pPr>
            <w:r w:rsidRPr="008767EA">
              <w:rPr>
                <w:i/>
                <w:w w:val="105"/>
                <w:sz w:val="20"/>
              </w:rPr>
              <w:t>−</w:t>
            </w:r>
            <w:r w:rsidRPr="008767EA">
              <w:rPr>
                <w:w w:val="105"/>
                <w:sz w:val="20"/>
              </w:rPr>
              <w:t>8</w:t>
            </w:r>
            <w:r w:rsidRPr="008767EA">
              <w:rPr>
                <w:i/>
                <w:w w:val="105"/>
                <w:sz w:val="20"/>
              </w:rPr>
              <w:t>.</w:t>
            </w:r>
            <w:r w:rsidRPr="008767EA">
              <w:rPr>
                <w:w w:val="105"/>
                <w:sz w:val="20"/>
              </w:rPr>
              <w:t>133452</w:t>
            </w:r>
            <w:r w:rsidRPr="008767EA">
              <w:rPr>
                <w:rFonts w:ascii="Cambria Math" w:hAnsi="Cambria Math" w:cs="Cambria Math"/>
                <w:i/>
                <w:w w:val="105"/>
                <w:sz w:val="20"/>
                <w:vertAlign w:val="superscript"/>
              </w:rPr>
              <w:t>∗</w:t>
            </w:r>
          </w:p>
        </w:tc>
      </w:tr>
      <w:tr w:rsidR="000377FF" w:rsidRPr="00A20381">
        <w:trPr>
          <w:trHeight w:val="396"/>
        </w:trPr>
        <w:tc>
          <w:tcPr>
            <w:tcW w:w="911" w:type="dxa"/>
          </w:tcPr>
          <w:p w:rsidR="000377FF" w:rsidRPr="008767EA" w:rsidRDefault="00E85B85" w:rsidP="008767EA">
            <w:pPr>
              <w:pStyle w:val="TableParagraph"/>
              <w:spacing w:line="360" w:lineRule="auto"/>
              <w:ind w:left="101" w:right="93"/>
              <w:rPr>
                <w:sz w:val="20"/>
              </w:rPr>
            </w:pPr>
            <w:r w:rsidRPr="008767EA">
              <w:rPr>
                <w:sz w:val="20"/>
              </w:rPr>
              <w:t>2010-12</w:t>
            </w:r>
          </w:p>
        </w:tc>
        <w:tc>
          <w:tcPr>
            <w:tcW w:w="644" w:type="dxa"/>
          </w:tcPr>
          <w:p w:rsidR="000377FF" w:rsidRPr="008767EA" w:rsidRDefault="00E85B85" w:rsidP="008767EA">
            <w:pPr>
              <w:pStyle w:val="TableParagraph"/>
              <w:spacing w:line="360" w:lineRule="auto"/>
              <w:ind w:left="8"/>
              <w:rPr>
                <w:sz w:val="20"/>
              </w:rPr>
            </w:pPr>
            <w:r w:rsidRPr="008767EA">
              <w:rPr>
                <w:w w:val="99"/>
                <w:sz w:val="20"/>
              </w:rPr>
              <w:t>2</w:t>
            </w:r>
          </w:p>
        </w:tc>
        <w:tc>
          <w:tcPr>
            <w:tcW w:w="3554" w:type="dxa"/>
          </w:tcPr>
          <w:p w:rsidR="000377FF" w:rsidRPr="008767EA" w:rsidRDefault="00E85B85" w:rsidP="008767EA">
            <w:pPr>
              <w:pStyle w:val="TableParagraph"/>
              <w:spacing w:before="39" w:line="360" w:lineRule="auto"/>
              <w:ind w:left="129" w:right="130"/>
              <w:rPr>
                <w:i/>
                <w:sz w:val="20"/>
              </w:rPr>
            </w:pPr>
            <w:r w:rsidRPr="008767EA">
              <w:rPr>
                <w:w w:val="105"/>
                <w:sz w:val="20"/>
              </w:rPr>
              <w:t>3</w:t>
            </w:r>
            <w:r w:rsidRPr="008767EA">
              <w:rPr>
                <w:i/>
                <w:w w:val="105"/>
                <w:sz w:val="20"/>
              </w:rPr>
              <w:t>.</w:t>
            </w:r>
            <w:r w:rsidRPr="008767EA">
              <w:rPr>
                <w:w w:val="105"/>
                <w:sz w:val="20"/>
              </w:rPr>
              <w:t>324475</w:t>
            </w:r>
            <w:r w:rsidRPr="008767EA">
              <w:rPr>
                <w:rFonts w:ascii="Cambria Math" w:hAnsi="Cambria Math" w:cs="Cambria Math"/>
                <w:i/>
                <w:w w:val="105"/>
                <w:sz w:val="20"/>
                <w:vertAlign w:val="superscript"/>
              </w:rPr>
              <w:t>∗</w:t>
            </w:r>
          </w:p>
        </w:tc>
      </w:tr>
      <w:tr w:rsidR="000377FF" w:rsidRPr="00A20381">
        <w:trPr>
          <w:trHeight w:val="396"/>
        </w:trPr>
        <w:tc>
          <w:tcPr>
            <w:tcW w:w="911" w:type="dxa"/>
          </w:tcPr>
          <w:p w:rsidR="000377FF" w:rsidRPr="008767EA" w:rsidRDefault="00E85B85" w:rsidP="008767EA">
            <w:pPr>
              <w:pStyle w:val="TableParagraph"/>
              <w:spacing w:line="360" w:lineRule="auto"/>
              <w:ind w:left="101" w:right="93"/>
              <w:rPr>
                <w:sz w:val="20"/>
              </w:rPr>
            </w:pPr>
            <w:r w:rsidRPr="008767EA">
              <w:rPr>
                <w:sz w:val="20"/>
              </w:rPr>
              <w:t>2012-14</w:t>
            </w:r>
          </w:p>
        </w:tc>
        <w:tc>
          <w:tcPr>
            <w:tcW w:w="644" w:type="dxa"/>
          </w:tcPr>
          <w:p w:rsidR="000377FF" w:rsidRPr="008767EA" w:rsidRDefault="00E85B85" w:rsidP="008767EA">
            <w:pPr>
              <w:pStyle w:val="TableParagraph"/>
              <w:spacing w:line="360" w:lineRule="auto"/>
              <w:ind w:left="8"/>
              <w:rPr>
                <w:sz w:val="20"/>
              </w:rPr>
            </w:pPr>
            <w:r w:rsidRPr="008767EA">
              <w:rPr>
                <w:w w:val="99"/>
                <w:sz w:val="20"/>
              </w:rPr>
              <w:t>2</w:t>
            </w:r>
          </w:p>
        </w:tc>
        <w:tc>
          <w:tcPr>
            <w:tcW w:w="3554" w:type="dxa"/>
          </w:tcPr>
          <w:p w:rsidR="000377FF" w:rsidRPr="008767EA" w:rsidRDefault="00E85B85" w:rsidP="008767EA">
            <w:pPr>
              <w:pStyle w:val="TableParagraph"/>
              <w:spacing w:before="39" w:line="360" w:lineRule="auto"/>
              <w:ind w:left="129" w:right="130"/>
              <w:rPr>
                <w:i/>
                <w:sz w:val="20"/>
              </w:rPr>
            </w:pPr>
            <w:r w:rsidRPr="008767EA">
              <w:rPr>
                <w:i/>
                <w:w w:val="105"/>
                <w:sz w:val="20"/>
              </w:rPr>
              <w:t>−</w:t>
            </w:r>
            <w:r w:rsidRPr="008767EA">
              <w:rPr>
                <w:w w:val="105"/>
                <w:sz w:val="20"/>
              </w:rPr>
              <w:t>5</w:t>
            </w:r>
            <w:r w:rsidRPr="008767EA">
              <w:rPr>
                <w:i/>
                <w:w w:val="105"/>
                <w:sz w:val="20"/>
              </w:rPr>
              <w:t>.</w:t>
            </w:r>
            <w:r w:rsidRPr="008767EA">
              <w:rPr>
                <w:w w:val="105"/>
                <w:sz w:val="20"/>
              </w:rPr>
              <w:t>628491</w:t>
            </w:r>
            <w:r w:rsidRPr="008767EA">
              <w:rPr>
                <w:rFonts w:ascii="Cambria Math" w:hAnsi="Cambria Math" w:cs="Cambria Math"/>
                <w:i/>
                <w:w w:val="105"/>
                <w:sz w:val="20"/>
                <w:vertAlign w:val="superscript"/>
              </w:rPr>
              <w:t>∗</w:t>
            </w:r>
          </w:p>
        </w:tc>
      </w:tr>
      <w:tr w:rsidR="000377FF" w:rsidRPr="00A20381">
        <w:trPr>
          <w:trHeight w:val="396"/>
        </w:trPr>
        <w:tc>
          <w:tcPr>
            <w:tcW w:w="911" w:type="dxa"/>
          </w:tcPr>
          <w:p w:rsidR="000377FF" w:rsidRPr="008767EA" w:rsidRDefault="00E85B85" w:rsidP="008767EA">
            <w:pPr>
              <w:pStyle w:val="TableParagraph"/>
              <w:spacing w:line="360" w:lineRule="auto"/>
              <w:ind w:left="101" w:right="93"/>
              <w:rPr>
                <w:sz w:val="20"/>
              </w:rPr>
            </w:pPr>
            <w:r w:rsidRPr="008767EA">
              <w:rPr>
                <w:sz w:val="20"/>
              </w:rPr>
              <w:t>2014-17</w:t>
            </w:r>
          </w:p>
        </w:tc>
        <w:tc>
          <w:tcPr>
            <w:tcW w:w="644" w:type="dxa"/>
          </w:tcPr>
          <w:p w:rsidR="000377FF" w:rsidRPr="008767EA" w:rsidRDefault="00E85B85" w:rsidP="008767EA">
            <w:pPr>
              <w:pStyle w:val="TableParagraph"/>
              <w:spacing w:line="360" w:lineRule="auto"/>
              <w:ind w:left="8"/>
              <w:rPr>
                <w:sz w:val="20"/>
              </w:rPr>
            </w:pPr>
            <w:r w:rsidRPr="008767EA">
              <w:rPr>
                <w:w w:val="99"/>
                <w:sz w:val="20"/>
              </w:rPr>
              <w:t>3</w:t>
            </w:r>
          </w:p>
        </w:tc>
        <w:tc>
          <w:tcPr>
            <w:tcW w:w="3554" w:type="dxa"/>
          </w:tcPr>
          <w:p w:rsidR="000377FF" w:rsidRPr="008767EA" w:rsidRDefault="00E85B85" w:rsidP="008767EA">
            <w:pPr>
              <w:pStyle w:val="TableParagraph"/>
              <w:spacing w:before="39" w:line="360" w:lineRule="auto"/>
              <w:ind w:left="129" w:right="130"/>
              <w:rPr>
                <w:i/>
                <w:sz w:val="20"/>
              </w:rPr>
            </w:pPr>
            <w:r w:rsidRPr="008767EA">
              <w:rPr>
                <w:i/>
                <w:w w:val="105"/>
                <w:sz w:val="20"/>
              </w:rPr>
              <w:t>−</w:t>
            </w:r>
            <w:r w:rsidRPr="008767EA">
              <w:rPr>
                <w:w w:val="105"/>
                <w:sz w:val="20"/>
              </w:rPr>
              <w:t>6</w:t>
            </w:r>
            <w:r w:rsidRPr="008767EA">
              <w:rPr>
                <w:i/>
                <w:w w:val="105"/>
                <w:sz w:val="20"/>
              </w:rPr>
              <w:t>.</w:t>
            </w:r>
            <w:r w:rsidRPr="008767EA">
              <w:rPr>
                <w:w w:val="105"/>
                <w:sz w:val="20"/>
              </w:rPr>
              <w:t>027153</w:t>
            </w:r>
            <w:r w:rsidRPr="008767EA">
              <w:rPr>
                <w:rFonts w:ascii="Cambria Math" w:hAnsi="Cambria Math" w:cs="Cambria Math"/>
                <w:i/>
                <w:w w:val="105"/>
                <w:sz w:val="20"/>
                <w:vertAlign w:val="superscript"/>
              </w:rPr>
              <w:t>∗</w:t>
            </w:r>
          </w:p>
        </w:tc>
      </w:tr>
    </w:tbl>
    <w:p w:rsidR="000377FF" w:rsidRPr="00A20381" w:rsidRDefault="000377FF" w:rsidP="001A4FB4">
      <w:pPr>
        <w:pStyle w:val="Corpotesto"/>
        <w:spacing w:before="10" w:line="360" w:lineRule="auto"/>
        <w:jc w:val="both"/>
        <w:rPr>
          <w:b/>
          <w:sz w:val="19"/>
        </w:rPr>
      </w:pPr>
    </w:p>
    <w:p w:rsidR="000377FF" w:rsidRPr="00A20381" w:rsidRDefault="00E85B85" w:rsidP="001A4FB4">
      <w:pPr>
        <w:pStyle w:val="Corpotesto"/>
        <w:spacing w:line="360" w:lineRule="auto"/>
        <w:ind w:left="113"/>
        <w:jc w:val="both"/>
      </w:pPr>
      <w:r w:rsidRPr="00A20381">
        <w:t>*indicates lag order selected by the criterion</w:t>
      </w:r>
    </w:p>
    <w:p w:rsidR="00A20381" w:rsidRDefault="00E85B85" w:rsidP="001A4FB4">
      <w:pPr>
        <w:pStyle w:val="Corpotesto"/>
        <w:spacing w:before="150" w:line="360" w:lineRule="auto"/>
        <w:ind w:left="113"/>
        <w:jc w:val="both"/>
      </w:pPr>
      <w:r w:rsidRPr="00A20381">
        <w:rPr>
          <w:i/>
        </w:rPr>
        <w:t>Source</w:t>
      </w:r>
      <w:r w:rsidRPr="00A20381">
        <w:t xml:space="preserve">: author’s own calculations in </w:t>
      </w:r>
      <w:proofErr w:type="spellStart"/>
      <w:r w:rsidRPr="00A20381">
        <w:t>Eviews</w:t>
      </w:r>
      <w:proofErr w:type="spellEnd"/>
      <w:r w:rsidRPr="00A20381">
        <w:t xml:space="preserve"> 10</w:t>
      </w:r>
    </w:p>
    <w:p w:rsidR="00E74FF8" w:rsidRPr="00A20381" w:rsidRDefault="00E74FF8" w:rsidP="009C31DC">
      <w:pPr>
        <w:pStyle w:val="Corpotesto"/>
        <w:spacing w:before="150" w:line="360" w:lineRule="auto"/>
        <w:jc w:val="both"/>
      </w:pPr>
    </w:p>
    <w:p w:rsidR="000377FF" w:rsidRPr="00A20381" w:rsidRDefault="009C31DC" w:rsidP="001A4FB4">
      <w:pPr>
        <w:pStyle w:val="Titolo3"/>
        <w:spacing w:before="93" w:line="360" w:lineRule="auto"/>
        <w:jc w:val="both"/>
        <w:rPr>
          <w:rFonts w:ascii="Book Antiqua" w:hAnsi="Book Antiqua"/>
        </w:rPr>
      </w:pPr>
      <w:r>
        <w:rPr>
          <w:rFonts w:ascii="Book Antiqua" w:hAnsi="Book Antiqua"/>
        </w:rPr>
        <w:t xml:space="preserve">Figure A.1 - </w:t>
      </w:r>
      <w:r w:rsidR="00E85B85" w:rsidRPr="009C31DC">
        <w:rPr>
          <w:rFonts w:ascii="Book Antiqua" w:hAnsi="Book Antiqua"/>
          <w:b w:val="0"/>
        </w:rPr>
        <w:t>Unit Root Graphs</w:t>
      </w:r>
    </w:p>
    <w:p w:rsidR="000377FF" w:rsidRPr="009C31DC" w:rsidRDefault="000377FF" w:rsidP="001A4FB4">
      <w:pPr>
        <w:pStyle w:val="Corpotesto"/>
        <w:spacing w:before="8" w:line="360" w:lineRule="auto"/>
        <w:jc w:val="both"/>
        <w:rPr>
          <w:b/>
        </w:rPr>
      </w:pPr>
    </w:p>
    <w:p w:rsidR="000377FF" w:rsidRPr="00A20381" w:rsidRDefault="00E85B85" w:rsidP="001A4FB4">
      <w:pPr>
        <w:pStyle w:val="Paragrafoelenco"/>
        <w:numPr>
          <w:ilvl w:val="1"/>
          <w:numId w:val="1"/>
        </w:numPr>
        <w:tabs>
          <w:tab w:val="left" w:pos="612"/>
        </w:tabs>
        <w:spacing w:line="360" w:lineRule="auto"/>
        <w:jc w:val="both"/>
        <w:rPr>
          <w:i/>
          <w:sz w:val="20"/>
        </w:rPr>
      </w:pPr>
      <w:r w:rsidRPr="00A20381">
        <w:rPr>
          <w:noProof/>
          <w:lang w:val="it-IT" w:eastAsia="it-IT"/>
        </w:rPr>
        <w:drawing>
          <wp:anchor distT="0" distB="0" distL="0" distR="0" simplePos="0" relativeHeight="251659776" behindDoc="0" locked="0" layoutInCell="1" allowOverlap="1">
            <wp:simplePos x="0" y="0"/>
            <wp:positionH relativeFrom="page">
              <wp:posOffset>720001</wp:posOffset>
            </wp:positionH>
            <wp:positionV relativeFrom="paragraph">
              <wp:posOffset>233011</wp:posOffset>
            </wp:positionV>
            <wp:extent cx="2637472" cy="2778632"/>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9" cstate="print"/>
                    <a:stretch>
                      <a:fillRect/>
                    </a:stretch>
                  </pic:blipFill>
                  <pic:spPr>
                    <a:xfrm>
                      <a:off x="0" y="0"/>
                      <a:ext cx="2637472" cy="2778632"/>
                    </a:xfrm>
                    <a:prstGeom prst="rect">
                      <a:avLst/>
                    </a:prstGeom>
                  </pic:spPr>
                </pic:pic>
              </a:graphicData>
            </a:graphic>
            <wp14:sizeRelH relativeFrom="margin">
              <wp14:pctWidth>0</wp14:pctWidth>
            </wp14:sizeRelH>
            <wp14:sizeRelV relativeFrom="margin">
              <wp14:pctHeight>0</wp14:pctHeight>
            </wp14:sizeRelV>
          </wp:anchor>
        </w:drawing>
      </w:r>
      <w:r w:rsidRPr="00A20381">
        <w:rPr>
          <w:i/>
          <w:sz w:val="20"/>
        </w:rPr>
        <w:t>2007-10</w:t>
      </w:r>
    </w:p>
    <w:p w:rsidR="00A20381" w:rsidRDefault="00A20381" w:rsidP="009C31DC">
      <w:pPr>
        <w:tabs>
          <w:tab w:val="left" w:pos="612"/>
        </w:tabs>
        <w:spacing w:line="360" w:lineRule="auto"/>
        <w:jc w:val="both"/>
        <w:rPr>
          <w:i/>
          <w:sz w:val="20"/>
          <w:szCs w:val="20"/>
        </w:rPr>
      </w:pPr>
    </w:p>
    <w:p w:rsidR="009C31DC" w:rsidRDefault="009C31DC" w:rsidP="009C31DC">
      <w:pPr>
        <w:tabs>
          <w:tab w:val="left" w:pos="612"/>
        </w:tabs>
        <w:spacing w:line="360" w:lineRule="auto"/>
        <w:jc w:val="both"/>
        <w:rPr>
          <w:i/>
          <w:sz w:val="20"/>
          <w:szCs w:val="20"/>
        </w:rPr>
      </w:pPr>
    </w:p>
    <w:p w:rsidR="009C31DC" w:rsidRDefault="009C31DC" w:rsidP="009C31DC">
      <w:pPr>
        <w:tabs>
          <w:tab w:val="left" w:pos="612"/>
        </w:tabs>
        <w:spacing w:line="360" w:lineRule="auto"/>
        <w:jc w:val="both"/>
        <w:rPr>
          <w:i/>
          <w:sz w:val="20"/>
          <w:szCs w:val="20"/>
        </w:rPr>
      </w:pPr>
    </w:p>
    <w:p w:rsidR="009C31DC" w:rsidRDefault="009C31DC" w:rsidP="009C31DC">
      <w:pPr>
        <w:tabs>
          <w:tab w:val="left" w:pos="612"/>
        </w:tabs>
        <w:spacing w:line="360" w:lineRule="auto"/>
        <w:jc w:val="both"/>
        <w:rPr>
          <w:i/>
          <w:sz w:val="20"/>
          <w:szCs w:val="20"/>
        </w:rPr>
      </w:pPr>
    </w:p>
    <w:p w:rsidR="009C31DC" w:rsidRPr="00E74FF8" w:rsidRDefault="009C31DC" w:rsidP="009C31DC">
      <w:pPr>
        <w:tabs>
          <w:tab w:val="left" w:pos="612"/>
        </w:tabs>
        <w:spacing w:line="360" w:lineRule="auto"/>
        <w:jc w:val="both"/>
        <w:rPr>
          <w:i/>
          <w:sz w:val="20"/>
          <w:szCs w:val="20"/>
        </w:rPr>
      </w:pPr>
    </w:p>
    <w:p w:rsidR="00A20381" w:rsidRPr="00E74FF8" w:rsidRDefault="00A20381" w:rsidP="001A4FB4">
      <w:pPr>
        <w:tabs>
          <w:tab w:val="left" w:pos="612"/>
        </w:tabs>
        <w:spacing w:line="360" w:lineRule="auto"/>
        <w:ind w:left="412"/>
        <w:jc w:val="both"/>
        <w:rPr>
          <w:i/>
          <w:sz w:val="20"/>
          <w:szCs w:val="20"/>
        </w:rPr>
      </w:pPr>
    </w:p>
    <w:p w:rsidR="000377FF" w:rsidRPr="00A20381" w:rsidRDefault="00E85B85" w:rsidP="001A4FB4">
      <w:pPr>
        <w:pStyle w:val="Paragrafoelenco"/>
        <w:numPr>
          <w:ilvl w:val="0"/>
          <w:numId w:val="10"/>
        </w:numPr>
        <w:spacing w:line="360" w:lineRule="auto"/>
        <w:jc w:val="both"/>
        <w:rPr>
          <w:i/>
          <w:sz w:val="20"/>
        </w:rPr>
      </w:pPr>
      <w:r w:rsidRPr="00A20381">
        <w:rPr>
          <w:i/>
          <w:sz w:val="20"/>
        </w:rPr>
        <w:lastRenderedPageBreak/>
        <w:t>2010-12</w:t>
      </w:r>
    </w:p>
    <w:p w:rsidR="00A20381" w:rsidRPr="00A20381" w:rsidRDefault="00A20381" w:rsidP="001A4FB4">
      <w:pPr>
        <w:spacing w:line="360" w:lineRule="auto"/>
        <w:jc w:val="both"/>
        <w:rPr>
          <w:sz w:val="20"/>
        </w:rPr>
      </w:pPr>
      <w:r w:rsidRPr="00A20381">
        <w:rPr>
          <w:noProof/>
          <w:sz w:val="20"/>
          <w:lang w:val="it-IT" w:eastAsia="it-IT"/>
        </w:rPr>
        <w:drawing>
          <wp:inline distT="0" distB="0" distL="0" distR="0">
            <wp:extent cx="2671472" cy="281445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 2010-12.png"/>
                    <pic:cNvPicPr/>
                  </pic:nvPicPr>
                  <pic:blipFill>
                    <a:blip r:embed="rId20">
                      <a:extLst>
                        <a:ext uri="{28A0092B-C50C-407E-A947-70E740481C1C}">
                          <a14:useLocalDpi xmlns:a14="http://schemas.microsoft.com/office/drawing/2010/main" val="0"/>
                        </a:ext>
                      </a:extLst>
                    </a:blip>
                    <a:stretch>
                      <a:fillRect/>
                    </a:stretch>
                  </pic:blipFill>
                  <pic:spPr>
                    <a:xfrm>
                      <a:off x="0" y="0"/>
                      <a:ext cx="2676451" cy="2819697"/>
                    </a:xfrm>
                    <a:prstGeom prst="rect">
                      <a:avLst/>
                    </a:prstGeom>
                  </pic:spPr>
                </pic:pic>
              </a:graphicData>
            </a:graphic>
          </wp:inline>
        </w:drawing>
      </w:r>
    </w:p>
    <w:p w:rsidR="00A20381" w:rsidRPr="00A20381" w:rsidRDefault="00A20381" w:rsidP="001A4FB4">
      <w:pPr>
        <w:spacing w:line="360" w:lineRule="auto"/>
        <w:jc w:val="both"/>
        <w:rPr>
          <w:sz w:val="20"/>
        </w:rPr>
      </w:pPr>
    </w:p>
    <w:p w:rsidR="000377FF" w:rsidRPr="009C31DC" w:rsidRDefault="00E85B85" w:rsidP="001A4FB4">
      <w:pPr>
        <w:pStyle w:val="Paragrafoelenco"/>
        <w:numPr>
          <w:ilvl w:val="1"/>
          <w:numId w:val="1"/>
        </w:numPr>
        <w:tabs>
          <w:tab w:val="left" w:pos="612"/>
        </w:tabs>
        <w:spacing w:before="69" w:line="360" w:lineRule="auto"/>
        <w:jc w:val="both"/>
        <w:rPr>
          <w:i/>
          <w:sz w:val="20"/>
        </w:rPr>
      </w:pPr>
      <w:r w:rsidRPr="00A20381">
        <w:rPr>
          <w:i/>
          <w:sz w:val="20"/>
        </w:rPr>
        <w:t>2012-14</w:t>
      </w:r>
    </w:p>
    <w:p w:rsidR="000377FF" w:rsidRPr="00A20381" w:rsidRDefault="00E85B85" w:rsidP="001A4FB4">
      <w:pPr>
        <w:pStyle w:val="Corpotesto"/>
        <w:spacing w:before="10" w:line="360" w:lineRule="auto"/>
        <w:jc w:val="both"/>
        <w:rPr>
          <w:i/>
          <w:sz w:val="18"/>
        </w:rPr>
      </w:pPr>
      <w:r w:rsidRPr="00A20381">
        <w:rPr>
          <w:noProof/>
          <w:lang w:val="it-IT" w:eastAsia="it-IT"/>
        </w:rPr>
        <w:drawing>
          <wp:anchor distT="0" distB="0" distL="0" distR="0" simplePos="0" relativeHeight="251663872" behindDoc="0" locked="0" layoutInCell="1" allowOverlap="1" wp14:anchorId="27AE5CAF" wp14:editId="67266CE7">
            <wp:simplePos x="0" y="0"/>
            <wp:positionH relativeFrom="page">
              <wp:posOffset>854589</wp:posOffset>
            </wp:positionH>
            <wp:positionV relativeFrom="paragraph">
              <wp:posOffset>169527</wp:posOffset>
            </wp:positionV>
            <wp:extent cx="2362581" cy="2422017"/>
            <wp:effectExtent l="0" t="0" r="0"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1" cstate="print"/>
                    <a:stretch>
                      <a:fillRect/>
                    </a:stretch>
                  </pic:blipFill>
                  <pic:spPr>
                    <a:xfrm>
                      <a:off x="0" y="0"/>
                      <a:ext cx="2362581" cy="2422017"/>
                    </a:xfrm>
                    <a:prstGeom prst="rect">
                      <a:avLst/>
                    </a:prstGeom>
                  </pic:spPr>
                </pic:pic>
              </a:graphicData>
            </a:graphic>
          </wp:anchor>
        </w:drawing>
      </w:r>
    </w:p>
    <w:p w:rsidR="000377FF" w:rsidRPr="00E74FF8" w:rsidRDefault="000377FF" w:rsidP="001A4FB4">
      <w:pPr>
        <w:pStyle w:val="Corpotesto"/>
        <w:spacing w:before="10" w:line="360" w:lineRule="auto"/>
        <w:jc w:val="both"/>
      </w:pPr>
    </w:p>
    <w:p w:rsidR="00A20381" w:rsidRDefault="00A20381" w:rsidP="001A4FB4">
      <w:pPr>
        <w:pStyle w:val="Corpotesto"/>
        <w:spacing w:before="10" w:line="360" w:lineRule="auto"/>
        <w:jc w:val="both"/>
      </w:pPr>
    </w:p>
    <w:p w:rsidR="00E74FF8" w:rsidRDefault="00E74FF8" w:rsidP="001A4FB4">
      <w:pPr>
        <w:pStyle w:val="Corpotesto"/>
        <w:spacing w:before="10" w:line="360" w:lineRule="auto"/>
        <w:jc w:val="both"/>
      </w:pPr>
    </w:p>
    <w:p w:rsidR="00E74FF8" w:rsidRDefault="00E74FF8" w:rsidP="001A4FB4">
      <w:pPr>
        <w:pStyle w:val="Corpotesto"/>
        <w:spacing w:before="10" w:line="360" w:lineRule="auto"/>
        <w:jc w:val="both"/>
      </w:pPr>
    </w:p>
    <w:p w:rsidR="00E74FF8" w:rsidRDefault="00E74FF8" w:rsidP="001A4FB4">
      <w:pPr>
        <w:pStyle w:val="Corpotesto"/>
        <w:spacing w:before="10" w:line="360" w:lineRule="auto"/>
        <w:jc w:val="both"/>
      </w:pPr>
    </w:p>
    <w:p w:rsidR="00E74FF8" w:rsidRDefault="00E74FF8" w:rsidP="001A4FB4">
      <w:pPr>
        <w:pStyle w:val="Corpotesto"/>
        <w:spacing w:before="10" w:line="360" w:lineRule="auto"/>
        <w:jc w:val="both"/>
      </w:pPr>
    </w:p>
    <w:p w:rsidR="00E74FF8" w:rsidRPr="00E74FF8" w:rsidRDefault="00E74FF8" w:rsidP="001A4FB4">
      <w:pPr>
        <w:pStyle w:val="Corpotesto"/>
        <w:spacing w:before="10" w:line="360" w:lineRule="auto"/>
        <w:jc w:val="both"/>
      </w:pPr>
    </w:p>
    <w:p w:rsidR="00A20381" w:rsidRDefault="00A20381" w:rsidP="001A4FB4">
      <w:pPr>
        <w:pStyle w:val="Corpotesto"/>
        <w:spacing w:before="10" w:line="360" w:lineRule="auto"/>
        <w:jc w:val="both"/>
      </w:pPr>
    </w:p>
    <w:p w:rsidR="009C31DC" w:rsidRPr="00E74FF8" w:rsidRDefault="009C31DC" w:rsidP="001A4FB4">
      <w:pPr>
        <w:pStyle w:val="Corpotesto"/>
        <w:spacing w:before="10" w:line="360" w:lineRule="auto"/>
        <w:jc w:val="both"/>
      </w:pPr>
    </w:p>
    <w:p w:rsidR="000377FF" w:rsidRPr="009C31DC" w:rsidRDefault="00E85B85" w:rsidP="001A4FB4">
      <w:pPr>
        <w:pStyle w:val="Paragrafoelenco"/>
        <w:numPr>
          <w:ilvl w:val="1"/>
          <w:numId w:val="1"/>
        </w:numPr>
        <w:tabs>
          <w:tab w:val="left" w:pos="612"/>
        </w:tabs>
        <w:spacing w:line="360" w:lineRule="auto"/>
        <w:jc w:val="both"/>
        <w:rPr>
          <w:i/>
          <w:sz w:val="20"/>
        </w:rPr>
      </w:pPr>
      <w:r w:rsidRPr="00A20381">
        <w:rPr>
          <w:i/>
          <w:sz w:val="20"/>
        </w:rPr>
        <w:lastRenderedPageBreak/>
        <w:t>2014-17</w:t>
      </w:r>
    </w:p>
    <w:p w:rsidR="000377FF" w:rsidRPr="00A20381" w:rsidRDefault="00E85B85" w:rsidP="001A4FB4">
      <w:pPr>
        <w:pStyle w:val="Corpotesto"/>
        <w:spacing w:before="7" w:line="360" w:lineRule="auto"/>
        <w:jc w:val="both"/>
        <w:rPr>
          <w:i/>
          <w:sz w:val="15"/>
        </w:rPr>
      </w:pPr>
      <w:r w:rsidRPr="00A20381">
        <w:rPr>
          <w:noProof/>
          <w:lang w:val="it-IT" w:eastAsia="it-IT"/>
        </w:rPr>
        <w:drawing>
          <wp:anchor distT="0" distB="0" distL="0" distR="0" simplePos="0" relativeHeight="251667968" behindDoc="0" locked="0" layoutInCell="1" allowOverlap="1">
            <wp:simplePos x="0" y="0"/>
            <wp:positionH relativeFrom="page">
              <wp:posOffset>854589</wp:posOffset>
            </wp:positionH>
            <wp:positionV relativeFrom="paragraph">
              <wp:posOffset>144280</wp:posOffset>
            </wp:positionV>
            <wp:extent cx="2362581" cy="2422017"/>
            <wp:effectExtent l="0" t="0" r="0" b="0"/>
            <wp:wrapTopAndBottom/>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2" cstate="print"/>
                    <a:stretch>
                      <a:fillRect/>
                    </a:stretch>
                  </pic:blipFill>
                  <pic:spPr>
                    <a:xfrm>
                      <a:off x="0" y="0"/>
                      <a:ext cx="2362581" cy="2422017"/>
                    </a:xfrm>
                    <a:prstGeom prst="rect">
                      <a:avLst/>
                    </a:prstGeom>
                  </pic:spPr>
                </pic:pic>
              </a:graphicData>
            </a:graphic>
          </wp:anchor>
        </w:drawing>
      </w:r>
    </w:p>
    <w:sectPr w:rsidR="000377FF" w:rsidRPr="00A20381">
      <w:pgSz w:w="12240" w:h="15840"/>
      <w:pgMar w:top="1360" w:right="1020" w:bottom="1000" w:left="1020" w:header="0" w:footer="8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7B5" w:rsidRDefault="004E27B5">
      <w:r>
        <w:separator/>
      </w:r>
    </w:p>
  </w:endnote>
  <w:endnote w:type="continuationSeparator" w:id="0">
    <w:p w:rsidR="004E27B5" w:rsidRDefault="004E2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Palatino Linotype">
    <w:altName w:val="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C33" w:rsidRDefault="004E27B5">
    <w:pPr>
      <w:pStyle w:val="Corpotesto"/>
      <w:spacing w:line="14" w:lineRule="auto"/>
    </w:pPr>
    <w:r>
      <w:pict>
        <v:shapetype id="_x0000_t202" coordsize="21600,21600" o:spt="202" path="m,l,21600r21600,l21600,xe">
          <v:stroke joinstyle="miter"/>
          <v:path gradientshapeok="t" o:connecttype="rect"/>
        </v:shapetype>
        <v:shape id="_x0000_s2049" type="#_x0000_t202" style="position:absolute;margin-left:298pt;margin-top:740.7pt;width:16pt;height:14.55pt;z-index:-251658752;mso-position-horizontal-relative:page;mso-position-vertical-relative:page" filled="f" stroked="f">
          <v:textbox style="mso-next-textbox:#_x0000_s2049" inset="0,0,0,0">
            <w:txbxContent>
              <w:p w:rsidR="00B03C33" w:rsidRDefault="00B03C33">
                <w:pPr>
                  <w:pStyle w:val="Corpotesto"/>
                  <w:spacing w:before="14"/>
                  <w:ind w:left="60"/>
                </w:pPr>
                <w:r>
                  <w:fldChar w:fldCharType="begin"/>
                </w:r>
                <w:r>
                  <w:instrText xml:space="preserve"> PAGE </w:instrText>
                </w:r>
                <w:r>
                  <w:fldChar w:fldCharType="separate"/>
                </w:r>
                <w:r w:rsidR="009C31DC">
                  <w:rPr>
                    <w:noProof/>
                  </w:rPr>
                  <w:t>27</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7B5" w:rsidRDefault="004E27B5">
      <w:r>
        <w:separator/>
      </w:r>
    </w:p>
  </w:footnote>
  <w:footnote w:type="continuationSeparator" w:id="0">
    <w:p w:rsidR="004E27B5" w:rsidRDefault="004E27B5">
      <w:r>
        <w:continuationSeparator/>
      </w:r>
    </w:p>
  </w:footnote>
  <w:footnote w:id="1">
    <w:p w:rsidR="003223F3" w:rsidRPr="003223F3" w:rsidRDefault="003223F3" w:rsidP="003223F3">
      <w:pPr>
        <w:pStyle w:val="Testonotaapidipagina"/>
      </w:pPr>
      <w:r w:rsidRPr="009C31DC">
        <w:rPr>
          <w:rStyle w:val="Rimandonotaapidipagina"/>
        </w:rPr>
        <w:footnoteRef/>
      </w:r>
      <w:r w:rsidRPr="009C31DC">
        <w:t xml:space="preserve"> </w:t>
      </w:r>
      <w:r w:rsidRPr="009C31DC">
        <w:rPr>
          <w:sz w:val="16"/>
          <w:szCs w:val="16"/>
        </w:rPr>
        <w:t>In reality, bond and CDS spreads are never equal for a number of reasons, such as accrued interest, the cheapest-to-deliver option and counterparty risk among other factors.  Market liquidity also plays a key role in the gap between the two spreads (</w:t>
      </w:r>
      <w:r w:rsidRPr="009C31DC">
        <w:rPr>
          <w:i/>
          <w:sz w:val="16"/>
          <w:szCs w:val="16"/>
        </w:rPr>
        <w:t>Coudert et al</w:t>
      </w:r>
      <w:r w:rsidRPr="009C31DC">
        <w:rPr>
          <w:sz w:val="16"/>
          <w:szCs w:val="16"/>
        </w:rPr>
        <w:t xml:space="preserve">., </w:t>
      </w:r>
      <w:r w:rsidRPr="009C31DC">
        <w:rPr>
          <w:i/>
          <w:sz w:val="16"/>
          <w:szCs w:val="16"/>
        </w:rPr>
        <w:t>2010</w:t>
      </w:r>
      <w:r w:rsidRPr="009C31DC">
        <w:rPr>
          <w:sz w:val="16"/>
          <w:szCs w:val="16"/>
        </w:rPr>
        <w:t>).</w:t>
      </w:r>
      <w:r>
        <w:t xml:space="preserve"> </w:t>
      </w:r>
      <w:r>
        <w:cr/>
      </w:r>
    </w:p>
  </w:footnote>
  <w:footnote w:id="2">
    <w:p w:rsidR="00B03C33" w:rsidRPr="009C31DC" w:rsidRDefault="00B03C33">
      <w:pPr>
        <w:pStyle w:val="Testonotaapidipagina"/>
        <w:rPr>
          <w:w w:val="105"/>
          <w:sz w:val="16"/>
        </w:rPr>
      </w:pPr>
      <w:r>
        <w:rPr>
          <w:rStyle w:val="Rimandonotaapidipagina"/>
        </w:rPr>
        <w:footnoteRef/>
      </w:r>
      <w:r>
        <w:t xml:space="preserve"> </w:t>
      </w:r>
      <w:r w:rsidRPr="001A4FB4">
        <w:rPr>
          <w:w w:val="105"/>
          <w:sz w:val="16"/>
        </w:rPr>
        <w:t>Bund yield has been selected as risk-free rate benchmark because this instrument has a similar liquidity level of BTP</w:t>
      </w:r>
      <w:r>
        <w:t xml:space="preserve"> </w:t>
      </w:r>
      <w:r w:rsidRPr="001A4FB4">
        <w:rPr>
          <w:w w:val="105"/>
          <w:sz w:val="16"/>
        </w:rPr>
        <w:t>(</w:t>
      </w:r>
      <w:proofErr w:type="spellStart"/>
      <w:r w:rsidRPr="001A4FB4">
        <w:rPr>
          <w:i/>
          <w:w w:val="105"/>
          <w:sz w:val="16"/>
        </w:rPr>
        <w:t>Panzarino</w:t>
      </w:r>
      <w:proofErr w:type="spellEnd"/>
      <w:r w:rsidRPr="001A4FB4">
        <w:rPr>
          <w:i/>
          <w:w w:val="105"/>
          <w:sz w:val="16"/>
        </w:rPr>
        <w:t xml:space="preserve"> et al.</w:t>
      </w:r>
      <w:r w:rsidRPr="001A4FB4">
        <w:rPr>
          <w:w w:val="105"/>
          <w:sz w:val="16"/>
        </w:rPr>
        <w:t xml:space="preserve">, </w:t>
      </w:r>
      <w:r w:rsidRPr="001A4FB4">
        <w:rPr>
          <w:i/>
          <w:w w:val="105"/>
          <w:sz w:val="16"/>
        </w:rPr>
        <w:t>2016</w:t>
      </w:r>
      <w:r w:rsidRPr="001A4FB4">
        <w:rPr>
          <w:w w:val="105"/>
          <w:sz w:val="16"/>
        </w:rPr>
        <w:t>), it</w:t>
      </w:r>
      <w:r>
        <w:t xml:space="preserve"> </w:t>
      </w:r>
      <w:r w:rsidRPr="001A4FB4">
        <w:rPr>
          <w:w w:val="105"/>
          <w:sz w:val="16"/>
        </w:rPr>
        <w:t>is a AAA rating instrument and it tends to outperform during</w:t>
      </w:r>
      <w:r w:rsidR="00346DC6">
        <w:rPr>
          <w:w w:val="105"/>
          <w:sz w:val="16"/>
        </w:rPr>
        <w:t xml:space="preserve"> periods of financial </w:t>
      </w:r>
      <w:r w:rsidR="00346DC6" w:rsidRPr="009C31DC">
        <w:rPr>
          <w:w w:val="105"/>
          <w:sz w:val="16"/>
        </w:rPr>
        <w:t xml:space="preserve">distress due to </w:t>
      </w:r>
      <w:r w:rsidRPr="009C31DC">
        <w:rPr>
          <w:w w:val="105"/>
          <w:sz w:val="16"/>
        </w:rPr>
        <w:t>fly to quality phenomenon</w:t>
      </w:r>
      <w:r w:rsidR="00346DC6" w:rsidRPr="009C31DC">
        <w:rPr>
          <w:w w:val="105"/>
          <w:sz w:val="16"/>
        </w:rPr>
        <w:t xml:space="preserve"> (</w:t>
      </w:r>
      <w:proofErr w:type="spellStart"/>
      <w:r w:rsidR="00346DC6" w:rsidRPr="009C31DC">
        <w:rPr>
          <w:i/>
          <w:w w:val="105"/>
          <w:sz w:val="16"/>
        </w:rPr>
        <w:t>Paret</w:t>
      </w:r>
      <w:proofErr w:type="spellEnd"/>
      <w:r w:rsidR="00346DC6" w:rsidRPr="009C31DC">
        <w:rPr>
          <w:i/>
          <w:w w:val="105"/>
          <w:sz w:val="16"/>
        </w:rPr>
        <w:t xml:space="preserve"> et al.</w:t>
      </w:r>
      <w:r w:rsidR="00346DC6" w:rsidRPr="009C31DC">
        <w:rPr>
          <w:w w:val="105"/>
          <w:sz w:val="16"/>
        </w:rPr>
        <w:t xml:space="preserve">, </w:t>
      </w:r>
      <w:r w:rsidR="00346DC6" w:rsidRPr="009C31DC">
        <w:rPr>
          <w:i/>
          <w:w w:val="105"/>
          <w:sz w:val="16"/>
        </w:rPr>
        <w:t>2019</w:t>
      </w:r>
      <w:r w:rsidR="00346DC6" w:rsidRPr="009C31DC">
        <w:rPr>
          <w:w w:val="105"/>
          <w:sz w:val="16"/>
        </w:rPr>
        <w:t>)</w:t>
      </w:r>
      <w:r w:rsidRPr="009C31DC">
        <w:rPr>
          <w:w w:val="105"/>
          <w:sz w:val="16"/>
        </w:rPr>
        <w:t>.</w:t>
      </w:r>
    </w:p>
  </w:footnote>
  <w:footnote w:id="3">
    <w:p w:rsidR="005D49CC" w:rsidRPr="005D49CC" w:rsidRDefault="005D49CC">
      <w:pPr>
        <w:pStyle w:val="Testonotaapidipagina"/>
        <w:rPr>
          <w:sz w:val="16"/>
          <w:szCs w:val="16"/>
        </w:rPr>
      </w:pPr>
      <w:r w:rsidRPr="009C31DC">
        <w:rPr>
          <w:rStyle w:val="Rimandonotaapidipagina"/>
        </w:rPr>
        <w:footnoteRef/>
      </w:r>
      <w:r w:rsidRPr="009C31DC">
        <w:t xml:space="preserve"> </w:t>
      </w:r>
      <w:r w:rsidRPr="009C31DC">
        <w:rPr>
          <w:sz w:val="16"/>
          <w:szCs w:val="16"/>
        </w:rPr>
        <w:t>The selected time horizon allows us not to include further exogenous events like US-China Trade War (2018-19) and Covid-19 Pandemic (2020) in order  to emphasize the role o</w:t>
      </w:r>
      <w:r w:rsidR="00457FCF" w:rsidRPr="009C31DC">
        <w:rPr>
          <w:sz w:val="16"/>
          <w:szCs w:val="16"/>
        </w:rPr>
        <w:t>f the European Central Bank (ECB)</w:t>
      </w:r>
      <w:r w:rsidRPr="009C31DC">
        <w:rPr>
          <w:sz w:val="16"/>
          <w:szCs w:val="16"/>
        </w:rPr>
        <w:t xml:space="preserve"> in affecting market interdependencies over time.</w:t>
      </w:r>
    </w:p>
  </w:footnote>
  <w:footnote w:id="4">
    <w:p w:rsidR="00B03C33" w:rsidRPr="00A5166E" w:rsidRDefault="00B03C33">
      <w:pPr>
        <w:pStyle w:val="Testonotaapidipagina"/>
      </w:pPr>
      <w:r>
        <w:rPr>
          <w:rStyle w:val="Rimandonotaapidipagina"/>
        </w:rPr>
        <w:footnoteRef/>
      </w:r>
      <w:r>
        <w:t xml:space="preserve"> </w:t>
      </w:r>
      <w:r w:rsidRPr="001A4FB4">
        <w:rPr>
          <w:w w:val="105"/>
          <w:sz w:val="16"/>
        </w:rPr>
        <w:t>http://www.consob.it/web/investor-education/le-crisi-finanziarie.</w:t>
      </w:r>
    </w:p>
  </w:footnote>
  <w:footnote w:id="5">
    <w:p w:rsidR="00B03C33" w:rsidRPr="001E4EE3" w:rsidRDefault="00B03C33">
      <w:pPr>
        <w:pStyle w:val="Testonotaapidipagina"/>
      </w:pPr>
      <w:r w:rsidRPr="009C31DC">
        <w:rPr>
          <w:rStyle w:val="Rimandonotaapidipagina"/>
        </w:rPr>
        <w:footnoteRef/>
      </w:r>
      <w:r w:rsidRPr="009C31DC">
        <w:t xml:space="preserve"> </w:t>
      </w:r>
      <w:r w:rsidRPr="009C31DC">
        <w:rPr>
          <w:w w:val="105"/>
          <w:sz w:val="16"/>
        </w:rPr>
        <w:t xml:space="preserve">If the two series are not </w:t>
      </w:r>
      <w:proofErr w:type="spellStart"/>
      <w:r w:rsidRPr="009C31DC">
        <w:rPr>
          <w:w w:val="105"/>
          <w:sz w:val="16"/>
        </w:rPr>
        <w:t>cointegrated</w:t>
      </w:r>
      <w:proofErr w:type="spellEnd"/>
      <w:r w:rsidRPr="009C31DC">
        <w:rPr>
          <w:w w:val="105"/>
          <w:sz w:val="16"/>
        </w:rPr>
        <w:t xml:space="preserve"> then the VECM cannot be implemented because it is not more valid. In this case, we analyze the </w:t>
      </w:r>
      <w:r w:rsidRPr="009C31DC">
        <w:rPr>
          <w:i/>
          <w:w w:val="105"/>
          <w:sz w:val="16"/>
        </w:rPr>
        <w:t xml:space="preserve">Granger-causality </w:t>
      </w:r>
      <w:r w:rsidRPr="009C31DC">
        <w:rPr>
          <w:w w:val="105"/>
          <w:sz w:val="16"/>
        </w:rPr>
        <w:t xml:space="preserve">and the </w:t>
      </w:r>
      <w:r w:rsidRPr="009C31DC">
        <w:rPr>
          <w:i/>
          <w:w w:val="105"/>
          <w:sz w:val="16"/>
        </w:rPr>
        <w:t xml:space="preserve">Impulse Responses </w:t>
      </w:r>
      <w:r w:rsidRPr="009C31DC">
        <w:rPr>
          <w:w w:val="105"/>
          <w:sz w:val="16"/>
        </w:rPr>
        <w:t>by estimating an unrestricted VAR.</w:t>
      </w:r>
    </w:p>
  </w:footnote>
  <w:footnote w:id="6">
    <w:p w:rsidR="00B03C33" w:rsidRPr="000A10D4" w:rsidRDefault="00B03C33" w:rsidP="002E05B3">
      <w:pPr>
        <w:spacing w:line="200" w:lineRule="exact"/>
        <w:ind w:left="262"/>
        <w:jc w:val="both"/>
      </w:pPr>
      <w:r>
        <w:rPr>
          <w:rStyle w:val="Rimandonotaapidipagina"/>
        </w:rPr>
        <w:footnoteRef/>
      </w:r>
      <w:r>
        <w:t xml:space="preserve"> </w:t>
      </w:r>
      <w:r>
        <w:rPr>
          <w:w w:val="105"/>
          <w:sz w:val="16"/>
        </w:rPr>
        <w:t xml:space="preserve">We should expect the negative sign for </w:t>
      </w:r>
      <w:r>
        <w:rPr>
          <w:rFonts w:ascii="Palatino Linotype" w:hAnsi="Palatino Linotype"/>
          <w:i/>
          <w:w w:val="105"/>
          <w:sz w:val="16"/>
        </w:rPr>
        <w:t>λ</w:t>
      </w:r>
      <w:r>
        <w:rPr>
          <w:rFonts w:ascii="Verdana" w:hAnsi="Verdana"/>
          <w:w w:val="105"/>
          <w:sz w:val="16"/>
          <w:vertAlign w:val="subscript"/>
        </w:rPr>
        <w:t>1</w:t>
      </w:r>
      <w:r>
        <w:rPr>
          <w:rFonts w:ascii="Verdana" w:hAnsi="Verdana"/>
          <w:w w:val="105"/>
          <w:sz w:val="16"/>
        </w:rPr>
        <w:t xml:space="preserve"> </w:t>
      </w:r>
      <w:r>
        <w:rPr>
          <w:w w:val="105"/>
          <w:sz w:val="16"/>
        </w:rPr>
        <w:t xml:space="preserve">and the positive sign for </w:t>
      </w:r>
      <w:r>
        <w:rPr>
          <w:rFonts w:ascii="Palatino Linotype" w:hAnsi="Palatino Linotype"/>
          <w:i/>
          <w:w w:val="105"/>
          <w:sz w:val="16"/>
        </w:rPr>
        <w:t>λ</w:t>
      </w:r>
      <w:r>
        <w:rPr>
          <w:rFonts w:ascii="Verdana" w:hAnsi="Verdana"/>
          <w:w w:val="105"/>
          <w:sz w:val="16"/>
          <w:vertAlign w:val="subscript"/>
        </w:rPr>
        <w:t>2</w:t>
      </w:r>
      <w:r>
        <w:rPr>
          <w:rFonts w:ascii="Verdana" w:hAnsi="Verdana"/>
          <w:w w:val="105"/>
          <w:sz w:val="16"/>
        </w:rPr>
        <w:t xml:space="preserve"> </w:t>
      </w:r>
      <w:r>
        <w:rPr>
          <w:w w:val="105"/>
          <w:sz w:val="16"/>
        </w:rPr>
        <w:t>in order to favor the process of adjustment.</w:t>
      </w:r>
    </w:p>
  </w:footnote>
  <w:footnote w:id="7">
    <w:p w:rsidR="00B03C33" w:rsidRPr="001A4FB4" w:rsidRDefault="00B03C33" w:rsidP="00C677BE">
      <w:pPr>
        <w:pStyle w:val="Testonotaapidipagina"/>
        <w:spacing w:line="240" w:lineRule="exact"/>
        <w:ind w:firstLine="262"/>
        <w:rPr>
          <w:sz w:val="16"/>
          <w:szCs w:val="16"/>
        </w:rPr>
      </w:pPr>
      <w:r>
        <w:rPr>
          <w:rStyle w:val="Rimandonotaapidipagina"/>
        </w:rPr>
        <w:footnoteRef/>
      </w:r>
      <w:r>
        <w:t xml:space="preserve"> </w:t>
      </w:r>
      <w:r w:rsidRPr="00041FB2">
        <w:rPr>
          <w:w w:val="105"/>
          <w:sz w:val="16"/>
        </w:rPr>
        <w:t xml:space="preserve">The formula suggested by </w:t>
      </w:r>
      <w:r w:rsidRPr="00041FB2">
        <w:rPr>
          <w:i/>
          <w:w w:val="105"/>
          <w:sz w:val="16"/>
        </w:rPr>
        <w:t xml:space="preserve">Gonzalo </w:t>
      </w:r>
      <w:r w:rsidRPr="00041FB2">
        <w:rPr>
          <w:w w:val="105"/>
          <w:sz w:val="16"/>
        </w:rPr>
        <w:t xml:space="preserve">and </w:t>
      </w:r>
      <w:r w:rsidRPr="00041FB2">
        <w:rPr>
          <w:i/>
          <w:w w:val="105"/>
          <w:sz w:val="16"/>
        </w:rPr>
        <w:t xml:space="preserve">Granger </w:t>
      </w:r>
      <w:r w:rsidRPr="00041FB2">
        <w:rPr>
          <w:w w:val="105"/>
          <w:sz w:val="16"/>
        </w:rPr>
        <w:t>(</w:t>
      </w:r>
      <w:r w:rsidRPr="00041FB2">
        <w:rPr>
          <w:i/>
          <w:w w:val="105"/>
          <w:sz w:val="16"/>
        </w:rPr>
        <w:t xml:space="preserve">1995 </w:t>
      </w:r>
      <w:r w:rsidRPr="00041FB2">
        <w:rPr>
          <w:w w:val="105"/>
          <w:sz w:val="16"/>
        </w:rPr>
        <w:t>) is the following</w:t>
      </w:r>
      <w:r w:rsidRPr="00041FB2">
        <w:rPr>
          <w:w w:val="105"/>
          <w:sz w:val="16"/>
          <w:szCs w:val="16"/>
        </w:rPr>
        <w:t xml:space="preserve">: </w:t>
      </w:r>
      <m:oMath>
        <m:r>
          <w:rPr>
            <w:rFonts w:ascii="Cambria Math" w:hAnsi="Cambria Math"/>
            <w:w w:val="105"/>
            <w:sz w:val="16"/>
            <w:szCs w:val="16"/>
          </w:rPr>
          <m:t>MS=</m:t>
        </m:r>
        <m:f>
          <m:fPr>
            <m:ctrlPr>
              <w:rPr>
                <w:rFonts w:ascii="Cambria Math" w:hAnsi="Cambria Math"/>
                <w:i/>
                <w:w w:val="105"/>
                <w:sz w:val="16"/>
                <w:szCs w:val="16"/>
              </w:rPr>
            </m:ctrlPr>
          </m:fPr>
          <m:num>
            <m:sSub>
              <m:sSubPr>
                <m:ctrlPr>
                  <w:rPr>
                    <w:rFonts w:ascii="Cambria Math" w:hAnsi="Cambria Math"/>
                    <w:i/>
                    <w:w w:val="105"/>
                    <w:sz w:val="16"/>
                    <w:szCs w:val="16"/>
                  </w:rPr>
                </m:ctrlPr>
              </m:sSubPr>
              <m:e>
                <m:r>
                  <w:rPr>
                    <w:rFonts w:ascii="Cambria Math" w:hAnsi="Cambria Math"/>
                    <w:w w:val="105"/>
                    <w:sz w:val="16"/>
                    <w:szCs w:val="16"/>
                  </w:rPr>
                  <m:t>λ</m:t>
                </m:r>
              </m:e>
              <m:sub>
                <m:r>
                  <w:rPr>
                    <w:rFonts w:ascii="Cambria Math" w:hAnsi="Cambria Math"/>
                    <w:w w:val="105"/>
                    <w:sz w:val="16"/>
                    <w:szCs w:val="16"/>
                  </w:rPr>
                  <m:t>2</m:t>
                </m:r>
              </m:sub>
            </m:sSub>
          </m:num>
          <m:den>
            <m:sSub>
              <m:sSubPr>
                <m:ctrlPr>
                  <w:rPr>
                    <w:rFonts w:ascii="Cambria Math" w:hAnsi="Cambria Math"/>
                    <w:i/>
                    <w:w w:val="105"/>
                    <w:sz w:val="16"/>
                    <w:szCs w:val="16"/>
                  </w:rPr>
                </m:ctrlPr>
              </m:sSubPr>
              <m:e>
                <m:r>
                  <w:rPr>
                    <w:rFonts w:ascii="Cambria Math" w:hAnsi="Cambria Math"/>
                    <w:w w:val="105"/>
                    <w:sz w:val="16"/>
                    <w:szCs w:val="16"/>
                  </w:rPr>
                  <m:t>λ</m:t>
                </m:r>
              </m:e>
              <m:sub>
                <m:r>
                  <w:rPr>
                    <w:rFonts w:ascii="Cambria Math" w:hAnsi="Cambria Math"/>
                    <w:w w:val="105"/>
                    <w:sz w:val="16"/>
                    <w:szCs w:val="16"/>
                  </w:rPr>
                  <m:t>2</m:t>
                </m:r>
              </m:sub>
            </m:sSub>
            <m:r>
              <w:rPr>
                <w:rFonts w:ascii="Cambria Math" w:hAnsi="Cambria Math"/>
                <w:w w:val="105"/>
                <w:sz w:val="16"/>
                <w:szCs w:val="16"/>
              </w:rPr>
              <m:t>-</m:t>
            </m:r>
            <m:sSub>
              <m:sSubPr>
                <m:ctrlPr>
                  <w:rPr>
                    <w:rFonts w:ascii="Cambria Math" w:hAnsi="Cambria Math"/>
                    <w:i/>
                    <w:w w:val="105"/>
                    <w:sz w:val="16"/>
                    <w:szCs w:val="16"/>
                  </w:rPr>
                </m:ctrlPr>
              </m:sSubPr>
              <m:e>
                <m:r>
                  <w:rPr>
                    <w:rFonts w:ascii="Cambria Math" w:hAnsi="Cambria Math"/>
                    <w:w w:val="105"/>
                    <w:sz w:val="16"/>
                    <w:szCs w:val="16"/>
                  </w:rPr>
                  <m:t>λ</m:t>
                </m:r>
              </m:e>
              <m:sub>
                <m:r>
                  <w:rPr>
                    <w:rFonts w:ascii="Cambria Math" w:hAnsi="Cambria Math"/>
                    <w:w w:val="105"/>
                    <w:sz w:val="16"/>
                    <w:szCs w:val="16"/>
                  </w:rPr>
                  <m:t>1</m:t>
                </m:r>
              </m:sub>
            </m:sSub>
          </m:den>
        </m:f>
      </m:oMath>
    </w:p>
  </w:footnote>
  <w:footnote w:id="8">
    <w:p w:rsidR="00B03C33" w:rsidRDefault="00B03C33" w:rsidP="00C677BE">
      <w:pPr>
        <w:spacing w:before="109" w:line="240" w:lineRule="exact"/>
        <w:ind w:left="262"/>
        <w:rPr>
          <w:sz w:val="16"/>
        </w:rPr>
      </w:pPr>
      <w:r>
        <w:rPr>
          <w:rStyle w:val="Rimandonotaapidipagina"/>
        </w:rPr>
        <w:footnoteRef/>
      </w:r>
      <w:r>
        <w:t xml:space="preserve"> </w:t>
      </w:r>
      <w:r>
        <w:rPr>
          <w:sz w:val="16"/>
        </w:rPr>
        <w:t>According to the author, the Hannan-Quinn criterion is the most efficient when observations are above 120.</w:t>
      </w:r>
    </w:p>
    <w:p w:rsidR="00B03C33" w:rsidRPr="000A10D4" w:rsidRDefault="00B03C33" w:rsidP="00C677BE">
      <w:pPr>
        <w:pStyle w:val="Testonotaapidipagina"/>
        <w:spacing w:line="240" w:lineRule="exact"/>
      </w:pPr>
    </w:p>
  </w:footnote>
  <w:footnote w:id="9">
    <w:p w:rsidR="00B03C33" w:rsidRPr="00CA3A4E" w:rsidRDefault="00B03C33">
      <w:pPr>
        <w:pStyle w:val="Testonotaapidipagina"/>
      </w:pPr>
      <w:r>
        <w:rPr>
          <w:rStyle w:val="Rimandonotaapidipagina"/>
        </w:rPr>
        <w:footnoteRef/>
      </w:r>
      <w:r>
        <w:t xml:space="preserve"> </w:t>
      </w:r>
      <w:r w:rsidRPr="00CA3A4E">
        <w:rPr>
          <w:sz w:val="16"/>
          <w:szCs w:val="16"/>
        </w:rPr>
        <w:t>The breakup of trust can be traced back to the famous American subprime mortgage crisis exploded in 2007.</w:t>
      </w:r>
    </w:p>
  </w:footnote>
  <w:footnote w:id="10">
    <w:p w:rsidR="00B03C33" w:rsidRPr="00CA3A4E" w:rsidRDefault="00B03C33" w:rsidP="00C677BE">
      <w:pPr>
        <w:pStyle w:val="Testonotaapidipagina"/>
        <w:spacing w:line="240" w:lineRule="exact"/>
        <w:jc w:val="both"/>
        <w:rPr>
          <w:sz w:val="16"/>
          <w:szCs w:val="16"/>
        </w:rPr>
      </w:pPr>
      <w:r>
        <w:rPr>
          <w:rStyle w:val="Rimandonotaapidipagina"/>
        </w:rPr>
        <w:footnoteRef/>
      </w:r>
      <w:r>
        <w:t xml:space="preserve"> </w:t>
      </w:r>
      <w:r w:rsidRPr="00CA3A4E">
        <w:rPr>
          <w:sz w:val="16"/>
          <w:szCs w:val="16"/>
        </w:rPr>
        <w:t>The ECB did unconventional measures by means of which it increased the maturity of the mai</w:t>
      </w:r>
      <w:r>
        <w:rPr>
          <w:sz w:val="16"/>
          <w:szCs w:val="16"/>
        </w:rPr>
        <w:t xml:space="preserve">n refinancing operations (MROs) </w:t>
      </w:r>
      <w:r w:rsidRPr="00CA3A4E">
        <w:rPr>
          <w:sz w:val="16"/>
          <w:szCs w:val="16"/>
        </w:rPr>
        <w:t>from 3 months to 1 year (LTRO) providing all the liquidity required by banks at a fixed rate (fixed rate full allotment system</w:t>
      </w:r>
      <w:r>
        <w:rPr>
          <w:sz w:val="16"/>
          <w:szCs w:val="16"/>
        </w:rPr>
        <w:t xml:space="preserve">). It amplified the eligibility of </w:t>
      </w:r>
      <w:r w:rsidRPr="00CA3A4E">
        <w:rPr>
          <w:sz w:val="16"/>
          <w:szCs w:val="16"/>
        </w:rPr>
        <w:t>bon</w:t>
      </w:r>
      <w:r>
        <w:rPr>
          <w:sz w:val="16"/>
          <w:szCs w:val="16"/>
        </w:rPr>
        <w:t>ds accepted as collateral and purchased covered bonds (60 billion in 2009 and 40 billion</w:t>
      </w:r>
      <w:r w:rsidRPr="00CA3A4E">
        <w:rPr>
          <w:sz w:val="16"/>
          <w:szCs w:val="16"/>
        </w:rPr>
        <w:t xml:space="preserve"> in 2011).</w:t>
      </w:r>
    </w:p>
  </w:footnote>
  <w:footnote w:id="11">
    <w:p w:rsidR="00B03C33" w:rsidRPr="001B1A8D" w:rsidRDefault="00B03C33" w:rsidP="00C677BE">
      <w:pPr>
        <w:pStyle w:val="Testonotaapidipagina"/>
        <w:spacing w:line="240" w:lineRule="exact"/>
        <w:jc w:val="both"/>
      </w:pPr>
      <w:r>
        <w:rPr>
          <w:rStyle w:val="Rimandonotaapidipagina"/>
        </w:rPr>
        <w:footnoteRef/>
      </w:r>
      <w:r>
        <w:t xml:space="preserve"> </w:t>
      </w:r>
      <w:r w:rsidRPr="001B1A8D">
        <w:rPr>
          <w:sz w:val="16"/>
          <w:szCs w:val="16"/>
        </w:rPr>
        <w:t>In</w:t>
      </w:r>
      <w:r>
        <w:t xml:space="preserve"> </w:t>
      </w:r>
      <w:r w:rsidRPr="001B1A8D">
        <w:rPr>
          <w:sz w:val="16"/>
          <w:szCs w:val="16"/>
        </w:rPr>
        <w:t xml:space="preserve">Greece, the problem was the massive public debt; for other countries, especially Spain and Ireland, the problem </w:t>
      </w:r>
      <w:r>
        <w:rPr>
          <w:sz w:val="16"/>
          <w:szCs w:val="16"/>
        </w:rPr>
        <w:t xml:space="preserve">was the bank debt </w:t>
      </w:r>
      <w:r w:rsidRPr="001B1A8D">
        <w:rPr>
          <w:sz w:val="16"/>
          <w:szCs w:val="16"/>
        </w:rPr>
        <w:t>successively translated in public debt because of the State aids.</w:t>
      </w:r>
    </w:p>
  </w:footnote>
  <w:footnote w:id="12">
    <w:p w:rsidR="00B03C33" w:rsidRPr="001B1A8D" w:rsidRDefault="00B03C33" w:rsidP="00C677BE">
      <w:pPr>
        <w:pStyle w:val="Testonotaapidipagina"/>
        <w:spacing w:line="240" w:lineRule="exact"/>
        <w:jc w:val="both"/>
      </w:pPr>
      <w:r>
        <w:rPr>
          <w:rStyle w:val="Rimandonotaapidipagina"/>
        </w:rPr>
        <w:footnoteRef/>
      </w:r>
      <w:r>
        <w:t xml:space="preserve"> </w:t>
      </w:r>
      <w:r>
        <w:rPr>
          <w:sz w:val="16"/>
          <w:szCs w:val="16"/>
        </w:rPr>
        <w:t xml:space="preserve">In </w:t>
      </w:r>
      <w:r w:rsidRPr="001B1A8D">
        <w:rPr>
          <w:sz w:val="16"/>
          <w:szCs w:val="16"/>
        </w:rPr>
        <w:t>May of the same year, S&amp;P revised the outlook on Italy from “stable” to “negative”. When the 1st July was diffused the S&amp;P’s bulletin that evaluated the public deficit (and debt) reduction</w:t>
      </w:r>
      <w:r>
        <w:rPr>
          <w:sz w:val="16"/>
          <w:szCs w:val="16"/>
        </w:rPr>
        <w:t xml:space="preserve"> plan drawn by Berlusconi’s government</w:t>
      </w:r>
      <w:r w:rsidRPr="001B1A8D">
        <w:rPr>
          <w:sz w:val="16"/>
          <w:szCs w:val="16"/>
        </w:rPr>
        <w:t xml:space="preserve"> (May 2008 - November 2011), the negative advice had an immediate dramatic effect on the BTP-Bund spread that expanded radically. On 7 July, the BTP-Bund spread soared beyond the quota 226 basis points, the record from the birth of the Euro. After that </w:t>
      </w:r>
      <w:r>
        <w:rPr>
          <w:sz w:val="16"/>
          <w:szCs w:val="16"/>
        </w:rPr>
        <w:t>day, new records have been recorded</w:t>
      </w:r>
      <w:r w:rsidRPr="001B1A8D">
        <w:rPr>
          <w:sz w:val="16"/>
          <w:szCs w:val="16"/>
        </w:rPr>
        <w:t>. The BTP-Bund spread stabilized in August, but in September, when the S&amp;P rating agency announced the downgrade of Italy, both CDS spread and bond spread sharply increased. The entire Europe (especially France and Germa</w:t>
      </w:r>
      <w:r>
        <w:rPr>
          <w:sz w:val="16"/>
          <w:szCs w:val="16"/>
        </w:rPr>
        <w:t>ny) focused on the Italian government</w:t>
      </w:r>
      <w:r w:rsidRPr="001B1A8D">
        <w:rPr>
          <w:sz w:val="16"/>
          <w:szCs w:val="16"/>
        </w:rPr>
        <w:t xml:space="preserve"> measures on debt and growth.</w:t>
      </w:r>
    </w:p>
  </w:footnote>
  <w:footnote w:id="13">
    <w:p w:rsidR="00B03C33" w:rsidRPr="004543CD" w:rsidRDefault="00B03C33" w:rsidP="00C677BE">
      <w:pPr>
        <w:pStyle w:val="Testonotaapidipagina"/>
        <w:spacing w:line="240" w:lineRule="exact"/>
        <w:jc w:val="both"/>
      </w:pPr>
      <w:r>
        <w:rPr>
          <w:rStyle w:val="Rimandonotaapidipagina"/>
        </w:rPr>
        <w:footnoteRef/>
      </w:r>
      <w:r>
        <w:t xml:space="preserve"> </w:t>
      </w:r>
      <w:r w:rsidRPr="004543CD">
        <w:rPr>
          <w:sz w:val="16"/>
          <w:szCs w:val="16"/>
        </w:rPr>
        <w:t>On</w:t>
      </w:r>
      <w:r>
        <w:t xml:space="preserve"> </w:t>
      </w:r>
      <w:r>
        <w:rPr>
          <w:sz w:val="16"/>
          <w:szCs w:val="16"/>
        </w:rPr>
        <w:t>9 November, Berlusconi’s government</w:t>
      </w:r>
      <w:r w:rsidRPr="004543CD">
        <w:rPr>
          <w:sz w:val="16"/>
          <w:szCs w:val="16"/>
        </w:rPr>
        <w:t xml:space="preserve"> fell down and the President of the Italian Republic (Napolitano), on</w:t>
      </w:r>
      <w:r>
        <w:rPr>
          <w:sz w:val="16"/>
          <w:szCs w:val="16"/>
        </w:rPr>
        <w:t xml:space="preserve"> 16</w:t>
      </w:r>
      <w:r w:rsidRPr="004543CD">
        <w:rPr>
          <w:sz w:val="16"/>
          <w:szCs w:val="16"/>
        </w:rPr>
        <w:t xml:space="preserve"> November, instructed Mario </w:t>
      </w:r>
      <w:proofErr w:type="spellStart"/>
      <w:r w:rsidRPr="004543CD">
        <w:rPr>
          <w:sz w:val="16"/>
          <w:szCs w:val="16"/>
        </w:rPr>
        <w:t>Monti</w:t>
      </w:r>
      <w:proofErr w:type="spellEnd"/>
      <w:r w:rsidRPr="004543CD">
        <w:rPr>
          <w:sz w:val="16"/>
          <w:szCs w:val="16"/>
        </w:rPr>
        <w:t xml:space="preserve"> to</w:t>
      </w:r>
      <w:r>
        <w:rPr>
          <w:sz w:val="16"/>
          <w:szCs w:val="16"/>
        </w:rPr>
        <w:t xml:space="preserve"> constitute a new technical government</w:t>
      </w:r>
      <w:r w:rsidRPr="004543CD">
        <w:rPr>
          <w:sz w:val="16"/>
          <w:szCs w:val="16"/>
        </w:rPr>
        <w:t xml:space="preserve">. Europe reacted positively to that guards change. Indeed, the spread went down at </w:t>
      </w:r>
      <w:r>
        <w:rPr>
          <w:sz w:val="16"/>
          <w:szCs w:val="16"/>
        </w:rPr>
        <w:t>368 basis points on 6</w:t>
      </w:r>
      <w:r w:rsidRPr="004543CD">
        <w:rPr>
          <w:sz w:val="16"/>
          <w:szCs w:val="16"/>
        </w:rPr>
        <w:t xml:space="preserve"> December. However, it went up again at 500 basis points in the end of the year.</w:t>
      </w:r>
    </w:p>
  </w:footnote>
  <w:footnote w:id="14">
    <w:p w:rsidR="00B03C33" w:rsidRPr="00626E34" w:rsidRDefault="00B03C33" w:rsidP="00C677BE">
      <w:pPr>
        <w:pStyle w:val="Testonotaapidipagina"/>
        <w:spacing w:line="240" w:lineRule="exact"/>
        <w:jc w:val="both"/>
      </w:pPr>
      <w:r>
        <w:rPr>
          <w:rStyle w:val="Rimandonotaapidipagina"/>
        </w:rPr>
        <w:footnoteRef/>
      </w:r>
      <w:r>
        <w:t xml:space="preserve"> </w:t>
      </w:r>
      <w:r>
        <w:rPr>
          <w:sz w:val="16"/>
          <w:szCs w:val="16"/>
        </w:rPr>
        <w:t>I</w:t>
      </w:r>
      <w:r w:rsidRPr="00626E34">
        <w:rPr>
          <w:sz w:val="16"/>
          <w:szCs w:val="16"/>
        </w:rPr>
        <w:t>n 2009</w:t>
      </w:r>
      <w:r>
        <w:rPr>
          <w:sz w:val="16"/>
          <w:szCs w:val="16"/>
        </w:rPr>
        <w:t>,</w:t>
      </w:r>
      <w:r w:rsidRPr="00626E34">
        <w:rPr>
          <w:sz w:val="16"/>
          <w:szCs w:val="16"/>
        </w:rPr>
        <w:t xml:space="preserve"> the ECB </w:t>
      </w:r>
      <w:r>
        <w:rPr>
          <w:sz w:val="16"/>
          <w:szCs w:val="16"/>
        </w:rPr>
        <w:t>launched</w:t>
      </w:r>
      <w:r w:rsidRPr="00626E34">
        <w:rPr>
          <w:sz w:val="16"/>
          <w:szCs w:val="16"/>
        </w:rPr>
        <w:t xml:space="preserve"> a LTRO (1 year). However, the VLTRO represented a more powerful measure to solve the dramatic situation of the Eurozone.</w:t>
      </w:r>
    </w:p>
  </w:footnote>
  <w:footnote w:id="15">
    <w:p w:rsidR="00B03C33" w:rsidRPr="00626E34" w:rsidRDefault="00B03C33" w:rsidP="00C677BE">
      <w:pPr>
        <w:pStyle w:val="Testonotaapidipagina"/>
        <w:spacing w:line="240" w:lineRule="exact"/>
        <w:jc w:val="both"/>
        <w:rPr>
          <w:sz w:val="16"/>
          <w:szCs w:val="16"/>
        </w:rPr>
      </w:pPr>
      <w:r>
        <w:rPr>
          <w:rStyle w:val="Rimandonotaapidipagina"/>
        </w:rPr>
        <w:footnoteRef/>
      </w:r>
      <w:r>
        <w:t xml:space="preserve"> </w:t>
      </w:r>
      <w:r w:rsidRPr="00626E34">
        <w:rPr>
          <w:sz w:val="16"/>
          <w:szCs w:val="16"/>
        </w:rPr>
        <w:t xml:space="preserve">It should be not a surprise that, to this day, around 2/3 of the Italian public debt is held by </w:t>
      </w:r>
      <w:r>
        <w:rPr>
          <w:sz w:val="16"/>
          <w:szCs w:val="16"/>
        </w:rPr>
        <w:t>residents: Bank of Italy, national banks, insurance companies, institutional funds and retail (Bini et al., 2018).</w:t>
      </w:r>
    </w:p>
  </w:footnote>
  <w:footnote w:id="16">
    <w:p w:rsidR="00B03C33" w:rsidRPr="00E94085" w:rsidRDefault="00B03C33">
      <w:pPr>
        <w:pStyle w:val="Testonotaapidipagina"/>
      </w:pPr>
      <w:r>
        <w:rPr>
          <w:rStyle w:val="Rimandonotaapidipagina"/>
        </w:rPr>
        <w:footnoteRef/>
      </w:r>
      <w:r w:rsidRPr="00E94085">
        <w:rPr>
          <w:sz w:val="16"/>
          <w:szCs w:val="16"/>
        </w:rPr>
        <w:t xml:space="preserve"> Limited purchase of government bonds started in 2010.</w:t>
      </w:r>
    </w:p>
  </w:footnote>
  <w:footnote w:id="17">
    <w:p w:rsidR="00B03C33" w:rsidRPr="00E94085" w:rsidRDefault="00B03C33">
      <w:pPr>
        <w:pStyle w:val="Testonotaapidipagina"/>
        <w:rPr>
          <w:sz w:val="16"/>
          <w:szCs w:val="16"/>
        </w:rPr>
      </w:pPr>
      <w:r>
        <w:rPr>
          <w:rStyle w:val="Rimandonotaapidipagina"/>
        </w:rPr>
        <w:footnoteRef/>
      </w:r>
      <w:r>
        <w:t xml:space="preserve"> </w:t>
      </w:r>
      <w:r w:rsidRPr="00E94085">
        <w:rPr>
          <w:sz w:val="16"/>
          <w:szCs w:val="16"/>
        </w:rPr>
        <w:t>The ECB policy rate level moved, from January 2012 to September 2014, from 1% to 0.05%.</w:t>
      </w:r>
    </w:p>
  </w:footnote>
  <w:footnote w:id="18">
    <w:p w:rsidR="00B03C33" w:rsidRPr="00E94085" w:rsidRDefault="00B03C33" w:rsidP="00B93295">
      <w:pPr>
        <w:pStyle w:val="Testonotaapidipagina"/>
        <w:spacing w:line="240" w:lineRule="exact"/>
        <w:jc w:val="both"/>
      </w:pPr>
      <w:r>
        <w:rPr>
          <w:rStyle w:val="Rimandonotaapidipagina"/>
        </w:rPr>
        <w:footnoteRef/>
      </w:r>
      <w:r>
        <w:t xml:space="preserve"> </w:t>
      </w:r>
      <w:r w:rsidRPr="00E94085">
        <w:rPr>
          <w:sz w:val="16"/>
          <w:szCs w:val="16"/>
        </w:rPr>
        <w:t>The purchase of government bonds by the ECB in the secondary market was to be carried out according to a risk-sharing criterion with national Central Banks. In particular, only 20% of the risk was to be borne by the ECB. In addition, the ECB had a "double limit": one of 33% in relation with the public debt of each issuer and another of 25% for each issue. The maturity of the bonds to be bought varied from 2 to 30 years, therefore, short, medium and long-term bonds.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58A9"/>
    <w:multiLevelType w:val="hybridMultilevel"/>
    <w:tmpl w:val="323A62C4"/>
    <w:lvl w:ilvl="0" w:tplc="6090D742">
      <w:start w:val="1"/>
      <w:numFmt w:val="decimal"/>
      <w:lvlText w:val="%1"/>
      <w:lvlJc w:val="left"/>
      <w:pPr>
        <w:ind w:left="587" w:hanging="474"/>
      </w:pPr>
      <w:rPr>
        <w:rFonts w:ascii="Book Antiqua" w:eastAsia="Book Antiqua" w:hAnsi="Book Antiqua" w:cs="Book Antiqua" w:hint="default"/>
        <w:b/>
        <w:bCs/>
        <w:w w:val="112"/>
        <w:sz w:val="28"/>
        <w:szCs w:val="28"/>
      </w:rPr>
    </w:lvl>
    <w:lvl w:ilvl="1" w:tplc="B7C23D2C">
      <w:start w:val="1"/>
      <w:numFmt w:val="decimal"/>
      <w:lvlText w:val="%2."/>
      <w:lvlJc w:val="left"/>
      <w:pPr>
        <w:ind w:left="612" w:hanging="255"/>
      </w:pPr>
      <w:rPr>
        <w:rFonts w:ascii="Book Antiqua" w:eastAsia="Book Antiqua" w:hAnsi="Book Antiqua" w:cs="Book Antiqua" w:hint="default"/>
        <w:spacing w:val="-1"/>
        <w:w w:val="103"/>
        <w:sz w:val="20"/>
        <w:szCs w:val="20"/>
      </w:rPr>
    </w:lvl>
    <w:lvl w:ilvl="2" w:tplc="1618E1DA">
      <w:numFmt w:val="bullet"/>
      <w:lvlText w:val="•"/>
      <w:lvlJc w:val="left"/>
      <w:pPr>
        <w:ind w:left="760" w:hanging="255"/>
      </w:pPr>
      <w:rPr>
        <w:rFonts w:hint="default"/>
      </w:rPr>
    </w:lvl>
    <w:lvl w:ilvl="3" w:tplc="EE06DA62">
      <w:numFmt w:val="bullet"/>
      <w:lvlText w:val="•"/>
      <w:lvlJc w:val="left"/>
      <w:pPr>
        <w:ind w:left="1940" w:hanging="255"/>
      </w:pPr>
      <w:rPr>
        <w:rFonts w:hint="default"/>
      </w:rPr>
    </w:lvl>
    <w:lvl w:ilvl="4" w:tplc="7E0E6990">
      <w:numFmt w:val="bullet"/>
      <w:lvlText w:val="•"/>
      <w:lvlJc w:val="left"/>
      <w:pPr>
        <w:ind w:left="3120" w:hanging="255"/>
      </w:pPr>
      <w:rPr>
        <w:rFonts w:hint="default"/>
      </w:rPr>
    </w:lvl>
    <w:lvl w:ilvl="5" w:tplc="385435BC">
      <w:numFmt w:val="bullet"/>
      <w:lvlText w:val="•"/>
      <w:lvlJc w:val="left"/>
      <w:pPr>
        <w:ind w:left="4300" w:hanging="255"/>
      </w:pPr>
      <w:rPr>
        <w:rFonts w:hint="default"/>
      </w:rPr>
    </w:lvl>
    <w:lvl w:ilvl="6" w:tplc="FABA6D5A">
      <w:numFmt w:val="bullet"/>
      <w:lvlText w:val="•"/>
      <w:lvlJc w:val="left"/>
      <w:pPr>
        <w:ind w:left="5480" w:hanging="255"/>
      </w:pPr>
      <w:rPr>
        <w:rFonts w:hint="default"/>
      </w:rPr>
    </w:lvl>
    <w:lvl w:ilvl="7" w:tplc="898C5368">
      <w:numFmt w:val="bullet"/>
      <w:lvlText w:val="•"/>
      <w:lvlJc w:val="left"/>
      <w:pPr>
        <w:ind w:left="6660" w:hanging="255"/>
      </w:pPr>
      <w:rPr>
        <w:rFonts w:hint="default"/>
      </w:rPr>
    </w:lvl>
    <w:lvl w:ilvl="8" w:tplc="524C871C">
      <w:numFmt w:val="bullet"/>
      <w:lvlText w:val="•"/>
      <w:lvlJc w:val="left"/>
      <w:pPr>
        <w:ind w:left="7840" w:hanging="255"/>
      </w:pPr>
      <w:rPr>
        <w:rFonts w:hint="default"/>
      </w:rPr>
    </w:lvl>
  </w:abstractNum>
  <w:abstractNum w:abstractNumId="1">
    <w:nsid w:val="1CAA6E8E"/>
    <w:multiLevelType w:val="multilevel"/>
    <w:tmpl w:val="BF1ADEBE"/>
    <w:lvl w:ilvl="0">
      <w:start w:val="5"/>
      <w:numFmt w:val="decimal"/>
      <w:lvlText w:val="%1"/>
      <w:lvlJc w:val="left"/>
      <w:pPr>
        <w:ind w:left="726" w:hanging="613"/>
      </w:pPr>
      <w:rPr>
        <w:rFonts w:hint="default"/>
      </w:rPr>
    </w:lvl>
    <w:lvl w:ilvl="1">
      <w:start w:val="1"/>
      <w:numFmt w:val="decimal"/>
      <w:lvlText w:val="%1.%2"/>
      <w:lvlJc w:val="left"/>
      <w:pPr>
        <w:ind w:left="726" w:hanging="613"/>
      </w:pPr>
      <w:rPr>
        <w:rFonts w:ascii="Calibri" w:eastAsia="Calibri" w:hAnsi="Calibri" w:cs="Calibri" w:hint="default"/>
        <w:b/>
        <w:bCs/>
        <w:w w:val="111"/>
        <w:sz w:val="24"/>
        <w:szCs w:val="24"/>
      </w:rPr>
    </w:lvl>
    <w:lvl w:ilvl="2">
      <w:numFmt w:val="bullet"/>
      <w:lvlText w:val="•"/>
      <w:lvlJc w:val="left"/>
      <w:pPr>
        <w:ind w:left="2616" w:hanging="613"/>
      </w:pPr>
      <w:rPr>
        <w:rFonts w:hint="default"/>
      </w:rPr>
    </w:lvl>
    <w:lvl w:ilvl="3">
      <w:numFmt w:val="bullet"/>
      <w:lvlText w:val="•"/>
      <w:lvlJc w:val="left"/>
      <w:pPr>
        <w:ind w:left="3564" w:hanging="613"/>
      </w:pPr>
      <w:rPr>
        <w:rFonts w:hint="default"/>
      </w:rPr>
    </w:lvl>
    <w:lvl w:ilvl="4">
      <w:numFmt w:val="bullet"/>
      <w:lvlText w:val="•"/>
      <w:lvlJc w:val="left"/>
      <w:pPr>
        <w:ind w:left="4512" w:hanging="613"/>
      </w:pPr>
      <w:rPr>
        <w:rFonts w:hint="default"/>
      </w:rPr>
    </w:lvl>
    <w:lvl w:ilvl="5">
      <w:numFmt w:val="bullet"/>
      <w:lvlText w:val="•"/>
      <w:lvlJc w:val="left"/>
      <w:pPr>
        <w:ind w:left="5460" w:hanging="613"/>
      </w:pPr>
      <w:rPr>
        <w:rFonts w:hint="default"/>
      </w:rPr>
    </w:lvl>
    <w:lvl w:ilvl="6">
      <w:numFmt w:val="bullet"/>
      <w:lvlText w:val="•"/>
      <w:lvlJc w:val="left"/>
      <w:pPr>
        <w:ind w:left="6408" w:hanging="613"/>
      </w:pPr>
      <w:rPr>
        <w:rFonts w:hint="default"/>
      </w:rPr>
    </w:lvl>
    <w:lvl w:ilvl="7">
      <w:numFmt w:val="bullet"/>
      <w:lvlText w:val="•"/>
      <w:lvlJc w:val="left"/>
      <w:pPr>
        <w:ind w:left="7356" w:hanging="613"/>
      </w:pPr>
      <w:rPr>
        <w:rFonts w:hint="default"/>
      </w:rPr>
    </w:lvl>
    <w:lvl w:ilvl="8">
      <w:numFmt w:val="bullet"/>
      <w:lvlText w:val="•"/>
      <w:lvlJc w:val="left"/>
      <w:pPr>
        <w:ind w:left="8304" w:hanging="613"/>
      </w:pPr>
      <w:rPr>
        <w:rFonts w:hint="default"/>
      </w:rPr>
    </w:lvl>
  </w:abstractNum>
  <w:abstractNum w:abstractNumId="2">
    <w:nsid w:val="2A39046A"/>
    <w:multiLevelType w:val="hybridMultilevel"/>
    <w:tmpl w:val="E6107828"/>
    <w:lvl w:ilvl="0" w:tplc="FEAE170E">
      <w:start w:val="1"/>
      <w:numFmt w:val="decimal"/>
      <w:lvlText w:val="%1."/>
      <w:lvlJc w:val="left"/>
      <w:pPr>
        <w:ind w:left="612" w:hanging="255"/>
      </w:pPr>
      <w:rPr>
        <w:rFonts w:ascii="Book Antiqua" w:eastAsia="Book Antiqua" w:hAnsi="Book Antiqua" w:cs="Book Antiqua" w:hint="default"/>
        <w:spacing w:val="-1"/>
        <w:w w:val="103"/>
        <w:sz w:val="20"/>
        <w:szCs w:val="20"/>
      </w:rPr>
    </w:lvl>
    <w:lvl w:ilvl="1" w:tplc="EA1A9ABE">
      <w:start w:val="1"/>
      <w:numFmt w:val="lowerLetter"/>
      <w:lvlText w:val="%2)"/>
      <w:lvlJc w:val="left"/>
      <w:pPr>
        <w:ind w:left="886" w:hanging="275"/>
      </w:pPr>
      <w:rPr>
        <w:rFonts w:ascii="Book Antiqua" w:eastAsia="Book Antiqua" w:hAnsi="Book Antiqua" w:cs="Book Antiqua" w:hint="default"/>
        <w:spacing w:val="-1"/>
        <w:w w:val="106"/>
        <w:sz w:val="20"/>
        <w:szCs w:val="20"/>
      </w:rPr>
    </w:lvl>
    <w:lvl w:ilvl="2" w:tplc="E8603258">
      <w:numFmt w:val="bullet"/>
      <w:lvlText w:val="•"/>
      <w:lvlJc w:val="left"/>
      <w:pPr>
        <w:ind w:left="1960" w:hanging="275"/>
      </w:pPr>
      <w:rPr>
        <w:rFonts w:hint="default"/>
      </w:rPr>
    </w:lvl>
    <w:lvl w:ilvl="3" w:tplc="C62AAB38">
      <w:numFmt w:val="bullet"/>
      <w:lvlText w:val="•"/>
      <w:lvlJc w:val="left"/>
      <w:pPr>
        <w:ind w:left="3040" w:hanging="275"/>
      </w:pPr>
      <w:rPr>
        <w:rFonts w:hint="default"/>
      </w:rPr>
    </w:lvl>
    <w:lvl w:ilvl="4" w:tplc="0438333E">
      <w:numFmt w:val="bullet"/>
      <w:lvlText w:val="•"/>
      <w:lvlJc w:val="left"/>
      <w:pPr>
        <w:ind w:left="4120" w:hanging="275"/>
      </w:pPr>
      <w:rPr>
        <w:rFonts w:hint="default"/>
      </w:rPr>
    </w:lvl>
    <w:lvl w:ilvl="5" w:tplc="30942A72">
      <w:numFmt w:val="bullet"/>
      <w:lvlText w:val="•"/>
      <w:lvlJc w:val="left"/>
      <w:pPr>
        <w:ind w:left="5200" w:hanging="275"/>
      </w:pPr>
      <w:rPr>
        <w:rFonts w:hint="default"/>
      </w:rPr>
    </w:lvl>
    <w:lvl w:ilvl="6" w:tplc="E0F24D8A">
      <w:numFmt w:val="bullet"/>
      <w:lvlText w:val="•"/>
      <w:lvlJc w:val="left"/>
      <w:pPr>
        <w:ind w:left="6280" w:hanging="275"/>
      </w:pPr>
      <w:rPr>
        <w:rFonts w:hint="default"/>
      </w:rPr>
    </w:lvl>
    <w:lvl w:ilvl="7" w:tplc="28CECC86">
      <w:numFmt w:val="bullet"/>
      <w:lvlText w:val="•"/>
      <w:lvlJc w:val="left"/>
      <w:pPr>
        <w:ind w:left="7360" w:hanging="275"/>
      </w:pPr>
      <w:rPr>
        <w:rFonts w:hint="default"/>
      </w:rPr>
    </w:lvl>
    <w:lvl w:ilvl="8" w:tplc="D90E7ADA">
      <w:numFmt w:val="bullet"/>
      <w:lvlText w:val="•"/>
      <w:lvlJc w:val="left"/>
      <w:pPr>
        <w:ind w:left="8440" w:hanging="275"/>
      </w:pPr>
      <w:rPr>
        <w:rFonts w:hint="default"/>
      </w:rPr>
    </w:lvl>
  </w:abstractNum>
  <w:abstractNum w:abstractNumId="3">
    <w:nsid w:val="2BF33AEC"/>
    <w:multiLevelType w:val="hybridMultilevel"/>
    <w:tmpl w:val="4282D70E"/>
    <w:lvl w:ilvl="0" w:tplc="B3600EE0">
      <w:numFmt w:val="bullet"/>
      <w:lvlText w:val="•"/>
      <w:lvlJc w:val="left"/>
      <w:pPr>
        <w:ind w:left="612" w:hanging="200"/>
      </w:pPr>
      <w:rPr>
        <w:rFonts w:ascii="Arial" w:eastAsia="Arial" w:hAnsi="Arial" w:cs="Arial" w:hint="default"/>
        <w:i/>
        <w:w w:val="142"/>
        <w:sz w:val="20"/>
        <w:szCs w:val="20"/>
      </w:rPr>
    </w:lvl>
    <w:lvl w:ilvl="1" w:tplc="29C02566">
      <w:numFmt w:val="bullet"/>
      <w:lvlText w:val="•"/>
      <w:lvlJc w:val="left"/>
      <w:pPr>
        <w:ind w:left="1618" w:hanging="200"/>
      </w:pPr>
      <w:rPr>
        <w:rFonts w:hint="default"/>
      </w:rPr>
    </w:lvl>
    <w:lvl w:ilvl="2" w:tplc="0772F97E">
      <w:numFmt w:val="bullet"/>
      <w:lvlText w:val="•"/>
      <w:lvlJc w:val="left"/>
      <w:pPr>
        <w:ind w:left="2616" w:hanging="200"/>
      </w:pPr>
      <w:rPr>
        <w:rFonts w:hint="default"/>
      </w:rPr>
    </w:lvl>
    <w:lvl w:ilvl="3" w:tplc="00A2B4C8">
      <w:numFmt w:val="bullet"/>
      <w:lvlText w:val="•"/>
      <w:lvlJc w:val="left"/>
      <w:pPr>
        <w:ind w:left="3614" w:hanging="200"/>
      </w:pPr>
      <w:rPr>
        <w:rFonts w:hint="default"/>
      </w:rPr>
    </w:lvl>
    <w:lvl w:ilvl="4" w:tplc="D88E6EE8">
      <w:numFmt w:val="bullet"/>
      <w:lvlText w:val="•"/>
      <w:lvlJc w:val="left"/>
      <w:pPr>
        <w:ind w:left="4612" w:hanging="200"/>
      </w:pPr>
      <w:rPr>
        <w:rFonts w:hint="default"/>
      </w:rPr>
    </w:lvl>
    <w:lvl w:ilvl="5" w:tplc="3F04DCD0">
      <w:numFmt w:val="bullet"/>
      <w:lvlText w:val="•"/>
      <w:lvlJc w:val="left"/>
      <w:pPr>
        <w:ind w:left="5610" w:hanging="200"/>
      </w:pPr>
      <w:rPr>
        <w:rFonts w:hint="default"/>
      </w:rPr>
    </w:lvl>
    <w:lvl w:ilvl="6" w:tplc="AF0A8CE8">
      <w:numFmt w:val="bullet"/>
      <w:lvlText w:val="•"/>
      <w:lvlJc w:val="left"/>
      <w:pPr>
        <w:ind w:left="6608" w:hanging="200"/>
      </w:pPr>
      <w:rPr>
        <w:rFonts w:hint="default"/>
      </w:rPr>
    </w:lvl>
    <w:lvl w:ilvl="7" w:tplc="11C28824">
      <w:numFmt w:val="bullet"/>
      <w:lvlText w:val="•"/>
      <w:lvlJc w:val="left"/>
      <w:pPr>
        <w:ind w:left="7606" w:hanging="200"/>
      </w:pPr>
      <w:rPr>
        <w:rFonts w:hint="default"/>
      </w:rPr>
    </w:lvl>
    <w:lvl w:ilvl="8" w:tplc="6384537A">
      <w:numFmt w:val="bullet"/>
      <w:lvlText w:val="•"/>
      <w:lvlJc w:val="left"/>
      <w:pPr>
        <w:ind w:left="8604" w:hanging="200"/>
      </w:pPr>
      <w:rPr>
        <w:rFonts w:hint="default"/>
      </w:rPr>
    </w:lvl>
  </w:abstractNum>
  <w:abstractNum w:abstractNumId="4">
    <w:nsid w:val="354856B4"/>
    <w:multiLevelType w:val="hybridMultilevel"/>
    <w:tmpl w:val="F7BA1EB8"/>
    <w:lvl w:ilvl="0" w:tplc="0410000F">
      <w:start w:val="1"/>
      <w:numFmt w:val="decimal"/>
      <w:lvlText w:val="%1."/>
      <w:lvlJc w:val="left"/>
      <w:pPr>
        <w:ind w:left="832" w:hanging="360"/>
      </w:pPr>
    </w:lvl>
    <w:lvl w:ilvl="1" w:tplc="04100019" w:tentative="1">
      <w:start w:val="1"/>
      <w:numFmt w:val="lowerLetter"/>
      <w:lvlText w:val="%2."/>
      <w:lvlJc w:val="left"/>
      <w:pPr>
        <w:ind w:left="1552" w:hanging="360"/>
      </w:pPr>
    </w:lvl>
    <w:lvl w:ilvl="2" w:tplc="0410001B" w:tentative="1">
      <w:start w:val="1"/>
      <w:numFmt w:val="lowerRoman"/>
      <w:lvlText w:val="%3."/>
      <w:lvlJc w:val="right"/>
      <w:pPr>
        <w:ind w:left="2272" w:hanging="180"/>
      </w:pPr>
    </w:lvl>
    <w:lvl w:ilvl="3" w:tplc="0410000F" w:tentative="1">
      <w:start w:val="1"/>
      <w:numFmt w:val="decimal"/>
      <w:lvlText w:val="%4."/>
      <w:lvlJc w:val="left"/>
      <w:pPr>
        <w:ind w:left="2992" w:hanging="360"/>
      </w:pPr>
    </w:lvl>
    <w:lvl w:ilvl="4" w:tplc="04100019" w:tentative="1">
      <w:start w:val="1"/>
      <w:numFmt w:val="lowerLetter"/>
      <w:lvlText w:val="%5."/>
      <w:lvlJc w:val="left"/>
      <w:pPr>
        <w:ind w:left="3712" w:hanging="360"/>
      </w:pPr>
    </w:lvl>
    <w:lvl w:ilvl="5" w:tplc="0410001B" w:tentative="1">
      <w:start w:val="1"/>
      <w:numFmt w:val="lowerRoman"/>
      <w:lvlText w:val="%6."/>
      <w:lvlJc w:val="right"/>
      <w:pPr>
        <w:ind w:left="4432" w:hanging="180"/>
      </w:pPr>
    </w:lvl>
    <w:lvl w:ilvl="6" w:tplc="0410000F" w:tentative="1">
      <w:start w:val="1"/>
      <w:numFmt w:val="decimal"/>
      <w:lvlText w:val="%7."/>
      <w:lvlJc w:val="left"/>
      <w:pPr>
        <w:ind w:left="5152" w:hanging="360"/>
      </w:pPr>
    </w:lvl>
    <w:lvl w:ilvl="7" w:tplc="04100019" w:tentative="1">
      <w:start w:val="1"/>
      <w:numFmt w:val="lowerLetter"/>
      <w:lvlText w:val="%8."/>
      <w:lvlJc w:val="left"/>
      <w:pPr>
        <w:ind w:left="5872" w:hanging="360"/>
      </w:pPr>
    </w:lvl>
    <w:lvl w:ilvl="8" w:tplc="0410001B" w:tentative="1">
      <w:start w:val="1"/>
      <w:numFmt w:val="lowerRoman"/>
      <w:lvlText w:val="%9."/>
      <w:lvlJc w:val="right"/>
      <w:pPr>
        <w:ind w:left="6592" w:hanging="180"/>
      </w:pPr>
    </w:lvl>
  </w:abstractNum>
  <w:abstractNum w:abstractNumId="5">
    <w:nsid w:val="450757B3"/>
    <w:multiLevelType w:val="hybridMultilevel"/>
    <w:tmpl w:val="92ECCD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61A71EB"/>
    <w:multiLevelType w:val="hybridMultilevel"/>
    <w:tmpl w:val="39E67CEA"/>
    <w:lvl w:ilvl="0" w:tplc="9F7A80AE">
      <w:start w:val="1"/>
      <w:numFmt w:val="lowerLetter"/>
      <w:lvlText w:val="%1)"/>
      <w:lvlJc w:val="left"/>
      <w:pPr>
        <w:ind w:left="855" w:hanging="244"/>
      </w:pPr>
      <w:rPr>
        <w:rFonts w:ascii="Book Antiqua" w:eastAsia="Book Antiqua" w:hAnsi="Book Antiqua" w:cs="Book Antiqua" w:hint="default"/>
        <w:spacing w:val="-1"/>
        <w:w w:val="106"/>
        <w:sz w:val="20"/>
        <w:szCs w:val="20"/>
      </w:rPr>
    </w:lvl>
    <w:lvl w:ilvl="1" w:tplc="262E2D10">
      <w:numFmt w:val="bullet"/>
      <w:lvlText w:val="•"/>
      <w:lvlJc w:val="left"/>
      <w:pPr>
        <w:ind w:left="1794" w:hanging="244"/>
      </w:pPr>
      <w:rPr>
        <w:rFonts w:hint="default"/>
      </w:rPr>
    </w:lvl>
    <w:lvl w:ilvl="2" w:tplc="1ED08ACE">
      <w:numFmt w:val="bullet"/>
      <w:lvlText w:val="•"/>
      <w:lvlJc w:val="left"/>
      <w:pPr>
        <w:ind w:left="2728" w:hanging="244"/>
      </w:pPr>
      <w:rPr>
        <w:rFonts w:hint="default"/>
      </w:rPr>
    </w:lvl>
    <w:lvl w:ilvl="3" w:tplc="6DC00240">
      <w:numFmt w:val="bullet"/>
      <w:lvlText w:val="•"/>
      <w:lvlJc w:val="left"/>
      <w:pPr>
        <w:ind w:left="3662" w:hanging="244"/>
      </w:pPr>
      <w:rPr>
        <w:rFonts w:hint="default"/>
      </w:rPr>
    </w:lvl>
    <w:lvl w:ilvl="4" w:tplc="A964CFC8">
      <w:numFmt w:val="bullet"/>
      <w:lvlText w:val="•"/>
      <w:lvlJc w:val="left"/>
      <w:pPr>
        <w:ind w:left="4596" w:hanging="244"/>
      </w:pPr>
      <w:rPr>
        <w:rFonts w:hint="default"/>
      </w:rPr>
    </w:lvl>
    <w:lvl w:ilvl="5" w:tplc="EC7E54F2">
      <w:numFmt w:val="bullet"/>
      <w:lvlText w:val="•"/>
      <w:lvlJc w:val="left"/>
      <w:pPr>
        <w:ind w:left="5530" w:hanging="244"/>
      </w:pPr>
      <w:rPr>
        <w:rFonts w:hint="default"/>
      </w:rPr>
    </w:lvl>
    <w:lvl w:ilvl="6" w:tplc="365CEE32">
      <w:numFmt w:val="bullet"/>
      <w:lvlText w:val="•"/>
      <w:lvlJc w:val="left"/>
      <w:pPr>
        <w:ind w:left="6464" w:hanging="244"/>
      </w:pPr>
      <w:rPr>
        <w:rFonts w:hint="default"/>
      </w:rPr>
    </w:lvl>
    <w:lvl w:ilvl="7" w:tplc="BD8AF0BE">
      <w:numFmt w:val="bullet"/>
      <w:lvlText w:val="•"/>
      <w:lvlJc w:val="left"/>
      <w:pPr>
        <w:ind w:left="7398" w:hanging="244"/>
      </w:pPr>
      <w:rPr>
        <w:rFonts w:hint="default"/>
      </w:rPr>
    </w:lvl>
    <w:lvl w:ilvl="8" w:tplc="4986F39A">
      <w:numFmt w:val="bullet"/>
      <w:lvlText w:val="•"/>
      <w:lvlJc w:val="left"/>
      <w:pPr>
        <w:ind w:left="8332" w:hanging="244"/>
      </w:pPr>
      <w:rPr>
        <w:rFonts w:hint="default"/>
      </w:rPr>
    </w:lvl>
  </w:abstractNum>
  <w:abstractNum w:abstractNumId="7">
    <w:nsid w:val="5F72523A"/>
    <w:multiLevelType w:val="multilevel"/>
    <w:tmpl w:val="A4ACE844"/>
    <w:lvl w:ilvl="0">
      <w:start w:val="1"/>
      <w:numFmt w:val="decimal"/>
      <w:lvlText w:val="%1"/>
      <w:lvlJc w:val="left"/>
      <w:pPr>
        <w:ind w:left="412" w:hanging="299"/>
      </w:pPr>
      <w:rPr>
        <w:rFonts w:ascii="Georgia" w:eastAsia="Georgia" w:hAnsi="Georgia" w:cs="Georgia" w:hint="default"/>
        <w:b/>
        <w:bCs/>
        <w:w w:val="116"/>
        <w:sz w:val="20"/>
        <w:szCs w:val="20"/>
      </w:rPr>
    </w:lvl>
    <w:lvl w:ilvl="1">
      <w:start w:val="1"/>
      <w:numFmt w:val="decimal"/>
      <w:lvlText w:val="%1.%2"/>
      <w:lvlJc w:val="left"/>
      <w:pPr>
        <w:ind w:left="870" w:hanging="459"/>
      </w:pPr>
      <w:rPr>
        <w:rFonts w:ascii="Book Antiqua" w:eastAsia="Book Antiqua" w:hAnsi="Book Antiqua" w:cs="Book Antiqua" w:hint="default"/>
        <w:spacing w:val="-1"/>
        <w:w w:val="101"/>
        <w:sz w:val="20"/>
        <w:szCs w:val="20"/>
      </w:rPr>
    </w:lvl>
    <w:lvl w:ilvl="2">
      <w:numFmt w:val="bullet"/>
      <w:lvlText w:val="•"/>
      <w:lvlJc w:val="left"/>
      <w:pPr>
        <w:ind w:left="1915" w:hanging="459"/>
      </w:pPr>
      <w:rPr>
        <w:rFonts w:hint="default"/>
      </w:rPr>
    </w:lvl>
    <w:lvl w:ilvl="3">
      <w:numFmt w:val="bullet"/>
      <w:lvlText w:val="•"/>
      <w:lvlJc w:val="left"/>
      <w:pPr>
        <w:ind w:left="2951" w:hanging="459"/>
      </w:pPr>
      <w:rPr>
        <w:rFonts w:hint="default"/>
      </w:rPr>
    </w:lvl>
    <w:lvl w:ilvl="4">
      <w:numFmt w:val="bullet"/>
      <w:lvlText w:val="•"/>
      <w:lvlJc w:val="left"/>
      <w:pPr>
        <w:ind w:left="3986" w:hanging="459"/>
      </w:pPr>
      <w:rPr>
        <w:rFonts w:hint="default"/>
      </w:rPr>
    </w:lvl>
    <w:lvl w:ilvl="5">
      <w:numFmt w:val="bullet"/>
      <w:lvlText w:val="•"/>
      <w:lvlJc w:val="left"/>
      <w:pPr>
        <w:ind w:left="5022" w:hanging="459"/>
      </w:pPr>
      <w:rPr>
        <w:rFonts w:hint="default"/>
      </w:rPr>
    </w:lvl>
    <w:lvl w:ilvl="6">
      <w:numFmt w:val="bullet"/>
      <w:lvlText w:val="•"/>
      <w:lvlJc w:val="left"/>
      <w:pPr>
        <w:ind w:left="6057" w:hanging="459"/>
      </w:pPr>
      <w:rPr>
        <w:rFonts w:hint="default"/>
      </w:rPr>
    </w:lvl>
    <w:lvl w:ilvl="7">
      <w:numFmt w:val="bullet"/>
      <w:lvlText w:val="•"/>
      <w:lvlJc w:val="left"/>
      <w:pPr>
        <w:ind w:left="7093" w:hanging="459"/>
      </w:pPr>
      <w:rPr>
        <w:rFonts w:hint="default"/>
      </w:rPr>
    </w:lvl>
    <w:lvl w:ilvl="8">
      <w:numFmt w:val="bullet"/>
      <w:lvlText w:val="•"/>
      <w:lvlJc w:val="left"/>
      <w:pPr>
        <w:ind w:left="8128" w:hanging="459"/>
      </w:pPr>
      <w:rPr>
        <w:rFonts w:hint="default"/>
      </w:rPr>
    </w:lvl>
  </w:abstractNum>
  <w:abstractNum w:abstractNumId="8">
    <w:nsid w:val="70523B7E"/>
    <w:multiLevelType w:val="hybridMultilevel"/>
    <w:tmpl w:val="0212CDA2"/>
    <w:lvl w:ilvl="0" w:tplc="41FCD9CA">
      <w:start w:val="1"/>
      <w:numFmt w:val="decimal"/>
      <w:lvlText w:val="[%1]"/>
      <w:lvlJc w:val="left"/>
      <w:pPr>
        <w:ind w:left="523" w:hanging="310"/>
        <w:jc w:val="right"/>
      </w:pPr>
      <w:rPr>
        <w:rFonts w:ascii="Book Antiqua" w:eastAsia="Book Antiqua" w:hAnsi="Book Antiqua" w:cs="Book Antiqua" w:hint="default"/>
        <w:spacing w:val="-1"/>
        <w:w w:val="90"/>
        <w:sz w:val="20"/>
        <w:szCs w:val="20"/>
      </w:rPr>
    </w:lvl>
    <w:lvl w:ilvl="1" w:tplc="9E06EED0">
      <w:numFmt w:val="bullet"/>
      <w:lvlText w:val="•"/>
      <w:lvlJc w:val="left"/>
      <w:pPr>
        <w:ind w:left="612" w:hanging="200"/>
      </w:pPr>
      <w:rPr>
        <w:rFonts w:ascii="Arial" w:eastAsia="Arial" w:hAnsi="Arial" w:cs="Arial" w:hint="default"/>
        <w:i/>
        <w:w w:val="142"/>
        <w:sz w:val="20"/>
        <w:szCs w:val="20"/>
      </w:rPr>
    </w:lvl>
    <w:lvl w:ilvl="2" w:tplc="27AA172E">
      <w:numFmt w:val="bullet"/>
      <w:lvlText w:val="•"/>
      <w:lvlJc w:val="left"/>
      <w:pPr>
        <w:ind w:left="1684" w:hanging="200"/>
      </w:pPr>
      <w:rPr>
        <w:rFonts w:hint="default"/>
      </w:rPr>
    </w:lvl>
    <w:lvl w:ilvl="3" w:tplc="84589D46">
      <w:numFmt w:val="bullet"/>
      <w:lvlText w:val="•"/>
      <w:lvlJc w:val="left"/>
      <w:pPr>
        <w:ind w:left="2748" w:hanging="200"/>
      </w:pPr>
      <w:rPr>
        <w:rFonts w:hint="default"/>
      </w:rPr>
    </w:lvl>
    <w:lvl w:ilvl="4" w:tplc="25FE0276">
      <w:numFmt w:val="bullet"/>
      <w:lvlText w:val="•"/>
      <w:lvlJc w:val="left"/>
      <w:pPr>
        <w:ind w:left="3813" w:hanging="200"/>
      </w:pPr>
      <w:rPr>
        <w:rFonts w:hint="default"/>
      </w:rPr>
    </w:lvl>
    <w:lvl w:ilvl="5" w:tplc="A5B6DA28">
      <w:numFmt w:val="bullet"/>
      <w:lvlText w:val="•"/>
      <w:lvlJc w:val="left"/>
      <w:pPr>
        <w:ind w:left="4877" w:hanging="200"/>
      </w:pPr>
      <w:rPr>
        <w:rFonts w:hint="default"/>
      </w:rPr>
    </w:lvl>
    <w:lvl w:ilvl="6" w:tplc="ED2095BC">
      <w:numFmt w:val="bullet"/>
      <w:lvlText w:val="•"/>
      <w:lvlJc w:val="left"/>
      <w:pPr>
        <w:ind w:left="5942" w:hanging="200"/>
      </w:pPr>
      <w:rPr>
        <w:rFonts w:hint="default"/>
      </w:rPr>
    </w:lvl>
    <w:lvl w:ilvl="7" w:tplc="B066C00E">
      <w:numFmt w:val="bullet"/>
      <w:lvlText w:val="•"/>
      <w:lvlJc w:val="left"/>
      <w:pPr>
        <w:ind w:left="7006" w:hanging="200"/>
      </w:pPr>
      <w:rPr>
        <w:rFonts w:hint="default"/>
      </w:rPr>
    </w:lvl>
    <w:lvl w:ilvl="8" w:tplc="4D52BE96">
      <w:numFmt w:val="bullet"/>
      <w:lvlText w:val="•"/>
      <w:lvlJc w:val="left"/>
      <w:pPr>
        <w:ind w:left="8071" w:hanging="200"/>
      </w:pPr>
      <w:rPr>
        <w:rFonts w:hint="default"/>
      </w:rPr>
    </w:lvl>
  </w:abstractNum>
  <w:abstractNum w:abstractNumId="9">
    <w:nsid w:val="7C5F209D"/>
    <w:multiLevelType w:val="hybridMultilevel"/>
    <w:tmpl w:val="9F783B24"/>
    <w:lvl w:ilvl="0" w:tplc="28E89552">
      <w:numFmt w:val="bullet"/>
      <w:lvlText w:val="•"/>
      <w:lvlJc w:val="left"/>
      <w:pPr>
        <w:ind w:left="612" w:hanging="200"/>
      </w:pPr>
      <w:rPr>
        <w:rFonts w:ascii="Arial" w:eastAsia="Arial" w:hAnsi="Arial" w:cs="Arial" w:hint="default"/>
        <w:i/>
        <w:w w:val="142"/>
        <w:sz w:val="20"/>
        <w:szCs w:val="20"/>
      </w:rPr>
    </w:lvl>
    <w:lvl w:ilvl="1" w:tplc="CEB45D4C">
      <w:numFmt w:val="bullet"/>
      <w:lvlText w:val="•"/>
      <w:lvlJc w:val="left"/>
      <w:pPr>
        <w:ind w:left="1578" w:hanging="200"/>
      </w:pPr>
      <w:rPr>
        <w:rFonts w:hint="default"/>
      </w:rPr>
    </w:lvl>
    <w:lvl w:ilvl="2" w:tplc="A7D62A30">
      <w:numFmt w:val="bullet"/>
      <w:lvlText w:val="•"/>
      <w:lvlJc w:val="left"/>
      <w:pPr>
        <w:ind w:left="2536" w:hanging="200"/>
      </w:pPr>
      <w:rPr>
        <w:rFonts w:hint="default"/>
      </w:rPr>
    </w:lvl>
    <w:lvl w:ilvl="3" w:tplc="F71CACBE">
      <w:numFmt w:val="bullet"/>
      <w:lvlText w:val="•"/>
      <w:lvlJc w:val="left"/>
      <w:pPr>
        <w:ind w:left="3494" w:hanging="200"/>
      </w:pPr>
      <w:rPr>
        <w:rFonts w:hint="default"/>
      </w:rPr>
    </w:lvl>
    <w:lvl w:ilvl="4" w:tplc="80801AA2">
      <w:numFmt w:val="bullet"/>
      <w:lvlText w:val="•"/>
      <w:lvlJc w:val="left"/>
      <w:pPr>
        <w:ind w:left="4452" w:hanging="200"/>
      </w:pPr>
      <w:rPr>
        <w:rFonts w:hint="default"/>
      </w:rPr>
    </w:lvl>
    <w:lvl w:ilvl="5" w:tplc="FFDE8722">
      <w:numFmt w:val="bullet"/>
      <w:lvlText w:val="•"/>
      <w:lvlJc w:val="left"/>
      <w:pPr>
        <w:ind w:left="5410" w:hanging="200"/>
      </w:pPr>
      <w:rPr>
        <w:rFonts w:hint="default"/>
      </w:rPr>
    </w:lvl>
    <w:lvl w:ilvl="6" w:tplc="90188326">
      <w:numFmt w:val="bullet"/>
      <w:lvlText w:val="•"/>
      <w:lvlJc w:val="left"/>
      <w:pPr>
        <w:ind w:left="6368" w:hanging="200"/>
      </w:pPr>
      <w:rPr>
        <w:rFonts w:hint="default"/>
      </w:rPr>
    </w:lvl>
    <w:lvl w:ilvl="7" w:tplc="B8087850">
      <w:numFmt w:val="bullet"/>
      <w:lvlText w:val="•"/>
      <w:lvlJc w:val="left"/>
      <w:pPr>
        <w:ind w:left="7326" w:hanging="200"/>
      </w:pPr>
      <w:rPr>
        <w:rFonts w:hint="default"/>
      </w:rPr>
    </w:lvl>
    <w:lvl w:ilvl="8" w:tplc="FC54D05C">
      <w:numFmt w:val="bullet"/>
      <w:lvlText w:val="•"/>
      <w:lvlJc w:val="left"/>
      <w:pPr>
        <w:ind w:left="8284" w:hanging="200"/>
      </w:pPr>
      <w:rPr>
        <w:rFonts w:hint="default"/>
      </w:rPr>
    </w:lvl>
  </w:abstractNum>
  <w:num w:numId="1">
    <w:abstractNumId w:val="8"/>
  </w:num>
  <w:num w:numId="2">
    <w:abstractNumId w:val="1"/>
  </w:num>
  <w:num w:numId="3">
    <w:abstractNumId w:val="6"/>
  </w:num>
  <w:num w:numId="4">
    <w:abstractNumId w:val="9"/>
  </w:num>
  <w:num w:numId="5">
    <w:abstractNumId w:val="0"/>
  </w:num>
  <w:num w:numId="6">
    <w:abstractNumId w:val="7"/>
  </w:num>
  <w:num w:numId="7">
    <w:abstractNumId w:val="3"/>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377FF"/>
    <w:rsid w:val="00026826"/>
    <w:rsid w:val="000377FF"/>
    <w:rsid w:val="00041FB2"/>
    <w:rsid w:val="000435D2"/>
    <w:rsid w:val="00046BC4"/>
    <w:rsid w:val="00070094"/>
    <w:rsid w:val="000A35D0"/>
    <w:rsid w:val="000D4A62"/>
    <w:rsid w:val="001066AF"/>
    <w:rsid w:val="0012408D"/>
    <w:rsid w:val="00137B48"/>
    <w:rsid w:val="001954FB"/>
    <w:rsid w:val="001A4FB4"/>
    <w:rsid w:val="001B1A8D"/>
    <w:rsid w:val="001C4613"/>
    <w:rsid w:val="001E4EE3"/>
    <w:rsid w:val="001F0D6B"/>
    <w:rsid w:val="0023567E"/>
    <w:rsid w:val="00272CE6"/>
    <w:rsid w:val="00291EE1"/>
    <w:rsid w:val="002A4186"/>
    <w:rsid w:val="002C4346"/>
    <w:rsid w:val="002D6096"/>
    <w:rsid w:val="002E05B3"/>
    <w:rsid w:val="002F44BF"/>
    <w:rsid w:val="0031057A"/>
    <w:rsid w:val="003119A4"/>
    <w:rsid w:val="003223F3"/>
    <w:rsid w:val="0032523C"/>
    <w:rsid w:val="00326697"/>
    <w:rsid w:val="00333A87"/>
    <w:rsid w:val="00334825"/>
    <w:rsid w:val="00346DC6"/>
    <w:rsid w:val="00384594"/>
    <w:rsid w:val="003A69CF"/>
    <w:rsid w:val="003E5C74"/>
    <w:rsid w:val="003F5CCB"/>
    <w:rsid w:val="00423342"/>
    <w:rsid w:val="00432755"/>
    <w:rsid w:val="004543CD"/>
    <w:rsid w:val="00457FCF"/>
    <w:rsid w:val="004D3208"/>
    <w:rsid w:val="004E27B5"/>
    <w:rsid w:val="004F3777"/>
    <w:rsid w:val="004F58E1"/>
    <w:rsid w:val="00553E89"/>
    <w:rsid w:val="00555864"/>
    <w:rsid w:val="005676C9"/>
    <w:rsid w:val="00586C27"/>
    <w:rsid w:val="005A0A40"/>
    <w:rsid w:val="005A14A3"/>
    <w:rsid w:val="005B56A1"/>
    <w:rsid w:val="005C1ACC"/>
    <w:rsid w:val="005C5846"/>
    <w:rsid w:val="005D3615"/>
    <w:rsid w:val="005D499C"/>
    <w:rsid w:val="005D49CC"/>
    <w:rsid w:val="005D6419"/>
    <w:rsid w:val="005E6CA2"/>
    <w:rsid w:val="005F766D"/>
    <w:rsid w:val="00626E34"/>
    <w:rsid w:val="00635D52"/>
    <w:rsid w:val="00643407"/>
    <w:rsid w:val="00651D6F"/>
    <w:rsid w:val="006B71FC"/>
    <w:rsid w:val="006E4E81"/>
    <w:rsid w:val="006E6FFB"/>
    <w:rsid w:val="00702DF9"/>
    <w:rsid w:val="00740B51"/>
    <w:rsid w:val="00761B7C"/>
    <w:rsid w:val="007822B1"/>
    <w:rsid w:val="007A3335"/>
    <w:rsid w:val="007C0C4C"/>
    <w:rsid w:val="00812ECE"/>
    <w:rsid w:val="00820A4F"/>
    <w:rsid w:val="00820CAB"/>
    <w:rsid w:val="008476D4"/>
    <w:rsid w:val="00860EE2"/>
    <w:rsid w:val="0086330A"/>
    <w:rsid w:val="008767EA"/>
    <w:rsid w:val="008C2E34"/>
    <w:rsid w:val="008C3F2E"/>
    <w:rsid w:val="008C76EC"/>
    <w:rsid w:val="00912D7E"/>
    <w:rsid w:val="00946B96"/>
    <w:rsid w:val="00962AF2"/>
    <w:rsid w:val="00977775"/>
    <w:rsid w:val="00986B93"/>
    <w:rsid w:val="00991DB2"/>
    <w:rsid w:val="009C31DC"/>
    <w:rsid w:val="00A01271"/>
    <w:rsid w:val="00A20381"/>
    <w:rsid w:val="00A5166E"/>
    <w:rsid w:val="00A603EF"/>
    <w:rsid w:val="00A6518A"/>
    <w:rsid w:val="00A81521"/>
    <w:rsid w:val="00AA2F03"/>
    <w:rsid w:val="00AB2D51"/>
    <w:rsid w:val="00AE64CF"/>
    <w:rsid w:val="00B03C33"/>
    <w:rsid w:val="00B13EE7"/>
    <w:rsid w:val="00B53138"/>
    <w:rsid w:val="00B8686E"/>
    <w:rsid w:val="00B9189A"/>
    <w:rsid w:val="00B93295"/>
    <w:rsid w:val="00BA3FC5"/>
    <w:rsid w:val="00BC471C"/>
    <w:rsid w:val="00BE75BD"/>
    <w:rsid w:val="00C20262"/>
    <w:rsid w:val="00C4118E"/>
    <w:rsid w:val="00C677BE"/>
    <w:rsid w:val="00C67B41"/>
    <w:rsid w:val="00C75EF1"/>
    <w:rsid w:val="00C81E3A"/>
    <w:rsid w:val="00C8676B"/>
    <w:rsid w:val="00CA3A4E"/>
    <w:rsid w:val="00CC3958"/>
    <w:rsid w:val="00CC774A"/>
    <w:rsid w:val="00CD4253"/>
    <w:rsid w:val="00CF36A0"/>
    <w:rsid w:val="00D97A57"/>
    <w:rsid w:val="00DE4F66"/>
    <w:rsid w:val="00DE51CC"/>
    <w:rsid w:val="00DE57E9"/>
    <w:rsid w:val="00DF0E9E"/>
    <w:rsid w:val="00DF13F5"/>
    <w:rsid w:val="00E03552"/>
    <w:rsid w:val="00E24EED"/>
    <w:rsid w:val="00E3310C"/>
    <w:rsid w:val="00E478C5"/>
    <w:rsid w:val="00E526BD"/>
    <w:rsid w:val="00E74FF8"/>
    <w:rsid w:val="00E85B85"/>
    <w:rsid w:val="00E94085"/>
    <w:rsid w:val="00EE4A62"/>
    <w:rsid w:val="00EF5EB8"/>
    <w:rsid w:val="00F13F48"/>
    <w:rsid w:val="00F17B5E"/>
    <w:rsid w:val="00F37214"/>
    <w:rsid w:val="00F44A3F"/>
    <w:rsid w:val="00FB27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Book Antiqua" w:eastAsia="Book Antiqua" w:hAnsi="Book Antiqua" w:cs="Book Antiqua"/>
    </w:rPr>
  </w:style>
  <w:style w:type="paragraph" w:styleId="Titolo1">
    <w:name w:val="heading 1"/>
    <w:basedOn w:val="Normale"/>
    <w:uiPriority w:val="1"/>
    <w:qFormat/>
    <w:pPr>
      <w:ind w:left="587" w:hanging="475"/>
      <w:outlineLvl w:val="0"/>
    </w:pPr>
    <w:rPr>
      <w:b/>
      <w:bCs/>
      <w:sz w:val="28"/>
      <w:szCs w:val="28"/>
    </w:rPr>
  </w:style>
  <w:style w:type="paragraph" w:styleId="Titolo2">
    <w:name w:val="heading 2"/>
    <w:basedOn w:val="Normale"/>
    <w:link w:val="Titolo2Carattere"/>
    <w:uiPriority w:val="9"/>
    <w:qFormat/>
    <w:pPr>
      <w:ind w:left="726" w:hanging="614"/>
      <w:outlineLvl w:val="1"/>
    </w:pPr>
    <w:rPr>
      <w:rFonts w:ascii="Bookman Old Style" w:eastAsia="Bookman Old Style" w:hAnsi="Bookman Old Style" w:cs="Bookman Old Style"/>
      <w:i/>
      <w:sz w:val="24"/>
      <w:szCs w:val="24"/>
    </w:rPr>
  </w:style>
  <w:style w:type="paragraph" w:styleId="Titolo3">
    <w:name w:val="heading 3"/>
    <w:basedOn w:val="Normale"/>
    <w:uiPriority w:val="1"/>
    <w:qFormat/>
    <w:pPr>
      <w:spacing w:before="1"/>
      <w:ind w:left="113"/>
      <w:outlineLvl w:val="2"/>
    </w:pPr>
    <w:rPr>
      <w:rFonts w:ascii="Georgia" w:eastAsia="Georgia" w:hAnsi="Georgia" w:cs="Georgia"/>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1"/>
    <w:qFormat/>
    <w:pPr>
      <w:spacing w:before="370"/>
      <w:ind w:left="412" w:hanging="300"/>
    </w:pPr>
    <w:rPr>
      <w:rFonts w:ascii="Georgia" w:eastAsia="Georgia" w:hAnsi="Georgia" w:cs="Georgia"/>
      <w:b/>
      <w:bCs/>
      <w:sz w:val="20"/>
      <w:szCs w:val="20"/>
    </w:rPr>
  </w:style>
  <w:style w:type="paragraph" w:styleId="Sommario2">
    <w:name w:val="toc 2"/>
    <w:basedOn w:val="Normale"/>
    <w:uiPriority w:val="1"/>
    <w:qFormat/>
    <w:pPr>
      <w:spacing w:before="150"/>
      <w:ind w:left="870" w:hanging="459"/>
    </w:pPr>
    <w:rPr>
      <w:i/>
      <w:sz w:val="20"/>
      <w:szCs w:val="20"/>
    </w:r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523" w:hanging="410"/>
    </w:pPr>
  </w:style>
  <w:style w:type="paragraph" w:customStyle="1" w:styleId="TableParagraph">
    <w:name w:val="Table Paragraph"/>
    <w:basedOn w:val="Normale"/>
    <w:uiPriority w:val="1"/>
    <w:qFormat/>
    <w:pPr>
      <w:spacing w:before="86"/>
      <w:jc w:val="center"/>
    </w:pPr>
  </w:style>
  <w:style w:type="paragraph" w:customStyle="1" w:styleId="MDPI12title">
    <w:name w:val="MDPI_1.2_title"/>
    <w:next w:val="Normale"/>
    <w:qFormat/>
    <w:rsid w:val="00E85B85"/>
    <w:pPr>
      <w:widowControl/>
      <w:autoSpaceDE/>
      <w:autoSpaceDN/>
      <w:adjustRightInd w:val="0"/>
      <w:snapToGrid w:val="0"/>
      <w:spacing w:after="240" w:line="400" w:lineRule="exact"/>
    </w:pPr>
    <w:rPr>
      <w:rFonts w:ascii="Palatino Linotype" w:eastAsia="Times New Roman" w:hAnsi="Palatino Linotype" w:cs="Times New Roman"/>
      <w:b/>
      <w:snapToGrid w:val="0"/>
      <w:color w:val="000000"/>
      <w:sz w:val="36"/>
      <w:szCs w:val="20"/>
      <w:lang w:eastAsia="de-DE" w:bidi="en-US"/>
    </w:rPr>
  </w:style>
  <w:style w:type="paragraph" w:customStyle="1" w:styleId="MDPI18keywords">
    <w:name w:val="MDPI_1.8_keywords"/>
    <w:basedOn w:val="Normale"/>
    <w:next w:val="Normale"/>
    <w:qFormat/>
    <w:rsid w:val="004D3208"/>
    <w:pPr>
      <w:widowControl/>
      <w:autoSpaceDE/>
      <w:autoSpaceDN/>
      <w:adjustRightInd w:val="0"/>
      <w:snapToGrid w:val="0"/>
      <w:spacing w:before="240" w:line="260" w:lineRule="atLeast"/>
      <w:ind w:left="113"/>
      <w:jc w:val="both"/>
    </w:pPr>
    <w:rPr>
      <w:rFonts w:ascii="Palatino Linotype" w:eastAsia="Times New Roman" w:hAnsi="Palatino Linotype" w:cs="Times New Roman"/>
      <w:snapToGrid w:val="0"/>
      <w:color w:val="000000"/>
      <w:sz w:val="20"/>
      <w:lang w:eastAsia="de-DE" w:bidi="en-US"/>
    </w:rPr>
  </w:style>
  <w:style w:type="paragraph" w:styleId="Testonotaapidipagina">
    <w:name w:val="footnote text"/>
    <w:basedOn w:val="Normale"/>
    <w:link w:val="TestonotaapidipaginaCarattere"/>
    <w:uiPriority w:val="99"/>
    <w:semiHidden/>
    <w:unhideWhenUsed/>
    <w:rsid w:val="00991DB2"/>
    <w:rPr>
      <w:sz w:val="20"/>
      <w:szCs w:val="20"/>
    </w:rPr>
  </w:style>
  <w:style w:type="character" w:customStyle="1" w:styleId="TestonotaapidipaginaCarattere">
    <w:name w:val="Testo nota a piè di pagina Carattere"/>
    <w:basedOn w:val="Carpredefinitoparagrafo"/>
    <w:link w:val="Testonotaapidipagina"/>
    <w:uiPriority w:val="99"/>
    <w:semiHidden/>
    <w:rsid w:val="00991DB2"/>
    <w:rPr>
      <w:rFonts w:ascii="Book Antiqua" w:eastAsia="Book Antiqua" w:hAnsi="Book Antiqua" w:cs="Book Antiqua"/>
      <w:sz w:val="20"/>
      <w:szCs w:val="20"/>
    </w:rPr>
  </w:style>
  <w:style w:type="character" w:styleId="Rimandonotaapidipagina">
    <w:name w:val="footnote reference"/>
    <w:basedOn w:val="Carpredefinitoparagrafo"/>
    <w:uiPriority w:val="99"/>
    <w:semiHidden/>
    <w:unhideWhenUsed/>
    <w:rsid w:val="00991DB2"/>
    <w:rPr>
      <w:vertAlign w:val="superscript"/>
    </w:rPr>
  </w:style>
  <w:style w:type="character" w:styleId="Collegamentoipertestuale">
    <w:name w:val="Hyperlink"/>
    <w:basedOn w:val="Carpredefinitoparagrafo"/>
    <w:uiPriority w:val="99"/>
    <w:unhideWhenUsed/>
    <w:rsid w:val="0032523C"/>
    <w:rPr>
      <w:color w:val="0000FF" w:themeColor="hyperlink"/>
      <w:u w:val="single"/>
    </w:rPr>
  </w:style>
  <w:style w:type="character" w:customStyle="1" w:styleId="Titolo2Carattere">
    <w:name w:val="Titolo 2 Carattere"/>
    <w:basedOn w:val="Carpredefinitoparagrafo"/>
    <w:link w:val="Titolo2"/>
    <w:uiPriority w:val="9"/>
    <w:rsid w:val="00070094"/>
    <w:rPr>
      <w:rFonts w:ascii="Bookman Old Style" w:eastAsia="Bookman Old Style" w:hAnsi="Bookman Old Style" w:cs="Bookman Old Style"/>
      <w:i/>
      <w:sz w:val="24"/>
      <w:szCs w:val="24"/>
    </w:rPr>
  </w:style>
  <w:style w:type="paragraph" w:styleId="NormaleWeb">
    <w:name w:val="Normal (Web)"/>
    <w:basedOn w:val="Normale"/>
    <w:uiPriority w:val="99"/>
    <w:semiHidden/>
    <w:unhideWhenUsed/>
    <w:rsid w:val="00070094"/>
    <w:pPr>
      <w:widowControl/>
      <w:autoSpaceDE/>
      <w:autoSpaceDN/>
      <w:spacing w:before="100" w:beforeAutospacing="1" w:after="100" w:afterAutospacing="1"/>
    </w:pPr>
    <w:rPr>
      <w:rFonts w:ascii="Times New Roman" w:eastAsia="Times New Roman" w:hAnsi="Times New Roman" w:cs="Times New Roman"/>
      <w:sz w:val="24"/>
      <w:szCs w:val="24"/>
      <w:lang w:val="it-IT" w:eastAsia="it-IT"/>
    </w:rPr>
  </w:style>
  <w:style w:type="character" w:customStyle="1" w:styleId="ff1">
    <w:name w:val="ff1"/>
    <w:basedOn w:val="Carpredefinitoparagrafo"/>
    <w:rsid w:val="00423342"/>
  </w:style>
  <w:style w:type="character" w:customStyle="1" w:styleId="ls8c">
    <w:name w:val="ls8c"/>
    <w:basedOn w:val="Carpredefinitoparagrafo"/>
    <w:rsid w:val="00423342"/>
  </w:style>
  <w:style w:type="paragraph" w:styleId="Testofumetto">
    <w:name w:val="Balloon Text"/>
    <w:basedOn w:val="Normale"/>
    <w:link w:val="TestofumettoCarattere"/>
    <w:uiPriority w:val="99"/>
    <w:semiHidden/>
    <w:unhideWhenUsed/>
    <w:rsid w:val="00B03C3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3C33"/>
    <w:rPr>
      <w:rFonts w:ascii="Tahoma" w:eastAsia="Book Antiqu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362319">
      <w:bodyDiv w:val="1"/>
      <w:marLeft w:val="0"/>
      <w:marRight w:val="0"/>
      <w:marTop w:val="0"/>
      <w:marBottom w:val="0"/>
      <w:divBdr>
        <w:top w:val="none" w:sz="0" w:space="0" w:color="auto"/>
        <w:left w:val="none" w:sz="0" w:space="0" w:color="auto"/>
        <w:bottom w:val="none" w:sz="0" w:space="0" w:color="auto"/>
        <w:right w:val="none" w:sz="0" w:space="0" w:color="auto"/>
      </w:divBdr>
      <w:divsChild>
        <w:div w:id="1161655122">
          <w:marLeft w:val="0"/>
          <w:marRight w:val="0"/>
          <w:marTop w:val="0"/>
          <w:marBottom w:val="0"/>
          <w:divBdr>
            <w:top w:val="none" w:sz="0" w:space="0" w:color="auto"/>
            <w:left w:val="none" w:sz="0" w:space="0" w:color="auto"/>
            <w:bottom w:val="none" w:sz="0" w:space="0" w:color="auto"/>
            <w:right w:val="none" w:sz="0" w:space="0" w:color="auto"/>
          </w:divBdr>
          <w:divsChild>
            <w:div w:id="10623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2516">
      <w:bodyDiv w:val="1"/>
      <w:marLeft w:val="0"/>
      <w:marRight w:val="0"/>
      <w:marTop w:val="0"/>
      <w:marBottom w:val="0"/>
      <w:divBdr>
        <w:top w:val="none" w:sz="0" w:space="0" w:color="auto"/>
        <w:left w:val="none" w:sz="0" w:space="0" w:color="auto"/>
        <w:bottom w:val="none" w:sz="0" w:space="0" w:color="auto"/>
        <w:right w:val="none" w:sz="0" w:space="0" w:color="auto"/>
      </w:divBdr>
      <w:divsChild>
        <w:div w:id="1379546999">
          <w:marLeft w:val="0"/>
          <w:marRight w:val="0"/>
          <w:marTop w:val="0"/>
          <w:marBottom w:val="0"/>
          <w:divBdr>
            <w:top w:val="none" w:sz="0" w:space="0" w:color="auto"/>
            <w:left w:val="none" w:sz="0" w:space="0" w:color="auto"/>
            <w:bottom w:val="none" w:sz="0" w:space="0" w:color="auto"/>
            <w:right w:val="none" w:sz="0" w:space="0" w:color="auto"/>
          </w:divBdr>
          <w:divsChild>
            <w:div w:id="138367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63710">
      <w:bodyDiv w:val="1"/>
      <w:marLeft w:val="0"/>
      <w:marRight w:val="0"/>
      <w:marTop w:val="0"/>
      <w:marBottom w:val="0"/>
      <w:divBdr>
        <w:top w:val="none" w:sz="0" w:space="0" w:color="auto"/>
        <w:left w:val="none" w:sz="0" w:space="0" w:color="auto"/>
        <w:bottom w:val="none" w:sz="0" w:space="0" w:color="auto"/>
        <w:right w:val="none" w:sz="0" w:space="0" w:color="auto"/>
      </w:divBdr>
      <w:divsChild>
        <w:div w:id="1350329381">
          <w:marLeft w:val="0"/>
          <w:marRight w:val="0"/>
          <w:marTop w:val="0"/>
          <w:marBottom w:val="0"/>
          <w:divBdr>
            <w:top w:val="none" w:sz="0" w:space="0" w:color="auto"/>
            <w:left w:val="none" w:sz="0" w:space="0" w:color="auto"/>
            <w:bottom w:val="none" w:sz="0" w:space="0" w:color="auto"/>
            <w:right w:val="none" w:sz="0" w:space="0" w:color="auto"/>
          </w:divBdr>
        </w:div>
        <w:div w:id="144510619">
          <w:marLeft w:val="0"/>
          <w:marRight w:val="0"/>
          <w:marTop w:val="0"/>
          <w:marBottom w:val="0"/>
          <w:divBdr>
            <w:top w:val="none" w:sz="0" w:space="0" w:color="auto"/>
            <w:left w:val="none" w:sz="0" w:space="0" w:color="auto"/>
            <w:bottom w:val="none" w:sz="0" w:space="0" w:color="auto"/>
            <w:right w:val="none" w:sz="0" w:space="0" w:color="auto"/>
          </w:divBdr>
        </w:div>
        <w:div w:id="15993692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nber.org/papers/w17586"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www.jstor.org/stable/1392518" TargetMode="External"/><Relationship Id="rId2" Type="http://schemas.openxmlformats.org/officeDocument/2006/relationships/numbering" Target="numbering.xml"/><Relationship Id="rId16" Type="http://schemas.openxmlformats.org/officeDocument/2006/relationships/hyperlink" Target="https://doi.org/10.1016/j.jbankfin.2015.10.010"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jstor.org/stable/1913236"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doi.org/10.1111/0022-1082.00324" TargetMode="External"/><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6F88E-8534-4486-9492-D596833A2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26</Pages>
  <Words>7075</Words>
  <Characters>40334</Characters>
  <Application>Microsoft Office Word</Application>
  <DocSecurity>0</DocSecurity>
  <Lines>336</Lines>
  <Paragraphs>94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U13622</cp:lastModifiedBy>
  <cp:revision>73</cp:revision>
  <dcterms:created xsi:type="dcterms:W3CDTF">2020-09-27T16:18:00Z</dcterms:created>
  <dcterms:modified xsi:type="dcterms:W3CDTF">2021-01-05T13:26:00Z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2020-02-22T00:00:00Z</vt:filetime>
  </property>
  <property fmtid="{D5CDD505-2E9C-101B-9397-08002B2CF9AE}" pid="3" name="Creator">
    <vt:lpwstr>TeX</vt:lpwstr>
  </property>
  <property fmtid="{D5CDD505-2E9C-101B-9397-08002B2CF9AE}" pid="4" name="LastSaved">
    <vt:filetime>2020-09-27T00:00:00Z</vt:filetime>
  </property>
</Properties>
</file>