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2D" w:rsidRPr="00197A4E" w:rsidRDefault="00074E07" w:rsidP="00BE7D45">
      <w:pPr>
        <w:bidi w:val="0"/>
        <w:spacing w:before="120" w:after="120" w:line="240" w:lineRule="auto"/>
        <w:jc w:val="center"/>
        <w:rPr>
          <w:rFonts w:asciiTheme="majorBidi" w:hAnsiTheme="majorBidi" w:cstheme="majorBidi"/>
          <w:b/>
          <w:bCs/>
          <w:sz w:val="32"/>
          <w:szCs w:val="32"/>
        </w:rPr>
      </w:pPr>
      <w:r w:rsidRPr="00197A4E">
        <w:rPr>
          <w:rFonts w:asciiTheme="majorBidi" w:hAnsiTheme="majorBidi" w:cstheme="majorBidi"/>
          <w:b/>
          <w:bCs/>
          <w:sz w:val="32"/>
          <w:szCs w:val="32"/>
        </w:rPr>
        <w:t>The Determinants of the Return of Investment: An Empirical Study of Egyptian Listed C</w:t>
      </w:r>
      <w:r w:rsidR="00BE7D45" w:rsidRPr="00197A4E">
        <w:rPr>
          <w:rFonts w:asciiTheme="majorBidi" w:hAnsiTheme="majorBidi" w:cstheme="majorBidi"/>
          <w:b/>
          <w:bCs/>
          <w:sz w:val="32"/>
          <w:szCs w:val="32"/>
        </w:rPr>
        <w:t>orporations</w:t>
      </w:r>
    </w:p>
    <w:p w:rsidR="00074E07" w:rsidRDefault="00074E07" w:rsidP="00074E07">
      <w:pPr>
        <w:bidi w:val="0"/>
        <w:spacing w:before="120" w:after="120" w:line="240" w:lineRule="auto"/>
        <w:jc w:val="center"/>
        <w:rPr>
          <w:rFonts w:asciiTheme="majorBidi" w:hAnsiTheme="majorBidi" w:cstheme="majorBidi"/>
          <w:b/>
          <w:bCs/>
          <w:sz w:val="28"/>
          <w:szCs w:val="28"/>
        </w:rPr>
      </w:pPr>
    </w:p>
    <w:p w:rsidR="00074E07" w:rsidRPr="00074E07" w:rsidRDefault="00074E07" w:rsidP="00074E07">
      <w:pPr>
        <w:bidi w:val="0"/>
        <w:spacing w:before="120" w:after="120"/>
        <w:jc w:val="center"/>
        <w:rPr>
          <w:rFonts w:asciiTheme="majorBidi" w:hAnsiTheme="majorBidi" w:cstheme="majorBidi"/>
          <w:b/>
          <w:bCs/>
          <w:sz w:val="24"/>
          <w:szCs w:val="24"/>
        </w:rPr>
      </w:pPr>
      <w:r w:rsidRPr="00074E07">
        <w:rPr>
          <w:rFonts w:asciiTheme="majorBidi" w:hAnsiTheme="majorBidi" w:cstheme="majorBidi"/>
          <w:b/>
          <w:bCs/>
          <w:sz w:val="24"/>
          <w:szCs w:val="24"/>
        </w:rPr>
        <w:t xml:space="preserve">Mahmoud A. </w:t>
      </w:r>
      <w:proofErr w:type="spellStart"/>
      <w:r w:rsidRPr="00074E07">
        <w:rPr>
          <w:rFonts w:asciiTheme="majorBidi" w:hAnsiTheme="majorBidi" w:cstheme="majorBidi"/>
          <w:b/>
          <w:bCs/>
          <w:sz w:val="24"/>
          <w:szCs w:val="24"/>
        </w:rPr>
        <w:t>Touny</w:t>
      </w:r>
      <w:proofErr w:type="spellEnd"/>
      <w:r>
        <w:rPr>
          <w:rStyle w:val="FootnoteReference"/>
          <w:rFonts w:asciiTheme="majorBidi" w:hAnsiTheme="majorBidi"/>
          <w:b/>
          <w:bCs/>
          <w:sz w:val="24"/>
          <w:szCs w:val="24"/>
        </w:rPr>
        <w:footnoteReference w:id="1"/>
      </w:r>
      <w:r>
        <w:rPr>
          <w:rFonts w:asciiTheme="majorBidi" w:hAnsiTheme="majorBidi" w:cstheme="majorBidi"/>
          <w:b/>
          <w:bCs/>
          <w:sz w:val="24"/>
          <w:szCs w:val="24"/>
        </w:rPr>
        <w:t xml:space="preserve"> </w:t>
      </w:r>
      <w:r w:rsidRPr="00074E07">
        <w:rPr>
          <w:rFonts w:asciiTheme="majorBidi" w:hAnsiTheme="majorBidi" w:cstheme="majorBidi"/>
          <w:b/>
          <w:bCs/>
          <w:sz w:val="24"/>
          <w:szCs w:val="24"/>
        </w:rPr>
        <w:t xml:space="preserve"> and Amir A. </w:t>
      </w:r>
      <w:proofErr w:type="spellStart"/>
      <w:r w:rsidRPr="00074E07">
        <w:rPr>
          <w:rFonts w:asciiTheme="majorBidi" w:hAnsiTheme="majorBidi" w:cstheme="majorBidi"/>
          <w:b/>
          <w:bCs/>
          <w:sz w:val="24"/>
          <w:szCs w:val="24"/>
        </w:rPr>
        <w:t>Shusha</w:t>
      </w:r>
      <w:proofErr w:type="spellEnd"/>
      <w:r w:rsidR="00C618C0">
        <w:rPr>
          <w:rStyle w:val="FootnoteReference"/>
          <w:rFonts w:asciiTheme="majorBidi" w:hAnsiTheme="majorBidi"/>
          <w:b/>
          <w:bCs/>
          <w:sz w:val="24"/>
        </w:rPr>
        <w:footnoteReference w:id="2"/>
      </w:r>
    </w:p>
    <w:p w:rsidR="00074E07" w:rsidRDefault="00074E07" w:rsidP="00074E07">
      <w:pPr>
        <w:bidi w:val="0"/>
        <w:spacing w:before="120" w:after="120"/>
        <w:jc w:val="center"/>
        <w:rPr>
          <w:rFonts w:asciiTheme="majorBidi" w:hAnsiTheme="majorBidi" w:cstheme="majorBidi"/>
          <w:b/>
          <w:bCs/>
          <w:sz w:val="28"/>
          <w:szCs w:val="28"/>
        </w:rPr>
      </w:pPr>
    </w:p>
    <w:p w:rsidR="0095132D" w:rsidRPr="00E606F2" w:rsidRDefault="0095132D" w:rsidP="0095132D">
      <w:pPr>
        <w:bidi w:val="0"/>
        <w:spacing w:before="120" w:after="120" w:line="240" w:lineRule="auto"/>
        <w:jc w:val="center"/>
        <w:rPr>
          <w:rFonts w:asciiTheme="majorBidi" w:hAnsiTheme="majorBidi" w:cstheme="majorBidi"/>
          <w:b/>
          <w:bCs/>
          <w:sz w:val="28"/>
          <w:szCs w:val="28"/>
        </w:rPr>
      </w:pPr>
      <w:r w:rsidRPr="00E606F2">
        <w:rPr>
          <w:rFonts w:asciiTheme="majorBidi" w:hAnsiTheme="majorBidi" w:cstheme="majorBidi"/>
          <w:b/>
          <w:bCs/>
          <w:sz w:val="28"/>
          <w:szCs w:val="28"/>
        </w:rPr>
        <w:t>Abstract</w:t>
      </w:r>
    </w:p>
    <w:p w:rsidR="0095132D" w:rsidRDefault="0095132D" w:rsidP="0095132D">
      <w:pPr>
        <w:bidi w:val="0"/>
        <w:spacing w:before="120" w:after="120" w:line="240" w:lineRule="auto"/>
        <w:jc w:val="both"/>
        <w:rPr>
          <w:rFonts w:asciiTheme="majorBidi" w:hAnsiTheme="majorBidi" w:cstheme="majorBidi"/>
          <w:color w:val="231F20"/>
          <w:sz w:val="24"/>
          <w:szCs w:val="24"/>
        </w:rPr>
      </w:pPr>
      <w:r>
        <w:rPr>
          <w:rFonts w:asciiTheme="majorBidi" w:hAnsiTheme="majorBidi" w:cstheme="majorBidi"/>
          <w:sz w:val="24"/>
          <w:szCs w:val="24"/>
        </w:rPr>
        <w:t>This paper investigated the determinants of the rate of return on investment using</w:t>
      </w:r>
      <w:r>
        <w:rPr>
          <w:rFonts w:asciiTheme="majorBidi" w:hAnsiTheme="majorBidi" w:cstheme="majorBidi"/>
          <w:color w:val="231F20"/>
          <w:sz w:val="24"/>
          <w:szCs w:val="24"/>
        </w:rPr>
        <w:t xml:space="preserve"> </w:t>
      </w:r>
      <w:r>
        <w:rPr>
          <w:rFonts w:asciiTheme="majorBidi" w:eastAsia="AdvOT6eb13881+f6" w:hAnsiTheme="majorBidi" w:cstheme="majorBidi"/>
          <w:color w:val="231F20"/>
          <w:sz w:val="24"/>
          <w:szCs w:val="24"/>
        </w:rPr>
        <w:t>78 listed</w:t>
      </w:r>
      <w:r w:rsidRPr="00913182">
        <w:rPr>
          <w:rFonts w:asciiTheme="majorBidi" w:eastAsia="AdvOT6eb13881+f6" w:hAnsiTheme="majorBidi" w:cstheme="majorBidi"/>
          <w:color w:val="231F20"/>
          <w:sz w:val="24"/>
          <w:szCs w:val="24"/>
        </w:rPr>
        <w:t xml:space="preserve"> </w:t>
      </w:r>
      <w:r w:rsidRPr="00913182">
        <w:rPr>
          <w:rFonts w:asciiTheme="majorBidi" w:hAnsiTheme="majorBidi" w:cstheme="majorBidi"/>
          <w:color w:val="231F20"/>
          <w:sz w:val="24"/>
          <w:szCs w:val="24"/>
        </w:rPr>
        <w:t>firm</w:t>
      </w:r>
      <w:r>
        <w:rPr>
          <w:rFonts w:asciiTheme="majorBidi" w:hAnsiTheme="majorBidi" w:cstheme="majorBidi"/>
          <w:color w:val="231F20"/>
          <w:sz w:val="24"/>
          <w:szCs w:val="24"/>
        </w:rPr>
        <w:t>s in Egyptian Stock Exchange.</w:t>
      </w:r>
      <w:r w:rsidRPr="00F15C17">
        <w:rPr>
          <w:rFonts w:asciiTheme="majorBidi" w:hAnsiTheme="majorBidi" w:cstheme="majorBidi"/>
          <w:color w:val="231F20"/>
          <w:sz w:val="24"/>
          <w:szCs w:val="24"/>
        </w:rPr>
        <w:t xml:space="preserve"> </w:t>
      </w:r>
      <w:r>
        <w:rPr>
          <w:rFonts w:asciiTheme="majorBidi" w:hAnsiTheme="majorBidi" w:cstheme="majorBidi"/>
          <w:color w:val="231F20"/>
          <w:sz w:val="24"/>
          <w:szCs w:val="24"/>
        </w:rPr>
        <w:t>W</w:t>
      </w:r>
      <w:r w:rsidRPr="0036647D">
        <w:rPr>
          <w:rFonts w:asciiTheme="majorBidi" w:hAnsiTheme="majorBidi" w:cstheme="majorBidi"/>
          <w:color w:val="231F20"/>
          <w:sz w:val="24"/>
          <w:szCs w:val="24"/>
        </w:rPr>
        <w:t xml:space="preserve">e </w:t>
      </w:r>
      <w:r>
        <w:rPr>
          <w:rFonts w:asciiTheme="majorBidi" w:hAnsiTheme="majorBidi" w:cstheme="majorBidi"/>
          <w:color w:val="231F20"/>
          <w:sz w:val="24"/>
          <w:szCs w:val="24"/>
        </w:rPr>
        <w:t>used a</w:t>
      </w:r>
      <w:r w:rsidRPr="0036647D">
        <w:rPr>
          <w:rFonts w:asciiTheme="majorBidi" w:hAnsiTheme="majorBidi" w:cstheme="majorBidi"/>
          <w:color w:val="231F20"/>
          <w:sz w:val="24"/>
          <w:szCs w:val="24"/>
        </w:rPr>
        <w:t xml:space="preserve"> panel data procedure by applying rand</w:t>
      </w:r>
      <w:r>
        <w:rPr>
          <w:rFonts w:asciiTheme="majorBidi" w:hAnsiTheme="majorBidi" w:cstheme="majorBidi"/>
          <w:color w:val="231F20"/>
          <w:sz w:val="24"/>
          <w:szCs w:val="24"/>
        </w:rPr>
        <w:t>om effects model using Generalized Method of Moments</w:t>
      </w:r>
      <w:r w:rsidRPr="0036647D">
        <w:rPr>
          <w:rFonts w:asciiTheme="majorBidi" w:hAnsiTheme="majorBidi" w:cstheme="majorBidi"/>
          <w:color w:val="231F20"/>
          <w:sz w:val="24"/>
          <w:szCs w:val="24"/>
        </w:rPr>
        <w:t xml:space="preserve"> estimation</w:t>
      </w:r>
      <w:r>
        <w:rPr>
          <w:rFonts w:asciiTheme="majorBidi" w:hAnsiTheme="majorBidi" w:cstheme="majorBidi"/>
          <w:color w:val="231F20"/>
          <w:sz w:val="24"/>
          <w:szCs w:val="24"/>
        </w:rPr>
        <w:t>. The main results showed that the determinants of the return on investment were more effective in service sector than in productive sector. Also, the return on investment in firms with age less than 25 years was more affected by its determinants than firms with age more than 25 years. Add to that, the determinants of the return on investment had more effective role in explaining the changes in the return on investment when operating and financial risks were low. With the absence of role duality, the determinants of the return on investment played a powerful role to clarify the changes in the return on investment. Moreover, the changes in the return on investment well explained by its determinants in firms with large board size. In the light of these results, we provided some recommendations for investors and policy makers of firms.</w:t>
      </w:r>
    </w:p>
    <w:p w:rsidR="0095132D" w:rsidRDefault="0095132D" w:rsidP="0095132D">
      <w:pPr>
        <w:bidi w:val="0"/>
        <w:spacing w:before="120" w:after="120" w:line="240" w:lineRule="auto"/>
        <w:jc w:val="both"/>
        <w:rPr>
          <w:rFonts w:asciiTheme="majorBidi" w:hAnsiTheme="majorBidi" w:cstheme="majorBidi"/>
          <w:color w:val="231F20"/>
          <w:sz w:val="24"/>
          <w:szCs w:val="24"/>
        </w:rPr>
      </w:pPr>
    </w:p>
    <w:p w:rsidR="00074E07" w:rsidRDefault="00074E07" w:rsidP="00074E07">
      <w:pPr>
        <w:bidi w:val="0"/>
        <w:spacing w:before="120" w:after="120" w:line="240" w:lineRule="auto"/>
        <w:jc w:val="both"/>
        <w:rPr>
          <w:rFonts w:asciiTheme="majorBidi" w:hAnsiTheme="majorBidi" w:cstheme="majorBidi"/>
          <w:color w:val="231F20"/>
          <w:sz w:val="24"/>
          <w:szCs w:val="24"/>
        </w:rPr>
      </w:pPr>
      <w:r w:rsidRPr="00FE23E9">
        <w:rPr>
          <w:rFonts w:asciiTheme="majorBidi" w:hAnsiTheme="majorBidi" w:cstheme="majorBidi"/>
          <w:b/>
          <w:bCs/>
          <w:color w:val="231F20"/>
          <w:sz w:val="24"/>
          <w:szCs w:val="24"/>
        </w:rPr>
        <w:t>JEL classification numbers:</w:t>
      </w:r>
      <w:r>
        <w:rPr>
          <w:rFonts w:asciiTheme="majorBidi" w:hAnsiTheme="majorBidi" w:cstheme="majorBidi"/>
          <w:color w:val="231F20"/>
          <w:sz w:val="24"/>
          <w:szCs w:val="24"/>
        </w:rPr>
        <w:t xml:space="preserve"> D53, F65, G11, G32</w:t>
      </w:r>
    </w:p>
    <w:p w:rsidR="00074E07" w:rsidRDefault="00074E07" w:rsidP="00074E07">
      <w:pPr>
        <w:bidi w:val="0"/>
        <w:spacing w:before="120" w:after="120" w:line="240" w:lineRule="auto"/>
        <w:jc w:val="both"/>
        <w:rPr>
          <w:rFonts w:asciiTheme="majorBidi" w:hAnsiTheme="majorBidi" w:cstheme="majorBidi"/>
          <w:color w:val="231F20"/>
          <w:sz w:val="24"/>
          <w:szCs w:val="24"/>
        </w:rPr>
      </w:pPr>
      <w:r w:rsidRPr="00FE23E9">
        <w:rPr>
          <w:rFonts w:asciiTheme="majorBidi" w:hAnsiTheme="majorBidi" w:cstheme="majorBidi"/>
          <w:b/>
          <w:bCs/>
          <w:color w:val="231F20"/>
          <w:sz w:val="24"/>
          <w:szCs w:val="24"/>
        </w:rPr>
        <w:t>Keywords:</w:t>
      </w:r>
      <w:r>
        <w:rPr>
          <w:rFonts w:asciiTheme="majorBidi" w:hAnsiTheme="majorBidi" w:cstheme="majorBidi"/>
          <w:color w:val="231F20"/>
          <w:sz w:val="24"/>
          <w:szCs w:val="24"/>
        </w:rPr>
        <w:t xml:space="preserve"> The Return of Investment; Operating Leverage; Financial Leverage; Board Size, Rule Duality; Random Effects Model; Generalized Method of Moments</w:t>
      </w:r>
      <w:r w:rsidRPr="0036647D">
        <w:rPr>
          <w:rFonts w:asciiTheme="majorBidi" w:hAnsiTheme="majorBidi" w:cstheme="majorBidi"/>
          <w:color w:val="231F20"/>
          <w:sz w:val="24"/>
          <w:szCs w:val="24"/>
        </w:rPr>
        <w:t xml:space="preserve"> estimation</w:t>
      </w:r>
      <w:r>
        <w:rPr>
          <w:rFonts w:asciiTheme="majorBidi" w:hAnsiTheme="majorBidi" w:cstheme="majorBidi"/>
          <w:color w:val="231F20"/>
          <w:sz w:val="24"/>
          <w:szCs w:val="24"/>
        </w:rPr>
        <w:t>.</w:t>
      </w:r>
    </w:p>
    <w:p w:rsidR="00B32415" w:rsidRDefault="00B32415" w:rsidP="0095132D">
      <w:pPr>
        <w:bidi w:val="0"/>
        <w:spacing w:before="120" w:after="120" w:line="240" w:lineRule="auto"/>
        <w:jc w:val="center"/>
        <w:rPr>
          <w:rFonts w:asciiTheme="majorBidi" w:hAnsiTheme="majorBidi" w:cstheme="majorBidi"/>
          <w:b/>
          <w:bCs/>
          <w:sz w:val="28"/>
          <w:szCs w:val="28"/>
        </w:rPr>
      </w:pPr>
    </w:p>
    <w:p w:rsidR="00F15C17" w:rsidRPr="00E606F2" w:rsidRDefault="00574656" w:rsidP="00C618C0">
      <w:pPr>
        <w:pStyle w:val="ListParagraph"/>
        <w:numPr>
          <w:ilvl w:val="0"/>
          <w:numId w:val="5"/>
        </w:numPr>
        <w:bidi w:val="0"/>
        <w:spacing w:before="240" w:line="240" w:lineRule="auto"/>
        <w:ind w:left="284" w:hanging="284"/>
        <w:rPr>
          <w:rFonts w:asciiTheme="majorBidi" w:hAnsiTheme="majorBidi" w:cstheme="majorBidi"/>
          <w:b/>
          <w:bCs/>
          <w:sz w:val="28"/>
          <w:szCs w:val="28"/>
        </w:rPr>
      </w:pPr>
      <w:r w:rsidRPr="00E606F2">
        <w:rPr>
          <w:rFonts w:asciiTheme="majorBidi" w:hAnsiTheme="majorBidi" w:cstheme="majorBidi"/>
          <w:b/>
          <w:bCs/>
          <w:sz w:val="28"/>
          <w:szCs w:val="28"/>
        </w:rPr>
        <w:t>Introduction</w:t>
      </w:r>
    </w:p>
    <w:p w:rsidR="00936CA5" w:rsidRPr="005A475D" w:rsidRDefault="00936CA5" w:rsidP="00C618C0">
      <w:pPr>
        <w:bidi w:val="0"/>
        <w:spacing w:before="120" w:after="120" w:line="240" w:lineRule="auto"/>
        <w:jc w:val="both"/>
        <w:rPr>
          <w:rFonts w:asciiTheme="majorBidi" w:hAnsiTheme="majorBidi" w:cstheme="majorBidi"/>
          <w:sz w:val="24"/>
          <w:szCs w:val="24"/>
        </w:rPr>
      </w:pPr>
      <w:r w:rsidRPr="00936CA5">
        <w:rPr>
          <w:rFonts w:asciiTheme="majorBidi" w:hAnsiTheme="majorBidi" w:cstheme="majorBidi"/>
          <w:sz w:val="24"/>
          <w:szCs w:val="24"/>
        </w:rPr>
        <w:t>Before investing in a particular business, investors normally make sure that the business is financially secure and stable and have the ability to produce profit</w:t>
      </w:r>
      <w:r>
        <w:rPr>
          <w:rFonts w:asciiTheme="majorBidi" w:hAnsiTheme="majorBidi" w:cstheme="majorBidi"/>
          <w:sz w:val="24"/>
          <w:szCs w:val="24"/>
        </w:rPr>
        <w:t>s in the long run</w:t>
      </w:r>
      <w:r w:rsidR="005B1AEF">
        <w:rPr>
          <w:rFonts w:asciiTheme="majorBidi" w:hAnsiTheme="majorBidi" w:cstheme="majorBidi"/>
          <w:sz w:val="24"/>
          <w:szCs w:val="24"/>
        </w:rPr>
        <w:t>. Therefore, w</w:t>
      </w:r>
      <w:r w:rsidRPr="00936CA5">
        <w:rPr>
          <w:rFonts w:asciiTheme="majorBidi" w:hAnsiTheme="majorBidi" w:cstheme="majorBidi"/>
          <w:sz w:val="24"/>
          <w:szCs w:val="24"/>
        </w:rPr>
        <w:t>hen the performance of the firm is not promising, in this case it would not be attractive for any investor. This failure to attract sufficient capital usually leads to negative consequences for the business sector in particular and the economy in general</w:t>
      </w:r>
      <w:r w:rsidR="008B6881">
        <w:rPr>
          <w:rFonts w:asciiTheme="majorBidi" w:hAnsiTheme="majorBidi" w:cstheme="majorBidi"/>
          <w:sz w:val="24"/>
          <w:szCs w:val="24"/>
        </w:rPr>
        <w:t xml:space="preserve"> (</w:t>
      </w:r>
      <w:r w:rsidR="008B6881" w:rsidRPr="00111AE1">
        <w:rPr>
          <w:rFonts w:asciiTheme="majorBidi" w:hAnsiTheme="majorBidi" w:cstheme="majorBidi"/>
          <w:sz w:val="24"/>
          <w:szCs w:val="24"/>
        </w:rPr>
        <w:t>Al-</w:t>
      </w:r>
      <w:proofErr w:type="spellStart"/>
      <w:r w:rsidR="008B6881" w:rsidRPr="00111AE1">
        <w:rPr>
          <w:rFonts w:asciiTheme="majorBidi" w:hAnsiTheme="majorBidi" w:cstheme="majorBidi"/>
          <w:sz w:val="24"/>
          <w:szCs w:val="24"/>
        </w:rPr>
        <w:t>Matari</w:t>
      </w:r>
      <w:proofErr w:type="spellEnd"/>
      <w:r w:rsidR="008B6881" w:rsidRPr="00111AE1">
        <w:rPr>
          <w:rFonts w:asciiTheme="majorBidi" w:hAnsiTheme="majorBidi" w:cstheme="majorBidi"/>
          <w:sz w:val="24"/>
          <w:szCs w:val="24"/>
        </w:rPr>
        <w:t xml:space="preserve"> et al</w:t>
      </w:r>
      <w:r w:rsidR="00184F6C">
        <w:rPr>
          <w:rFonts w:asciiTheme="majorBidi" w:hAnsiTheme="majorBidi" w:cstheme="majorBidi"/>
          <w:sz w:val="24"/>
          <w:szCs w:val="24"/>
        </w:rPr>
        <w:t>.</w:t>
      </w:r>
      <w:r w:rsidR="00866A56">
        <w:rPr>
          <w:rFonts w:asciiTheme="majorBidi" w:hAnsiTheme="majorBidi" w:cstheme="majorBidi"/>
          <w:sz w:val="24"/>
          <w:szCs w:val="24"/>
        </w:rPr>
        <w:t>,</w:t>
      </w:r>
      <w:r w:rsidR="008B6881" w:rsidRPr="00111AE1">
        <w:rPr>
          <w:rFonts w:asciiTheme="majorBidi" w:hAnsiTheme="majorBidi" w:cstheme="majorBidi"/>
          <w:sz w:val="24"/>
          <w:szCs w:val="24"/>
        </w:rPr>
        <w:t xml:space="preserve"> 2012)</w:t>
      </w:r>
      <w:r w:rsidRPr="00936CA5">
        <w:rPr>
          <w:rFonts w:asciiTheme="majorBidi" w:hAnsiTheme="majorBidi" w:cstheme="majorBidi"/>
          <w:sz w:val="24"/>
          <w:szCs w:val="24"/>
        </w:rPr>
        <w:t>.</w:t>
      </w:r>
      <w:r w:rsidR="005A475D" w:rsidRPr="00111AE1">
        <w:rPr>
          <w:rFonts w:asciiTheme="majorBidi" w:hAnsiTheme="majorBidi" w:cstheme="majorBidi"/>
          <w:sz w:val="24"/>
          <w:szCs w:val="24"/>
        </w:rPr>
        <w:t xml:space="preserve"> </w:t>
      </w:r>
      <w:r w:rsidR="005A475D" w:rsidRPr="005A475D">
        <w:rPr>
          <w:rFonts w:asciiTheme="majorBidi" w:hAnsiTheme="majorBidi" w:cstheme="majorBidi"/>
          <w:sz w:val="24"/>
          <w:szCs w:val="24"/>
        </w:rPr>
        <w:t xml:space="preserve">The financial performance of successful </w:t>
      </w:r>
      <w:r w:rsidR="005A475D" w:rsidRPr="005A475D">
        <w:rPr>
          <w:rFonts w:asciiTheme="majorBidi" w:hAnsiTheme="majorBidi" w:cstheme="majorBidi"/>
          <w:sz w:val="24"/>
          <w:szCs w:val="24"/>
        </w:rPr>
        <w:lastRenderedPageBreak/>
        <w:t xml:space="preserve">firms must be </w:t>
      </w:r>
      <w:r w:rsidR="00C753D3">
        <w:rPr>
          <w:rFonts w:asciiTheme="majorBidi" w:hAnsiTheme="majorBidi" w:cstheme="majorBidi"/>
          <w:sz w:val="24"/>
          <w:szCs w:val="24"/>
        </w:rPr>
        <w:t xml:space="preserve">the </w:t>
      </w:r>
      <w:r w:rsidR="005A475D" w:rsidRPr="005A475D">
        <w:rPr>
          <w:rFonts w:asciiTheme="majorBidi" w:hAnsiTheme="majorBidi" w:cstheme="majorBidi"/>
          <w:sz w:val="24"/>
          <w:szCs w:val="24"/>
        </w:rPr>
        <w:t>fruit of rational financial policies which is reflected in a positive impact on the market value of the shares through increasing</w:t>
      </w:r>
      <w:r w:rsidR="009F2A00">
        <w:rPr>
          <w:rFonts w:asciiTheme="majorBidi" w:hAnsiTheme="majorBidi" w:cstheme="majorBidi"/>
          <w:sz w:val="24"/>
          <w:szCs w:val="24"/>
        </w:rPr>
        <w:t xml:space="preserve"> i</w:t>
      </w:r>
      <w:r w:rsidR="005A475D" w:rsidRPr="005A475D">
        <w:rPr>
          <w:rFonts w:asciiTheme="majorBidi" w:hAnsiTheme="majorBidi" w:cstheme="majorBidi"/>
          <w:sz w:val="24"/>
          <w:szCs w:val="24"/>
        </w:rPr>
        <w:t>ts share of the profits.</w:t>
      </w:r>
    </w:p>
    <w:p w:rsidR="00F15C17" w:rsidRPr="00023199" w:rsidRDefault="005B2ADE" w:rsidP="00C618C0">
      <w:pPr>
        <w:bidi w:val="0"/>
        <w:spacing w:before="120" w:after="120" w:line="240" w:lineRule="auto"/>
        <w:jc w:val="both"/>
        <w:rPr>
          <w:rFonts w:asciiTheme="majorBidi" w:hAnsiTheme="majorBidi" w:cstheme="majorBidi"/>
          <w:sz w:val="24"/>
          <w:szCs w:val="24"/>
        </w:rPr>
      </w:pPr>
      <w:r w:rsidRPr="001367DD">
        <w:rPr>
          <w:rFonts w:asciiTheme="majorBidi" w:hAnsiTheme="majorBidi" w:cstheme="majorBidi"/>
          <w:sz w:val="24"/>
          <w:szCs w:val="24"/>
        </w:rPr>
        <w:t>Re</w:t>
      </w:r>
      <w:r w:rsidR="001367DD" w:rsidRPr="001367DD">
        <w:rPr>
          <w:rFonts w:asciiTheme="majorBidi" w:hAnsiTheme="majorBidi" w:cstheme="majorBidi"/>
          <w:sz w:val="24"/>
          <w:szCs w:val="24"/>
        </w:rPr>
        <w:t>turn on Investment (ROI) is a measure which is widely used</w:t>
      </w:r>
      <w:r w:rsidRPr="001367DD">
        <w:rPr>
          <w:rFonts w:asciiTheme="majorBidi" w:hAnsiTheme="majorBidi" w:cstheme="majorBidi"/>
          <w:sz w:val="24"/>
          <w:szCs w:val="24"/>
        </w:rPr>
        <w:t xml:space="preserve"> for </w:t>
      </w:r>
      <w:r w:rsidR="001367DD" w:rsidRPr="001367DD">
        <w:rPr>
          <w:rFonts w:asciiTheme="majorBidi" w:hAnsiTheme="majorBidi" w:cstheme="majorBidi"/>
          <w:sz w:val="24"/>
          <w:szCs w:val="24"/>
        </w:rPr>
        <w:t>measuring the efficiency and effectiveness of financial per</w:t>
      </w:r>
      <w:r w:rsidR="00C753D3">
        <w:rPr>
          <w:rFonts w:asciiTheme="majorBidi" w:hAnsiTheme="majorBidi" w:cstheme="majorBidi"/>
          <w:sz w:val="24"/>
          <w:szCs w:val="24"/>
        </w:rPr>
        <w:t>formance of firms. This measure</w:t>
      </w:r>
      <w:r w:rsidR="00BB7C26">
        <w:rPr>
          <w:rFonts w:asciiTheme="majorBidi" w:hAnsiTheme="majorBidi" w:cstheme="majorBidi"/>
          <w:sz w:val="24"/>
          <w:szCs w:val="24"/>
        </w:rPr>
        <w:t xml:space="preserve"> </w:t>
      </w:r>
      <w:r w:rsidR="001367DD" w:rsidRPr="001367DD">
        <w:rPr>
          <w:rFonts w:asciiTheme="majorBidi" w:hAnsiTheme="majorBidi" w:cstheme="majorBidi"/>
          <w:sz w:val="24"/>
          <w:szCs w:val="24"/>
        </w:rPr>
        <w:t xml:space="preserve">gives </w:t>
      </w:r>
      <w:r w:rsidRPr="001367DD">
        <w:rPr>
          <w:rFonts w:asciiTheme="majorBidi" w:hAnsiTheme="majorBidi" w:cstheme="majorBidi"/>
          <w:sz w:val="24"/>
          <w:szCs w:val="24"/>
        </w:rPr>
        <w:t xml:space="preserve">a better picture of how efficiently a company is using the capital that has been invested in it to generate income. This is </w:t>
      </w:r>
      <w:r w:rsidRPr="00023199">
        <w:rPr>
          <w:rFonts w:asciiTheme="majorBidi" w:hAnsiTheme="majorBidi" w:cstheme="majorBidi"/>
          <w:sz w:val="24"/>
          <w:szCs w:val="24"/>
        </w:rPr>
        <w:t>of course important to any prospective investor who is considering investing in an organization</w:t>
      </w:r>
      <w:r w:rsidR="00BB7C26" w:rsidRPr="00023199">
        <w:rPr>
          <w:rStyle w:val="FootnoteReference"/>
          <w:rFonts w:asciiTheme="majorBidi" w:hAnsiTheme="majorBidi"/>
          <w:sz w:val="24"/>
          <w:szCs w:val="24"/>
        </w:rPr>
        <w:footnoteReference w:id="3"/>
      </w:r>
      <w:r w:rsidRPr="00023199">
        <w:rPr>
          <w:rFonts w:asciiTheme="majorBidi" w:hAnsiTheme="majorBidi" w:cstheme="majorBidi"/>
          <w:sz w:val="24"/>
          <w:szCs w:val="24"/>
        </w:rPr>
        <w:t>.</w:t>
      </w:r>
    </w:p>
    <w:p w:rsidR="009A287D" w:rsidRDefault="009A287D" w:rsidP="00C618C0">
      <w:pPr>
        <w:bidi w:val="0"/>
        <w:spacing w:before="120" w:after="120" w:line="240" w:lineRule="auto"/>
        <w:jc w:val="both"/>
        <w:rPr>
          <w:rFonts w:asciiTheme="majorBidi" w:hAnsiTheme="majorBidi" w:cstheme="majorBidi"/>
          <w:sz w:val="24"/>
          <w:szCs w:val="24"/>
        </w:rPr>
      </w:pPr>
      <w:r w:rsidRPr="00023199">
        <w:rPr>
          <w:rFonts w:asciiTheme="majorBidi" w:hAnsiTheme="majorBidi" w:cstheme="majorBidi"/>
          <w:sz w:val="24"/>
          <w:szCs w:val="24"/>
        </w:rPr>
        <w:t xml:space="preserve">The main purpose of this study is to investigate the determinants of ROI </w:t>
      </w:r>
      <w:r w:rsidR="00F71576" w:rsidRPr="00023199">
        <w:rPr>
          <w:rFonts w:asciiTheme="majorBidi" w:hAnsiTheme="majorBidi" w:cstheme="majorBidi"/>
          <w:sz w:val="24"/>
          <w:szCs w:val="24"/>
        </w:rPr>
        <w:t xml:space="preserve">depending on </w:t>
      </w:r>
      <w:r w:rsidR="00C753D3" w:rsidRPr="00023199">
        <w:rPr>
          <w:rFonts w:asciiTheme="majorBidi" w:hAnsiTheme="majorBidi" w:cstheme="majorBidi"/>
          <w:sz w:val="24"/>
          <w:szCs w:val="24"/>
        </w:rPr>
        <w:t xml:space="preserve">a </w:t>
      </w:r>
      <w:r w:rsidR="00F71576" w:rsidRPr="00023199">
        <w:rPr>
          <w:rFonts w:asciiTheme="majorBidi" w:hAnsiTheme="majorBidi" w:cstheme="majorBidi"/>
          <w:sz w:val="24"/>
          <w:szCs w:val="24"/>
        </w:rPr>
        <w:t xml:space="preserve">balanced panel of </w:t>
      </w:r>
      <w:r w:rsidR="00F71576" w:rsidRPr="00023199">
        <w:rPr>
          <w:rFonts w:asciiTheme="majorBidi" w:eastAsia="AdvOT6eb13881+f6" w:hAnsiTheme="majorBidi" w:cstheme="majorBidi"/>
          <w:sz w:val="24"/>
          <w:szCs w:val="24"/>
        </w:rPr>
        <w:t xml:space="preserve">78 Egyptian listed </w:t>
      </w:r>
      <w:r w:rsidR="00F71576" w:rsidRPr="00023199">
        <w:rPr>
          <w:rFonts w:asciiTheme="majorBidi" w:hAnsiTheme="majorBidi" w:cstheme="majorBidi"/>
          <w:sz w:val="24"/>
          <w:szCs w:val="24"/>
        </w:rPr>
        <w:t>firms belong to service and productive sectors and covers three years (2007-2009). These determinants</w:t>
      </w:r>
      <w:r w:rsidR="00C753D3" w:rsidRPr="00023199">
        <w:rPr>
          <w:rFonts w:asciiTheme="majorBidi" w:hAnsiTheme="majorBidi" w:cstheme="majorBidi"/>
          <w:sz w:val="24"/>
          <w:szCs w:val="24"/>
        </w:rPr>
        <w:t xml:space="preserve"> may vary fro</w:t>
      </w:r>
      <w:r w:rsidRPr="00023199">
        <w:rPr>
          <w:rFonts w:asciiTheme="majorBidi" w:hAnsiTheme="majorBidi" w:cstheme="majorBidi"/>
          <w:sz w:val="24"/>
          <w:szCs w:val="24"/>
        </w:rPr>
        <w:t xml:space="preserve">m one firm to another according </w:t>
      </w:r>
      <w:r w:rsidR="00C753D3" w:rsidRPr="00023199">
        <w:rPr>
          <w:rFonts w:asciiTheme="majorBidi" w:hAnsiTheme="majorBidi" w:cstheme="majorBidi"/>
          <w:sz w:val="24"/>
          <w:szCs w:val="24"/>
        </w:rPr>
        <w:t xml:space="preserve">to </w:t>
      </w:r>
      <w:r w:rsidRPr="00023199">
        <w:rPr>
          <w:rFonts w:asciiTheme="majorBidi" w:hAnsiTheme="majorBidi" w:cstheme="majorBidi"/>
          <w:sz w:val="24"/>
          <w:szCs w:val="24"/>
        </w:rPr>
        <w:t xml:space="preserve">its different demographic </w:t>
      </w:r>
      <w:r>
        <w:rPr>
          <w:rFonts w:asciiTheme="majorBidi" w:hAnsiTheme="majorBidi" w:cstheme="majorBidi"/>
          <w:sz w:val="24"/>
          <w:szCs w:val="24"/>
        </w:rPr>
        <w:t xml:space="preserve">attributes. </w:t>
      </w:r>
      <w:r w:rsidR="00813AEF">
        <w:rPr>
          <w:rFonts w:asciiTheme="majorBidi" w:hAnsiTheme="majorBidi" w:cstheme="majorBidi"/>
          <w:sz w:val="24"/>
          <w:szCs w:val="24"/>
        </w:rPr>
        <w:t>Therefore, the main questions of this study are:</w:t>
      </w:r>
    </w:p>
    <w:p w:rsidR="00BA5EDE" w:rsidRDefault="00813AEF" w:rsidP="00C618C0">
      <w:pPr>
        <w:pStyle w:val="ListParagraph"/>
        <w:numPr>
          <w:ilvl w:val="0"/>
          <w:numId w:val="3"/>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What are the main determinants of ROI</w:t>
      </w:r>
      <w:r w:rsidR="00BA5EDE">
        <w:rPr>
          <w:rFonts w:asciiTheme="majorBidi" w:hAnsiTheme="majorBidi" w:cstheme="majorBidi"/>
          <w:sz w:val="24"/>
          <w:szCs w:val="24"/>
        </w:rPr>
        <w:t>?</w:t>
      </w:r>
    </w:p>
    <w:p w:rsidR="00BA5EDE" w:rsidRDefault="00BA5EDE" w:rsidP="00C618C0">
      <w:pPr>
        <w:pStyle w:val="ListParagraph"/>
        <w:numPr>
          <w:ilvl w:val="0"/>
          <w:numId w:val="3"/>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How these determina</w:t>
      </w:r>
      <w:r w:rsidR="005B1AEF">
        <w:rPr>
          <w:rFonts w:asciiTheme="majorBidi" w:hAnsiTheme="majorBidi" w:cstheme="majorBidi"/>
          <w:sz w:val="24"/>
          <w:szCs w:val="24"/>
        </w:rPr>
        <w:t>nt</w:t>
      </w:r>
      <w:r>
        <w:rPr>
          <w:rFonts w:asciiTheme="majorBidi" w:hAnsiTheme="majorBidi" w:cstheme="majorBidi"/>
          <w:sz w:val="24"/>
          <w:szCs w:val="24"/>
        </w:rPr>
        <w:t>s defer from one firm to another according to its demographic attributes</w:t>
      </w:r>
      <w:r w:rsidR="00491F7A">
        <w:rPr>
          <w:rFonts w:asciiTheme="majorBidi" w:hAnsiTheme="majorBidi" w:cstheme="majorBidi"/>
          <w:sz w:val="24"/>
          <w:szCs w:val="24"/>
        </w:rPr>
        <w:t>, risk and board characteristics</w:t>
      </w:r>
      <w:r>
        <w:rPr>
          <w:rFonts w:asciiTheme="majorBidi" w:hAnsiTheme="majorBidi" w:cstheme="majorBidi"/>
          <w:sz w:val="24"/>
          <w:szCs w:val="24"/>
        </w:rPr>
        <w:t>?</w:t>
      </w:r>
    </w:p>
    <w:p w:rsidR="00335EEA" w:rsidRPr="00F71576" w:rsidRDefault="00335EEA" w:rsidP="00C618C0">
      <w:pPr>
        <w:bidi w:val="0"/>
        <w:spacing w:before="120" w:after="120" w:line="240" w:lineRule="auto"/>
        <w:jc w:val="both"/>
        <w:rPr>
          <w:rFonts w:asciiTheme="majorBidi" w:hAnsiTheme="majorBidi" w:cstheme="majorBidi"/>
          <w:sz w:val="24"/>
          <w:szCs w:val="24"/>
        </w:rPr>
      </w:pPr>
      <w:r w:rsidRPr="00F71576">
        <w:rPr>
          <w:rFonts w:asciiTheme="majorBidi" w:hAnsiTheme="majorBidi" w:cstheme="majorBidi"/>
          <w:sz w:val="24"/>
          <w:szCs w:val="24"/>
        </w:rPr>
        <w:t>The importance of this study</w:t>
      </w:r>
      <w:r w:rsidR="00F71576" w:rsidRPr="00F71576">
        <w:rPr>
          <w:rFonts w:asciiTheme="majorBidi" w:hAnsiTheme="majorBidi" w:cstheme="majorBidi"/>
          <w:sz w:val="24"/>
          <w:szCs w:val="24"/>
        </w:rPr>
        <w:t xml:space="preserve"> is represented in its attempt to identify the determinants of financial performance of the firms</w:t>
      </w:r>
      <w:r w:rsidR="00B520DF">
        <w:rPr>
          <w:rFonts w:asciiTheme="majorBidi" w:hAnsiTheme="majorBidi" w:cstheme="majorBidi"/>
          <w:sz w:val="24"/>
          <w:szCs w:val="24"/>
        </w:rPr>
        <w:t xml:space="preserve"> listed in</w:t>
      </w:r>
      <w:r w:rsidR="00F71576" w:rsidRPr="00F71576">
        <w:rPr>
          <w:rFonts w:asciiTheme="majorBidi" w:hAnsiTheme="majorBidi" w:cstheme="majorBidi"/>
          <w:sz w:val="24"/>
          <w:szCs w:val="24"/>
        </w:rPr>
        <w:t xml:space="preserve"> the Egyptian Stock Exchange which help to make recommendations</w:t>
      </w:r>
      <w:r w:rsidRPr="00F71576">
        <w:rPr>
          <w:rFonts w:asciiTheme="majorBidi" w:hAnsiTheme="majorBidi" w:cstheme="majorBidi"/>
          <w:sz w:val="24"/>
          <w:szCs w:val="24"/>
        </w:rPr>
        <w:t xml:space="preserve"> to decision-makers of firms and stakeholders of stock exchange to support their investment decisions.</w:t>
      </w:r>
    </w:p>
    <w:p w:rsidR="00335EEA" w:rsidRPr="007541B3" w:rsidRDefault="00335EEA" w:rsidP="00C618C0">
      <w:pPr>
        <w:bidi w:val="0"/>
        <w:spacing w:before="120" w:after="120" w:line="240" w:lineRule="auto"/>
        <w:jc w:val="both"/>
        <w:rPr>
          <w:rFonts w:asciiTheme="majorBidi" w:hAnsiTheme="majorBidi" w:cstheme="majorBidi"/>
          <w:color w:val="231F20"/>
          <w:sz w:val="24"/>
          <w:szCs w:val="24"/>
        </w:rPr>
      </w:pPr>
      <w:r w:rsidRPr="00111AE1">
        <w:rPr>
          <w:rFonts w:asciiTheme="majorBidi" w:hAnsiTheme="majorBidi" w:cstheme="majorBidi"/>
          <w:sz w:val="24"/>
          <w:szCs w:val="24"/>
        </w:rPr>
        <w:t>The paper is structured as follows. Section II discusses the theoretical and empirical literature concerning the determinants of ROI. Section III, displays methodology used in this study and analyzes</w:t>
      </w:r>
      <w:r w:rsidR="007541B3" w:rsidRPr="00111AE1">
        <w:rPr>
          <w:rFonts w:asciiTheme="majorBidi" w:hAnsiTheme="majorBidi" w:cstheme="majorBidi"/>
          <w:sz w:val="24"/>
          <w:szCs w:val="24"/>
        </w:rPr>
        <w:t xml:space="preserve"> descriptive analysis</w:t>
      </w:r>
      <w:r w:rsidRPr="00111AE1">
        <w:rPr>
          <w:rFonts w:asciiTheme="majorBidi" w:hAnsiTheme="majorBidi" w:cstheme="majorBidi"/>
          <w:sz w:val="24"/>
          <w:szCs w:val="24"/>
        </w:rPr>
        <w:t xml:space="preserve"> </w:t>
      </w:r>
      <w:r w:rsidR="007541B3" w:rsidRPr="00111AE1">
        <w:rPr>
          <w:rFonts w:asciiTheme="majorBidi" w:hAnsiTheme="majorBidi" w:cstheme="majorBidi"/>
          <w:sz w:val="24"/>
          <w:szCs w:val="24"/>
        </w:rPr>
        <w:t xml:space="preserve">of </w:t>
      </w:r>
      <w:r w:rsidRPr="00111AE1">
        <w:rPr>
          <w:rFonts w:asciiTheme="majorBidi" w:hAnsiTheme="majorBidi" w:cstheme="majorBidi"/>
          <w:sz w:val="24"/>
          <w:szCs w:val="24"/>
        </w:rPr>
        <w:t>the variables. Using econometric techniques</w:t>
      </w:r>
      <w:r w:rsidRPr="007541B3">
        <w:rPr>
          <w:rFonts w:asciiTheme="majorBidi" w:hAnsiTheme="majorBidi" w:cstheme="majorBidi"/>
          <w:color w:val="231F20"/>
          <w:sz w:val="24"/>
          <w:szCs w:val="24"/>
        </w:rPr>
        <w:t>, section IV discusses the study results</w:t>
      </w:r>
      <w:r w:rsidR="007541B3" w:rsidRPr="007541B3">
        <w:rPr>
          <w:rFonts w:asciiTheme="majorBidi" w:hAnsiTheme="majorBidi" w:cstheme="majorBidi"/>
          <w:color w:val="231F20"/>
          <w:sz w:val="24"/>
          <w:szCs w:val="24"/>
        </w:rPr>
        <w:t xml:space="preserve"> and</w:t>
      </w:r>
      <w:r w:rsidR="00C753D3">
        <w:rPr>
          <w:rFonts w:asciiTheme="majorBidi" w:hAnsiTheme="majorBidi" w:cstheme="majorBidi"/>
          <w:color w:val="231F20"/>
          <w:sz w:val="24"/>
          <w:szCs w:val="24"/>
        </w:rPr>
        <w:t xml:space="preserve"> f</w:t>
      </w:r>
      <w:r w:rsidRPr="007541B3">
        <w:rPr>
          <w:rFonts w:asciiTheme="majorBidi" w:hAnsiTheme="majorBidi" w:cstheme="majorBidi"/>
          <w:color w:val="231F20"/>
          <w:sz w:val="24"/>
          <w:szCs w:val="24"/>
        </w:rPr>
        <w:t>inally, section IIV provides a short conclusion and</w:t>
      </w:r>
      <w:r w:rsidR="007541B3" w:rsidRPr="007541B3">
        <w:rPr>
          <w:rFonts w:asciiTheme="majorBidi" w:hAnsiTheme="majorBidi" w:cstheme="majorBidi"/>
          <w:color w:val="231F20"/>
          <w:sz w:val="24"/>
          <w:szCs w:val="24"/>
        </w:rPr>
        <w:t xml:space="preserve"> recommendations</w:t>
      </w:r>
      <w:r w:rsidRPr="007541B3">
        <w:rPr>
          <w:rFonts w:asciiTheme="majorBidi" w:hAnsiTheme="majorBidi" w:cstheme="majorBidi"/>
          <w:color w:val="231F20"/>
          <w:sz w:val="24"/>
          <w:szCs w:val="24"/>
        </w:rPr>
        <w:t>.</w:t>
      </w:r>
    </w:p>
    <w:p w:rsidR="00FB14C4" w:rsidRPr="00E606F2" w:rsidRDefault="00C618C0" w:rsidP="00C618C0">
      <w:pPr>
        <w:pStyle w:val="ListParagraph"/>
        <w:numPr>
          <w:ilvl w:val="0"/>
          <w:numId w:val="5"/>
        </w:numPr>
        <w:bidi w:val="0"/>
        <w:spacing w:before="240" w:line="240" w:lineRule="auto"/>
        <w:ind w:left="284" w:hanging="284"/>
        <w:rPr>
          <w:rFonts w:asciiTheme="majorBidi" w:hAnsiTheme="majorBidi" w:cstheme="majorBidi"/>
          <w:b/>
          <w:bCs/>
          <w:sz w:val="28"/>
          <w:szCs w:val="28"/>
        </w:rPr>
      </w:pPr>
      <w:r w:rsidRPr="00E606F2">
        <w:rPr>
          <w:rFonts w:asciiTheme="majorBidi" w:hAnsiTheme="majorBidi" w:cstheme="majorBidi"/>
          <w:b/>
          <w:bCs/>
          <w:sz w:val="28"/>
          <w:szCs w:val="28"/>
        </w:rPr>
        <w:t>Literature R</w:t>
      </w:r>
      <w:r w:rsidR="00574656" w:rsidRPr="00E606F2">
        <w:rPr>
          <w:rFonts w:asciiTheme="majorBidi" w:hAnsiTheme="majorBidi" w:cstheme="majorBidi"/>
          <w:b/>
          <w:bCs/>
          <w:sz w:val="28"/>
          <w:szCs w:val="28"/>
        </w:rPr>
        <w:t xml:space="preserve">eview </w:t>
      </w:r>
    </w:p>
    <w:p w:rsidR="00A129EA" w:rsidRPr="00111AE1" w:rsidRDefault="00C753D3" w:rsidP="00C618C0">
      <w:pPr>
        <w:bidi w:val="0"/>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The ROI represents</w:t>
      </w:r>
      <w:r w:rsidR="00A129EA" w:rsidRPr="00111AE1">
        <w:rPr>
          <w:rFonts w:asciiTheme="majorBidi" w:hAnsiTheme="majorBidi" w:cstheme="majorBidi"/>
          <w:sz w:val="24"/>
          <w:szCs w:val="24"/>
        </w:rPr>
        <w:t xml:space="preserve"> one of the most important financial indicators</w:t>
      </w:r>
      <w:r w:rsidR="00682661" w:rsidRPr="00111AE1">
        <w:rPr>
          <w:rFonts w:asciiTheme="majorBidi" w:hAnsiTheme="majorBidi" w:cstheme="majorBidi"/>
          <w:sz w:val="24"/>
          <w:szCs w:val="24"/>
        </w:rPr>
        <w:t xml:space="preserve"> of firms.</w:t>
      </w:r>
      <w:r w:rsidR="00A129EA" w:rsidRPr="00111AE1">
        <w:rPr>
          <w:rFonts w:asciiTheme="majorBidi" w:hAnsiTheme="majorBidi" w:cstheme="majorBidi"/>
          <w:sz w:val="24"/>
          <w:szCs w:val="24"/>
        </w:rPr>
        <w:t xml:space="preserve"> There are a variety of theoretical studies that try to </w:t>
      </w:r>
      <w:r w:rsidR="00682661" w:rsidRPr="00111AE1">
        <w:rPr>
          <w:rFonts w:asciiTheme="majorBidi" w:hAnsiTheme="majorBidi" w:cstheme="majorBidi"/>
          <w:sz w:val="24"/>
          <w:szCs w:val="24"/>
        </w:rPr>
        <w:t>reveal the different determinants of ROI which include many factors such as labor productivity, debit ratio, gross profit to net sales, total investment, investment turnover, and total assists tu</w:t>
      </w:r>
      <w:r>
        <w:rPr>
          <w:rFonts w:asciiTheme="majorBidi" w:hAnsiTheme="majorBidi" w:cstheme="majorBidi"/>
          <w:sz w:val="24"/>
          <w:szCs w:val="24"/>
        </w:rPr>
        <w:t>rnover. However, the significance of the</w:t>
      </w:r>
      <w:r w:rsidR="00682661" w:rsidRPr="00111AE1">
        <w:rPr>
          <w:rFonts w:asciiTheme="majorBidi" w:hAnsiTheme="majorBidi" w:cstheme="majorBidi"/>
          <w:sz w:val="24"/>
          <w:szCs w:val="24"/>
        </w:rPr>
        <w:t xml:space="preserve"> impact of these factors on ROI depend</w:t>
      </w:r>
      <w:r>
        <w:rPr>
          <w:rFonts w:asciiTheme="majorBidi" w:hAnsiTheme="majorBidi" w:cstheme="majorBidi"/>
          <w:sz w:val="24"/>
          <w:szCs w:val="24"/>
        </w:rPr>
        <w:t>s</w:t>
      </w:r>
      <w:r w:rsidR="00682661" w:rsidRPr="00111AE1">
        <w:rPr>
          <w:rFonts w:asciiTheme="majorBidi" w:hAnsiTheme="majorBidi" w:cstheme="majorBidi"/>
          <w:sz w:val="24"/>
          <w:szCs w:val="24"/>
        </w:rPr>
        <w:t xml:space="preserve"> on some control variables such as demographic factors, </w:t>
      </w:r>
      <w:r w:rsidR="008C6EE6" w:rsidRPr="00111AE1">
        <w:rPr>
          <w:rFonts w:asciiTheme="majorBidi" w:hAnsiTheme="majorBidi" w:cstheme="majorBidi"/>
          <w:sz w:val="24"/>
          <w:szCs w:val="24"/>
        </w:rPr>
        <w:t>risk, and board characteristics.</w:t>
      </w:r>
      <w:r w:rsidR="00A129EA" w:rsidRPr="00111AE1">
        <w:rPr>
          <w:rFonts w:asciiTheme="majorBidi" w:hAnsiTheme="majorBidi" w:cstheme="majorBidi"/>
          <w:sz w:val="24"/>
          <w:szCs w:val="24"/>
        </w:rPr>
        <w:t xml:space="preserve">  </w:t>
      </w:r>
    </w:p>
    <w:p w:rsidR="006D7562" w:rsidRPr="00111AE1" w:rsidRDefault="00A129EA" w:rsidP="00C618C0">
      <w:pPr>
        <w:bidi w:val="0"/>
        <w:spacing w:before="120" w:after="120" w:line="240" w:lineRule="auto"/>
        <w:jc w:val="both"/>
        <w:rPr>
          <w:rFonts w:asciiTheme="majorBidi" w:hAnsiTheme="majorBidi" w:cstheme="majorBidi"/>
          <w:sz w:val="24"/>
          <w:szCs w:val="24"/>
        </w:rPr>
      </w:pPr>
      <w:r w:rsidRPr="00111AE1">
        <w:rPr>
          <w:rFonts w:asciiTheme="majorBidi" w:hAnsiTheme="majorBidi" w:cstheme="majorBidi"/>
          <w:sz w:val="24"/>
          <w:szCs w:val="24"/>
        </w:rPr>
        <w:t xml:space="preserve">The </w:t>
      </w:r>
      <w:r w:rsidR="008C6EE6" w:rsidRPr="00111AE1">
        <w:rPr>
          <w:rFonts w:asciiTheme="majorBidi" w:hAnsiTheme="majorBidi" w:cstheme="majorBidi"/>
          <w:sz w:val="24"/>
          <w:szCs w:val="24"/>
        </w:rPr>
        <w:t>demographic factors</w:t>
      </w:r>
      <w:r w:rsidR="00ED556D" w:rsidRPr="00111AE1">
        <w:rPr>
          <w:rFonts w:asciiTheme="majorBidi" w:hAnsiTheme="majorBidi" w:cstheme="majorBidi"/>
          <w:sz w:val="24"/>
          <w:szCs w:val="24"/>
        </w:rPr>
        <w:t xml:space="preserve"> include</w:t>
      </w:r>
      <w:r w:rsidRPr="00111AE1">
        <w:rPr>
          <w:rFonts w:asciiTheme="majorBidi" w:hAnsiTheme="majorBidi" w:cstheme="majorBidi"/>
          <w:sz w:val="24"/>
          <w:szCs w:val="24"/>
        </w:rPr>
        <w:t xml:space="preserve"> the size and age of firms. The firm size may have a positive or negative impact on firm's performance. Chandler (1962) stated that big firms can operate at low cost due to advantages of economics of scale. Ramsay et al</w:t>
      </w:r>
      <w:r w:rsidR="0006239F">
        <w:rPr>
          <w:rFonts w:asciiTheme="majorBidi" w:hAnsiTheme="majorBidi" w:cstheme="majorBidi"/>
          <w:sz w:val="24"/>
          <w:szCs w:val="24"/>
        </w:rPr>
        <w:t>.</w:t>
      </w:r>
      <w:r w:rsidRPr="00111AE1">
        <w:rPr>
          <w:rFonts w:asciiTheme="majorBidi" w:hAnsiTheme="majorBidi" w:cstheme="majorBidi"/>
          <w:sz w:val="24"/>
          <w:szCs w:val="24"/>
        </w:rPr>
        <w:t xml:space="preserve"> (2005) showed that larger firms have the ability to raise the barriers of entry to potential competitors and therefore increase their market share. However, in some cases, increase firm's size may hinder large </w:t>
      </w:r>
      <w:r w:rsidR="00023199">
        <w:rPr>
          <w:rFonts w:asciiTheme="majorBidi" w:hAnsiTheme="majorBidi" w:cstheme="majorBidi"/>
          <w:sz w:val="24"/>
          <w:szCs w:val="24"/>
        </w:rPr>
        <w:t>firms to adopt new technologies</w:t>
      </w:r>
      <w:r w:rsidRPr="00111AE1">
        <w:rPr>
          <w:rFonts w:asciiTheme="majorBidi" w:hAnsiTheme="majorBidi" w:cstheme="majorBidi"/>
          <w:sz w:val="24"/>
          <w:szCs w:val="24"/>
        </w:rPr>
        <w:t xml:space="preserve"> due to bureaucracy and operational rigidities (</w:t>
      </w:r>
      <w:proofErr w:type="spellStart"/>
      <w:r w:rsidRPr="00111AE1">
        <w:rPr>
          <w:rFonts w:asciiTheme="majorBidi" w:hAnsiTheme="majorBidi" w:cstheme="majorBidi"/>
          <w:sz w:val="24"/>
          <w:szCs w:val="24"/>
        </w:rPr>
        <w:t>Tripsas</w:t>
      </w:r>
      <w:proofErr w:type="spellEnd"/>
      <w:r w:rsidRPr="00111AE1">
        <w:rPr>
          <w:rFonts w:asciiTheme="majorBidi" w:hAnsiTheme="majorBidi" w:cstheme="majorBidi"/>
          <w:sz w:val="24"/>
          <w:szCs w:val="24"/>
        </w:rPr>
        <w:t xml:space="preserve"> and </w:t>
      </w:r>
      <w:proofErr w:type="spellStart"/>
      <w:r w:rsidRPr="00111AE1">
        <w:rPr>
          <w:rFonts w:asciiTheme="majorBidi" w:hAnsiTheme="majorBidi" w:cstheme="majorBidi"/>
          <w:sz w:val="24"/>
          <w:szCs w:val="24"/>
        </w:rPr>
        <w:t>Gavetti</w:t>
      </w:r>
      <w:proofErr w:type="spellEnd"/>
      <w:r w:rsidR="00866A56">
        <w:rPr>
          <w:rFonts w:asciiTheme="majorBidi" w:hAnsiTheme="majorBidi" w:cstheme="majorBidi"/>
          <w:sz w:val="24"/>
          <w:szCs w:val="24"/>
        </w:rPr>
        <w:t>,</w:t>
      </w:r>
      <w:r w:rsidRPr="00111AE1">
        <w:rPr>
          <w:rFonts w:asciiTheme="majorBidi" w:hAnsiTheme="majorBidi" w:cstheme="majorBidi"/>
          <w:sz w:val="24"/>
          <w:szCs w:val="24"/>
        </w:rPr>
        <w:t xml:space="preserve"> 2000). Firm age also affects the performance of firms through learning by doing. Older firms may learn more about production techniques and enhance productivity (</w:t>
      </w:r>
      <w:proofErr w:type="spellStart"/>
      <w:r w:rsidRPr="00111AE1">
        <w:rPr>
          <w:rFonts w:asciiTheme="majorBidi" w:hAnsiTheme="majorBidi" w:cstheme="majorBidi"/>
          <w:sz w:val="24"/>
          <w:szCs w:val="24"/>
        </w:rPr>
        <w:t>Vassilakis</w:t>
      </w:r>
      <w:proofErr w:type="spellEnd"/>
      <w:r w:rsidR="00866A56">
        <w:rPr>
          <w:rFonts w:asciiTheme="majorBidi" w:hAnsiTheme="majorBidi" w:cstheme="majorBidi"/>
          <w:sz w:val="24"/>
          <w:szCs w:val="24"/>
        </w:rPr>
        <w:t>,</w:t>
      </w:r>
      <w:r w:rsidRPr="00111AE1">
        <w:rPr>
          <w:rFonts w:asciiTheme="majorBidi" w:hAnsiTheme="majorBidi" w:cstheme="majorBidi"/>
          <w:sz w:val="24"/>
          <w:szCs w:val="24"/>
        </w:rPr>
        <w:t xml:space="preserve"> 2008). On the other hand, young firms may respond more effectively than older firms to environmental changes through applying new strategies, creating new products and markets. These contrast viewpoints about the real effect of age and size of firms on ROI provide another dimension in ou</w:t>
      </w:r>
      <w:r w:rsidR="00ED556D" w:rsidRPr="00111AE1">
        <w:rPr>
          <w:rFonts w:asciiTheme="majorBidi" w:hAnsiTheme="majorBidi" w:cstheme="majorBidi"/>
          <w:sz w:val="24"/>
          <w:szCs w:val="24"/>
        </w:rPr>
        <w:t xml:space="preserve">r study to address this point. </w:t>
      </w:r>
    </w:p>
    <w:p w:rsidR="00497743" w:rsidRPr="00111AE1" w:rsidRDefault="00497743" w:rsidP="00197A4E">
      <w:pPr>
        <w:bidi w:val="0"/>
        <w:spacing w:before="120" w:after="120" w:line="240" w:lineRule="auto"/>
        <w:jc w:val="both"/>
        <w:rPr>
          <w:rFonts w:asciiTheme="majorBidi" w:hAnsiTheme="majorBidi" w:cstheme="majorBidi"/>
          <w:sz w:val="24"/>
          <w:szCs w:val="24"/>
        </w:rPr>
      </w:pPr>
      <w:r w:rsidRPr="00111AE1">
        <w:rPr>
          <w:rFonts w:asciiTheme="majorBidi" w:hAnsiTheme="majorBidi" w:cstheme="majorBidi"/>
          <w:sz w:val="24"/>
          <w:szCs w:val="24"/>
        </w:rPr>
        <w:lastRenderedPageBreak/>
        <w:t>Business risk is the risk that occur</w:t>
      </w:r>
      <w:r w:rsidR="00C753D3">
        <w:rPr>
          <w:rFonts w:asciiTheme="majorBidi" w:hAnsiTheme="majorBidi" w:cstheme="majorBidi"/>
          <w:sz w:val="24"/>
          <w:szCs w:val="24"/>
        </w:rPr>
        <w:t>s</w:t>
      </w:r>
      <w:r w:rsidRPr="00111AE1">
        <w:rPr>
          <w:rFonts w:asciiTheme="majorBidi" w:hAnsiTheme="majorBidi" w:cstheme="majorBidi"/>
          <w:sz w:val="24"/>
          <w:szCs w:val="24"/>
        </w:rPr>
        <w:t xml:space="preserve"> as a result of the change in conditions or performance of the </w:t>
      </w:r>
      <w:r w:rsidR="00BD4DBC" w:rsidRPr="00111AE1">
        <w:rPr>
          <w:rFonts w:asciiTheme="majorBidi" w:hAnsiTheme="majorBidi" w:cstheme="majorBidi"/>
          <w:sz w:val="24"/>
          <w:szCs w:val="24"/>
        </w:rPr>
        <w:t>firm</w:t>
      </w:r>
      <w:r w:rsidRPr="00111AE1">
        <w:rPr>
          <w:rFonts w:asciiTheme="majorBidi" w:hAnsiTheme="majorBidi" w:cstheme="majorBidi"/>
          <w:sz w:val="24"/>
          <w:szCs w:val="24"/>
        </w:rPr>
        <w:t xml:space="preserve"> or its financial position</w:t>
      </w:r>
      <w:r w:rsidR="00C753D3">
        <w:rPr>
          <w:rFonts w:asciiTheme="majorBidi" w:hAnsiTheme="majorBidi" w:cstheme="majorBidi"/>
          <w:sz w:val="24"/>
          <w:szCs w:val="24"/>
        </w:rPr>
        <w:t>. These risks appear in</w:t>
      </w:r>
      <w:r w:rsidR="00BD4DBC" w:rsidRPr="00111AE1">
        <w:rPr>
          <w:rFonts w:asciiTheme="majorBidi" w:hAnsiTheme="majorBidi" w:cstheme="majorBidi"/>
          <w:sz w:val="24"/>
          <w:szCs w:val="24"/>
        </w:rPr>
        <w:t xml:space="preserve"> firms because of the cost and capital structure of the firm</w:t>
      </w:r>
      <w:r w:rsidR="00665729" w:rsidRPr="00111AE1">
        <w:rPr>
          <w:rFonts w:asciiTheme="majorBidi" w:hAnsiTheme="majorBidi" w:cstheme="majorBidi"/>
          <w:sz w:val="24"/>
          <w:szCs w:val="24"/>
        </w:rPr>
        <w:t>. Opera</w:t>
      </w:r>
      <w:r w:rsidR="00023199">
        <w:rPr>
          <w:rFonts w:asciiTheme="majorBidi" w:hAnsiTheme="majorBidi" w:cstheme="majorBidi"/>
          <w:sz w:val="24"/>
          <w:szCs w:val="24"/>
        </w:rPr>
        <w:t xml:space="preserve">ting risk is the possibility of </w:t>
      </w:r>
      <w:proofErr w:type="gramStart"/>
      <w:r w:rsidR="00665729" w:rsidRPr="00111AE1">
        <w:rPr>
          <w:rFonts w:asciiTheme="majorBidi" w:hAnsiTheme="majorBidi" w:cstheme="majorBidi"/>
          <w:sz w:val="24"/>
          <w:szCs w:val="24"/>
        </w:rPr>
        <w:t>diffe</w:t>
      </w:r>
      <w:r w:rsidR="00023199">
        <w:rPr>
          <w:rFonts w:asciiTheme="majorBidi" w:hAnsiTheme="majorBidi" w:cstheme="majorBidi"/>
          <w:sz w:val="24"/>
          <w:szCs w:val="24"/>
        </w:rPr>
        <w:t>ring</w:t>
      </w:r>
      <w:proofErr w:type="gramEnd"/>
      <w:r w:rsidR="00023199">
        <w:rPr>
          <w:rFonts w:asciiTheme="majorBidi" w:hAnsiTheme="majorBidi" w:cstheme="majorBidi"/>
          <w:sz w:val="24"/>
          <w:szCs w:val="24"/>
        </w:rPr>
        <w:t xml:space="preserve"> the earning profits due to</w:t>
      </w:r>
      <w:r w:rsidR="00665729" w:rsidRPr="00111AE1">
        <w:rPr>
          <w:rFonts w:asciiTheme="majorBidi" w:hAnsiTheme="majorBidi" w:cstheme="majorBidi"/>
          <w:sz w:val="24"/>
          <w:szCs w:val="24"/>
        </w:rPr>
        <w:t xml:space="preserve"> the changes in the net sales as a result of the level of fixed costs in the cost structure. </w:t>
      </w:r>
      <w:r w:rsidR="00023199" w:rsidRPr="00111AE1">
        <w:rPr>
          <w:rFonts w:asciiTheme="majorBidi" w:hAnsiTheme="majorBidi" w:cstheme="majorBidi"/>
          <w:sz w:val="24"/>
          <w:szCs w:val="24"/>
        </w:rPr>
        <w:t>Fixed costs vary from firm to firm and from industry to another, and this are</w:t>
      </w:r>
      <w:r w:rsidR="008564E7" w:rsidRPr="00111AE1">
        <w:rPr>
          <w:rFonts w:asciiTheme="majorBidi" w:hAnsiTheme="majorBidi" w:cstheme="majorBidi"/>
          <w:sz w:val="24"/>
          <w:szCs w:val="24"/>
        </w:rPr>
        <w:t xml:space="preserve"> related to the degree of operating</w:t>
      </w:r>
      <w:r w:rsidR="00665729" w:rsidRPr="00111AE1">
        <w:rPr>
          <w:rFonts w:asciiTheme="majorBidi" w:hAnsiTheme="majorBidi" w:cstheme="majorBidi"/>
          <w:sz w:val="24"/>
          <w:szCs w:val="24"/>
        </w:rPr>
        <w:t xml:space="preserve"> risk</w:t>
      </w:r>
      <w:r w:rsidR="008564E7" w:rsidRPr="00111AE1">
        <w:rPr>
          <w:rFonts w:asciiTheme="majorBidi" w:hAnsiTheme="majorBidi" w:cstheme="majorBidi"/>
          <w:sz w:val="24"/>
          <w:szCs w:val="24"/>
        </w:rPr>
        <w:t xml:space="preserve"> in different firms and industries. </w:t>
      </w:r>
      <w:r w:rsidR="00665729" w:rsidRPr="00111AE1">
        <w:rPr>
          <w:rFonts w:asciiTheme="majorBidi" w:hAnsiTheme="majorBidi" w:cstheme="majorBidi"/>
          <w:sz w:val="24"/>
          <w:szCs w:val="24"/>
        </w:rPr>
        <w:t xml:space="preserve"> It is expected</w:t>
      </w:r>
      <w:r w:rsidR="008564E7" w:rsidRPr="00111AE1">
        <w:rPr>
          <w:rFonts w:asciiTheme="majorBidi" w:hAnsiTheme="majorBidi" w:cstheme="majorBidi"/>
          <w:sz w:val="24"/>
          <w:szCs w:val="24"/>
        </w:rPr>
        <w:t xml:space="preserve"> that</w:t>
      </w:r>
      <w:r w:rsidR="00665729" w:rsidRPr="00111AE1">
        <w:rPr>
          <w:rFonts w:asciiTheme="majorBidi" w:hAnsiTheme="majorBidi" w:cstheme="majorBidi"/>
          <w:sz w:val="24"/>
          <w:szCs w:val="24"/>
        </w:rPr>
        <w:t xml:space="preserve"> the effect of operating leverage on </w:t>
      </w:r>
      <w:r w:rsidR="008564E7" w:rsidRPr="00111AE1">
        <w:rPr>
          <w:rFonts w:asciiTheme="majorBidi" w:hAnsiTheme="majorBidi" w:cstheme="majorBidi"/>
          <w:sz w:val="24"/>
          <w:szCs w:val="24"/>
        </w:rPr>
        <w:t>ROI is re</w:t>
      </w:r>
      <w:r w:rsidR="00023199">
        <w:rPr>
          <w:rFonts w:asciiTheme="majorBidi" w:hAnsiTheme="majorBidi" w:cstheme="majorBidi"/>
          <w:sz w:val="24"/>
          <w:szCs w:val="24"/>
        </w:rPr>
        <w:t>lated to the applied pattern of technology</w:t>
      </w:r>
      <w:r w:rsidR="008564E7" w:rsidRPr="00111AE1">
        <w:rPr>
          <w:rFonts w:asciiTheme="majorBidi" w:hAnsiTheme="majorBidi" w:cstheme="majorBidi"/>
          <w:sz w:val="24"/>
          <w:szCs w:val="24"/>
        </w:rPr>
        <w:t xml:space="preserve"> and the nature of s</w:t>
      </w:r>
      <w:r w:rsidR="007B7D4F" w:rsidRPr="00111AE1">
        <w:rPr>
          <w:rFonts w:asciiTheme="majorBidi" w:hAnsiTheme="majorBidi" w:cstheme="majorBidi"/>
          <w:sz w:val="24"/>
          <w:szCs w:val="24"/>
        </w:rPr>
        <w:t>ector</w:t>
      </w:r>
      <w:r w:rsidR="00665729" w:rsidRPr="00111AE1">
        <w:rPr>
          <w:rFonts w:asciiTheme="majorBidi" w:hAnsiTheme="majorBidi" w:cstheme="majorBidi"/>
          <w:sz w:val="24"/>
          <w:szCs w:val="24"/>
        </w:rPr>
        <w:t xml:space="preserve"> which</w:t>
      </w:r>
      <w:r w:rsidR="007B7D4F" w:rsidRPr="00111AE1">
        <w:rPr>
          <w:rFonts w:asciiTheme="majorBidi" w:hAnsiTheme="majorBidi" w:cstheme="majorBidi"/>
          <w:sz w:val="24"/>
          <w:szCs w:val="24"/>
        </w:rPr>
        <w:t xml:space="preserve"> the firm</w:t>
      </w:r>
      <w:r w:rsidR="00665729" w:rsidRPr="00111AE1">
        <w:rPr>
          <w:rFonts w:asciiTheme="majorBidi" w:hAnsiTheme="majorBidi" w:cstheme="majorBidi"/>
          <w:sz w:val="24"/>
          <w:szCs w:val="24"/>
        </w:rPr>
        <w:t xml:space="preserve"> belong</w:t>
      </w:r>
      <w:r w:rsidR="007B7D4F" w:rsidRPr="00111AE1">
        <w:rPr>
          <w:rFonts w:asciiTheme="majorBidi" w:hAnsiTheme="majorBidi" w:cstheme="majorBidi"/>
          <w:sz w:val="24"/>
          <w:szCs w:val="24"/>
        </w:rPr>
        <w:t>s</w:t>
      </w:r>
      <w:r w:rsidR="00665729" w:rsidRPr="00111AE1">
        <w:rPr>
          <w:rFonts w:asciiTheme="majorBidi" w:hAnsiTheme="majorBidi" w:cstheme="majorBidi"/>
          <w:sz w:val="24"/>
          <w:szCs w:val="24"/>
        </w:rPr>
        <w:t xml:space="preserve"> to (a </w:t>
      </w:r>
      <w:r w:rsidR="007B7D4F" w:rsidRPr="00111AE1">
        <w:rPr>
          <w:rFonts w:asciiTheme="majorBidi" w:hAnsiTheme="majorBidi" w:cstheme="majorBidi"/>
          <w:sz w:val="24"/>
          <w:szCs w:val="24"/>
        </w:rPr>
        <w:t>productive or service sector</w:t>
      </w:r>
      <w:r w:rsidR="00665729" w:rsidRPr="00111AE1">
        <w:rPr>
          <w:rFonts w:asciiTheme="majorBidi" w:hAnsiTheme="majorBidi" w:cstheme="majorBidi"/>
          <w:sz w:val="24"/>
          <w:szCs w:val="24"/>
        </w:rPr>
        <w:t>).</w:t>
      </w:r>
      <w:r w:rsidR="00D7456F" w:rsidRPr="00111AE1">
        <w:rPr>
          <w:rFonts w:asciiTheme="majorBidi" w:hAnsiTheme="majorBidi" w:cstheme="majorBidi"/>
          <w:sz w:val="24"/>
          <w:szCs w:val="24"/>
        </w:rPr>
        <w:t xml:space="preserve"> Therefore, firms that are characterized by a high degree of operating risk should not rely heavily on debts to finance their activities as high degree of operating risk is an indicator to the fluctuation of the company's ability to meet its debt.</w:t>
      </w:r>
    </w:p>
    <w:p w:rsidR="008A3598" w:rsidRPr="00866A56" w:rsidRDefault="0022325A" w:rsidP="00197A4E">
      <w:pPr>
        <w:bidi w:val="0"/>
        <w:spacing w:before="120" w:after="120" w:line="240" w:lineRule="auto"/>
        <w:jc w:val="both"/>
        <w:rPr>
          <w:rFonts w:asciiTheme="majorBidi" w:hAnsiTheme="majorBidi" w:cstheme="majorBidi"/>
          <w:sz w:val="24"/>
          <w:szCs w:val="24"/>
        </w:rPr>
      </w:pPr>
      <w:r w:rsidRPr="00866A56">
        <w:rPr>
          <w:rFonts w:asciiTheme="majorBidi" w:hAnsiTheme="majorBidi" w:cstheme="majorBidi"/>
          <w:sz w:val="24"/>
          <w:szCs w:val="24"/>
        </w:rPr>
        <w:t>Another factor that affect</w:t>
      </w:r>
      <w:r w:rsidR="00023199" w:rsidRPr="00866A56">
        <w:rPr>
          <w:rFonts w:asciiTheme="majorBidi" w:hAnsiTheme="majorBidi" w:cstheme="majorBidi"/>
          <w:sz w:val="24"/>
          <w:szCs w:val="24"/>
        </w:rPr>
        <w:t>s</w:t>
      </w:r>
      <w:r w:rsidRPr="00866A56">
        <w:rPr>
          <w:rFonts w:asciiTheme="majorBidi" w:hAnsiTheme="majorBidi" w:cstheme="majorBidi"/>
          <w:sz w:val="24"/>
          <w:szCs w:val="24"/>
        </w:rPr>
        <w:t xml:space="preserve"> the</w:t>
      </w:r>
      <w:r w:rsidR="00902D97" w:rsidRPr="00866A56">
        <w:rPr>
          <w:rFonts w:asciiTheme="majorBidi" w:hAnsiTheme="majorBidi" w:cstheme="majorBidi"/>
          <w:sz w:val="24"/>
          <w:szCs w:val="24"/>
        </w:rPr>
        <w:t xml:space="preserve"> R</w:t>
      </w:r>
      <w:r w:rsidR="00023199" w:rsidRPr="00866A56">
        <w:rPr>
          <w:rFonts w:asciiTheme="majorBidi" w:hAnsiTheme="majorBidi" w:cstheme="majorBidi"/>
          <w:sz w:val="24"/>
          <w:szCs w:val="24"/>
        </w:rPr>
        <w:t>OI</w:t>
      </w:r>
      <w:r w:rsidR="00902D97" w:rsidRPr="00866A56">
        <w:rPr>
          <w:rFonts w:asciiTheme="majorBidi" w:hAnsiTheme="majorBidi" w:cstheme="majorBidi"/>
          <w:sz w:val="24"/>
          <w:szCs w:val="24"/>
        </w:rPr>
        <w:t xml:space="preserve"> is financial leverage</w:t>
      </w:r>
      <w:r w:rsidR="00EF2559" w:rsidRPr="00866A56">
        <w:rPr>
          <w:rFonts w:asciiTheme="majorBidi" w:hAnsiTheme="majorBidi" w:cstheme="majorBidi"/>
          <w:sz w:val="24"/>
          <w:szCs w:val="24"/>
        </w:rPr>
        <w:t xml:space="preserve">, which refers to the </w:t>
      </w:r>
      <w:r w:rsidR="00902D97" w:rsidRPr="00866A56">
        <w:rPr>
          <w:rFonts w:asciiTheme="majorBidi" w:hAnsiTheme="majorBidi" w:cstheme="majorBidi"/>
          <w:sz w:val="24"/>
          <w:szCs w:val="24"/>
        </w:rPr>
        <w:t xml:space="preserve">effect of the degree of </w:t>
      </w:r>
      <w:r w:rsidR="00EF2559" w:rsidRPr="00866A56">
        <w:rPr>
          <w:rFonts w:asciiTheme="majorBidi" w:hAnsiTheme="majorBidi" w:cstheme="majorBidi"/>
          <w:sz w:val="24"/>
          <w:szCs w:val="24"/>
        </w:rPr>
        <w:t xml:space="preserve">earning profit </w:t>
      </w:r>
      <w:r w:rsidR="00902D97" w:rsidRPr="00866A56">
        <w:rPr>
          <w:rFonts w:asciiTheme="majorBidi" w:hAnsiTheme="majorBidi" w:cstheme="majorBidi"/>
          <w:sz w:val="24"/>
          <w:szCs w:val="24"/>
        </w:rPr>
        <w:t>on the net profit.</w:t>
      </w:r>
      <w:r w:rsidRPr="00866A56">
        <w:rPr>
          <w:rFonts w:asciiTheme="majorBidi" w:hAnsiTheme="majorBidi" w:cstheme="majorBidi"/>
          <w:sz w:val="24"/>
          <w:szCs w:val="24"/>
        </w:rPr>
        <w:t xml:space="preserve"> Financial leverage</w:t>
      </w:r>
      <w:r w:rsidR="00EF2559" w:rsidRPr="00866A56">
        <w:rPr>
          <w:rFonts w:asciiTheme="majorBidi" w:hAnsiTheme="majorBidi" w:cstheme="majorBidi"/>
          <w:sz w:val="24"/>
          <w:szCs w:val="24"/>
        </w:rPr>
        <w:t xml:space="preserve"> results from bearing the firm a fixed financial cost, such as interest, bond coupons and dividends of preferred stocks</w:t>
      </w:r>
      <w:r w:rsidR="008A3598" w:rsidRPr="00866A56">
        <w:rPr>
          <w:rFonts w:asciiTheme="majorBidi" w:hAnsiTheme="majorBidi" w:cstheme="majorBidi"/>
          <w:sz w:val="24"/>
          <w:szCs w:val="24"/>
        </w:rPr>
        <w:t>, and may have</w:t>
      </w:r>
      <w:r w:rsidR="00EF2559" w:rsidRPr="00866A56">
        <w:rPr>
          <w:rFonts w:asciiTheme="majorBidi" w:hAnsiTheme="majorBidi" w:cstheme="majorBidi"/>
          <w:sz w:val="24"/>
          <w:szCs w:val="24"/>
        </w:rPr>
        <w:t xml:space="preserve"> a positive or negative impact on the</w:t>
      </w:r>
      <w:r w:rsidR="008A3598" w:rsidRPr="00866A56">
        <w:rPr>
          <w:rFonts w:asciiTheme="majorBidi" w:hAnsiTheme="majorBidi" w:cstheme="majorBidi"/>
          <w:sz w:val="24"/>
          <w:szCs w:val="24"/>
        </w:rPr>
        <w:t xml:space="preserve"> ROI.</w:t>
      </w:r>
      <w:r w:rsidR="00EF2559" w:rsidRPr="00866A56">
        <w:rPr>
          <w:rFonts w:asciiTheme="majorBidi" w:hAnsiTheme="majorBidi" w:cstheme="majorBidi"/>
          <w:sz w:val="24"/>
          <w:szCs w:val="24"/>
        </w:rPr>
        <w:t xml:space="preserve"> </w:t>
      </w:r>
      <w:r w:rsidR="008A3598" w:rsidRPr="00866A56">
        <w:rPr>
          <w:rFonts w:asciiTheme="majorBidi" w:hAnsiTheme="majorBidi" w:cstheme="majorBidi"/>
          <w:sz w:val="24"/>
          <w:szCs w:val="24"/>
        </w:rPr>
        <w:t>These effects depend</w:t>
      </w:r>
      <w:r w:rsidR="00EF2559" w:rsidRPr="00866A56">
        <w:rPr>
          <w:rFonts w:asciiTheme="majorBidi" w:hAnsiTheme="majorBidi" w:cstheme="majorBidi"/>
          <w:sz w:val="24"/>
          <w:szCs w:val="24"/>
        </w:rPr>
        <w:t xml:space="preserve"> on the </w:t>
      </w:r>
      <w:r w:rsidR="008A3598" w:rsidRPr="00866A56">
        <w:rPr>
          <w:rFonts w:asciiTheme="majorBidi" w:hAnsiTheme="majorBidi" w:cstheme="majorBidi"/>
          <w:sz w:val="24"/>
          <w:szCs w:val="24"/>
        </w:rPr>
        <w:t>firm</w:t>
      </w:r>
      <w:r w:rsidR="00EF2559" w:rsidRPr="00866A56">
        <w:rPr>
          <w:rFonts w:asciiTheme="majorBidi" w:hAnsiTheme="majorBidi" w:cstheme="majorBidi"/>
          <w:sz w:val="24"/>
          <w:szCs w:val="24"/>
        </w:rPr>
        <w:t xml:space="preserve">'s ability to </w:t>
      </w:r>
      <w:r w:rsidRPr="00866A56">
        <w:rPr>
          <w:rFonts w:asciiTheme="majorBidi" w:hAnsiTheme="majorBidi" w:cstheme="majorBidi"/>
          <w:sz w:val="24"/>
          <w:szCs w:val="24"/>
        </w:rPr>
        <w:t>use</w:t>
      </w:r>
      <w:r w:rsidR="00EF2559" w:rsidRPr="00866A56">
        <w:rPr>
          <w:rFonts w:asciiTheme="majorBidi" w:hAnsiTheme="majorBidi" w:cstheme="majorBidi"/>
          <w:sz w:val="24"/>
          <w:szCs w:val="24"/>
        </w:rPr>
        <w:t xml:space="preserve"> </w:t>
      </w:r>
      <w:r w:rsidRPr="00866A56">
        <w:rPr>
          <w:rFonts w:asciiTheme="majorBidi" w:hAnsiTheme="majorBidi" w:cstheme="majorBidi"/>
          <w:sz w:val="24"/>
          <w:szCs w:val="24"/>
        </w:rPr>
        <w:t>this</w:t>
      </w:r>
      <w:r w:rsidR="008A3598" w:rsidRPr="00866A56">
        <w:rPr>
          <w:rFonts w:asciiTheme="majorBidi" w:hAnsiTheme="majorBidi" w:cstheme="majorBidi"/>
          <w:sz w:val="24"/>
          <w:szCs w:val="24"/>
        </w:rPr>
        <w:t xml:space="preserve"> money effectively</w:t>
      </w:r>
      <w:r w:rsidR="00EF2559" w:rsidRPr="00866A56">
        <w:rPr>
          <w:rFonts w:asciiTheme="majorBidi" w:hAnsiTheme="majorBidi" w:cstheme="majorBidi"/>
          <w:sz w:val="24"/>
          <w:szCs w:val="24"/>
        </w:rPr>
        <w:t>, and also on the overall investment climate.</w:t>
      </w:r>
      <w:r w:rsidR="00EC01F3" w:rsidRPr="00866A56">
        <w:rPr>
          <w:rFonts w:asciiTheme="majorBidi" w:hAnsiTheme="majorBidi" w:cstheme="majorBidi"/>
          <w:sz w:val="24"/>
          <w:szCs w:val="24"/>
        </w:rPr>
        <w:t xml:space="preserve"> However, financial l</w:t>
      </w:r>
      <w:r w:rsidR="008A3598" w:rsidRPr="00866A56">
        <w:rPr>
          <w:rFonts w:asciiTheme="majorBidi" w:hAnsiTheme="majorBidi" w:cstheme="majorBidi"/>
          <w:sz w:val="24"/>
          <w:szCs w:val="24"/>
        </w:rPr>
        <w:t xml:space="preserve">everage is more flexible compared to the </w:t>
      </w:r>
      <w:r w:rsidR="00EC01F3" w:rsidRPr="00866A56">
        <w:rPr>
          <w:rFonts w:asciiTheme="majorBidi" w:hAnsiTheme="majorBidi" w:cstheme="majorBidi"/>
          <w:sz w:val="24"/>
          <w:szCs w:val="24"/>
        </w:rPr>
        <w:t>operating leverage as</w:t>
      </w:r>
      <w:r w:rsidR="008A3598" w:rsidRPr="00866A56">
        <w:rPr>
          <w:rFonts w:asciiTheme="majorBidi" w:hAnsiTheme="majorBidi" w:cstheme="majorBidi"/>
          <w:sz w:val="24"/>
          <w:szCs w:val="24"/>
        </w:rPr>
        <w:t xml:space="preserve"> the </w:t>
      </w:r>
      <w:r w:rsidR="00EC01F3" w:rsidRPr="00866A56">
        <w:rPr>
          <w:rFonts w:asciiTheme="majorBidi" w:hAnsiTheme="majorBidi" w:cstheme="majorBidi"/>
          <w:sz w:val="24"/>
          <w:szCs w:val="24"/>
        </w:rPr>
        <w:t>firm</w:t>
      </w:r>
      <w:r w:rsidR="008A3598" w:rsidRPr="00866A56">
        <w:rPr>
          <w:rFonts w:asciiTheme="majorBidi" w:hAnsiTheme="majorBidi" w:cstheme="majorBidi"/>
          <w:sz w:val="24"/>
          <w:szCs w:val="24"/>
        </w:rPr>
        <w:t xml:space="preserve"> can adjust the </w:t>
      </w:r>
      <w:r w:rsidR="00EC01F3" w:rsidRPr="00866A56">
        <w:rPr>
          <w:rFonts w:asciiTheme="majorBidi" w:hAnsiTheme="majorBidi" w:cstheme="majorBidi"/>
          <w:sz w:val="24"/>
          <w:szCs w:val="24"/>
        </w:rPr>
        <w:t xml:space="preserve">financial </w:t>
      </w:r>
      <w:r w:rsidR="008A3598" w:rsidRPr="00866A56">
        <w:rPr>
          <w:rFonts w:asciiTheme="majorBidi" w:hAnsiTheme="majorBidi" w:cstheme="majorBidi"/>
          <w:sz w:val="24"/>
          <w:szCs w:val="24"/>
        </w:rPr>
        <w:t xml:space="preserve">leverage from time to time </w:t>
      </w:r>
      <w:r w:rsidR="00EC01F3" w:rsidRPr="00866A56">
        <w:rPr>
          <w:rFonts w:asciiTheme="majorBidi" w:hAnsiTheme="majorBidi" w:cstheme="majorBidi"/>
          <w:sz w:val="24"/>
          <w:szCs w:val="24"/>
        </w:rPr>
        <w:t>due to the</w:t>
      </w:r>
      <w:r w:rsidR="008A3598" w:rsidRPr="00866A56">
        <w:rPr>
          <w:rFonts w:asciiTheme="majorBidi" w:hAnsiTheme="majorBidi" w:cstheme="majorBidi"/>
          <w:sz w:val="24"/>
          <w:szCs w:val="24"/>
        </w:rPr>
        <w:t xml:space="preserve"> circumstances of </w:t>
      </w:r>
      <w:r w:rsidR="00EC01F3" w:rsidRPr="00866A56">
        <w:rPr>
          <w:rFonts w:asciiTheme="majorBidi" w:hAnsiTheme="majorBidi" w:cstheme="majorBidi"/>
          <w:sz w:val="24"/>
          <w:szCs w:val="24"/>
        </w:rPr>
        <w:t>the firm</w:t>
      </w:r>
      <w:r w:rsidR="008A3598" w:rsidRPr="00866A56">
        <w:rPr>
          <w:rFonts w:asciiTheme="majorBidi" w:hAnsiTheme="majorBidi" w:cstheme="majorBidi"/>
          <w:sz w:val="24"/>
          <w:szCs w:val="24"/>
        </w:rPr>
        <w:t xml:space="preserve">, which is difficult to be implemented in the case of </w:t>
      </w:r>
      <w:r w:rsidR="00EC01F3" w:rsidRPr="00866A56">
        <w:rPr>
          <w:rFonts w:asciiTheme="majorBidi" w:hAnsiTheme="majorBidi" w:cstheme="majorBidi"/>
          <w:sz w:val="24"/>
          <w:szCs w:val="24"/>
        </w:rPr>
        <w:t>operating leverage</w:t>
      </w:r>
      <w:r w:rsidR="008A3598" w:rsidRPr="00866A56">
        <w:rPr>
          <w:rFonts w:asciiTheme="majorBidi" w:hAnsiTheme="majorBidi" w:cstheme="majorBidi"/>
          <w:sz w:val="24"/>
          <w:szCs w:val="24"/>
        </w:rPr>
        <w:t xml:space="preserve"> for being related </w:t>
      </w:r>
      <w:r w:rsidR="00EC01F3" w:rsidRPr="00866A56">
        <w:rPr>
          <w:rFonts w:asciiTheme="majorBidi" w:hAnsiTheme="majorBidi" w:cstheme="majorBidi"/>
          <w:sz w:val="24"/>
          <w:szCs w:val="24"/>
        </w:rPr>
        <w:t xml:space="preserve">to fixed </w:t>
      </w:r>
      <w:r w:rsidR="008A3598" w:rsidRPr="00866A56">
        <w:rPr>
          <w:rFonts w:asciiTheme="majorBidi" w:hAnsiTheme="majorBidi" w:cstheme="majorBidi"/>
          <w:sz w:val="24"/>
          <w:szCs w:val="24"/>
        </w:rPr>
        <w:t>assets</w:t>
      </w:r>
      <w:r w:rsidR="00EC01F3" w:rsidRPr="00866A56">
        <w:rPr>
          <w:rFonts w:asciiTheme="majorBidi" w:hAnsiTheme="majorBidi" w:cstheme="majorBidi"/>
          <w:sz w:val="24"/>
          <w:szCs w:val="24"/>
        </w:rPr>
        <w:t>.</w:t>
      </w:r>
    </w:p>
    <w:p w:rsidR="00023D28" w:rsidRPr="00111AE1" w:rsidRDefault="00023D28" w:rsidP="00197A4E">
      <w:pPr>
        <w:bidi w:val="0"/>
        <w:spacing w:before="120" w:after="120" w:line="240" w:lineRule="auto"/>
        <w:jc w:val="both"/>
        <w:rPr>
          <w:rFonts w:asciiTheme="majorBidi" w:hAnsiTheme="majorBidi" w:cstheme="majorBidi"/>
          <w:sz w:val="24"/>
          <w:szCs w:val="24"/>
        </w:rPr>
      </w:pPr>
      <w:r w:rsidRPr="00111AE1">
        <w:rPr>
          <w:rFonts w:asciiTheme="majorBidi" w:hAnsiTheme="majorBidi" w:cstheme="majorBidi"/>
          <w:sz w:val="24"/>
          <w:szCs w:val="24"/>
        </w:rPr>
        <w:t xml:space="preserve">The earliest literature on the impact of </w:t>
      </w:r>
      <w:r w:rsidR="00C753D3">
        <w:rPr>
          <w:rFonts w:asciiTheme="majorBidi" w:hAnsiTheme="majorBidi" w:cstheme="majorBidi"/>
          <w:sz w:val="24"/>
          <w:szCs w:val="24"/>
        </w:rPr>
        <w:t xml:space="preserve">the </w:t>
      </w:r>
      <w:r w:rsidRPr="00111AE1">
        <w:rPr>
          <w:rFonts w:asciiTheme="majorBidi" w:hAnsiTheme="majorBidi" w:cstheme="majorBidi"/>
          <w:sz w:val="24"/>
          <w:szCs w:val="24"/>
        </w:rPr>
        <w:t xml:space="preserve">board size on firm's performance </w:t>
      </w:r>
      <w:r w:rsidR="00C753D3">
        <w:rPr>
          <w:rFonts w:asciiTheme="majorBidi" w:hAnsiTheme="majorBidi" w:cstheme="majorBidi"/>
          <w:sz w:val="24"/>
          <w:szCs w:val="24"/>
        </w:rPr>
        <w:t>was</w:t>
      </w:r>
      <w:r w:rsidRPr="00111AE1">
        <w:rPr>
          <w:rFonts w:asciiTheme="majorBidi" w:hAnsiTheme="majorBidi" w:cstheme="majorBidi"/>
          <w:sz w:val="24"/>
          <w:szCs w:val="24"/>
        </w:rPr>
        <w:t xml:space="preserve"> by Lipton and </w:t>
      </w:r>
      <w:proofErr w:type="spellStart"/>
      <w:r w:rsidRPr="00111AE1">
        <w:rPr>
          <w:rFonts w:asciiTheme="majorBidi" w:hAnsiTheme="majorBidi" w:cstheme="majorBidi"/>
          <w:sz w:val="24"/>
          <w:szCs w:val="24"/>
        </w:rPr>
        <w:t>Lor</w:t>
      </w:r>
      <w:r w:rsidR="00202307" w:rsidRPr="00111AE1">
        <w:rPr>
          <w:rFonts w:asciiTheme="majorBidi" w:hAnsiTheme="majorBidi" w:cstheme="majorBidi"/>
          <w:sz w:val="24"/>
          <w:szCs w:val="24"/>
        </w:rPr>
        <w:t>s</w:t>
      </w:r>
      <w:r w:rsidRPr="00111AE1">
        <w:rPr>
          <w:rFonts w:asciiTheme="majorBidi" w:hAnsiTheme="majorBidi" w:cstheme="majorBidi"/>
          <w:sz w:val="24"/>
          <w:szCs w:val="24"/>
        </w:rPr>
        <w:t>ch</w:t>
      </w:r>
      <w:proofErr w:type="spellEnd"/>
      <w:r w:rsidRPr="00111AE1">
        <w:rPr>
          <w:rFonts w:asciiTheme="majorBidi" w:hAnsiTheme="majorBidi" w:cstheme="majorBidi"/>
          <w:sz w:val="24"/>
          <w:szCs w:val="24"/>
        </w:rPr>
        <w:t xml:space="preserve"> (1992) and Jensen (1993). Jensen (1993) suggested that smalle</w:t>
      </w:r>
      <w:r w:rsidR="00381B96" w:rsidRPr="00111AE1">
        <w:rPr>
          <w:rFonts w:asciiTheme="majorBidi" w:hAnsiTheme="majorBidi" w:cstheme="majorBidi"/>
          <w:sz w:val="24"/>
          <w:szCs w:val="24"/>
        </w:rPr>
        <w:t>r board size is favorable as it</w:t>
      </w:r>
      <w:r w:rsidRPr="00111AE1">
        <w:rPr>
          <w:rFonts w:asciiTheme="majorBidi" w:hAnsiTheme="majorBidi" w:cstheme="majorBidi"/>
          <w:sz w:val="24"/>
          <w:szCs w:val="24"/>
        </w:rPr>
        <w:t xml:space="preserve"> leads to</w:t>
      </w:r>
      <w:r w:rsidR="00381B96" w:rsidRPr="00111AE1">
        <w:rPr>
          <w:rFonts w:asciiTheme="majorBidi" w:hAnsiTheme="majorBidi" w:cstheme="majorBidi"/>
          <w:sz w:val="24"/>
          <w:szCs w:val="24"/>
        </w:rPr>
        <w:t xml:space="preserve"> reduce the managerial teamwork cost</w:t>
      </w:r>
      <w:r w:rsidRPr="00111AE1">
        <w:rPr>
          <w:rFonts w:asciiTheme="majorBidi" w:hAnsiTheme="majorBidi" w:cstheme="majorBidi"/>
          <w:sz w:val="24"/>
          <w:szCs w:val="24"/>
        </w:rPr>
        <w:t xml:space="preserve">. According to </w:t>
      </w:r>
      <w:proofErr w:type="spellStart"/>
      <w:r w:rsidRPr="00111AE1">
        <w:rPr>
          <w:rFonts w:asciiTheme="majorBidi" w:hAnsiTheme="majorBidi" w:cstheme="majorBidi"/>
          <w:sz w:val="24"/>
          <w:szCs w:val="24"/>
        </w:rPr>
        <w:t>Hermalin</w:t>
      </w:r>
      <w:proofErr w:type="spellEnd"/>
      <w:r w:rsidRPr="00111AE1">
        <w:rPr>
          <w:rFonts w:asciiTheme="majorBidi" w:hAnsiTheme="majorBidi" w:cstheme="majorBidi"/>
          <w:sz w:val="24"/>
          <w:szCs w:val="24"/>
        </w:rPr>
        <w:t xml:space="preserve"> and </w:t>
      </w:r>
      <w:proofErr w:type="spellStart"/>
      <w:r w:rsidRPr="00111AE1">
        <w:rPr>
          <w:rFonts w:asciiTheme="majorBidi" w:hAnsiTheme="majorBidi" w:cstheme="majorBidi"/>
          <w:sz w:val="24"/>
          <w:szCs w:val="24"/>
        </w:rPr>
        <w:t>Weisbach</w:t>
      </w:r>
      <w:proofErr w:type="spellEnd"/>
      <w:r w:rsidRPr="00111AE1">
        <w:rPr>
          <w:rFonts w:asciiTheme="majorBidi" w:hAnsiTheme="majorBidi" w:cstheme="majorBidi"/>
          <w:sz w:val="24"/>
          <w:szCs w:val="24"/>
        </w:rPr>
        <w:t xml:space="preserve"> (2003), smaller boards can be more effective than large boards. This can be explained by the agency problems that may arise when boards consist of too many members. As Lipton and </w:t>
      </w:r>
      <w:proofErr w:type="spellStart"/>
      <w:r w:rsidRPr="00111AE1">
        <w:rPr>
          <w:rFonts w:asciiTheme="majorBidi" w:hAnsiTheme="majorBidi" w:cstheme="majorBidi"/>
          <w:sz w:val="24"/>
          <w:szCs w:val="24"/>
        </w:rPr>
        <w:t>Lor</w:t>
      </w:r>
      <w:r w:rsidR="0089441C" w:rsidRPr="00111AE1">
        <w:rPr>
          <w:rFonts w:asciiTheme="majorBidi" w:hAnsiTheme="majorBidi" w:cstheme="majorBidi"/>
          <w:sz w:val="24"/>
          <w:szCs w:val="24"/>
        </w:rPr>
        <w:t>s</w:t>
      </w:r>
      <w:r w:rsidRPr="00111AE1">
        <w:rPr>
          <w:rFonts w:asciiTheme="majorBidi" w:hAnsiTheme="majorBidi" w:cstheme="majorBidi"/>
          <w:sz w:val="24"/>
          <w:szCs w:val="24"/>
        </w:rPr>
        <w:t>ch</w:t>
      </w:r>
      <w:proofErr w:type="spellEnd"/>
      <w:r w:rsidRPr="00111AE1">
        <w:rPr>
          <w:rFonts w:asciiTheme="majorBidi" w:hAnsiTheme="majorBidi" w:cstheme="majorBidi"/>
          <w:sz w:val="24"/>
          <w:szCs w:val="24"/>
        </w:rPr>
        <w:t xml:space="preserve"> (1992)</w:t>
      </w:r>
      <w:r w:rsidR="008F098B" w:rsidRPr="00111AE1">
        <w:rPr>
          <w:rFonts w:asciiTheme="majorBidi" w:hAnsiTheme="majorBidi" w:cstheme="majorBidi"/>
          <w:sz w:val="24"/>
          <w:szCs w:val="24"/>
        </w:rPr>
        <w:t xml:space="preserve"> argued,</w:t>
      </w:r>
      <w:r w:rsidRPr="00111AE1">
        <w:rPr>
          <w:rFonts w:asciiTheme="majorBidi" w:hAnsiTheme="majorBidi" w:cstheme="majorBidi"/>
          <w:sz w:val="24"/>
          <w:szCs w:val="24"/>
        </w:rPr>
        <w:t xml:space="preserve"> the number of directors on a board should be around seven or </w:t>
      </w:r>
      <w:r w:rsidR="005B2749" w:rsidRPr="00111AE1">
        <w:rPr>
          <w:rFonts w:asciiTheme="majorBidi" w:hAnsiTheme="majorBidi" w:cstheme="majorBidi"/>
          <w:sz w:val="24"/>
          <w:szCs w:val="24"/>
        </w:rPr>
        <w:t xml:space="preserve">eight. </w:t>
      </w:r>
      <w:r w:rsidR="009F7344" w:rsidRPr="00111AE1">
        <w:rPr>
          <w:rFonts w:asciiTheme="majorBidi" w:hAnsiTheme="majorBidi" w:cstheme="majorBidi"/>
          <w:sz w:val="24"/>
          <w:szCs w:val="24"/>
        </w:rPr>
        <w:t>They argue</w:t>
      </w:r>
      <w:r w:rsidR="00C753D3">
        <w:rPr>
          <w:rFonts w:asciiTheme="majorBidi" w:hAnsiTheme="majorBidi" w:cstheme="majorBidi"/>
          <w:sz w:val="24"/>
          <w:szCs w:val="24"/>
        </w:rPr>
        <w:t>d</w:t>
      </w:r>
      <w:r w:rsidR="009F7344" w:rsidRPr="00111AE1">
        <w:rPr>
          <w:rFonts w:asciiTheme="majorBidi" w:hAnsiTheme="majorBidi" w:cstheme="majorBidi"/>
          <w:sz w:val="24"/>
          <w:szCs w:val="24"/>
        </w:rPr>
        <w:t xml:space="preserve"> that more board size than this level leads to decrease</w:t>
      </w:r>
      <w:r w:rsidR="005B2749" w:rsidRPr="00111AE1">
        <w:rPr>
          <w:rFonts w:asciiTheme="majorBidi" w:hAnsiTheme="majorBidi" w:cstheme="majorBidi"/>
          <w:sz w:val="24"/>
          <w:szCs w:val="24"/>
        </w:rPr>
        <w:t xml:space="preserve"> the ability of board directors to control managerial decisions</w:t>
      </w:r>
      <w:r w:rsidR="009F7344" w:rsidRPr="00111AE1">
        <w:rPr>
          <w:rFonts w:asciiTheme="majorBidi" w:hAnsiTheme="majorBidi" w:cstheme="majorBidi"/>
          <w:sz w:val="24"/>
          <w:szCs w:val="24"/>
        </w:rPr>
        <w:t xml:space="preserve">. </w:t>
      </w:r>
      <w:r w:rsidR="008F098B" w:rsidRPr="00111AE1">
        <w:rPr>
          <w:rFonts w:asciiTheme="majorBidi" w:hAnsiTheme="majorBidi" w:cstheme="majorBidi"/>
          <w:sz w:val="24"/>
          <w:szCs w:val="24"/>
        </w:rPr>
        <w:t xml:space="preserve">They also suggested </w:t>
      </w:r>
      <w:r w:rsidR="00C753D3">
        <w:rPr>
          <w:rFonts w:asciiTheme="majorBidi" w:hAnsiTheme="majorBidi" w:cstheme="majorBidi"/>
          <w:sz w:val="24"/>
          <w:szCs w:val="24"/>
        </w:rPr>
        <w:t xml:space="preserve">that </w:t>
      </w:r>
      <w:r w:rsidR="008F098B" w:rsidRPr="00111AE1">
        <w:rPr>
          <w:rFonts w:asciiTheme="majorBidi" w:hAnsiTheme="majorBidi" w:cstheme="majorBidi"/>
          <w:sz w:val="24"/>
          <w:szCs w:val="24"/>
        </w:rPr>
        <w:t xml:space="preserve">a large board may increase meaningless discussion </w:t>
      </w:r>
      <w:r w:rsidRPr="00111AE1">
        <w:rPr>
          <w:rFonts w:asciiTheme="majorBidi" w:hAnsiTheme="majorBidi" w:cstheme="majorBidi"/>
          <w:sz w:val="24"/>
          <w:szCs w:val="24"/>
        </w:rPr>
        <w:t xml:space="preserve">and frequently results in a lack of </w:t>
      </w:r>
      <w:r w:rsidR="008F098B" w:rsidRPr="00111AE1">
        <w:rPr>
          <w:rFonts w:asciiTheme="majorBidi" w:hAnsiTheme="majorBidi" w:cstheme="majorBidi"/>
          <w:sz w:val="24"/>
          <w:szCs w:val="24"/>
        </w:rPr>
        <w:t>board cohesiveness</w:t>
      </w:r>
      <w:r w:rsidRPr="00111AE1">
        <w:rPr>
          <w:rFonts w:asciiTheme="majorBidi" w:hAnsiTheme="majorBidi" w:cstheme="majorBidi"/>
          <w:sz w:val="24"/>
          <w:szCs w:val="24"/>
        </w:rPr>
        <w:t xml:space="preserve">. </w:t>
      </w:r>
      <w:r w:rsidR="008F098B" w:rsidRPr="00111AE1">
        <w:rPr>
          <w:rFonts w:asciiTheme="majorBidi" w:hAnsiTheme="majorBidi" w:cstheme="majorBidi"/>
          <w:sz w:val="24"/>
          <w:szCs w:val="24"/>
        </w:rPr>
        <w:t xml:space="preserve">Jensen (1993) stated that with large board </w:t>
      </w:r>
      <w:r w:rsidRPr="00111AE1">
        <w:rPr>
          <w:rFonts w:asciiTheme="majorBidi" w:hAnsiTheme="majorBidi" w:cstheme="majorBidi"/>
          <w:sz w:val="24"/>
          <w:szCs w:val="24"/>
        </w:rPr>
        <w:t xml:space="preserve">the problem of coordination </w:t>
      </w:r>
      <w:r w:rsidR="009F7344" w:rsidRPr="00111AE1">
        <w:rPr>
          <w:rFonts w:asciiTheme="majorBidi" w:hAnsiTheme="majorBidi" w:cstheme="majorBidi"/>
          <w:sz w:val="24"/>
          <w:szCs w:val="24"/>
        </w:rPr>
        <w:t>exceeds</w:t>
      </w:r>
      <w:r w:rsidRPr="00111AE1">
        <w:rPr>
          <w:rFonts w:asciiTheme="majorBidi" w:hAnsiTheme="majorBidi" w:cstheme="majorBidi"/>
          <w:sz w:val="24"/>
          <w:szCs w:val="24"/>
        </w:rPr>
        <w:t xml:space="preserve"> the advantages of having more directors</w:t>
      </w:r>
      <w:r w:rsidR="008F098B" w:rsidRPr="00111AE1">
        <w:rPr>
          <w:rFonts w:asciiTheme="majorBidi" w:hAnsiTheme="majorBidi" w:cstheme="majorBidi"/>
          <w:sz w:val="24"/>
          <w:szCs w:val="24"/>
        </w:rPr>
        <w:t xml:space="preserve">. </w:t>
      </w:r>
      <w:r w:rsidRPr="00111AE1">
        <w:rPr>
          <w:rFonts w:asciiTheme="majorBidi" w:hAnsiTheme="majorBidi" w:cstheme="majorBidi"/>
          <w:sz w:val="24"/>
          <w:szCs w:val="24"/>
        </w:rPr>
        <w:t xml:space="preserve">On the other hand, </w:t>
      </w:r>
      <w:r w:rsidR="00477E52" w:rsidRPr="00111AE1">
        <w:rPr>
          <w:rFonts w:asciiTheme="majorBidi" w:hAnsiTheme="majorBidi" w:cstheme="majorBidi"/>
          <w:sz w:val="24"/>
          <w:szCs w:val="24"/>
        </w:rPr>
        <w:t xml:space="preserve">the performance of </w:t>
      </w:r>
      <w:r w:rsidRPr="00111AE1">
        <w:rPr>
          <w:rFonts w:asciiTheme="majorBidi" w:hAnsiTheme="majorBidi" w:cstheme="majorBidi"/>
          <w:sz w:val="24"/>
          <w:szCs w:val="24"/>
        </w:rPr>
        <w:t>very small boards</w:t>
      </w:r>
      <w:r w:rsidR="00477E52" w:rsidRPr="00111AE1">
        <w:rPr>
          <w:rFonts w:asciiTheme="majorBidi" w:hAnsiTheme="majorBidi" w:cstheme="majorBidi"/>
          <w:sz w:val="24"/>
          <w:szCs w:val="24"/>
        </w:rPr>
        <w:t xml:space="preserve"> </w:t>
      </w:r>
      <w:r w:rsidR="00197A4E">
        <w:rPr>
          <w:rFonts w:asciiTheme="majorBidi" w:hAnsiTheme="majorBidi" w:cstheme="majorBidi"/>
          <w:sz w:val="24"/>
          <w:szCs w:val="24"/>
        </w:rPr>
        <w:t xml:space="preserve">is </w:t>
      </w:r>
      <w:r w:rsidR="00477E52" w:rsidRPr="00111AE1">
        <w:rPr>
          <w:rFonts w:asciiTheme="majorBidi" w:hAnsiTheme="majorBidi" w:cstheme="majorBidi"/>
          <w:sz w:val="24"/>
          <w:szCs w:val="24"/>
        </w:rPr>
        <w:t>negatively affected by the shortage of</w:t>
      </w:r>
      <w:r w:rsidRPr="00111AE1">
        <w:rPr>
          <w:rFonts w:asciiTheme="majorBidi" w:hAnsiTheme="majorBidi" w:cstheme="majorBidi"/>
          <w:sz w:val="24"/>
          <w:szCs w:val="24"/>
        </w:rPr>
        <w:t xml:space="preserve"> </w:t>
      </w:r>
      <w:r w:rsidR="009F7344" w:rsidRPr="00111AE1">
        <w:rPr>
          <w:rFonts w:asciiTheme="majorBidi" w:hAnsiTheme="majorBidi" w:cstheme="majorBidi"/>
          <w:sz w:val="24"/>
          <w:szCs w:val="24"/>
        </w:rPr>
        <w:t>board diversity such as experience, skills, ge</w:t>
      </w:r>
      <w:r w:rsidR="00866A56">
        <w:rPr>
          <w:rFonts w:asciiTheme="majorBidi" w:hAnsiTheme="majorBidi" w:cstheme="majorBidi"/>
          <w:sz w:val="24"/>
          <w:szCs w:val="24"/>
        </w:rPr>
        <w:t>nder and nationality. (Dalton and Dalton, 2005)</w:t>
      </w:r>
    </w:p>
    <w:p w:rsidR="00ED556D" w:rsidRPr="00111AE1" w:rsidRDefault="00ED556D" w:rsidP="00197A4E">
      <w:pPr>
        <w:bidi w:val="0"/>
        <w:spacing w:before="120" w:after="120" w:line="240" w:lineRule="auto"/>
        <w:jc w:val="both"/>
        <w:rPr>
          <w:rFonts w:asciiTheme="majorBidi" w:hAnsiTheme="majorBidi" w:cstheme="majorBidi"/>
          <w:sz w:val="24"/>
          <w:szCs w:val="24"/>
        </w:rPr>
      </w:pPr>
      <w:r w:rsidRPr="00111AE1">
        <w:rPr>
          <w:rFonts w:asciiTheme="majorBidi" w:hAnsiTheme="majorBidi" w:cstheme="majorBidi"/>
          <w:sz w:val="24"/>
          <w:szCs w:val="24"/>
        </w:rPr>
        <w:t>In modern corporations, the owners are principals and managers are agents, therefore the board of directors play</w:t>
      </w:r>
      <w:r w:rsidR="0022325A">
        <w:rPr>
          <w:rFonts w:asciiTheme="majorBidi" w:hAnsiTheme="majorBidi" w:cstheme="majorBidi"/>
          <w:sz w:val="24"/>
          <w:szCs w:val="24"/>
        </w:rPr>
        <w:t>s</w:t>
      </w:r>
      <w:r w:rsidRPr="00111AE1">
        <w:rPr>
          <w:rFonts w:asciiTheme="majorBidi" w:hAnsiTheme="majorBidi" w:cstheme="majorBidi"/>
          <w:sz w:val="24"/>
          <w:szCs w:val="24"/>
        </w:rPr>
        <w:t xml:space="preserve"> a vital role in moni</w:t>
      </w:r>
      <w:r w:rsidR="0022325A">
        <w:rPr>
          <w:rFonts w:asciiTheme="majorBidi" w:hAnsiTheme="majorBidi" w:cstheme="majorBidi"/>
          <w:sz w:val="24"/>
          <w:szCs w:val="24"/>
        </w:rPr>
        <w:t>toring management. According to</w:t>
      </w:r>
      <w:r w:rsidRPr="00111AE1">
        <w:rPr>
          <w:rFonts w:asciiTheme="majorBidi" w:hAnsiTheme="majorBidi" w:cstheme="majorBidi"/>
          <w:sz w:val="24"/>
          <w:szCs w:val="24"/>
        </w:rPr>
        <w:t xml:space="preserve"> Agency theory, the CEO duality may limit the ability of controlling the performance of management. </w:t>
      </w:r>
      <w:proofErr w:type="spellStart"/>
      <w:r w:rsidRPr="00111AE1">
        <w:rPr>
          <w:rFonts w:asciiTheme="majorBidi" w:hAnsiTheme="majorBidi" w:cstheme="majorBidi"/>
          <w:sz w:val="24"/>
          <w:szCs w:val="24"/>
        </w:rPr>
        <w:t>Fama</w:t>
      </w:r>
      <w:proofErr w:type="spellEnd"/>
      <w:r w:rsidRPr="00111AE1">
        <w:rPr>
          <w:rFonts w:asciiTheme="majorBidi" w:hAnsiTheme="majorBidi" w:cstheme="majorBidi"/>
          <w:sz w:val="24"/>
          <w:szCs w:val="24"/>
        </w:rPr>
        <w:t xml:space="preserve"> and Jensen (1983) argued that separation of decision and risk-bearing functions is favorable due to th</w:t>
      </w:r>
      <w:r w:rsidR="000C1017">
        <w:rPr>
          <w:rFonts w:asciiTheme="majorBidi" w:hAnsiTheme="majorBidi" w:cstheme="majorBidi"/>
          <w:sz w:val="24"/>
          <w:szCs w:val="24"/>
        </w:rPr>
        <w:t>e benefits of specialization of</w:t>
      </w:r>
      <w:r w:rsidRPr="00111AE1">
        <w:rPr>
          <w:rFonts w:asciiTheme="majorBidi" w:hAnsiTheme="majorBidi" w:cstheme="majorBidi"/>
          <w:sz w:val="24"/>
          <w:szCs w:val="24"/>
        </w:rPr>
        <w:t xml:space="preserve"> management and risk bearing and also due to controlling the agency problems caused by separation of decision and risk-bearing functions. As a result, separating the role of CEO and board chairmen more likely improve</w:t>
      </w:r>
      <w:r w:rsidR="00C753D3">
        <w:rPr>
          <w:rFonts w:asciiTheme="majorBidi" w:hAnsiTheme="majorBidi" w:cstheme="majorBidi"/>
          <w:sz w:val="24"/>
          <w:szCs w:val="24"/>
        </w:rPr>
        <w:t>s</w:t>
      </w:r>
      <w:r w:rsidRPr="00111AE1">
        <w:rPr>
          <w:rFonts w:asciiTheme="majorBidi" w:hAnsiTheme="majorBidi" w:cstheme="majorBidi"/>
          <w:sz w:val="24"/>
          <w:szCs w:val="24"/>
        </w:rPr>
        <w:t xml:space="preserve"> firm's performance. On the other hand, Anderson and Anthony (1986) suggested that CEO duality may enforce the ability of the board of directors to monitor ma</w:t>
      </w:r>
      <w:r w:rsidR="00C753D3">
        <w:rPr>
          <w:rFonts w:asciiTheme="majorBidi" w:hAnsiTheme="majorBidi" w:cstheme="majorBidi"/>
          <w:sz w:val="24"/>
          <w:szCs w:val="24"/>
        </w:rPr>
        <w:t>nagerial performance through</w:t>
      </w:r>
      <w:r w:rsidRPr="00111AE1">
        <w:rPr>
          <w:rFonts w:asciiTheme="majorBidi" w:hAnsiTheme="majorBidi" w:cstheme="majorBidi"/>
          <w:sz w:val="24"/>
          <w:szCs w:val="24"/>
        </w:rPr>
        <w:t xml:space="preserve"> matching between the strategy of formulation </w:t>
      </w:r>
      <w:r w:rsidR="00C753D3">
        <w:rPr>
          <w:rFonts w:asciiTheme="majorBidi" w:hAnsiTheme="majorBidi" w:cstheme="majorBidi"/>
          <w:sz w:val="24"/>
          <w:szCs w:val="24"/>
        </w:rPr>
        <w:t>and implementation. This debate</w:t>
      </w:r>
      <w:r w:rsidRPr="00111AE1">
        <w:rPr>
          <w:rFonts w:asciiTheme="majorBidi" w:hAnsiTheme="majorBidi" w:cstheme="majorBidi"/>
          <w:sz w:val="24"/>
          <w:szCs w:val="24"/>
        </w:rPr>
        <w:t xml:space="preserve"> about the impact of CEO duality on firm's performance constitute</w:t>
      </w:r>
      <w:r w:rsidR="00C753D3">
        <w:rPr>
          <w:rFonts w:asciiTheme="majorBidi" w:hAnsiTheme="majorBidi" w:cstheme="majorBidi"/>
          <w:sz w:val="24"/>
          <w:szCs w:val="24"/>
        </w:rPr>
        <w:t>s</w:t>
      </w:r>
      <w:r w:rsidRPr="00111AE1">
        <w:rPr>
          <w:rFonts w:asciiTheme="majorBidi" w:hAnsiTheme="majorBidi" w:cstheme="majorBidi"/>
          <w:sz w:val="24"/>
          <w:szCs w:val="24"/>
        </w:rPr>
        <w:t xml:space="preserve"> the main motivation to study this issue in Egyptian environment.</w:t>
      </w:r>
    </w:p>
    <w:p w:rsidR="009D40BF" w:rsidRPr="00111AE1" w:rsidRDefault="009D40BF" w:rsidP="00197A4E">
      <w:pPr>
        <w:bidi w:val="0"/>
        <w:spacing w:before="120" w:after="120" w:line="240" w:lineRule="auto"/>
        <w:jc w:val="both"/>
        <w:rPr>
          <w:rFonts w:asciiTheme="majorBidi" w:hAnsiTheme="majorBidi" w:cstheme="majorBidi"/>
          <w:sz w:val="24"/>
          <w:szCs w:val="24"/>
        </w:rPr>
      </w:pPr>
      <w:proofErr w:type="spellStart"/>
      <w:r w:rsidRPr="00111AE1">
        <w:rPr>
          <w:rFonts w:asciiTheme="majorBidi" w:hAnsiTheme="majorBidi" w:cstheme="majorBidi"/>
          <w:sz w:val="24"/>
          <w:szCs w:val="24"/>
        </w:rPr>
        <w:lastRenderedPageBreak/>
        <w:t>D’Erasmo</w:t>
      </w:r>
      <w:proofErr w:type="spellEnd"/>
      <w:r w:rsidR="00C753D3">
        <w:rPr>
          <w:rFonts w:asciiTheme="majorBidi" w:hAnsiTheme="majorBidi" w:cstheme="majorBidi"/>
          <w:sz w:val="24"/>
          <w:szCs w:val="24"/>
        </w:rPr>
        <w:t xml:space="preserve"> (2007) studied</w:t>
      </w:r>
      <w:r w:rsidRPr="00111AE1">
        <w:rPr>
          <w:rFonts w:asciiTheme="majorBidi" w:hAnsiTheme="majorBidi" w:cstheme="majorBidi"/>
          <w:sz w:val="24"/>
          <w:szCs w:val="24"/>
        </w:rPr>
        <w:t xml:space="preserve"> the linkages between investment rates and firm’s age and size in USA through the period (1972-1988). The outcomes indicated that there is a negative relationship among investment rates and both firm's age and size. Smaller firms seem to have a </w:t>
      </w:r>
      <w:r w:rsidRPr="00111AE1">
        <w:rPr>
          <w:rFonts w:asciiTheme="majorBidi" w:hAnsiTheme="majorBidi" w:cstheme="majorBidi"/>
          <w:color w:val="231F20"/>
          <w:sz w:val="24"/>
          <w:szCs w:val="24"/>
        </w:rPr>
        <w:t>higher m</w:t>
      </w:r>
      <w:r w:rsidR="0022325A">
        <w:rPr>
          <w:rFonts w:asciiTheme="majorBidi" w:hAnsiTheme="majorBidi" w:cstheme="majorBidi"/>
          <w:color w:val="231F20"/>
          <w:sz w:val="24"/>
          <w:szCs w:val="24"/>
        </w:rPr>
        <w:t>arginal rate of return, whereas</w:t>
      </w:r>
      <w:r w:rsidRPr="00111AE1">
        <w:rPr>
          <w:rFonts w:asciiTheme="majorBidi" w:hAnsiTheme="majorBidi" w:cstheme="majorBidi"/>
          <w:color w:val="231F20"/>
          <w:sz w:val="24"/>
          <w:szCs w:val="24"/>
        </w:rPr>
        <w:t xml:space="preserve"> young firms have higher investment rates.</w:t>
      </w:r>
      <w:r w:rsidRPr="00111AE1">
        <w:rPr>
          <w:rFonts w:asciiTheme="majorBidi" w:hAnsiTheme="majorBidi" w:cstheme="majorBidi"/>
          <w:sz w:val="24"/>
          <w:szCs w:val="24"/>
        </w:rPr>
        <w:t xml:space="preserve"> On the other hand, </w:t>
      </w:r>
      <w:proofErr w:type="spellStart"/>
      <w:r w:rsidRPr="00111AE1">
        <w:rPr>
          <w:rFonts w:asciiTheme="majorBidi" w:hAnsiTheme="majorBidi" w:cstheme="majorBidi"/>
          <w:sz w:val="24"/>
          <w:szCs w:val="24"/>
        </w:rPr>
        <w:t>Kipesha</w:t>
      </w:r>
      <w:proofErr w:type="spellEnd"/>
      <w:r w:rsidRPr="00111AE1">
        <w:rPr>
          <w:rFonts w:asciiTheme="majorBidi" w:hAnsiTheme="majorBidi" w:cstheme="majorBidi"/>
          <w:sz w:val="24"/>
          <w:szCs w:val="24"/>
        </w:rPr>
        <w:t xml:space="preserve"> (2013) </w:t>
      </w:r>
      <w:r w:rsidRPr="00111AE1">
        <w:rPr>
          <w:rFonts w:asciiTheme="majorBidi" w:hAnsiTheme="majorBidi" w:cstheme="majorBidi"/>
          <w:color w:val="231F20"/>
          <w:sz w:val="24"/>
          <w:szCs w:val="24"/>
        </w:rPr>
        <w:t>examined</w:t>
      </w:r>
      <w:r w:rsidRPr="00111AE1">
        <w:rPr>
          <w:rFonts w:asciiTheme="majorBidi" w:hAnsiTheme="majorBidi" w:cstheme="majorBidi"/>
          <w:sz w:val="24"/>
          <w:szCs w:val="24"/>
        </w:rPr>
        <w:t xml:space="preserve"> the impact of the firm size and age on performance of financial firms using panel data of five years and 30 firms in Tanzania. The results pointed out to a positive impact of firm size measured by total asset on the firm's performance. Add to that, the outcomes showed that the firm age which reflects firm</w:t>
      </w:r>
      <w:r w:rsidR="00C753D3">
        <w:rPr>
          <w:rFonts w:asciiTheme="majorBidi" w:hAnsiTheme="majorBidi" w:cstheme="majorBidi"/>
          <w:sz w:val="24"/>
          <w:szCs w:val="24"/>
        </w:rPr>
        <w:t>'s</w:t>
      </w:r>
      <w:r w:rsidRPr="00111AE1">
        <w:rPr>
          <w:rFonts w:asciiTheme="majorBidi" w:hAnsiTheme="majorBidi" w:cstheme="majorBidi"/>
          <w:sz w:val="24"/>
          <w:szCs w:val="24"/>
        </w:rPr>
        <w:t xml:space="preserve"> experience has a positive impact on efficiency, sustainability and financia</w:t>
      </w:r>
      <w:r w:rsidR="00C753D3">
        <w:rPr>
          <w:rFonts w:asciiTheme="majorBidi" w:hAnsiTheme="majorBidi" w:cstheme="majorBidi"/>
          <w:sz w:val="24"/>
          <w:szCs w:val="24"/>
        </w:rPr>
        <w:t>l revenue levels, but has</w:t>
      </w:r>
      <w:r w:rsidRPr="00111AE1">
        <w:rPr>
          <w:rFonts w:asciiTheme="majorBidi" w:hAnsiTheme="majorBidi" w:cstheme="majorBidi"/>
          <w:sz w:val="24"/>
          <w:szCs w:val="24"/>
        </w:rPr>
        <w:t xml:space="preserve"> a negative effect on the profitability of these firms.</w:t>
      </w:r>
    </w:p>
    <w:p w:rsidR="009D40BF" w:rsidRPr="00111AE1" w:rsidRDefault="009D40BF" w:rsidP="00197A4E">
      <w:pPr>
        <w:bidi w:val="0"/>
        <w:spacing w:before="120" w:after="120" w:line="240" w:lineRule="auto"/>
        <w:jc w:val="both"/>
        <w:rPr>
          <w:rFonts w:asciiTheme="majorBidi" w:hAnsiTheme="majorBidi" w:cstheme="majorBidi"/>
          <w:sz w:val="24"/>
          <w:szCs w:val="24"/>
        </w:rPr>
      </w:pPr>
      <w:proofErr w:type="spellStart"/>
      <w:r w:rsidRPr="00111AE1">
        <w:rPr>
          <w:rFonts w:asciiTheme="majorBidi" w:hAnsiTheme="majorBidi" w:cstheme="majorBidi"/>
          <w:sz w:val="24"/>
          <w:szCs w:val="24"/>
        </w:rPr>
        <w:t>Nofal</w:t>
      </w:r>
      <w:proofErr w:type="spellEnd"/>
      <w:r w:rsidRPr="00111AE1">
        <w:rPr>
          <w:rFonts w:asciiTheme="majorBidi" w:hAnsiTheme="majorBidi" w:cstheme="majorBidi"/>
          <w:sz w:val="24"/>
          <w:szCs w:val="24"/>
        </w:rPr>
        <w:t xml:space="preserve"> et al</w:t>
      </w:r>
      <w:r w:rsidR="0006239F">
        <w:rPr>
          <w:rFonts w:asciiTheme="majorBidi" w:hAnsiTheme="majorBidi" w:cstheme="majorBidi"/>
          <w:sz w:val="24"/>
          <w:szCs w:val="24"/>
        </w:rPr>
        <w:t>.</w:t>
      </w:r>
      <w:r w:rsidRPr="00111AE1">
        <w:rPr>
          <w:rFonts w:asciiTheme="majorBidi" w:hAnsiTheme="majorBidi" w:cstheme="majorBidi"/>
          <w:sz w:val="24"/>
          <w:szCs w:val="24"/>
        </w:rPr>
        <w:t xml:space="preserve"> (2012) examined the effect of operating and financial leverage on return ratios of Jordan industrial companies listed in Amman exchange through the period 1997-2007. Their results indicated that there is a significant relationship between both operating and financial leverages and profitability ratios. Moreover, they reached to a statically relationship between turnover rates and earning per share. However, </w:t>
      </w:r>
      <w:proofErr w:type="spellStart"/>
      <w:r w:rsidRPr="00111AE1">
        <w:rPr>
          <w:rFonts w:asciiTheme="majorBidi" w:hAnsiTheme="majorBidi" w:cstheme="majorBidi"/>
          <w:sz w:val="24"/>
          <w:szCs w:val="24"/>
        </w:rPr>
        <w:t>Alagha</w:t>
      </w:r>
      <w:proofErr w:type="spellEnd"/>
      <w:r w:rsidRPr="00111AE1">
        <w:rPr>
          <w:rFonts w:asciiTheme="majorBidi" w:hAnsiTheme="majorBidi" w:cstheme="majorBidi"/>
          <w:sz w:val="24"/>
          <w:szCs w:val="24"/>
        </w:rPr>
        <w:t xml:space="preserve"> (2005) using data of 15 corporations in Palestine within the period (1999 – 2003) reached that there is no significant relationship between financial leverage and the ROI. </w:t>
      </w:r>
      <w:proofErr w:type="spellStart"/>
      <w:r w:rsidRPr="00111AE1">
        <w:rPr>
          <w:rFonts w:asciiTheme="majorBidi" w:hAnsiTheme="majorBidi" w:cstheme="majorBidi"/>
          <w:color w:val="231F20"/>
          <w:sz w:val="24"/>
          <w:szCs w:val="24"/>
        </w:rPr>
        <w:t>Andersson</w:t>
      </w:r>
      <w:proofErr w:type="spellEnd"/>
      <w:r w:rsidRPr="00111AE1">
        <w:rPr>
          <w:rFonts w:asciiTheme="majorBidi" w:hAnsiTheme="majorBidi" w:cstheme="majorBidi"/>
          <w:color w:val="231F20"/>
          <w:sz w:val="24"/>
          <w:szCs w:val="24"/>
        </w:rPr>
        <w:t xml:space="preserve"> et al</w:t>
      </w:r>
      <w:r w:rsidR="0006239F">
        <w:rPr>
          <w:rFonts w:asciiTheme="majorBidi" w:hAnsiTheme="majorBidi" w:cstheme="majorBidi"/>
          <w:color w:val="231F20"/>
          <w:sz w:val="24"/>
          <w:szCs w:val="24"/>
        </w:rPr>
        <w:t>.</w:t>
      </w:r>
      <w:r w:rsidRPr="00111AE1">
        <w:rPr>
          <w:rFonts w:asciiTheme="majorBidi" w:hAnsiTheme="majorBidi" w:cstheme="majorBidi"/>
          <w:color w:val="231F20"/>
          <w:sz w:val="24"/>
          <w:szCs w:val="24"/>
        </w:rPr>
        <w:t xml:space="preserve"> (2013) investigated the determinants of investment returns in the Swedish property fire insurance industry using unbalanced panel data set of 407 firms from 1903 to 1939. Their results showed that investment earnings are inversely related to leverage but positively related to liquidity. This means that firms adopting a more precautionary investment strategy realize higher returns.</w:t>
      </w:r>
    </w:p>
    <w:p w:rsidR="00C624F6" w:rsidRPr="00111AE1" w:rsidRDefault="00ED556D" w:rsidP="00197A4E">
      <w:pPr>
        <w:bidi w:val="0"/>
        <w:spacing w:before="120" w:after="120" w:line="240" w:lineRule="auto"/>
        <w:jc w:val="both"/>
        <w:rPr>
          <w:rFonts w:asciiTheme="majorBidi" w:hAnsiTheme="majorBidi" w:cstheme="majorBidi"/>
          <w:sz w:val="24"/>
          <w:szCs w:val="24"/>
        </w:rPr>
      </w:pPr>
      <w:r w:rsidRPr="00111AE1">
        <w:rPr>
          <w:rFonts w:asciiTheme="majorBidi" w:hAnsiTheme="majorBidi" w:cstheme="majorBidi"/>
          <w:sz w:val="24"/>
          <w:szCs w:val="24"/>
        </w:rPr>
        <w:t>Donaldson and Davis (1991) examined the effects of CEO duality on the return on equity using a sample of 337 U.S. corporations. Their analysis depended mainly on two contrasting approaches to the structure of corporate boards: agency theory and stewardship the</w:t>
      </w:r>
      <w:r w:rsidR="0022325A">
        <w:rPr>
          <w:rFonts w:asciiTheme="majorBidi" w:hAnsiTheme="majorBidi" w:cstheme="majorBidi"/>
          <w:sz w:val="24"/>
          <w:szCs w:val="24"/>
        </w:rPr>
        <w:t>ory. Their findings illustrated</w:t>
      </w:r>
      <w:r w:rsidRPr="00111AE1">
        <w:rPr>
          <w:rFonts w:asciiTheme="majorBidi" w:hAnsiTheme="majorBidi" w:cstheme="majorBidi"/>
          <w:sz w:val="24"/>
          <w:szCs w:val="24"/>
        </w:rPr>
        <w:t xml:space="preserve"> that the ROE returns to shareholders are improved by role duality rather than non-duality, which is not consistence with agency theory, and in turn support stewardship theory.</w:t>
      </w:r>
      <w:r w:rsidR="00F7548E" w:rsidRPr="00111AE1">
        <w:rPr>
          <w:rFonts w:asciiTheme="majorBidi" w:hAnsiTheme="majorBidi" w:cstheme="majorBidi"/>
          <w:sz w:val="24"/>
          <w:szCs w:val="24"/>
        </w:rPr>
        <w:t xml:space="preserve"> However, in </w:t>
      </w:r>
      <w:r w:rsidR="00C753D3">
        <w:rPr>
          <w:rFonts w:asciiTheme="majorBidi" w:hAnsiTheme="majorBidi" w:cstheme="majorBidi"/>
          <w:sz w:val="24"/>
          <w:szCs w:val="24"/>
        </w:rPr>
        <w:t xml:space="preserve">the </w:t>
      </w:r>
      <w:r w:rsidR="00866A56">
        <w:rPr>
          <w:rFonts w:asciiTheme="majorBidi" w:hAnsiTheme="majorBidi" w:cstheme="majorBidi"/>
          <w:sz w:val="24"/>
          <w:szCs w:val="24"/>
        </w:rPr>
        <w:t xml:space="preserve">US equity funds, </w:t>
      </w:r>
      <w:proofErr w:type="spellStart"/>
      <w:r w:rsidR="00866A56">
        <w:rPr>
          <w:rFonts w:asciiTheme="majorBidi" w:hAnsiTheme="majorBidi" w:cstheme="majorBidi"/>
          <w:sz w:val="24"/>
          <w:szCs w:val="24"/>
        </w:rPr>
        <w:t>Kempf</w:t>
      </w:r>
      <w:proofErr w:type="spellEnd"/>
      <w:r w:rsidR="00866A56">
        <w:rPr>
          <w:rFonts w:asciiTheme="majorBidi" w:hAnsiTheme="majorBidi" w:cstheme="majorBidi"/>
          <w:sz w:val="24"/>
          <w:szCs w:val="24"/>
        </w:rPr>
        <w:t xml:space="preserve"> et al. </w:t>
      </w:r>
      <w:r w:rsidR="00F7548E" w:rsidRPr="00111AE1">
        <w:rPr>
          <w:rFonts w:asciiTheme="majorBidi" w:hAnsiTheme="majorBidi" w:cstheme="majorBidi"/>
          <w:sz w:val="24"/>
          <w:szCs w:val="24"/>
        </w:rPr>
        <w:t>(2012) demonstrated that duality has a negative impact on investment performance of the fund. This is explained as duality managers tend to use more risky strategies and adopt more extreme investment techniques which reflected in more extreme performance of investment rates. Contra</w:t>
      </w:r>
      <w:r w:rsidR="0022325A">
        <w:rPr>
          <w:rFonts w:asciiTheme="majorBidi" w:hAnsiTheme="majorBidi" w:cstheme="majorBidi"/>
          <w:sz w:val="24"/>
          <w:szCs w:val="24"/>
        </w:rPr>
        <w:t xml:space="preserve">ry of these results, Chen et al. </w:t>
      </w:r>
      <w:r w:rsidR="00F7548E" w:rsidRPr="00111AE1">
        <w:rPr>
          <w:rFonts w:asciiTheme="majorBidi" w:hAnsiTheme="majorBidi" w:cstheme="majorBidi"/>
          <w:sz w:val="24"/>
          <w:szCs w:val="24"/>
        </w:rPr>
        <w:t>(2008) re-examine</w:t>
      </w:r>
      <w:r w:rsidR="00C753D3">
        <w:rPr>
          <w:rFonts w:asciiTheme="majorBidi" w:hAnsiTheme="majorBidi" w:cstheme="majorBidi"/>
          <w:sz w:val="24"/>
          <w:szCs w:val="24"/>
        </w:rPr>
        <w:t>d</w:t>
      </w:r>
      <w:r w:rsidR="00F7548E" w:rsidRPr="00111AE1">
        <w:rPr>
          <w:rFonts w:asciiTheme="majorBidi" w:hAnsiTheme="majorBidi" w:cstheme="majorBidi"/>
          <w:sz w:val="24"/>
          <w:szCs w:val="24"/>
        </w:rPr>
        <w:t xml:space="preserve"> the relationship between CEO duality and firm performance using data from Standard and Poor's Executive Company database from 1999 to 2003, and they reached to a result that there is no significant relationship between CEO duality and firm</w:t>
      </w:r>
      <w:r w:rsidR="00C753D3">
        <w:rPr>
          <w:rFonts w:asciiTheme="majorBidi" w:hAnsiTheme="majorBidi" w:cstheme="majorBidi"/>
          <w:sz w:val="24"/>
          <w:szCs w:val="24"/>
        </w:rPr>
        <w:t>'s</w:t>
      </w:r>
      <w:r w:rsidR="00F7548E" w:rsidRPr="00111AE1">
        <w:rPr>
          <w:rFonts w:asciiTheme="majorBidi" w:hAnsiTheme="majorBidi" w:cstheme="majorBidi"/>
          <w:sz w:val="24"/>
          <w:szCs w:val="24"/>
        </w:rPr>
        <w:t xml:space="preserve"> performance </w:t>
      </w:r>
      <w:r w:rsidR="00023199">
        <w:rPr>
          <w:rFonts w:asciiTheme="majorBidi" w:hAnsiTheme="majorBidi" w:cstheme="majorBidi"/>
          <w:sz w:val="24"/>
          <w:szCs w:val="24"/>
        </w:rPr>
        <w:t>or</w:t>
      </w:r>
      <w:r w:rsidR="00F7548E" w:rsidRPr="00111AE1">
        <w:rPr>
          <w:rFonts w:asciiTheme="majorBidi" w:hAnsiTheme="majorBidi" w:cstheme="majorBidi"/>
          <w:sz w:val="24"/>
          <w:szCs w:val="24"/>
        </w:rPr>
        <w:t xml:space="preserve"> improvement in firm</w:t>
      </w:r>
      <w:r w:rsidR="00C753D3">
        <w:rPr>
          <w:rFonts w:asciiTheme="majorBidi" w:hAnsiTheme="majorBidi" w:cstheme="majorBidi"/>
          <w:sz w:val="24"/>
          <w:szCs w:val="24"/>
        </w:rPr>
        <w:t>'s</w:t>
      </w:r>
      <w:r w:rsidR="00F7548E" w:rsidRPr="00111AE1">
        <w:rPr>
          <w:rFonts w:asciiTheme="majorBidi" w:hAnsiTheme="majorBidi" w:cstheme="majorBidi"/>
          <w:sz w:val="24"/>
          <w:szCs w:val="24"/>
        </w:rPr>
        <w:t xml:space="preserve"> performance after change in leadership structure.</w:t>
      </w:r>
    </w:p>
    <w:p w:rsidR="00D020A0" w:rsidRPr="00111AE1" w:rsidRDefault="00C624F6" w:rsidP="00197A4E">
      <w:pPr>
        <w:bidi w:val="0"/>
        <w:spacing w:before="120" w:after="120" w:line="240" w:lineRule="auto"/>
        <w:jc w:val="both"/>
        <w:rPr>
          <w:rFonts w:asciiTheme="majorBidi" w:hAnsiTheme="majorBidi" w:cstheme="majorBidi"/>
          <w:sz w:val="24"/>
          <w:szCs w:val="24"/>
        </w:rPr>
      </w:pPr>
      <w:r w:rsidRPr="00111AE1">
        <w:rPr>
          <w:rFonts w:asciiTheme="majorBidi" w:hAnsiTheme="majorBidi" w:cstheme="majorBidi"/>
          <w:sz w:val="24"/>
          <w:szCs w:val="24"/>
        </w:rPr>
        <w:t xml:space="preserve">Guest (2009) examined the impact of </w:t>
      </w:r>
      <w:r w:rsidR="00C753D3">
        <w:rPr>
          <w:rFonts w:asciiTheme="majorBidi" w:hAnsiTheme="majorBidi" w:cstheme="majorBidi"/>
          <w:sz w:val="24"/>
          <w:szCs w:val="24"/>
        </w:rPr>
        <w:t xml:space="preserve">the </w:t>
      </w:r>
      <w:r w:rsidRPr="00111AE1">
        <w:rPr>
          <w:rFonts w:asciiTheme="majorBidi" w:hAnsiTheme="majorBidi" w:cstheme="majorBidi"/>
          <w:sz w:val="24"/>
          <w:szCs w:val="24"/>
        </w:rPr>
        <w:t>board size on firm</w:t>
      </w:r>
      <w:r w:rsidR="00C753D3">
        <w:rPr>
          <w:rFonts w:asciiTheme="majorBidi" w:hAnsiTheme="majorBidi" w:cstheme="majorBidi"/>
          <w:sz w:val="24"/>
          <w:szCs w:val="24"/>
        </w:rPr>
        <w:t>'s</w:t>
      </w:r>
      <w:r w:rsidRPr="00111AE1">
        <w:rPr>
          <w:rFonts w:asciiTheme="majorBidi" w:hAnsiTheme="majorBidi" w:cstheme="majorBidi"/>
          <w:sz w:val="24"/>
          <w:szCs w:val="24"/>
        </w:rPr>
        <w:t xml:space="preserve"> performance for a large sample of 2746 UK listed firms over 1981-2002, and found that </w:t>
      </w:r>
      <w:r w:rsidR="00C753D3">
        <w:rPr>
          <w:rFonts w:asciiTheme="majorBidi" w:hAnsiTheme="majorBidi" w:cstheme="majorBidi"/>
          <w:sz w:val="24"/>
          <w:szCs w:val="24"/>
        </w:rPr>
        <w:t xml:space="preserve">the </w:t>
      </w:r>
      <w:r w:rsidRPr="00111AE1">
        <w:rPr>
          <w:rFonts w:asciiTheme="majorBidi" w:hAnsiTheme="majorBidi" w:cstheme="majorBidi"/>
          <w:sz w:val="24"/>
          <w:szCs w:val="24"/>
        </w:rPr>
        <w:t>board size has a strong negative impact on profitability and share returns.</w:t>
      </w:r>
      <w:r w:rsidR="000D0992" w:rsidRPr="00111AE1">
        <w:rPr>
          <w:rFonts w:asciiTheme="majorBidi" w:hAnsiTheme="majorBidi" w:cstheme="majorBidi"/>
          <w:sz w:val="24"/>
          <w:szCs w:val="24"/>
        </w:rPr>
        <w:t xml:space="preserve"> Also, Al-</w:t>
      </w:r>
      <w:proofErr w:type="spellStart"/>
      <w:r w:rsidR="000D0992" w:rsidRPr="00111AE1">
        <w:rPr>
          <w:rFonts w:asciiTheme="majorBidi" w:hAnsiTheme="majorBidi" w:cstheme="majorBidi"/>
          <w:sz w:val="24"/>
          <w:szCs w:val="24"/>
        </w:rPr>
        <w:t>Matari</w:t>
      </w:r>
      <w:proofErr w:type="spellEnd"/>
      <w:r w:rsidR="000D0992" w:rsidRPr="00111AE1">
        <w:rPr>
          <w:rFonts w:asciiTheme="majorBidi" w:hAnsiTheme="majorBidi" w:cstheme="majorBidi"/>
          <w:sz w:val="24"/>
          <w:szCs w:val="24"/>
        </w:rPr>
        <w:t xml:space="preserve"> et al</w:t>
      </w:r>
      <w:r w:rsidR="0006239F">
        <w:rPr>
          <w:rFonts w:asciiTheme="majorBidi" w:hAnsiTheme="majorBidi" w:cstheme="majorBidi"/>
          <w:sz w:val="24"/>
          <w:szCs w:val="24"/>
        </w:rPr>
        <w:t>.</w:t>
      </w:r>
      <w:r w:rsidR="000D0992" w:rsidRPr="00111AE1">
        <w:rPr>
          <w:rFonts w:asciiTheme="majorBidi" w:hAnsiTheme="majorBidi" w:cstheme="majorBidi"/>
          <w:sz w:val="24"/>
          <w:szCs w:val="24"/>
        </w:rPr>
        <w:t xml:space="preserve"> (2012) studied the relationship between board characteristics and the firm</w:t>
      </w:r>
      <w:r w:rsidR="00C753D3">
        <w:rPr>
          <w:rFonts w:asciiTheme="majorBidi" w:hAnsiTheme="majorBidi" w:cstheme="majorBidi"/>
          <w:sz w:val="24"/>
          <w:szCs w:val="24"/>
        </w:rPr>
        <w:t>'s</w:t>
      </w:r>
      <w:r w:rsidR="000D0992" w:rsidRPr="00111AE1">
        <w:rPr>
          <w:rFonts w:asciiTheme="majorBidi" w:hAnsiTheme="majorBidi" w:cstheme="majorBidi"/>
          <w:sz w:val="24"/>
          <w:szCs w:val="24"/>
        </w:rPr>
        <w:t xml:space="preserve"> performance of non-financial listed Kuwaiti firms using a sample of 136 companies for the financial year 2009. The findings of the study support the positive effects of CEO duality on </w:t>
      </w:r>
      <w:r w:rsidR="00186DAE">
        <w:rPr>
          <w:rFonts w:asciiTheme="majorBidi" w:hAnsiTheme="majorBidi" w:cstheme="majorBidi"/>
          <w:sz w:val="24"/>
          <w:szCs w:val="24"/>
        </w:rPr>
        <w:t>the return on assets (</w:t>
      </w:r>
      <w:r w:rsidR="000D0992" w:rsidRPr="00111AE1">
        <w:rPr>
          <w:rFonts w:asciiTheme="majorBidi" w:hAnsiTheme="majorBidi" w:cstheme="majorBidi"/>
          <w:sz w:val="24"/>
          <w:szCs w:val="24"/>
        </w:rPr>
        <w:t>ROA</w:t>
      </w:r>
      <w:r w:rsidR="00186DAE">
        <w:rPr>
          <w:rFonts w:asciiTheme="majorBidi" w:hAnsiTheme="majorBidi" w:cstheme="majorBidi"/>
          <w:sz w:val="24"/>
          <w:szCs w:val="24"/>
        </w:rPr>
        <w:t>)</w:t>
      </w:r>
      <w:r w:rsidR="000D0992" w:rsidRPr="00111AE1">
        <w:rPr>
          <w:rFonts w:asciiTheme="majorBidi" w:hAnsiTheme="majorBidi" w:cstheme="majorBidi"/>
          <w:sz w:val="24"/>
          <w:szCs w:val="24"/>
        </w:rPr>
        <w:t xml:space="preserve">, but a negative effect of board size on ROA. On the other hand, </w:t>
      </w:r>
      <w:proofErr w:type="spellStart"/>
      <w:r w:rsidR="00D020A0" w:rsidRPr="00111AE1">
        <w:rPr>
          <w:rFonts w:asciiTheme="majorBidi" w:hAnsiTheme="majorBidi" w:cstheme="majorBidi"/>
          <w:sz w:val="24"/>
          <w:szCs w:val="24"/>
        </w:rPr>
        <w:t>Ghabayen</w:t>
      </w:r>
      <w:proofErr w:type="spellEnd"/>
      <w:r w:rsidR="00D020A0" w:rsidRPr="00111AE1">
        <w:rPr>
          <w:rFonts w:asciiTheme="majorBidi" w:hAnsiTheme="majorBidi" w:cstheme="majorBidi"/>
          <w:sz w:val="24"/>
          <w:szCs w:val="24"/>
        </w:rPr>
        <w:t xml:space="preserve"> (2012) examine</w:t>
      </w:r>
      <w:r w:rsidR="007A1CAE" w:rsidRPr="00111AE1">
        <w:rPr>
          <w:rFonts w:asciiTheme="majorBidi" w:hAnsiTheme="majorBidi" w:cstheme="majorBidi"/>
          <w:sz w:val="24"/>
          <w:szCs w:val="24"/>
        </w:rPr>
        <w:t>d</w:t>
      </w:r>
      <w:r w:rsidR="00D020A0" w:rsidRPr="00111AE1">
        <w:rPr>
          <w:rFonts w:asciiTheme="majorBidi" w:hAnsiTheme="majorBidi" w:cstheme="majorBidi"/>
          <w:sz w:val="24"/>
          <w:szCs w:val="24"/>
        </w:rPr>
        <w:t xml:space="preserve"> the relationship between</w:t>
      </w:r>
      <w:r w:rsidR="007A1CAE" w:rsidRPr="00111AE1">
        <w:rPr>
          <w:rFonts w:asciiTheme="majorBidi" w:hAnsiTheme="majorBidi" w:cstheme="majorBidi"/>
          <w:sz w:val="24"/>
          <w:szCs w:val="24"/>
        </w:rPr>
        <w:t xml:space="preserve"> board size </w:t>
      </w:r>
      <w:r w:rsidR="00D020A0" w:rsidRPr="00111AE1">
        <w:rPr>
          <w:rFonts w:asciiTheme="majorBidi" w:hAnsiTheme="majorBidi" w:cstheme="majorBidi"/>
          <w:sz w:val="24"/>
          <w:szCs w:val="24"/>
        </w:rPr>
        <w:t>and firm</w:t>
      </w:r>
      <w:r w:rsidR="00186DAE">
        <w:rPr>
          <w:rFonts w:asciiTheme="majorBidi" w:hAnsiTheme="majorBidi" w:cstheme="majorBidi"/>
          <w:sz w:val="24"/>
          <w:szCs w:val="24"/>
        </w:rPr>
        <w:t>'s</w:t>
      </w:r>
      <w:r w:rsidR="00D020A0" w:rsidRPr="00111AE1">
        <w:rPr>
          <w:rFonts w:asciiTheme="majorBidi" w:hAnsiTheme="majorBidi" w:cstheme="majorBidi"/>
          <w:sz w:val="24"/>
          <w:szCs w:val="24"/>
        </w:rPr>
        <w:t xml:space="preserve"> performance (ROA) based on the annual reports of listed companies in the year 2011 of </w:t>
      </w:r>
      <w:r w:rsidR="00186DAE">
        <w:rPr>
          <w:rFonts w:asciiTheme="majorBidi" w:hAnsiTheme="majorBidi" w:cstheme="majorBidi"/>
          <w:sz w:val="24"/>
          <w:szCs w:val="24"/>
        </w:rPr>
        <w:t xml:space="preserve">a </w:t>
      </w:r>
      <w:r w:rsidR="00D020A0" w:rsidRPr="00111AE1">
        <w:rPr>
          <w:rFonts w:asciiTheme="majorBidi" w:hAnsiTheme="majorBidi" w:cstheme="majorBidi"/>
          <w:sz w:val="24"/>
          <w:szCs w:val="24"/>
        </w:rPr>
        <w:t>sample of non-finan</w:t>
      </w:r>
      <w:r w:rsidR="007A1CAE" w:rsidRPr="00111AE1">
        <w:rPr>
          <w:rFonts w:asciiTheme="majorBidi" w:hAnsiTheme="majorBidi" w:cstheme="majorBidi"/>
          <w:sz w:val="24"/>
          <w:szCs w:val="24"/>
        </w:rPr>
        <w:t>cial firms in the Saudi Market</w:t>
      </w:r>
      <w:r w:rsidR="000D0992" w:rsidRPr="00111AE1">
        <w:rPr>
          <w:rFonts w:asciiTheme="majorBidi" w:hAnsiTheme="majorBidi" w:cstheme="majorBidi"/>
          <w:sz w:val="24"/>
          <w:szCs w:val="24"/>
        </w:rPr>
        <w:t>, and</w:t>
      </w:r>
      <w:r w:rsidR="00D020A0" w:rsidRPr="00111AE1">
        <w:rPr>
          <w:rFonts w:asciiTheme="majorBidi" w:hAnsiTheme="majorBidi" w:cstheme="majorBidi"/>
          <w:sz w:val="24"/>
          <w:szCs w:val="24"/>
        </w:rPr>
        <w:t xml:space="preserve"> </w:t>
      </w:r>
      <w:r w:rsidR="000D0992" w:rsidRPr="00111AE1">
        <w:rPr>
          <w:rFonts w:asciiTheme="majorBidi" w:hAnsiTheme="majorBidi" w:cstheme="majorBidi"/>
          <w:sz w:val="24"/>
          <w:szCs w:val="24"/>
        </w:rPr>
        <w:t>the results</w:t>
      </w:r>
      <w:r w:rsidR="00D020A0" w:rsidRPr="00111AE1">
        <w:rPr>
          <w:rFonts w:asciiTheme="majorBidi" w:hAnsiTheme="majorBidi" w:cstheme="majorBidi"/>
          <w:sz w:val="24"/>
          <w:szCs w:val="24"/>
        </w:rPr>
        <w:t xml:space="preserve"> reveal</w:t>
      </w:r>
      <w:r w:rsidR="007A1CAE" w:rsidRPr="00111AE1">
        <w:rPr>
          <w:rFonts w:asciiTheme="majorBidi" w:hAnsiTheme="majorBidi" w:cstheme="majorBidi"/>
          <w:sz w:val="24"/>
          <w:szCs w:val="24"/>
        </w:rPr>
        <w:t>ed</w:t>
      </w:r>
      <w:r w:rsidR="000D0992" w:rsidRPr="00111AE1">
        <w:rPr>
          <w:rFonts w:asciiTheme="majorBidi" w:hAnsiTheme="majorBidi" w:cstheme="majorBidi"/>
          <w:sz w:val="24"/>
          <w:szCs w:val="24"/>
        </w:rPr>
        <w:t xml:space="preserve"> that</w:t>
      </w:r>
      <w:r w:rsidR="00186DAE">
        <w:rPr>
          <w:rFonts w:asciiTheme="majorBidi" w:hAnsiTheme="majorBidi" w:cstheme="majorBidi"/>
          <w:sz w:val="24"/>
          <w:szCs w:val="24"/>
        </w:rPr>
        <w:t xml:space="preserve"> board size has</w:t>
      </w:r>
      <w:r w:rsidR="00D020A0" w:rsidRPr="00111AE1">
        <w:rPr>
          <w:rFonts w:asciiTheme="majorBidi" w:hAnsiTheme="majorBidi" w:cstheme="majorBidi"/>
          <w:sz w:val="24"/>
          <w:szCs w:val="24"/>
        </w:rPr>
        <w:t xml:space="preserve"> no effect on firm</w:t>
      </w:r>
      <w:r w:rsidR="00186DAE">
        <w:rPr>
          <w:rFonts w:asciiTheme="majorBidi" w:hAnsiTheme="majorBidi" w:cstheme="majorBidi"/>
          <w:sz w:val="24"/>
          <w:szCs w:val="24"/>
        </w:rPr>
        <w:t>'s</w:t>
      </w:r>
      <w:r w:rsidR="00D020A0" w:rsidRPr="00111AE1">
        <w:rPr>
          <w:rFonts w:asciiTheme="majorBidi" w:hAnsiTheme="majorBidi" w:cstheme="majorBidi"/>
          <w:sz w:val="24"/>
          <w:szCs w:val="24"/>
        </w:rPr>
        <w:t xml:space="preserve"> pe</w:t>
      </w:r>
      <w:r w:rsidR="000D0992" w:rsidRPr="00111AE1">
        <w:rPr>
          <w:rFonts w:asciiTheme="majorBidi" w:hAnsiTheme="majorBidi" w:cstheme="majorBidi"/>
          <w:sz w:val="24"/>
          <w:szCs w:val="24"/>
        </w:rPr>
        <w:t>rformance</w:t>
      </w:r>
      <w:r w:rsidR="007A1CAE" w:rsidRPr="00111AE1">
        <w:rPr>
          <w:rFonts w:asciiTheme="majorBidi" w:hAnsiTheme="majorBidi" w:cstheme="majorBidi"/>
          <w:sz w:val="24"/>
          <w:szCs w:val="24"/>
        </w:rPr>
        <w:t>.</w:t>
      </w:r>
    </w:p>
    <w:p w:rsidR="00CE01C7" w:rsidRDefault="00CE01C7" w:rsidP="00197A4E">
      <w:pPr>
        <w:bidi w:val="0"/>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lastRenderedPageBreak/>
        <w:t>According to that we can formulate our research hypotheses in the following points:</w:t>
      </w:r>
    </w:p>
    <w:p w:rsidR="00CE01C7" w:rsidRDefault="00CE01C7" w:rsidP="00197A4E">
      <w:pPr>
        <w:pStyle w:val="ListParagraph"/>
        <w:numPr>
          <w:ilvl w:val="0"/>
          <w:numId w:val="3"/>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The determinants of ROI differ from one firm to another according to sector.</w:t>
      </w:r>
    </w:p>
    <w:p w:rsidR="00CE01C7" w:rsidRDefault="00CE01C7" w:rsidP="00197A4E">
      <w:pPr>
        <w:pStyle w:val="ListParagraph"/>
        <w:numPr>
          <w:ilvl w:val="0"/>
          <w:numId w:val="3"/>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The determinants of ROI differ from one firm to another according to its age.  </w:t>
      </w:r>
    </w:p>
    <w:p w:rsidR="00E606F2" w:rsidRDefault="00CE01C7" w:rsidP="00E606F2">
      <w:pPr>
        <w:pStyle w:val="ListParagraph"/>
        <w:numPr>
          <w:ilvl w:val="0"/>
          <w:numId w:val="3"/>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The determinants of ROI differ from one firm to another according to operating and financial leverage.  </w:t>
      </w:r>
    </w:p>
    <w:p w:rsidR="00CE01C7" w:rsidRPr="00E606F2" w:rsidRDefault="00CE01C7" w:rsidP="00E606F2">
      <w:pPr>
        <w:pStyle w:val="ListParagraph"/>
        <w:numPr>
          <w:ilvl w:val="0"/>
          <w:numId w:val="3"/>
        </w:numPr>
        <w:bidi w:val="0"/>
        <w:spacing w:before="120" w:after="120" w:line="240" w:lineRule="auto"/>
        <w:ind w:left="426" w:hanging="284"/>
        <w:jc w:val="both"/>
        <w:rPr>
          <w:rFonts w:asciiTheme="majorBidi" w:hAnsiTheme="majorBidi" w:cstheme="majorBidi"/>
          <w:sz w:val="24"/>
          <w:szCs w:val="24"/>
        </w:rPr>
      </w:pPr>
      <w:r w:rsidRPr="00E606F2">
        <w:rPr>
          <w:rFonts w:asciiTheme="majorBidi" w:hAnsiTheme="majorBidi" w:cstheme="majorBidi"/>
          <w:sz w:val="24"/>
          <w:szCs w:val="24"/>
        </w:rPr>
        <w:t xml:space="preserve">The determinants of ROI differ from one firm to another according to role duality and board size.  </w:t>
      </w:r>
    </w:p>
    <w:p w:rsidR="00913182" w:rsidRPr="00E606F2" w:rsidRDefault="00197A4E" w:rsidP="00E606F2">
      <w:pPr>
        <w:pStyle w:val="ListParagraph"/>
        <w:numPr>
          <w:ilvl w:val="0"/>
          <w:numId w:val="5"/>
        </w:numPr>
        <w:bidi w:val="0"/>
        <w:spacing w:before="360" w:after="240" w:line="240" w:lineRule="auto"/>
        <w:ind w:left="284" w:hanging="284"/>
        <w:contextualSpacing w:val="0"/>
        <w:rPr>
          <w:rFonts w:asciiTheme="majorBidi" w:hAnsiTheme="majorBidi" w:cstheme="majorBidi"/>
          <w:b/>
          <w:bCs/>
          <w:sz w:val="28"/>
          <w:szCs w:val="28"/>
        </w:rPr>
      </w:pPr>
      <w:r w:rsidRPr="00E606F2">
        <w:rPr>
          <w:rFonts w:asciiTheme="majorBidi" w:hAnsiTheme="majorBidi" w:cstheme="majorBidi"/>
          <w:b/>
          <w:bCs/>
          <w:sz w:val="28"/>
          <w:szCs w:val="28"/>
        </w:rPr>
        <w:t>Methodology and Data A</w:t>
      </w:r>
      <w:r w:rsidR="00574656" w:rsidRPr="00E606F2">
        <w:rPr>
          <w:rFonts w:asciiTheme="majorBidi" w:hAnsiTheme="majorBidi" w:cstheme="majorBidi"/>
          <w:b/>
          <w:bCs/>
          <w:sz w:val="28"/>
          <w:szCs w:val="28"/>
        </w:rPr>
        <w:t xml:space="preserve">nalysis </w:t>
      </w:r>
    </w:p>
    <w:p w:rsidR="00913182" w:rsidRDefault="00913182" w:rsidP="00197A4E">
      <w:pPr>
        <w:bidi w:val="0"/>
        <w:spacing w:before="120" w:after="120" w:line="240" w:lineRule="auto"/>
        <w:jc w:val="both"/>
        <w:rPr>
          <w:rFonts w:asciiTheme="majorBidi" w:hAnsiTheme="majorBidi" w:cstheme="majorBidi"/>
          <w:color w:val="231F20"/>
          <w:sz w:val="24"/>
          <w:szCs w:val="24"/>
        </w:rPr>
      </w:pPr>
      <w:r w:rsidRPr="00913182">
        <w:rPr>
          <w:rFonts w:asciiTheme="majorBidi" w:hAnsiTheme="majorBidi" w:cstheme="majorBidi"/>
          <w:color w:val="231F20"/>
          <w:sz w:val="24"/>
          <w:szCs w:val="24"/>
        </w:rPr>
        <w:t xml:space="preserve">Our data set </w:t>
      </w:r>
      <w:r>
        <w:rPr>
          <w:rFonts w:asciiTheme="majorBidi" w:hAnsiTheme="majorBidi" w:cstheme="majorBidi"/>
          <w:color w:val="231F20"/>
          <w:sz w:val="24"/>
          <w:szCs w:val="24"/>
        </w:rPr>
        <w:t xml:space="preserve">includes a </w:t>
      </w:r>
      <w:r w:rsidRPr="00913182">
        <w:rPr>
          <w:rFonts w:asciiTheme="majorBidi" w:hAnsiTheme="majorBidi" w:cstheme="majorBidi"/>
          <w:color w:val="231F20"/>
          <w:sz w:val="24"/>
          <w:szCs w:val="24"/>
        </w:rPr>
        <w:t>b</w:t>
      </w:r>
      <w:r w:rsidRPr="00111AE1">
        <w:rPr>
          <w:rFonts w:asciiTheme="majorBidi" w:hAnsiTheme="majorBidi" w:cstheme="majorBidi"/>
          <w:sz w:val="24"/>
          <w:szCs w:val="24"/>
        </w:rPr>
        <w:t>a</w:t>
      </w:r>
      <w:r w:rsidRPr="00913182">
        <w:rPr>
          <w:rFonts w:asciiTheme="majorBidi" w:hAnsiTheme="majorBidi" w:cstheme="majorBidi"/>
          <w:color w:val="231F20"/>
          <w:sz w:val="24"/>
          <w:szCs w:val="24"/>
        </w:rPr>
        <w:t xml:space="preserve">lanced panel of </w:t>
      </w:r>
      <w:r>
        <w:rPr>
          <w:rFonts w:asciiTheme="majorBidi" w:eastAsia="AdvOT6eb13881+f6" w:hAnsiTheme="majorBidi" w:cstheme="majorBidi"/>
          <w:color w:val="231F20"/>
          <w:sz w:val="24"/>
          <w:szCs w:val="24"/>
        </w:rPr>
        <w:t>78</w:t>
      </w:r>
      <w:r w:rsidR="005E4322">
        <w:rPr>
          <w:rFonts w:asciiTheme="majorBidi" w:eastAsia="AdvOT6eb13881+f6" w:hAnsiTheme="majorBidi" w:cstheme="majorBidi"/>
          <w:color w:val="231F20"/>
          <w:sz w:val="24"/>
          <w:szCs w:val="24"/>
        </w:rPr>
        <w:t xml:space="preserve"> Egyptian listed</w:t>
      </w:r>
      <w:r w:rsidRPr="00913182">
        <w:rPr>
          <w:rFonts w:asciiTheme="majorBidi" w:eastAsia="AdvOT6eb13881+f6" w:hAnsiTheme="majorBidi" w:cstheme="majorBidi"/>
          <w:color w:val="231F20"/>
          <w:sz w:val="24"/>
          <w:szCs w:val="24"/>
        </w:rPr>
        <w:t xml:space="preserve"> </w:t>
      </w:r>
      <w:r w:rsidRPr="00913182">
        <w:rPr>
          <w:rFonts w:asciiTheme="majorBidi" w:hAnsiTheme="majorBidi" w:cstheme="majorBidi"/>
          <w:color w:val="231F20"/>
          <w:sz w:val="24"/>
          <w:szCs w:val="24"/>
        </w:rPr>
        <w:t>firm</w:t>
      </w:r>
      <w:r w:rsidR="005E4322">
        <w:rPr>
          <w:rFonts w:asciiTheme="majorBidi" w:hAnsiTheme="majorBidi" w:cstheme="majorBidi"/>
          <w:color w:val="231F20"/>
          <w:sz w:val="24"/>
          <w:szCs w:val="24"/>
        </w:rPr>
        <w:t>s</w:t>
      </w:r>
      <w:r>
        <w:rPr>
          <w:rFonts w:asciiTheme="majorBidi" w:hAnsiTheme="majorBidi" w:cstheme="majorBidi"/>
          <w:color w:val="231F20"/>
          <w:sz w:val="24"/>
          <w:szCs w:val="24"/>
        </w:rPr>
        <w:t xml:space="preserve"> and covers three years (2007-2009) </w:t>
      </w:r>
      <w:r w:rsidRPr="00913182">
        <w:rPr>
          <w:rFonts w:asciiTheme="majorBidi" w:hAnsiTheme="majorBidi" w:cstheme="majorBidi"/>
          <w:color w:val="231F20"/>
          <w:sz w:val="24"/>
          <w:szCs w:val="24"/>
        </w:rPr>
        <w:t>comprising</w:t>
      </w:r>
      <w:r w:rsidR="00C91E4F">
        <w:rPr>
          <w:rFonts w:asciiTheme="majorBidi" w:hAnsiTheme="majorBidi" w:cstheme="majorBidi"/>
          <w:color w:val="231F20"/>
          <w:sz w:val="24"/>
          <w:szCs w:val="24"/>
        </w:rPr>
        <w:t xml:space="preserve"> 15 service firms, and 63 productive firms.</w:t>
      </w:r>
      <w:r w:rsidRPr="00913182">
        <w:rPr>
          <w:rFonts w:asciiTheme="majorBidi" w:hAnsiTheme="majorBidi" w:cstheme="majorBidi"/>
          <w:color w:val="231F20"/>
          <w:sz w:val="24"/>
          <w:szCs w:val="24"/>
        </w:rPr>
        <w:t xml:space="preserve"> All financial and economic data </w:t>
      </w:r>
      <w:r w:rsidR="00C91E4F">
        <w:rPr>
          <w:rFonts w:asciiTheme="majorBidi" w:hAnsiTheme="majorBidi" w:cstheme="majorBidi"/>
          <w:color w:val="231F20"/>
          <w:sz w:val="24"/>
          <w:szCs w:val="24"/>
        </w:rPr>
        <w:t>of these firms</w:t>
      </w:r>
      <w:r w:rsidRPr="00913182">
        <w:rPr>
          <w:rFonts w:asciiTheme="majorBidi" w:hAnsiTheme="majorBidi" w:cstheme="majorBidi"/>
          <w:color w:val="231F20"/>
          <w:sz w:val="24"/>
          <w:szCs w:val="24"/>
        </w:rPr>
        <w:t xml:space="preserve"> were obtained</w:t>
      </w:r>
      <w:r w:rsidR="00C91E4F">
        <w:rPr>
          <w:rFonts w:asciiTheme="majorBidi" w:hAnsiTheme="majorBidi" w:cstheme="majorBidi"/>
          <w:color w:val="231F20"/>
          <w:sz w:val="24"/>
          <w:szCs w:val="24"/>
        </w:rPr>
        <w:t xml:space="preserve"> </w:t>
      </w:r>
      <w:r w:rsidR="00644D22">
        <w:rPr>
          <w:rFonts w:asciiTheme="majorBidi" w:hAnsiTheme="majorBidi" w:cstheme="majorBidi"/>
          <w:color w:val="231F20"/>
          <w:sz w:val="24"/>
          <w:szCs w:val="24"/>
        </w:rPr>
        <w:t xml:space="preserve">from </w:t>
      </w:r>
      <w:proofErr w:type="spellStart"/>
      <w:r w:rsidR="00644D22">
        <w:rPr>
          <w:rFonts w:asciiTheme="majorBidi" w:hAnsiTheme="majorBidi" w:cstheme="majorBidi"/>
          <w:color w:val="231F20"/>
          <w:sz w:val="24"/>
          <w:szCs w:val="24"/>
        </w:rPr>
        <w:t>Coface</w:t>
      </w:r>
      <w:proofErr w:type="spellEnd"/>
      <w:r w:rsidR="00644D22">
        <w:rPr>
          <w:rFonts w:asciiTheme="majorBidi" w:hAnsiTheme="majorBidi" w:cstheme="majorBidi"/>
          <w:color w:val="231F20"/>
          <w:sz w:val="24"/>
          <w:szCs w:val="24"/>
        </w:rPr>
        <w:t xml:space="preserve">, Egypt (2010/2011).   </w:t>
      </w:r>
    </w:p>
    <w:p w:rsidR="0073536B" w:rsidRDefault="00150023" w:rsidP="00197A4E">
      <w:pPr>
        <w:bidi w:val="0"/>
        <w:spacing w:before="120" w:after="120" w:line="240" w:lineRule="auto"/>
        <w:jc w:val="both"/>
        <w:rPr>
          <w:rFonts w:asciiTheme="majorBidi" w:hAnsiTheme="majorBidi" w:cstheme="majorBidi"/>
          <w:color w:val="231F20"/>
          <w:sz w:val="24"/>
          <w:szCs w:val="24"/>
        </w:rPr>
      </w:pPr>
      <w:r w:rsidRPr="00150023">
        <w:rPr>
          <w:rFonts w:asciiTheme="majorBidi" w:hAnsiTheme="majorBidi" w:cstheme="majorBidi"/>
          <w:color w:val="231F20"/>
          <w:sz w:val="24"/>
          <w:szCs w:val="24"/>
        </w:rPr>
        <w:t>The variables used in our regression mo</w:t>
      </w:r>
      <w:r>
        <w:rPr>
          <w:rFonts w:asciiTheme="majorBidi" w:hAnsiTheme="majorBidi" w:cstheme="majorBidi"/>
          <w:color w:val="231F20"/>
          <w:sz w:val="24"/>
          <w:szCs w:val="24"/>
        </w:rPr>
        <w:t>dels are defined as follows.</w:t>
      </w:r>
      <w:r w:rsidRPr="00150023">
        <w:rPr>
          <w:rFonts w:asciiTheme="majorBidi" w:hAnsiTheme="majorBidi" w:cstheme="majorBidi"/>
          <w:color w:val="231F20"/>
          <w:sz w:val="24"/>
          <w:szCs w:val="24"/>
        </w:rPr>
        <w:t xml:space="preserve"> The dependent</w:t>
      </w:r>
      <w:r w:rsidR="007F30EF">
        <w:rPr>
          <w:rFonts w:asciiTheme="majorBidi" w:hAnsiTheme="majorBidi" w:cstheme="majorBidi"/>
          <w:color w:val="231F20"/>
          <w:sz w:val="24"/>
          <w:szCs w:val="24"/>
        </w:rPr>
        <w:t xml:space="preserve"> variable, Return o</w:t>
      </w:r>
      <w:r>
        <w:rPr>
          <w:rFonts w:asciiTheme="majorBidi" w:hAnsiTheme="majorBidi" w:cstheme="majorBidi"/>
          <w:color w:val="231F20"/>
          <w:sz w:val="24"/>
          <w:szCs w:val="24"/>
        </w:rPr>
        <w:t>n Investment (ROI)</w:t>
      </w:r>
      <w:r w:rsidR="00644D22">
        <w:rPr>
          <w:rFonts w:asciiTheme="majorBidi" w:hAnsiTheme="majorBidi" w:cstheme="majorBidi"/>
          <w:color w:val="231F20"/>
          <w:sz w:val="24"/>
          <w:szCs w:val="24"/>
        </w:rPr>
        <w:t>,</w:t>
      </w:r>
      <w:r w:rsidRPr="00150023">
        <w:rPr>
          <w:rFonts w:asciiTheme="majorBidi" w:hAnsiTheme="majorBidi" w:cstheme="majorBidi"/>
          <w:color w:val="231F20"/>
          <w:sz w:val="24"/>
          <w:szCs w:val="24"/>
        </w:rPr>
        <w:t xml:space="preserve"> is defined as the r</w:t>
      </w:r>
      <w:r>
        <w:rPr>
          <w:rFonts w:asciiTheme="majorBidi" w:hAnsiTheme="majorBidi" w:cstheme="majorBidi"/>
          <w:color w:val="231F20"/>
          <w:sz w:val="24"/>
          <w:szCs w:val="24"/>
        </w:rPr>
        <w:t>eturn on assets</w:t>
      </w:r>
      <w:r w:rsidR="001B12F1">
        <w:rPr>
          <w:rFonts w:asciiTheme="majorBidi" w:hAnsiTheme="majorBidi" w:cstheme="majorBidi"/>
          <w:color w:val="231F20"/>
          <w:sz w:val="24"/>
          <w:szCs w:val="24"/>
        </w:rPr>
        <w:t>.</w:t>
      </w:r>
      <w:r w:rsidR="00644D22">
        <w:rPr>
          <w:rFonts w:asciiTheme="majorBidi" w:hAnsiTheme="majorBidi" w:cstheme="majorBidi"/>
          <w:color w:val="231F20"/>
          <w:sz w:val="24"/>
          <w:szCs w:val="24"/>
        </w:rPr>
        <w:t xml:space="preserve"> The </w:t>
      </w:r>
      <w:r w:rsidR="00BE0566">
        <w:rPr>
          <w:rFonts w:asciiTheme="majorBidi" w:hAnsiTheme="majorBidi" w:cstheme="majorBidi"/>
          <w:color w:val="231F20"/>
          <w:sz w:val="24"/>
          <w:szCs w:val="24"/>
        </w:rPr>
        <w:t>explained</w:t>
      </w:r>
      <w:r w:rsidR="00644D22">
        <w:rPr>
          <w:rFonts w:asciiTheme="majorBidi" w:hAnsiTheme="majorBidi" w:cstheme="majorBidi"/>
          <w:color w:val="231F20"/>
          <w:sz w:val="24"/>
          <w:szCs w:val="24"/>
        </w:rPr>
        <w:t xml:space="preserve"> variables are divided into two categories</w:t>
      </w:r>
      <w:r w:rsidR="00BE0566">
        <w:rPr>
          <w:rFonts w:asciiTheme="majorBidi" w:hAnsiTheme="majorBidi" w:cstheme="majorBidi"/>
          <w:color w:val="231F20"/>
          <w:sz w:val="24"/>
          <w:szCs w:val="24"/>
        </w:rPr>
        <w:t xml:space="preserve">; independent variables and control variables. Control variables include </w:t>
      </w:r>
      <w:r w:rsidR="0073536B">
        <w:rPr>
          <w:rFonts w:asciiTheme="majorBidi" w:hAnsiTheme="majorBidi" w:cstheme="majorBidi"/>
          <w:color w:val="231F20"/>
          <w:sz w:val="24"/>
          <w:szCs w:val="24"/>
        </w:rPr>
        <w:t>sector, firm age</w:t>
      </w:r>
      <w:r w:rsidR="00BE0566">
        <w:rPr>
          <w:rFonts w:asciiTheme="majorBidi" w:hAnsiTheme="majorBidi" w:cstheme="majorBidi"/>
          <w:color w:val="231F20"/>
          <w:sz w:val="24"/>
          <w:szCs w:val="24"/>
        </w:rPr>
        <w:t>, board size, role duality, operating leverage, and financial leverage. Se</w:t>
      </w:r>
      <w:r w:rsidR="00727D32">
        <w:rPr>
          <w:rFonts w:asciiTheme="majorBidi" w:hAnsiTheme="majorBidi" w:cstheme="majorBidi"/>
          <w:color w:val="231F20"/>
          <w:sz w:val="24"/>
          <w:szCs w:val="24"/>
        </w:rPr>
        <w:t>ctor variable is classified int</w:t>
      </w:r>
      <w:r w:rsidR="00BE0566">
        <w:rPr>
          <w:rFonts w:asciiTheme="majorBidi" w:hAnsiTheme="majorBidi" w:cstheme="majorBidi"/>
          <w:color w:val="231F20"/>
          <w:sz w:val="24"/>
          <w:szCs w:val="24"/>
        </w:rPr>
        <w:t>o Productive (value =1), and service firms (value =0). Wi</w:t>
      </w:r>
      <w:r w:rsidR="00727D32">
        <w:rPr>
          <w:rFonts w:asciiTheme="majorBidi" w:hAnsiTheme="majorBidi" w:cstheme="majorBidi"/>
          <w:color w:val="231F20"/>
          <w:sz w:val="24"/>
          <w:szCs w:val="24"/>
        </w:rPr>
        <w:t>th regard to f</w:t>
      </w:r>
      <w:r w:rsidR="00BE0566">
        <w:rPr>
          <w:rFonts w:asciiTheme="majorBidi" w:hAnsiTheme="majorBidi" w:cstheme="majorBidi"/>
          <w:color w:val="231F20"/>
          <w:sz w:val="24"/>
          <w:szCs w:val="24"/>
        </w:rPr>
        <w:t>irm age variable, it is calculated as the difference between the last year of data (2009) and the established year.</w:t>
      </w:r>
      <w:r w:rsidR="0073536B">
        <w:rPr>
          <w:rFonts w:asciiTheme="majorBidi" w:hAnsiTheme="majorBidi" w:cstheme="majorBidi"/>
          <w:color w:val="231F20"/>
          <w:sz w:val="24"/>
          <w:szCs w:val="24"/>
        </w:rPr>
        <w:t xml:space="preserve"> </w:t>
      </w:r>
      <w:r w:rsidR="00DF4EF1">
        <w:rPr>
          <w:rFonts w:asciiTheme="majorBidi" w:hAnsiTheme="majorBidi" w:cstheme="majorBidi"/>
          <w:color w:val="231F20"/>
          <w:sz w:val="24"/>
          <w:szCs w:val="24"/>
        </w:rPr>
        <w:t xml:space="preserve">The independent variables include some economic and financial indicators involving labor productivity (LP), debit ratio (DR), </w:t>
      </w:r>
      <w:r w:rsidR="00727D32">
        <w:rPr>
          <w:rFonts w:asciiTheme="majorBidi" w:hAnsiTheme="majorBidi" w:cstheme="majorBidi"/>
          <w:color w:val="231F20"/>
          <w:sz w:val="24"/>
          <w:szCs w:val="24"/>
        </w:rPr>
        <w:t>gross profit to net sales (GP</w:t>
      </w:r>
      <w:r w:rsidR="00DF4EF1">
        <w:rPr>
          <w:rFonts w:asciiTheme="majorBidi" w:hAnsiTheme="majorBidi" w:cstheme="majorBidi"/>
          <w:color w:val="231F20"/>
          <w:sz w:val="24"/>
          <w:szCs w:val="24"/>
        </w:rPr>
        <w:t>NS), firm size measured by total assets (TI), inventory turnover (ITR</w:t>
      </w:r>
      <w:r w:rsidR="005C0F6E">
        <w:rPr>
          <w:rFonts w:asciiTheme="majorBidi" w:hAnsiTheme="majorBidi" w:cstheme="majorBidi"/>
          <w:color w:val="231F20"/>
          <w:sz w:val="24"/>
          <w:szCs w:val="24"/>
        </w:rPr>
        <w:t xml:space="preserve">), </w:t>
      </w:r>
      <w:r w:rsidR="001B2C62">
        <w:rPr>
          <w:rFonts w:asciiTheme="majorBidi" w:hAnsiTheme="majorBidi" w:cstheme="majorBidi"/>
          <w:color w:val="231F20"/>
          <w:sz w:val="24"/>
          <w:szCs w:val="24"/>
        </w:rPr>
        <w:t xml:space="preserve">and </w:t>
      </w:r>
      <w:r w:rsidR="005C0F6E">
        <w:rPr>
          <w:rFonts w:asciiTheme="majorBidi" w:hAnsiTheme="majorBidi" w:cstheme="majorBidi"/>
          <w:color w:val="231F20"/>
          <w:sz w:val="24"/>
          <w:szCs w:val="24"/>
        </w:rPr>
        <w:t>total asset turnover (TATR)</w:t>
      </w:r>
      <w:r w:rsidR="0073536B">
        <w:rPr>
          <w:rFonts w:asciiTheme="majorBidi" w:hAnsiTheme="majorBidi" w:cstheme="majorBidi"/>
          <w:color w:val="231F20"/>
          <w:sz w:val="24"/>
          <w:szCs w:val="24"/>
        </w:rPr>
        <w:t>.</w:t>
      </w:r>
      <w:r w:rsidR="001E0B9D">
        <w:rPr>
          <w:rFonts w:asciiTheme="majorBidi" w:hAnsiTheme="majorBidi" w:cstheme="majorBidi"/>
          <w:color w:val="231F20"/>
          <w:sz w:val="24"/>
          <w:szCs w:val="24"/>
        </w:rPr>
        <w:t xml:space="preserve"> Firms are classified into two groups according to age </w:t>
      </w:r>
      <w:r w:rsidR="00197A4E">
        <w:rPr>
          <w:rFonts w:asciiTheme="majorBidi" w:hAnsiTheme="majorBidi" w:cstheme="majorBidi"/>
          <w:color w:val="231F20"/>
          <w:sz w:val="24"/>
          <w:szCs w:val="24"/>
        </w:rPr>
        <w:t>in</w:t>
      </w:r>
      <w:r w:rsidR="001E0B9D">
        <w:rPr>
          <w:rFonts w:asciiTheme="majorBidi" w:hAnsiTheme="majorBidi" w:cstheme="majorBidi"/>
          <w:color w:val="231F20"/>
          <w:sz w:val="24"/>
          <w:szCs w:val="24"/>
        </w:rPr>
        <w:t>to new firms which its age less than 25 years, and old firms that its age is 25 year or more.</w:t>
      </w:r>
    </w:p>
    <w:p w:rsidR="0036647D" w:rsidRPr="0036647D" w:rsidRDefault="001B2C62" w:rsidP="00197A4E">
      <w:pPr>
        <w:bidi w:val="0"/>
        <w:spacing w:before="120" w:after="120" w:line="240" w:lineRule="auto"/>
        <w:jc w:val="both"/>
        <w:rPr>
          <w:rFonts w:asciiTheme="majorBidi" w:hAnsiTheme="majorBidi" w:cstheme="majorBidi"/>
          <w:color w:val="231F20"/>
          <w:sz w:val="24"/>
          <w:szCs w:val="24"/>
        </w:rPr>
      </w:pPr>
      <w:r w:rsidRPr="0036647D">
        <w:rPr>
          <w:rFonts w:asciiTheme="majorBidi" w:hAnsiTheme="majorBidi" w:cstheme="majorBidi"/>
          <w:color w:val="231F20"/>
          <w:sz w:val="24"/>
          <w:szCs w:val="24"/>
        </w:rPr>
        <w:t>To investigate the impa</w:t>
      </w:r>
      <w:r w:rsidR="00727D32">
        <w:rPr>
          <w:rFonts w:asciiTheme="majorBidi" w:hAnsiTheme="majorBidi" w:cstheme="majorBidi"/>
          <w:color w:val="231F20"/>
          <w:sz w:val="24"/>
          <w:szCs w:val="24"/>
        </w:rPr>
        <w:t>cts of independent variables on ROI</w:t>
      </w:r>
      <w:r w:rsidRPr="0036647D">
        <w:rPr>
          <w:rFonts w:asciiTheme="majorBidi" w:hAnsiTheme="majorBidi" w:cstheme="majorBidi"/>
          <w:color w:val="231F20"/>
          <w:sz w:val="24"/>
          <w:szCs w:val="24"/>
        </w:rPr>
        <w:t xml:space="preserve">, we use a panel data procedure by applying </w:t>
      </w:r>
      <w:r w:rsidR="00727D32">
        <w:rPr>
          <w:rFonts w:asciiTheme="majorBidi" w:hAnsiTheme="majorBidi" w:cstheme="majorBidi"/>
          <w:color w:val="231F20"/>
          <w:sz w:val="24"/>
          <w:szCs w:val="24"/>
        </w:rPr>
        <w:t xml:space="preserve">the </w:t>
      </w:r>
      <w:r w:rsidRPr="0036647D">
        <w:rPr>
          <w:rFonts w:asciiTheme="majorBidi" w:hAnsiTheme="majorBidi" w:cstheme="majorBidi"/>
          <w:color w:val="231F20"/>
          <w:sz w:val="24"/>
          <w:szCs w:val="24"/>
        </w:rPr>
        <w:t xml:space="preserve">random effects model using </w:t>
      </w:r>
      <w:proofErr w:type="spellStart"/>
      <w:r w:rsidRPr="0036647D">
        <w:rPr>
          <w:rFonts w:asciiTheme="majorBidi" w:hAnsiTheme="majorBidi" w:cstheme="majorBidi"/>
          <w:color w:val="231F20"/>
          <w:sz w:val="24"/>
          <w:szCs w:val="24"/>
        </w:rPr>
        <w:t>Generalised</w:t>
      </w:r>
      <w:proofErr w:type="spellEnd"/>
      <w:r w:rsidRPr="0036647D">
        <w:rPr>
          <w:rFonts w:asciiTheme="majorBidi" w:hAnsiTheme="majorBidi" w:cstheme="majorBidi"/>
          <w:color w:val="231F20"/>
          <w:sz w:val="24"/>
          <w:szCs w:val="24"/>
        </w:rPr>
        <w:t xml:space="preserve"> Met</w:t>
      </w:r>
      <w:r w:rsidR="00D60F98" w:rsidRPr="0036647D">
        <w:rPr>
          <w:rFonts w:asciiTheme="majorBidi" w:hAnsiTheme="majorBidi" w:cstheme="majorBidi"/>
          <w:color w:val="231F20"/>
          <w:sz w:val="24"/>
          <w:szCs w:val="24"/>
        </w:rPr>
        <w:t>hod of Moments (GMM) estimation.</w:t>
      </w:r>
      <w:r w:rsidR="00EE5977">
        <w:rPr>
          <w:rFonts w:asciiTheme="majorBidi" w:hAnsiTheme="majorBidi" w:cstheme="majorBidi"/>
          <w:color w:val="231F20"/>
          <w:sz w:val="24"/>
          <w:szCs w:val="24"/>
        </w:rPr>
        <w:t xml:space="preserve"> </w:t>
      </w:r>
      <w:r w:rsidR="00EE5977" w:rsidRPr="00EE5977">
        <w:rPr>
          <w:rFonts w:asciiTheme="majorBidi" w:hAnsiTheme="majorBidi" w:cstheme="majorBidi"/>
          <w:color w:val="231F20"/>
          <w:sz w:val="24"/>
          <w:szCs w:val="24"/>
        </w:rPr>
        <w:t>The</w:t>
      </w:r>
      <w:r w:rsidR="00EE5977">
        <w:rPr>
          <w:rFonts w:asciiTheme="majorBidi" w:hAnsiTheme="majorBidi" w:cstheme="majorBidi"/>
          <w:color w:val="231F20"/>
          <w:sz w:val="24"/>
          <w:szCs w:val="24"/>
        </w:rPr>
        <w:t xml:space="preserve"> </w:t>
      </w:r>
      <w:r w:rsidR="00EE5977" w:rsidRPr="00EE5977">
        <w:rPr>
          <w:rFonts w:asciiTheme="majorBidi" w:hAnsiTheme="majorBidi" w:cstheme="majorBidi"/>
          <w:color w:val="231F20"/>
          <w:sz w:val="24"/>
          <w:szCs w:val="24"/>
        </w:rPr>
        <w:t>GMM provides a method of</w:t>
      </w:r>
      <w:r w:rsidR="00EE5977">
        <w:rPr>
          <w:rFonts w:asciiTheme="majorBidi" w:hAnsiTheme="majorBidi" w:cstheme="majorBidi"/>
          <w:color w:val="231F20"/>
          <w:sz w:val="24"/>
          <w:szCs w:val="24"/>
        </w:rPr>
        <w:t xml:space="preserve"> formulating models and implied </w:t>
      </w:r>
      <w:r w:rsidR="00EE5977" w:rsidRPr="00EE5977">
        <w:rPr>
          <w:rFonts w:asciiTheme="majorBidi" w:hAnsiTheme="majorBidi" w:cstheme="majorBidi"/>
          <w:color w:val="231F20"/>
          <w:sz w:val="24"/>
          <w:szCs w:val="24"/>
        </w:rPr>
        <w:t>estimators without making strong distributional assumptions</w:t>
      </w:r>
      <w:r w:rsidR="00EE5977">
        <w:rPr>
          <w:rFonts w:ascii="TimesTen-Roman" w:hAnsi="TimesTen-Roman" w:cs="TimesTen-Roman"/>
          <w:sz w:val="20"/>
          <w:szCs w:val="20"/>
        </w:rPr>
        <w:t xml:space="preserve">, </w:t>
      </w:r>
      <w:r w:rsidR="0036647D" w:rsidRPr="0036647D">
        <w:rPr>
          <w:rFonts w:asciiTheme="majorBidi" w:hAnsiTheme="majorBidi" w:cstheme="majorBidi"/>
          <w:color w:val="231F20"/>
          <w:sz w:val="24"/>
          <w:szCs w:val="24"/>
        </w:rPr>
        <w:t xml:space="preserve">which </w:t>
      </w:r>
      <w:r w:rsidR="00EE5977">
        <w:rPr>
          <w:rFonts w:asciiTheme="majorBidi" w:hAnsiTheme="majorBidi" w:cstheme="majorBidi"/>
          <w:color w:val="231F20"/>
          <w:sz w:val="24"/>
          <w:szCs w:val="24"/>
        </w:rPr>
        <w:t xml:space="preserve">modifies </w:t>
      </w:r>
      <w:proofErr w:type="spellStart"/>
      <w:r w:rsidR="00EE5977" w:rsidRPr="0036647D">
        <w:rPr>
          <w:rFonts w:asciiTheme="majorBidi" w:hAnsiTheme="majorBidi" w:cstheme="majorBidi"/>
          <w:color w:val="231F20"/>
          <w:sz w:val="24"/>
          <w:szCs w:val="24"/>
        </w:rPr>
        <w:t>heteroscedasticity</w:t>
      </w:r>
      <w:proofErr w:type="spellEnd"/>
      <w:r w:rsidR="00EE5977">
        <w:rPr>
          <w:rFonts w:asciiTheme="majorBidi" w:hAnsiTheme="majorBidi" w:cstheme="majorBidi"/>
          <w:color w:val="231F20"/>
          <w:sz w:val="24"/>
          <w:szCs w:val="24"/>
        </w:rPr>
        <w:t xml:space="preserve"> </w:t>
      </w:r>
      <w:r w:rsidR="00EE5977" w:rsidRPr="0036647D">
        <w:rPr>
          <w:rFonts w:asciiTheme="majorBidi" w:hAnsiTheme="majorBidi" w:cstheme="majorBidi"/>
          <w:color w:val="231F20"/>
          <w:sz w:val="24"/>
          <w:szCs w:val="24"/>
        </w:rPr>
        <w:t xml:space="preserve">and </w:t>
      </w:r>
      <w:proofErr w:type="spellStart"/>
      <w:r w:rsidR="00EE5977" w:rsidRPr="0036647D">
        <w:rPr>
          <w:rFonts w:asciiTheme="majorBidi" w:hAnsiTheme="majorBidi" w:cstheme="majorBidi"/>
          <w:color w:val="231F20"/>
          <w:sz w:val="24"/>
          <w:szCs w:val="24"/>
        </w:rPr>
        <w:t>endogeneity</w:t>
      </w:r>
      <w:proofErr w:type="spellEnd"/>
      <w:r w:rsidR="00EE5977" w:rsidRPr="0036647D">
        <w:rPr>
          <w:rFonts w:asciiTheme="majorBidi" w:hAnsiTheme="majorBidi" w:cstheme="majorBidi"/>
          <w:color w:val="231F20"/>
          <w:sz w:val="24"/>
          <w:szCs w:val="24"/>
        </w:rPr>
        <w:t xml:space="preserve"> among the explanatory variables</w:t>
      </w:r>
      <w:r w:rsidR="00EE5977">
        <w:rPr>
          <w:rFonts w:asciiTheme="majorBidi" w:hAnsiTheme="majorBidi" w:cstheme="majorBidi"/>
          <w:color w:val="231F20"/>
          <w:sz w:val="24"/>
          <w:szCs w:val="24"/>
        </w:rPr>
        <w:t>, and thus reduce</w:t>
      </w:r>
      <w:r w:rsidR="00727D32">
        <w:rPr>
          <w:rFonts w:asciiTheme="majorBidi" w:hAnsiTheme="majorBidi" w:cstheme="majorBidi"/>
          <w:color w:val="231F20"/>
          <w:sz w:val="24"/>
          <w:szCs w:val="24"/>
        </w:rPr>
        <w:t>s</w:t>
      </w:r>
      <w:r w:rsidR="00EE5977" w:rsidRPr="0036647D">
        <w:rPr>
          <w:rFonts w:asciiTheme="majorBidi" w:hAnsiTheme="majorBidi" w:cstheme="majorBidi"/>
          <w:color w:val="231F20"/>
          <w:sz w:val="24"/>
          <w:szCs w:val="24"/>
        </w:rPr>
        <w:t xml:space="preserve"> </w:t>
      </w:r>
      <w:r w:rsidR="0036647D" w:rsidRPr="0036647D">
        <w:rPr>
          <w:rFonts w:asciiTheme="majorBidi" w:hAnsiTheme="majorBidi" w:cstheme="majorBidi"/>
          <w:color w:val="231F20"/>
          <w:sz w:val="24"/>
          <w:szCs w:val="24"/>
        </w:rPr>
        <w:t>the effects of correlation between</w:t>
      </w:r>
      <w:r w:rsidR="0036647D">
        <w:rPr>
          <w:rFonts w:asciiTheme="majorBidi" w:hAnsiTheme="majorBidi" w:cstheme="majorBidi"/>
          <w:color w:val="231F20"/>
          <w:sz w:val="24"/>
          <w:szCs w:val="24"/>
        </w:rPr>
        <w:t xml:space="preserve"> </w:t>
      </w:r>
      <w:r w:rsidR="0036647D" w:rsidRPr="0036647D">
        <w:rPr>
          <w:rFonts w:asciiTheme="majorBidi" w:hAnsiTheme="majorBidi" w:cstheme="majorBidi"/>
          <w:color w:val="231F20"/>
          <w:sz w:val="24"/>
          <w:szCs w:val="24"/>
        </w:rPr>
        <w:t>the independent variables and th</w:t>
      </w:r>
      <w:r w:rsidR="00EE5977">
        <w:rPr>
          <w:rFonts w:asciiTheme="majorBidi" w:hAnsiTheme="majorBidi" w:cstheme="majorBidi"/>
          <w:color w:val="231F20"/>
          <w:sz w:val="24"/>
          <w:szCs w:val="24"/>
        </w:rPr>
        <w:t>e residuals</w:t>
      </w:r>
      <w:r w:rsidR="0036647D" w:rsidRPr="0036647D">
        <w:rPr>
          <w:rFonts w:asciiTheme="majorBidi" w:hAnsiTheme="majorBidi" w:cstheme="majorBidi"/>
          <w:color w:val="000000" w:themeColor="text1"/>
          <w:sz w:val="24"/>
          <w:szCs w:val="24"/>
        </w:rPr>
        <w:t xml:space="preserve">. </w:t>
      </w:r>
      <w:r w:rsidR="00D60F98" w:rsidRPr="0036647D">
        <w:rPr>
          <w:rFonts w:asciiTheme="majorBidi" w:hAnsiTheme="majorBidi" w:cstheme="majorBidi"/>
          <w:color w:val="000000" w:themeColor="text1"/>
          <w:sz w:val="24"/>
          <w:szCs w:val="24"/>
        </w:rPr>
        <w:t>One</w:t>
      </w:r>
      <w:r w:rsidR="00D60F98" w:rsidRPr="0036647D">
        <w:rPr>
          <w:rFonts w:asciiTheme="majorBidi" w:hAnsiTheme="majorBidi" w:cstheme="majorBidi"/>
          <w:color w:val="231F20"/>
          <w:sz w:val="24"/>
          <w:szCs w:val="24"/>
        </w:rPr>
        <w:t xml:space="preserve"> advantage of the random effects model is it deals with omitted (unobservable) variables where</w:t>
      </w:r>
      <w:r w:rsidR="00D60F98" w:rsidRPr="0036647D">
        <w:rPr>
          <w:rFonts w:asciiTheme="majorBidi" w:hAnsiTheme="majorBidi" w:cstheme="majorBidi"/>
          <w:sz w:val="24"/>
          <w:szCs w:val="24"/>
        </w:rPr>
        <w:t xml:space="preserve"> some of them</w:t>
      </w:r>
      <w:r w:rsidR="005C0F6E" w:rsidRPr="0036647D">
        <w:rPr>
          <w:rFonts w:asciiTheme="majorBidi" w:hAnsiTheme="majorBidi" w:cstheme="majorBidi"/>
          <w:sz w:val="24"/>
          <w:szCs w:val="24"/>
        </w:rPr>
        <w:t xml:space="preserve"> may be constant over time</w:t>
      </w:r>
      <w:r w:rsidR="00D60F98" w:rsidRPr="0036647D">
        <w:rPr>
          <w:rFonts w:asciiTheme="majorBidi" w:hAnsiTheme="majorBidi" w:cstheme="majorBidi"/>
          <w:sz w:val="24"/>
          <w:szCs w:val="24"/>
        </w:rPr>
        <w:t xml:space="preserve"> </w:t>
      </w:r>
      <w:r w:rsidR="005C0F6E" w:rsidRPr="0036647D">
        <w:rPr>
          <w:rFonts w:asciiTheme="majorBidi" w:hAnsiTheme="majorBidi" w:cstheme="majorBidi"/>
          <w:sz w:val="24"/>
          <w:szCs w:val="24"/>
        </w:rPr>
        <w:t>but vary between cases</w:t>
      </w:r>
      <w:r w:rsidR="00D60F98" w:rsidRPr="0036647D">
        <w:rPr>
          <w:rFonts w:asciiTheme="majorBidi" w:hAnsiTheme="majorBidi" w:cstheme="majorBidi"/>
          <w:sz w:val="24"/>
          <w:szCs w:val="24"/>
        </w:rPr>
        <w:t xml:space="preserve"> (</w:t>
      </w:r>
      <w:r w:rsidR="00D60F98" w:rsidRPr="0036647D">
        <w:rPr>
          <w:rFonts w:asciiTheme="majorBidi" w:hAnsiTheme="majorBidi" w:cstheme="majorBidi"/>
          <w:color w:val="231F20"/>
          <w:sz w:val="24"/>
          <w:szCs w:val="24"/>
        </w:rPr>
        <w:t>company-specific effects)</w:t>
      </w:r>
      <w:r w:rsidR="005C0F6E" w:rsidRPr="0036647D">
        <w:rPr>
          <w:rFonts w:asciiTheme="majorBidi" w:hAnsiTheme="majorBidi" w:cstheme="majorBidi"/>
          <w:sz w:val="24"/>
          <w:szCs w:val="24"/>
        </w:rPr>
        <w:t>, and other variables may be fixed between cases but va</w:t>
      </w:r>
      <w:r w:rsidR="00D60F98" w:rsidRPr="0036647D">
        <w:rPr>
          <w:rFonts w:asciiTheme="majorBidi" w:hAnsiTheme="majorBidi" w:cstheme="majorBidi"/>
          <w:sz w:val="24"/>
          <w:szCs w:val="24"/>
        </w:rPr>
        <w:t>ry over time</w:t>
      </w:r>
      <w:r w:rsidR="0036647D">
        <w:rPr>
          <w:rFonts w:asciiTheme="majorBidi" w:hAnsiTheme="majorBidi" w:cstheme="majorBidi"/>
          <w:color w:val="231F20"/>
          <w:sz w:val="24"/>
          <w:szCs w:val="24"/>
        </w:rPr>
        <w:t xml:space="preserve"> </w:t>
      </w:r>
      <w:r w:rsidR="0036647D" w:rsidRPr="0036647D">
        <w:rPr>
          <w:rFonts w:asciiTheme="majorBidi" w:hAnsiTheme="majorBidi" w:cstheme="majorBidi"/>
          <w:color w:val="231F20"/>
          <w:sz w:val="24"/>
          <w:szCs w:val="24"/>
        </w:rPr>
        <w:t>(</w:t>
      </w:r>
      <w:r w:rsidR="0036647D" w:rsidRPr="0036647D">
        <w:rPr>
          <w:rFonts w:asciiTheme="majorBidi" w:hAnsiTheme="majorBidi" w:cstheme="majorBidi"/>
          <w:color w:val="000000" w:themeColor="text1"/>
          <w:sz w:val="24"/>
          <w:szCs w:val="24"/>
        </w:rPr>
        <w:t>Greene</w:t>
      </w:r>
      <w:r w:rsidR="00866A56">
        <w:rPr>
          <w:rFonts w:asciiTheme="majorBidi" w:hAnsiTheme="majorBidi" w:cstheme="majorBidi"/>
          <w:color w:val="000000" w:themeColor="text1"/>
          <w:sz w:val="24"/>
          <w:szCs w:val="24"/>
        </w:rPr>
        <w:t>,</w:t>
      </w:r>
      <w:r w:rsidR="0036647D" w:rsidRPr="0036647D">
        <w:rPr>
          <w:rFonts w:asciiTheme="majorBidi" w:hAnsiTheme="majorBidi" w:cstheme="majorBidi"/>
          <w:color w:val="000000" w:themeColor="text1"/>
          <w:sz w:val="24"/>
          <w:szCs w:val="24"/>
        </w:rPr>
        <w:t xml:space="preserve"> </w:t>
      </w:r>
      <w:r w:rsidR="0036647D" w:rsidRPr="0036647D">
        <w:rPr>
          <w:rFonts w:asciiTheme="majorBidi" w:eastAsia="AdvOT6eb13881+f6" w:hAnsiTheme="majorBidi" w:cstheme="majorBidi"/>
          <w:color w:val="000000" w:themeColor="text1"/>
          <w:sz w:val="24"/>
          <w:szCs w:val="24"/>
        </w:rPr>
        <w:t>2003</w:t>
      </w:r>
      <w:r w:rsidR="0036647D" w:rsidRPr="0036647D">
        <w:rPr>
          <w:rFonts w:asciiTheme="majorBidi" w:hAnsiTheme="majorBidi" w:cstheme="majorBidi"/>
          <w:color w:val="000000" w:themeColor="text1"/>
          <w:sz w:val="24"/>
          <w:szCs w:val="24"/>
        </w:rPr>
        <w:t>)</w:t>
      </w:r>
      <w:r w:rsidR="00EE5977">
        <w:rPr>
          <w:rStyle w:val="FootnoteReference"/>
          <w:rFonts w:asciiTheme="majorBidi" w:hAnsiTheme="majorBidi"/>
          <w:color w:val="000000" w:themeColor="text1"/>
          <w:sz w:val="24"/>
          <w:szCs w:val="24"/>
        </w:rPr>
        <w:footnoteReference w:id="4"/>
      </w:r>
      <w:r w:rsidR="00D60F98" w:rsidRPr="0036647D">
        <w:rPr>
          <w:rFonts w:asciiTheme="majorBidi" w:hAnsiTheme="majorBidi" w:cstheme="majorBidi"/>
          <w:sz w:val="24"/>
          <w:szCs w:val="24"/>
        </w:rPr>
        <w:t>.</w:t>
      </w:r>
      <w:r w:rsidR="005C0F6E" w:rsidRPr="0036647D">
        <w:rPr>
          <w:rFonts w:asciiTheme="majorBidi" w:hAnsiTheme="majorBidi" w:cstheme="majorBidi"/>
          <w:sz w:val="24"/>
          <w:szCs w:val="24"/>
        </w:rPr>
        <w:t xml:space="preserve"> </w:t>
      </w:r>
    </w:p>
    <w:p w:rsidR="00B37284" w:rsidRDefault="00B37284" w:rsidP="00727D32">
      <w:pPr>
        <w:autoSpaceDE w:val="0"/>
        <w:autoSpaceDN w:val="0"/>
        <w:bidi w:val="0"/>
        <w:adjustRightInd w:val="0"/>
        <w:spacing w:before="240" w:after="240" w:line="240" w:lineRule="auto"/>
        <w:jc w:val="both"/>
        <w:rPr>
          <w:rFonts w:asciiTheme="majorBidi" w:hAnsiTheme="majorBidi" w:cstheme="majorBidi"/>
          <w:color w:val="231F20"/>
          <w:sz w:val="24"/>
          <w:szCs w:val="24"/>
        </w:rPr>
      </w:pPr>
      <w:r>
        <w:rPr>
          <w:rFonts w:asciiTheme="majorBidi" w:hAnsiTheme="majorBidi" w:cstheme="majorBidi"/>
          <w:color w:val="231F20"/>
          <w:sz w:val="24"/>
          <w:szCs w:val="24"/>
        </w:rPr>
        <w:t>The regression model is:</w:t>
      </w:r>
    </w:p>
    <w:p w:rsidR="00B37284" w:rsidRPr="00B37284" w:rsidRDefault="00074E07" w:rsidP="0036647D">
      <w:pPr>
        <w:autoSpaceDE w:val="0"/>
        <w:autoSpaceDN w:val="0"/>
        <w:bidi w:val="0"/>
        <w:adjustRightInd w:val="0"/>
        <w:spacing w:before="240" w:after="240" w:line="240" w:lineRule="auto"/>
        <w:jc w:val="both"/>
        <w:rPr>
          <w:rFonts w:asciiTheme="majorBidi" w:hAnsiTheme="majorBidi" w:cstheme="majorBidi"/>
          <w:color w:val="231F20"/>
        </w:rPr>
      </w:pPr>
      <m:oMathPara>
        <m:oMath>
          <m:sSub>
            <m:sSubPr>
              <m:ctrlPr>
                <w:rPr>
                  <w:rFonts w:ascii="Cambria Math" w:hAnsi="Cambria Math" w:cstheme="majorBidi"/>
                  <w:i/>
                  <w:color w:val="231F20"/>
                </w:rPr>
              </m:ctrlPr>
            </m:sSubPr>
            <m:e>
              <m:r>
                <w:rPr>
                  <w:rFonts w:ascii="Cambria Math" w:hAnsi="Cambria Math" w:cstheme="majorBidi"/>
                  <w:color w:val="231F20"/>
                </w:rPr>
                <m:t>ROI</m:t>
              </m:r>
            </m:e>
            <m:sub>
              <m:r>
                <w:rPr>
                  <w:rFonts w:ascii="Cambria Math" w:hAnsi="Cambria Math" w:cstheme="majorBidi"/>
                  <w:color w:val="231F20"/>
                </w:rPr>
                <m:t>it</m:t>
              </m:r>
            </m:sub>
          </m:sSub>
          <m:r>
            <w:rPr>
              <w:rFonts w:ascii="Cambria Math" w:hAnsi="Cambria Math" w:cstheme="majorBidi"/>
              <w:color w:val="231F20"/>
            </w:rPr>
            <m:t>=</m:t>
          </m:r>
          <m:sSub>
            <m:sSubPr>
              <m:ctrlPr>
                <w:rPr>
                  <w:rFonts w:ascii="Cambria Math" w:hAnsi="Cambria Math" w:cstheme="majorBidi"/>
                  <w:i/>
                  <w:color w:val="231F20"/>
                </w:rPr>
              </m:ctrlPr>
            </m:sSubPr>
            <m:e>
              <m:r>
                <w:rPr>
                  <w:rFonts w:ascii="Cambria Math" w:hAnsi="Cambria Math" w:cstheme="majorBidi"/>
                  <w:color w:val="231F20"/>
                </w:rPr>
                <m:t>β</m:t>
              </m:r>
            </m:e>
            <m:sub>
              <m:r>
                <w:rPr>
                  <w:rFonts w:ascii="Cambria Math" w:hAnsi="Cambria Math" w:cstheme="majorBidi"/>
                  <w:color w:val="231F20"/>
                </w:rPr>
                <m:t>0</m:t>
              </m:r>
            </m:sub>
          </m:sSub>
          <m:r>
            <w:rPr>
              <w:rFonts w:ascii="Cambria Math" w:hAnsi="Cambria Math" w:cstheme="majorBidi"/>
              <w:color w:val="231F20"/>
            </w:rPr>
            <m:t>+</m:t>
          </m:r>
          <m:sSub>
            <m:sSubPr>
              <m:ctrlPr>
                <w:rPr>
                  <w:rFonts w:ascii="Cambria Math" w:hAnsi="Cambria Math" w:cstheme="majorBidi"/>
                  <w:i/>
                  <w:color w:val="231F20"/>
                </w:rPr>
              </m:ctrlPr>
            </m:sSubPr>
            <m:e>
              <m:r>
                <w:rPr>
                  <w:rFonts w:ascii="Cambria Math" w:hAnsi="Cambria Math" w:cstheme="majorBidi"/>
                  <w:color w:val="231F20"/>
                </w:rPr>
                <m:t>β</m:t>
              </m:r>
            </m:e>
            <m:sub>
              <m:r>
                <w:rPr>
                  <w:rFonts w:ascii="Cambria Math" w:hAnsi="Cambria Math" w:cstheme="majorBidi"/>
                  <w:color w:val="231F20"/>
                </w:rPr>
                <m:t>1</m:t>
              </m:r>
            </m:sub>
          </m:sSub>
          <m:sSub>
            <m:sSubPr>
              <m:ctrlPr>
                <w:rPr>
                  <w:rFonts w:ascii="Cambria Math" w:hAnsi="Cambria Math" w:cstheme="majorBidi"/>
                  <w:i/>
                  <w:color w:val="231F20"/>
                </w:rPr>
              </m:ctrlPr>
            </m:sSubPr>
            <m:e>
              <m:r>
                <w:rPr>
                  <w:rFonts w:ascii="Cambria Math" w:hAnsi="Cambria Math" w:cstheme="majorBidi"/>
                  <w:color w:val="231F20"/>
                </w:rPr>
                <m:t>LP</m:t>
              </m:r>
            </m:e>
            <m:sub>
              <m:r>
                <w:rPr>
                  <w:rFonts w:ascii="Cambria Math" w:hAnsi="Cambria Math" w:cstheme="majorBidi"/>
                  <w:color w:val="231F20"/>
                </w:rPr>
                <m:t>it</m:t>
              </m:r>
            </m:sub>
          </m:sSub>
          <m:r>
            <w:rPr>
              <w:rFonts w:ascii="Cambria Math" w:hAnsi="Cambria Math" w:cstheme="majorBidi"/>
              <w:color w:val="231F20"/>
            </w:rPr>
            <m:t>+</m:t>
          </m:r>
          <m:sSub>
            <m:sSubPr>
              <m:ctrlPr>
                <w:rPr>
                  <w:rFonts w:ascii="Cambria Math" w:hAnsi="Cambria Math" w:cstheme="majorBidi"/>
                  <w:i/>
                  <w:color w:val="231F20"/>
                </w:rPr>
              </m:ctrlPr>
            </m:sSubPr>
            <m:e>
              <m:r>
                <w:rPr>
                  <w:rFonts w:ascii="Cambria Math" w:hAnsi="Cambria Math" w:cstheme="majorBidi"/>
                  <w:color w:val="231F20"/>
                </w:rPr>
                <m:t>β</m:t>
              </m:r>
            </m:e>
            <m:sub>
              <m:r>
                <w:rPr>
                  <w:rFonts w:ascii="Cambria Math" w:hAnsi="Cambria Math" w:cstheme="majorBidi"/>
                  <w:color w:val="231F20"/>
                </w:rPr>
                <m:t>2</m:t>
              </m:r>
            </m:sub>
          </m:sSub>
          <m:sSub>
            <m:sSubPr>
              <m:ctrlPr>
                <w:rPr>
                  <w:rFonts w:ascii="Cambria Math" w:hAnsi="Cambria Math" w:cstheme="majorBidi"/>
                  <w:i/>
                  <w:color w:val="231F20"/>
                </w:rPr>
              </m:ctrlPr>
            </m:sSubPr>
            <m:e>
              <m:r>
                <w:rPr>
                  <w:rFonts w:ascii="Cambria Math" w:hAnsi="Cambria Math" w:cstheme="majorBidi"/>
                  <w:color w:val="231F20"/>
                </w:rPr>
                <m:t>DR</m:t>
              </m:r>
            </m:e>
            <m:sub>
              <m:r>
                <w:rPr>
                  <w:rFonts w:ascii="Cambria Math" w:hAnsi="Cambria Math" w:cstheme="majorBidi"/>
                  <w:color w:val="231F20"/>
                </w:rPr>
                <m:t>it</m:t>
              </m:r>
            </m:sub>
          </m:sSub>
          <m:r>
            <w:rPr>
              <w:rFonts w:ascii="Cambria Math" w:hAnsi="Cambria Math" w:cstheme="majorBidi"/>
              <w:color w:val="231F20"/>
            </w:rPr>
            <m:t>+</m:t>
          </m:r>
          <m:sSub>
            <m:sSubPr>
              <m:ctrlPr>
                <w:rPr>
                  <w:rFonts w:ascii="Cambria Math" w:hAnsi="Cambria Math" w:cstheme="majorBidi"/>
                  <w:i/>
                  <w:color w:val="231F20"/>
                </w:rPr>
              </m:ctrlPr>
            </m:sSubPr>
            <m:e>
              <m:r>
                <w:rPr>
                  <w:rFonts w:ascii="Cambria Math" w:hAnsi="Cambria Math" w:cstheme="majorBidi"/>
                  <w:color w:val="231F20"/>
                </w:rPr>
                <m:t>β</m:t>
              </m:r>
            </m:e>
            <m:sub>
              <m:r>
                <w:rPr>
                  <w:rFonts w:ascii="Cambria Math" w:hAnsi="Cambria Math" w:cstheme="majorBidi"/>
                  <w:color w:val="231F20"/>
                </w:rPr>
                <m:t>3</m:t>
              </m:r>
            </m:sub>
          </m:sSub>
          <m:sSub>
            <m:sSubPr>
              <m:ctrlPr>
                <w:rPr>
                  <w:rFonts w:ascii="Cambria Math" w:hAnsi="Cambria Math" w:cstheme="majorBidi"/>
                  <w:i/>
                  <w:color w:val="231F20"/>
                </w:rPr>
              </m:ctrlPr>
            </m:sSubPr>
            <m:e>
              <m:r>
                <w:rPr>
                  <w:rFonts w:ascii="Cambria Math" w:hAnsi="Cambria Math" w:cstheme="majorBidi"/>
                  <w:color w:val="231F20"/>
                </w:rPr>
                <m:t>GPNS</m:t>
              </m:r>
            </m:e>
            <m:sub>
              <m:r>
                <w:rPr>
                  <w:rFonts w:ascii="Cambria Math" w:hAnsi="Cambria Math" w:cstheme="majorBidi"/>
                  <w:color w:val="231F20"/>
                </w:rPr>
                <m:t>it</m:t>
              </m:r>
            </m:sub>
          </m:sSub>
          <m:r>
            <w:rPr>
              <w:rFonts w:ascii="Cambria Math" w:hAnsi="Cambria Math" w:cstheme="majorBidi"/>
              <w:color w:val="231F20"/>
            </w:rPr>
            <m:t>+</m:t>
          </m:r>
          <m:sSub>
            <m:sSubPr>
              <m:ctrlPr>
                <w:rPr>
                  <w:rFonts w:ascii="Cambria Math" w:hAnsi="Cambria Math" w:cstheme="majorBidi"/>
                  <w:i/>
                  <w:color w:val="231F20"/>
                </w:rPr>
              </m:ctrlPr>
            </m:sSubPr>
            <m:e>
              <m:r>
                <w:rPr>
                  <w:rFonts w:ascii="Cambria Math" w:hAnsi="Cambria Math" w:cstheme="majorBidi"/>
                  <w:color w:val="231F20"/>
                </w:rPr>
                <m:t>β</m:t>
              </m:r>
            </m:e>
            <m:sub>
              <m:r>
                <w:rPr>
                  <w:rFonts w:ascii="Cambria Math" w:hAnsi="Cambria Math" w:cstheme="majorBidi"/>
                  <w:color w:val="231F20"/>
                </w:rPr>
                <m:t>4</m:t>
              </m:r>
            </m:sub>
          </m:sSub>
          <m:sSub>
            <m:sSubPr>
              <m:ctrlPr>
                <w:rPr>
                  <w:rFonts w:ascii="Cambria Math" w:hAnsi="Cambria Math" w:cstheme="majorBidi"/>
                  <w:i/>
                  <w:color w:val="231F20"/>
                </w:rPr>
              </m:ctrlPr>
            </m:sSubPr>
            <m:e>
              <m:r>
                <w:rPr>
                  <w:rFonts w:ascii="Cambria Math" w:hAnsi="Cambria Math" w:cstheme="majorBidi"/>
                  <w:color w:val="231F20"/>
                </w:rPr>
                <m:t>TI</m:t>
              </m:r>
            </m:e>
            <m:sub>
              <m:r>
                <w:rPr>
                  <w:rFonts w:ascii="Cambria Math" w:hAnsi="Cambria Math" w:cstheme="majorBidi"/>
                  <w:color w:val="231F20"/>
                </w:rPr>
                <m:t>it</m:t>
              </m:r>
            </m:sub>
          </m:sSub>
          <m:r>
            <w:rPr>
              <w:rFonts w:ascii="Cambria Math" w:hAnsi="Cambria Math" w:cstheme="majorBidi"/>
              <w:color w:val="231F20"/>
            </w:rPr>
            <m:t>+</m:t>
          </m:r>
          <m:sSub>
            <m:sSubPr>
              <m:ctrlPr>
                <w:rPr>
                  <w:rFonts w:ascii="Cambria Math" w:hAnsi="Cambria Math" w:cstheme="majorBidi"/>
                  <w:i/>
                  <w:color w:val="231F20"/>
                </w:rPr>
              </m:ctrlPr>
            </m:sSubPr>
            <m:e>
              <m:r>
                <w:rPr>
                  <w:rFonts w:ascii="Cambria Math" w:hAnsi="Cambria Math" w:cstheme="majorBidi"/>
                  <w:color w:val="231F20"/>
                </w:rPr>
                <m:t>β</m:t>
              </m:r>
            </m:e>
            <m:sub>
              <m:r>
                <w:rPr>
                  <w:rFonts w:ascii="Cambria Math" w:hAnsi="Cambria Math" w:cstheme="majorBidi"/>
                  <w:color w:val="231F20"/>
                </w:rPr>
                <m:t>5</m:t>
              </m:r>
            </m:sub>
          </m:sSub>
          <m:sSub>
            <m:sSubPr>
              <m:ctrlPr>
                <w:rPr>
                  <w:rFonts w:ascii="Cambria Math" w:hAnsi="Cambria Math" w:cstheme="majorBidi"/>
                  <w:i/>
                  <w:color w:val="231F20"/>
                </w:rPr>
              </m:ctrlPr>
            </m:sSubPr>
            <m:e>
              <m:r>
                <w:rPr>
                  <w:rFonts w:ascii="Cambria Math" w:hAnsi="Cambria Math" w:cstheme="majorBidi"/>
                  <w:color w:val="231F20"/>
                </w:rPr>
                <m:t>ITR</m:t>
              </m:r>
            </m:e>
            <m:sub>
              <m:r>
                <w:rPr>
                  <w:rFonts w:ascii="Cambria Math" w:hAnsi="Cambria Math" w:cstheme="majorBidi"/>
                  <w:color w:val="231F20"/>
                </w:rPr>
                <m:t>it</m:t>
              </m:r>
            </m:sub>
          </m:sSub>
          <m:r>
            <w:rPr>
              <w:rFonts w:ascii="Cambria Math" w:hAnsi="Cambria Math" w:cstheme="majorBidi"/>
              <w:color w:val="231F20"/>
            </w:rPr>
            <m:t>+</m:t>
          </m:r>
          <m:sSub>
            <m:sSubPr>
              <m:ctrlPr>
                <w:rPr>
                  <w:rFonts w:ascii="Cambria Math" w:hAnsi="Cambria Math" w:cstheme="majorBidi"/>
                  <w:i/>
                  <w:color w:val="231F20"/>
                </w:rPr>
              </m:ctrlPr>
            </m:sSubPr>
            <m:e>
              <m:r>
                <w:rPr>
                  <w:rFonts w:ascii="Cambria Math" w:hAnsi="Cambria Math" w:cstheme="majorBidi"/>
                  <w:color w:val="231F20"/>
                </w:rPr>
                <m:t>β</m:t>
              </m:r>
            </m:e>
            <m:sub>
              <m:r>
                <w:rPr>
                  <w:rFonts w:ascii="Cambria Math" w:hAnsi="Cambria Math" w:cstheme="majorBidi"/>
                  <w:color w:val="231F20"/>
                </w:rPr>
                <m:t>6</m:t>
              </m:r>
            </m:sub>
          </m:sSub>
          <m:sSub>
            <m:sSubPr>
              <m:ctrlPr>
                <w:rPr>
                  <w:rFonts w:ascii="Cambria Math" w:hAnsi="Cambria Math" w:cstheme="majorBidi"/>
                  <w:i/>
                  <w:color w:val="231F20"/>
                </w:rPr>
              </m:ctrlPr>
            </m:sSubPr>
            <m:e>
              <m:r>
                <w:rPr>
                  <w:rFonts w:ascii="Cambria Math" w:hAnsi="Cambria Math" w:cstheme="majorBidi"/>
                  <w:color w:val="231F20"/>
                </w:rPr>
                <m:t>TATR</m:t>
              </m:r>
            </m:e>
            <m:sub>
              <m:r>
                <w:rPr>
                  <w:rFonts w:ascii="Cambria Math" w:hAnsi="Cambria Math" w:cstheme="majorBidi"/>
                  <w:color w:val="231F20"/>
                </w:rPr>
                <m:t>it</m:t>
              </m:r>
            </m:sub>
          </m:sSub>
          <m:r>
            <w:rPr>
              <w:rFonts w:ascii="Cambria Math" w:hAnsi="Cambria Math" w:cstheme="majorBidi"/>
              <w:color w:val="231F20"/>
            </w:rPr>
            <m:t>+</m:t>
          </m:r>
          <m:sSub>
            <m:sSubPr>
              <m:ctrlPr>
                <w:rPr>
                  <w:rFonts w:ascii="Cambria Math" w:hAnsi="Cambria Math" w:cstheme="majorBidi"/>
                  <w:i/>
                  <w:color w:val="231F20"/>
                </w:rPr>
              </m:ctrlPr>
            </m:sSubPr>
            <m:e>
              <m:r>
                <w:rPr>
                  <w:rFonts w:ascii="Cambria Math" w:hAnsi="Cambria Math" w:cstheme="majorBidi"/>
                  <w:color w:val="231F20"/>
                </w:rPr>
                <m:t>u</m:t>
              </m:r>
            </m:e>
            <m:sub>
              <m:r>
                <w:rPr>
                  <w:rFonts w:ascii="Cambria Math" w:hAnsi="Cambria Math" w:cstheme="majorBidi"/>
                  <w:color w:val="231F20"/>
                </w:rPr>
                <m:t>it</m:t>
              </m:r>
            </m:sub>
          </m:sSub>
        </m:oMath>
      </m:oMathPara>
    </w:p>
    <w:p w:rsidR="0036647D" w:rsidRDefault="0036647D" w:rsidP="00B37284">
      <w:pPr>
        <w:autoSpaceDE w:val="0"/>
        <w:autoSpaceDN w:val="0"/>
        <w:bidi w:val="0"/>
        <w:adjustRightInd w:val="0"/>
        <w:spacing w:before="240" w:after="240" w:line="240" w:lineRule="auto"/>
        <w:jc w:val="both"/>
        <w:rPr>
          <w:rFonts w:asciiTheme="majorBidi" w:hAnsiTheme="majorBidi" w:cstheme="majorBidi"/>
          <w:color w:val="231F20"/>
          <w:sz w:val="24"/>
          <w:szCs w:val="24"/>
        </w:rPr>
      </w:pPr>
      <w:proofErr w:type="gramStart"/>
      <w:r>
        <w:rPr>
          <w:rFonts w:asciiTheme="majorBidi" w:hAnsiTheme="majorBidi" w:cstheme="majorBidi"/>
          <w:color w:val="231F20"/>
          <w:sz w:val="24"/>
          <w:szCs w:val="24"/>
        </w:rPr>
        <w:t>Where (</w:t>
      </w:r>
      <w:proofErr w:type="spellStart"/>
      <w:r w:rsidRPr="009B6DA8">
        <w:rPr>
          <w:rFonts w:asciiTheme="majorBidi" w:hAnsiTheme="majorBidi" w:cstheme="majorBidi"/>
          <w:i/>
          <w:iCs/>
          <w:color w:val="231F20"/>
          <w:sz w:val="24"/>
          <w:szCs w:val="24"/>
        </w:rPr>
        <w:t>i</w:t>
      </w:r>
      <w:proofErr w:type="spellEnd"/>
      <w:r>
        <w:rPr>
          <w:rFonts w:asciiTheme="majorBidi" w:hAnsiTheme="majorBidi" w:cstheme="majorBidi"/>
          <w:color w:val="231F20"/>
          <w:sz w:val="24"/>
          <w:szCs w:val="24"/>
        </w:rPr>
        <w:t>) point</w:t>
      </w:r>
      <w:r w:rsidR="009B6DA8">
        <w:rPr>
          <w:rFonts w:asciiTheme="majorBidi" w:hAnsiTheme="majorBidi" w:cstheme="majorBidi"/>
          <w:color w:val="231F20"/>
          <w:sz w:val="24"/>
          <w:szCs w:val="24"/>
        </w:rPr>
        <w:t>s to firm, and</w:t>
      </w:r>
      <w:r>
        <w:rPr>
          <w:rFonts w:asciiTheme="majorBidi" w:hAnsiTheme="majorBidi" w:cstheme="majorBidi"/>
          <w:color w:val="231F20"/>
          <w:sz w:val="24"/>
          <w:szCs w:val="24"/>
        </w:rPr>
        <w:t xml:space="preserve"> (</w:t>
      </w:r>
      <w:r w:rsidRPr="009B6DA8">
        <w:rPr>
          <w:rFonts w:asciiTheme="majorBidi" w:hAnsiTheme="majorBidi" w:cstheme="majorBidi"/>
          <w:i/>
          <w:iCs/>
          <w:color w:val="231F20"/>
          <w:sz w:val="24"/>
          <w:szCs w:val="24"/>
        </w:rPr>
        <w:t>t</w:t>
      </w:r>
      <w:r>
        <w:rPr>
          <w:rFonts w:asciiTheme="majorBidi" w:hAnsiTheme="majorBidi" w:cstheme="majorBidi"/>
          <w:color w:val="231F20"/>
          <w:sz w:val="24"/>
          <w:szCs w:val="24"/>
        </w:rPr>
        <w:t>) points to year.</w:t>
      </w:r>
      <w:proofErr w:type="gramEnd"/>
    </w:p>
    <w:p w:rsidR="004A6975" w:rsidRDefault="00140565" w:rsidP="00197A4E">
      <w:pPr>
        <w:bidi w:val="0"/>
        <w:spacing w:before="120" w:after="120" w:line="240" w:lineRule="auto"/>
        <w:jc w:val="both"/>
        <w:rPr>
          <w:rFonts w:asciiTheme="majorBidi" w:hAnsiTheme="majorBidi" w:cstheme="majorBidi"/>
          <w:color w:val="231F20"/>
          <w:sz w:val="24"/>
          <w:szCs w:val="24"/>
        </w:rPr>
      </w:pPr>
      <w:r>
        <w:rPr>
          <w:rFonts w:asciiTheme="majorBidi" w:hAnsiTheme="majorBidi" w:cstheme="majorBidi"/>
          <w:color w:val="231F20"/>
          <w:sz w:val="24"/>
          <w:szCs w:val="24"/>
        </w:rPr>
        <w:t>This model is esti</w:t>
      </w:r>
      <w:r w:rsidR="004A6975">
        <w:rPr>
          <w:rFonts w:asciiTheme="majorBidi" w:hAnsiTheme="majorBidi" w:cstheme="majorBidi"/>
          <w:color w:val="231F20"/>
          <w:sz w:val="24"/>
          <w:szCs w:val="24"/>
        </w:rPr>
        <w:t>mated for each control variable</w:t>
      </w:r>
      <w:r>
        <w:rPr>
          <w:rFonts w:asciiTheme="majorBidi" w:hAnsiTheme="majorBidi" w:cstheme="majorBidi"/>
          <w:color w:val="231F20"/>
          <w:sz w:val="24"/>
          <w:szCs w:val="24"/>
        </w:rPr>
        <w:t xml:space="preserve"> to reveal the true effects of</w:t>
      </w:r>
      <w:r w:rsidR="004A6975">
        <w:rPr>
          <w:rFonts w:asciiTheme="majorBidi" w:hAnsiTheme="majorBidi" w:cstheme="majorBidi"/>
          <w:color w:val="231F20"/>
          <w:sz w:val="24"/>
          <w:szCs w:val="24"/>
        </w:rPr>
        <w:t xml:space="preserve"> </w:t>
      </w:r>
      <w:r w:rsidR="00727D32">
        <w:rPr>
          <w:rFonts w:asciiTheme="majorBidi" w:hAnsiTheme="majorBidi" w:cstheme="majorBidi"/>
          <w:color w:val="231F20"/>
          <w:sz w:val="24"/>
          <w:szCs w:val="24"/>
        </w:rPr>
        <w:t xml:space="preserve">the </w:t>
      </w:r>
      <w:r w:rsidR="004A6975">
        <w:rPr>
          <w:rFonts w:asciiTheme="majorBidi" w:hAnsiTheme="majorBidi" w:cstheme="majorBidi"/>
          <w:color w:val="231F20"/>
          <w:sz w:val="24"/>
          <w:szCs w:val="24"/>
        </w:rPr>
        <w:t>independent variables according to these control variables.</w:t>
      </w:r>
    </w:p>
    <w:p w:rsidR="008D51FE" w:rsidRDefault="00371101" w:rsidP="00197A4E">
      <w:pPr>
        <w:bidi w:val="0"/>
        <w:spacing w:before="120" w:after="120" w:line="240" w:lineRule="auto"/>
        <w:jc w:val="both"/>
        <w:rPr>
          <w:rFonts w:asciiTheme="majorBidi" w:hAnsiTheme="majorBidi" w:cstheme="majorBidi"/>
          <w:color w:val="231F20"/>
          <w:sz w:val="24"/>
          <w:szCs w:val="24"/>
        </w:rPr>
      </w:pPr>
      <w:r w:rsidRPr="00D47C6D">
        <w:rPr>
          <w:rFonts w:asciiTheme="majorBidi" w:hAnsiTheme="majorBidi" w:cstheme="majorBidi"/>
          <w:color w:val="231F20"/>
          <w:sz w:val="24"/>
          <w:szCs w:val="24"/>
        </w:rPr>
        <w:t>Table (1) depicts</w:t>
      </w:r>
      <w:r w:rsidR="008D51FE" w:rsidRPr="00D47C6D">
        <w:rPr>
          <w:rFonts w:asciiTheme="majorBidi" w:hAnsiTheme="majorBidi" w:cstheme="majorBidi"/>
          <w:color w:val="231F20"/>
          <w:sz w:val="24"/>
          <w:szCs w:val="24"/>
        </w:rPr>
        <w:t xml:space="preserve"> some descriptive analysis and correlation matrix of the model variables. </w:t>
      </w:r>
      <w:r w:rsidRPr="00D47C6D">
        <w:rPr>
          <w:rFonts w:asciiTheme="majorBidi" w:hAnsiTheme="majorBidi" w:cstheme="majorBidi"/>
          <w:color w:val="231F20"/>
          <w:sz w:val="24"/>
          <w:szCs w:val="24"/>
        </w:rPr>
        <w:t>Labor producti</w:t>
      </w:r>
      <w:r w:rsidR="00727D32">
        <w:rPr>
          <w:rFonts w:asciiTheme="majorBidi" w:hAnsiTheme="majorBidi" w:cstheme="majorBidi"/>
          <w:color w:val="231F20"/>
          <w:sz w:val="24"/>
          <w:szCs w:val="24"/>
        </w:rPr>
        <w:t>vity</w:t>
      </w:r>
      <w:r w:rsidRPr="00D47C6D">
        <w:rPr>
          <w:rFonts w:asciiTheme="majorBidi" w:hAnsiTheme="majorBidi" w:cstheme="majorBidi"/>
          <w:color w:val="231F20"/>
          <w:sz w:val="24"/>
          <w:szCs w:val="24"/>
        </w:rPr>
        <w:t xml:space="preserve"> show</w:t>
      </w:r>
      <w:r w:rsidR="00727D32">
        <w:rPr>
          <w:rFonts w:asciiTheme="majorBidi" w:hAnsiTheme="majorBidi" w:cstheme="majorBidi"/>
          <w:color w:val="231F20"/>
          <w:sz w:val="24"/>
          <w:szCs w:val="24"/>
        </w:rPr>
        <w:t>s</w:t>
      </w:r>
      <w:r w:rsidRPr="00D47C6D">
        <w:rPr>
          <w:rFonts w:asciiTheme="majorBidi" w:hAnsiTheme="majorBidi" w:cstheme="majorBidi"/>
          <w:color w:val="231F20"/>
          <w:sz w:val="24"/>
          <w:szCs w:val="24"/>
        </w:rPr>
        <w:t xml:space="preserve"> a large variation between firms where the standard deviation is about </w:t>
      </w:r>
      <w:r w:rsidR="00727D32">
        <w:rPr>
          <w:rFonts w:asciiTheme="majorBidi" w:hAnsiTheme="majorBidi" w:cstheme="majorBidi"/>
          <w:color w:val="231F20"/>
          <w:sz w:val="24"/>
          <w:szCs w:val="24"/>
        </w:rPr>
        <w:t>939</w:t>
      </w:r>
      <w:r w:rsidR="007E2081" w:rsidRPr="00D47C6D">
        <w:rPr>
          <w:rFonts w:asciiTheme="majorBidi" w:hAnsiTheme="majorBidi" w:cstheme="majorBidi"/>
          <w:color w:val="231F20"/>
          <w:sz w:val="24"/>
          <w:szCs w:val="24"/>
        </w:rPr>
        <w:t xml:space="preserve">, which may return mainly to the diversion of firms </w:t>
      </w:r>
      <w:r w:rsidR="007E2081" w:rsidRPr="00D47C6D">
        <w:rPr>
          <w:rFonts w:asciiTheme="majorBidi" w:hAnsiTheme="majorBidi" w:cstheme="majorBidi"/>
          <w:color w:val="231F20"/>
          <w:sz w:val="24"/>
          <w:szCs w:val="24"/>
        </w:rPr>
        <w:lastRenderedPageBreak/>
        <w:t>included in the sample in both service and productive firms (from small to big firms, state owned to private firms, domestic to foreign ownership firms, and from young to old age firms).</w:t>
      </w:r>
      <w:r w:rsidRPr="00D47C6D">
        <w:rPr>
          <w:rFonts w:asciiTheme="majorBidi" w:hAnsiTheme="majorBidi" w:cstheme="majorBidi"/>
          <w:color w:val="231F20"/>
          <w:sz w:val="24"/>
          <w:szCs w:val="24"/>
        </w:rPr>
        <w:t xml:space="preserve"> </w:t>
      </w:r>
      <w:r w:rsidR="007E2081" w:rsidRPr="00D47C6D">
        <w:rPr>
          <w:rFonts w:asciiTheme="majorBidi" w:hAnsiTheme="majorBidi" w:cstheme="majorBidi"/>
          <w:color w:val="231F20"/>
          <w:sz w:val="24"/>
          <w:szCs w:val="24"/>
        </w:rPr>
        <w:t xml:space="preserve">The </w:t>
      </w:r>
      <w:r w:rsidR="00315AB9" w:rsidRPr="00D47C6D">
        <w:rPr>
          <w:rFonts w:asciiTheme="majorBidi" w:hAnsiTheme="majorBidi" w:cstheme="majorBidi"/>
          <w:color w:val="231F20"/>
          <w:sz w:val="24"/>
          <w:szCs w:val="24"/>
        </w:rPr>
        <w:t xml:space="preserve">pair-wise </w:t>
      </w:r>
      <w:r w:rsidR="007E2081" w:rsidRPr="00D47C6D">
        <w:rPr>
          <w:rFonts w:asciiTheme="majorBidi" w:hAnsiTheme="majorBidi" w:cstheme="majorBidi"/>
          <w:color w:val="231F20"/>
          <w:sz w:val="24"/>
          <w:szCs w:val="24"/>
        </w:rPr>
        <w:t>correlation matrix indicates to a relatively low correlation between variables</w:t>
      </w:r>
      <w:r w:rsidR="00315AB9" w:rsidRPr="00D47C6D">
        <w:rPr>
          <w:rFonts w:asciiTheme="majorBidi" w:hAnsiTheme="majorBidi" w:cstheme="majorBidi"/>
          <w:color w:val="231F20"/>
          <w:sz w:val="24"/>
          <w:szCs w:val="24"/>
        </w:rPr>
        <w:t>. To test for multicollinearity, variation inflation factors</w:t>
      </w:r>
      <w:r w:rsidR="00D47C6D" w:rsidRPr="00D47C6D">
        <w:rPr>
          <w:rFonts w:asciiTheme="majorBidi" w:hAnsiTheme="majorBidi" w:cstheme="majorBidi"/>
          <w:color w:val="231F20"/>
          <w:sz w:val="24"/>
          <w:szCs w:val="24"/>
        </w:rPr>
        <w:t xml:space="preserve"> (VIF) is estimated</w:t>
      </w:r>
      <w:r w:rsidR="00315AB9" w:rsidRPr="00D47C6D">
        <w:rPr>
          <w:rFonts w:asciiTheme="majorBidi" w:hAnsiTheme="majorBidi" w:cstheme="majorBidi"/>
          <w:color w:val="231F20"/>
          <w:sz w:val="24"/>
          <w:szCs w:val="24"/>
        </w:rPr>
        <w:t xml:space="preserve"> for the main explanatory variables</w:t>
      </w:r>
      <w:r w:rsidR="00794063">
        <w:rPr>
          <w:rFonts w:asciiTheme="majorBidi" w:hAnsiTheme="majorBidi" w:cstheme="majorBidi"/>
          <w:color w:val="231F20"/>
          <w:sz w:val="24"/>
          <w:szCs w:val="24"/>
        </w:rPr>
        <w:t xml:space="preserve"> of our model. </w:t>
      </w:r>
      <w:r w:rsidR="00794063" w:rsidRPr="00D47C6D">
        <w:rPr>
          <w:rFonts w:asciiTheme="majorBidi" w:hAnsiTheme="majorBidi" w:cstheme="majorBidi"/>
          <w:color w:val="231F20"/>
          <w:sz w:val="24"/>
          <w:szCs w:val="24"/>
        </w:rPr>
        <w:t>T</w:t>
      </w:r>
      <w:r w:rsidR="00D47C6D" w:rsidRPr="00D47C6D">
        <w:rPr>
          <w:rFonts w:asciiTheme="majorBidi" w:hAnsiTheme="majorBidi" w:cstheme="majorBidi"/>
          <w:color w:val="231F20"/>
          <w:sz w:val="24"/>
          <w:szCs w:val="24"/>
        </w:rPr>
        <w:t>he results of</w:t>
      </w:r>
      <w:r w:rsidR="00794063">
        <w:rPr>
          <w:rFonts w:asciiTheme="majorBidi" w:hAnsiTheme="majorBidi" w:cstheme="majorBidi"/>
          <w:color w:val="231F20"/>
          <w:sz w:val="24"/>
          <w:szCs w:val="24"/>
        </w:rPr>
        <w:t xml:space="preserve"> table (2)</w:t>
      </w:r>
      <w:r w:rsidR="00D47C6D" w:rsidRPr="00D47C6D">
        <w:rPr>
          <w:rFonts w:asciiTheme="majorBidi" w:hAnsiTheme="majorBidi" w:cstheme="majorBidi"/>
          <w:color w:val="231F20"/>
          <w:sz w:val="24"/>
          <w:szCs w:val="24"/>
        </w:rPr>
        <w:t xml:space="preserve"> </w:t>
      </w:r>
      <w:r w:rsidR="00794063">
        <w:rPr>
          <w:rFonts w:asciiTheme="majorBidi" w:hAnsiTheme="majorBidi" w:cstheme="majorBidi"/>
          <w:color w:val="231F20"/>
          <w:sz w:val="24"/>
          <w:szCs w:val="24"/>
        </w:rPr>
        <w:t>show that</w:t>
      </w:r>
      <w:r w:rsidR="00D47C6D" w:rsidRPr="00D47C6D">
        <w:rPr>
          <w:rFonts w:asciiTheme="majorBidi" w:hAnsiTheme="majorBidi" w:cstheme="majorBidi"/>
          <w:color w:val="231F20"/>
          <w:sz w:val="24"/>
          <w:szCs w:val="24"/>
        </w:rPr>
        <w:t xml:space="preserve"> VIFs are less than </w:t>
      </w:r>
      <w:r w:rsidR="00D47C6D" w:rsidRPr="00D47C6D">
        <w:rPr>
          <w:rFonts w:asciiTheme="majorBidi" w:eastAsia="AdvOT6eb13881+f6" w:hAnsiTheme="majorBidi" w:cstheme="majorBidi"/>
          <w:color w:val="231F20"/>
          <w:sz w:val="24"/>
          <w:szCs w:val="24"/>
        </w:rPr>
        <w:t>10</w:t>
      </w:r>
      <w:r w:rsidR="00D47C6D" w:rsidRPr="00D47C6D">
        <w:rPr>
          <w:rFonts w:asciiTheme="majorBidi" w:hAnsiTheme="majorBidi" w:cstheme="majorBidi"/>
          <w:color w:val="231F20"/>
          <w:sz w:val="24"/>
          <w:szCs w:val="24"/>
        </w:rPr>
        <w:t xml:space="preserve">, which </w:t>
      </w:r>
      <w:r w:rsidR="00794063">
        <w:rPr>
          <w:rFonts w:asciiTheme="majorBidi" w:hAnsiTheme="majorBidi" w:cstheme="majorBidi"/>
          <w:color w:val="231F20"/>
          <w:sz w:val="24"/>
          <w:szCs w:val="24"/>
        </w:rPr>
        <w:t xml:space="preserve">is </w:t>
      </w:r>
      <w:r w:rsidR="00727D32">
        <w:rPr>
          <w:rFonts w:asciiTheme="majorBidi" w:hAnsiTheme="majorBidi" w:cstheme="majorBidi"/>
          <w:color w:val="231F20"/>
          <w:sz w:val="24"/>
          <w:szCs w:val="24"/>
        </w:rPr>
        <w:t>a good indicator for non-</w:t>
      </w:r>
      <w:r w:rsidR="007E2081" w:rsidRPr="00D47C6D">
        <w:rPr>
          <w:rFonts w:asciiTheme="majorBidi" w:hAnsiTheme="majorBidi" w:cstheme="majorBidi"/>
          <w:color w:val="231F20"/>
          <w:sz w:val="24"/>
          <w:szCs w:val="24"/>
        </w:rPr>
        <w:t>existence of a multicollinearity problem in</w:t>
      </w:r>
      <w:r w:rsidR="00D47C6D" w:rsidRPr="00D47C6D">
        <w:rPr>
          <w:rFonts w:asciiTheme="majorBidi" w:hAnsiTheme="majorBidi" w:cstheme="majorBidi"/>
          <w:color w:val="231F20"/>
          <w:sz w:val="24"/>
          <w:szCs w:val="24"/>
        </w:rPr>
        <w:t xml:space="preserve"> </w:t>
      </w:r>
      <w:r w:rsidR="00727D32">
        <w:rPr>
          <w:rFonts w:asciiTheme="majorBidi" w:hAnsiTheme="majorBidi" w:cstheme="majorBidi"/>
          <w:color w:val="231F20"/>
          <w:sz w:val="24"/>
          <w:szCs w:val="24"/>
        </w:rPr>
        <w:t>our model</w:t>
      </w:r>
      <w:r w:rsidR="007E2081" w:rsidRPr="00D47C6D">
        <w:rPr>
          <w:rFonts w:asciiTheme="majorBidi" w:hAnsiTheme="majorBidi" w:cstheme="majorBidi"/>
          <w:color w:val="231F20"/>
          <w:sz w:val="24"/>
          <w:szCs w:val="24"/>
        </w:rPr>
        <w:t>.</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05"/>
        <w:gridCol w:w="897"/>
        <w:gridCol w:w="1038"/>
        <w:gridCol w:w="849"/>
        <w:gridCol w:w="1038"/>
        <w:gridCol w:w="849"/>
        <w:gridCol w:w="849"/>
        <w:gridCol w:w="752"/>
      </w:tblGrid>
      <w:tr w:rsidR="00197A4E" w:rsidRPr="00CA576A" w:rsidTr="00DD1078">
        <w:tc>
          <w:tcPr>
            <w:tcW w:w="5000" w:type="pct"/>
            <w:gridSpan w:val="9"/>
            <w:tcBorders>
              <w:top w:val="nil"/>
              <w:bottom w:val="single" w:sz="12" w:space="0" w:color="auto"/>
            </w:tcBorders>
          </w:tcPr>
          <w:p w:rsidR="00197A4E" w:rsidRPr="00197A4E" w:rsidRDefault="00197A4E" w:rsidP="00E606F2">
            <w:pPr>
              <w:bidi w:val="0"/>
              <w:spacing w:beforeLines="60" w:before="144" w:afterLines="50" w:after="120"/>
              <w:jc w:val="center"/>
              <w:rPr>
                <w:rFonts w:asciiTheme="majorBidi" w:hAnsiTheme="majorBidi" w:cstheme="majorBidi"/>
                <w:sz w:val="24"/>
                <w:szCs w:val="24"/>
              </w:rPr>
            </w:pPr>
            <w:r w:rsidRPr="00197A4E">
              <w:rPr>
                <w:rFonts w:asciiTheme="majorBidi" w:hAnsiTheme="majorBidi" w:cstheme="majorBidi"/>
                <w:sz w:val="24"/>
                <w:szCs w:val="24"/>
              </w:rPr>
              <w:t>Table 1</w:t>
            </w:r>
            <w:r w:rsidRPr="00197A4E">
              <w:rPr>
                <w:rFonts w:asciiTheme="majorBidi" w:hAnsiTheme="majorBidi" w:cstheme="majorBidi"/>
                <w:sz w:val="24"/>
                <w:szCs w:val="24"/>
              </w:rPr>
              <w:t>:</w:t>
            </w:r>
            <w:r w:rsidRPr="00197A4E">
              <w:rPr>
                <w:rFonts w:asciiTheme="majorBidi" w:hAnsiTheme="majorBidi" w:cstheme="majorBidi"/>
                <w:sz w:val="24"/>
                <w:szCs w:val="24"/>
              </w:rPr>
              <w:t xml:space="preserve">  Descriptive statistics and correlation matrix of variables</w:t>
            </w:r>
          </w:p>
        </w:tc>
      </w:tr>
      <w:tr w:rsidR="00197A4E" w:rsidRPr="00197A4E" w:rsidTr="00DD1078">
        <w:tc>
          <w:tcPr>
            <w:tcW w:w="790"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Variables</w:t>
            </w:r>
          </w:p>
        </w:tc>
        <w:tc>
          <w:tcPr>
            <w:tcW w:w="531"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Mean</w:t>
            </w:r>
          </w:p>
        </w:tc>
        <w:tc>
          <w:tcPr>
            <w:tcW w:w="526"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S.D.</w:t>
            </w:r>
          </w:p>
        </w:tc>
        <w:tc>
          <w:tcPr>
            <w:tcW w:w="609"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(1)</w:t>
            </w:r>
          </w:p>
        </w:tc>
        <w:tc>
          <w:tcPr>
            <w:tcW w:w="498"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(2)</w:t>
            </w:r>
          </w:p>
        </w:tc>
        <w:tc>
          <w:tcPr>
            <w:tcW w:w="609"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(3)</w:t>
            </w:r>
          </w:p>
        </w:tc>
        <w:tc>
          <w:tcPr>
            <w:tcW w:w="498"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(4)</w:t>
            </w:r>
          </w:p>
        </w:tc>
        <w:tc>
          <w:tcPr>
            <w:tcW w:w="498"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(5)</w:t>
            </w:r>
          </w:p>
        </w:tc>
        <w:tc>
          <w:tcPr>
            <w:tcW w:w="442" w:type="pct"/>
            <w:tcBorders>
              <w:top w:val="single" w:sz="12" w:space="0" w:color="auto"/>
              <w:bottom w:val="single" w:sz="12" w:space="0" w:color="auto"/>
            </w:tcBorders>
          </w:tcPr>
          <w:p w:rsidR="00197A4E" w:rsidRPr="00197A4E" w:rsidRDefault="00197A4E" w:rsidP="00E606F2">
            <w:pPr>
              <w:bidi w:val="0"/>
              <w:jc w:val="both"/>
              <w:rPr>
                <w:rFonts w:asciiTheme="majorBidi" w:eastAsia="Times New Roman" w:hAnsiTheme="majorBidi" w:cstheme="majorBidi"/>
                <w:b/>
                <w:bCs/>
                <w:sz w:val="24"/>
                <w:szCs w:val="24"/>
              </w:rPr>
            </w:pPr>
            <w:r w:rsidRPr="00197A4E">
              <w:rPr>
                <w:rFonts w:asciiTheme="majorBidi" w:eastAsia="Times New Roman" w:hAnsiTheme="majorBidi" w:cstheme="majorBidi"/>
                <w:b/>
                <w:bCs/>
                <w:sz w:val="24"/>
                <w:szCs w:val="24"/>
              </w:rPr>
              <w:t>(6)</w:t>
            </w:r>
          </w:p>
        </w:tc>
      </w:tr>
      <w:tr w:rsidR="00197A4E" w:rsidRPr="00CA576A" w:rsidTr="00DD1078">
        <w:tc>
          <w:tcPr>
            <w:tcW w:w="790" w:type="pct"/>
            <w:tcBorders>
              <w:top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1. ROI</w:t>
            </w:r>
          </w:p>
        </w:tc>
        <w:tc>
          <w:tcPr>
            <w:tcW w:w="531" w:type="pct"/>
            <w:tcBorders>
              <w:top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6.98</w:t>
            </w:r>
          </w:p>
        </w:tc>
        <w:tc>
          <w:tcPr>
            <w:tcW w:w="526" w:type="pct"/>
            <w:tcBorders>
              <w:top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10.26</w:t>
            </w:r>
          </w:p>
        </w:tc>
        <w:tc>
          <w:tcPr>
            <w:tcW w:w="609" w:type="pct"/>
            <w:tcBorders>
              <w:top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p>
        </w:tc>
        <w:tc>
          <w:tcPr>
            <w:tcW w:w="498" w:type="pct"/>
            <w:tcBorders>
              <w:top w:val="single" w:sz="12" w:space="0" w:color="auto"/>
            </w:tcBorders>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609" w:type="pct"/>
            <w:tcBorders>
              <w:top w:val="single" w:sz="12" w:space="0" w:color="auto"/>
            </w:tcBorders>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98" w:type="pct"/>
            <w:tcBorders>
              <w:top w:val="single" w:sz="12" w:space="0" w:color="auto"/>
            </w:tcBorders>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98" w:type="pct"/>
            <w:tcBorders>
              <w:top w:val="single" w:sz="12" w:space="0" w:color="auto"/>
            </w:tcBorders>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42" w:type="pct"/>
            <w:tcBorders>
              <w:top w:val="single" w:sz="12" w:space="0" w:color="auto"/>
            </w:tcBorders>
          </w:tcPr>
          <w:p w:rsidR="00197A4E" w:rsidRPr="00CA576A" w:rsidRDefault="00197A4E" w:rsidP="00E606F2">
            <w:pPr>
              <w:bidi w:val="0"/>
              <w:spacing w:line="276" w:lineRule="auto"/>
              <w:jc w:val="both"/>
              <w:rPr>
                <w:rFonts w:asciiTheme="majorBidi" w:hAnsiTheme="majorBidi" w:cstheme="majorBidi"/>
                <w:b/>
                <w:bCs/>
                <w:sz w:val="24"/>
                <w:szCs w:val="24"/>
              </w:rPr>
            </w:pPr>
          </w:p>
        </w:tc>
      </w:tr>
      <w:tr w:rsidR="00197A4E" w:rsidRPr="00CA576A" w:rsidTr="00DD1078">
        <w:tc>
          <w:tcPr>
            <w:tcW w:w="790"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2. LP</w:t>
            </w:r>
          </w:p>
        </w:tc>
        <w:tc>
          <w:tcPr>
            <w:tcW w:w="531"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570</w:t>
            </w:r>
          </w:p>
        </w:tc>
        <w:tc>
          <w:tcPr>
            <w:tcW w:w="526"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939</w:t>
            </w:r>
          </w:p>
        </w:tc>
        <w:tc>
          <w:tcPr>
            <w:tcW w:w="609"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0.25</w:t>
            </w:r>
            <w:r w:rsidRPr="00CA576A">
              <w:rPr>
                <w:rFonts w:asciiTheme="majorBidi" w:eastAsia="Times New Roman" w:hAnsiTheme="majorBidi" w:cstheme="majorBidi"/>
                <w:sz w:val="24"/>
                <w:szCs w:val="24"/>
                <w:vertAlign w:val="superscript"/>
              </w:rPr>
              <w:t>**</w:t>
            </w:r>
          </w:p>
        </w:tc>
        <w:tc>
          <w:tcPr>
            <w:tcW w:w="498"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609"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98"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98"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42" w:type="pct"/>
          </w:tcPr>
          <w:p w:rsidR="00197A4E" w:rsidRPr="00CA576A" w:rsidRDefault="00197A4E" w:rsidP="00E606F2">
            <w:pPr>
              <w:bidi w:val="0"/>
              <w:spacing w:line="276" w:lineRule="auto"/>
              <w:jc w:val="both"/>
              <w:rPr>
                <w:rFonts w:asciiTheme="majorBidi" w:hAnsiTheme="majorBidi" w:cstheme="majorBidi"/>
                <w:b/>
                <w:bCs/>
                <w:sz w:val="24"/>
                <w:szCs w:val="24"/>
              </w:rPr>
            </w:pPr>
          </w:p>
        </w:tc>
      </w:tr>
      <w:tr w:rsidR="00197A4E" w:rsidRPr="00CA576A" w:rsidTr="00DD1078">
        <w:tc>
          <w:tcPr>
            <w:tcW w:w="790"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3. DR</w:t>
            </w:r>
          </w:p>
        </w:tc>
        <w:tc>
          <w:tcPr>
            <w:tcW w:w="531"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20.91</w:t>
            </w:r>
          </w:p>
        </w:tc>
        <w:tc>
          <w:tcPr>
            <w:tcW w:w="526"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29.27</w:t>
            </w:r>
          </w:p>
        </w:tc>
        <w:tc>
          <w:tcPr>
            <w:tcW w:w="609"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-0.50</w:t>
            </w:r>
            <w:r w:rsidRPr="00CA576A">
              <w:rPr>
                <w:rFonts w:asciiTheme="majorBidi" w:eastAsia="Times New Roman" w:hAnsiTheme="majorBidi" w:cstheme="majorBidi"/>
                <w:sz w:val="24"/>
                <w:szCs w:val="24"/>
                <w:vertAlign w:val="superscript"/>
              </w:rPr>
              <w:t>**</w:t>
            </w:r>
          </w:p>
        </w:tc>
        <w:tc>
          <w:tcPr>
            <w:tcW w:w="498"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-0.01</w:t>
            </w:r>
          </w:p>
        </w:tc>
        <w:tc>
          <w:tcPr>
            <w:tcW w:w="609"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98"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98"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42" w:type="pct"/>
          </w:tcPr>
          <w:p w:rsidR="00197A4E" w:rsidRPr="00CA576A" w:rsidRDefault="00197A4E" w:rsidP="00E606F2">
            <w:pPr>
              <w:bidi w:val="0"/>
              <w:spacing w:line="276" w:lineRule="auto"/>
              <w:jc w:val="both"/>
              <w:rPr>
                <w:rFonts w:asciiTheme="majorBidi" w:hAnsiTheme="majorBidi" w:cstheme="majorBidi"/>
                <w:b/>
                <w:bCs/>
                <w:sz w:val="24"/>
                <w:szCs w:val="24"/>
              </w:rPr>
            </w:pPr>
          </w:p>
        </w:tc>
      </w:tr>
      <w:tr w:rsidR="00197A4E" w:rsidRPr="00CA576A" w:rsidTr="00DD1078">
        <w:tc>
          <w:tcPr>
            <w:tcW w:w="790"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4. GPNS</w:t>
            </w:r>
          </w:p>
        </w:tc>
        <w:tc>
          <w:tcPr>
            <w:tcW w:w="531"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0.27</w:t>
            </w:r>
          </w:p>
        </w:tc>
        <w:tc>
          <w:tcPr>
            <w:tcW w:w="526"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0.29</w:t>
            </w:r>
          </w:p>
        </w:tc>
        <w:tc>
          <w:tcPr>
            <w:tcW w:w="609"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0.40</w:t>
            </w:r>
            <w:r w:rsidRPr="00CA576A">
              <w:rPr>
                <w:rFonts w:asciiTheme="majorBidi" w:eastAsia="Times New Roman" w:hAnsiTheme="majorBidi" w:cstheme="majorBidi"/>
                <w:sz w:val="24"/>
                <w:szCs w:val="24"/>
                <w:vertAlign w:val="superscript"/>
              </w:rPr>
              <w:t>**</w:t>
            </w:r>
          </w:p>
        </w:tc>
        <w:tc>
          <w:tcPr>
            <w:tcW w:w="498"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0.09</w:t>
            </w:r>
          </w:p>
        </w:tc>
        <w:tc>
          <w:tcPr>
            <w:tcW w:w="609"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-0.36</w:t>
            </w:r>
            <w:r w:rsidRPr="00CA576A">
              <w:rPr>
                <w:rFonts w:asciiTheme="majorBidi" w:eastAsia="Times New Roman" w:hAnsiTheme="majorBidi" w:cstheme="majorBidi"/>
                <w:sz w:val="24"/>
                <w:szCs w:val="24"/>
                <w:vertAlign w:val="superscript"/>
              </w:rPr>
              <w:t>**</w:t>
            </w:r>
          </w:p>
        </w:tc>
        <w:tc>
          <w:tcPr>
            <w:tcW w:w="498"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98"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42" w:type="pct"/>
          </w:tcPr>
          <w:p w:rsidR="00197A4E" w:rsidRPr="00CA576A" w:rsidRDefault="00197A4E" w:rsidP="00E606F2">
            <w:pPr>
              <w:bidi w:val="0"/>
              <w:spacing w:line="276" w:lineRule="auto"/>
              <w:jc w:val="both"/>
              <w:rPr>
                <w:rFonts w:asciiTheme="majorBidi" w:hAnsiTheme="majorBidi" w:cstheme="majorBidi"/>
                <w:b/>
                <w:bCs/>
                <w:sz w:val="24"/>
                <w:szCs w:val="24"/>
              </w:rPr>
            </w:pPr>
          </w:p>
        </w:tc>
      </w:tr>
      <w:tr w:rsidR="00197A4E" w:rsidRPr="00CA576A" w:rsidTr="00DD1078">
        <w:tc>
          <w:tcPr>
            <w:tcW w:w="790"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5. TI</w:t>
            </w:r>
          </w:p>
        </w:tc>
        <w:tc>
          <w:tcPr>
            <w:tcW w:w="531"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2.70</w:t>
            </w:r>
          </w:p>
        </w:tc>
        <w:tc>
          <w:tcPr>
            <w:tcW w:w="526"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8.39</w:t>
            </w:r>
          </w:p>
        </w:tc>
        <w:tc>
          <w:tcPr>
            <w:tcW w:w="609"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0.26</w:t>
            </w:r>
            <w:r w:rsidRPr="00CA576A">
              <w:rPr>
                <w:rFonts w:asciiTheme="majorBidi" w:eastAsia="Times New Roman" w:hAnsiTheme="majorBidi" w:cstheme="majorBidi"/>
                <w:sz w:val="24"/>
                <w:szCs w:val="24"/>
                <w:vertAlign w:val="superscript"/>
              </w:rPr>
              <w:t>**</w:t>
            </w:r>
          </w:p>
        </w:tc>
        <w:tc>
          <w:tcPr>
            <w:tcW w:w="498"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0.15</w:t>
            </w:r>
            <w:r w:rsidRPr="00CA576A">
              <w:rPr>
                <w:rFonts w:asciiTheme="majorBidi" w:eastAsia="Times New Roman" w:hAnsiTheme="majorBidi" w:cstheme="majorBidi"/>
                <w:sz w:val="24"/>
                <w:szCs w:val="24"/>
                <w:vertAlign w:val="superscript"/>
              </w:rPr>
              <w:t>*</w:t>
            </w:r>
          </w:p>
        </w:tc>
        <w:tc>
          <w:tcPr>
            <w:tcW w:w="609"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0.07</w:t>
            </w:r>
          </w:p>
        </w:tc>
        <w:tc>
          <w:tcPr>
            <w:tcW w:w="498" w:type="pct"/>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0.08</w:t>
            </w:r>
          </w:p>
        </w:tc>
        <w:tc>
          <w:tcPr>
            <w:tcW w:w="498" w:type="pct"/>
          </w:tcPr>
          <w:p w:rsidR="00197A4E" w:rsidRPr="00CA576A" w:rsidRDefault="00197A4E" w:rsidP="00E606F2">
            <w:pPr>
              <w:bidi w:val="0"/>
              <w:spacing w:line="276" w:lineRule="auto"/>
              <w:jc w:val="both"/>
              <w:rPr>
                <w:rFonts w:asciiTheme="majorBidi" w:hAnsiTheme="majorBidi" w:cstheme="majorBidi"/>
                <w:b/>
                <w:bCs/>
                <w:sz w:val="24"/>
                <w:szCs w:val="24"/>
              </w:rPr>
            </w:pPr>
          </w:p>
        </w:tc>
        <w:tc>
          <w:tcPr>
            <w:tcW w:w="442" w:type="pct"/>
          </w:tcPr>
          <w:p w:rsidR="00197A4E" w:rsidRPr="00CA576A" w:rsidRDefault="00197A4E" w:rsidP="00E606F2">
            <w:pPr>
              <w:bidi w:val="0"/>
              <w:spacing w:line="276" w:lineRule="auto"/>
              <w:jc w:val="both"/>
              <w:rPr>
                <w:rFonts w:asciiTheme="majorBidi" w:hAnsiTheme="majorBidi" w:cstheme="majorBidi"/>
                <w:b/>
                <w:bCs/>
                <w:sz w:val="24"/>
                <w:szCs w:val="24"/>
              </w:rPr>
            </w:pPr>
          </w:p>
        </w:tc>
      </w:tr>
      <w:tr w:rsidR="00197A4E" w:rsidRPr="00CA576A" w:rsidTr="00DD1078">
        <w:tc>
          <w:tcPr>
            <w:tcW w:w="790" w:type="pct"/>
            <w:tcBorders>
              <w:bottom w:val="nil"/>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6. ITR</w:t>
            </w:r>
          </w:p>
        </w:tc>
        <w:tc>
          <w:tcPr>
            <w:tcW w:w="531" w:type="pct"/>
            <w:tcBorders>
              <w:bottom w:val="nil"/>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9.13</w:t>
            </w:r>
          </w:p>
        </w:tc>
        <w:tc>
          <w:tcPr>
            <w:tcW w:w="526" w:type="pct"/>
            <w:tcBorders>
              <w:bottom w:val="nil"/>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33.87</w:t>
            </w:r>
          </w:p>
        </w:tc>
        <w:tc>
          <w:tcPr>
            <w:tcW w:w="609" w:type="pct"/>
            <w:tcBorders>
              <w:bottom w:val="nil"/>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0.08</w:t>
            </w:r>
          </w:p>
        </w:tc>
        <w:tc>
          <w:tcPr>
            <w:tcW w:w="498" w:type="pct"/>
            <w:tcBorders>
              <w:bottom w:val="nil"/>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0.06</w:t>
            </w:r>
          </w:p>
        </w:tc>
        <w:tc>
          <w:tcPr>
            <w:tcW w:w="609" w:type="pct"/>
            <w:tcBorders>
              <w:bottom w:val="nil"/>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0.04</w:t>
            </w:r>
          </w:p>
        </w:tc>
        <w:tc>
          <w:tcPr>
            <w:tcW w:w="498" w:type="pct"/>
            <w:tcBorders>
              <w:bottom w:val="nil"/>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0.04</w:t>
            </w:r>
          </w:p>
        </w:tc>
        <w:tc>
          <w:tcPr>
            <w:tcW w:w="498" w:type="pct"/>
            <w:tcBorders>
              <w:bottom w:val="nil"/>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0.06</w:t>
            </w:r>
          </w:p>
        </w:tc>
        <w:tc>
          <w:tcPr>
            <w:tcW w:w="442" w:type="pct"/>
            <w:tcBorders>
              <w:bottom w:val="nil"/>
            </w:tcBorders>
          </w:tcPr>
          <w:p w:rsidR="00197A4E" w:rsidRPr="00CA576A" w:rsidRDefault="00197A4E" w:rsidP="00E606F2">
            <w:pPr>
              <w:bidi w:val="0"/>
              <w:spacing w:line="276" w:lineRule="auto"/>
              <w:jc w:val="both"/>
              <w:rPr>
                <w:rFonts w:asciiTheme="majorBidi" w:hAnsiTheme="majorBidi" w:cstheme="majorBidi"/>
                <w:b/>
                <w:bCs/>
                <w:sz w:val="24"/>
                <w:szCs w:val="24"/>
              </w:rPr>
            </w:pPr>
          </w:p>
        </w:tc>
      </w:tr>
      <w:tr w:rsidR="00197A4E" w:rsidRPr="00CA576A" w:rsidTr="00DD1078">
        <w:tc>
          <w:tcPr>
            <w:tcW w:w="790"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7. TATR</w:t>
            </w:r>
          </w:p>
        </w:tc>
        <w:tc>
          <w:tcPr>
            <w:tcW w:w="531"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0.75</w:t>
            </w:r>
          </w:p>
        </w:tc>
        <w:tc>
          <w:tcPr>
            <w:tcW w:w="526"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2.05</w:t>
            </w:r>
          </w:p>
        </w:tc>
        <w:tc>
          <w:tcPr>
            <w:tcW w:w="609"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0.06</w:t>
            </w:r>
          </w:p>
        </w:tc>
        <w:tc>
          <w:tcPr>
            <w:tcW w:w="498"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0.03</w:t>
            </w:r>
          </w:p>
        </w:tc>
        <w:tc>
          <w:tcPr>
            <w:tcW w:w="609"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-0.03</w:t>
            </w:r>
          </w:p>
        </w:tc>
        <w:tc>
          <w:tcPr>
            <w:tcW w:w="498"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-0.05</w:t>
            </w:r>
          </w:p>
        </w:tc>
        <w:tc>
          <w:tcPr>
            <w:tcW w:w="498"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0.16</w:t>
            </w:r>
            <w:r w:rsidRPr="00CA576A">
              <w:rPr>
                <w:rFonts w:asciiTheme="majorBidi" w:eastAsia="Times New Roman" w:hAnsiTheme="majorBidi" w:cstheme="majorBidi"/>
                <w:sz w:val="24"/>
                <w:szCs w:val="24"/>
                <w:vertAlign w:val="superscript"/>
              </w:rPr>
              <w:t>*</w:t>
            </w:r>
          </w:p>
        </w:tc>
        <w:tc>
          <w:tcPr>
            <w:tcW w:w="442" w:type="pct"/>
            <w:tcBorders>
              <w:bottom w:val="single" w:sz="12" w:space="0" w:color="auto"/>
            </w:tcBorders>
          </w:tcPr>
          <w:p w:rsidR="00197A4E" w:rsidRPr="00CA576A" w:rsidRDefault="00197A4E" w:rsidP="00E606F2">
            <w:pPr>
              <w:bidi w:val="0"/>
              <w:spacing w:line="276" w:lineRule="auto"/>
              <w:jc w:val="both"/>
              <w:rPr>
                <w:rFonts w:asciiTheme="majorBidi" w:eastAsia="Times New Roman" w:hAnsiTheme="majorBidi" w:cstheme="majorBidi"/>
                <w:sz w:val="24"/>
                <w:szCs w:val="24"/>
              </w:rPr>
            </w:pPr>
            <w:r w:rsidRPr="00CA576A">
              <w:rPr>
                <w:rFonts w:asciiTheme="majorBidi" w:eastAsia="Times New Roman" w:hAnsiTheme="majorBidi" w:cstheme="majorBidi"/>
                <w:sz w:val="24"/>
                <w:szCs w:val="24"/>
              </w:rPr>
              <w:t>0.01</w:t>
            </w:r>
          </w:p>
        </w:tc>
      </w:tr>
      <w:tr w:rsidR="00197A4E" w:rsidRPr="004648B6" w:rsidTr="00DD1078">
        <w:tc>
          <w:tcPr>
            <w:tcW w:w="5000" w:type="pct"/>
            <w:gridSpan w:val="9"/>
            <w:tcBorders>
              <w:top w:val="single" w:sz="12" w:space="0" w:color="auto"/>
              <w:bottom w:val="nil"/>
            </w:tcBorders>
          </w:tcPr>
          <w:p w:rsidR="00197A4E" w:rsidRPr="004648B6" w:rsidRDefault="00197A4E" w:rsidP="00DD1078">
            <w:pPr>
              <w:bidi w:val="0"/>
              <w:spacing w:before="60" w:after="60"/>
              <w:jc w:val="both"/>
              <w:rPr>
                <w:rFonts w:asciiTheme="majorBidi" w:eastAsia="Times New Roman" w:hAnsiTheme="majorBidi" w:cstheme="majorBidi"/>
                <w:sz w:val="24"/>
                <w:szCs w:val="24"/>
              </w:rPr>
            </w:pPr>
            <w:r w:rsidRPr="00FD25DA">
              <w:rPr>
                <w:rFonts w:asciiTheme="majorBidi" w:hAnsiTheme="majorBidi" w:cstheme="majorBidi"/>
                <w:sz w:val="24"/>
                <w:szCs w:val="24"/>
                <w:vertAlign w:val="superscript"/>
              </w:rPr>
              <w:t>Note:  *</w:t>
            </w:r>
            <w:r>
              <w:rPr>
                <w:rFonts w:asciiTheme="majorBidi" w:hAnsiTheme="majorBidi" w:cstheme="majorBidi"/>
                <w:sz w:val="24"/>
                <w:szCs w:val="24"/>
                <w:vertAlign w:val="superscript"/>
              </w:rPr>
              <w:t xml:space="preserve"> </w:t>
            </w:r>
            <w:r w:rsidRPr="00FD25DA">
              <w:rPr>
                <w:rFonts w:asciiTheme="majorBidi" w:hAnsiTheme="majorBidi" w:cstheme="majorBidi"/>
                <w:sz w:val="24"/>
                <w:szCs w:val="24"/>
                <w:vertAlign w:val="superscript"/>
              </w:rPr>
              <w:t>significant at 5%,</w:t>
            </w:r>
            <w:r>
              <w:rPr>
                <w:rFonts w:asciiTheme="majorBidi" w:hAnsiTheme="majorBidi" w:cstheme="majorBidi"/>
                <w:sz w:val="24"/>
                <w:szCs w:val="24"/>
                <w:vertAlign w:val="superscript"/>
              </w:rPr>
              <w:t xml:space="preserve"> </w:t>
            </w:r>
            <w:r w:rsidRPr="00FD25DA">
              <w:rPr>
                <w:rFonts w:asciiTheme="majorBidi" w:hAnsiTheme="majorBidi" w:cstheme="majorBidi"/>
                <w:sz w:val="24"/>
                <w:szCs w:val="24"/>
                <w:vertAlign w:val="superscript"/>
              </w:rPr>
              <w:t>**</w:t>
            </w:r>
            <w:r>
              <w:rPr>
                <w:rFonts w:asciiTheme="majorBidi" w:hAnsiTheme="majorBidi" w:cstheme="majorBidi"/>
                <w:sz w:val="24"/>
                <w:szCs w:val="24"/>
                <w:vertAlign w:val="superscript"/>
              </w:rPr>
              <w:t xml:space="preserve"> </w:t>
            </w:r>
            <w:r w:rsidRPr="00FD25DA">
              <w:rPr>
                <w:rFonts w:asciiTheme="majorBidi" w:hAnsiTheme="majorBidi" w:cstheme="majorBidi"/>
                <w:sz w:val="24"/>
                <w:szCs w:val="24"/>
                <w:vertAlign w:val="superscript"/>
              </w:rPr>
              <w:t>significant at 1%</w:t>
            </w:r>
          </w:p>
        </w:tc>
      </w:tr>
    </w:tbl>
    <w:p w:rsidR="00197A4E" w:rsidRPr="00E606F2" w:rsidRDefault="00197A4E" w:rsidP="00197A4E">
      <w:pPr>
        <w:bidi w:val="0"/>
        <w:spacing w:before="120" w:after="120" w:line="240" w:lineRule="auto"/>
        <w:jc w:val="both"/>
        <w:rPr>
          <w:rFonts w:asciiTheme="majorBidi" w:hAnsiTheme="majorBidi" w:cstheme="majorBidi"/>
          <w:color w:val="231F20"/>
          <w:sz w:val="16"/>
          <w:szCs w:val="16"/>
        </w:rPr>
      </w:pPr>
    </w:p>
    <w:tbl>
      <w:tblPr>
        <w:tblStyle w:val="TableGrid"/>
        <w:tblW w:w="5000" w:type="pct"/>
        <w:tblLook w:val="04A0" w:firstRow="1" w:lastRow="0" w:firstColumn="1" w:lastColumn="0" w:noHBand="0" w:noVBand="1"/>
      </w:tblPr>
      <w:tblGrid>
        <w:gridCol w:w="3106"/>
        <w:gridCol w:w="2708"/>
        <w:gridCol w:w="2708"/>
      </w:tblGrid>
      <w:tr w:rsidR="00197A4E" w:rsidRPr="00CA576A" w:rsidTr="00DD1078">
        <w:tc>
          <w:tcPr>
            <w:tcW w:w="5000" w:type="pct"/>
            <w:gridSpan w:val="3"/>
            <w:tcBorders>
              <w:top w:val="nil"/>
              <w:left w:val="nil"/>
              <w:bottom w:val="single" w:sz="12" w:space="0" w:color="auto"/>
              <w:right w:val="nil"/>
            </w:tcBorders>
            <w:vAlign w:val="center"/>
          </w:tcPr>
          <w:p w:rsidR="00197A4E" w:rsidRPr="00197A4E" w:rsidRDefault="00197A4E" w:rsidP="00E606F2">
            <w:pPr>
              <w:bidi w:val="0"/>
              <w:spacing w:before="60" w:after="120"/>
              <w:jc w:val="center"/>
              <w:rPr>
                <w:rFonts w:asciiTheme="majorBidi" w:hAnsiTheme="majorBidi" w:cstheme="majorBidi"/>
                <w:sz w:val="24"/>
                <w:szCs w:val="24"/>
              </w:rPr>
            </w:pPr>
            <w:r w:rsidRPr="00197A4E">
              <w:rPr>
                <w:rFonts w:asciiTheme="majorBidi" w:hAnsiTheme="majorBidi" w:cstheme="majorBidi"/>
                <w:sz w:val="24"/>
                <w:szCs w:val="24"/>
              </w:rPr>
              <w:t>Table 2</w:t>
            </w:r>
            <w:r>
              <w:rPr>
                <w:rFonts w:asciiTheme="majorBidi" w:hAnsiTheme="majorBidi" w:cstheme="majorBidi"/>
                <w:sz w:val="24"/>
                <w:szCs w:val="24"/>
              </w:rPr>
              <w:t xml:space="preserve">: </w:t>
            </w:r>
            <w:r w:rsidRPr="00197A4E">
              <w:rPr>
                <w:rFonts w:asciiTheme="majorBidi" w:hAnsiTheme="majorBidi" w:cstheme="majorBidi"/>
                <w:sz w:val="24"/>
                <w:szCs w:val="24"/>
              </w:rPr>
              <w:t>Results of variance inflation factor (VIF)</w:t>
            </w:r>
          </w:p>
        </w:tc>
      </w:tr>
      <w:tr w:rsidR="00197A4E" w:rsidRPr="008735C8" w:rsidTr="00DD1078">
        <w:tc>
          <w:tcPr>
            <w:tcW w:w="1822" w:type="pct"/>
            <w:tcBorders>
              <w:top w:val="single" w:sz="12" w:space="0" w:color="auto"/>
              <w:left w:val="nil"/>
              <w:bottom w:val="single" w:sz="12" w:space="0" w:color="auto"/>
              <w:right w:val="nil"/>
            </w:tcBorders>
          </w:tcPr>
          <w:p w:rsidR="00197A4E" w:rsidRPr="00197A4E" w:rsidRDefault="00197A4E" w:rsidP="00E606F2">
            <w:pPr>
              <w:bidi w:val="0"/>
              <w:spacing w:line="276" w:lineRule="auto"/>
              <w:jc w:val="both"/>
              <w:rPr>
                <w:rFonts w:asciiTheme="majorBidi" w:hAnsiTheme="majorBidi" w:cstheme="majorBidi"/>
                <w:b/>
                <w:bCs/>
                <w:sz w:val="24"/>
                <w:szCs w:val="24"/>
              </w:rPr>
            </w:pPr>
            <w:r w:rsidRPr="00197A4E">
              <w:rPr>
                <w:rFonts w:asciiTheme="majorBidi" w:hAnsiTheme="majorBidi" w:cstheme="majorBidi"/>
                <w:b/>
                <w:bCs/>
                <w:sz w:val="24"/>
                <w:szCs w:val="24"/>
              </w:rPr>
              <w:t>Variable</w:t>
            </w:r>
          </w:p>
        </w:tc>
        <w:tc>
          <w:tcPr>
            <w:tcW w:w="1589" w:type="pct"/>
            <w:tcBorders>
              <w:top w:val="single" w:sz="12" w:space="0" w:color="auto"/>
              <w:left w:val="nil"/>
              <w:bottom w:val="single" w:sz="12" w:space="0" w:color="auto"/>
              <w:right w:val="nil"/>
            </w:tcBorders>
          </w:tcPr>
          <w:p w:rsidR="00197A4E" w:rsidRPr="00197A4E" w:rsidRDefault="00197A4E" w:rsidP="00E606F2">
            <w:pPr>
              <w:bidi w:val="0"/>
              <w:spacing w:line="276" w:lineRule="auto"/>
              <w:jc w:val="center"/>
              <w:rPr>
                <w:rFonts w:asciiTheme="majorBidi" w:hAnsiTheme="majorBidi" w:cstheme="majorBidi"/>
                <w:b/>
                <w:bCs/>
                <w:sz w:val="24"/>
                <w:szCs w:val="24"/>
              </w:rPr>
            </w:pPr>
            <w:r w:rsidRPr="00197A4E">
              <w:rPr>
                <w:rFonts w:asciiTheme="majorBidi" w:hAnsiTheme="majorBidi" w:cstheme="majorBidi"/>
                <w:b/>
                <w:bCs/>
                <w:sz w:val="24"/>
                <w:szCs w:val="24"/>
              </w:rPr>
              <w:t>VIF</w:t>
            </w:r>
          </w:p>
        </w:tc>
        <w:tc>
          <w:tcPr>
            <w:tcW w:w="1589" w:type="pct"/>
            <w:tcBorders>
              <w:top w:val="single" w:sz="12" w:space="0" w:color="auto"/>
              <w:left w:val="nil"/>
              <w:bottom w:val="single" w:sz="12" w:space="0" w:color="auto"/>
              <w:right w:val="nil"/>
            </w:tcBorders>
          </w:tcPr>
          <w:p w:rsidR="00197A4E" w:rsidRPr="00197A4E" w:rsidRDefault="00197A4E" w:rsidP="00E606F2">
            <w:pPr>
              <w:bidi w:val="0"/>
              <w:spacing w:line="276" w:lineRule="auto"/>
              <w:jc w:val="center"/>
              <w:rPr>
                <w:rFonts w:asciiTheme="majorBidi" w:hAnsiTheme="majorBidi" w:cstheme="majorBidi"/>
                <w:b/>
                <w:bCs/>
                <w:sz w:val="24"/>
                <w:szCs w:val="24"/>
              </w:rPr>
            </w:pPr>
            <w:r w:rsidRPr="00197A4E">
              <w:rPr>
                <w:rFonts w:asciiTheme="majorBidi" w:hAnsiTheme="majorBidi" w:cstheme="majorBidi"/>
                <w:b/>
                <w:bCs/>
                <w:sz w:val="24"/>
                <w:szCs w:val="24"/>
              </w:rPr>
              <w:t>1/VIF</w:t>
            </w:r>
          </w:p>
        </w:tc>
      </w:tr>
      <w:tr w:rsidR="00197A4E" w:rsidRPr="00CA576A" w:rsidTr="00DD1078">
        <w:tc>
          <w:tcPr>
            <w:tcW w:w="1822" w:type="pct"/>
            <w:tcBorders>
              <w:top w:val="single" w:sz="12" w:space="0" w:color="auto"/>
              <w:left w:val="nil"/>
              <w:bottom w:val="nil"/>
              <w:right w:val="nil"/>
            </w:tcBorders>
          </w:tcPr>
          <w:p w:rsidR="00197A4E" w:rsidRPr="00CA576A" w:rsidRDefault="00197A4E" w:rsidP="00E606F2">
            <w:pPr>
              <w:bidi w:val="0"/>
              <w:spacing w:line="276" w:lineRule="auto"/>
              <w:jc w:val="both"/>
              <w:rPr>
                <w:rFonts w:asciiTheme="majorBidi" w:hAnsiTheme="majorBidi" w:cstheme="majorBidi"/>
                <w:sz w:val="24"/>
                <w:szCs w:val="24"/>
              </w:rPr>
            </w:pPr>
            <w:r w:rsidRPr="00CA576A">
              <w:rPr>
                <w:rFonts w:asciiTheme="majorBidi" w:hAnsiTheme="majorBidi" w:cstheme="majorBidi"/>
                <w:sz w:val="24"/>
                <w:szCs w:val="24"/>
              </w:rPr>
              <w:t>GPNS</w:t>
            </w:r>
          </w:p>
        </w:tc>
        <w:tc>
          <w:tcPr>
            <w:tcW w:w="1589" w:type="pct"/>
            <w:tcBorders>
              <w:top w:val="single" w:sz="12" w:space="0" w:color="auto"/>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1.19</w:t>
            </w:r>
          </w:p>
        </w:tc>
        <w:tc>
          <w:tcPr>
            <w:tcW w:w="1589" w:type="pct"/>
            <w:tcBorders>
              <w:top w:val="single" w:sz="12" w:space="0" w:color="auto"/>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0.84</w:t>
            </w:r>
          </w:p>
        </w:tc>
      </w:tr>
      <w:tr w:rsidR="00197A4E" w:rsidRPr="00CA576A" w:rsidTr="00DD1078">
        <w:tc>
          <w:tcPr>
            <w:tcW w:w="1822" w:type="pct"/>
            <w:tcBorders>
              <w:top w:val="nil"/>
              <w:left w:val="nil"/>
              <w:bottom w:val="nil"/>
              <w:right w:val="nil"/>
            </w:tcBorders>
          </w:tcPr>
          <w:p w:rsidR="00197A4E" w:rsidRPr="00CA576A" w:rsidRDefault="00197A4E" w:rsidP="00E606F2">
            <w:pPr>
              <w:bidi w:val="0"/>
              <w:spacing w:line="276" w:lineRule="auto"/>
              <w:jc w:val="both"/>
              <w:rPr>
                <w:rFonts w:asciiTheme="majorBidi" w:hAnsiTheme="majorBidi" w:cstheme="majorBidi"/>
                <w:sz w:val="24"/>
                <w:szCs w:val="24"/>
              </w:rPr>
            </w:pPr>
            <w:r w:rsidRPr="00CA576A">
              <w:rPr>
                <w:rFonts w:asciiTheme="majorBidi" w:hAnsiTheme="majorBidi" w:cstheme="majorBidi"/>
                <w:sz w:val="24"/>
                <w:szCs w:val="24"/>
              </w:rPr>
              <w:t>DR</w:t>
            </w:r>
          </w:p>
        </w:tc>
        <w:tc>
          <w:tcPr>
            <w:tcW w:w="1589" w:type="pct"/>
            <w:tcBorders>
              <w:top w:val="nil"/>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1.17</w:t>
            </w:r>
          </w:p>
        </w:tc>
        <w:tc>
          <w:tcPr>
            <w:tcW w:w="1589" w:type="pct"/>
            <w:tcBorders>
              <w:top w:val="nil"/>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0.85</w:t>
            </w:r>
          </w:p>
        </w:tc>
      </w:tr>
      <w:tr w:rsidR="00197A4E" w:rsidRPr="00CA576A" w:rsidTr="00DD1078">
        <w:tc>
          <w:tcPr>
            <w:tcW w:w="1822" w:type="pct"/>
            <w:tcBorders>
              <w:top w:val="nil"/>
              <w:left w:val="nil"/>
              <w:bottom w:val="nil"/>
              <w:right w:val="nil"/>
            </w:tcBorders>
          </w:tcPr>
          <w:p w:rsidR="00197A4E" w:rsidRPr="00CA576A" w:rsidRDefault="00197A4E" w:rsidP="00E606F2">
            <w:pPr>
              <w:bidi w:val="0"/>
              <w:spacing w:line="276" w:lineRule="auto"/>
              <w:jc w:val="both"/>
              <w:rPr>
                <w:rFonts w:asciiTheme="majorBidi" w:hAnsiTheme="majorBidi" w:cstheme="majorBidi"/>
                <w:sz w:val="24"/>
                <w:szCs w:val="24"/>
              </w:rPr>
            </w:pPr>
            <w:r w:rsidRPr="00CA576A">
              <w:rPr>
                <w:rFonts w:asciiTheme="majorBidi" w:hAnsiTheme="majorBidi" w:cstheme="majorBidi"/>
                <w:sz w:val="24"/>
                <w:szCs w:val="24"/>
              </w:rPr>
              <w:t>TI</w:t>
            </w:r>
          </w:p>
        </w:tc>
        <w:tc>
          <w:tcPr>
            <w:tcW w:w="1589" w:type="pct"/>
            <w:tcBorders>
              <w:top w:val="nil"/>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1.07</w:t>
            </w:r>
          </w:p>
        </w:tc>
        <w:tc>
          <w:tcPr>
            <w:tcW w:w="1589" w:type="pct"/>
            <w:tcBorders>
              <w:top w:val="nil"/>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0.93</w:t>
            </w:r>
          </w:p>
        </w:tc>
      </w:tr>
      <w:tr w:rsidR="00197A4E" w:rsidRPr="00CA576A" w:rsidTr="00DD1078">
        <w:tc>
          <w:tcPr>
            <w:tcW w:w="1822" w:type="pct"/>
            <w:tcBorders>
              <w:top w:val="nil"/>
              <w:left w:val="nil"/>
              <w:bottom w:val="nil"/>
              <w:right w:val="nil"/>
            </w:tcBorders>
          </w:tcPr>
          <w:p w:rsidR="00197A4E" w:rsidRPr="00CA576A" w:rsidRDefault="00197A4E" w:rsidP="00E606F2">
            <w:pPr>
              <w:bidi w:val="0"/>
              <w:spacing w:line="276" w:lineRule="auto"/>
              <w:jc w:val="both"/>
              <w:rPr>
                <w:rFonts w:asciiTheme="majorBidi" w:hAnsiTheme="majorBidi" w:cstheme="majorBidi"/>
                <w:sz w:val="24"/>
                <w:szCs w:val="24"/>
              </w:rPr>
            </w:pPr>
            <w:r w:rsidRPr="00CA576A">
              <w:rPr>
                <w:rFonts w:asciiTheme="majorBidi" w:hAnsiTheme="majorBidi" w:cstheme="majorBidi"/>
                <w:sz w:val="24"/>
                <w:szCs w:val="24"/>
              </w:rPr>
              <w:t>TATR</w:t>
            </w:r>
          </w:p>
        </w:tc>
        <w:tc>
          <w:tcPr>
            <w:tcW w:w="1589" w:type="pct"/>
            <w:tcBorders>
              <w:top w:val="nil"/>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1.04</w:t>
            </w:r>
          </w:p>
        </w:tc>
        <w:tc>
          <w:tcPr>
            <w:tcW w:w="1589" w:type="pct"/>
            <w:tcBorders>
              <w:top w:val="nil"/>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0.97</w:t>
            </w:r>
          </w:p>
        </w:tc>
      </w:tr>
      <w:tr w:rsidR="00197A4E" w:rsidRPr="00CA576A" w:rsidTr="00DD1078">
        <w:tc>
          <w:tcPr>
            <w:tcW w:w="1822" w:type="pct"/>
            <w:tcBorders>
              <w:top w:val="nil"/>
              <w:left w:val="nil"/>
              <w:bottom w:val="nil"/>
              <w:right w:val="nil"/>
            </w:tcBorders>
          </w:tcPr>
          <w:p w:rsidR="00197A4E" w:rsidRPr="00CA576A" w:rsidRDefault="00197A4E" w:rsidP="00E606F2">
            <w:pPr>
              <w:bidi w:val="0"/>
              <w:spacing w:line="276" w:lineRule="auto"/>
              <w:jc w:val="both"/>
              <w:rPr>
                <w:rFonts w:asciiTheme="majorBidi" w:hAnsiTheme="majorBidi" w:cstheme="majorBidi"/>
                <w:sz w:val="24"/>
                <w:szCs w:val="24"/>
              </w:rPr>
            </w:pPr>
            <w:r w:rsidRPr="00CA576A">
              <w:rPr>
                <w:rFonts w:asciiTheme="majorBidi" w:hAnsiTheme="majorBidi" w:cstheme="majorBidi"/>
                <w:sz w:val="24"/>
                <w:szCs w:val="24"/>
              </w:rPr>
              <w:t>LP</w:t>
            </w:r>
          </w:p>
        </w:tc>
        <w:tc>
          <w:tcPr>
            <w:tcW w:w="1589" w:type="pct"/>
            <w:tcBorders>
              <w:top w:val="nil"/>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1.03</w:t>
            </w:r>
          </w:p>
        </w:tc>
        <w:tc>
          <w:tcPr>
            <w:tcW w:w="1589" w:type="pct"/>
            <w:tcBorders>
              <w:top w:val="nil"/>
              <w:left w:val="nil"/>
              <w:bottom w:val="nil"/>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0.97</w:t>
            </w:r>
          </w:p>
        </w:tc>
      </w:tr>
      <w:tr w:rsidR="00197A4E" w:rsidRPr="00CA576A" w:rsidTr="00DD1078">
        <w:tc>
          <w:tcPr>
            <w:tcW w:w="1822" w:type="pct"/>
            <w:tcBorders>
              <w:top w:val="nil"/>
              <w:left w:val="nil"/>
              <w:bottom w:val="single" w:sz="12" w:space="0" w:color="auto"/>
              <w:right w:val="nil"/>
            </w:tcBorders>
          </w:tcPr>
          <w:p w:rsidR="00197A4E" w:rsidRPr="00CA576A" w:rsidRDefault="00197A4E" w:rsidP="00E606F2">
            <w:pPr>
              <w:bidi w:val="0"/>
              <w:spacing w:line="276" w:lineRule="auto"/>
              <w:jc w:val="both"/>
              <w:rPr>
                <w:rFonts w:asciiTheme="majorBidi" w:hAnsiTheme="majorBidi" w:cstheme="majorBidi"/>
                <w:sz w:val="24"/>
                <w:szCs w:val="24"/>
              </w:rPr>
            </w:pPr>
            <w:r w:rsidRPr="00CA576A">
              <w:rPr>
                <w:rFonts w:asciiTheme="majorBidi" w:hAnsiTheme="majorBidi" w:cstheme="majorBidi"/>
                <w:sz w:val="24"/>
                <w:szCs w:val="24"/>
              </w:rPr>
              <w:t>ITR</w:t>
            </w:r>
          </w:p>
        </w:tc>
        <w:tc>
          <w:tcPr>
            <w:tcW w:w="1589" w:type="pct"/>
            <w:tcBorders>
              <w:top w:val="nil"/>
              <w:left w:val="nil"/>
              <w:bottom w:val="single" w:sz="12" w:space="0" w:color="auto"/>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1.01</w:t>
            </w:r>
          </w:p>
        </w:tc>
        <w:tc>
          <w:tcPr>
            <w:tcW w:w="1589" w:type="pct"/>
            <w:tcBorders>
              <w:top w:val="nil"/>
              <w:left w:val="nil"/>
              <w:bottom w:val="single" w:sz="12" w:space="0" w:color="auto"/>
              <w:right w:val="nil"/>
            </w:tcBorders>
          </w:tcPr>
          <w:p w:rsidR="00197A4E" w:rsidRPr="00CA576A" w:rsidRDefault="00197A4E" w:rsidP="00E606F2">
            <w:pPr>
              <w:bidi w:val="0"/>
              <w:spacing w:line="276" w:lineRule="auto"/>
              <w:jc w:val="center"/>
              <w:rPr>
                <w:rFonts w:asciiTheme="majorBidi" w:hAnsiTheme="majorBidi" w:cstheme="majorBidi"/>
                <w:sz w:val="24"/>
                <w:szCs w:val="24"/>
              </w:rPr>
            </w:pPr>
            <w:r w:rsidRPr="00CA576A">
              <w:rPr>
                <w:rFonts w:asciiTheme="majorBidi" w:hAnsiTheme="majorBidi" w:cstheme="majorBidi"/>
                <w:sz w:val="24"/>
                <w:szCs w:val="24"/>
              </w:rPr>
              <w:t>0.99</w:t>
            </w:r>
          </w:p>
        </w:tc>
      </w:tr>
    </w:tbl>
    <w:p w:rsidR="0096571A" w:rsidRPr="00197A4E" w:rsidRDefault="00197A4E" w:rsidP="00E606F2">
      <w:pPr>
        <w:pStyle w:val="ListParagraph"/>
        <w:numPr>
          <w:ilvl w:val="0"/>
          <w:numId w:val="5"/>
        </w:numPr>
        <w:bidi w:val="0"/>
        <w:spacing w:before="360" w:line="240" w:lineRule="auto"/>
        <w:ind w:left="284" w:hanging="284"/>
        <w:rPr>
          <w:rFonts w:asciiTheme="majorBidi" w:hAnsiTheme="majorBidi" w:cstheme="majorBidi"/>
          <w:b/>
          <w:bCs/>
          <w:sz w:val="28"/>
          <w:szCs w:val="28"/>
        </w:rPr>
      </w:pPr>
      <w:r w:rsidRPr="00197A4E">
        <w:rPr>
          <w:rFonts w:asciiTheme="majorBidi" w:hAnsiTheme="majorBidi" w:cstheme="majorBidi"/>
          <w:b/>
          <w:bCs/>
          <w:sz w:val="28"/>
          <w:szCs w:val="28"/>
        </w:rPr>
        <w:t>The Empirical R</w:t>
      </w:r>
      <w:r w:rsidR="00574656" w:rsidRPr="00197A4E">
        <w:rPr>
          <w:rFonts w:asciiTheme="majorBidi" w:hAnsiTheme="majorBidi" w:cstheme="majorBidi"/>
          <w:b/>
          <w:bCs/>
          <w:sz w:val="28"/>
          <w:szCs w:val="28"/>
        </w:rPr>
        <w:t xml:space="preserve">esults  </w:t>
      </w:r>
    </w:p>
    <w:p w:rsidR="008E7728" w:rsidRPr="00A72B96" w:rsidRDefault="00746DED" w:rsidP="00E606F2">
      <w:pPr>
        <w:bidi w:val="0"/>
        <w:spacing w:before="120" w:after="120" w:line="240" w:lineRule="auto"/>
        <w:jc w:val="both"/>
        <w:rPr>
          <w:rFonts w:asciiTheme="majorBidi" w:hAnsiTheme="majorBidi" w:cstheme="majorBidi"/>
          <w:sz w:val="24"/>
          <w:szCs w:val="24"/>
        </w:rPr>
      </w:pPr>
      <w:r w:rsidRPr="00A72B96">
        <w:rPr>
          <w:rFonts w:asciiTheme="majorBidi" w:hAnsiTheme="majorBidi" w:cstheme="majorBidi"/>
          <w:sz w:val="24"/>
          <w:szCs w:val="24"/>
        </w:rPr>
        <w:t xml:space="preserve">Table </w:t>
      </w:r>
      <w:r w:rsidR="00A72B96">
        <w:rPr>
          <w:rFonts w:asciiTheme="majorBidi" w:hAnsiTheme="majorBidi" w:cstheme="majorBidi"/>
          <w:sz w:val="24"/>
          <w:szCs w:val="24"/>
        </w:rPr>
        <w:t>3</w:t>
      </w:r>
      <w:r w:rsidRPr="00A72B96">
        <w:rPr>
          <w:rFonts w:asciiTheme="majorBidi" w:hAnsiTheme="majorBidi" w:cstheme="majorBidi"/>
          <w:sz w:val="24"/>
          <w:szCs w:val="24"/>
        </w:rPr>
        <w:t xml:space="preserve"> shows the </w:t>
      </w:r>
      <w:r w:rsidRPr="00A72B96">
        <w:rPr>
          <w:rFonts w:asciiTheme="majorBidi" w:hAnsiTheme="majorBidi" w:cstheme="majorBidi"/>
          <w:color w:val="231F20"/>
          <w:sz w:val="24"/>
          <w:szCs w:val="24"/>
        </w:rPr>
        <w:t>determinants</w:t>
      </w:r>
      <w:r w:rsidRPr="00A72B96">
        <w:rPr>
          <w:rFonts w:asciiTheme="majorBidi" w:hAnsiTheme="majorBidi" w:cstheme="majorBidi"/>
          <w:sz w:val="24"/>
          <w:szCs w:val="24"/>
        </w:rPr>
        <w:t xml:space="preserve"> of ROI according to demographic characteristics of firms which include sector and firm age. It </w:t>
      </w:r>
      <w:r w:rsidR="00727D32">
        <w:rPr>
          <w:rFonts w:asciiTheme="majorBidi" w:hAnsiTheme="majorBidi" w:cstheme="majorBidi"/>
          <w:sz w:val="24"/>
          <w:szCs w:val="24"/>
        </w:rPr>
        <w:t xml:space="preserve">is </w:t>
      </w:r>
      <w:r w:rsidRPr="00A72B96">
        <w:rPr>
          <w:rFonts w:asciiTheme="majorBidi" w:hAnsiTheme="majorBidi" w:cstheme="majorBidi"/>
          <w:sz w:val="24"/>
          <w:szCs w:val="24"/>
        </w:rPr>
        <w:t xml:space="preserve">clear from the results </w:t>
      </w:r>
      <w:r w:rsidR="00727D32">
        <w:rPr>
          <w:rFonts w:asciiTheme="majorBidi" w:hAnsiTheme="majorBidi" w:cstheme="majorBidi"/>
          <w:sz w:val="24"/>
          <w:szCs w:val="24"/>
        </w:rPr>
        <w:t xml:space="preserve">that </w:t>
      </w:r>
      <w:r w:rsidRPr="00A72B96">
        <w:rPr>
          <w:rFonts w:asciiTheme="majorBidi" w:hAnsiTheme="majorBidi" w:cstheme="majorBidi"/>
          <w:sz w:val="24"/>
          <w:szCs w:val="24"/>
        </w:rPr>
        <w:t xml:space="preserve">the effect of DR and GPNS on ROI does not change from service to productive firms, where the effect of DR on ROI is negative and significant at 1% level of significance. </w:t>
      </w:r>
      <w:r w:rsidR="00D5235D" w:rsidRPr="00A72B96">
        <w:rPr>
          <w:rFonts w:asciiTheme="majorBidi" w:hAnsiTheme="majorBidi" w:cstheme="majorBidi"/>
          <w:sz w:val="24"/>
          <w:szCs w:val="24"/>
        </w:rPr>
        <w:t>Add to that</w:t>
      </w:r>
      <w:r w:rsidRPr="00A72B96">
        <w:rPr>
          <w:rFonts w:asciiTheme="majorBidi" w:hAnsiTheme="majorBidi" w:cstheme="majorBidi"/>
          <w:sz w:val="24"/>
          <w:szCs w:val="24"/>
        </w:rPr>
        <w:t xml:space="preserve">, </w:t>
      </w:r>
      <w:r w:rsidR="00D5235D" w:rsidRPr="00A72B96">
        <w:rPr>
          <w:rFonts w:asciiTheme="majorBidi" w:hAnsiTheme="majorBidi" w:cstheme="majorBidi"/>
          <w:sz w:val="24"/>
          <w:szCs w:val="24"/>
        </w:rPr>
        <w:t>GPNS seems to hav</w:t>
      </w:r>
      <w:r w:rsidR="00023199">
        <w:rPr>
          <w:rFonts w:asciiTheme="majorBidi" w:hAnsiTheme="majorBidi" w:cstheme="majorBidi"/>
          <w:sz w:val="24"/>
          <w:szCs w:val="24"/>
        </w:rPr>
        <w:t>e a positive effect on ROI, but</w:t>
      </w:r>
      <w:r w:rsidRPr="00A72B96">
        <w:rPr>
          <w:rFonts w:asciiTheme="majorBidi" w:hAnsiTheme="majorBidi" w:cstheme="majorBidi"/>
          <w:sz w:val="24"/>
          <w:szCs w:val="24"/>
        </w:rPr>
        <w:t xml:space="preserve"> </w:t>
      </w:r>
      <w:r w:rsidR="00D5235D" w:rsidRPr="00A72B96">
        <w:rPr>
          <w:rFonts w:asciiTheme="majorBidi" w:hAnsiTheme="majorBidi" w:cstheme="majorBidi"/>
          <w:sz w:val="24"/>
          <w:szCs w:val="24"/>
        </w:rPr>
        <w:t>more significant in productive sector. On the other hand, TI appears to have a positive and significant impact on ROI only in productive sector</w:t>
      </w:r>
      <w:r w:rsidR="007F6085" w:rsidRPr="00A72B96">
        <w:rPr>
          <w:rFonts w:asciiTheme="majorBidi" w:hAnsiTheme="majorBidi" w:cstheme="majorBidi"/>
          <w:sz w:val="24"/>
          <w:szCs w:val="24"/>
        </w:rPr>
        <w:t>. This can be explained as in service sector most of total investment is reflected in fixed assets which are not changed in the short run and may not contributes directly to the ROI, especially the study period covers only three years. With regard to ITR, it has only a significant positive impact on ROI in service sector, which reflects the level of activities in this sector</w:t>
      </w:r>
      <w:r w:rsidR="005015BB" w:rsidRPr="00A72B96">
        <w:rPr>
          <w:rFonts w:asciiTheme="majorBidi" w:hAnsiTheme="majorBidi" w:cstheme="majorBidi"/>
          <w:sz w:val="24"/>
          <w:szCs w:val="24"/>
        </w:rPr>
        <w:t xml:space="preserve"> which depends mainly on the inventory turnover</w:t>
      </w:r>
      <w:r w:rsidR="007F6085" w:rsidRPr="00A72B96">
        <w:rPr>
          <w:rFonts w:asciiTheme="majorBidi" w:hAnsiTheme="majorBidi" w:cstheme="majorBidi"/>
          <w:sz w:val="24"/>
          <w:szCs w:val="24"/>
        </w:rPr>
        <w:t>.</w:t>
      </w:r>
      <w:r w:rsidRPr="00A72B96">
        <w:rPr>
          <w:rFonts w:asciiTheme="majorBidi" w:hAnsiTheme="majorBidi" w:cstheme="majorBidi"/>
          <w:sz w:val="24"/>
          <w:szCs w:val="24"/>
        </w:rPr>
        <w:t xml:space="preserve"> </w:t>
      </w:r>
      <w:r w:rsidR="005015BB" w:rsidRPr="00A72B96">
        <w:rPr>
          <w:rFonts w:asciiTheme="majorBidi" w:hAnsiTheme="majorBidi" w:cstheme="majorBidi"/>
          <w:sz w:val="24"/>
          <w:szCs w:val="24"/>
        </w:rPr>
        <w:t>Conversely, TATR appear</w:t>
      </w:r>
      <w:r w:rsidR="00727D32">
        <w:rPr>
          <w:rFonts w:asciiTheme="majorBidi" w:hAnsiTheme="majorBidi" w:cstheme="majorBidi"/>
          <w:sz w:val="24"/>
          <w:szCs w:val="24"/>
        </w:rPr>
        <w:t>s</w:t>
      </w:r>
      <w:r w:rsidR="005015BB" w:rsidRPr="00A72B96">
        <w:rPr>
          <w:rFonts w:asciiTheme="majorBidi" w:hAnsiTheme="majorBidi" w:cstheme="majorBidi"/>
          <w:sz w:val="24"/>
          <w:szCs w:val="24"/>
        </w:rPr>
        <w:t xml:space="preserve"> to have a positive and significant effect on ROI only in productive sector as the activities of </w:t>
      </w:r>
      <w:r w:rsidR="00727D32">
        <w:rPr>
          <w:rFonts w:asciiTheme="majorBidi" w:hAnsiTheme="majorBidi" w:cstheme="majorBidi"/>
          <w:sz w:val="24"/>
          <w:szCs w:val="24"/>
        </w:rPr>
        <w:t>the productive sector</w:t>
      </w:r>
      <w:r w:rsidR="005015BB" w:rsidRPr="00A72B96">
        <w:rPr>
          <w:rFonts w:asciiTheme="majorBidi" w:hAnsiTheme="majorBidi" w:cstheme="majorBidi"/>
          <w:sz w:val="24"/>
          <w:szCs w:val="24"/>
        </w:rPr>
        <w:t xml:space="preserve"> are reflected mainly in total investment turnover.</w:t>
      </w:r>
    </w:p>
    <w:p w:rsidR="00E606F2" w:rsidRDefault="00EC632A" w:rsidP="00E606F2">
      <w:pPr>
        <w:bidi w:val="0"/>
        <w:spacing w:before="120" w:after="120" w:line="240" w:lineRule="auto"/>
        <w:jc w:val="both"/>
        <w:rPr>
          <w:rFonts w:asciiTheme="majorBidi" w:hAnsiTheme="majorBidi" w:cstheme="majorBidi"/>
          <w:color w:val="231F20"/>
          <w:sz w:val="24"/>
          <w:szCs w:val="24"/>
        </w:rPr>
      </w:pPr>
      <w:r w:rsidRPr="00A72B96">
        <w:rPr>
          <w:rFonts w:asciiTheme="majorBidi" w:hAnsiTheme="majorBidi" w:cstheme="majorBidi"/>
          <w:sz w:val="24"/>
          <w:szCs w:val="24"/>
        </w:rPr>
        <w:lastRenderedPageBreak/>
        <w:t xml:space="preserve">The second part of table </w:t>
      </w:r>
      <w:r w:rsidR="00A72B96">
        <w:rPr>
          <w:rFonts w:asciiTheme="majorBidi" w:hAnsiTheme="majorBidi" w:cstheme="majorBidi"/>
          <w:sz w:val="24"/>
          <w:szCs w:val="24"/>
        </w:rPr>
        <w:t>3</w:t>
      </w:r>
      <w:r w:rsidRPr="00A72B96">
        <w:rPr>
          <w:rFonts w:asciiTheme="majorBidi" w:hAnsiTheme="majorBidi" w:cstheme="majorBidi"/>
          <w:sz w:val="24"/>
          <w:szCs w:val="24"/>
        </w:rPr>
        <w:t xml:space="preserve"> depicts the determinants of ROI according to the age of firms. Again, DR has a negative and significant effect on ROI in both new and old firms, but more significa</w:t>
      </w:r>
      <w:r w:rsidR="00727D32">
        <w:rPr>
          <w:rFonts w:asciiTheme="majorBidi" w:hAnsiTheme="majorBidi" w:cstheme="majorBidi"/>
          <w:sz w:val="24"/>
          <w:szCs w:val="24"/>
        </w:rPr>
        <w:t>nt in old firms. Also, GPNS has</w:t>
      </w:r>
      <w:r w:rsidRPr="00A72B96">
        <w:rPr>
          <w:rFonts w:asciiTheme="majorBidi" w:hAnsiTheme="majorBidi" w:cstheme="majorBidi"/>
          <w:sz w:val="24"/>
          <w:szCs w:val="24"/>
        </w:rPr>
        <w:t xml:space="preserve"> a positive and significant effect on ROI in both</w:t>
      </w:r>
      <w:r w:rsidR="00727D32">
        <w:rPr>
          <w:rFonts w:asciiTheme="majorBidi" w:hAnsiTheme="majorBidi" w:cstheme="majorBidi"/>
          <w:sz w:val="24"/>
          <w:szCs w:val="24"/>
        </w:rPr>
        <w:t xml:space="preserve"> </w:t>
      </w:r>
      <w:r w:rsidR="00727D32" w:rsidRPr="00A72B96">
        <w:rPr>
          <w:rFonts w:asciiTheme="majorBidi" w:hAnsiTheme="majorBidi" w:cstheme="majorBidi"/>
          <w:sz w:val="24"/>
          <w:szCs w:val="24"/>
        </w:rPr>
        <w:t>new and old firms</w:t>
      </w:r>
      <w:r w:rsidRPr="00A72B96">
        <w:rPr>
          <w:rFonts w:asciiTheme="majorBidi" w:hAnsiTheme="majorBidi" w:cstheme="majorBidi"/>
          <w:sz w:val="24"/>
          <w:szCs w:val="24"/>
        </w:rPr>
        <w:t xml:space="preserve"> at 1% level of significance. However, LP seems to have a significant and positive effect </w:t>
      </w:r>
      <w:r w:rsidR="001E0B9D" w:rsidRPr="00A72B96">
        <w:rPr>
          <w:rFonts w:asciiTheme="majorBidi" w:hAnsiTheme="majorBidi" w:cstheme="majorBidi"/>
          <w:sz w:val="24"/>
          <w:szCs w:val="24"/>
        </w:rPr>
        <w:t xml:space="preserve">on ROI </w:t>
      </w:r>
      <w:r w:rsidRPr="00A72B96">
        <w:rPr>
          <w:rFonts w:asciiTheme="majorBidi" w:hAnsiTheme="majorBidi" w:cstheme="majorBidi"/>
          <w:sz w:val="24"/>
          <w:szCs w:val="24"/>
        </w:rPr>
        <w:t>only in new firm</w:t>
      </w:r>
      <w:r w:rsidR="00727D32">
        <w:rPr>
          <w:rFonts w:asciiTheme="majorBidi" w:hAnsiTheme="majorBidi" w:cstheme="majorBidi"/>
          <w:sz w:val="24"/>
          <w:szCs w:val="24"/>
        </w:rPr>
        <w:t>s</w:t>
      </w:r>
      <w:r w:rsidRPr="00A72B96">
        <w:rPr>
          <w:rFonts w:asciiTheme="majorBidi" w:hAnsiTheme="majorBidi" w:cstheme="majorBidi"/>
          <w:sz w:val="24"/>
          <w:szCs w:val="24"/>
        </w:rPr>
        <w:t xml:space="preserve"> and this </w:t>
      </w:r>
      <w:r w:rsidR="00E91F83">
        <w:rPr>
          <w:rFonts w:asciiTheme="majorBidi" w:hAnsiTheme="majorBidi" w:cstheme="majorBidi"/>
          <w:sz w:val="24"/>
          <w:szCs w:val="24"/>
        </w:rPr>
        <w:t>may be related to</w:t>
      </w:r>
      <w:r w:rsidRPr="00A72B96">
        <w:rPr>
          <w:rFonts w:asciiTheme="majorBidi" w:hAnsiTheme="majorBidi" w:cstheme="majorBidi"/>
          <w:sz w:val="24"/>
          <w:szCs w:val="24"/>
        </w:rPr>
        <w:t xml:space="preserve"> the new and modern technologies in these firms which result in increasing the productivity of labor. </w:t>
      </w:r>
      <w:r w:rsidR="009542D6" w:rsidRPr="00A72B96">
        <w:rPr>
          <w:rFonts w:asciiTheme="majorBidi" w:hAnsiTheme="majorBidi" w:cstheme="majorBidi"/>
          <w:sz w:val="24"/>
          <w:szCs w:val="24"/>
        </w:rPr>
        <w:t xml:space="preserve">Total investment on the other hand recoded a positive and significant impact on ROI only in old firms, as old firms are characterized by high level of capital accumulation due to their internal growth rate. As TATR is relatively high in new firms comparing to old firms, this factor seems to have a positive and significant effect only in new firms.  </w:t>
      </w:r>
      <w:r w:rsidR="006B1B6A" w:rsidRPr="00A72B96">
        <w:rPr>
          <w:rFonts w:asciiTheme="majorBidi" w:hAnsiTheme="majorBidi" w:cstheme="majorBidi"/>
          <w:sz w:val="24"/>
          <w:szCs w:val="24"/>
        </w:rPr>
        <w:t xml:space="preserve">In general, </w:t>
      </w:r>
      <w:r w:rsidR="006B1B6A" w:rsidRPr="00A72B96">
        <w:rPr>
          <w:rFonts w:asciiTheme="majorBidi" w:hAnsiTheme="majorBidi" w:cstheme="majorBidi"/>
          <w:color w:val="231F20"/>
          <w:sz w:val="24"/>
          <w:szCs w:val="24"/>
        </w:rPr>
        <w:t>Longer-established firms are expected to have developed an effective investment function and thus determinants of ROI tend to be significant in older firms.</w:t>
      </w:r>
    </w:p>
    <w:tbl>
      <w:tblPr>
        <w:tblStyle w:val="TableGrid"/>
        <w:tblW w:w="5000" w:type="pct"/>
        <w:tblLook w:val="04A0" w:firstRow="1" w:lastRow="0" w:firstColumn="1" w:lastColumn="0" w:noHBand="0" w:noVBand="1"/>
      </w:tblPr>
      <w:tblGrid>
        <w:gridCol w:w="1760"/>
        <w:gridCol w:w="1691"/>
        <w:gridCol w:w="1781"/>
        <w:gridCol w:w="1420"/>
        <w:gridCol w:w="1870"/>
      </w:tblGrid>
      <w:tr w:rsidR="00E606F2" w:rsidRPr="00FD25DA" w:rsidTr="00DD1078">
        <w:trPr>
          <w:trHeight w:val="283"/>
        </w:trPr>
        <w:tc>
          <w:tcPr>
            <w:tcW w:w="5000" w:type="pct"/>
            <w:gridSpan w:val="5"/>
            <w:tcBorders>
              <w:top w:val="nil"/>
              <w:left w:val="nil"/>
              <w:bottom w:val="nil"/>
              <w:right w:val="nil"/>
            </w:tcBorders>
            <w:shd w:val="clear" w:color="auto" w:fill="auto"/>
            <w:vAlign w:val="center"/>
          </w:tcPr>
          <w:p w:rsidR="00E606F2" w:rsidRPr="00E606F2" w:rsidRDefault="00E606F2" w:rsidP="00DD1078">
            <w:pPr>
              <w:bidi w:val="0"/>
              <w:spacing w:line="240" w:lineRule="exact"/>
              <w:ind w:left="851" w:hanging="851"/>
              <w:rPr>
                <w:rFonts w:asciiTheme="majorBidi" w:hAnsiTheme="majorBidi" w:cstheme="majorBidi"/>
                <w:sz w:val="24"/>
                <w:szCs w:val="24"/>
              </w:rPr>
            </w:pPr>
          </w:p>
          <w:p w:rsidR="00E606F2" w:rsidRPr="00FD25DA" w:rsidRDefault="00E606F2" w:rsidP="00E606F2">
            <w:pPr>
              <w:bidi w:val="0"/>
              <w:spacing w:after="240" w:line="240" w:lineRule="exact"/>
              <w:ind w:left="851" w:hanging="851"/>
              <w:jc w:val="center"/>
              <w:rPr>
                <w:rFonts w:asciiTheme="majorBidi" w:hAnsiTheme="majorBidi" w:cstheme="majorBidi"/>
                <w:sz w:val="24"/>
                <w:szCs w:val="24"/>
              </w:rPr>
            </w:pPr>
            <w:r w:rsidRPr="00E606F2">
              <w:rPr>
                <w:rFonts w:asciiTheme="majorBidi" w:hAnsiTheme="majorBidi" w:cstheme="majorBidi"/>
                <w:sz w:val="24"/>
                <w:szCs w:val="24"/>
              </w:rPr>
              <w:t>Table 3</w:t>
            </w:r>
            <w:r>
              <w:rPr>
                <w:rFonts w:asciiTheme="majorBidi" w:hAnsiTheme="majorBidi" w:cstheme="majorBidi"/>
                <w:sz w:val="24"/>
                <w:szCs w:val="24"/>
              </w:rPr>
              <w:t xml:space="preserve">: </w:t>
            </w:r>
            <w:r w:rsidRPr="00E606F2">
              <w:rPr>
                <w:rFonts w:asciiTheme="majorBidi" w:hAnsiTheme="majorBidi" w:cstheme="majorBidi"/>
                <w:sz w:val="24"/>
                <w:szCs w:val="24"/>
              </w:rPr>
              <w:t xml:space="preserve"> Determinants of ROI according to demographic characteristics of firms</w:t>
            </w:r>
          </w:p>
        </w:tc>
      </w:tr>
      <w:tr w:rsidR="00E606F2" w:rsidRPr="008735C8" w:rsidTr="00DD1078">
        <w:trPr>
          <w:trHeight w:val="283"/>
        </w:trPr>
        <w:tc>
          <w:tcPr>
            <w:tcW w:w="1033" w:type="pct"/>
            <w:vMerge w:val="restar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rPr>
                <w:rFonts w:asciiTheme="majorBidi" w:hAnsiTheme="majorBidi" w:cstheme="majorBidi"/>
                <w:b/>
                <w:bCs/>
                <w:sz w:val="24"/>
                <w:szCs w:val="24"/>
              </w:rPr>
            </w:pPr>
            <w:r w:rsidRPr="00E606F2">
              <w:rPr>
                <w:rFonts w:asciiTheme="majorBidi" w:hAnsiTheme="majorBidi" w:cstheme="majorBidi"/>
                <w:b/>
                <w:bCs/>
                <w:sz w:val="24"/>
                <w:szCs w:val="24"/>
              </w:rPr>
              <w:t>Variables</w:t>
            </w:r>
          </w:p>
        </w:tc>
        <w:tc>
          <w:tcPr>
            <w:tcW w:w="2037" w:type="pct"/>
            <w:gridSpan w:val="2"/>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Sector</w:t>
            </w:r>
          </w:p>
        </w:tc>
        <w:tc>
          <w:tcPr>
            <w:tcW w:w="1930" w:type="pct"/>
            <w:gridSpan w:val="2"/>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Age</w:t>
            </w:r>
          </w:p>
        </w:tc>
      </w:tr>
      <w:tr w:rsidR="00E606F2" w:rsidRPr="008735C8" w:rsidTr="00DD1078">
        <w:trPr>
          <w:trHeight w:val="283"/>
        </w:trPr>
        <w:tc>
          <w:tcPr>
            <w:tcW w:w="1033" w:type="pct"/>
            <w:vMerge/>
            <w:tcBorders>
              <w:top w:val="nil"/>
              <w:left w:val="nil"/>
              <w:bottom w:val="single" w:sz="12" w:space="0" w:color="auto"/>
              <w:right w:val="nil"/>
            </w:tcBorders>
            <w:shd w:val="clear" w:color="auto" w:fill="auto"/>
            <w:vAlign w:val="center"/>
          </w:tcPr>
          <w:p w:rsidR="00E606F2" w:rsidRPr="00E606F2" w:rsidRDefault="00E606F2" w:rsidP="00DD1078">
            <w:pPr>
              <w:bidi w:val="0"/>
              <w:spacing w:line="240" w:lineRule="exact"/>
              <w:rPr>
                <w:rFonts w:asciiTheme="majorBidi" w:hAnsiTheme="majorBidi" w:cstheme="majorBidi"/>
                <w:b/>
                <w:bCs/>
                <w:sz w:val="24"/>
                <w:szCs w:val="24"/>
              </w:rPr>
            </w:pPr>
          </w:p>
        </w:tc>
        <w:tc>
          <w:tcPr>
            <w:tcW w:w="992" w:type="pc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Service</w:t>
            </w:r>
          </w:p>
        </w:tc>
        <w:tc>
          <w:tcPr>
            <w:tcW w:w="1045" w:type="pc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Productive</w:t>
            </w:r>
          </w:p>
        </w:tc>
        <w:tc>
          <w:tcPr>
            <w:tcW w:w="833" w:type="pc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 25</w:t>
            </w:r>
          </w:p>
        </w:tc>
        <w:tc>
          <w:tcPr>
            <w:tcW w:w="1097" w:type="pc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&gt;25</w:t>
            </w:r>
          </w:p>
        </w:tc>
      </w:tr>
      <w:tr w:rsidR="00E606F2" w:rsidRPr="00FD25DA" w:rsidTr="00DD1078">
        <w:trPr>
          <w:trHeight w:val="283"/>
        </w:trPr>
        <w:tc>
          <w:tcPr>
            <w:tcW w:w="1033" w:type="pct"/>
            <w:tcBorders>
              <w:top w:val="single" w:sz="12" w:space="0" w:color="auto"/>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Constant</w:t>
            </w:r>
          </w:p>
        </w:tc>
        <w:tc>
          <w:tcPr>
            <w:tcW w:w="992" w:type="pct"/>
            <w:tcBorders>
              <w:top w:val="single" w:sz="12" w:space="0" w:color="auto"/>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F2211C">
              <w:rPr>
                <w:rFonts w:asciiTheme="majorBidi" w:eastAsia="Times New Roman" w:hAnsiTheme="majorBidi" w:cstheme="majorBidi"/>
                <w:sz w:val="24"/>
                <w:szCs w:val="24"/>
              </w:rPr>
              <w:t>.0</w:t>
            </w:r>
            <w:r>
              <w:rPr>
                <w:rFonts w:asciiTheme="majorBidi" w:eastAsia="Times New Roman" w:hAnsiTheme="majorBidi" w:cstheme="majorBidi"/>
                <w:sz w:val="24"/>
                <w:szCs w:val="24"/>
              </w:rPr>
              <w:t>4</w:t>
            </w:r>
          </w:p>
        </w:tc>
        <w:tc>
          <w:tcPr>
            <w:tcW w:w="1045" w:type="pct"/>
            <w:tcBorders>
              <w:top w:val="single" w:sz="12" w:space="0" w:color="auto"/>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-0.84</w:t>
            </w:r>
          </w:p>
        </w:tc>
        <w:tc>
          <w:tcPr>
            <w:tcW w:w="833" w:type="pct"/>
            <w:tcBorders>
              <w:top w:val="single" w:sz="12" w:space="0" w:color="auto"/>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w:t>
            </w:r>
            <w:r w:rsidRPr="00FD25DA">
              <w:rPr>
                <w:rFonts w:asciiTheme="majorBidi" w:eastAsia="Times New Roman" w:hAnsiTheme="majorBidi" w:cstheme="majorBidi"/>
                <w:sz w:val="24"/>
                <w:szCs w:val="24"/>
              </w:rPr>
              <w:t>.</w:t>
            </w:r>
            <w:r>
              <w:rPr>
                <w:rFonts w:asciiTheme="majorBidi" w:eastAsia="Times New Roman" w:hAnsiTheme="majorBidi" w:cstheme="majorBidi"/>
                <w:sz w:val="24"/>
                <w:szCs w:val="24"/>
              </w:rPr>
              <w:t>43</w:t>
            </w:r>
          </w:p>
        </w:tc>
        <w:tc>
          <w:tcPr>
            <w:tcW w:w="1097" w:type="pct"/>
            <w:tcBorders>
              <w:top w:val="single" w:sz="12" w:space="0" w:color="auto"/>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w:t>
            </w:r>
            <w:r w:rsidRPr="00FD25DA">
              <w:rPr>
                <w:rFonts w:asciiTheme="majorBidi" w:eastAsia="Times New Roman" w:hAnsiTheme="majorBidi" w:cstheme="majorBidi"/>
                <w:sz w:val="24"/>
                <w:szCs w:val="24"/>
              </w:rPr>
              <w:t>.</w:t>
            </w:r>
            <w:r>
              <w:rPr>
                <w:rFonts w:asciiTheme="majorBidi" w:eastAsia="Times New Roman" w:hAnsiTheme="majorBidi" w:cstheme="majorBidi"/>
                <w:sz w:val="24"/>
                <w:szCs w:val="24"/>
              </w:rPr>
              <w:t>22</w:t>
            </w:r>
            <w:r w:rsidRPr="006A326C">
              <w:rPr>
                <w:rFonts w:asciiTheme="majorBidi" w:eastAsia="Times New Roman" w:hAnsiTheme="majorBidi" w:cstheme="majorBidi"/>
                <w:sz w:val="24"/>
                <w:szCs w:val="24"/>
                <w:vertAlign w:val="superscript"/>
              </w:rPr>
              <w:t>*</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Pr="00FD25DA"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(0.73)</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(-0.52)</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(0.18)</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(2.21)</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LP</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0.0</w:t>
            </w:r>
            <w:r>
              <w:rPr>
                <w:rFonts w:asciiTheme="majorBidi" w:eastAsia="Times New Roman" w:hAnsiTheme="majorBidi" w:cstheme="majorBidi"/>
                <w:sz w:val="24"/>
                <w:szCs w:val="24"/>
              </w:rPr>
              <w:t>1</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r w:rsidRPr="006A326C">
              <w:rPr>
                <w:rFonts w:asciiTheme="majorBidi" w:eastAsia="Times New Roman" w:hAnsiTheme="majorBidi" w:cstheme="majorBidi"/>
                <w:sz w:val="24"/>
                <w:szCs w:val="24"/>
                <w:vertAlign w:val="superscript"/>
              </w:rPr>
              <w:t>**</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-0.0</w:t>
            </w:r>
            <w:r>
              <w:rPr>
                <w:rFonts w:asciiTheme="majorBidi" w:eastAsia="Times New Roman" w:hAnsiTheme="majorBidi" w:cstheme="majorBidi"/>
                <w:sz w:val="24"/>
                <w:szCs w:val="24"/>
              </w:rPr>
              <w:t>1</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Pr="00FD25DA"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(1.88)</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(0.89)</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Pr="00FD25DA">
              <w:rPr>
                <w:rFonts w:asciiTheme="majorBidi" w:eastAsia="Times New Roman" w:hAnsiTheme="majorBidi" w:cstheme="majorBidi"/>
                <w:sz w:val="24"/>
                <w:szCs w:val="24"/>
              </w:rPr>
              <w:t>2.</w:t>
            </w:r>
            <w:r>
              <w:rPr>
                <w:rFonts w:asciiTheme="majorBidi" w:eastAsia="Times New Roman" w:hAnsiTheme="majorBidi" w:cstheme="majorBidi"/>
                <w:sz w:val="24"/>
                <w:szCs w:val="24"/>
              </w:rPr>
              <w:t>68)</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(-1.29)</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DR</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- 0.13</w:t>
            </w:r>
            <w:r w:rsidRPr="004A6542">
              <w:rPr>
                <w:rFonts w:asciiTheme="majorBidi" w:eastAsia="Times New Roman" w:hAnsiTheme="majorBidi" w:cstheme="majorBidi"/>
                <w:sz w:val="24"/>
                <w:szCs w:val="24"/>
                <w:vertAlign w:val="superscript"/>
              </w:rPr>
              <w:t>**</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-0.10</w:t>
            </w:r>
            <w:r w:rsidRPr="004A6542">
              <w:rPr>
                <w:rFonts w:asciiTheme="majorBidi" w:eastAsia="Times New Roman" w:hAnsiTheme="majorBidi" w:cstheme="majorBidi"/>
                <w:sz w:val="24"/>
                <w:szCs w:val="24"/>
                <w:vertAlign w:val="superscript"/>
              </w:rPr>
              <w:t>**</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FD25DA">
              <w:rPr>
                <w:rFonts w:asciiTheme="majorBidi" w:eastAsia="Times New Roman" w:hAnsiTheme="majorBidi" w:cstheme="majorBidi"/>
                <w:sz w:val="24"/>
                <w:szCs w:val="24"/>
              </w:rPr>
              <w:t>0.1</w:t>
            </w:r>
            <w:r>
              <w:rPr>
                <w:rFonts w:asciiTheme="majorBidi" w:eastAsia="Times New Roman" w:hAnsiTheme="majorBidi" w:cstheme="majorBidi"/>
                <w:sz w:val="24"/>
                <w:szCs w:val="24"/>
              </w:rPr>
              <w:t>3</w:t>
            </w:r>
            <w:r w:rsidRPr="006A326C">
              <w:rPr>
                <w:rFonts w:asciiTheme="majorBidi" w:eastAsia="Times New Roman" w:hAnsiTheme="majorBidi" w:cstheme="majorBidi"/>
                <w:sz w:val="24"/>
                <w:szCs w:val="24"/>
                <w:vertAlign w:val="superscript"/>
              </w:rPr>
              <w:t>*</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-0.1</w:t>
            </w:r>
            <w:r>
              <w:rPr>
                <w:rFonts w:asciiTheme="majorBidi" w:eastAsia="Times New Roman" w:hAnsiTheme="majorBidi" w:cstheme="majorBidi"/>
                <w:sz w:val="24"/>
                <w:szCs w:val="24"/>
              </w:rPr>
              <w:t>1</w:t>
            </w:r>
            <w:r w:rsidRPr="006A326C">
              <w:rPr>
                <w:rFonts w:asciiTheme="majorBidi" w:eastAsia="Times New Roman" w:hAnsiTheme="majorBidi" w:cstheme="majorBidi"/>
                <w:sz w:val="24"/>
                <w:szCs w:val="24"/>
                <w:vertAlign w:val="superscript"/>
              </w:rPr>
              <w:t>**</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(-4.00)</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(-2.95)</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(-2.10)</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Pr="00FD25DA">
              <w:rPr>
                <w:rFonts w:asciiTheme="majorBidi" w:eastAsia="Times New Roman" w:hAnsiTheme="majorBidi" w:cstheme="majorBidi"/>
                <w:sz w:val="24"/>
                <w:szCs w:val="24"/>
              </w:rPr>
              <w:t>-4.</w:t>
            </w:r>
            <w:r>
              <w:rPr>
                <w:rFonts w:asciiTheme="majorBidi" w:eastAsia="Times New Roman" w:hAnsiTheme="majorBidi" w:cstheme="majorBidi"/>
                <w:sz w:val="24"/>
                <w:szCs w:val="24"/>
              </w:rPr>
              <w:t>15)</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GPNS</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13</w:t>
            </w:r>
            <w:r w:rsidRPr="00F2211C">
              <w:rPr>
                <w:rFonts w:asciiTheme="majorBidi" w:eastAsia="Times New Roman" w:hAnsiTheme="majorBidi" w:cstheme="majorBidi"/>
                <w:sz w:val="24"/>
                <w:szCs w:val="24"/>
              </w:rPr>
              <w:t>.</w:t>
            </w:r>
            <w:r>
              <w:rPr>
                <w:rFonts w:asciiTheme="majorBidi" w:eastAsia="Times New Roman" w:hAnsiTheme="majorBidi" w:cstheme="majorBidi"/>
                <w:sz w:val="24"/>
                <w:szCs w:val="24"/>
              </w:rPr>
              <w:t>29</w:t>
            </w:r>
            <w:r w:rsidRPr="004A6542">
              <w:rPr>
                <w:rFonts w:asciiTheme="majorBidi" w:eastAsia="Times New Roman" w:hAnsiTheme="majorBidi" w:cstheme="majorBidi"/>
                <w:sz w:val="24"/>
                <w:szCs w:val="24"/>
                <w:vertAlign w:val="superscript"/>
              </w:rPr>
              <w:t>*</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11.70</w:t>
            </w:r>
            <w:r w:rsidRPr="004A6542">
              <w:rPr>
                <w:rFonts w:asciiTheme="majorBidi" w:eastAsia="Times New Roman" w:hAnsiTheme="majorBidi" w:cstheme="majorBidi"/>
                <w:sz w:val="24"/>
                <w:szCs w:val="24"/>
                <w:vertAlign w:val="superscript"/>
              </w:rPr>
              <w:t>**</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1</w:t>
            </w:r>
            <w:r>
              <w:rPr>
                <w:rFonts w:asciiTheme="majorBidi" w:eastAsia="Times New Roman" w:hAnsiTheme="majorBidi" w:cstheme="majorBidi"/>
                <w:sz w:val="24"/>
                <w:szCs w:val="24"/>
              </w:rPr>
              <w:t>0</w:t>
            </w:r>
            <w:r w:rsidRPr="00FD25DA">
              <w:rPr>
                <w:rFonts w:asciiTheme="majorBidi" w:eastAsia="Times New Roman" w:hAnsiTheme="majorBidi" w:cstheme="majorBidi"/>
                <w:sz w:val="24"/>
                <w:szCs w:val="24"/>
              </w:rPr>
              <w:t>.</w:t>
            </w:r>
            <w:r>
              <w:rPr>
                <w:rFonts w:asciiTheme="majorBidi" w:eastAsia="Times New Roman" w:hAnsiTheme="majorBidi" w:cstheme="majorBidi"/>
                <w:sz w:val="24"/>
                <w:szCs w:val="24"/>
              </w:rPr>
              <w:t>30</w:t>
            </w:r>
            <w:r w:rsidRPr="006A326C">
              <w:rPr>
                <w:rFonts w:asciiTheme="majorBidi" w:eastAsia="Times New Roman" w:hAnsiTheme="majorBidi" w:cstheme="majorBidi"/>
                <w:sz w:val="24"/>
                <w:szCs w:val="24"/>
                <w:vertAlign w:val="superscript"/>
              </w:rPr>
              <w:t>**</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12</w:t>
            </w:r>
            <w:r w:rsidRPr="00FD25DA">
              <w:rPr>
                <w:rFonts w:asciiTheme="majorBidi" w:eastAsia="Times New Roman" w:hAnsiTheme="majorBidi" w:cstheme="majorBidi"/>
                <w:sz w:val="24"/>
                <w:szCs w:val="24"/>
              </w:rPr>
              <w:t>.78</w:t>
            </w:r>
            <w:r w:rsidRPr="006A326C">
              <w:rPr>
                <w:rFonts w:asciiTheme="majorBidi" w:eastAsia="Times New Roman" w:hAnsiTheme="majorBidi" w:cstheme="majorBidi"/>
                <w:sz w:val="24"/>
                <w:szCs w:val="24"/>
                <w:vertAlign w:val="superscript"/>
              </w:rPr>
              <w:t>**</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(2.27)</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(5.27)</w:t>
            </w:r>
          </w:p>
        </w:tc>
        <w:tc>
          <w:tcPr>
            <w:tcW w:w="833" w:type="pct"/>
            <w:tcBorders>
              <w:top w:val="nil"/>
              <w:left w:val="nil"/>
              <w:bottom w:val="nil"/>
              <w:right w:val="nil"/>
            </w:tcBorders>
            <w:vAlign w:val="center"/>
          </w:tcPr>
          <w:p w:rsidR="00E606F2"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(3.79)</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(3.91)</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TI</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sidRPr="00F2211C">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F2211C">
              <w:rPr>
                <w:rFonts w:asciiTheme="majorBidi" w:eastAsia="Times New Roman" w:hAnsiTheme="majorBidi" w:cstheme="majorBidi"/>
                <w:sz w:val="24"/>
                <w:szCs w:val="24"/>
              </w:rPr>
              <w:t>0.1</w:t>
            </w:r>
            <w:r>
              <w:rPr>
                <w:rFonts w:asciiTheme="majorBidi" w:eastAsia="Times New Roman" w:hAnsiTheme="majorBidi" w:cstheme="majorBidi"/>
                <w:sz w:val="24"/>
                <w:szCs w:val="24"/>
              </w:rPr>
              <w:t>5</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0.85</w:t>
            </w:r>
            <w:r w:rsidRPr="004A6542">
              <w:rPr>
                <w:rFonts w:asciiTheme="majorBidi" w:eastAsia="Times New Roman" w:hAnsiTheme="majorBidi" w:cstheme="majorBidi"/>
                <w:sz w:val="24"/>
                <w:szCs w:val="24"/>
                <w:vertAlign w:val="superscript"/>
              </w:rPr>
              <w:t>**</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0.0</w:t>
            </w:r>
            <w:r>
              <w:rPr>
                <w:rFonts w:asciiTheme="majorBidi" w:eastAsia="Times New Roman" w:hAnsiTheme="majorBidi" w:cstheme="majorBidi"/>
                <w:sz w:val="24"/>
                <w:szCs w:val="24"/>
              </w:rPr>
              <w:t>6</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0.</w:t>
            </w:r>
            <w:r>
              <w:rPr>
                <w:rFonts w:asciiTheme="majorBidi" w:eastAsia="Times New Roman" w:hAnsiTheme="majorBidi" w:cstheme="majorBidi"/>
                <w:sz w:val="24"/>
                <w:szCs w:val="24"/>
              </w:rPr>
              <w:t>76</w:t>
            </w:r>
            <w:r w:rsidRPr="006A326C">
              <w:rPr>
                <w:rFonts w:asciiTheme="majorBidi" w:eastAsia="Times New Roman" w:hAnsiTheme="majorBidi" w:cstheme="majorBidi"/>
                <w:sz w:val="24"/>
                <w:szCs w:val="24"/>
                <w:vertAlign w:val="superscript"/>
              </w:rPr>
              <w:t>**</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(-1.17)</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(9.66)</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(0.30)</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(8.27)</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ITR</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sidRPr="00F2211C">
              <w:rPr>
                <w:rFonts w:asciiTheme="majorBidi" w:eastAsia="Times New Roman" w:hAnsiTheme="majorBidi" w:cstheme="majorBidi"/>
                <w:sz w:val="24"/>
                <w:szCs w:val="24"/>
              </w:rPr>
              <w:t>0.</w:t>
            </w:r>
            <w:r>
              <w:rPr>
                <w:rFonts w:asciiTheme="majorBidi" w:eastAsia="Times New Roman" w:hAnsiTheme="majorBidi" w:cstheme="majorBidi"/>
                <w:sz w:val="24"/>
                <w:szCs w:val="24"/>
              </w:rPr>
              <w:t>18</w:t>
            </w:r>
            <w:r w:rsidRPr="004A6542">
              <w:rPr>
                <w:rFonts w:asciiTheme="majorBidi" w:eastAsia="Times New Roman" w:hAnsiTheme="majorBidi" w:cstheme="majorBidi"/>
                <w:sz w:val="24"/>
                <w:szCs w:val="24"/>
                <w:vertAlign w:val="superscript"/>
              </w:rPr>
              <w:t>*</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FD25DA">
              <w:rPr>
                <w:rFonts w:asciiTheme="majorBidi" w:eastAsia="Times New Roman" w:hAnsiTheme="majorBidi" w:cstheme="majorBidi"/>
                <w:sz w:val="24"/>
                <w:szCs w:val="24"/>
              </w:rPr>
              <w:t>0.0</w:t>
            </w:r>
            <w:r>
              <w:rPr>
                <w:rFonts w:asciiTheme="majorBidi" w:eastAsia="Times New Roman" w:hAnsiTheme="majorBidi" w:cstheme="majorBidi"/>
                <w:sz w:val="24"/>
                <w:szCs w:val="24"/>
              </w:rPr>
              <w:t>1</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0.06</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(2.02)</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(-0.41)</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(-0.35)</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(0.47)</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TATR</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0.10</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7.90</w:t>
            </w:r>
            <w:r w:rsidRPr="004A6542">
              <w:rPr>
                <w:rFonts w:asciiTheme="majorBidi" w:eastAsia="Times New Roman" w:hAnsiTheme="majorBidi" w:cstheme="majorBidi"/>
                <w:sz w:val="24"/>
                <w:szCs w:val="24"/>
                <w:vertAlign w:val="superscript"/>
              </w:rPr>
              <w:t>**</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w:t>
            </w:r>
            <w:r w:rsidRPr="00FD25DA">
              <w:rPr>
                <w:rFonts w:asciiTheme="majorBidi" w:eastAsia="Times New Roman" w:hAnsiTheme="majorBidi" w:cstheme="majorBidi"/>
                <w:sz w:val="24"/>
                <w:szCs w:val="24"/>
              </w:rPr>
              <w:t>.</w:t>
            </w:r>
            <w:r>
              <w:rPr>
                <w:rFonts w:asciiTheme="majorBidi" w:eastAsia="Times New Roman" w:hAnsiTheme="majorBidi" w:cstheme="majorBidi"/>
                <w:sz w:val="24"/>
                <w:szCs w:val="24"/>
              </w:rPr>
              <w:t>02</w:t>
            </w:r>
            <w:r w:rsidRPr="006A326C">
              <w:rPr>
                <w:rFonts w:asciiTheme="majorBidi" w:eastAsia="Times New Roman" w:hAnsiTheme="majorBidi" w:cstheme="majorBidi"/>
                <w:sz w:val="24"/>
                <w:szCs w:val="24"/>
                <w:vertAlign w:val="superscript"/>
              </w:rPr>
              <w:t>**</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sidRPr="00FD25DA">
              <w:rPr>
                <w:rFonts w:asciiTheme="majorBidi" w:eastAsia="Times New Roman" w:hAnsiTheme="majorBidi" w:cstheme="majorBidi"/>
                <w:sz w:val="24"/>
                <w:szCs w:val="24"/>
              </w:rPr>
              <w:t>-0.0</w:t>
            </w:r>
            <w:r>
              <w:rPr>
                <w:rFonts w:asciiTheme="majorBidi" w:eastAsia="Times New Roman" w:hAnsiTheme="majorBidi" w:cstheme="majorBidi"/>
                <w:sz w:val="24"/>
                <w:szCs w:val="24"/>
              </w:rPr>
              <w:t>2</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(0.59)</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(5.20)</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(3.30)</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(-0.08)</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Pr>
                <w:rFonts w:asciiTheme="majorBidi" w:hAnsiTheme="majorBidi" w:cstheme="majorBidi"/>
                <w:sz w:val="24"/>
                <w:szCs w:val="24"/>
              </w:rPr>
              <w:t>R</w:t>
            </w:r>
            <w:r w:rsidRPr="00A60EBC">
              <w:rPr>
                <w:rFonts w:asciiTheme="majorBidi" w:hAnsiTheme="majorBidi" w:cstheme="majorBidi"/>
                <w:sz w:val="24"/>
                <w:szCs w:val="24"/>
                <w:vertAlign w:val="superscript"/>
              </w:rPr>
              <w:t>2</w:t>
            </w: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0.865</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0.333</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0.345</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0.415</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Wald chi</w:t>
            </w:r>
            <w:r w:rsidRPr="00FD25DA">
              <w:rPr>
                <w:rFonts w:asciiTheme="majorBidi" w:hAnsiTheme="majorBidi" w:cstheme="majorBidi"/>
                <w:sz w:val="24"/>
                <w:szCs w:val="24"/>
                <w:vertAlign w:val="superscript"/>
              </w:rPr>
              <w:t>2</w:t>
            </w: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104.34</w:t>
            </w:r>
            <w:r w:rsidRPr="004A6542">
              <w:rPr>
                <w:rFonts w:asciiTheme="majorBidi" w:eastAsia="Times New Roman" w:hAnsiTheme="majorBidi" w:cstheme="majorBidi"/>
                <w:sz w:val="24"/>
                <w:szCs w:val="24"/>
                <w:vertAlign w:val="superscript"/>
              </w:rPr>
              <w:t>**</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142.19</w:t>
            </w:r>
            <w:r w:rsidRPr="004A6542">
              <w:rPr>
                <w:rFonts w:asciiTheme="majorBidi" w:eastAsia="Times New Roman" w:hAnsiTheme="majorBidi" w:cstheme="majorBidi"/>
                <w:sz w:val="24"/>
                <w:szCs w:val="24"/>
                <w:vertAlign w:val="superscript"/>
              </w:rPr>
              <w:t>**</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141.43</w:t>
            </w:r>
            <w:r w:rsidRPr="006A326C">
              <w:rPr>
                <w:rFonts w:asciiTheme="majorBidi" w:eastAsia="Times New Roman" w:hAnsiTheme="majorBidi" w:cstheme="majorBidi"/>
                <w:sz w:val="24"/>
                <w:szCs w:val="24"/>
                <w:vertAlign w:val="superscript"/>
              </w:rPr>
              <w:t>**</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129.04</w:t>
            </w:r>
            <w:r w:rsidRPr="006A326C">
              <w:rPr>
                <w:rFonts w:asciiTheme="majorBidi" w:eastAsia="Times New Roman" w:hAnsiTheme="majorBidi" w:cstheme="majorBidi"/>
                <w:sz w:val="24"/>
                <w:szCs w:val="24"/>
                <w:vertAlign w:val="superscript"/>
              </w:rPr>
              <w:t>**</w:t>
            </w:r>
          </w:p>
        </w:tc>
      </w:tr>
      <w:tr w:rsidR="00E606F2" w:rsidRPr="00FD25DA" w:rsidTr="00DD1078">
        <w:trPr>
          <w:trHeight w:val="283"/>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Pr>
                <w:rFonts w:asciiTheme="majorBidi" w:hAnsiTheme="majorBidi" w:cstheme="majorBidi"/>
                <w:sz w:val="24"/>
                <w:szCs w:val="24"/>
              </w:rPr>
              <w:t>N. of Obs.</w:t>
            </w: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45</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189</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81</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153</w:t>
            </w:r>
          </w:p>
        </w:tc>
      </w:tr>
      <w:tr w:rsidR="00E606F2" w:rsidRPr="00FD25DA" w:rsidTr="00DD1078">
        <w:trPr>
          <w:trHeight w:val="283"/>
        </w:trPr>
        <w:tc>
          <w:tcPr>
            <w:tcW w:w="5000" w:type="pct"/>
            <w:gridSpan w:val="5"/>
            <w:tcBorders>
              <w:top w:val="single" w:sz="12" w:space="0" w:color="auto"/>
              <w:left w:val="nil"/>
              <w:bottom w:val="nil"/>
              <w:right w:val="nil"/>
            </w:tcBorders>
            <w:shd w:val="clear" w:color="auto" w:fill="auto"/>
            <w:vAlign w:val="center"/>
          </w:tcPr>
          <w:p w:rsidR="00E606F2" w:rsidRPr="004A6542" w:rsidRDefault="00E606F2" w:rsidP="00DD1078">
            <w:pPr>
              <w:autoSpaceDE w:val="0"/>
              <w:autoSpaceDN w:val="0"/>
              <w:bidi w:val="0"/>
              <w:adjustRightInd w:val="0"/>
              <w:rPr>
                <w:rFonts w:ascii="Times New Roman" w:hAnsi="Times New Roman" w:cs="Times New Roman"/>
                <w:sz w:val="20"/>
                <w:szCs w:val="20"/>
              </w:rPr>
            </w:pPr>
            <w:r w:rsidRPr="004A6542">
              <w:rPr>
                <w:rFonts w:asciiTheme="majorBidi" w:hAnsiTheme="majorBidi" w:cstheme="majorBidi"/>
                <w:sz w:val="20"/>
                <w:szCs w:val="20"/>
              </w:rPr>
              <w:t xml:space="preserve">Note: </w:t>
            </w:r>
            <w:r w:rsidRPr="004A6542">
              <w:rPr>
                <w:rFonts w:ascii="Times New Roman" w:hAnsi="Times New Roman" w:cs="Times New Roman"/>
                <w:sz w:val="20"/>
                <w:szCs w:val="20"/>
              </w:rPr>
              <w:t>The t-ratios are in parentheses</w:t>
            </w:r>
          </w:p>
          <w:p w:rsidR="00E606F2" w:rsidRPr="00FD25DA" w:rsidRDefault="00E606F2" w:rsidP="00DD1078">
            <w:pPr>
              <w:bidi w:val="0"/>
              <w:spacing w:line="240" w:lineRule="exact"/>
              <w:rPr>
                <w:rFonts w:asciiTheme="majorBidi" w:hAnsiTheme="majorBidi" w:cstheme="majorBidi"/>
                <w:sz w:val="24"/>
                <w:szCs w:val="24"/>
                <w:vertAlign w:val="superscript"/>
              </w:rPr>
            </w:pPr>
            <w:r>
              <w:rPr>
                <w:rFonts w:asciiTheme="majorBidi" w:hAnsiTheme="majorBidi" w:cstheme="majorBidi"/>
                <w:sz w:val="20"/>
                <w:szCs w:val="20"/>
              </w:rPr>
              <w:t xml:space="preserve">       </w:t>
            </w:r>
            <w:r w:rsidRPr="004A6542">
              <w:rPr>
                <w:rFonts w:asciiTheme="majorBidi" w:hAnsiTheme="majorBidi" w:cstheme="majorBidi"/>
                <w:sz w:val="20"/>
                <w:szCs w:val="20"/>
              </w:rPr>
              <w:t xml:space="preserve">  * significant at 5%, ** significant at 1%</w:t>
            </w:r>
          </w:p>
        </w:tc>
      </w:tr>
    </w:tbl>
    <w:p w:rsidR="00E606F2" w:rsidRDefault="00E606F2" w:rsidP="00E606F2">
      <w:pPr>
        <w:autoSpaceDE w:val="0"/>
        <w:autoSpaceDN w:val="0"/>
        <w:bidi w:val="0"/>
        <w:adjustRightInd w:val="0"/>
        <w:spacing w:after="0" w:line="240" w:lineRule="auto"/>
        <w:jc w:val="center"/>
        <w:rPr>
          <w:rFonts w:asciiTheme="majorBidi" w:hAnsiTheme="majorBidi" w:cstheme="majorBidi"/>
          <w:color w:val="231F20"/>
          <w:sz w:val="24"/>
          <w:szCs w:val="24"/>
        </w:rPr>
      </w:pPr>
    </w:p>
    <w:p w:rsidR="002F34F8" w:rsidRDefault="007A7939" w:rsidP="00E606F2">
      <w:pPr>
        <w:bidi w:val="0"/>
        <w:spacing w:before="120" w:after="120" w:line="240" w:lineRule="auto"/>
        <w:jc w:val="both"/>
        <w:rPr>
          <w:rFonts w:asciiTheme="majorBidi" w:hAnsiTheme="majorBidi" w:cstheme="majorBidi"/>
          <w:sz w:val="24"/>
          <w:szCs w:val="24"/>
        </w:rPr>
      </w:pPr>
      <w:r w:rsidRPr="007A7939">
        <w:rPr>
          <w:rFonts w:asciiTheme="majorBidi" w:hAnsiTheme="majorBidi" w:cstheme="majorBidi"/>
          <w:sz w:val="24"/>
          <w:szCs w:val="24"/>
        </w:rPr>
        <w:t>Table (</w:t>
      </w:r>
      <w:r w:rsidR="00A72B96">
        <w:rPr>
          <w:rFonts w:asciiTheme="majorBidi" w:hAnsiTheme="majorBidi" w:cstheme="majorBidi"/>
          <w:sz w:val="24"/>
          <w:szCs w:val="24"/>
        </w:rPr>
        <w:t>4</w:t>
      </w:r>
      <w:r w:rsidRPr="007A7939">
        <w:rPr>
          <w:rFonts w:asciiTheme="majorBidi" w:hAnsiTheme="majorBidi" w:cstheme="majorBidi"/>
          <w:sz w:val="24"/>
          <w:szCs w:val="24"/>
        </w:rPr>
        <w:t>) summarizes</w:t>
      </w:r>
      <w:r w:rsidR="00E91F83">
        <w:rPr>
          <w:rFonts w:asciiTheme="majorBidi" w:hAnsiTheme="majorBidi" w:cstheme="majorBidi"/>
          <w:sz w:val="24"/>
          <w:szCs w:val="24"/>
        </w:rPr>
        <w:t xml:space="preserve"> the</w:t>
      </w:r>
      <w:r w:rsidRPr="007A7939">
        <w:rPr>
          <w:rFonts w:asciiTheme="majorBidi" w:hAnsiTheme="majorBidi" w:cstheme="majorBidi"/>
          <w:sz w:val="24"/>
          <w:szCs w:val="24"/>
        </w:rPr>
        <w:t xml:space="preserve"> </w:t>
      </w:r>
      <w:r>
        <w:rPr>
          <w:rFonts w:asciiTheme="majorBidi" w:hAnsiTheme="majorBidi" w:cstheme="majorBidi"/>
          <w:sz w:val="24"/>
          <w:szCs w:val="24"/>
        </w:rPr>
        <w:t>determinants of ROI according to financial and operating risk measured by leverage.</w:t>
      </w:r>
      <w:r w:rsidR="000F7457">
        <w:rPr>
          <w:rFonts w:asciiTheme="majorBidi" w:hAnsiTheme="majorBidi" w:cstheme="majorBidi"/>
          <w:sz w:val="24"/>
          <w:szCs w:val="24"/>
        </w:rPr>
        <w:t xml:space="preserve"> Operating leverage is calculated by the growth rate of operating profit to </w:t>
      </w:r>
      <w:r w:rsidR="00E91F83">
        <w:rPr>
          <w:rFonts w:asciiTheme="majorBidi" w:hAnsiTheme="majorBidi" w:cstheme="majorBidi"/>
          <w:sz w:val="24"/>
          <w:szCs w:val="24"/>
        </w:rPr>
        <w:t xml:space="preserve">the </w:t>
      </w:r>
      <w:r w:rsidR="000F7457">
        <w:rPr>
          <w:rFonts w:asciiTheme="majorBidi" w:hAnsiTheme="majorBidi" w:cstheme="majorBidi"/>
          <w:sz w:val="24"/>
          <w:szCs w:val="24"/>
        </w:rPr>
        <w:t xml:space="preserve">growth rate of sales. We choose </w:t>
      </w:r>
      <w:r w:rsidR="00E91F83">
        <w:rPr>
          <w:rFonts w:asciiTheme="majorBidi" w:hAnsiTheme="majorBidi" w:cstheme="majorBidi"/>
          <w:sz w:val="24"/>
          <w:szCs w:val="24"/>
        </w:rPr>
        <w:t xml:space="preserve">the </w:t>
      </w:r>
      <w:r w:rsidR="000F7457">
        <w:rPr>
          <w:rFonts w:asciiTheme="majorBidi" w:hAnsiTheme="majorBidi" w:cstheme="majorBidi"/>
          <w:sz w:val="24"/>
          <w:szCs w:val="24"/>
        </w:rPr>
        <w:t xml:space="preserve">value of three as a cutoff point to distinguish between low and high risky firms according to operating risk. </w:t>
      </w:r>
      <w:r w:rsidR="000F7457">
        <w:rPr>
          <w:rFonts w:asciiTheme="majorBidi" w:hAnsiTheme="majorBidi" w:cstheme="majorBidi"/>
          <w:sz w:val="24"/>
          <w:szCs w:val="24"/>
        </w:rPr>
        <w:lastRenderedPageBreak/>
        <w:t xml:space="preserve">Similarly, financial risk is measured by financial leverage, which is calculated by the </w:t>
      </w:r>
      <w:r w:rsidR="002F34F8">
        <w:rPr>
          <w:rFonts w:asciiTheme="majorBidi" w:hAnsiTheme="majorBidi" w:cstheme="majorBidi"/>
          <w:sz w:val="24"/>
          <w:szCs w:val="24"/>
        </w:rPr>
        <w:t>growth</w:t>
      </w:r>
      <w:r w:rsidR="000F7457">
        <w:rPr>
          <w:rFonts w:asciiTheme="majorBidi" w:hAnsiTheme="majorBidi" w:cstheme="majorBidi"/>
          <w:sz w:val="24"/>
          <w:szCs w:val="24"/>
        </w:rPr>
        <w:t xml:space="preserve"> rate of share profit to </w:t>
      </w:r>
      <w:r w:rsidR="002F34F8">
        <w:rPr>
          <w:rFonts w:asciiTheme="majorBidi" w:hAnsiTheme="majorBidi" w:cstheme="majorBidi"/>
          <w:sz w:val="24"/>
          <w:szCs w:val="24"/>
        </w:rPr>
        <w:t>the growth rate of operating profits.</w:t>
      </w:r>
      <w:r w:rsidR="000F7457">
        <w:rPr>
          <w:rFonts w:asciiTheme="majorBidi" w:hAnsiTheme="majorBidi" w:cstheme="majorBidi"/>
          <w:sz w:val="24"/>
          <w:szCs w:val="24"/>
        </w:rPr>
        <w:t xml:space="preserve"> </w:t>
      </w:r>
      <w:r w:rsidR="002F34F8">
        <w:rPr>
          <w:rFonts w:asciiTheme="majorBidi" w:hAnsiTheme="majorBidi" w:cstheme="majorBidi"/>
          <w:sz w:val="24"/>
          <w:szCs w:val="24"/>
        </w:rPr>
        <w:t>Also, we choose a cutoff point of two to distinguish between low and high risky firms according to financial risk.</w:t>
      </w:r>
    </w:p>
    <w:p w:rsidR="007A7939" w:rsidRDefault="006D0747" w:rsidP="00E606F2">
      <w:pPr>
        <w:bidi w:val="0"/>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According to the results of table </w:t>
      </w:r>
      <w:r w:rsidR="00A72B96">
        <w:rPr>
          <w:rFonts w:asciiTheme="majorBidi" w:hAnsiTheme="majorBidi" w:cstheme="majorBidi"/>
          <w:sz w:val="24"/>
          <w:szCs w:val="24"/>
        </w:rPr>
        <w:t>4</w:t>
      </w:r>
      <w:r>
        <w:rPr>
          <w:rFonts w:asciiTheme="majorBidi" w:hAnsiTheme="majorBidi" w:cstheme="majorBidi"/>
          <w:sz w:val="24"/>
          <w:szCs w:val="24"/>
        </w:rPr>
        <w:t xml:space="preserve">, DR realizes a negative and significant effect on ROI in both low and high operating risky firms. Furthermore, GPNS captures </w:t>
      </w:r>
      <w:r w:rsidR="00E91F83">
        <w:rPr>
          <w:rFonts w:asciiTheme="majorBidi" w:hAnsiTheme="majorBidi" w:cstheme="majorBidi"/>
          <w:sz w:val="24"/>
          <w:szCs w:val="24"/>
        </w:rPr>
        <w:t>a positive and significant effect</w:t>
      </w:r>
      <w:r>
        <w:rPr>
          <w:rFonts w:asciiTheme="majorBidi" w:hAnsiTheme="majorBidi" w:cstheme="majorBidi"/>
          <w:sz w:val="24"/>
          <w:szCs w:val="24"/>
        </w:rPr>
        <w:t xml:space="preserve"> on both groups of firm</w:t>
      </w:r>
      <w:r w:rsidR="00E91F83">
        <w:rPr>
          <w:rFonts w:asciiTheme="majorBidi" w:hAnsiTheme="majorBidi" w:cstheme="majorBidi"/>
          <w:sz w:val="24"/>
          <w:szCs w:val="24"/>
        </w:rPr>
        <w:t>s</w:t>
      </w:r>
      <w:r>
        <w:rPr>
          <w:rFonts w:asciiTheme="majorBidi" w:hAnsiTheme="majorBidi" w:cstheme="majorBidi"/>
          <w:sz w:val="24"/>
          <w:szCs w:val="24"/>
        </w:rPr>
        <w:t>, although this effect is more s</w:t>
      </w:r>
      <w:r w:rsidR="0022325A">
        <w:rPr>
          <w:rFonts w:asciiTheme="majorBidi" w:hAnsiTheme="majorBidi" w:cstheme="majorBidi"/>
          <w:sz w:val="24"/>
          <w:szCs w:val="24"/>
        </w:rPr>
        <w:t>ignificant and powerful in less</w:t>
      </w:r>
      <w:r w:rsidR="009D3910">
        <w:rPr>
          <w:rFonts w:asciiTheme="majorBidi" w:hAnsiTheme="majorBidi" w:cstheme="majorBidi"/>
          <w:sz w:val="24"/>
          <w:szCs w:val="24"/>
        </w:rPr>
        <w:t xml:space="preserve"> operating </w:t>
      </w:r>
      <w:r>
        <w:rPr>
          <w:rFonts w:asciiTheme="majorBidi" w:hAnsiTheme="majorBidi" w:cstheme="majorBidi"/>
          <w:sz w:val="24"/>
          <w:szCs w:val="24"/>
        </w:rPr>
        <w:t xml:space="preserve">risky firms. </w:t>
      </w:r>
      <w:r w:rsidR="009D3910">
        <w:rPr>
          <w:rFonts w:asciiTheme="majorBidi" w:hAnsiTheme="majorBidi" w:cstheme="majorBidi"/>
          <w:sz w:val="24"/>
          <w:szCs w:val="24"/>
        </w:rPr>
        <w:t xml:space="preserve">However, the outcomes point out that LP and TATR have only positive and significant impact in less operating risky firms. This conclusion indicates that firms with low operating risk are more capable of utilizing their fixed assets effectively and thus labor productively </w:t>
      </w:r>
      <w:r w:rsidR="00FC2344">
        <w:rPr>
          <w:rFonts w:asciiTheme="majorBidi" w:hAnsiTheme="majorBidi" w:cstheme="majorBidi"/>
          <w:sz w:val="24"/>
          <w:szCs w:val="24"/>
        </w:rPr>
        <w:t>tends to have more</w:t>
      </w:r>
      <w:r w:rsidR="009D3910">
        <w:rPr>
          <w:rFonts w:asciiTheme="majorBidi" w:hAnsiTheme="majorBidi" w:cstheme="majorBidi"/>
          <w:sz w:val="24"/>
          <w:szCs w:val="24"/>
        </w:rPr>
        <w:t xml:space="preserve"> effect on the </w:t>
      </w:r>
      <w:r w:rsidR="00FC2344">
        <w:rPr>
          <w:rFonts w:asciiTheme="majorBidi" w:hAnsiTheme="majorBidi" w:cstheme="majorBidi"/>
          <w:sz w:val="24"/>
          <w:szCs w:val="24"/>
        </w:rPr>
        <w:t>ROI.</w:t>
      </w:r>
      <w:r w:rsidR="009D3910">
        <w:rPr>
          <w:rFonts w:asciiTheme="majorBidi" w:hAnsiTheme="majorBidi" w:cstheme="majorBidi"/>
          <w:sz w:val="24"/>
          <w:szCs w:val="24"/>
        </w:rPr>
        <w:t xml:space="preserve"> </w:t>
      </w:r>
      <w:r w:rsidR="00225CB6">
        <w:rPr>
          <w:rFonts w:asciiTheme="majorBidi" w:hAnsiTheme="majorBidi" w:cstheme="majorBidi"/>
          <w:sz w:val="24"/>
          <w:szCs w:val="24"/>
        </w:rPr>
        <w:t xml:space="preserve">Add to that, low operating risky firms are characterized by high level of TATR, which in turn reflects on the earning power of the firm. </w:t>
      </w:r>
    </w:p>
    <w:tbl>
      <w:tblPr>
        <w:tblStyle w:val="TableGrid"/>
        <w:tblW w:w="5000" w:type="pct"/>
        <w:jc w:val="center"/>
        <w:tblLook w:val="04A0" w:firstRow="1" w:lastRow="0" w:firstColumn="1" w:lastColumn="0" w:noHBand="0" w:noVBand="1"/>
      </w:tblPr>
      <w:tblGrid>
        <w:gridCol w:w="1760"/>
        <w:gridCol w:w="1691"/>
        <w:gridCol w:w="1781"/>
        <w:gridCol w:w="1420"/>
        <w:gridCol w:w="1870"/>
      </w:tblGrid>
      <w:tr w:rsidR="00E606F2" w:rsidRPr="00FD25DA" w:rsidTr="00DD1078">
        <w:trPr>
          <w:trHeight w:val="283"/>
          <w:jc w:val="center"/>
        </w:trPr>
        <w:tc>
          <w:tcPr>
            <w:tcW w:w="5000" w:type="pct"/>
            <w:gridSpan w:val="5"/>
            <w:tcBorders>
              <w:top w:val="nil"/>
              <w:left w:val="nil"/>
              <w:bottom w:val="nil"/>
              <w:right w:val="nil"/>
            </w:tcBorders>
            <w:shd w:val="clear" w:color="auto" w:fill="auto"/>
            <w:vAlign w:val="center"/>
          </w:tcPr>
          <w:p w:rsidR="00E606F2" w:rsidRPr="00E606F2" w:rsidRDefault="00E606F2" w:rsidP="00E606F2">
            <w:pPr>
              <w:bidi w:val="0"/>
              <w:spacing w:before="240" w:after="120" w:line="240" w:lineRule="exact"/>
              <w:ind w:left="851" w:hanging="851"/>
              <w:jc w:val="center"/>
              <w:rPr>
                <w:rFonts w:asciiTheme="majorBidi" w:hAnsiTheme="majorBidi" w:cstheme="majorBidi"/>
                <w:sz w:val="24"/>
                <w:szCs w:val="24"/>
              </w:rPr>
            </w:pPr>
            <w:r w:rsidRPr="00E606F2">
              <w:rPr>
                <w:rFonts w:asciiTheme="majorBidi" w:hAnsiTheme="majorBidi" w:cstheme="majorBidi"/>
                <w:sz w:val="24"/>
                <w:szCs w:val="24"/>
              </w:rPr>
              <w:t>Table 4</w:t>
            </w:r>
            <w:r>
              <w:rPr>
                <w:rFonts w:asciiTheme="majorBidi" w:hAnsiTheme="majorBidi" w:cstheme="majorBidi"/>
                <w:sz w:val="24"/>
                <w:szCs w:val="24"/>
              </w:rPr>
              <w:t xml:space="preserve">: </w:t>
            </w:r>
            <w:r w:rsidRPr="00E606F2">
              <w:rPr>
                <w:rFonts w:asciiTheme="majorBidi" w:hAnsiTheme="majorBidi" w:cstheme="majorBidi"/>
                <w:sz w:val="24"/>
                <w:szCs w:val="24"/>
              </w:rPr>
              <w:t>Determinants of ROI according to operating and financial leverage</w:t>
            </w:r>
          </w:p>
        </w:tc>
      </w:tr>
      <w:tr w:rsidR="00E606F2" w:rsidRPr="008735C8" w:rsidTr="00DD1078">
        <w:trPr>
          <w:trHeight w:val="283"/>
          <w:jc w:val="center"/>
        </w:trPr>
        <w:tc>
          <w:tcPr>
            <w:tcW w:w="1033" w:type="pct"/>
            <w:vMerge w:val="restar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rPr>
                <w:rFonts w:asciiTheme="majorBidi" w:hAnsiTheme="majorBidi" w:cstheme="majorBidi"/>
                <w:b/>
                <w:bCs/>
                <w:sz w:val="24"/>
                <w:szCs w:val="24"/>
              </w:rPr>
            </w:pPr>
            <w:r w:rsidRPr="00E606F2">
              <w:rPr>
                <w:rFonts w:asciiTheme="majorBidi" w:hAnsiTheme="majorBidi" w:cstheme="majorBidi"/>
                <w:b/>
                <w:bCs/>
                <w:sz w:val="24"/>
                <w:szCs w:val="24"/>
              </w:rPr>
              <w:t>Variables</w:t>
            </w:r>
          </w:p>
        </w:tc>
        <w:tc>
          <w:tcPr>
            <w:tcW w:w="2037" w:type="pct"/>
            <w:gridSpan w:val="2"/>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OL</w:t>
            </w:r>
          </w:p>
        </w:tc>
        <w:tc>
          <w:tcPr>
            <w:tcW w:w="1930" w:type="pct"/>
            <w:gridSpan w:val="2"/>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FL</w:t>
            </w:r>
          </w:p>
        </w:tc>
      </w:tr>
      <w:tr w:rsidR="00E606F2" w:rsidRPr="008735C8" w:rsidTr="00DD1078">
        <w:trPr>
          <w:trHeight w:val="283"/>
          <w:jc w:val="center"/>
        </w:trPr>
        <w:tc>
          <w:tcPr>
            <w:tcW w:w="1033" w:type="pct"/>
            <w:vMerge/>
            <w:tcBorders>
              <w:top w:val="nil"/>
              <w:left w:val="nil"/>
              <w:bottom w:val="single" w:sz="12" w:space="0" w:color="auto"/>
              <w:right w:val="nil"/>
            </w:tcBorders>
            <w:shd w:val="clear" w:color="auto" w:fill="auto"/>
            <w:vAlign w:val="center"/>
          </w:tcPr>
          <w:p w:rsidR="00E606F2" w:rsidRPr="00E606F2" w:rsidRDefault="00E606F2" w:rsidP="00DD1078">
            <w:pPr>
              <w:bidi w:val="0"/>
              <w:spacing w:line="240" w:lineRule="exact"/>
              <w:rPr>
                <w:rFonts w:asciiTheme="majorBidi" w:hAnsiTheme="majorBidi" w:cstheme="majorBidi"/>
                <w:b/>
                <w:bCs/>
                <w:sz w:val="24"/>
                <w:szCs w:val="24"/>
              </w:rPr>
            </w:pPr>
          </w:p>
        </w:tc>
        <w:tc>
          <w:tcPr>
            <w:tcW w:w="992" w:type="pc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&lt; 3</w:t>
            </w:r>
          </w:p>
        </w:tc>
        <w:tc>
          <w:tcPr>
            <w:tcW w:w="1045" w:type="pc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 3</w:t>
            </w:r>
          </w:p>
        </w:tc>
        <w:tc>
          <w:tcPr>
            <w:tcW w:w="833" w:type="pc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&lt; 2</w:t>
            </w:r>
          </w:p>
        </w:tc>
        <w:tc>
          <w:tcPr>
            <w:tcW w:w="1097" w:type="pct"/>
            <w:tcBorders>
              <w:top w:val="single" w:sz="12" w:space="0" w:color="auto"/>
              <w:left w:val="nil"/>
              <w:bottom w:val="single" w:sz="12" w:space="0" w:color="auto"/>
              <w:right w:val="nil"/>
            </w:tcBorders>
            <w:shd w:val="clear" w:color="auto" w:fill="auto"/>
            <w:vAlign w:val="center"/>
          </w:tcPr>
          <w:p w:rsidR="00E606F2" w:rsidRPr="00E606F2" w:rsidRDefault="00E606F2" w:rsidP="00DD1078">
            <w:pPr>
              <w:bidi w:val="0"/>
              <w:spacing w:line="240" w:lineRule="exact"/>
              <w:jc w:val="center"/>
              <w:rPr>
                <w:rFonts w:asciiTheme="majorBidi" w:hAnsiTheme="majorBidi" w:cstheme="majorBidi"/>
                <w:b/>
                <w:bCs/>
                <w:sz w:val="24"/>
                <w:szCs w:val="24"/>
              </w:rPr>
            </w:pPr>
            <w:r w:rsidRPr="00E606F2">
              <w:rPr>
                <w:rFonts w:asciiTheme="majorBidi" w:hAnsiTheme="majorBidi" w:cstheme="majorBidi"/>
                <w:b/>
                <w:bCs/>
                <w:sz w:val="24"/>
                <w:szCs w:val="24"/>
              </w:rPr>
              <w:t>≥ 2</w:t>
            </w:r>
          </w:p>
        </w:tc>
      </w:tr>
      <w:tr w:rsidR="00E606F2" w:rsidRPr="00FD25DA" w:rsidTr="00DD1078">
        <w:trPr>
          <w:trHeight w:val="283"/>
          <w:jc w:val="center"/>
        </w:trPr>
        <w:tc>
          <w:tcPr>
            <w:tcW w:w="1033" w:type="pct"/>
            <w:tcBorders>
              <w:top w:val="single" w:sz="12" w:space="0" w:color="auto"/>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Constant</w:t>
            </w:r>
          </w:p>
        </w:tc>
        <w:tc>
          <w:tcPr>
            <w:tcW w:w="992" w:type="pct"/>
            <w:tcBorders>
              <w:top w:val="single" w:sz="12" w:space="0" w:color="auto"/>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0.60</w:t>
            </w:r>
          </w:p>
        </w:tc>
        <w:tc>
          <w:tcPr>
            <w:tcW w:w="1045" w:type="pct"/>
            <w:tcBorders>
              <w:top w:val="single" w:sz="12" w:space="0" w:color="auto"/>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5.23**</w:t>
            </w:r>
          </w:p>
        </w:tc>
        <w:tc>
          <w:tcPr>
            <w:tcW w:w="833" w:type="pct"/>
            <w:tcBorders>
              <w:top w:val="single" w:sz="12" w:space="0" w:color="auto"/>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4.03**</w:t>
            </w:r>
          </w:p>
        </w:tc>
        <w:tc>
          <w:tcPr>
            <w:tcW w:w="1097" w:type="pct"/>
            <w:tcBorders>
              <w:top w:val="single" w:sz="12" w:space="0" w:color="auto"/>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-1.26</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Pr="00FD25DA"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(0.34)</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(3.20)</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(2.92)</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(-0.64)</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LP</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Pr="00FD25DA"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(3.76)</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(1.63)</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(3.56)</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(2.54)</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DR</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-0.12**</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-0.15**</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-0.06</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-0.11**</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(-5.46)</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(-4.50)</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(-1.47)</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(-4.64)</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GPNS</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14.47**</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7.14*</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7.75**</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14.53**</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(5.26)</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(2.46)</w:t>
            </w:r>
          </w:p>
        </w:tc>
        <w:tc>
          <w:tcPr>
            <w:tcW w:w="833" w:type="pct"/>
            <w:tcBorders>
              <w:top w:val="nil"/>
              <w:left w:val="nil"/>
              <w:bottom w:val="nil"/>
              <w:right w:val="nil"/>
            </w:tcBorders>
            <w:vAlign w:val="center"/>
          </w:tcPr>
          <w:p w:rsidR="00E606F2"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(4.01)</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(4.52)</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TI</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-0.18</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0.65**</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0.49**</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0.05</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(-1.34)</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(7.25)</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(5.53)</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(0.44)</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ITR</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0.04</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0.05</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(-0.89)</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(0.96)</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(-1.19)</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(1.53)</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TATR</w:t>
            </w:r>
          </w:p>
        </w:tc>
        <w:tc>
          <w:tcPr>
            <w:tcW w:w="992"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6.10**</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0.02</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6.94**</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(4.07)</w:t>
            </w:r>
          </w:p>
        </w:tc>
        <w:tc>
          <w:tcPr>
            <w:tcW w:w="1045" w:type="pct"/>
            <w:tcBorders>
              <w:top w:val="nil"/>
              <w:left w:val="nil"/>
              <w:bottom w:val="nil"/>
              <w:right w:val="nil"/>
            </w:tcBorders>
            <w:vAlign w:val="center"/>
          </w:tcPr>
          <w:p w:rsidR="00E606F2" w:rsidRPr="00F2211C"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(-0.05)</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(0.13)</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(4.49)</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Pr>
                <w:rFonts w:asciiTheme="majorBidi" w:hAnsiTheme="majorBidi" w:cstheme="majorBidi"/>
                <w:sz w:val="24"/>
                <w:szCs w:val="24"/>
              </w:rPr>
              <w:t>R</w:t>
            </w:r>
            <w:r w:rsidRPr="00A60EBC">
              <w:rPr>
                <w:rFonts w:asciiTheme="majorBidi" w:hAnsiTheme="majorBidi" w:cstheme="majorBidi"/>
                <w:sz w:val="24"/>
                <w:szCs w:val="24"/>
                <w:vertAlign w:val="superscript"/>
              </w:rPr>
              <w:t>2</w:t>
            </w: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0.642</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0.381</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0.28</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0.616</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Wald chi</w:t>
            </w:r>
            <w:r w:rsidRPr="00FD25DA">
              <w:rPr>
                <w:rFonts w:asciiTheme="majorBidi" w:hAnsiTheme="majorBidi" w:cstheme="majorBidi"/>
                <w:sz w:val="24"/>
                <w:szCs w:val="24"/>
                <w:vertAlign w:val="superscript"/>
              </w:rPr>
              <w:t>2</w:t>
            </w: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141.43**</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94.94**</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66.63</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109.83**</w:t>
            </w:r>
          </w:p>
        </w:tc>
      </w:tr>
      <w:tr w:rsidR="00E606F2" w:rsidRPr="00FD25DA" w:rsidTr="00DD1078">
        <w:trPr>
          <w:trHeight w:val="283"/>
          <w:jc w:val="center"/>
        </w:trPr>
        <w:tc>
          <w:tcPr>
            <w:tcW w:w="1033" w:type="pct"/>
            <w:tcBorders>
              <w:top w:val="nil"/>
              <w:left w:val="nil"/>
              <w:bottom w:val="nil"/>
              <w:right w:val="nil"/>
            </w:tcBorders>
            <w:vAlign w:val="center"/>
          </w:tcPr>
          <w:p w:rsidR="00E606F2" w:rsidRPr="00FD25DA" w:rsidRDefault="00E606F2" w:rsidP="00DD1078">
            <w:pPr>
              <w:bidi w:val="0"/>
              <w:spacing w:line="240" w:lineRule="exact"/>
              <w:rPr>
                <w:rFonts w:asciiTheme="majorBidi" w:hAnsiTheme="majorBidi" w:cstheme="majorBidi"/>
                <w:sz w:val="24"/>
                <w:szCs w:val="24"/>
              </w:rPr>
            </w:pPr>
            <w:r>
              <w:rPr>
                <w:rFonts w:asciiTheme="majorBidi" w:hAnsiTheme="majorBidi" w:cstheme="majorBidi"/>
                <w:sz w:val="24"/>
                <w:szCs w:val="24"/>
              </w:rPr>
              <w:t>N. of Obs.</w:t>
            </w:r>
          </w:p>
        </w:tc>
        <w:tc>
          <w:tcPr>
            <w:tcW w:w="992"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87</w:t>
            </w:r>
          </w:p>
        </w:tc>
        <w:tc>
          <w:tcPr>
            <w:tcW w:w="1045" w:type="pct"/>
            <w:tcBorders>
              <w:top w:val="nil"/>
              <w:left w:val="nil"/>
              <w:bottom w:val="nil"/>
              <w:right w:val="nil"/>
            </w:tcBorders>
            <w:vAlign w:val="center"/>
          </w:tcPr>
          <w:p w:rsidR="00E606F2" w:rsidRDefault="00E606F2"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147</w:t>
            </w:r>
          </w:p>
        </w:tc>
        <w:tc>
          <w:tcPr>
            <w:tcW w:w="833"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121</w:t>
            </w:r>
          </w:p>
        </w:tc>
        <w:tc>
          <w:tcPr>
            <w:tcW w:w="1097" w:type="pct"/>
            <w:tcBorders>
              <w:top w:val="nil"/>
              <w:left w:val="nil"/>
              <w:bottom w:val="nil"/>
              <w:right w:val="nil"/>
            </w:tcBorders>
            <w:vAlign w:val="center"/>
          </w:tcPr>
          <w:p w:rsidR="00E606F2" w:rsidRPr="00FD25DA" w:rsidRDefault="00E606F2"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113</w:t>
            </w:r>
          </w:p>
        </w:tc>
      </w:tr>
      <w:tr w:rsidR="00E606F2" w:rsidRPr="00FD25DA" w:rsidTr="00DD1078">
        <w:trPr>
          <w:trHeight w:val="283"/>
          <w:jc w:val="center"/>
        </w:trPr>
        <w:tc>
          <w:tcPr>
            <w:tcW w:w="5000" w:type="pct"/>
            <w:gridSpan w:val="5"/>
            <w:tcBorders>
              <w:top w:val="single" w:sz="12" w:space="0" w:color="auto"/>
              <w:left w:val="nil"/>
              <w:bottom w:val="nil"/>
              <w:right w:val="nil"/>
            </w:tcBorders>
            <w:shd w:val="clear" w:color="auto" w:fill="auto"/>
            <w:vAlign w:val="center"/>
          </w:tcPr>
          <w:p w:rsidR="00E606F2" w:rsidRPr="004A6542" w:rsidRDefault="00E606F2" w:rsidP="00DD1078">
            <w:pPr>
              <w:autoSpaceDE w:val="0"/>
              <w:autoSpaceDN w:val="0"/>
              <w:bidi w:val="0"/>
              <w:adjustRightInd w:val="0"/>
              <w:rPr>
                <w:rFonts w:ascii="Times New Roman" w:hAnsi="Times New Roman" w:cs="Times New Roman"/>
                <w:sz w:val="20"/>
                <w:szCs w:val="20"/>
              </w:rPr>
            </w:pPr>
            <w:r w:rsidRPr="004A6542">
              <w:rPr>
                <w:rFonts w:asciiTheme="majorBidi" w:hAnsiTheme="majorBidi" w:cstheme="majorBidi"/>
                <w:sz w:val="20"/>
                <w:szCs w:val="20"/>
              </w:rPr>
              <w:t xml:space="preserve">Note: </w:t>
            </w:r>
            <w:r w:rsidRPr="004A6542">
              <w:rPr>
                <w:rFonts w:ascii="Times New Roman" w:hAnsi="Times New Roman" w:cs="Times New Roman"/>
                <w:sz w:val="20"/>
                <w:szCs w:val="20"/>
              </w:rPr>
              <w:t>The t-ratios are in parentheses</w:t>
            </w:r>
          </w:p>
          <w:p w:rsidR="00E606F2" w:rsidRPr="00FD25DA" w:rsidRDefault="00E606F2" w:rsidP="00DD1078">
            <w:pPr>
              <w:bidi w:val="0"/>
              <w:spacing w:line="240" w:lineRule="exact"/>
              <w:rPr>
                <w:rFonts w:asciiTheme="majorBidi" w:hAnsiTheme="majorBidi" w:cstheme="majorBidi"/>
                <w:sz w:val="24"/>
                <w:szCs w:val="24"/>
                <w:vertAlign w:val="superscript"/>
              </w:rPr>
            </w:pPr>
            <w:r>
              <w:rPr>
                <w:rFonts w:asciiTheme="majorBidi" w:hAnsiTheme="majorBidi" w:cstheme="majorBidi"/>
                <w:sz w:val="20"/>
                <w:szCs w:val="20"/>
              </w:rPr>
              <w:t xml:space="preserve">        </w:t>
            </w:r>
            <w:r w:rsidRPr="004A6542">
              <w:rPr>
                <w:rFonts w:asciiTheme="majorBidi" w:hAnsiTheme="majorBidi" w:cstheme="majorBidi"/>
                <w:sz w:val="20"/>
                <w:szCs w:val="20"/>
              </w:rPr>
              <w:t>* significant at 5%, ** significant at 1%</w:t>
            </w:r>
          </w:p>
        </w:tc>
      </w:tr>
    </w:tbl>
    <w:p w:rsidR="00E606F2" w:rsidRDefault="00E606F2" w:rsidP="00A72B96">
      <w:pPr>
        <w:autoSpaceDE w:val="0"/>
        <w:autoSpaceDN w:val="0"/>
        <w:bidi w:val="0"/>
        <w:adjustRightInd w:val="0"/>
        <w:spacing w:after="0" w:line="240" w:lineRule="auto"/>
        <w:jc w:val="center"/>
        <w:rPr>
          <w:rFonts w:asciiTheme="majorBidi" w:hAnsiTheme="majorBidi" w:cstheme="majorBidi"/>
          <w:color w:val="231F20"/>
          <w:sz w:val="24"/>
          <w:szCs w:val="24"/>
        </w:rPr>
      </w:pPr>
    </w:p>
    <w:p w:rsidR="00E606F2" w:rsidRDefault="00E606F2" w:rsidP="00E606F2">
      <w:pPr>
        <w:bidi w:val="0"/>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With regard to the determinants of ROI due to financial leverage, both LP and GPNS have positive and significant impact on ROI regardless of the financial risky level of firms, but the effect of GPNS is stronger in high risky firms. Debit ratio has a negative and significant effect just in high financial risky firms. Financial leverage reflects the </w:t>
      </w:r>
      <w:r>
        <w:rPr>
          <w:rFonts w:asciiTheme="majorBidi" w:hAnsiTheme="majorBidi" w:cstheme="majorBidi"/>
          <w:sz w:val="24"/>
          <w:szCs w:val="24"/>
        </w:rPr>
        <w:lastRenderedPageBreak/>
        <w:t xml:space="preserve">firm ability to utilize debit funds, and thus high financial leverage indicates that a firm depends largely on debits. This explains why DR has a significant negative effect on ROI in highly financial risky firms. In firms that slightly depend on debits, TI tends to have a significant and positive effect on ROI, while in high financial risky </w:t>
      </w:r>
      <w:proofErr w:type="gramStart"/>
      <w:r>
        <w:rPr>
          <w:rFonts w:asciiTheme="majorBidi" w:hAnsiTheme="majorBidi" w:cstheme="majorBidi"/>
          <w:sz w:val="24"/>
          <w:szCs w:val="24"/>
        </w:rPr>
        <w:t>firms,</w:t>
      </w:r>
      <w:proofErr w:type="gramEnd"/>
      <w:r>
        <w:rPr>
          <w:rFonts w:asciiTheme="majorBidi" w:hAnsiTheme="majorBidi" w:cstheme="majorBidi"/>
          <w:sz w:val="24"/>
          <w:szCs w:val="24"/>
        </w:rPr>
        <w:t xml:space="preserve"> TATR seems to have a significant and positive effect. Firms with high financial risk use funds with constant cost, and therefore they realize a high level of total assets turnover which in turn reflects in high profitability. In general, firms that operate in a risky environment are likely to have a greater need to maximize investment returns than firms that operate in a stable environment.</w:t>
      </w:r>
    </w:p>
    <w:p w:rsidR="00E606F2" w:rsidRDefault="001F0AE6" w:rsidP="00E606F2">
      <w:pPr>
        <w:bidi w:val="0"/>
        <w:spacing w:before="120" w:after="120" w:line="240" w:lineRule="auto"/>
        <w:jc w:val="both"/>
        <w:rPr>
          <w:rFonts w:asciiTheme="majorBidi" w:hAnsiTheme="majorBidi" w:cstheme="majorBidi"/>
          <w:sz w:val="24"/>
          <w:szCs w:val="24"/>
        </w:rPr>
      </w:pPr>
      <w:r w:rsidRPr="00951ED7">
        <w:rPr>
          <w:rFonts w:asciiTheme="majorBidi" w:hAnsiTheme="majorBidi" w:cstheme="majorBidi"/>
          <w:sz w:val="24"/>
          <w:szCs w:val="24"/>
        </w:rPr>
        <w:t xml:space="preserve">Table </w:t>
      </w:r>
      <w:r w:rsidR="00A72B96">
        <w:rPr>
          <w:rFonts w:asciiTheme="majorBidi" w:hAnsiTheme="majorBidi" w:cstheme="majorBidi"/>
          <w:sz w:val="24"/>
          <w:szCs w:val="24"/>
        </w:rPr>
        <w:t>5</w:t>
      </w:r>
      <w:r w:rsidRPr="00951ED7">
        <w:rPr>
          <w:rFonts w:asciiTheme="majorBidi" w:hAnsiTheme="majorBidi" w:cstheme="majorBidi"/>
          <w:sz w:val="24"/>
          <w:szCs w:val="24"/>
        </w:rPr>
        <w:t xml:space="preserve"> c</w:t>
      </w:r>
      <w:r w:rsidR="00785BD2">
        <w:rPr>
          <w:rFonts w:asciiTheme="majorBidi" w:hAnsiTheme="majorBidi" w:cstheme="majorBidi"/>
          <w:sz w:val="24"/>
          <w:szCs w:val="24"/>
        </w:rPr>
        <w:t>ontains the results of</w:t>
      </w:r>
      <w:r w:rsidRPr="00951ED7">
        <w:rPr>
          <w:rFonts w:asciiTheme="majorBidi" w:hAnsiTheme="majorBidi" w:cstheme="majorBidi"/>
          <w:sz w:val="24"/>
          <w:szCs w:val="24"/>
        </w:rPr>
        <w:t xml:space="preserve"> the regression model according to board characteristics, which include role duality and board size. Role duality (RD) takes the value (0) when the chairman does not engage the chief executive officer, but if he engage</w:t>
      </w:r>
      <w:r w:rsidR="00E91F83">
        <w:rPr>
          <w:rFonts w:asciiTheme="majorBidi" w:hAnsiTheme="majorBidi" w:cstheme="majorBidi"/>
          <w:sz w:val="24"/>
          <w:szCs w:val="24"/>
        </w:rPr>
        <w:t>s</w:t>
      </w:r>
      <w:r w:rsidRPr="00951ED7">
        <w:rPr>
          <w:rFonts w:asciiTheme="majorBidi" w:hAnsiTheme="majorBidi" w:cstheme="majorBidi"/>
          <w:sz w:val="24"/>
          <w:szCs w:val="24"/>
        </w:rPr>
        <w:t xml:space="preserve"> both positions, the RD equal</w:t>
      </w:r>
      <w:r w:rsidR="00E91F83">
        <w:rPr>
          <w:rFonts w:asciiTheme="majorBidi" w:hAnsiTheme="majorBidi" w:cstheme="majorBidi"/>
          <w:sz w:val="24"/>
          <w:szCs w:val="24"/>
        </w:rPr>
        <w:t>s</w:t>
      </w:r>
      <w:r w:rsidRPr="00951ED7">
        <w:rPr>
          <w:rFonts w:asciiTheme="majorBidi" w:hAnsiTheme="majorBidi" w:cstheme="majorBidi"/>
          <w:sz w:val="24"/>
          <w:szCs w:val="24"/>
        </w:rPr>
        <w:t xml:space="preserve"> (1). To distinguish between </w:t>
      </w:r>
      <w:r w:rsidR="00B6590C" w:rsidRPr="00951ED7">
        <w:rPr>
          <w:rFonts w:asciiTheme="majorBidi" w:hAnsiTheme="majorBidi" w:cstheme="majorBidi"/>
          <w:sz w:val="24"/>
          <w:szCs w:val="24"/>
        </w:rPr>
        <w:t xml:space="preserve">the </w:t>
      </w:r>
      <w:r w:rsidRPr="00951ED7">
        <w:rPr>
          <w:rFonts w:asciiTheme="majorBidi" w:hAnsiTheme="majorBidi" w:cstheme="majorBidi"/>
          <w:sz w:val="24"/>
          <w:szCs w:val="24"/>
        </w:rPr>
        <w:t>determinant</w:t>
      </w:r>
      <w:r w:rsidR="00B6590C" w:rsidRPr="00951ED7">
        <w:rPr>
          <w:rFonts w:asciiTheme="majorBidi" w:hAnsiTheme="majorBidi" w:cstheme="majorBidi"/>
          <w:sz w:val="24"/>
          <w:szCs w:val="24"/>
        </w:rPr>
        <w:t>s</w:t>
      </w:r>
      <w:r w:rsidRPr="00951ED7">
        <w:rPr>
          <w:rFonts w:asciiTheme="majorBidi" w:hAnsiTheme="majorBidi" w:cstheme="majorBidi"/>
          <w:sz w:val="24"/>
          <w:szCs w:val="24"/>
        </w:rPr>
        <w:t xml:space="preserve"> of ROI according to </w:t>
      </w:r>
      <w:r w:rsidR="00B6590C" w:rsidRPr="00951ED7">
        <w:rPr>
          <w:rFonts w:asciiTheme="majorBidi" w:hAnsiTheme="majorBidi" w:cstheme="majorBidi"/>
          <w:sz w:val="24"/>
          <w:szCs w:val="24"/>
        </w:rPr>
        <w:t xml:space="preserve">the </w:t>
      </w:r>
      <w:r w:rsidRPr="00951ED7">
        <w:rPr>
          <w:rFonts w:asciiTheme="majorBidi" w:hAnsiTheme="majorBidi" w:cstheme="majorBidi"/>
          <w:sz w:val="24"/>
          <w:szCs w:val="24"/>
        </w:rPr>
        <w:t>board size, we</w:t>
      </w:r>
      <w:r w:rsidR="00B6590C" w:rsidRPr="00951ED7">
        <w:rPr>
          <w:rFonts w:asciiTheme="majorBidi" w:hAnsiTheme="majorBidi" w:cstheme="majorBidi"/>
          <w:sz w:val="24"/>
          <w:szCs w:val="24"/>
        </w:rPr>
        <w:t xml:space="preserve"> divide the firms to two groups; firms with small board size (BS</w:t>
      </w:r>
      <w:r w:rsidR="00866A56">
        <w:rPr>
          <w:rFonts w:asciiTheme="majorBidi" w:hAnsiTheme="majorBidi" w:cstheme="majorBidi"/>
          <w:sz w:val="24"/>
          <w:szCs w:val="24"/>
        </w:rPr>
        <w:t xml:space="preserve"> </w:t>
      </w:r>
      <w:r w:rsidR="00B6590C" w:rsidRPr="00951ED7">
        <w:rPr>
          <w:rFonts w:asciiTheme="majorBidi" w:hAnsiTheme="majorBidi" w:cstheme="majorBidi"/>
          <w:sz w:val="24"/>
          <w:szCs w:val="24"/>
        </w:rPr>
        <w:t>≤ 7) and firms with large board size (BS</w:t>
      </w:r>
      <w:r w:rsidR="00866A56">
        <w:rPr>
          <w:rFonts w:asciiTheme="majorBidi" w:hAnsiTheme="majorBidi" w:cstheme="majorBidi"/>
          <w:sz w:val="24"/>
          <w:szCs w:val="24"/>
        </w:rPr>
        <w:t xml:space="preserve"> </w:t>
      </w:r>
      <w:r w:rsidR="00B6590C" w:rsidRPr="00951ED7">
        <w:rPr>
          <w:rFonts w:asciiTheme="majorBidi" w:hAnsiTheme="majorBidi" w:cstheme="majorBidi"/>
          <w:sz w:val="24"/>
          <w:szCs w:val="24"/>
        </w:rPr>
        <w:t>&gt;</w:t>
      </w:r>
      <w:r w:rsidR="00866A56">
        <w:rPr>
          <w:rFonts w:asciiTheme="majorBidi" w:hAnsiTheme="majorBidi" w:cstheme="majorBidi"/>
          <w:sz w:val="24"/>
          <w:szCs w:val="24"/>
        </w:rPr>
        <w:t xml:space="preserve"> </w:t>
      </w:r>
      <w:r w:rsidR="00B6590C" w:rsidRPr="00951ED7">
        <w:rPr>
          <w:rFonts w:asciiTheme="majorBidi" w:hAnsiTheme="majorBidi" w:cstheme="majorBidi"/>
          <w:sz w:val="24"/>
          <w:szCs w:val="24"/>
        </w:rPr>
        <w:t>7).</w:t>
      </w:r>
    </w:p>
    <w:tbl>
      <w:tblPr>
        <w:tblStyle w:val="TableGrid"/>
        <w:tblW w:w="5000" w:type="pct"/>
        <w:tblLook w:val="04A0" w:firstRow="1" w:lastRow="0" w:firstColumn="1" w:lastColumn="0" w:noHBand="0" w:noVBand="1"/>
      </w:tblPr>
      <w:tblGrid>
        <w:gridCol w:w="1760"/>
        <w:gridCol w:w="1691"/>
        <w:gridCol w:w="1781"/>
        <w:gridCol w:w="1420"/>
        <w:gridCol w:w="1870"/>
      </w:tblGrid>
      <w:tr w:rsidR="006E538D" w:rsidRPr="004A6975" w:rsidTr="00DD1078">
        <w:trPr>
          <w:trHeight w:val="283"/>
        </w:trPr>
        <w:tc>
          <w:tcPr>
            <w:tcW w:w="5000" w:type="pct"/>
            <w:gridSpan w:val="5"/>
            <w:tcBorders>
              <w:top w:val="nil"/>
              <w:left w:val="nil"/>
              <w:bottom w:val="nil"/>
              <w:right w:val="nil"/>
            </w:tcBorders>
            <w:shd w:val="clear" w:color="auto" w:fill="auto"/>
            <w:vAlign w:val="center"/>
          </w:tcPr>
          <w:p w:rsidR="006E538D" w:rsidRPr="006E538D" w:rsidRDefault="006E538D" w:rsidP="006E538D">
            <w:pPr>
              <w:bidi w:val="0"/>
              <w:spacing w:before="240" w:after="120" w:line="240" w:lineRule="exact"/>
              <w:ind w:left="992" w:hanging="992"/>
              <w:jc w:val="center"/>
              <w:rPr>
                <w:rFonts w:asciiTheme="majorBidi" w:hAnsiTheme="majorBidi" w:cstheme="majorBidi"/>
                <w:sz w:val="24"/>
                <w:szCs w:val="24"/>
              </w:rPr>
            </w:pPr>
            <w:r w:rsidRPr="006E538D">
              <w:rPr>
                <w:rFonts w:asciiTheme="majorBidi" w:hAnsiTheme="majorBidi" w:cstheme="majorBidi"/>
                <w:sz w:val="24"/>
                <w:szCs w:val="24"/>
              </w:rPr>
              <w:t>Table 5</w:t>
            </w:r>
            <w:r>
              <w:rPr>
                <w:rFonts w:asciiTheme="majorBidi" w:hAnsiTheme="majorBidi" w:cstheme="majorBidi"/>
                <w:sz w:val="24"/>
                <w:szCs w:val="24"/>
              </w:rPr>
              <w:t xml:space="preserve">: </w:t>
            </w:r>
            <w:r w:rsidRPr="006E538D">
              <w:rPr>
                <w:rFonts w:asciiTheme="majorBidi" w:hAnsiTheme="majorBidi" w:cstheme="majorBidi"/>
                <w:sz w:val="24"/>
                <w:szCs w:val="24"/>
              </w:rPr>
              <w:t>Determinants of ROI according to board characteristics</w:t>
            </w:r>
          </w:p>
        </w:tc>
      </w:tr>
      <w:tr w:rsidR="006E538D" w:rsidRPr="004A6975" w:rsidTr="00DD1078">
        <w:trPr>
          <w:trHeight w:val="283"/>
        </w:trPr>
        <w:tc>
          <w:tcPr>
            <w:tcW w:w="1033" w:type="pct"/>
            <w:vMerge w:val="restart"/>
            <w:tcBorders>
              <w:top w:val="single" w:sz="12" w:space="0" w:color="auto"/>
              <w:left w:val="nil"/>
              <w:bottom w:val="single" w:sz="12" w:space="0" w:color="auto"/>
              <w:right w:val="nil"/>
            </w:tcBorders>
            <w:shd w:val="clear" w:color="auto" w:fill="auto"/>
            <w:vAlign w:val="center"/>
          </w:tcPr>
          <w:p w:rsidR="006E538D" w:rsidRPr="006E538D" w:rsidRDefault="006E538D" w:rsidP="00DD1078">
            <w:pPr>
              <w:bidi w:val="0"/>
              <w:spacing w:line="240" w:lineRule="exact"/>
              <w:rPr>
                <w:rFonts w:asciiTheme="majorBidi" w:hAnsiTheme="majorBidi" w:cstheme="majorBidi"/>
                <w:b/>
                <w:bCs/>
                <w:sz w:val="24"/>
                <w:szCs w:val="24"/>
              </w:rPr>
            </w:pPr>
            <w:r w:rsidRPr="006E538D">
              <w:rPr>
                <w:rFonts w:asciiTheme="majorBidi" w:hAnsiTheme="majorBidi" w:cstheme="majorBidi"/>
                <w:b/>
                <w:bCs/>
                <w:sz w:val="24"/>
                <w:szCs w:val="24"/>
              </w:rPr>
              <w:t>Variables</w:t>
            </w:r>
          </w:p>
        </w:tc>
        <w:tc>
          <w:tcPr>
            <w:tcW w:w="2037" w:type="pct"/>
            <w:gridSpan w:val="2"/>
            <w:tcBorders>
              <w:top w:val="single" w:sz="12" w:space="0" w:color="auto"/>
              <w:left w:val="nil"/>
              <w:bottom w:val="single" w:sz="12" w:space="0" w:color="auto"/>
              <w:right w:val="nil"/>
            </w:tcBorders>
            <w:shd w:val="clear" w:color="auto" w:fill="auto"/>
            <w:vAlign w:val="center"/>
          </w:tcPr>
          <w:p w:rsidR="006E538D" w:rsidRPr="006E538D" w:rsidRDefault="006E538D" w:rsidP="00DD1078">
            <w:pPr>
              <w:bidi w:val="0"/>
              <w:spacing w:line="240" w:lineRule="exact"/>
              <w:jc w:val="center"/>
              <w:rPr>
                <w:rFonts w:asciiTheme="majorBidi" w:hAnsiTheme="majorBidi" w:cstheme="majorBidi"/>
                <w:b/>
                <w:bCs/>
                <w:sz w:val="24"/>
                <w:szCs w:val="24"/>
              </w:rPr>
            </w:pPr>
            <w:r w:rsidRPr="006E538D">
              <w:rPr>
                <w:rFonts w:asciiTheme="majorBidi" w:hAnsiTheme="majorBidi" w:cstheme="majorBidi"/>
                <w:b/>
                <w:bCs/>
                <w:sz w:val="24"/>
                <w:szCs w:val="24"/>
              </w:rPr>
              <w:t>RD</w:t>
            </w:r>
          </w:p>
        </w:tc>
        <w:tc>
          <w:tcPr>
            <w:tcW w:w="1930" w:type="pct"/>
            <w:gridSpan w:val="2"/>
            <w:tcBorders>
              <w:top w:val="single" w:sz="12" w:space="0" w:color="auto"/>
              <w:left w:val="nil"/>
              <w:bottom w:val="single" w:sz="12" w:space="0" w:color="auto"/>
              <w:right w:val="nil"/>
            </w:tcBorders>
            <w:shd w:val="clear" w:color="auto" w:fill="auto"/>
            <w:vAlign w:val="center"/>
          </w:tcPr>
          <w:p w:rsidR="006E538D" w:rsidRPr="006E538D" w:rsidRDefault="006E538D" w:rsidP="00DD1078">
            <w:pPr>
              <w:bidi w:val="0"/>
              <w:spacing w:line="240" w:lineRule="exact"/>
              <w:jc w:val="center"/>
              <w:rPr>
                <w:rFonts w:asciiTheme="majorBidi" w:hAnsiTheme="majorBidi" w:cstheme="majorBidi"/>
                <w:b/>
                <w:bCs/>
                <w:sz w:val="24"/>
                <w:szCs w:val="24"/>
              </w:rPr>
            </w:pPr>
            <w:r w:rsidRPr="006E538D">
              <w:rPr>
                <w:rFonts w:asciiTheme="majorBidi" w:hAnsiTheme="majorBidi" w:cstheme="majorBidi"/>
                <w:b/>
                <w:bCs/>
                <w:sz w:val="24"/>
                <w:szCs w:val="24"/>
              </w:rPr>
              <w:t>BS</w:t>
            </w:r>
          </w:p>
        </w:tc>
      </w:tr>
      <w:tr w:rsidR="006E538D" w:rsidRPr="004A6975" w:rsidTr="00DD1078">
        <w:trPr>
          <w:trHeight w:val="283"/>
        </w:trPr>
        <w:tc>
          <w:tcPr>
            <w:tcW w:w="1033" w:type="pct"/>
            <w:vMerge/>
            <w:tcBorders>
              <w:top w:val="nil"/>
              <w:left w:val="nil"/>
              <w:bottom w:val="single" w:sz="12" w:space="0" w:color="auto"/>
              <w:right w:val="nil"/>
            </w:tcBorders>
            <w:shd w:val="clear" w:color="auto" w:fill="auto"/>
            <w:vAlign w:val="center"/>
          </w:tcPr>
          <w:p w:rsidR="006E538D" w:rsidRPr="006E538D" w:rsidRDefault="006E538D" w:rsidP="00DD1078">
            <w:pPr>
              <w:bidi w:val="0"/>
              <w:spacing w:line="240" w:lineRule="exact"/>
              <w:rPr>
                <w:rFonts w:asciiTheme="majorBidi" w:hAnsiTheme="majorBidi" w:cstheme="majorBidi"/>
                <w:b/>
                <w:bCs/>
                <w:sz w:val="24"/>
                <w:szCs w:val="24"/>
              </w:rPr>
            </w:pPr>
          </w:p>
        </w:tc>
        <w:tc>
          <w:tcPr>
            <w:tcW w:w="992" w:type="pct"/>
            <w:tcBorders>
              <w:top w:val="single" w:sz="12" w:space="0" w:color="auto"/>
              <w:left w:val="nil"/>
              <w:bottom w:val="single" w:sz="12" w:space="0" w:color="auto"/>
              <w:right w:val="nil"/>
            </w:tcBorders>
            <w:shd w:val="clear" w:color="auto" w:fill="auto"/>
            <w:vAlign w:val="center"/>
          </w:tcPr>
          <w:p w:rsidR="006E538D" w:rsidRPr="006E538D" w:rsidRDefault="006E538D" w:rsidP="00DD1078">
            <w:pPr>
              <w:bidi w:val="0"/>
              <w:spacing w:line="240" w:lineRule="exact"/>
              <w:jc w:val="center"/>
              <w:rPr>
                <w:rFonts w:asciiTheme="majorBidi" w:hAnsiTheme="majorBidi" w:cstheme="majorBidi"/>
                <w:b/>
                <w:bCs/>
                <w:sz w:val="24"/>
                <w:szCs w:val="24"/>
              </w:rPr>
            </w:pPr>
            <w:r w:rsidRPr="006E538D">
              <w:rPr>
                <w:rFonts w:asciiTheme="majorBidi" w:hAnsiTheme="majorBidi" w:cstheme="majorBidi"/>
                <w:b/>
                <w:bCs/>
                <w:sz w:val="24"/>
                <w:szCs w:val="24"/>
              </w:rPr>
              <w:t>=1</w:t>
            </w:r>
          </w:p>
        </w:tc>
        <w:tc>
          <w:tcPr>
            <w:tcW w:w="1045" w:type="pct"/>
            <w:tcBorders>
              <w:top w:val="single" w:sz="12" w:space="0" w:color="auto"/>
              <w:left w:val="nil"/>
              <w:bottom w:val="single" w:sz="12" w:space="0" w:color="auto"/>
              <w:right w:val="nil"/>
            </w:tcBorders>
            <w:shd w:val="clear" w:color="auto" w:fill="auto"/>
            <w:vAlign w:val="center"/>
          </w:tcPr>
          <w:p w:rsidR="006E538D" w:rsidRPr="006E538D" w:rsidRDefault="006E538D" w:rsidP="00DD1078">
            <w:pPr>
              <w:bidi w:val="0"/>
              <w:spacing w:line="240" w:lineRule="exact"/>
              <w:jc w:val="center"/>
              <w:rPr>
                <w:rFonts w:asciiTheme="majorBidi" w:hAnsiTheme="majorBidi" w:cstheme="majorBidi"/>
                <w:b/>
                <w:bCs/>
                <w:sz w:val="24"/>
                <w:szCs w:val="24"/>
              </w:rPr>
            </w:pPr>
            <w:r w:rsidRPr="006E538D">
              <w:rPr>
                <w:rFonts w:asciiTheme="majorBidi" w:hAnsiTheme="majorBidi" w:cstheme="majorBidi"/>
                <w:b/>
                <w:bCs/>
                <w:sz w:val="24"/>
                <w:szCs w:val="24"/>
              </w:rPr>
              <w:t>= 0</w:t>
            </w:r>
          </w:p>
        </w:tc>
        <w:tc>
          <w:tcPr>
            <w:tcW w:w="833" w:type="pct"/>
            <w:tcBorders>
              <w:top w:val="single" w:sz="12" w:space="0" w:color="auto"/>
              <w:left w:val="nil"/>
              <w:bottom w:val="single" w:sz="12" w:space="0" w:color="auto"/>
              <w:right w:val="nil"/>
            </w:tcBorders>
            <w:shd w:val="clear" w:color="auto" w:fill="auto"/>
            <w:vAlign w:val="center"/>
          </w:tcPr>
          <w:p w:rsidR="006E538D" w:rsidRPr="006E538D" w:rsidRDefault="006E538D" w:rsidP="00DD1078">
            <w:pPr>
              <w:bidi w:val="0"/>
              <w:spacing w:line="240" w:lineRule="exact"/>
              <w:jc w:val="center"/>
              <w:rPr>
                <w:rFonts w:asciiTheme="majorBidi" w:hAnsiTheme="majorBidi" w:cstheme="majorBidi"/>
                <w:b/>
                <w:bCs/>
                <w:sz w:val="24"/>
                <w:szCs w:val="24"/>
              </w:rPr>
            </w:pPr>
            <w:r w:rsidRPr="006E538D">
              <w:rPr>
                <w:rFonts w:asciiTheme="majorBidi" w:hAnsiTheme="majorBidi" w:cstheme="majorBidi"/>
                <w:b/>
                <w:bCs/>
                <w:sz w:val="24"/>
                <w:szCs w:val="24"/>
              </w:rPr>
              <w:t>≤ 7</w:t>
            </w:r>
          </w:p>
        </w:tc>
        <w:tc>
          <w:tcPr>
            <w:tcW w:w="1097" w:type="pct"/>
            <w:tcBorders>
              <w:top w:val="single" w:sz="12" w:space="0" w:color="auto"/>
              <w:left w:val="nil"/>
              <w:bottom w:val="single" w:sz="12" w:space="0" w:color="auto"/>
              <w:right w:val="nil"/>
            </w:tcBorders>
            <w:shd w:val="clear" w:color="auto" w:fill="auto"/>
            <w:vAlign w:val="center"/>
          </w:tcPr>
          <w:p w:rsidR="006E538D" w:rsidRPr="006E538D" w:rsidRDefault="006E538D" w:rsidP="00DD1078">
            <w:pPr>
              <w:bidi w:val="0"/>
              <w:spacing w:line="240" w:lineRule="exact"/>
              <w:jc w:val="center"/>
              <w:rPr>
                <w:rFonts w:asciiTheme="majorBidi" w:hAnsiTheme="majorBidi" w:cstheme="majorBidi"/>
                <w:b/>
                <w:bCs/>
                <w:sz w:val="24"/>
                <w:szCs w:val="24"/>
              </w:rPr>
            </w:pPr>
            <w:r w:rsidRPr="006E538D">
              <w:rPr>
                <w:rFonts w:asciiTheme="majorBidi" w:hAnsiTheme="majorBidi" w:cstheme="majorBidi"/>
                <w:b/>
                <w:bCs/>
                <w:sz w:val="24"/>
                <w:szCs w:val="24"/>
              </w:rPr>
              <w:t>&gt; 7</w:t>
            </w:r>
          </w:p>
        </w:tc>
      </w:tr>
      <w:tr w:rsidR="006E538D" w:rsidRPr="004A6975" w:rsidTr="00DD1078">
        <w:trPr>
          <w:trHeight w:val="283"/>
        </w:trPr>
        <w:tc>
          <w:tcPr>
            <w:tcW w:w="1033" w:type="pct"/>
            <w:tcBorders>
              <w:top w:val="single" w:sz="12" w:space="0" w:color="auto"/>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Constant</w:t>
            </w:r>
          </w:p>
        </w:tc>
        <w:tc>
          <w:tcPr>
            <w:tcW w:w="992" w:type="pct"/>
            <w:tcBorders>
              <w:top w:val="single" w:sz="12" w:space="0" w:color="auto"/>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2.48</w:t>
            </w:r>
          </w:p>
        </w:tc>
        <w:tc>
          <w:tcPr>
            <w:tcW w:w="1045" w:type="pct"/>
            <w:tcBorders>
              <w:top w:val="single" w:sz="12" w:space="0" w:color="auto"/>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2.24</w:t>
            </w:r>
          </w:p>
        </w:tc>
        <w:tc>
          <w:tcPr>
            <w:tcW w:w="833" w:type="pct"/>
            <w:tcBorders>
              <w:top w:val="single" w:sz="12" w:space="0" w:color="auto"/>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2.34</w:t>
            </w:r>
          </w:p>
        </w:tc>
        <w:tc>
          <w:tcPr>
            <w:tcW w:w="1097" w:type="pct"/>
            <w:tcBorders>
              <w:top w:val="single" w:sz="12" w:space="0" w:color="auto"/>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1.53</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6E538D" w:rsidRPr="00FD25DA"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(0.95)</w:t>
            </w:r>
          </w:p>
        </w:tc>
        <w:tc>
          <w:tcPr>
            <w:tcW w:w="1045"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(1.50)</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(1.45)</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(0.63)</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LP</w:t>
            </w:r>
          </w:p>
        </w:tc>
        <w:tc>
          <w:tcPr>
            <w:tcW w:w="992"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1045"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6E538D" w:rsidRPr="00FD25DA"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(-0.49)</w:t>
            </w:r>
          </w:p>
        </w:tc>
        <w:tc>
          <w:tcPr>
            <w:tcW w:w="1045"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(4.46)</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(0.02)</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(2.12)</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DR</w:t>
            </w:r>
          </w:p>
        </w:tc>
        <w:tc>
          <w:tcPr>
            <w:tcW w:w="992"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-0.12</w:t>
            </w:r>
          </w:p>
        </w:tc>
        <w:tc>
          <w:tcPr>
            <w:tcW w:w="1045"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-0.10**</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-0.11**</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-0.12**</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(-1.76)</w:t>
            </w:r>
          </w:p>
        </w:tc>
        <w:tc>
          <w:tcPr>
            <w:tcW w:w="1045"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(-4.39)</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(-2.74)</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(-3.58)</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GPNS</w:t>
            </w:r>
          </w:p>
        </w:tc>
        <w:tc>
          <w:tcPr>
            <w:tcW w:w="992"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6.23*</w:t>
            </w:r>
          </w:p>
        </w:tc>
        <w:tc>
          <w:tcPr>
            <w:tcW w:w="1045"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15.59**</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9.94**</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14.36**</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(2.08)</w:t>
            </w:r>
          </w:p>
        </w:tc>
        <w:tc>
          <w:tcPr>
            <w:tcW w:w="1045"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(4.90)</w:t>
            </w:r>
          </w:p>
        </w:tc>
        <w:tc>
          <w:tcPr>
            <w:tcW w:w="833" w:type="pct"/>
            <w:tcBorders>
              <w:top w:val="nil"/>
              <w:left w:val="nil"/>
              <w:bottom w:val="nil"/>
              <w:right w:val="nil"/>
            </w:tcBorders>
            <w:vAlign w:val="center"/>
          </w:tcPr>
          <w:p w:rsidR="006E538D"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(4.53)</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(2.80)</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TI</w:t>
            </w:r>
          </w:p>
        </w:tc>
        <w:tc>
          <w:tcPr>
            <w:tcW w:w="992"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0.78**</w:t>
            </w:r>
          </w:p>
        </w:tc>
        <w:tc>
          <w:tcPr>
            <w:tcW w:w="1045"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-0.24</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0.33</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0.72**</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(7.73)</w:t>
            </w:r>
          </w:p>
        </w:tc>
        <w:tc>
          <w:tcPr>
            <w:tcW w:w="1045"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(-1.60)</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(0.87)</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(7.41)</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ITR</w:t>
            </w:r>
          </w:p>
        </w:tc>
        <w:tc>
          <w:tcPr>
            <w:tcW w:w="992"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1045"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0.16</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0.37</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(-0.04)</w:t>
            </w:r>
          </w:p>
        </w:tc>
        <w:tc>
          <w:tcPr>
            <w:tcW w:w="1045"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(1.86)</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(-1.58)</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(-0.71)</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TATR</w:t>
            </w:r>
          </w:p>
        </w:tc>
        <w:tc>
          <w:tcPr>
            <w:tcW w:w="992"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3.89</w:t>
            </w:r>
          </w:p>
        </w:tc>
        <w:tc>
          <w:tcPr>
            <w:tcW w:w="1045"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0.18</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7.45**</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-0.02</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p>
        </w:tc>
        <w:tc>
          <w:tcPr>
            <w:tcW w:w="992"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(1.77)</w:t>
            </w:r>
          </w:p>
        </w:tc>
        <w:tc>
          <w:tcPr>
            <w:tcW w:w="1045" w:type="pct"/>
            <w:tcBorders>
              <w:top w:val="nil"/>
              <w:left w:val="nil"/>
              <w:bottom w:val="nil"/>
              <w:right w:val="nil"/>
            </w:tcBorders>
            <w:vAlign w:val="center"/>
          </w:tcPr>
          <w:p w:rsidR="006E538D" w:rsidRPr="00F2211C"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(1.04)</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(4.84)</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(-0.09)</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Pr>
                <w:rFonts w:asciiTheme="majorBidi" w:hAnsiTheme="majorBidi" w:cstheme="majorBidi"/>
                <w:sz w:val="24"/>
                <w:szCs w:val="24"/>
              </w:rPr>
              <w:t>R</w:t>
            </w:r>
            <w:r w:rsidRPr="00A60EBC">
              <w:rPr>
                <w:rFonts w:asciiTheme="majorBidi" w:hAnsiTheme="majorBidi" w:cstheme="majorBidi"/>
                <w:sz w:val="24"/>
                <w:szCs w:val="24"/>
                <w:vertAlign w:val="superscript"/>
              </w:rPr>
              <w:t>2</w:t>
            </w:r>
          </w:p>
        </w:tc>
        <w:tc>
          <w:tcPr>
            <w:tcW w:w="992"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0.366</w:t>
            </w:r>
          </w:p>
        </w:tc>
        <w:tc>
          <w:tcPr>
            <w:tcW w:w="1045"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0.558</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0.298</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0.441</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sidRPr="00FD25DA">
              <w:rPr>
                <w:rFonts w:asciiTheme="majorBidi" w:hAnsiTheme="majorBidi" w:cstheme="majorBidi"/>
                <w:sz w:val="24"/>
                <w:szCs w:val="24"/>
              </w:rPr>
              <w:t>Wald chi</w:t>
            </w:r>
            <w:r w:rsidRPr="00FD25DA">
              <w:rPr>
                <w:rFonts w:asciiTheme="majorBidi" w:hAnsiTheme="majorBidi" w:cstheme="majorBidi"/>
                <w:sz w:val="24"/>
                <w:szCs w:val="24"/>
                <w:vertAlign w:val="superscript"/>
              </w:rPr>
              <w:t>2</w:t>
            </w:r>
          </w:p>
        </w:tc>
        <w:tc>
          <w:tcPr>
            <w:tcW w:w="992"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69.23**</w:t>
            </w:r>
          </w:p>
        </w:tc>
        <w:tc>
          <w:tcPr>
            <w:tcW w:w="1045"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112.26**</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40.55**</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108.05**</w:t>
            </w:r>
          </w:p>
        </w:tc>
      </w:tr>
      <w:tr w:rsidR="006E538D" w:rsidRPr="004A6975" w:rsidTr="00DD1078">
        <w:trPr>
          <w:trHeight w:val="283"/>
        </w:trPr>
        <w:tc>
          <w:tcPr>
            <w:tcW w:w="1033" w:type="pct"/>
            <w:tcBorders>
              <w:top w:val="nil"/>
              <w:left w:val="nil"/>
              <w:bottom w:val="nil"/>
              <w:right w:val="nil"/>
            </w:tcBorders>
            <w:vAlign w:val="center"/>
          </w:tcPr>
          <w:p w:rsidR="006E538D" w:rsidRPr="00FD25DA" w:rsidRDefault="006E538D" w:rsidP="00DD1078">
            <w:pPr>
              <w:bidi w:val="0"/>
              <w:spacing w:line="240" w:lineRule="exact"/>
              <w:rPr>
                <w:rFonts w:asciiTheme="majorBidi" w:hAnsiTheme="majorBidi" w:cstheme="majorBidi"/>
                <w:sz w:val="24"/>
                <w:szCs w:val="24"/>
              </w:rPr>
            </w:pPr>
            <w:r>
              <w:rPr>
                <w:rFonts w:asciiTheme="majorBidi" w:hAnsiTheme="majorBidi" w:cstheme="majorBidi"/>
                <w:sz w:val="24"/>
                <w:szCs w:val="24"/>
              </w:rPr>
              <w:t>N. of Obs.</w:t>
            </w:r>
          </w:p>
        </w:tc>
        <w:tc>
          <w:tcPr>
            <w:tcW w:w="992"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75</w:t>
            </w:r>
          </w:p>
        </w:tc>
        <w:tc>
          <w:tcPr>
            <w:tcW w:w="1045" w:type="pct"/>
            <w:tcBorders>
              <w:top w:val="nil"/>
              <w:left w:val="nil"/>
              <w:bottom w:val="nil"/>
              <w:right w:val="nil"/>
            </w:tcBorders>
            <w:vAlign w:val="center"/>
          </w:tcPr>
          <w:p w:rsidR="006E538D" w:rsidRDefault="006E538D" w:rsidP="00DD1078">
            <w:pPr>
              <w:bidi w:val="0"/>
              <w:spacing w:before="60" w:after="6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159</w:t>
            </w:r>
          </w:p>
        </w:tc>
        <w:tc>
          <w:tcPr>
            <w:tcW w:w="833"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123</w:t>
            </w:r>
          </w:p>
        </w:tc>
        <w:tc>
          <w:tcPr>
            <w:tcW w:w="1097" w:type="pct"/>
            <w:tcBorders>
              <w:top w:val="nil"/>
              <w:left w:val="nil"/>
              <w:bottom w:val="nil"/>
              <w:right w:val="nil"/>
            </w:tcBorders>
            <w:vAlign w:val="center"/>
          </w:tcPr>
          <w:p w:rsidR="006E538D" w:rsidRPr="00FD25DA" w:rsidRDefault="006E538D" w:rsidP="00DD1078">
            <w:pPr>
              <w:bidi w:val="0"/>
              <w:spacing w:line="240"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111</w:t>
            </w:r>
          </w:p>
        </w:tc>
      </w:tr>
      <w:tr w:rsidR="006E538D" w:rsidRPr="004A6975" w:rsidTr="00DD1078">
        <w:trPr>
          <w:trHeight w:val="283"/>
        </w:trPr>
        <w:tc>
          <w:tcPr>
            <w:tcW w:w="5000" w:type="pct"/>
            <w:gridSpan w:val="5"/>
            <w:tcBorders>
              <w:top w:val="single" w:sz="12" w:space="0" w:color="auto"/>
              <w:left w:val="nil"/>
              <w:bottom w:val="nil"/>
              <w:right w:val="nil"/>
            </w:tcBorders>
            <w:shd w:val="clear" w:color="auto" w:fill="auto"/>
            <w:vAlign w:val="center"/>
          </w:tcPr>
          <w:p w:rsidR="006E538D" w:rsidRPr="004A6542" w:rsidRDefault="006E538D" w:rsidP="00DD1078">
            <w:pPr>
              <w:autoSpaceDE w:val="0"/>
              <w:autoSpaceDN w:val="0"/>
              <w:bidi w:val="0"/>
              <w:adjustRightInd w:val="0"/>
              <w:rPr>
                <w:rFonts w:ascii="Times New Roman" w:hAnsi="Times New Roman" w:cs="Times New Roman"/>
                <w:sz w:val="20"/>
                <w:szCs w:val="20"/>
              </w:rPr>
            </w:pPr>
            <w:r w:rsidRPr="004A6542">
              <w:rPr>
                <w:rFonts w:asciiTheme="majorBidi" w:hAnsiTheme="majorBidi" w:cstheme="majorBidi"/>
                <w:sz w:val="20"/>
                <w:szCs w:val="20"/>
              </w:rPr>
              <w:t xml:space="preserve">Note: </w:t>
            </w:r>
            <w:r w:rsidRPr="004A6542">
              <w:rPr>
                <w:rFonts w:ascii="Times New Roman" w:hAnsi="Times New Roman" w:cs="Times New Roman"/>
                <w:sz w:val="20"/>
                <w:szCs w:val="20"/>
              </w:rPr>
              <w:t>The t-ratios are in parentheses</w:t>
            </w:r>
          </w:p>
          <w:p w:rsidR="006E538D" w:rsidRPr="00FD25DA" w:rsidRDefault="006E538D" w:rsidP="00DD1078">
            <w:pPr>
              <w:bidi w:val="0"/>
              <w:spacing w:line="240" w:lineRule="exact"/>
              <w:rPr>
                <w:rFonts w:asciiTheme="majorBidi" w:hAnsiTheme="majorBidi" w:cstheme="majorBidi"/>
                <w:sz w:val="24"/>
                <w:szCs w:val="24"/>
                <w:vertAlign w:val="superscript"/>
              </w:rPr>
            </w:pPr>
            <w:r>
              <w:rPr>
                <w:rFonts w:asciiTheme="majorBidi" w:hAnsiTheme="majorBidi" w:cstheme="majorBidi"/>
                <w:sz w:val="20"/>
                <w:szCs w:val="20"/>
              </w:rPr>
              <w:t xml:space="preserve">         </w:t>
            </w:r>
            <w:r w:rsidRPr="004A6542">
              <w:rPr>
                <w:rFonts w:asciiTheme="majorBidi" w:hAnsiTheme="majorBidi" w:cstheme="majorBidi"/>
                <w:sz w:val="20"/>
                <w:szCs w:val="20"/>
              </w:rPr>
              <w:t>* significant at 5%, ** significant at 1%</w:t>
            </w:r>
          </w:p>
        </w:tc>
      </w:tr>
    </w:tbl>
    <w:p w:rsidR="006E538D" w:rsidRDefault="006E538D" w:rsidP="006E538D">
      <w:pPr>
        <w:bidi w:val="0"/>
      </w:pPr>
    </w:p>
    <w:p w:rsidR="006E538D" w:rsidRPr="00750936" w:rsidRDefault="006E538D" w:rsidP="006E538D">
      <w:pPr>
        <w:bidi w:val="0"/>
      </w:pPr>
    </w:p>
    <w:p w:rsidR="00312593" w:rsidRPr="00951ED7" w:rsidRDefault="002209B3" w:rsidP="006E538D">
      <w:pPr>
        <w:bidi w:val="0"/>
        <w:spacing w:before="120" w:after="120" w:line="240" w:lineRule="auto"/>
        <w:jc w:val="both"/>
        <w:rPr>
          <w:rFonts w:asciiTheme="majorBidi" w:hAnsiTheme="majorBidi" w:cstheme="majorBidi"/>
          <w:sz w:val="24"/>
          <w:szCs w:val="24"/>
        </w:rPr>
      </w:pPr>
      <w:r w:rsidRPr="00951ED7">
        <w:rPr>
          <w:rFonts w:asciiTheme="majorBidi" w:hAnsiTheme="majorBidi" w:cstheme="majorBidi"/>
          <w:sz w:val="24"/>
          <w:szCs w:val="24"/>
        </w:rPr>
        <w:lastRenderedPageBreak/>
        <w:t xml:space="preserve">The results indicate that GPNS has a significant and positive effect on ROI, whether there is a role duality or not, but this effect is more significant and powerful when there is no rule duality. On the other hand, </w:t>
      </w:r>
      <w:r w:rsidR="005E3029" w:rsidRPr="00951ED7">
        <w:rPr>
          <w:rFonts w:asciiTheme="majorBidi" w:hAnsiTheme="majorBidi" w:cstheme="majorBidi"/>
          <w:sz w:val="24"/>
          <w:szCs w:val="24"/>
        </w:rPr>
        <w:t>the existence of role duality makes the impact of TI on ROI to be positive</w:t>
      </w:r>
      <w:r w:rsidR="00023199">
        <w:rPr>
          <w:rFonts w:asciiTheme="majorBidi" w:hAnsiTheme="majorBidi" w:cstheme="majorBidi"/>
          <w:sz w:val="24"/>
          <w:szCs w:val="24"/>
        </w:rPr>
        <w:t xml:space="preserve"> and significant. T</w:t>
      </w:r>
      <w:r w:rsidR="005E3029" w:rsidRPr="00951ED7">
        <w:rPr>
          <w:rFonts w:asciiTheme="majorBidi" w:hAnsiTheme="majorBidi" w:cstheme="majorBidi"/>
          <w:sz w:val="24"/>
          <w:szCs w:val="24"/>
        </w:rPr>
        <w:t>he chairman seeks to maximize firm size which is correlated with high rewards and welfare to the administrative team.</w:t>
      </w:r>
      <w:r w:rsidR="00EA2B3B" w:rsidRPr="00951ED7">
        <w:rPr>
          <w:rFonts w:asciiTheme="majorBidi" w:hAnsiTheme="majorBidi" w:cstheme="majorBidi"/>
          <w:sz w:val="24"/>
          <w:szCs w:val="24"/>
        </w:rPr>
        <w:t xml:space="preserve"> The absence of RD makes LP to have a positive and significant effect on ROI. This points out that the absence of RD </w:t>
      </w:r>
      <w:r w:rsidR="00094102" w:rsidRPr="00951ED7">
        <w:rPr>
          <w:rFonts w:asciiTheme="majorBidi" w:hAnsiTheme="majorBidi" w:cstheme="majorBidi"/>
          <w:sz w:val="24"/>
          <w:szCs w:val="24"/>
        </w:rPr>
        <w:t>supports the</w:t>
      </w:r>
      <w:r w:rsidR="00EA2B3B" w:rsidRPr="00951ED7">
        <w:rPr>
          <w:rFonts w:asciiTheme="majorBidi" w:hAnsiTheme="majorBidi" w:cstheme="majorBidi"/>
          <w:sz w:val="24"/>
          <w:szCs w:val="24"/>
        </w:rPr>
        <w:t xml:space="preserve"> ability of CEO </w:t>
      </w:r>
      <w:r w:rsidR="00094102" w:rsidRPr="00951ED7">
        <w:rPr>
          <w:rFonts w:asciiTheme="majorBidi" w:hAnsiTheme="majorBidi" w:cstheme="majorBidi"/>
          <w:sz w:val="24"/>
          <w:szCs w:val="24"/>
        </w:rPr>
        <w:t>to follow</w:t>
      </w:r>
      <w:r w:rsidR="00EA2B3B" w:rsidRPr="00951ED7">
        <w:rPr>
          <w:rFonts w:asciiTheme="majorBidi" w:hAnsiTheme="majorBidi" w:cstheme="majorBidi"/>
          <w:sz w:val="24"/>
          <w:szCs w:val="24"/>
        </w:rPr>
        <w:t xml:space="preserve"> his </w:t>
      </w:r>
      <w:r w:rsidR="00023199" w:rsidRPr="00951ED7">
        <w:rPr>
          <w:rFonts w:asciiTheme="majorBidi" w:hAnsiTheme="majorBidi" w:cstheme="majorBidi"/>
          <w:sz w:val="24"/>
          <w:szCs w:val="24"/>
        </w:rPr>
        <w:t>employees'</w:t>
      </w:r>
      <w:r w:rsidR="00EA2B3B" w:rsidRPr="00951ED7">
        <w:rPr>
          <w:rFonts w:asciiTheme="majorBidi" w:hAnsiTheme="majorBidi" w:cstheme="majorBidi"/>
          <w:sz w:val="24"/>
          <w:szCs w:val="24"/>
        </w:rPr>
        <w:t xml:space="preserve"> performance which in turn reflected in more labor productivity. </w:t>
      </w:r>
      <w:r w:rsidR="00094102" w:rsidRPr="00951ED7">
        <w:rPr>
          <w:rFonts w:asciiTheme="majorBidi" w:hAnsiTheme="majorBidi" w:cstheme="majorBidi"/>
          <w:sz w:val="24"/>
          <w:szCs w:val="24"/>
        </w:rPr>
        <w:t xml:space="preserve"> On the other hand, DR seems to have a negative and significant effect on ROI only in firms with no role </w:t>
      </w:r>
      <w:r w:rsidR="00312593" w:rsidRPr="00951ED7">
        <w:rPr>
          <w:rFonts w:asciiTheme="majorBidi" w:hAnsiTheme="majorBidi" w:cstheme="majorBidi"/>
          <w:sz w:val="24"/>
          <w:szCs w:val="24"/>
        </w:rPr>
        <w:t>duality</w:t>
      </w:r>
      <w:r w:rsidR="00094102" w:rsidRPr="00951ED7">
        <w:rPr>
          <w:rFonts w:asciiTheme="majorBidi" w:hAnsiTheme="majorBidi" w:cstheme="majorBidi"/>
          <w:sz w:val="24"/>
          <w:szCs w:val="24"/>
        </w:rPr>
        <w:t xml:space="preserve">. </w:t>
      </w:r>
    </w:p>
    <w:p w:rsidR="00A72B96" w:rsidRDefault="00312593" w:rsidP="00E606F2">
      <w:pPr>
        <w:bidi w:val="0"/>
        <w:spacing w:before="120" w:after="120" w:line="240" w:lineRule="auto"/>
        <w:jc w:val="both"/>
        <w:rPr>
          <w:rFonts w:asciiTheme="majorBidi" w:hAnsiTheme="majorBidi" w:cstheme="majorBidi"/>
          <w:sz w:val="24"/>
          <w:szCs w:val="24"/>
        </w:rPr>
      </w:pPr>
      <w:r w:rsidRPr="00951ED7">
        <w:rPr>
          <w:rFonts w:asciiTheme="majorBidi" w:hAnsiTheme="majorBidi" w:cstheme="majorBidi"/>
          <w:sz w:val="24"/>
          <w:szCs w:val="24"/>
        </w:rPr>
        <w:t xml:space="preserve">Contrary to the previous results, the outcomes </w:t>
      </w:r>
      <w:r w:rsidR="004A59B2" w:rsidRPr="00951ED7">
        <w:rPr>
          <w:rFonts w:asciiTheme="majorBidi" w:hAnsiTheme="majorBidi" w:cstheme="majorBidi"/>
          <w:sz w:val="24"/>
          <w:szCs w:val="24"/>
        </w:rPr>
        <w:t xml:space="preserve">of table </w:t>
      </w:r>
      <w:r w:rsidR="00A72B96">
        <w:rPr>
          <w:rFonts w:asciiTheme="majorBidi" w:hAnsiTheme="majorBidi" w:cstheme="majorBidi"/>
          <w:sz w:val="24"/>
          <w:szCs w:val="24"/>
        </w:rPr>
        <w:t>5</w:t>
      </w:r>
      <w:r w:rsidR="004A59B2" w:rsidRPr="00951ED7">
        <w:rPr>
          <w:rFonts w:asciiTheme="majorBidi" w:hAnsiTheme="majorBidi" w:cstheme="majorBidi"/>
          <w:sz w:val="24"/>
          <w:szCs w:val="24"/>
        </w:rPr>
        <w:t xml:space="preserve"> </w:t>
      </w:r>
      <w:r w:rsidRPr="00951ED7">
        <w:rPr>
          <w:rFonts w:asciiTheme="majorBidi" w:hAnsiTheme="majorBidi" w:cstheme="majorBidi"/>
          <w:sz w:val="24"/>
          <w:szCs w:val="24"/>
        </w:rPr>
        <w:t>indicate that DR seems to have a negative effect and GPNS has a positive and significant effect on ROI regardless of the board size.</w:t>
      </w:r>
      <w:r w:rsidR="004A59B2" w:rsidRPr="00951ED7">
        <w:rPr>
          <w:rFonts w:asciiTheme="majorBidi" w:hAnsiTheme="majorBidi" w:cstheme="majorBidi"/>
          <w:sz w:val="24"/>
          <w:szCs w:val="24"/>
        </w:rPr>
        <w:t xml:space="preserve"> However, LP and TI have only a significant and positive effect on ROI in firms with large BS. An increase of BS results in an increase of efficiency to follow up employee</w:t>
      </w:r>
      <w:r w:rsidR="00E91F83">
        <w:rPr>
          <w:rFonts w:asciiTheme="majorBidi" w:hAnsiTheme="majorBidi" w:cstheme="majorBidi"/>
          <w:sz w:val="24"/>
          <w:szCs w:val="24"/>
        </w:rPr>
        <w:t>s'</w:t>
      </w:r>
      <w:r w:rsidR="004A59B2" w:rsidRPr="00951ED7">
        <w:rPr>
          <w:rFonts w:asciiTheme="majorBidi" w:hAnsiTheme="majorBidi" w:cstheme="majorBidi"/>
          <w:sz w:val="24"/>
          <w:szCs w:val="24"/>
        </w:rPr>
        <w:t xml:space="preserve"> performance, which leads to increase their productivity. Add to that, the increase of BS enhances </w:t>
      </w:r>
      <w:r w:rsidR="00DA0EEE" w:rsidRPr="00951ED7">
        <w:rPr>
          <w:rFonts w:asciiTheme="majorBidi" w:hAnsiTheme="majorBidi" w:cstheme="majorBidi"/>
          <w:sz w:val="24"/>
          <w:szCs w:val="24"/>
        </w:rPr>
        <w:t>the quality of long run investment decisions which is positively reflected on ROI.</w:t>
      </w:r>
      <w:r w:rsidR="004A59B2" w:rsidRPr="00951ED7">
        <w:rPr>
          <w:rFonts w:asciiTheme="majorBidi" w:hAnsiTheme="majorBidi" w:cstheme="majorBidi"/>
          <w:sz w:val="24"/>
          <w:szCs w:val="24"/>
        </w:rPr>
        <w:t xml:space="preserve"> </w:t>
      </w:r>
      <w:r w:rsidR="00DA0EEE" w:rsidRPr="00951ED7">
        <w:rPr>
          <w:rFonts w:asciiTheme="majorBidi" w:hAnsiTheme="majorBidi" w:cstheme="majorBidi"/>
          <w:sz w:val="24"/>
          <w:szCs w:val="24"/>
        </w:rPr>
        <w:t>On</w:t>
      </w:r>
      <w:r w:rsidR="00E91F83">
        <w:rPr>
          <w:rFonts w:asciiTheme="majorBidi" w:hAnsiTheme="majorBidi" w:cstheme="majorBidi"/>
          <w:sz w:val="24"/>
          <w:szCs w:val="24"/>
        </w:rPr>
        <w:t xml:space="preserve"> the other side, TATR recorded</w:t>
      </w:r>
      <w:r w:rsidR="00DA0EEE" w:rsidRPr="00951ED7">
        <w:rPr>
          <w:rFonts w:asciiTheme="majorBidi" w:hAnsiTheme="majorBidi" w:cstheme="majorBidi"/>
          <w:sz w:val="24"/>
          <w:szCs w:val="24"/>
        </w:rPr>
        <w:t xml:space="preserve"> positive and significant impact on ROI only in firms with sma</w:t>
      </w:r>
      <w:r w:rsidR="00951ED7" w:rsidRPr="00951ED7">
        <w:rPr>
          <w:rFonts w:asciiTheme="majorBidi" w:hAnsiTheme="majorBidi" w:cstheme="majorBidi"/>
          <w:sz w:val="24"/>
          <w:szCs w:val="24"/>
        </w:rPr>
        <w:t>ll BS, which indicates that TATR as a determinant of ROI is more effective in firms with small BS. This can be explained by the increase of BS effectiveness a</w:t>
      </w:r>
      <w:r w:rsidR="00E91F83">
        <w:rPr>
          <w:rFonts w:asciiTheme="majorBidi" w:hAnsiTheme="majorBidi" w:cstheme="majorBidi"/>
          <w:sz w:val="24"/>
          <w:szCs w:val="24"/>
        </w:rPr>
        <w:t>nd their ability to promote</w:t>
      </w:r>
      <w:r w:rsidR="00951ED7" w:rsidRPr="00951ED7">
        <w:rPr>
          <w:rFonts w:asciiTheme="majorBidi" w:hAnsiTheme="majorBidi" w:cstheme="majorBidi"/>
          <w:sz w:val="24"/>
          <w:szCs w:val="24"/>
        </w:rPr>
        <w:t xml:space="preserve"> sales and select the most appropriate investment.</w:t>
      </w:r>
    </w:p>
    <w:p w:rsidR="004A454F" w:rsidRPr="00866A56" w:rsidRDefault="00951ED7" w:rsidP="006E538D">
      <w:pPr>
        <w:bidi w:val="0"/>
        <w:spacing w:before="120" w:after="120" w:line="240" w:lineRule="auto"/>
        <w:jc w:val="both"/>
        <w:rPr>
          <w:rFonts w:ascii="AdvOT6eb13881" w:hAnsi="AdvOT6eb13881" w:cs="AdvOT6eb13881"/>
          <w:color w:val="231F20"/>
          <w:sz w:val="24"/>
          <w:szCs w:val="24"/>
        </w:rPr>
      </w:pPr>
      <w:r w:rsidRPr="00951ED7">
        <w:rPr>
          <w:rFonts w:asciiTheme="majorBidi" w:hAnsiTheme="majorBidi" w:cstheme="majorBidi"/>
          <w:sz w:val="24"/>
          <w:szCs w:val="24"/>
        </w:rPr>
        <w:t xml:space="preserve">In </w:t>
      </w:r>
      <w:r w:rsidRPr="00866A56">
        <w:rPr>
          <w:rFonts w:asciiTheme="majorBidi" w:hAnsiTheme="majorBidi" w:cstheme="majorBidi"/>
          <w:sz w:val="24"/>
          <w:szCs w:val="24"/>
        </w:rPr>
        <w:t xml:space="preserve">general, </w:t>
      </w:r>
      <w:r w:rsidR="007F5F31" w:rsidRPr="00866A56">
        <w:rPr>
          <w:rFonts w:asciiTheme="majorBidi" w:hAnsiTheme="majorBidi" w:cstheme="majorBidi"/>
          <w:sz w:val="24"/>
          <w:szCs w:val="24"/>
        </w:rPr>
        <w:t>we can conclude from the</w:t>
      </w:r>
      <w:r w:rsidR="00BB0932" w:rsidRPr="00866A56">
        <w:rPr>
          <w:rFonts w:asciiTheme="majorBidi" w:hAnsiTheme="majorBidi" w:cstheme="majorBidi"/>
          <w:sz w:val="24"/>
          <w:szCs w:val="24"/>
        </w:rPr>
        <w:t xml:space="preserve"> previous analysis that GPNS is a main deter</w:t>
      </w:r>
      <w:r w:rsidR="00671A6D" w:rsidRPr="00866A56">
        <w:rPr>
          <w:rFonts w:asciiTheme="majorBidi" w:hAnsiTheme="majorBidi" w:cstheme="majorBidi"/>
          <w:sz w:val="24"/>
          <w:szCs w:val="24"/>
        </w:rPr>
        <w:t>minant of ROI regardless of the</w:t>
      </w:r>
      <w:r w:rsidR="00BB0932" w:rsidRPr="00866A56">
        <w:rPr>
          <w:rFonts w:asciiTheme="majorBidi" w:hAnsiTheme="majorBidi" w:cstheme="majorBidi"/>
          <w:sz w:val="24"/>
          <w:szCs w:val="24"/>
        </w:rPr>
        <w:t xml:space="preserve"> firm characteristics. With regard to DR, it appears as a determinant of ROI in most cases unless in cases where firms characterized by low FL and in the existence of RD. LP is represented as a determinant of ROI in new firms, absence of RD, large BS and low of leverage indicators. </w:t>
      </w:r>
      <w:r w:rsidR="004F6A02" w:rsidRPr="00866A56">
        <w:rPr>
          <w:rFonts w:asciiTheme="majorBidi" w:hAnsiTheme="majorBidi" w:cstheme="majorBidi"/>
          <w:sz w:val="24"/>
          <w:szCs w:val="24"/>
        </w:rPr>
        <w:t>On th</w:t>
      </w:r>
      <w:r w:rsidR="006C1337" w:rsidRPr="00866A56">
        <w:rPr>
          <w:rFonts w:asciiTheme="majorBidi" w:hAnsiTheme="majorBidi" w:cstheme="majorBidi"/>
          <w:sz w:val="24"/>
          <w:szCs w:val="24"/>
        </w:rPr>
        <w:t>e other hand, the results point</w:t>
      </w:r>
      <w:r w:rsidR="004F6A02" w:rsidRPr="00866A56">
        <w:rPr>
          <w:rFonts w:asciiTheme="majorBidi" w:hAnsiTheme="majorBidi" w:cstheme="majorBidi"/>
          <w:sz w:val="24"/>
          <w:szCs w:val="24"/>
        </w:rPr>
        <w:t xml:space="preserve"> out that TI </w:t>
      </w:r>
      <w:r w:rsidR="00671A6D" w:rsidRPr="00866A56">
        <w:rPr>
          <w:rFonts w:asciiTheme="majorBidi" w:hAnsiTheme="majorBidi" w:cstheme="majorBidi"/>
          <w:sz w:val="24"/>
          <w:szCs w:val="24"/>
        </w:rPr>
        <w:t xml:space="preserve">(as an indicator of firm size) </w:t>
      </w:r>
      <w:r w:rsidR="004F6A02" w:rsidRPr="00866A56">
        <w:rPr>
          <w:rFonts w:asciiTheme="majorBidi" w:hAnsiTheme="majorBidi" w:cstheme="majorBidi"/>
          <w:sz w:val="24"/>
          <w:szCs w:val="24"/>
        </w:rPr>
        <w:t>is a determinant of ROI in productive firms and in firms characterized by long age, high OL, low FL, existence of RD and large BS.</w:t>
      </w:r>
      <w:r w:rsidR="00671A6D" w:rsidRPr="00866A56">
        <w:rPr>
          <w:rFonts w:asciiTheme="majorBidi" w:hAnsiTheme="majorBidi" w:cstheme="majorBidi"/>
          <w:sz w:val="24"/>
          <w:szCs w:val="24"/>
        </w:rPr>
        <w:t xml:space="preserve"> </w:t>
      </w:r>
      <w:r w:rsidR="005C235D" w:rsidRPr="00866A56">
        <w:rPr>
          <w:rFonts w:asciiTheme="majorBidi" w:hAnsiTheme="majorBidi" w:cstheme="majorBidi"/>
          <w:sz w:val="24"/>
          <w:szCs w:val="24"/>
        </w:rPr>
        <w:t xml:space="preserve"> As </w:t>
      </w:r>
      <w:proofErr w:type="spellStart"/>
      <w:r w:rsidR="005C235D" w:rsidRPr="00866A56">
        <w:rPr>
          <w:rFonts w:asciiTheme="majorBidi" w:hAnsiTheme="majorBidi" w:cstheme="majorBidi"/>
          <w:color w:val="231F20"/>
          <w:sz w:val="24"/>
          <w:szCs w:val="24"/>
        </w:rPr>
        <w:t>Andersson</w:t>
      </w:r>
      <w:proofErr w:type="spellEnd"/>
      <w:r w:rsidR="005C235D" w:rsidRPr="00866A56">
        <w:rPr>
          <w:rFonts w:asciiTheme="majorBidi" w:hAnsiTheme="majorBidi" w:cstheme="majorBidi"/>
          <w:color w:val="231F20"/>
          <w:sz w:val="24"/>
          <w:szCs w:val="24"/>
        </w:rPr>
        <w:t xml:space="preserve"> et al</w:t>
      </w:r>
      <w:r w:rsidR="0006239F" w:rsidRPr="00866A56">
        <w:rPr>
          <w:rFonts w:asciiTheme="majorBidi" w:hAnsiTheme="majorBidi" w:cstheme="majorBidi"/>
          <w:color w:val="231F20"/>
          <w:sz w:val="24"/>
          <w:szCs w:val="24"/>
        </w:rPr>
        <w:t>.</w:t>
      </w:r>
      <w:r w:rsidR="005C235D" w:rsidRPr="00866A56">
        <w:rPr>
          <w:rFonts w:asciiTheme="majorBidi" w:hAnsiTheme="majorBidi" w:cstheme="majorBidi"/>
          <w:color w:val="231F20"/>
          <w:sz w:val="24"/>
          <w:szCs w:val="24"/>
        </w:rPr>
        <w:t xml:space="preserve"> (2013) </w:t>
      </w:r>
      <w:r w:rsidR="005C235D" w:rsidRPr="00866A56">
        <w:rPr>
          <w:rFonts w:asciiTheme="majorBidi" w:hAnsiTheme="majorBidi" w:cstheme="majorBidi"/>
          <w:sz w:val="24"/>
          <w:szCs w:val="24"/>
        </w:rPr>
        <w:t>stated, t</w:t>
      </w:r>
      <w:r w:rsidR="00671A6D" w:rsidRPr="00866A56">
        <w:rPr>
          <w:rFonts w:asciiTheme="majorBidi" w:hAnsiTheme="majorBidi" w:cstheme="majorBidi"/>
          <w:sz w:val="24"/>
          <w:szCs w:val="24"/>
        </w:rPr>
        <w:t xml:space="preserve">his result indicates that </w:t>
      </w:r>
      <w:r w:rsidR="006C1337" w:rsidRPr="00866A56">
        <w:rPr>
          <w:rFonts w:asciiTheme="majorBidi" w:hAnsiTheme="majorBidi" w:cstheme="majorBidi"/>
          <w:sz w:val="24"/>
          <w:szCs w:val="24"/>
        </w:rPr>
        <w:t>big firms</w:t>
      </w:r>
      <w:r w:rsidR="00671A6D" w:rsidRPr="00866A56">
        <w:rPr>
          <w:rFonts w:asciiTheme="majorBidi" w:hAnsiTheme="majorBidi" w:cstheme="majorBidi"/>
          <w:sz w:val="24"/>
          <w:szCs w:val="24"/>
        </w:rPr>
        <w:t xml:space="preserve"> </w:t>
      </w:r>
      <w:r w:rsidR="006C1337" w:rsidRPr="00866A56">
        <w:rPr>
          <w:rFonts w:asciiTheme="majorBidi" w:hAnsiTheme="majorBidi" w:cstheme="majorBidi"/>
          <w:sz w:val="24"/>
          <w:szCs w:val="24"/>
        </w:rPr>
        <w:t>have the ability of</w:t>
      </w:r>
      <w:r w:rsidR="00671A6D" w:rsidRPr="00866A56">
        <w:rPr>
          <w:rFonts w:asciiTheme="majorBidi" w:hAnsiTheme="majorBidi" w:cstheme="majorBidi"/>
          <w:sz w:val="24"/>
          <w:szCs w:val="24"/>
        </w:rPr>
        <w:t xml:space="preserve"> avoid</w:t>
      </w:r>
      <w:r w:rsidR="006C1337" w:rsidRPr="00866A56">
        <w:rPr>
          <w:rFonts w:asciiTheme="majorBidi" w:hAnsiTheme="majorBidi" w:cstheme="majorBidi"/>
          <w:sz w:val="24"/>
          <w:szCs w:val="24"/>
        </w:rPr>
        <w:t>ing</w:t>
      </w:r>
      <w:r w:rsidR="00671A6D" w:rsidRPr="00866A56">
        <w:rPr>
          <w:rFonts w:asciiTheme="majorBidi" w:hAnsiTheme="majorBidi" w:cstheme="majorBidi"/>
          <w:sz w:val="24"/>
          <w:szCs w:val="24"/>
        </w:rPr>
        <w:t xml:space="preserve"> investment returns</w:t>
      </w:r>
      <w:r w:rsidR="006C1337" w:rsidRPr="00866A56">
        <w:rPr>
          <w:rFonts w:asciiTheme="majorBidi" w:hAnsiTheme="majorBidi" w:cstheme="majorBidi"/>
          <w:sz w:val="24"/>
          <w:szCs w:val="24"/>
        </w:rPr>
        <w:t xml:space="preserve"> fluctuations through</w:t>
      </w:r>
      <w:r w:rsidR="005C235D" w:rsidRPr="00866A56">
        <w:rPr>
          <w:rFonts w:asciiTheme="majorBidi" w:hAnsiTheme="majorBidi" w:cstheme="majorBidi"/>
          <w:sz w:val="24"/>
          <w:szCs w:val="24"/>
        </w:rPr>
        <w:t xml:space="preserve"> suitable investment structure</w:t>
      </w:r>
      <w:r w:rsidR="00671A6D" w:rsidRPr="00866A56">
        <w:rPr>
          <w:rFonts w:asciiTheme="majorBidi" w:hAnsiTheme="majorBidi" w:cstheme="majorBidi"/>
          <w:sz w:val="24"/>
          <w:szCs w:val="24"/>
        </w:rPr>
        <w:t>, and have sufficient resources to employ specialist financial managers who should have the necessary expertise to maximize investment returns.</w:t>
      </w:r>
      <w:r w:rsidR="004F6A02" w:rsidRPr="00866A56">
        <w:rPr>
          <w:rFonts w:asciiTheme="majorBidi" w:hAnsiTheme="majorBidi" w:cstheme="majorBidi"/>
          <w:sz w:val="24"/>
          <w:szCs w:val="24"/>
        </w:rPr>
        <w:t xml:space="preserve"> It is clear from the results that ITR is not a determinant of ROI in most firms except firms belong to service sector. Finally, TATR represents a determinant of ROI in productive firms, and in firms char</w:t>
      </w:r>
      <w:r w:rsidR="00D06B35" w:rsidRPr="00866A56">
        <w:rPr>
          <w:rFonts w:asciiTheme="majorBidi" w:hAnsiTheme="majorBidi" w:cstheme="majorBidi"/>
          <w:sz w:val="24"/>
          <w:szCs w:val="24"/>
        </w:rPr>
        <w:t>ac</w:t>
      </w:r>
      <w:r w:rsidR="004F6A02" w:rsidRPr="00866A56">
        <w:rPr>
          <w:rFonts w:asciiTheme="majorBidi" w:hAnsiTheme="majorBidi" w:cstheme="majorBidi"/>
          <w:sz w:val="24"/>
          <w:szCs w:val="24"/>
        </w:rPr>
        <w:t xml:space="preserve">terized by </w:t>
      </w:r>
      <w:r w:rsidR="00D06B35" w:rsidRPr="00866A56">
        <w:rPr>
          <w:rFonts w:asciiTheme="majorBidi" w:hAnsiTheme="majorBidi" w:cstheme="majorBidi"/>
          <w:sz w:val="24"/>
          <w:szCs w:val="24"/>
        </w:rPr>
        <w:t xml:space="preserve">short age, low OL, high FL, and small BS. </w:t>
      </w:r>
    </w:p>
    <w:p w:rsidR="00F15C17" w:rsidRPr="006E538D" w:rsidRDefault="006E538D" w:rsidP="00C618C0">
      <w:pPr>
        <w:pStyle w:val="ListParagraph"/>
        <w:numPr>
          <w:ilvl w:val="0"/>
          <w:numId w:val="5"/>
        </w:numPr>
        <w:bidi w:val="0"/>
        <w:spacing w:before="240" w:after="240" w:line="240" w:lineRule="auto"/>
        <w:ind w:left="425" w:hanging="425"/>
        <w:rPr>
          <w:rFonts w:asciiTheme="majorBidi" w:hAnsiTheme="majorBidi" w:cstheme="majorBidi"/>
          <w:b/>
          <w:bCs/>
          <w:sz w:val="28"/>
          <w:szCs w:val="28"/>
        </w:rPr>
      </w:pPr>
      <w:r>
        <w:rPr>
          <w:rFonts w:asciiTheme="majorBidi" w:hAnsiTheme="majorBidi" w:cstheme="majorBidi"/>
          <w:b/>
          <w:bCs/>
          <w:sz w:val="28"/>
          <w:szCs w:val="28"/>
        </w:rPr>
        <w:t>Conclusion and R</w:t>
      </w:r>
      <w:r w:rsidR="00574656" w:rsidRPr="006E538D">
        <w:rPr>
          <w:rFonts w:asciiTheme="majorBidi" w:hAnsiTheme="majorBidi" w:cstheme="majorBidi"/>
          <w:b/>
          <w:bCs/>
          <w:sz w:val="28"/>
          <w:szCs w:val="28"/>
        </w:rPr>
        <w:t>ecommendations</w:t>
      </w:r>
    </w:p>
    <w:p w:rsidR="00A72B96" w:rsidRDefault="00F15C17" w:rsidP="006E538D">
      <w:pPr>
        <w:bidi w:val="0"/>
        <w:spacing w:before="120" w:after="120" w:line="240" w:lineRule="auto"/>
        <w:jc w:val="both"/>
        <w:rPr>
          <w:rFonts w:asciiTheme="majorBidi" w:hAnsiTheme="majorBidi" w:cstheme="majorBidi"/>
          <w:color w:val="231F20"/>
          <w:sz w:val="24"/>
          <w:szCs w:val="24"/>
        </w:rPr>
      </w:pPr>
      <w:r>
        <w:rPr>
          <w:rFonts w:asciiTheme="majorBidi" w:hAnsiTheme="majorBidi" w:cstheme="majorBidi"/>
          <w:sz w:val="24"/>
          <w:szCs w:val="24"/>
        </w:rPr>
        <w:t>The main goal of this study is to investigate the determinants of the rate of return on investment (ROI) using</w:t>
      </w:r>
      <w:r>
        <w:rPr>
          <w:rFonts w:asciiTheme="majorBidi" w:hAnsiTheme="majorBidi" w:cstheme="majorBidi"/>
          <w:color w:val="231F20"/>
          <w:sz w:val="24"/>
          <w:szCs w:val="24"/>
        </w:rPr>
        <w:t xml:space="preserve"> </w:t>
      </w:r>
      <w:r w:rsidRPr="00913182">
        <w:rPr>
          <w:rFonts w:asciiTheme="majorBidi" w:hAnsiTheme="majorBidi" w:cstheme="majorBidi"/>
          <w:color w:val="231F20"/>
          <w:sz w:val="24"/>
          <w:szCs w:val="24"/>
        </w:rPr>
        <w:t xml:space="preserve">balanced panel </w:t>
      </w:r>
      <w:r>
        <w:rPr>
          <w:rFonts w:asciiTheme="majorBidi" w:hAnsiTheme="majorBidi" w:cstheme="majorBidi"/>
          <w:color w:val="231F20"/>
          <w:sz w:val="24"/>
          <w:szCs w:val="24"/>
        </w:rPr>
        <w:t xml:space="preserve">data </w:t>
      </w:r>
      <w:r w:rsidRPr="00913182">
        <w:rPr>
          <w:rFonts w:asciiTheme="majorBidi" w:hAnsiTheme="majorBidi" w:cstheme="majorBidi"/>
          <w:color w:val="231F20"/>
          <w:sz w:val="24"/>
          <w:szCs w:val="24"/>
        </w:rPr>
        <w:t xml:space="preserve">of </w:t>
      </w:r>
      <w:r>
        <w:rPr>
          <w:rFonts w:asciiTheme="majorBidi" w:eastAsia="AdvOT6eb13881+f6" w:hAnsiTheme="majorBidi" w:cstheme="majorBidi"/>
          <w:color w:val="231F20"/>
          <w:sz w:val="24"/>
          <w:szCs w:val="24"/>
        </w:rPr>
        <w:t>78 Egyptian listed</w:t>
      </w:r>
      <w:r w:rsidRPr="00913182">
        <w:rPr>
          <w:rFonts w:asciiTheme="majorBidi" w:eastAsia="AdvOT6eb13881+f6" w:hAnsiTheme="majorBidi" w:cstheme="majorBidi"/>
          <w:color w:val="231F20"/>
          <w:sz w:val="24"/>
          <w:szCs w:val="24"/>
        </w:rPr>
        <w:t xml:space="preserve"> </w:t>
      </w:r>
      <w:r w:rsidRPr="00913182">
        <w:rPr>
          <w:rFonts w:asciiTheme="majorBidi" w:hAnsiTheme="majorBidi" w:cstheme="majorBidi"/>
          <w:color w:val="231F20"/>
          <w:sz w:val="24"/>
          <w:szCs w:val="24"/>
        </w:rPr>
        <w:t>firm</w:t>
      </w:r>
      <w:r>
        <w:rPr>
          <w:rFonts w:asciiTheme="majorBidi" w:hAnsiTheme="majorBidi" w:cstheme="majorBidi"/>
          <w:color w:val="231F20"/>
          <w:sz w:val="24"/>
          <w:szCs w:val="24"/>
        </w:rPr>
        <w:t>s in stock exchange which covers three years (2007-2009).</w:t>
      </w:r>
      <w:r w:rsidRPr="00F15C17">
        <w:rPr>
          <w:rFonts w:asciiTheme="majorBidi" w:hAnsiTheme="majorBidi" w:cstheme="majorBidi"/>
          <w:color w:val="231F20"/>
          <w:sz w:val="24"/>
          <w:szCs w:val="24"/>
        </w:rPr>
        <w:t xml:space="preserve"> </w:t>
      </w:r>
      <w:r w:rsidR="00A668DE">
        <w:rPr>
          <w:rFonts w:asciiTheme="majorBidi" w:hAnsiTheme="majorBidi" w:cstheme="majorBidi"/>
          <w:color w:val="231F20"/>
          <w:sz w:val="24"/>
          <w:szCs w:val="24"/>
        </w:rPr>
        <w:t>W</w:t>
      </w:r>
      <w:r w:rsidRPr="0036647D">
        <w:rPr>
          <w:rFonts w:asciiTheme="majorBidi" w:hAnsiTheme="majorBidi" w:cstheme="majorBidi"/>
          <w:color w:val="231F20"/>
          <w:sz w:val="24"/>
          <w:szCs w:val="24"/>
        </w:rPr>
        <w:t xml:space="preserve">e </w:t>
      </w:r>
      <w:r>
        <w:rPr>
          <w:rFonts w:asciiTheme="majorBidi" w:hAnsiTheme="majorBidi" w:cstheme="majorBidi"/>
          <w:color w:val="231F20"/>
          <w:sz w:val="24"/>
          <w:szCs w:val="24"/>
        </w:rPr>
        <w:t>applied</w:t>
      </w:r>
      <w:r w:rsidR="0014387C">
        <w:rPr>
          <w:rFonts w:asciiTheme="majorBidi" w:hAnsiTheme="majorBidi" w:cstheme="majorBidi"/>
          <w:color w:val="231F20"/>
          <w:sz w:val="24"/>
          <w:szCs w:val="24"/>
        </w:rPr>
        <w:t xml:space="preserve"> a</w:t>
      </w:r>
      <w:r w:rsidRPr="0036647D">
        <w:rPr>
          <w:rFonts w:asciiTheme="majorBidi" w:hAnsiTheme="majorBidi" w:cstheme="majorBidi"/>
          <w:color w:val="231F20"/>
          <w:sz w:val="24"/>
          <w:szCs w:val="24"/>
        </w:rPr>
        <w:t xml:space="preserve"> panel data procedure by applying rand</w:t>
      </w:r>
      <w:r w:rsidR="00A668DE">
        <w:rPr>
          <w:rFonts w:asciiTheme="majorBidi" w:hAnsiTheme="majorBidi" w:cstheme="majorBidi"/>
          <w:color w:val="231F20"/>
          <w:sz w:val="24"/>
          <w:szCs w:val="24"/>
        </w:rPr>
        <w:t>om effects model using Generaliz</w:t>
      </w:r>
      <w:r w:rsidRPr="0036647D">
        <w:rPr>
          <w:rFonts w:asciiTheme="majorBidi" w:hAnsiTheme="majorBidi" w:cstheme="majorBidi"/>
          <w:color w:val="231F20"/>
          <w:sz w:val="24"/>
          <w:szCs w:val="24"/>
        </w:rPr>
        <w:t>ed Method of Moments (GMM) estimation</w:t>
      </w:r>
      <w:r>
        <w:rPr>
          <w:rFonts w:asciiTheme="majorBidi" w:hAnsiTheme="majorBidi" w:cstheme="majorBidi"/>
          <w:color w:val="231F20"/>
          <w:sz w:val="24"/>
          <w:szCs w:val="24"/>
        </w:rPr>
        <w:t xml:space="preserve">. </w:t>
      </w:r>
      <w:r w:rsidR="00785BD2">
        <w:rPr>
          <w:rFonts w:asciiTheme="majorBidi" w:hAnsiTheme="majorBidi" w:cstheme="majorBidi"/>
          <w:color w:val="231F20"/>
          <w:sz w:val="24"/>
          <w:szCs w:val="24"/>
        </w:rPr>
        <w:t>In ge</w:t>
      </w:r>
      <w:r w:rsidR="00A668DE">
        <w:rPr>
          <w:rFonts w:asciiTheme="majorBidi" w:hAnsiTheme="majorBidi" w:cstheme="majorBidi"/>
          <w:color w:val="231F20"/>
          <w:sz w:val="24"/>
          <w:szCs w:val="24"/>
        </w:rPr>
        <w:t>neral, the return on investment</w:t>
      </w:r>
      <w:r w:rsidR="00785BD2">
        <w:rPr>
          <w:rFonts w:asciiTheme="majorBidi" w:hAnsiTheme="majorBidi" w:cstheme="majorBidi"/>
          <w:color w:val="231F20"/>
          <w:sz w:val="24"/>
          <w:szCs w:val="24"/>
        </w:rPr>
        <w:t xml:space="preserve"> was affected by debit ratio, gross profit to net sales, and inventory turnover in service sector, and affected by debit ratio, gross profit to net sales, total investment and total assets turnover in productive sector.  </w:t>
      </w:r>
    </w:p>
    <w:p w:rsidR="00A72B96" w:rsidRDefault="00785BD2" w:rsidP="006E538D">
      <w:pPr>
        <w:bidi w:val="0"/>
        <w:spacing w:before="120" w:after="120" w:line="240" w:lineRule="auto"/>
        <w:jc w:val="both"/>
        <w:rPr>
          <w:rFonts w:asciiTheme="majorBidi" w:hAnsiTheme="majorBidi" w:cstheme="majorBidi"/>
          <w:color w:val="231F20"/>
          <w:sz w:val="24"/>
          <w:szCs w:val="24"/>
        </w:rPr>
      </w:pPr>
      <w:r>
        <w:rPr>
          <w:rFonts w:asciiTheme="majorBidi" w:hAnsiTheme="majorBidi" w:cstheme="majorBidi"/>
          <w:color w:val="231F20"/>
          <w:sz w:val="24"/>
          <w:szCs w:val="24"/>
        </w:rPr>
        <w:t>According to fi</w:t>
      </w:r>
      <w:r w:rsidR="00A668DE">
        <w:rPr>
          <w:rFonts w:asciiTheme="majorBidi" w:hAnsiTheme="majorBidi" w:cstheme="majorBidi"/>
          <w:color w:val="231F20"/>
          <w:sz w:val="24"/>
          <w:szCs w:val="24"/>
        </w:rPr>
        <w:t xml:space="preserve">rm age, </w:t>
      </w:r>
      <w:r w:rsidR="00C331FD">
        <w:rPr>
          <w:rFonts w:asciiTheme="majorBidi" w:hAnsiTheme="majorBidi" w:cstheme="majorBidi"/>
          <w:color w:val="231F20"/>
          <w:sz w:val="24"/>
          <w:szCs w:val="24"/>
        </w:rPr>
        <w:t>the main determinants of ROI in older firms were labor productivity, debit ratio, gross profit to net sales, and total assets turnover, while in new firm</w:t>
      </w:r>
      <w:r w:rsidR="00A668DE">
        <w:rPr>
          <w:rFonts w:asciiTheme="majorBidi" w:hAnsiTheme="majorBidi" w:cstheme="majorBidi"/>
          <w:color w:val="231F20"/>
          <w:sz w:val="24"/>
          <w:szCs w:val="24"/>
        </w:rPr>
        <w:t>s</w:t>
      </w:r>
      <w:r w:rsidR="00C331FD">
        <w:rPr>
          <w:rFonts w:asciiTheme="majorBidi" w:hAnsiTheme="majorBidi" w:cstheme="majorBidi"/>
          <w:color w:val="231F20"/>
          <w:sz w:val="24"/>
          <w:szCs w:val="24"/>
        </w:rPr>
        <w:t xml:space="preserve">, debt ratio, gross profit to net sales and total investment were the significant </w:t>
      </w:r>
      <w:r w:rsidR="00C331FD">
        <w:rPr>
          <w:rFonts w:asciiTheme="majorBidi" w:hAnsiTheme="majorBidi" w:cstheme="majorBidi"/>
          <w:color w:val="231F20"/>
          <w:sz w:val="24"/>
          <w:szCs w:val="24"/>
        </w:rPr>
        <w:lastRenderedPageBreak/>
        <w:t>determinants of ROI.</w:t>
      </w:r>
      <w:r w:rsidR="00911EB4">
        <w:rPr>
          <w:rFonts w:asciiTheme="majorBidi" w:hAnsiTheme="majorBidi" w:cstheme="majorBidi"/>
          <w:color w:val="231F20"/>
          <w:sz w:val="24"/>
          <w:szCs w:val="24"/>
        </w:rPr>
        <w:t xml:space="preserve"> With regard to risk indicators, the results indicated that ROI is affected by labor productivity, debit ratio, gross profit to net sales, and total assets turnover in firms with high operating risk, while debit ratio, gross profit to net sales an</w:t>
      </w:r>
      <w:r w:rsidR="00F2212B">
        <w:rPr>
          <w:rFonts w:asciiTheme="majorBidi" w:hAnsiTheme="majorBidi" w:cstheme="majorBidi"/>
          <w:color w:val="231F20"/>
          <w:sz w:val="24"/>
          <w:szCs w:val="24"/>
        </w:rPr>
        <w:t xml:space="preserve">d total investment were the significant determinants of ROI in firms with low operating risk. </w:t>
      </w:r>
    </w:p>
    <w:p w:rsidR="00A72B96" w:rsidRDefault="00F2212B" w:rsidP="006E538D">
      <w:pPr>
        <w:bidi w:val="0"/>
        <w:spacing w:before="120" w:after="120" w:line="240" w:lineRule="auto"/>
        <w:jc w:val="both"/>
        <w:rPr>
          <w:rFonts w:asciiTheme="majorBidi" w:hAnsiTheme="majorBidi" w:cstheme="majorBidi"/>
          <w:color w:val="231F20"/>
          <w:sz w:val="24"/>
          <w:szCs w:val="24"/>
        </w:rPr>
      </w:pPr>
      <w:r>
        <w:rPr>
          <w:rFonts w:asciiTheme="majorBidi" w:hAnsiTheme="majorBidi" w:cstheme="majorBidi"/>
          <w:color w:val="231F20"/>
          <w:sz w:val="24"/>
          <w:szCs w:val="24"/>
        </w:rPr>
        <w:t>On the other hand, labor productivity, gross profit to net sales, and total assets were the determinants of ROI in firms with high financial risk, while ROI was affected by labor productivity, debit ratio, gross profit to net sales and total assets turnover in firms with low financial risk.</w:t>
      </w:r>
      <w:r w:rsidR="001C0645">
        <w:rPr>
          <w:rFonts w:asciiTheme="majorBidi" w:hAnsiTheme="majorBidi" w:cstheme="majorBidi"/>
          <w:color w:val="231F20"/>
          <w:sz w:val="24"/>
          <w:szCs w:val="24"/>
        </w:rPr>
        <w:t xml:space="preserve"> Furthermore, with the existence of role duality, ROI was affected by gross profit to net sales and total investment, while </w:t>
      </w:r>
      <w:r w:rsidR="00A668DE">
        <w:rPr>
          <w:rFonts w:asciiTheme="majorBidi" w:hAnsiTheme="majorBidi" w:cstheme="majorBidi"/>
          <w:color w:val="231F20"/>
          <w:sz w:val="24"/>
          <w:szCs w:val="24"/>
        </w:rPr>
        <w:t xml:space="preserve">in case of </w:t>
      </w:r>
      <w:r w:rsidR="001C0645">
        <w:rPr>
          <w:rFonts w:asciiTheme="majorBidi" w:hAnsiTheme="majorBidi" w:cstheme="majorBidi"/>
          <w:color w:val="231F20"/>
          <w:sz w:val="24"/>
          <w:szCs w:val="24"/>
        </w:rPr>
        <w:t xml:space="preserve">absence of role duality, </w:t>
      </w:r>
      <w:r w:rsidR="00A668DE">
        <w:rPr>
          <w:rFonts w:asciiTheme="majorBidi" w:hAnsiTheme="majorBidi" w:cstheme="majorBidi"/>
          <w:color w:val="231F20"/>
          <w:sz w:val="24"/>
          <w:szCs w:val="24"/>
        </w:rPr>
        <w:t xml:space="preserve">factors such as </w:t>
      </w:r>
      <w:r w:rsidR="001C0645">
        <w:rPr>
          <w:rFonts w:asciiTheme="majorBidi" w:hAnsiTheme="majorBidi" w:cstheme="majorBidi"/>
          <w:color w:val="231F20"/>
          <w:sz w:val="24"/>
          <w:szCs w:val="24"/>
        </w:rPr>
        <w:t xml:space="preserve">labor productivity, debit ratio, </w:t>
      </w:r>
      <w:r w:rsidR="00A668DE">
        <w:rPr>
          <w:rFonts w:asciiTheme="majorBidi" w:hAnsiTheme="majorBidi" w:cstheme="majorBidi"/>
          <w:color w:val="231F20"/>
          <w:sz w:val="24"/>
          <w:szCs w:val="24"/>
        </w:rPr>
        <w:t xml:space="preserve">and </w:t>
      </w:r>
      <w:r w:rsidR="001C0645">
        <w:rPr>
          <w:rFonts w:asciiTheme="majorBidi" w:hAnsiTheme="majorBidi" w:cstheme="majorBidi"/>
          <w:color w:val="231F20"/>
          <w:sz w:val="24"/>
          <w:szCs w:val="24"/>
        </w:rPr>
        <w:t xml:space="preserve">gross profit to net sales were the main determinants of ROI. From this result, we can conclude that </w:t>
      </w:r>
      <w:r w:rsidR="005F61DB">
        <w:rPr>
          <w:rFonts w:asciiTheme="majorBidi" w:hAnsiTheme="majorBidi" w:cstheme="majorBidi"/>
          <w:color w:val="231F20"/>
          <w:sz w:val="24"/>
          <w:szCs w:val="24"/>
        </w:rPr>
        <w:t>when the chief executive officer (CEO) does not engage the role of chief of the board, the p</w:t>
      </w:r>
      <w:r w:rsidR="00A668DE">
        <w:rPr>
          <w:rFonts w:asciiTheme="majorBidi" w:hAnsiTheme="majorBidi" w:cstheme="majorBidi"/>
          <w:color w:val="231F20"/>
          <w:sz w:val="24"/>
          <w:szCs w:val="24"/>
        </w:rPr>
        <w:t>erformance of ROI will be affected by</w:t>
      </w:r>
      <w:r w:rsidR="005F61DB">
        <w:rPr>
          <w:rFonts w:asciiTheme="majorBidi" w:hAnsiTheme="majorBidi" w:cstheme="majorBidi"/>
          <w:color w:val="231F20"/>
          <w:sz w:val="24"/>
          <w:szCs w:val="24"/>
        </w:rPr>
        <w:t xml:space="preserve"> new factors such as </w:t>
      </w:r>
      <w:r w:rsidR="00A668DE">
        <w:rPr>
          <w:rFonts w:asciiTheme="majorBidi" w:hAnsiTheme="majorBidi" w:cstheme="majorBidi"/>
          <w:color w:val="231F20"/>
          <w:sz w:val="24"/>
          <w:szCs w:val="24"/>
        </w:rPr>
        <w:t>labor productivity</w:t>
      </w:r>
      <w:r w:rsidR="005F61DB">
        <w:rPr>
          <w:rFonts w:asciiTheme="majorBidi" w:hAnsiTheme="majorBidi" w:cstheme="majorBidi"/>
          <w:color w:val="231F20"/>
          <w:sz w:val="24"/>
          <w:szCs w:val="24"/>
        </w:rPr>
        <w:t xml:space="preserve"> </w:t>
      </w:r>
      <w:r w:rsidR="00A668DE">
        <w:rPr>
          <w:rFonts w:asciiTheme="majorBidi" w:hAnsiTheme="majorBidi" w:cstheme="majorBidi"/>
          <w:color w:val="231F20"/>
          <w:sz w:val="24"/>
          <w:szCs w:val="24"/>
        </w:rPr>
        <w:t xml:space="preserve">and </w:t>
      </w:r>
      <w:r w:rsidR="005F61DB">
        <w:rPr>
          <w:rFonts w:asciiTheme="majorBidi" w:hAnsiTheme="majorBidi" w:cstheme="majorBidi"/>
          <w:color w:val="231F20"/>
          <w:sz w:val="24"/>
          <w:szCs w:val="24"/>
        </w:rPr>
        <w:t xml:space="preserve">debit ratio, </w:t>
      </w:r>
      <w:r w:rsidR="00A668DE">
        <w:rPr>
          <w:rFonts w:asciiTheme="majorBidi" w:hAnsiTheme="majorBidi" w:cstheme="majorBidi"/>
          <w:color w:val="231F20"/>
          <w:sz w:val="24"/>
          <w:szCs w:val="24"/>
        </w:rPr>
        <w:t>and</w:t>
      </w:r>
      <w:r w:rsidR="005F61DB">
        <w:rPr>
          <w:rFonts w:asciiTheme="majorBidi" w:hAnsiTheme="majorBidi" w:cstheme="majorBidi"/>
          <w:color w:val="231F20"/>
          <w:sz w:val="24"/>
          <w:szCs w:val="24"/>
        </w:rPr>
        <w:t xml:space="preserve"> the role of gross profit to net </w:t>
      </w:r>
      <w:r w:rsidR="00A668DE">
        <w:rPr>
          <w:rFonts w:asciiTheme="majorBidi" w:hAnsiTheme="majorBidi" w:cstheme="majorBidi"/>
          <w:color w:val="231F20"/>
          <w:sz w:val="24"/>
          <w:szCs w:val="24"/>
        </w:rPr>
        <w:t>sales seems to be more significant</w:t>
      </w:r>
      <w:r w:rsidR="005F61DB">
        <w:rPr>
          <w:rFonts w:asciiTheme="majorBidi" w:hAnsiTheme="majorBidi" w:cstheme="majorBidi"/>
          <w:color w:val="231F20"/>
          <w:sz w:val="24"/>
          <w:szCs w:val="24"/>
        </w:rPr>
        <w:t xml:space="preserve">. </w:t>
      </w:r>
    </w:p>
    <w:p w:rsidR="001E6F4E" w:rsidRDefault="005F61DB" w:rsidP="006E538D">
      <w:pPr>
        <w:bidi w:val="0"/>
        <w:spacing w:before="120" w:after="120" w:line="240" w:lineRule="auto"/>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Moreover, </w:t>
      </w:r>
      <w:r w:rsidR="0023287D">
        <w:rPr>
          <w:rFonts w:asciiTheme="majorBidi" w:hAnsiTheme="majorBidi" w:cstheme="majorBidi"/>
          <w:color w:val="231F20"/>
          <w:sz w:val="24"/>
          <w:szCs w:val="24"/>
        </w:rPr>
        <w:t>ROI in firms with small board size</w:t>
      </w:r>
      <w:r w:rsidR="00E6791F">
        <w:rPr>
          <w:rFonts w:asciiTheme="majorBidi" w:hAnsiTheme="majorBidi" w:cstheme="majorBidi"/>
          <w:color w:val="231F20"/>
          <w:sz w:val="24"/>
          <w:szCs w:val="24"/>
        </w:rPr>
        <w:t xml:space="preserve"> was</w:t>
      </w:r>
      <w:r w:rsidR="0023287D">
        <w:rPr>
          <w:rFonts w:asciiTheme="majorBidi" w:hAnsiTheme="majorBidi" w:cstheme="majorBidi"/>
          <w:color w:val="231F20"/>
          <w:sz w:val="24"/>
          <w:szCs w:val="24"/>
        </w:rPr>
        <w:t xml:space="preserve"> de</w:t>
      </w:r>
      <w:r w:rsidR="00E6791F">
        <w:rPr>
          <w:rFonts w:asciiTheme="majorBidi" w:hAnsiTheme="majorBidi" w:cstheme="majorBidi"/>
          <w:color w:val="231F20"/>
          <w:sz w:val="24"/>
          <w:szCs w:val="24"/>
        </w:rPr>
        <w:t>te</w:t>
      </w:r>
      <w:r w:rsidR="0023287D">
        <w:rPr>
          <w:rFonts w:asciiTheme="majorBidi" w:hAnsiTheme="majorBidi" w:cstheme="majorBidi"/>
          <w:color w:val="231F20"/>
          <w:sz w:val="24"/>
          <w:szCs w:val="24"/>
        </w:rPr>
        <w:t xml:space="preserve">rmined by </w:t>
      </w:r>
      <w:r w:rsidR="00E6791F">
        <w:rPr>
          <w:rFonts w:asciiTheme="majorBidi" w:hAnsiTheme="majorBidi" w:cstheme="majorBidi"/>
          <w:color w:val="231F20"/>
          <w:sz w:val="24"/>
          <w:szCs w:val="24"/>
        </w:rPr>
        <w:t xml:space="preserve">debit ratio, gross profit to net sales, and total asset turnover. On the other hand, </w:t>
      </w:r>
      <w:r w:rsidR="00EF37F4">
        <w:rPr>
          <w:rFonts w:asciiTheme="majorBidi" w:hAnsiTheme="majorBidi" w:cstheme="majorBidi"/>
          <w:color w:val="231F20"/>
          <w:sz w:val="24"/>
          <w:szCs w:val="24"/>
        </w:rPr>
        <w:t xml:space="preserve">the effect of </w:t>
      </w:r>
      <w:r w:rsidR="00E6791F">
        <w:rPr>
          <w:rFonts w:asciiTheme="majorBidi" w:hAnsiTheme="majorBidi" w:cstheme="majorBidi"/>
          <w:color w:val="231F20"/>
          <w:sz w:val="24"/>
          <w:szCs w:val="24"/>
        </w:rPr>
        <w:t>total assets turnover</w:t>
      </w:r>
      <w:r w:rsidR="00EF37F4">
        <w:rPr>
          <w:rFonts w:asciiTheme="majorBidi" w:hAnsiTheme="majorBidi" w:cstheme="majorBidi"/>
          <w:color w:val="231F20"/>
          <w:sz w:val="24"/>
          <w:szCs w:val="24"/>
        </w:rPr>
        <w:t xml:space="preserve"> disappeared, while new factors such as labor productivity and total investment </w:t>
      </w:r>
      <w:r w:rsidR="00E91F83">
        <w:rPr>
          <w:rFonts w:asciiTheme="majorBidi" w:hAnsiTheme="majorBidi" w:cstheme="majorBidi"/>
          <w:color w:val="231F20"/>
          <w:sz w:val="24"/>
          <w:szCs w:val="24"/>
        </w:rPr>
        <w:t>were</w:t>
      </w:r>
      <w:r w:rsidR="00EF37F4">
        <w:rPr>
          <w:rFonts w:asciiTheme="majorBidi" w:hAnsiTheme="majorBidi" w:cstheme="majorBidi"/>
          <w:color w:val="231F20"/>
          <w:sz w:val="24"/>
          <w:szCs w:val="24"/>
        </w:rPr>
        <w:t xml:space="preserve"> effective in</w:t>
      </w:r>
      <w:r w:rsidR="00E6791F">
        <w:rPr>
          <w:rFonts w:asciiTheme="majorBidi" w:hAnsiTheme="majorBidi" w:cstheme="majorBidi"/>
          <w:color w:val="231F20"/>
          <w:sz w:val="24"/>
          <w:szCs w:val="24"/>
        </w:rPr>
        <w:t xml:space="preserve"> firms with large bo</w:t>
      </w:r>
      <w:r w:rsidR="00EF37F4">
        <w:rPr>
          <w:rFonts w:asciiTheme="majorBidi" w:hAnsiTheme="majorBidi" w:cstheme="majorBidi"/>
          <w:color w:val="231F20"/>
          <w:sz w:val="24"/>
          <w:szCs w:val="24"/>
        </w:rPr>
        <w:t>ard size. This may return to an increase of the effectiveness of the role of board of directors in these firms.</w:t>
      </w:r>
      <w:r w:rsidR="00E6791F">
        <w:rPr>
          <w:rFonts w:asciiTheme="majorBidi" w:hAnsiTheme="majorBidi" w:cstheme="majorBidi"/>
          <w:color w:val="231F20"/>
          <w:sz w:val="24"/>
          <w:szCs w:val="24"/>
        </w:rPr>
        <w:t xml:space="preserve"> </w:t>
      </w:r>
      <w:r w:rsidR="0023287D">
        <w:rPr>
          <w:rFonts w:asciiTheme="majorBidi" w:hAnsiTheme="majorBidi" w:cstheme="majorBidi"/>
          <w:color w:val="231F20"/>
          <w:sz w:val="24"/>
          <w:szCs w:val="24"/>
        </w:rPr>
        <w:t xml:space="preserve"> </w:t>
      </w:r>
    </w:p>
    <w:p w:rsidR="004A4860" w:rsidRDefault="004A4860" w:rsidP="00D85BA1">
      <w:pPr>
        <w:bidi w:val="0"/>
        <w:spacing w:before="120" w:after="120" w:line="240" w:lineRule="auto"/>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From the previous results, we can provide some recommendations for </w:t>
      </w:r>
      <w:r w:rsidR="00D85BA1">
        <w:rPr>
          <w:rFonts w:asciiTheme="majorBidi" w:hAnsiTheme="majorBidi" w:cstheme="majorBidi"/>
          <w:color w:val="231F20"/>
          <w:sz w:val="24"/>
          <w:szCs w:val="24"/>
        </w:rPr>
        <w:t>decision-</w:t>
      </w:r>
      <w:r>
        <w:rPr>
          <w:rFonts w:asciiTheme="majorBidi" w:hAnsiTheme="majorBidi" w:cstheme="majorBidi"/>
          <w:color w:val="231F20"/>
          <w:sz w:val="24"/>
          <w:szCs w:val="24"/>
        </w:rPr>
        <w:t>makers of firms and stakeholders of stock exchange which are summarized in these points:</w:t>
      </w:r>
    </w:p>
    <w:p w:rsidR="007E4F62" w:rsidRDefault="006F0F07" w:rsidP="004A4860">
      <w:pPr>
        <w:bidi w:val="0"/>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Investors should direct their investment to firms with</w:t>
      </w:r>
      <w:r w:rsidR="007E4F62">
        <w:rPr>
          <w:rFonts w:asciiTheme="majorBidi" w:hAnsiTheme="majorBidi" w:cstheme="majorBidi"/>
          <w:sz w:val="24"/>
          <w:szCs w:val="24"/>
        </w:rPr>
        <w:t>:</w:t>
      </w:r>
    </w:p>
    <w:p w:rsidR="007E4F62" w:rsidRDefault="007E4F62"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L</w:t>
      </w:r>
      <w:r w:rsidR="006F0F07" w:rsidRPr="007E4F62">
        <w:rPr>
          <w:rFonts w:asciiTheme="majorBidi" w:hAnsiTheme="majorBidi" w:cstheme="majorBidi"/>
          <w:sz w:val="24"/>
          <w:szCs w:val="24"/>
        </w:rPr>
        <w:t>ow debit ratio where debit ratio has a negative impact on ROI in most firms.</w:t>
      </w:r>
    </w:p>
    <w:p w:rsidR="007E4F62" w:rsidRDefault="007E4F62"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H</w:t>
      </w:r>
      <w:r w:rsidR="006F0F07" w:rsidRPr="007E4F62">
        <w:rPr>
          <w:rFonts w:asciiTheme="majorBidi" w:hAnsiTheme="majorBidi" w:cstheme="majorBidi"/>
          <w:sz w:val="24"/>
          <w:szCs w:val="24"/>
        </w:rPr>
        <w:t>igh gross profit to net sales</w:t>
      </w:r>
      <w:r>
        <w:rPr>
          <w:rFonts w:asciiTheme="majorBidi" w:hAnsiTheme="majorBidi" w:cstheme="majorBidi"/>
          <w:sz w:val="24"/>
          <w:szCs w:val="24"/>
        </w:rPr>
        <w:t xml:space="preserve"> (GPNS) </w:t>
      </w:r>
      <w:r w:rsidR="009C3C49">
        <w:rPr>
          <w:rFonts w:asciiTheme="majorBidi" w:hAnsiTheme="majorBidi" w:cstheme="majorBidi"/>
          <w:sz w:val="24"/>
          <w:szCs w:val="24"/>
        </w:rPr>
        <w:t>not the net profit as the</w:t>
      </w:r>
      <w:r>
        <w:rPr>
          <w:rFonts w:asciiTheme="majorBidi" w:hAnsiTheme="majorBidi" w:cstheme="majorBidi"/>
          <w:sz w:val="24"/>
          <w:szCs w:val="24"/>
        </w:rPr>
        <w:t xml:space="preserve"> GPNS reflects the firm</w:t>
      </w:r>
      <w:r w:rsidR="00EB710D">
        <w:rPr>
          <w:rFonts w:asciiTheme="majorBidi" w:hAnsiTheme="majorBidi" w:cstheme="majorBidi"/>
          <w:sz w:val="24"/>
          <w:szCs w:val="24"/>
        </w:rPr>
        <w:t>’s</w:t>
      </w:r>
      <w:r>
        <w:rPr>
          <w:rFonts w:asciiTheme="majorBidi" w:hAnsiTheme="majorBidi" w:cstheme="majorBidi"/>
          <w:sz w:val="24"/>
          <w:szCs w:val="24"/>
        </w:rPr>
        <w:t xml:space="preserve"> income </w:t>
      </w:r>
      <w:r w:rsidR="00EB710D">
        <w:rPr>
          <w:rFonts w:asciiTheme="majorBidi" w:hAnsiTheme="majorBidi" w:cstheme="majorBidi"/>
          <w:sz w:val="24"/>
          <w:szCs w:val="24"/>
        </w:rPr>
        <w:t>from its main activity while</w:t>
      </w:r>
      <w:r>
        <w:rPr>
          <w:rFonts w:asciiTheme="majorBidi" w:hAnsiTheme="majorBidi" w:cstheme="majorBidi"/>
          <w:sz w:val="24"/>
          <w:szCs w:val="24"/>
        </w:rPr>
        <w:t xml:space="preserve"> net profit is affected</w:t>
      </w:r>
      <w:r w:rsidR="00EB710D">
        <w:rPr>
          <w:rFonts w:asciiTheme="majorBidi" w:hAnsiTheme="majorBidi" w:cstheme="majorBidi"/>
          <w:sz w:val="24"/>
          <w:szCs w:val="24"/>
        </w:rPr>
        <w:t xml:space="preserve"> by income of other activities other than</w:t>
      </w:r>
      <w:r>
        <w:rPr>
          <w:rFonts w:asciiTheme="majorBidi" w:hAnsiTheme="majorBidi" w:cstheme="majorBidi"/>
          <w:sz w:val="24"/>
          <w:szCs w:val="24"/>
        </w:rPr>
        <w:t xml:space="preserve"> the main activity</w:t>
      </w:r>
      <w:r w:rsidR="006F0F07" w:rsidRPr="007E4F62">
        <w:rPr>
          <w:rFonts w:asciiTheme="majorBidi" w:hAnsiTheme="majorBidi" w:cstheme="majorBidi"/>
          <w:sz w:val="24"/>
          <w:szCs w:val="24"/>
        </w:rPr>
        <w:t>.</w:t>
      </w:r>
    </w:p>
    <w:p w:rsidR="004A4860" w:rsidRDefault="006F0F07"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sidRPr="007E4F62">
        <w:rPr>
          <w:rFonts w:asciiTheme="majorBidi" w:hAnsiTheme="majorBidi" w:cstheme="majorBidi"/>
          <w:sz w:val="24"/>
          <w:szCs w:val="24"/>
        </w:rPr>
        <w:t xml:space="preserve"> </w:t>
      </w:r>
      <w:r w:rsidR="00EB710D">
        <w:rPr>
          <w:rFonts w:asciiTheme="majorBidi" w:hAnsiTheme="majorBidi" w:cstheme="majorBidi"/>
          <w:sz w:val="24"/>
          <w:szCs w:val="24"/>
        </w:rPr>
        <w:t>High labor productivity in new firms and firms with low operating and financial risk.</w:t>
      </w:r>
    </w:p>
    <w:p w:rsidR="00EB710D" w:rsidRDefault="00EB710D"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High total investment in productive </w:t>
      </w:r>
      <w:r w:rsidR="00D85BA1">
        <w:rPr>
          <w:rFonts w:asciiTheme="majorBidi" w:hAnsiTheme="majorBidi" w:cstheme="majorBidi"/>
          <w:sz w:val="24"/>
          <w:szCs w:val="24"/>
        </w:rPr>
        <w:t>and older firms, and firms with high operating risk but low financial risk.</w:t>
      </w:r>
    </w:p>
    <w:p w:rsidR="00430544" w:rsidRDefault="00430544"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High gross profit to net sales and high total investment in case of </w:t>
      </w:r>
      <w:r w:rsidR="00E91F83">
        <w:rPr>
          <w:rFonts w:asciiTheme="majorBidi" w:hAnsiTheme="majorBidi" w:cstheme="majorBidi"/>
          <w:sz w:val="24"/>
          <w:szCs w:val="24"/>
        </w:rPr>
        <w:t xml:space="preserve">the </w:t>
      </w:r>
      <w:r>
        <w:rPr>
          <w:rFonts w:asciiTheme="majorBidi" w:hAnsiTheme="majorBidi" w:cstheme="majorBidi"/>
          <w:sz w:val="24"/>
          <w:szCs w:val="24"/>
        </w:rPr>
        <w:t>existence of role duality, and high labor productivity, high gross profit to net sales, and l</w:t>
      </w:r>
      <w:r w:rsidR="00E91F83">
        <w:rPr>
          <w:rFonts w:asciiTheme="majorBidi" w:hAnsiTheme="majorBidi" w:cstheme="majorBidi"/>
          <w:sz w:val="24"/>
          <w:szCs w:val="24"/>
        </w:rPr>
        <w:t>ow debit ratio</w:t>
      </w:r>
      <w:r>
        <w:rPr>
          <w:rFonts w:asciiTheme="majorBidi" w:hAnsiTheme="majorBidi" w:cstheme="majorBidi"/>
          <w:sz w:val="24"/>
          <w:szCs w:val="24"/>
        </w:rPr>
        <w:t xml:space="preserve"> in case of absence of role duality.</w:t>
      </w:r>
    </w:p>
    <w:p w:rsidR="00430544" w:rsidRPr="00430544" w:rsidRDefault="00430544"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High gross profit to net sales, high total asset turnover, and low debit ratio in case of small board size, and high labor productivity, high gross profit to net sales, high total investment, and low debt ratio in case of large board size.</w:t>
      </w:r>
    </w:p>
    <w:p w:rsidR="00D85BA1" w:rsidRDefault="00E91F83" w:rsidP="00E91F83">
      <w:pPr>
        <w:bidi w:val="0"/>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On the other hand, d</w:t>
      </w:r>
      <w:r w:rsidR="00D85BA1">
        <w:rPr>
          <w:rFonts w:asciiTheme="majorBidi" w:hAnsiTheme="majorBidi" w:cstheme="majorBidi"/>
          <w:sz w:val="24"/>
          <w:szCs w:val="24"/>
        </w:rPr>
        <w:t>ecision-makers of firms should give greater attention to the following points:</w:t>
      </w:r>
    </w:p>
    <w:p w:rsidR="00D85BA1" w:rsidRDefault="00D85BA1"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Decrease their debit ratio as possible as it has a negative effect on the ROI in most cases.</w:t>
      </w:r>
    </w:p>
    <w:p w:rsidR="00001833" w:rsidRDefault="00001833"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Raise</w:t>
      </w:r>
      <w:r w:rsidR="00D85BA1">
        <w:rPr>
          <w:rFonts w:asciiTheme="majorBidi" w:hAnsiTheme="majorBidi" w:cstheme="majorBidi"/>
          <w:sz w:val="24"/>
          <w:szCs w:val="24"/>
        </w:rPr>
        <w:t xml:space="preserve"> their labor productivity </w:t>
      </w:r>
      <w:r>
        <w:rPr>
          <w:rFonts w:asciiTheme="majorBidi" w:hAnsiTheme="majorBidi" w:cstheme="majorBidi"/>
          <w:sz w:val="24"/>
          <w:szCs w:val="24"/>
        </w:rPr>
        <w:t>especially</w:t>
      </w:r>
      <w:r w:rsidR="00D85BA1">
        <w:rPr>
          <w:rFonts w:asciiTheme="majorBidi" w:hAnsiTheme="majorBidi" w:cstheme="majorBidi"/>
          <w:sz w:val="24"/>
          <w:szCs w:val="24"/>
        </w:rPr>
        <w:t xml:space="preserve"> for </w:t>
      </w:r>
      <w:r>
        <w:rPr>
          <w:rFonts w:asciiTheme="majorBidi" w:hAnsiTheme="majorBidi" w:cstheme="majorBidi"/>
          <w:sz w:val="24"/>
          <w:szCs w:val="24"/>
        </w:rPr>
        <w:t xml:space="preserve">new </w:t>
      </w:r>
      <w:r w:rsidR="00D85BA1">
        <w:rPr>
          <w:rFonts w:asciiTheme="majorBidi" w:hAnsiTheme="majorBidi" w:cstheme="majorBidi"/>
          <w:sz w:val="24"/>
          <w:szCs w:val="24"/>
        </w:rPr>
        <w:t>firms</w:t>
      </w:r>
      <w:r>
        <w:rPr>
          <w:rFonts w:asciiTheme="majorBidi" w:hAnsiTheme="majorBidi" w:cstheme="majorBidi"/>
          <w:sz w:val="24"/>
          <w:szCs w:val="24"/>
        </w:rPr>
        <w:t xml:space="preserve"> and firms</w:t>
      </w:r>
      <w:r w:rsidR="00D85BA1">
        <w:rPr>
          <w:rFonts w:asciiTheme="majorBidi" w:hAnsiTheme="majorBidi" w:cstheme="majorBidi"/>
          <w:sz w:val="24"/>
          <w:szCs w:val="24"/>
        </w:rPr>
        <w:t xml:space="preserve"> with</w:t>
      </w:r>
      <w:r>
        <w:rPr>
          <w:rFonts w:asciiTheme="majorBidi" w:hAnsiTheme="majorBidi" w:cstheme="majorBidi"/>
          <w:sz w:val="24"/>
          <w:szCs w:val="24"/>
        </w:rPr>
        <w:t xml:space="preserve"> low operating risk and high financial risk.</w:t>
      </w:r>
    </w:p>
    <w:p w:rsidR="00D85BA1" w:rsidRDefault="00D85BA1"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 </w:t>
      </w:r>
      <w:r w:rsidR="00001833">
        <w:rPr>
          <w:rFonts w:asciiTheme="majorBidi" w:hAnsiTheme="majorBidi" w:cstheme="majorBidi"/>
          <w:sz w:val="24"/>
          <w:szCs w:val="24"/>
        </w:rPr>
        <w:t>Gross profit to net sales as it has a positive and significant impact on ROI in all firms included in this study.</w:t>
      </w:r>
    </w:p>
    <w:p w:rsidR="00001833" w:rsidRPr="000D4415" w:rsidRDefault="00001833"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lastRenderedPageBreak/>
        <w:t>Total investment appears to be an important indicator of high ROI in older firms and firms with high operating risk and low financial risk.</w:t>
      </w:r>
    </w:p>
    <w:p w:rsidR="00430544" w:rsidRDefault="00F17926"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Divorce board chief from the chief executive officer as in case of role duality ROI was affected by total investment which maximizes the interests of the executive team at the expense</w:t>
      </w:r>
      <w:r w:rsidR="009014A9">
        <w:rPr>
          <w:rFonts w:asciiTheme="majorBidi" w:hAnsiTheme="majorBidi" w:cstheme="majorBidi"/>
          <w:sz w:val="24"/>
          <w:szCs w:val="24"/>
        </w:rPr>
        <w:t xml:space="preserve"> of</w:t>
      </w:r>
      <w:r>
        <w:rPr>
          <w:rFonts w:asciiTheme="majorBidi" w:hAnsiTheme="majorBidi" w:cstheme="majorBidi"/>
          <w:sz w:val="24"/>
          <w:szCs w:val="24"/>
        </w:rPr>
        <w:t xml:space="preserve"> the interest of shareholders. In turn, the effect of this factor disappeared in case of the absence of role duality in favor to other factors such as labor productivity and debit ratio, and </w:t>
      </w:r>
      <w:r w:rsidR="009014A9">
        <w:rPr>
          <w:rFonts w:asciiTheme="majorBidi" w:hAnsiTheme="majorBidi" w:cstheme="majorBidi"/>
          <w:sz w:val="24"/>
          <w:szCs w:val="24"/>
        </w:rPr>
        <w:t>gross</w:t>
      </w:r>
      <w:r>
        <w:rPr>
          <w:rFonts w:asciiTheme="majorBidi" w:hAnsiTheme="majorBidi" w:cstheme="majorBidi"/>
          <w:sz w:val="24"/>
          <w:szCs w:val="24"/>
        </w:rPr>
        <w:t xml:space="preserve"> profit to net sales</w:t>
      </w:r>
      <w:r w:rsidR="00E91F83">
        <w:rPr>
          <w:rFonts w:asciiTheme="majorBidi" w:hAnsiTheme="majorBidi" w:cstheme="majorBidi"/>
          <w:sz w:val="24"/>
          <w:szCs w:val="24"/>
        </w:rPr>
        <w:t xml:space="preserve"> which</w:t>
      </w:r>
      <w:r>
        <w:rPr>
          <w:rFonts w:asciiTheme="majorBidi" w:hAnsiTheme="majorBidi" w:cstheme="majorBidi"/>
          <w:sz w:val="24"/>
          <w:szCs w:val="24"/>
        </w:rPr>
        <w:t xml:space="preserve"> became more significant.</w:t>
      </w:r>
      <w:r w:rsidR="009014A9">
        <w:rPr>
          <w:rFonts w:asciiTheme="majorBidi" w:hAnsiTheme="majorBidi" w:cstheme="majorBidi"/>
          <w:sz w:val="24"/>
          <w:szCs w:val="24"/>
        </w:rPr>
        <w:t xml:space="preserve"> Add to that, we can remark that </w:t>
      </w:r>
      <w:r w:rsidR="00E91F83">
        <w:rPr>
          <w:rFonts w:asciiTheme="majorBidi" w:hAnsiTheme="majorBidi" w:cstheme="majorBidi"/>
          <w:sz w:val="24"/>
          <w:szCs w:val="24"/>
        </w:rPr>
        <w:t xml:space="preserve">the </w:t>
      </w:r>
      <w:r w:rsidR="009014A9">
        <w:rPr>
          <w:rFonts w:asciiTheme="majorBidi" w:hAnsiTheme="majorBidi" w:cstheme="majorBidi"/>
          <w:sz w:val="24"/>
          <w:szCs w:val="24"/>
        </w:rPr>
        <w:t>interpreted force of the regression model increased in case of the absence of role duality as reflected by R</w:t>
      </w:r>
      <w:r w:rsidR="009014A9" w:rsidRPr="009014A9">
        <w:rPr>
          <w:rFonts w:asciiTheme="majorBidi" w:hAnsiTheme="majorBidi" w:cstheme="majorBidi"/>
          <w:sz w:val="24"/>
          <w:szCs w:val="24"/>
          <w:vertAlign w:val="superscript"/>
        </w:rPr>
        <w:t>2</w:t>
      </w:r>
      <w:r w:rsidR="009014A9">
        <w:rPr>
          <w:rFonts w:asciiTheme="majorBidi" w:hAnsiTheme="majorBidi" w:cstheme="majorBidi"/>
          <w:sz w:val="24"/>
          <w:szCs w:val="24"/>
        </w:rPr>
        <w:t xml:space="preserve">. </w:t>
      </w:r>
      <w:r>
        <w:rPr>
          <w:rFonts w:asciiTheme="majorBidi" w:hAnsiTheme="majorBidi" w:cstheme="majorBidi"/>
          <w:sz w:val="24"/>
          <w:szCs w:val="24"/>
        </w:rPr>
        <w:t xml:space="preserve">This </w:t>
      </w:r>
      <w:r w:rsidR="009014A9">
        <w:rPr>
          <w:rFonts w:asciiTheme="majorBidi" w:hAnsiTheme="majorBidi" w:cstheme="majorBidi"/>
          <w:sz w:val="24"/>
          <w:szCs w:val="24"/>
        </w:rPr>
        <w:t>result</w:t>
      </w:r>
      <w:r>
        <w:rPr>
          <w:rFonts w:asciiTheme="majorBidi" w:hAnsiTheme="majorBidi" w:cstheme="majorBidi"/>
          <w:sz w:val="24"/>
          <w:szCs w:val="24"/>
        </w:rPr>
        <w:t xml:space="preserve"> </w:t>
      </w:r>
      <w:r w:rsidR="009014A9">
        <w:rPr>
          <w:rFonts w:asciiTheme="majorBidi" w:hAnsiTheme="majorBidi" w:cstheme="majorBidi"/>
          <w:sz w:val="24"/>
          <w:szCs w:val="24"/>
        </w:rPr>
        <w:t>is convenient</w:t>
      </w:r>
      <w:r>
        <w:rPr>
          <w:rFonts w:asciiTheme="majorBidi" w:hAnsiTheme="majorBidi" w:cstheme="majorBidi"/>
          <w:sz w:val="24"/>
          <w:szCs w:val="24"/>
        </w:rPr>
        <w:t xml:space="preserve"> with the corporate governance </w:t>
      </w:r>
      <w:r w:rsidR="009014A9">
        <w:rPr>
          <w:rFonts w:asciiTheme="majorBidi" w:hAnsiTheme="majorBidi" w:cstheme="majorBidi"/>
          <w:sz w:val="24"/>
          <w:szCs w:val="24"/>
        </w:rPr>
        <w:t>theory.</w:t>
      </w:r>
      <w:r>
        <w:rPr>
          <w:rFonts w:asciiTheme="majorBidi" w:hAnsiTheme="majorBidi" w:cstheme="majorBidi"/>
          <w:sz w:val="24"/>
          <w:szCs w:val="24"/>
        </w:rPr>
        <w:t xml:space="preserve">  </w:t>
      </w:r>
    </w:p>
    <w:p w:rsidR="00430544" w:rsidRDefault="00430544"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High gross profit to net sales, high total asset turnover, and low debit ratio in case of small board size, and high labor productivity, high gross profit to net sales, high total investment, and low debt ratio in case of large board size.</w:t>
      </w:r>
    </w:p>
    <w:p w:rsidR="009014A9" w:rsidRPr="00430544" w:rsidRDefault="00C23037" w:rsidP="006E538D">
      <w:pPr>
        <w:pStyle w:val="ListParagraph"/>
        <w:numPr>
          <w:ilvl w:val="0"/>
          <w:numId w:val="2"/>
        </w:numPr>
        <w:bidi w:val="0"/>
        <w:spacing w:before="120" w:after="120" w:line="240" w:lineRule="auto"/>
        <w:ind w:left="426" w:hanging="284"/>
        <w:jc w:val="both"/>
        <w:rPr>
          <w:rFonts w:asciiTheme="majorBidi" w:hAnsiTheme="majorBidi" w:cstheme="majorBidi"/>
          <w:sz w:val="24"/>
          <w:szCs w:val="24"/>
        </w:rPr>
      </w:pPr>
      <w:r>
        <w:rPr>
          <w:rFonts w:asciiTheme="majorBidi" w:hAnsiTheme="majorBidi" w:cstheme="majorBidi"/>
          <w:sz w:val="24"/>
          <w:szCs w:val="24"/>
        </w:rPr>
        <w:t>Increase the board size as it has a positive effect on ROI which was reflected in an increase of R</w:t>
      </w:r>
      <w:r w:rsidRPr="00C23037">
        <w:rPr>
          <w:rFonts w:asciiTheme="majorBidi" w:hAnsiTheme="majorBidi" w:cstheme="majorBidi"/>
          <w:sz w:val="24"/>
          <w:szCs w:val="24"/>
          <w:vertAlign w:val="superscript"/>
        </w:rPr>
        <w:t>2</w:t>
      </w:r>
      <w:r w:rsidR="00E91F83">
        <w:rPr>
          <w:rFonts w:asciiTheme="majorBidi" w:hAnsiTheme="majorBidi" w:cstheme="majorBidi"/>
          <w:sz w:val="24"/>
          <w:szCs w:val="24"/>
        </w:rPr>
        <w:t xml:space="preserve"> and explanation</w:t>
      </w:r>
      <w:r>
        <w:rPr>
          <w:rFonts w:asciiTheme="majorBidi" w:hAnsiTheme="majorBidi" w:cstheme="majorBidi"/>
          <w:sz w:val="24"/>
          <w:szCs w:val="24"/>
        </w:rPr>
        <w:t xml:space="preserve"> variables of the model. However, we shouldn’t generalize this results as the theory of board size indicates that the effectiveness of the board size may negatively affected when board size increase over a certain limit. </w:t>
      </w:r>
    </w:p>
    <w:p w:rsidR="00EB710D" w:rsidRDefault="00EB710D" w:rsidP="00D85BA1">
      <w:pPr>
        <w:pStyle w:val="ListParagraph"/>
        <w:bidi w:val="0"/>
        <w:spacing w:before="120" w:after="120" w:line="240" w:lineRule="auto"/>
        <w:jc w:val="both"/>
        <w:rPr>
          <w:rFonts w:asciiTheme="majorBidi" w:hAnsiTheme="majorBidi" w:cstheme="majorBidi"/>
          <w:sz w:val="24"/>
          <w:szCs w:val="24"/>
        </w:rPr>
      </w:pPr>
    </w:p>
    <w:p w:rsidR="009C36DA" w:rsidRDefault="009C36DA" w:rsidP="0095132D">
      <w:pPr>
        <w:bidi w:val="0"/>
        <w:spacing w:before="240" w:after="240" w:line="240" w:lineRule="auto"/>
        <w:rPr>
          <w:rFonts w:asciiTheme="majorBidi" w:hAnsiTheme="majorBidi" w:cstheme="majorBidi"/>
          <w:b/>
          <w:bCs/>
          <w:sz w:val="28"/>
          <w:szCs w:val="28"/>
        </w:rPr>
      </w:pPr>
      <w:r w:rsidRPr="006E538D">
        <w:rPr>
          <w:rFonts w:asciiTheme="majorBidi" w:hAnsiTheme="majorBidi" w:cstheme="majorBidi"/>
          <w:b/>
          <w:bCs/>
          <w:sz w:val="28"/>
          <w:szCs w:val="28"/>
        </w:rPr>
        <w:t xml:space="preserve">References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06"/>
      </w:tblGrid>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w:t>
            </w:r>
          </w:p>
        </w:tc>
        <w:tc>
          <w:tcPr>
            <w:tcW w:w="7972" w:type="dxa"/>
          </w:tcPr>
          <w:p w:rsidR="00BD4519" w:rsidRPr="00BD4519" w:rsidRDefault="00BD4519" w:rsidP="00BD4519">
            <w:pPr>
              <w:bidi w:val="0"/>
              <w:jc w:val="both"/>
              <w:rPr>
                <w:sz w:val="24"/>
                <w:szCs w:val="24"/>
              </w:rPr>
            </w:pPr>
            <w:r w:rsidRPr="00BD4519">
              <w:rPr>
                <w:rFonts w:asciiTheme="majorBidi" w:hAnsiTheme="majorBidi" w:cstheme="majorBidi"/>
                <w:sz w:val="24"/>
                <w:szCs w:val="24"/>
              </w:rPr>
              <w:t>E. Al-</w:t>
            </w:r>
            <w:proofErr w:type="spellStart"/>
            <w:r w:rsidRPr="00BD4519">
              <w:rPr>
                <w:rFonts w:asciiTheme="majorBidi" w:hAnsiTheme="majorBidi" w:cstheme="majorBidi"/>
                <w:sz w:val="24"/>
                <w:szCs w:val="24"/>
              </w:rPr>
              <w:t>Matari</w:t>
            </w:r>
            <w:proofErr w:type="spellEnd"/>
            <w:r w:rsidRPr="00BD4519">
              <w:rPr>
                <w:rFonts w:asciiTheme="majorBidi" w:hAnsiTheme="majorBidi" w:cstheme="majorBidi"/>
                <w:sz w:val="24"/>
                <w:szCs w:val="24"/>
              </w:rPr>
              <w:t>, A. Al-</w:t>
            </w:r>
            <w:proofErr w:type="spellStart"/>
            <w:r w:rsidRPr="00BD4519">
              <w:rPr>
                <w:rFonts w:asciiTheme="majorBidi" w:hAnsiTheme="majorBidi" w:cstheme="majorBidi"/>
                <w:sz w:val="24"/>
                <w:szCs w:val="24"/>
              </w:rPr>
              <w:t>Swidi</w:t>
            </w:r>
            <w:proofErr w:type="spellEnd"/>
            <w:r w:rsidRPr="00BD4519">
              <w:rPr>
                <w:rFonts w:asciiTheme="majorBidi" w:hAnsiTheme="majorBidi" w:cstheme="majorBidi"/>
                <w:sz w:val="24"/>
                <w:szCs w:val="24"/>
              </w:rPr>
              <w:t xml:space="preserve">, F. </w:t>
            </w:r>
            <w:proofErr w:type="spellStart"/>
            <w:r w:rsidRPr="00BD4519">
              <w:rPr>
                <w:rFonts w:asciiTheme="majorBidi" w:hAnsiTheme="majorBidi" w:cstheme="majorBidi"/>
                <w:sz w:val="24"/>
                <w:szCs w:val="24"/>
              </w:rPr>
              <w:t>Fadzil</w:t>
            </w:r>
            <w:proofErr w:type="spellEnd"/>
            <w:r w:rsidRPr="00BD4519">
              <w:rPr>
                <w:rFonts w:asciiTheme="majorBidi" w:hAnsiTheme="majorBidi" w:cstheme="majorBidi"/>
                <w:sz w:val="24"/>
                <w:szCs w:val="24"/>
              </w:rPr>
              <w:t xml:space="preserve"> and Y. Al-</w:t>
            </w:r>
            <w:proofErr w:type="spellStart"/>
            <w:r w:rsidRPr="00BD4519">
              <w:rPr>
                <w:rFonts w:asciiTheme="majorBidi" w:hAnsiTheme="majorBidi" w:cstheme="majorBidi"/>
                <w:sz w:val="24"/>
                <w:szCs w:val="24"/>
              </w:rPr>
              <w:t>Matari</w:t>
            </w:r>
            <w:proofErr w:type="spellEnd"/>
            <w:r w:rsidRPr="00BD4519">
              <w:rPr>
                <w:rFonts w:asciiTheme="majorBidi" w:hAnsiTheme="majorBidi" w:cstheme="majorBidi"/>
                <w:sz w:val="24"/>
                <w:szCs w:val="24"/>
              </w:rPr>
              <w:t xml:space="preserve">, "The impact of board characteristics on firm performance: Evidence from nonfinancial listed companies in Kuwaiti Stock Exchange", </w:t>
            </w:r>
            <w:r w:rsidRPr="00BD4519">
              <w:rPr>
                <w:rFonts w:asciiTheme="majorBidi" w:hAnsiTheme="majorBidi" w:cstheme="majorBidi"/>
                <w:i/>
                <w:iCs/>
                <w:sz w:val="24"/>
                <w:szCs w:val="24"/>
              </w:rPr>
              <w:t>International Journal of Accounting and Financial Reporting</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2</w:t>
            </w:r>
            <w:r w:rsidRPr="00BD4519">
              <w:rPr>
                <w:rFonts w:asciiTheme="majorBidi" w:hAnsiTheme="majorBidi" w:cstheme="majorBidi"/>
                <w:sz w:val="24"/>
                <w:szCs w:val="24"/>
              </w:rPr>
              <w:t xml:space="preserve">(2), (2012), 310-332. </w:t>
            </w:r>
            <w:proofErr w:type="spellStart"/>
            <w:r w:rsidRPr="00BD4519">
              <w:rPr>
                <w:rFonts w:asciiTheme="majorBidi" w:hAnsiTheme="majorBidi" w:cstheme="majorBidi"/>
                <w:sz w:val="24"/>
                <w:szCs w:val="24"/>
              </w:rPr>
              <w:t>doi</w:t>
            </w:r>
            <w:proofErr w:type="spellEnd"/>
            <w:r w:rsidRPr="00BD4519">
              <w:rPr>
                <w:rFonts w:asciiTheme="majorBidi" w:hAnsiTheme="majorBidi" w:cstheme="majorBidi"/>
                <w:sz w:val="24"/>
                <w:szCs w:val="24"/>
              </w:rPr>
              <w:t>: 10.5296/ijafr.v2i2.2384</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[2]</w:t>
            </w:r>
          </w:p>
        </w:tc>
        <w:tc>
          <w:tcPr>
            <w:tcW w:w="7972" w:type="dxa"/>
          </w:tcPr>
          <w:p w:rsidR="00BD4519" w:rsidRPr="00BD4519" w:rsidRDefault="00BD4519" w:rsidP="00BD4519">
            <w:pPr>
              <w:bidi w:val="0"/>
              <w:jc w:val="both"/>
              <w:rPr>
                <w:rFonts w:asciiTheme="majorBidi" w:hAnsiTheme="majorBidi" w:cstheme="majorBidi"/>
                <w:sz w:val="24"/>
                <w:szCs w:val="24"/>
              </w:rPr>
            </w:pPr>
            <w:r w:rsidRPr="00BD4519">
              <w:rPr>
                <w:rFonts w:asciiTheme="majorBidi" w:hAnsiTheme="majorBidi" w:cstheme="majorBidi"/>
                <w:sz w:val="24"/>
                <w:szCs w:val="24"/>
              </w:rPr>
              <w:t xml:space="preserve">A. Chandler, </w:t>
            </w:r>
            <w:r w:rsidRPr="00BD4519">
              <w:rPr>
                <w:rFonts w:asciiTheme="majorBidi" w:hAnsiTheme="majorBidi" w:cstheme="majorBidi"/>
                <w:i/>
                <w:iCs/>
                <w:sz w:val="24"/>
                <w:szCs w:val="24"/>
              </w:rPr>
              <w:t>"Strategy and structure: chapters in the history of industrial enterprise</w:t>
            </w:r>
            <w:r w:rsidRPr="00BD4519">
              <w:rPr>
                <w:rFonts w:asciiTheme="majorBidi" w:hAnsiTheme="majorBidi" w:cstheme="majorBidi"/>
                <w:sz w:val="24"/>
                <w:szCs w:val="24"/>
              </w:rPr>
              <w:t>", MIT Press: Cambridge, MA, (1962).</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[3]</w:t>
            </w:r>
          </w:p>
        </w:tc>
        <w:tc>
          <w:tcPr>
            <w:tcW w:w="7972" w:type="dxa"/>
          </w:tcPr>
          <w:p w:rsidR="00BD4519" w:rsidRPr="00BD4519" w:rsidRDefault="00BD4519" w:rsidP="00BD4519">
            <w:pPr>
              <w:bidi w:val="0"/>
              <w:jc w:val="both"/>
              <w:rPr>
                <w:rFonts w:asciiTheme="majorBidi" w:hAnsiTheme="majorBidi" w:cstheme="majorBidi"/>
                <w:sz w:val="24"/>
                <w:szCs w:val="24"/>
              </w:rPr>
            </w:pPr>
            <w:r w:rsidRPr="00BD4519">
              <w:rPr>
                <w:rFonts w:asciiTheme="majorBidi" w:hAnsiTheme="majorBidi" w:cstheme="majorBidi"/>
                <w:sz w:val="24"/>
                <w:szCs w:val="24"/>
              </w:rPr>
              <w:t xml:space="preserve">B. Ramsay, D. Ong and M. Yeung, "Firm size, ownership and performance in the Malaysian palm oil industry", </w:t>
            </w:r>
            <w:r w:rsidRPr="00BD4519">
              <w:rPr>
                <w:rFonts w:asciiTheme="majorBidi" w:hAnsiTheme="majorBidi" w:cstheme="majorBidi"/>
                <w:i/>
                <w:iCs/>
                <w:sz w:val="24"/>
                <w:szCs w:val="24"/>
              </w:rPr>
              <w:t>Asian Academic of Management Journal of Accounting and Finance</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1</w:t>
            </w:r>
            <w:r w:rsidRPr="00BD4519">
              <w:rPr>
                <w:rFonts w:asciiTheme="majorBidi" w:hAnsiTheme="majorBidi" w:cstheme="majorBidi"/>
                <w:sz w:val="24"/>
                <w:szCs w:val="24"/>
              </w:rPr>
              <w:t>, (2005), 81-104.</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[4]</w:t>
            </w:r>
          </w:p>
        </w:tc>
        <w:tc>
          <w:tcPr>
            <w:tcW w:w="7972" w:type="dxa"/>
          </w:tcPr>
          <w:p w:rsidR="00BD4519" w:rsidRDefault="00BD4519" w:rsidP="00BD4519">
            <w:pPr>
              <w:autoSpaceDE w:val="0"/>
              <w:autoSpaceDN w:val="0"/>
              <w:bidi w:val="0"/>
              <w:adjustRightInd w:val="0"/>
              <w:jc w:val="both"/>
              <w:rPr>
                <w:rFonts w:asciiTheme="majorBidi" w:hAnsiTheme="majorBidi" w:cstheme="majorBidi"/>
                <w:sz w:val="24"/>
                <w:szCs w:val="24"/>
              </w:rPr>
            </w:pPr>
            <w:r w:rsidRPr="00BD4519">
              <w:rPr>
                <w:rFonts w:asciiTheme="majorBidi" w:hAnsiTheme="majorBidi" w:cstheme="majorBidi"/>
                <w:sz w:val="24"/>
                <w:szCs w:val="24"/>
              </w:rPr>
              <w:t xml:space="preserve">M. </w:t>
            </w:r>
            <w:proofErr w:type="spellStart"/>
            <w:r w:rsidRPr="00BD4519">
              <w:rPr>
                <w:rFonts w:asciiTheme="majorBidi" w:hAnsiTheme="majorBidi" w:cstheme="majorBidi"/>
                <w:sz w:val="24"/>
                <w:szCs w:val="24"/>
              </w:rPr>
              <w:t>Tripsas</w:t>
            </w:r>
            <w:proofErr w:type="spellEnd"/>
            <w:r w:rsidRPr="00BD4519">
              <w:rPr>
                <w:rFonts w:asciiTheme="majorBidi" w:hAnsiTheme="majorBidi" w:cstheme="majorBidi"/>
                <w:sz w:val="24"/>
                <w:szCs w:val="24"/>
              </w:rPr>
              <w:t xml:space="preserve"> and G. </w:t>
            </w:r>
            <w:proofErr w:type="spellStart"/>
            <w:r w:rsidRPr="00BD4519">
              <w:rPr>
                <w:rFonts w:asciiTheme="majorBidi" w:hAnsiTheme="majorBidi" w:cstheme="majorBidi"/>
                <w:sz w:val="24"/>
                <w:szCs w:val="24"/>
              </w:rPr>
              <w:t>Gavetti</w:t>
            </w:r>
            <w:proofErr w:type="spellEnd"/>
            <w:r w:rsidRPr="00BD4519">
              <w:rPr>
                <w:rFonts w:asciiTheme="majorBidi" w:hAnsiTheme="majorBidi" w:cstheme="majorBidi"/>
                <w:sz w:val="24"/>
                <w:szCs w:val="24"/>
              </w:rPr>
              <w:t>, "Capabilities, cognition, and inertia: evidence from digital imaging"</w:t>
            </w:r>
            <w:proofErr w:type="gramStart"/>
            <w:r w:rsidRPr="00BD4519">
              <w:rPr>
                <w:rFonts w:asciiTheme="majorBidi" w:hAnsiTheme="majorBidi" w:cstheme="majorBidi"/>
                <w:sz w:val="24"/>
                <w:szCs w:val="24"/>
              </w:rPr>
              <w:t xml:space="preserve">,  </w:t>
            </w:r>
            <w:r w:rsidRPr="00BD4519">
              <w:rPr>
                <w:rFonts w:asciiTheme="majorBidi" w:hAnsiTheme="majorBidi" w:cstheme="majorBidi"/>
                <w:i/>
                <w:iCs/>
                <w:sz w:val="24"/>
                <w:szCs w:val="24"/>
              </w:rPr>
              <w:t>Strategic</w:t>
            </w:r>
            <w:proofErr w:type="gramEnd"/>
            <w:r w:rsidRPr="00BD4519">
              <w:rPr>
                <w:rFonts w:asciiTheme="majorBidi" w:hAnsiTheme="majorBidi" w:cstheme="majorBidi"/>
                <w:i/>
                <w:iCs/>
                <w:sz w:val="24"/>
                <w:szCs w:val="24"/>
              </w:rPr>
              <w:t xml:space="preserve"> Management Journal</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21</w:t>
            </w:r>
            <w:r w:rsidRPr="00BD4519">
              <w:rPr>
                <w:rFonts w:asciiTheme="majorBidi" w:hAnsiTheme="majorBidi" w:cstheme="majorBidi"/>
                <w:sz w:val="24"/>
                <w:szCs w:val="24"/>
              </w:rPr>
              <w:t xml:space="preserve">(10-11), (2000), 1147-1161. </w:t>
            </w:r>
          </w:p>
          <w:p w:rsidR="00BD4519" w:rsidRPr="00BD4519" w:rsidRDefault="00BD4519" w:rsidP="00BD4519">
            <w:pPr>
              <w:autoSpaceDE w:val="0"/>
              <w:autoSpaceDN w:val="0"/>
              <w:bidi w:val="0"/>
              <w:adjustRightInd w:val="0"/>
              <w:jc w:val="both"/>
              <w:rPr>
                <w:rFonts w:asciiTheme="majorBidi" w:hAnsiTheme="majorBidi" w:cstheme="majorBidi"/>
                <w:sz w:val="24"/>
                <w:szCs w:val="24"/>
              </w:rPr>
            </w:pPr>
            <w:proofErr w:type="spellStart"/>
            <w:proofErr w:type="gramStart"/>
            <w:r w:rsidRPr="00BD4519">
              <w:rPr>
                <w:rFonts w:asciiTheme="majorBidi" w:hAnsiTheme="majorBidi" w:cstheme="majorBidi"/>
                <w:sz w:val="24"/>
                <w:szCs w:val="24"/>
              </w:rPr>
              <w:t>doi</w:t>
            </w:r>
            <w:proofErr w:type="spellEnd"/>
            <w:proofErr w:type="gramEnd"/>
            <w:r w:rsidRPr="00BD4519">
              <w:rPr>
                <w:rFonts w:asciiTheme="majorBidi" w:hAnsiTheme="majorBidi" w:cstheme="majorBidi"/>
                <w:sz w:val="24"/>
                <w:szCs w:val="24"/>
              </w:rPr>
              <w:t xml:space="preserve">: </w:t>
            </w:r>
            <w:hyperlink r:id="rId9" w:tgtFrame="_blank" w:history="1">
              <w:r w:rsidRPr="00BD4519">
                <w:rPr>
                  <w:rFonts w:asciiTheme="majorBidi" w:hAnsiTheme="majorBidi" w:cstheme="majorBidi"/>
                  <w:sz w:val="24"/>
                  <w:szCs w:val="24"/>
                </w:rPr>
                <w:t>10.1002/1097-0266(200010/11)21:10/11&lt;1147::AID-SMJ128&gt;3.0.CO;2-R</w:t>
              </w:r>
            </w:hyperlink>
            <w:r w:rsidRPr="00BD4519">
              <w:rPr>
                <w:rFonts w:asciiTheme="majorBidi" w:hAnsiTheme="majorBidi" w:cstheme="majorBidi"/>
                <w:sz w:val="24"/>
                <w:szCs w:val="24"/>
              </w:rPr>
              <w:t>.</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[5]</w:t>
            </w:r>
          </w:p>
        </w:tc>
        <w:tc>
          <w:tcPr>
            <w:tcW w:w="7972" w:type="dxa"/>
          </w:tcPr>
          <w:p w:rsidR="00BD4519" w:rsidRPr="00BD4519" w:rsidRDefault="00BD4519" w:rsidP="00BD4519">
            <w:pPr>
              <w:bidi w:val="0"/>
              <w:jc w:val="both"/>
              <w:rPr>
                <w:rFonts w:asciiTheme="majorBidi" w:hAnsiTheme="majorBidi" w:cstheme="majorBidi"/>
                <w:sz w:val="24"/>
                <w:szCs w:val="24"/>
              </w:rPr>
            </w:pPr>
            <w:r w:rsidRPr="00BD4519">
              <w:rPr>
                <w:rFonts w:asciiTheme="majorBidi" w:hAnsiTheme="majorBidi" w:cstheme="majorBidi"/>
                <w:sz w:val="24"/>
                <w:szCs w:val="24"/>
              </w:rPr>
              <w:t xml:space="preserve">S. </w:t>
            </w:r>
            <w:proofErr w:type="spellStart"/>
            <w:r w:rsidRPr="00BD4519">
              <w:rPr>
                <w:rFonts w:asciiTheme="majorBidi" w:hAnsiTheme="majorBidi" w:cstheme="majorBidi"/>
                <w:sz w:val="24"/>
                <w:szCs w:val="24"/>
              </w:rPr>
              <w:t>Vassilakis</w:t>
            </w:r>
            <w:proofErr w:type="spellEnd"/>
            <w:r w:rsidRPr="00BD4519">
              <w:rPr>
                <w:rFonts w:asciiTheme="majorBidi" w:hAnsiTheme="majorBidi" w:cstheme="majorBidi"/>
                <w:sz w:val="24"/>
                <w:szCs w:val="24"/>
              </w:rPr>
              <w:t xml:space="preserve">, "Learning-by-doing", In: </w:t>
            </w:r>
            <w:r w:rsidRPr="00BD4519">
              <w:rPr>
                <w:rFonts w:asciiTheme="majorBidi" w:hAnsiTheme="majorBidi" w:cstheme="majorBidi"/>
                <w:i/>
                <w:iCs/>
                <w:sz w:val="24"/>
                <w:szCs w:val="24"/>
              </w:rPr>
              <w:t>The New Palgrave Dictionary of Economics</w:t>
            </w:r>
            <w:proofErr w:type="gramStart"/>
            <w:r w:rsidRPr="00BD4519">
              <w:rPr>
                <w:rFonts w:asciiTheme="majorBidi" w:hAnsiTheme="majorBidi" w:cstheme="majorBidi"/>
                <w:sz w:val="24"/>
                <w:szCs w:val="24"/>
              </w:rPr>
              <w:t>,  2nd</w:t>
            </w:r>
            <w:proofErr w:type="gramEnd"/>
            <w:r w:rsidRPr="00BD4519">
              <w:rPr>
                <w:rFonts w:asciiTheme="majorBidi" w:hAnsiTheme="majorBidi" w:cstheme="majorBidi"/>
                <w:sz w:val="24"/>
                <w:szCs w:val="24"/>
              </w:rPr>
              <w:t xml:space="preserve"> </w:t>
            </w:r>
            <w:proofErr w:type="spellStart"/>
            <w:r w:rsidRPr="00BD4519">
              <w:rPr>
                <w:rFonts w:asciiTheme="majorBidi" w:hAnsiTheme="majorBidi" w:cstheme="majorBidi"/>
                <w:sz w:val="24"/>
                <w:szCs w:val="24"/>
              </w:rPr>
              <w:t>ed</w:t>
            </w:r>
            <w:proofErr w:type="spellEnd"/>
            <w:r w:rsidRPr="00BD4519">
              <w:rPr>
                <w:rFonts w:asciiTheme="majorBidi" w:hAnsiTheme="majorBidi" w:cstheme="majorBidi"/>
                <w:sz w:val="24"/>
                <w:szCs w:val="24"/>
              </w:rPr>
              <w:t xml:space="preserve">,  S. N. </w:t>
            </w:r>
            <w:proofErr w:type="spellStart"/>
            <w:r w:rsidRPr="00BD4519">
              <w:rPr>
                <w:rFonts w:asciiTheme="majorBidi" w:hAnsiTheme="majorBidi" w:cstheme="majorBidi"/>
                <w:sz w:val="24"/>
                <w:szCs w:val="24"/>
              </w:rPr>
              <w:t>Durlauf</w:t>
            </w:r>
            <w:proofErr w:type="spellEnd"/>
            <w:r w:rsidRPr="00BD4519">
              <w:rPr>
                <w:rFonts w:asciiTheme="majorBidi" w:hAnsiTheme="majorBidi" w:cstheme="majorBidi"/>
                <w:sz w:val="24"/>
                <w:szCs w:val="24"/>
              </w:rPr>
              <w:t xml:space="preserve">, and  L. E. </w:t>
            </w:r>
            <w:proofErr w:type="spellStart"/>
            <w:r w:rsidRPr="00BD4519">
              <w:rPr>
                <w:rFonts w:asciiTheme="majorBidi" w:hAnsiTheme="majorBidi" w:cstheme="majorBidi"/>
                <w:sz w:val="24"/>
                <w:szCs w:val="24"/>
              </w:rPr>
              <w:t>Blume</w:t>
            </w:r>
            <w:proofErr w:type="spellEnd"/>
            <w:r w:rsidRPr="00BD4519">
              <w:rPr>
                <w:rFonts w:asciiTheme="majorBidi" w:hAnsiTheme="majorBidi" w:cstheme="majorBidi"/>
                <w:sz w:val="24"/>
                <w:szCs w:val="24"/>
              </w:rPr>
              <w:t xml:space="preserve"> (</w:t>
            </w:r>
            <w:proofErr w:type="spellStart"/>
            <w:r w:rsidRPr="00BD4519">
              <w:rPr>
                <w:rFonts w:asciiTheme="majorBidi" w:hAnsiTheme="majorBidi" w:cstheme="majorBidi"/>
                <w:sz w:val="24"/>
                <w:szCs w:val="24"/>
              </w:rPr>
              <w:t>eds</w:t>
            </w:r>
            <w:proofErr w:type="spellEnd"/>
            <w:r w:rsidRPr="00BD4519">
              <w:rPr>
                <w:rFonts w:asciiTheme="majorBidi" w:hAnsiTheme="majorBidi" w:cstheme="majorBidi"/>
                <w:sz w:val="24"/>
                <w:szCs w:val="24"/>
              </w:rPr>
              <w:t>),  Palgrave Macmillan, (2008).</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[6]</w:t>
            </w:r>
          </w:p>
        </w:tc>
        <w:tc>
          <w:tcPr>
            <w:tcW w:w="7972" w:type="dxa"/>
          </w:tcPr>
          <w:p w:rsidR="00BD4519" w:rsidRPr="00BD4519" w:rsidRDefault="00BD4519" w:rsidP="00BD4519">
            <w:pPr>
              <w:bidi w:val="0"/>
              <w:jc w:val="both"/>
              <w:rPr>
                <w:rFonts w:asciiTheme="majorBidi" w:hAnsiTheme="majorBidi" w:cstheme="majorBidi"/>
                <w:sz w:val="24"/>
                <w:szCs w:val="24"/>
              </w:rPr>
            </w:pPr>
            <w:r w:rsidRPr="00BD4519">
              <w:rPr>
                <w:rFonts w:asciiTheme="majorBidi" w:hAnsiTheme="majorBidi" w:cstheme="majorBidi"/>
                <w:sz w:val="24"/>
                <w:szCs w:val="24"/>
              </w:rPr>
              <w:t xml:space="preserve">M. Lipton and J. W. </w:t>
            </w:r>
            <w:proofErr w:type="spellStart"/>
            <w:r w:rsidRPr="00BD4519">
              <w:rPr>
                <w:rFonts w:asciiTheme="majorBidi" w:hAnsiTheme="majorBidi" w:cstheme="majorBidi"/>
                <w:sz w:val="24"/>
                <w:szCs w:val="24"/>
              </w:rPr>
              <w:t>Lorsch</w:t>
            </w:r>
            <w:proofErr w:type="spellEnd"/>
            <w:r w:rsidRPr="00BD4519">
              <w:rPr>
                <w:rFonts w:asciiTheme="majorBidi" w:hAnsiTheme="majorBidi" w:cstheme="majorBidi"/>
                <w:sz w:val="24"/>
                <w:szCs w:val="24"/>
              </w:rPr>
              <w:t>, "</w:t>
            </w:r>
            <w:hyperlink r:id="rId10" w:history="1">
              <w:r w:rsidRPr="00BD4519">
                <w:rPr>
                  <w:rFonts w:asciiTheme="majorBidi" w:hAnsiTheme="majorBidi" w:cstheme="majorBidi"/>
                  <w:sz w:val="24"/>
                  <w:szCs w:val="24"/>
                </w:rPr>
                <w:t>A modest proposal for improved corporate governance</w:t>
              </w:r>
            </w:hyperlink>
            <w:r w:rsidRPr="00BD4519">
              <w:rPr>
                <w:rFonts w:asciiTheme="majorBidi" w:hAnsiTheme="majorBidi" w:cstheme="majorBidi"/>
                <w:sz w:val="24"/>
                <w:szCs w:val="24"/>
              </w:rPr>
              <w:t xml:space="preserve">", </w:t>
            </w:r>
            <w:r w:rsidRPr="00BD4519">
              <w:rPr>
                <w:rFonts w:asciiTheme="majorBidi" w:hAnsiTheme="majorBidi" w:cstheme="majorBidi"/>
                <w:i/>
                <w:iCs/>
                <w:sz w:val="24"/>
                <w:szCs w:val="24"/>
              </w:rPr>
              <w:t>Business Lawyer,</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48</w:t>
            </w:r>
            <w:r w:rsidRPr="00BD4519">
              <w:rPr>
                <w:rFonts w:asciiTheme="majorBidi" w:hAnsiTheme="majorBidi" w:cstheme="majorBidi"/>
                <w:sz w:val="24"/>
                <w:szCs w:val="24"/>
              </w:rPr>
              <w:t>(1), (1992), 59 – 77.</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[7]</w:t>
            </w:r>
          </w:p>
        </w:tc>
        <w:tc>
          <w:tcPr>
            <w:tcW w:w="7972" w:type="dxa"/>
          </w:tcPr>
          <w:p w:rsidR="00BD4519" w:rsidRPr="00BD4519" w:rsidRDefault="00BD4519" w:rsidP="00BD4519">
            <w:pPr>
              <w:autoSpaceDE w:val="0"/>
              <w:autoSpaceDN w:val="0"/>
              <w:bidi w:val="0"/>
              <w:adjustRightInd w:val="0"/>
              <w:ind w:left="33" w:hanging="33"/>
              <w:jc w:val="both"/>
              <w:rPr>
                <w:rFonts w:asciiTheme="majorBidi" w:hAnsiTheme="majorBidi" w:cstheme="majorBidi"/>
                <w:sz w:val="24"/>
                <w:szCs w:val="24"/>
              </w:rPr>
            </w:pPr>
            <w:r w:rsidRPr="00BD4519">
              <w:rPr>
                <w:rFonts w:asciiTheme="majorBidi" w:hAnsiTheme="majorBidi" w:cstheme="majorBidi"/>
                <w:sz w:val="24"/>
                <w:szCs w:val="24"/>
              </w:rPr>
              <w:t xml:space="preserve">M. Jensen, "The modern industrial revolution, exit, and the failure of internal control systems", </w:t>
            </w:r>
            <w:r w:rsidRPr="00BD4519">
              <w:rPr>
                <w:rFonts w:asciiTheme="majorBidi" w:hAnsiTheme="majorBidi" w:cstheme="majorBidi"/>
                <w:i/>
                <w:iCs/>
                <w:sz w:val="24"/>
                <w:szCs w:val="24"/>
              </w:rPr>
              <w:t>Journal of Finance</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48</w:t>
            </w:r>
            <w:r w:rsidRPr="00BD4519">
              <w:rPr>
                <w:rFonts w:asciiTheme="majorBidi" w:hAnsiTheme="majorBidi" w:cstheme="majorBidi"/>
                <w:sz w:val="24"/>
                <w:szCs w:val="24"/>
              </w:rPr>
              <w:t xml:space="preserve">(3), (1993), 831-80. </w:t>
            </w:r>
            <w:proofErr w:type="spellStart"/>
            <w:r w:rsidRPr="00BD4519">
              <w:rPr>
                <w:rFonts w:asciiTheme="majorBidi" w:hAnsiTheme="majorBidi" w:cstheme="majorBidi"/>
                <w:sz w:val="24"/>
                <w:szCs w:val="24"/>
              </w:rPr>
              <w:t>doi</w:t>
            </w:r>
            <w:proofErr w:type="spellEnd"/>
            <w:r w:rsidRPr="00BD4519">
              <w:rPr>
                <w:rFonts w:asciiTheme="majorBidi" w:hAnsiTheme="majorBidi" w:cstheme="majorBidi"/>
                <w:sz w:val="24"/>
                <w:szCs w:val="24"/>
              </w:rPr>
              <w:t xml:space="preserve">: </w:t>
            </w:r>
            <w:hyperlink r:id="rId11" w:tgtFrame="_blank" w:history="1">
              <w:r w:rsidRPr="00BD4519">
                <w:rPr>
                  <w:rFonts w:asciiTheme="majorBidi" w:hAnsiTheme="majorBidi" w:cstheme="majorBidi"/>
                  <w:sz w:val="24"/>
                  <w:szCs w:val="24"/>
                </w:rPr>
                <w:t>10.1111/j.1540-6261.1993.tb04022.x</w:t>
              </w:r>
            </w:hyperlink>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[8]</w:t>
            </w:r>
          </w:p>
        </w:tc>
        <w:tc>
          <w:tcPr>
            <w:tcW w:w="7972" w:type="dxa"/>
          </w:tcPr>
          <w:p w:rsidR="00BD4519" w:rsidRPr="00BD4519" w:rsidRDefault="00BD4519" w:rsidP="00BD4519">
            <w:pPr>
              <w:autoSpaceDE w:val="0"/>
              <w:autoSpaceDN w:val="0"/>
              <w:bidi w:val="0"/>
              <w:adjustRightInd w:val="0"/>
              <w:ind w:left="33" w:hanging="33"/>
              <w:jc w:val="both"/>
              <w:rPr>
                <w:rFonts w:asciiTheme="majorBidi" w:hAnsiTheme="majorBidi" w:cstheme="majorBidi"/>
                <w:sz w:val="24"/>
                <w:szCs w:val="24"/>
              </w:rPr>
            </w:pPr>
            <w:r w:rsidRPr="00BD4519">
              <w:rPr>
                <w:rFonts w:asciiTheme="majorBidi" w:hAnsiTheme="majorBidi" w:cstheme="majorBidi"/>
                <w:sz w:val="24"/>
                <w:szCs w:val="24"/>
              </w:rPr>
              <w:t xml:space="preserve">B. E. </w:t>
            </w:r>
            <w:proofErr w:type="spellStart"/>
            <w:r w:rsidRPr="00BD4519">
              <w:rPr>
                <w:rFonts w:asciiTheme="majorBidi" w:hAnsiTheme="majorBidi" w:cstheme="majorBidi"/>
                <w:sz w:val="24"/>
                <w:szCs w:val="24"/>
              </w:rPr>
              <w:t>Hermalin</w:t>
            </w:r>
            <w:proofErr w:type="spellEnd"/>
            <w:r w:rsidRPr="00BD4519">
              <w:rPr>
                <w:rFonts w:asciiTheme="majorBidi" w:hAnsiTheme="majorBidi" w:cstheme="majorBidi"/>
                <w:sz w:val="24"/>
                <w:szCs w:val="24"/>
              </w:rPr>
              <w:t xml:space="preserve"> and M. S. </w:t>
            </w:r>
            <w:proofErr w:type="spellStart"/>
            <w:r w:rsidRPr="00BD4519">
              <w:rPr>
                <w:rFonts w:asciiTheme="majorBidi" w:hAnsiTheme="majorBidi" w:cstheme="majorBidi"/>
                <w:sz w:val="24"/>
                <w:szCs w:val="24"/>
              </w:rPr>
              <w:t>Weisbach</w:t>
            </w:r>
            <w:proofErr w:type="spellEnd"/>
            <w:r w:rsidRPr="00BD4519">
              <w:rPr>
                <w:rFonts w:asciiTheme="majorBidi" w:hAnsiTheme="majorBidi" w:cstheme="majorBidi"/>
                <w:sz w:val="24"/>
                <w:szCs w:val="24"/>
              </w:rPr>
              <w:t xml:space="preserve">, "Boards of directors as an endogenously determined institution: A survey of the economic literature", </w:t>
            </w:r>
            <w:r w:rsidRPr="00BD4519">
              <w:rPr>
                <w:rFonts w:asciiTheme="majorBidi" w:hAnsiTheme="majorBidi" w:cstheme="majorBidi"/>
                <w:i/>
                <w:iCs/>
                <w:sz w:val="24"/>
                <w:szCs w:val="24"/>
              </w:rPr>
              <w:t>Economic Policy Review</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9</w:t>
            </w:r>
            <w:r w:rsidRPr="00BD4519">
              <w:rPr>
                <w:rFonts w:asciiTheme="majorBidi" w:hAnsiTheme="majorBidi" w:cstheme="majorBidi"/>
                <w:sz w:val="24"/>
                <w:szCs w:val="24"/>
              </w:rPr>
              <w:t>, (2003), 7–26.</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[9]</w:t>
            </w:r>
          </w:p>
        </w:tc>
        <w:tc>
          <w:tcPr>
            <w:tcW w:w="7972" w:type="dxa"/>
          </w:tcPr>
          <w:p w:rsidR="00BD4519" w:rsidRPr="00BD4519" w:rsidRDefault="00BD4519" w:rsidP="00BD4519">
            <w:pPr>
              <w:autoSpaceDE w:val="0"/>
              <w:autoSpaceDN w:val="0"/>
              <w:bidi w:val="0"/>
              <w:adjustRightInd w:val="0"/>
              <w:ind w:left="33" w:hanging="33"/>
              <w:jc w:val="both"/>
              <w:rPr>
                <w:rFonts w:asciiTheme="majorBidi" w:hAnsiTheme="majorBidi" w:cstheme="majorBidi"/>
                <w:sz w:val="24"/>
                <w:szCs w:val="24"/>
              </w:rPr>
            </w:pPr>
            <w:r w:rsidRPr="00BD4519">
              <w:rPr>
                <w:rFonts w:asciiTheme="majorBidi" w:hAnsiTheme="majorBidi" w:cstheme="majorBidi"/>
                <w:sz w:val="24"/>
                <w:szCs w:val="24"/>
              </w:rPr>
              <w:t xml:space="preserve">D. Dalton and C. R. Dalton, "Boards of directors: Utilizing empirical evidence in developing practical prescriptions", </w:t>
            </w:r>
            <w:r w:rsidRPr="00BD4519">
              <w:rPr>
                <w:rFonts w:asciiTheme="majorBidi" w:hAnsiTheme="majorBidi" w:cstheme="majorBidi"/>
                <w:i/>
                <w:iCs/>
                <w:sz w:val="24"/>
                <w:szCs w:val="24"/>
              </w:rPr>
              <w:t>British Journal of Management</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16</w:t>
            </w:r>
            <w:r w:rsidRPr="00BD4519">
              <w:rPr>
                <w:rFonts w:asciiTheme="majorBidi" w:hAnsiTheme="majorBidi" w:cstheme="majorBidi"/>
                <w:sz w:val="24"/>
                <w:szCs w:val="24"/>
              </w:rPr>
              <w:t xml:space="preserve">, (2005), S91–S97. </w:t>
            </w:r>
            <w:proofErr w:type="spellStart"/>
            <w:r w:rsidRPr="00BD4519">
              <w:rPr>
                <w:rFonts w:asciiTheme="majorBidi" w:hAnsiTheme="majorBidi" w:cstheme="majorBidi"/>
                <w:sz w:val="24"/>
                <w:szCs w:val="24"/>
              </w:rPr>
              <w:t>doi</w:t>
            </w:r>
            <w:proofErr w:type="spellEnd"/>
            <w:r w:rsidRPr="00BD4519">
              <w:rPr>
                <w:rFonts w:asciiTheme="majorBidi" w:hAnsiTheme="majorBidi" w:cstheme="majorBidi"/>
                <w:sz w:val="24"/>
                <w:szCs w:val="24"/>
              </w:rPr>
              <w:t xml:space="preserve">: </w:t>
            </w:r>
            <w:hyperlink r:id="rId12" w:tgtFrame="_blank" w:history="1">
              <w:r w:rsidRPr="00BD4519">
                <w:rPr>
                  <w:rFonts w:asciiTheme="majorBidi" w:hAnsiTheme="majorBidi" w:cstheme="majorBidi"/>
                  <w:sz w:val="24"/>
                  <w:szCs w:val="24"/>
                </w:rPr>
                <w:t>10.1111/j.1467-8551.2005.00450.x</w:t>
              </w:r>
            </w:hyperlink>
            <w:r w:rsidRPr="00BD4519">
              <w:rPr>
                <w:rFonts w:asciiTheme="majorBidi" w:hAnsiTheme="majorBidi" w:cstheme="majorBidi"/>
                <w:sz w:val="24"/>
                <w:szCs w:val="24"/>
              </w:rPr>
              <w:t xml:space="preserve"> </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lastRenderedPageBreak/>
              <w:t>[10]</w:t>
            </w:r>
          </w:p>
        </w:tc>
        <w:tc>
          <w:tcPr>
            <w:tcW w:w="7972" w:type="dxa"/>
          </w:tcPr>
          <w:p w:rsidR="00BD4519" w:rsidRPr="00BD4519" w:rsidRDefault="00BD4519" w:rsidP="00BD4519">
            <w:pPr>
              <w:bidi w:val="0"/>
              <w:jc w:val="both"/>
              <w:rPr>
                <w:rFonts w:asciiTheme="majorBidi" w:hAnsiTheme="majorBidi" w:cstheme="majorBidi"/>
                <w:sz w:val="24"/>
                <w:szCs w:val="24"/>
              </w:rPr>
            </w:pPr>
            <w:r w:rsidRPr="00BD4519">
              <w:rPr>
                <w:rFonts w:asciiTheme="majorBidi" w:hAnsiTheme="majorBidi" w:cstheme="majorBidi"/>
                <w:sz w:val="24"/>
                <w:szCs w:val="24"/>
              </w:rPr>
              <w:t xml:space="preserve">E. </w:t>
            </w:r>
            <w:proofErr w:type="spellStart"/>
            <w:r w:rsidRPr="00BD4519">
              <w:rPr>
                <w:rFonts w:asciiTheme="majorBidi" w:hAnsiTheme="majorBidi" w:cstheme="majorBidi"/>
                <w:sz w:val="24"/>
                <w:szCs w:val="24"/>
              </w:rPr>
              <w:t>Fama</w:t>
            </w:r>
            <w:proofErr w:type="spellEnd"/>
            <w:r w:rsidRPr="00BD4519">
              <w:rPr>
                <w:rFonts w:asciiTheme="majorBidi" w:hAnsiTheme="majorBidi" w:cstheme="majorBidi"/>
                <w:sz w:val="24"/>
                <w:szCs w:val="24"/>
              </w:rPr>
              <w:t xml:space="preserve"> and M. Jensen, "</w:t>
            </w:r>
            <w:hyperlink r:id="rId13" w:history="1">
              <w:r w:rsidRPr="00BD4519">
                <w:rPr>
                  <w:rFonts w:asciiTheme="majorBidi" w:hAnsiTheme="majorBidi" w:cstheme="majorBidi"/>
                  <w:sz w:val="24"/>
                  <w:szCs w:val="24"/>
                </w:rPr>
                <w:t>Separation of ownership and control</w:t>
              </w:r>
            </w:hyperlink>
            <w:r w:rsidRPr="00BD4519">
              <w:rPr>
                <w:rFonts w:asciiTheme="majorBidi" w:hAnsiTheme="majorBidi" w:cstheme="majorBidi"/>
                <w:sz w:val="24"/>
                <w:szCs w:val="24"/>
              </w:rPr>
              <w:t xml:space="preserve">", </w:t>
            </w:r>
            <w:hyperlink r:id="rId14" w:history="1">
              <w:r w:rsidRPr="00BD4519">
                <w:rPr>
                  <w:rFonts w:asciiTheme="majorBidi" w:hAnsiTheme="majorBidi" w:cstheme="majorBidi"/>
                  <w:i/>
                  <w:iCs/>
                  <w:sz w:val="24"/>
                  <w:szCs w:val="24"/>
                </w:rPr>
                <w:t>Journal of Law and Economics</w:t>
              </w:r>
            </w:hyperlink>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26</w:t>
            </w:r>
            <w:r w:rsidRPr="00BD4519">
              <w:rPr>
                <w:rFonts w:asciiTheme="majorBidi" w:hAnsiTheme="majorBidi" w:cstheme="majorBidi"/>
                <w:sz w:val="24"/>
                <w:szCs w:val="24"/>
              </w:rPr>
              <w:t xml:space="preserve">(2), (1983), 301-325. </w:t>
            </w:r>
            <w:proofErr w:type="spellStart"/>
            <w:r w:rsidRPr="00BD4519">
              <w:rPr>
                <w:rFonts w:asciiTheme="majorBidi" w:hAnsiTheme="majorBidi" w:cstheme="majorBidi"/>
                <w:sz w:val="24"/>
                <w:szCs w:val="24"/>
              </w:rPr>
              <w:t>doi</w:t>
            </w:r>
            <w:proofErr w:type="spellEnd"/>
            <w:r w:rsidRPr="00BD4519">
              <w:rPr>
                <w:rFonts w:asciiTheme="majorBidi" w:hAnsiTheme="majorBidi" w:cstheme="majorBidi"/>
                <w:sz w:val="24"/>
                <w:szCs w:val="24"/>
              </w:rPr>
              <w:t xml:space="preserve">: </w:t>
            </w:r>
            <w:hyperlink r:id="rId15" w:tgtFrame="_blank" w:history="1">
              <w:r w:rsidRPr="00BD4519">
                <w:rPr>
                  <w:rFonts w:asciiTheme="majorBidi" w:hAnsiTheme="majorBidi" w:cstheme="majorBidi"/>
                  <w:sz w:val="24"/>
                  <w:szCs w:val="24"/>
                </w:rPr>
                <w:t>10.1086/467037</w:t>
              </w:r>
            </w:hyperlink>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[11]</w:t>
            </w:r>
          </w:p>
        </w:tc>
        <w:tc>
          <w:tcPr>
            <w:tcW w:w="7972" w:type="dxa"/>
          </w:tcPr>
          <w:p w:rsidR="00BD4519" w:rsidRPr="00BD4519" w:rsidRDefault="00BD4519" w:rsidP="00BD4519">
            <w:pPr>
              <w:bidi w:val="0"/>
              <w:jc w:val="both"/>
              <w:rPr>
                <w:rFonts w:asciiTheme="majorBidi" w:hAnsiTheme="majorBidi" w:cstheme="majorBidi"/>
                <w:sz w:val="24"/>
                <w:szCs w:val="24"/>
              </w:rPr>
            </w:pPr>
            <w:r w:rsidRPr="00BD4519">
              <w:rPr>
                <w:rFonts w:asciiTheme="majorBidi" w:hAnsiTheme="majorBidi" w:cstheme="majorBidi"/>
                <w:sz w:val="24"/>
                <w:szCs w:val="24"/>
              </w:rPr>
              <w:t xml:space="preserve">C. A. Anderson and R. N. Anthony, </w:t>
            </w:r>
            <w:r w:rsidRPr="00BD4519">
              <w:rPr>
                <w:rFonts w:asciiTheme="majorBidi" w:hAnsiTheme="majorBidi" w:cstheme="majorBidi"/>
                <w:i/>
                <w:iCs/>
                <w:sz w:val="24"/>
                <w:szCs w:val="24"/>
              </w:rPr>
              <w:t>"The new corporate directors: insights for board members and executives</w:t>
            </w:r>
            <w:r w:rsidRPr="00BD4519">
              <w:rPr>
                <w:rFonts w:asciiTheme="majorBidi" w:hAnsiTheme="majorBidi" w:cstheme="majorBidi"/>
                <w:sz w:val="24"/>
                <w:szCs w:val="24"/>
              </w:rPr>
              <w:t xml:space="preserve">", New York: </w:t>
            </w:r>
            <w:proofErr w:type="spellStart"/>
            <w:r w:rsidRPr="00BD4519">
              <w:rPr>
                <w:rFonts w:asciiTheme="majorBidi" w:hAnsiTheme="majorBidi" w:cstheme="majorBidi"/>
                <w:sz w:val="24"/>
                <w:szCs w:val="24"/>
              </w:rPr>
              <w:t>Whiley</w:t>
            </w:r>
            <w:proofErr w:type="spellEnd"/>
            <w:r w:rsidRPr="00BD4519">
              <w:rPr>
                <w:rFonts w:asciiTheme="majorBidi" w:hAnsiTheme="majorBidi" w:cstheme="majorBidi"/>
                <w:sz w:val="24"/>
                <w:szCs w:val="24"/>
              </w:rPr>
              <w:t>, (1986).</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[12]</w:t>
            </w:r>
          </w:p>
        </w:tc>
        <w:tc>
          <w:tcPr>
            <w:tcW w:w="7972" w:type="dxa"/>
          </w:tcPr>
          <w:p w:rsidR="00BD4519" w:rsidRPr="00BD4519" w:rsidRDefault="00BD4519" w:rsidP="00BD4519">
            <w:pPr>
              <w:bidi w:val="0"/>
              <w:jc w:val="both"/>
              <w:rPr>
                <w:rFonts w:asciiTheme="majorBidi" w:hAnsiTheme="majorBidi" w:cstheme="majorBidi"/>
                <w:sz w:val="24"/>
                <w:szCs w:val="24"/>
              </w:rPr>
            </w:pPr>
            <w:r w:rsidRPr="00BD4519">
              <w:rPr>
                <w:rFonts w:asciiTheme="majorBidi" w:hAnsiTheme="majorBidi" w:cstheme="majorBidi"/>
                <w:sz w:val="24"/>
                <w:szCs w:val="24"/>
              </w:rPr>
              <w:t xml:space="preserve">P. </w:t>
            </w:r>
            <w:proofErr w:type="spellStart"/>
            <w:r w:rsidRPr="00BD4519">
              <w:rPr>
                <w:rFonts w:asciiTheme="majorBidi" w:hAnsiTheme="majorBidi" w:cstheme="majorBidi"/>
                <w:sz w:val="24"/>
                <w:szCs w:val="24"/>
              </w:rPr>
              <w:t>D'Erasmo</w:t>
            </w:r>
            <w:proofErr w:type="spellEnd"/>
            <w:r w:rsidRPr="00BD4519">
              <w:rPr>
                <w:rFonts w:asciiTheme="majorBidi" w:hAnsiTheme="majorBidi" w:cstheme="majorBidi"/>
                <w:sz w:val="24"/>
                <w:szCs w:val="24"/>
              </w:rPr>
              <w:t xml:space="preserve">, "Investment and firm dynamics", </w:t>
            </w:r>
            <w:r w:rsidRPr="00BD4519">
              <w:rPr>
                <w:rFonts w:asciiTheme="majorBidi" w:hAnsiTheme="majorBidi" w:cstheme="majorBidi"/>
                <w:i/>
                <w:iCs/>
                <w:sz w:val="24"/>
                <w:szCs w:val="24"/>
              </w:rPr>
              <w:t>MPRA Paper</w:t>
            </w:r>
            <w:r w:rsidRPr="00BD4519">
              <w:rPr>
                <w:rFonts w:asciiTheme="majorBidi" w:hAnsiTheme="majorBidi" w:cstheme="majorBidi"/>
                <w:b/>
                <w:bCs/>
                <w:sz w:val="24"/>
                <w:szCs w:val="24"/>
              </w:rPr>
              <w:t>, no. 4032</w:t>
            </w:r>
            <w:r w:rsidRPr="00BD4519">
              <w:rPr>
                <w:rFonts w:asciiTheme="majorBidi" w:hAnsiTheme="majorBidi" w:cstheme="majorBidi"/>
                <w:sz w:val="24"/>
                <w:szCs w:val="24"/>
              </w:rPr>
              <w:t>, University Library of Munich, Germany, (2007).</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[13]</w:t>
            </w:r>
          </w:p>
        </w:tc>
        <w:tc>
          <w:tcPr>
            <w:tcW w:w="7972" w:type="dxa"/>
          </w:tcPr>
          <w:p w:rsidR="00BD4519" w:rsidRPr="00BD4519" w:rsidRDefault="00BD4519" w:rsidP="00BD4519">
            <w:pPr>
              <w:autoSpaceDE w:val="0"/>
              <w:autoSpaceDN w:val="0"/>
              <w:bidi w:val="0"/>
              <w:adjustRightInd w:val="0"/>
              <w:ind w:left="17" w:hanging="17"/>
              <w:jc w:val="both"/>
              <w:rPr>
                <w:rFonts w:asciiTheme="majorBidi" w:hAnsiTheme="majorBidi" w:cstheme="majorBidi"/>
                <w:sz w:val="24"/>
                <w:szCs w:val="24"/>
              </w:rPr>
            </w:pPr>
            <w:r w:rsidRPr="00BD4519">
              <w:rPr>
                <w:rFonts w:asciiTheme="majorBidi" w:hAnsiTheme="majorBidi" w:cstheme="majorBidi"/>
                <w:sz w:val="24"/>
                <w:szCs w:val="24"/>
              </w:rPr>
              <w:t xml:space="preserve">E. </w:t>
            </w:r>
            <w:proofErr w:type="spellStart"/>
            <w:r w:rsidRPr="00BD4519">
              <w:rPr>
                <w:rFonts w:asciiTheme="majorBidi" w:hAnsiTheme="majorBidi" w:cstheme="majorBidi"/>
                <w:sz w:val="24"/>
                <w:szCs w:val="24"/>
              </w:rPr>
              <w:t>Kipesha</w:t>
            </w:r>
            <w:proofErr w:type="spellEnd"/>
            <w:r w:rsidRPr="00BD4519">
              <w:rPr>
                <w:rFonts w:asciiTheme="majorBidi" w:hAnsiTheme="majorBidi" w:cstheme="majorBidi"/>
                <w:sz w:val="24"/>
                <w:szCs w:val="24"/>
              </w:rPr>
              <w:t xml:space="preserve">, "Impact of size and age on firm performance: Evidences from microfinance institutions in Tanzania", </w:t>
            </w:r>
            <w:r w:rsidRPr="00BD4519">
              <w:rPr>
                <w:rFonts w:asciiTheme="majorBidi" w:hAnsiTheme="majorBidi" w:cstheme="majorBidi"/>
                <w:i/>
                <w:iCs/>
                <w:sz w:val="24"/>
                <w:szCs w:val="24"/>
              </w:rPr>
              <w:t>Research Journal of Finance and Accounting</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4</w:t>
            </w:r>
            <w:r w:rsidRPr="00BD4519">
              <w:rPr>
                <w:rFonts w:asciiTheme="majorBidi" w:hAnsiTheme="majorBidi" w:cstheme="majorBidi"/>
                <w:sz w:val="24"/>
                <w:szCs w:val="24"/>
              </w:rPr>
              <w:t>(5), (2013), 105 – 116.</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[14]</w:t>
            </w:r>
          </w:p>
        </w:tc>
        <w:tc>
          <w:tcPr>
            <w:tcW w:w="7972" w:type="dxa"/>
          </w:tcPr>
          <w:p w:rsidR="00BD4519" w:rsidRPr="00BD4519" w:rsidRDefault="00BD4519" w:rsidP="00BD4519">
            <w:pPr>
              <w:autoSpaceDE w:val="0"/>
              <w:autoSpaceDN w:val="0"/>
              <w:bidi w:val="0"/>
              <w:adjustRightInd w:val="0"/>
              <w:ind w:left="17" w:hanging="17"/>
              <w:jc w:val="both"/>
              <w:rPr>
                <w:rFonts w:asciiTheme="majorBidi" w:hAnsiTheme="majorBidi" w:cstheme="majorBidi"/>
                <w:sz w:val="24"/>
                <w:szCs w:val="24"/>
              </w:rPr>
            </w:pPr>
            <w:r w:rsidRPr="00BD4519">
              <w:rPr>
                <w:rFonts w:asciiTheme="majorBidi" w:hAnsiTheme="majorBidi" w:cstheme="majorBidi"/>
                <w:sz w:val="24"/>
                <w:szCs w:val="24"/>
              </w:rPr>
              <w:t xml:space="preserve">M. </w:t>
            </w:r>
            <w:proofErr w:type="spellStart"/>
            <w:r w:rsidRPr="00BD4519">
              <w:rPr>
                <w:rFonts w:asciiTheme="majorBidi" w:hAnsiTheme="majorBidi" w:cstheme="majorBidi"/>
                <w:sz w:val="24"/>
                <w:szCs w:val="24"/>
              </w:rPr>
              <w:t>Nofal</w:t>
            </w:r>
            <w:proofErr w:type="spellEnd"/>
            <w:r w:rsidRPr="00BD4519">
              <w:rPr>
                <w:rFonts w:asciiTheme="majorBidi" w:hAnsiTheme="majorBidi" w:cstheme="majorBidi"/>
                <w:sz w:val="24"/>
                <w:szCs w:val="24"/>
              </w:rPr>
              <w:t xml:space="preserve">, N. Alkadi, M. </w:t>
            </w:r>
            <w:proofErr w:type="spellStart"/>
            <w:r w:rsidRPr="00BD4519">
              <w:rPr>
                <w:rFonts w:asciiTheme="majorBidi" w:hAnsiTheme="majorBidi" w:cstheme="majorBidi"/>
                <w:sz w:val="24"/>
                <w:szCs w:val="24"/>
              </w:rPr>
              <w:t>Matar</w:t>
            </w:r>
            <w:proofErr w:type="spellEnd"/>
            <w:r w:rsidRPr="00BD4519">
              <w:rPr>
                <w:rFonts w:asciiTheme="majorBidi" w:hAnsiTheme="majorBidi" w:cstheme="majorBidi"/>
                <w:sz w:val="24"/>
                <w:szCs w:val="24"/>
              </w:rPr>
              <w:t xml:space="preserve"> and E. </w:t>
            </w:r>
            <w:proofErr w:type="spellStart"/>
            <w:r w:rsidRPr="00BD4519">
              <w:rPr>
                <w:rFonts w:asciiTheme="majorBidi" w:hAnsiTheme="majorBidi" w:cstheme="majorBidi"/>
                <w:sz w:val="24"/>
                <w:szCs w:val="24"/>
              </w:rPr>
              <w:t>Alnosoor</w:t>
            </w:r>
            <w:proofErr w:type="spellEnd"/>
            <w:r w:rsidRPr="00BD4519">
              <w:rPr>
                <w:rFonts w:asciiTheme="majorBidi" w:hAnsiTheme="majorBidi" w:cstheme="majorBidi"/>
                <w:sz w:val="24"/>
                <w:szCs w:val="24"/>
              </w:rPr>
              <w:t xml:space="preserve">, "Evaluate the performance of Jordanian industrial corporations using the rate of return through 1997 – 2007", </w:t>
            </w:r>
            <w:r w:rsidRPr="00BD4519">
              <w:rPr>
                <w:rFonts w:asciiTheme="majorBidi" w:hAnsiTheme="majorBidi" w:cstheme="majorBidi"/>
                <w:i/>
                <w:iCs/>
                <w:sz w:val="24"/>
                <w:szCs w:val="24"/>
              </w:rPr>
              <w:t>Journal of the Islamic University for Economic and administrative Studies</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20</w:t>
            </w:r>
            <w:r w:rsidRPr="00BD4519">
              <w:rPr>
                <w:rFonts w:asciiTheme="majorBidi" w:hAnsiTheme="majorBidi" w:cstheme="majorBidi"/>
                <w:sz w:val="24"/>
                <w:szCs w:val="24"/>
              </w:rPr>
              <w:t>(2), (2012), 211 – 244.</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[15]</w:t>
            </w:r>
          </w:p>
        </w:tc>
        <w:tc>
          <w:tcPr>
            <w:tcW w:w="7972" w:type="dxa"/>
          </w:tcPr>
          <w:p w:rsidR="00BD4519" w:rsidRPr="00BD4519" w:rsidRDefault="00BD4519" w:rsidP="00BD4519">
            <w:pPr>
              <w:autoSpaceDE w:val="0"/>
              <w:autoSpaceDN w:val="0"/>
              <w:bidi w:val="0"/>
              <w:adjustRightInd w:val="0"/>
              <w:ind w:left="17" w:hanging="17"/>
              <w:jc w:val="both"/>
              <w:rPr>
                <w:rFonts w:asciiTheme="majorBidi" w:hAnsiTheme="majorBidi" w:cstheme="majorBidi"/>
                <w:sz w:val="24"/>
                <w:szCs w:val="24"/>
              </w:rPr>
            </w:pPr>
            <w:r w:rsidRPr="00BD4519">
              <w:rPr>
                <w:rFonts w:asciiTheme="majorBidi" w:hAnsiTheme="majorBidi" w:cstheme="majorBidi"/>
                <w:sz w:val="24"/>
                <w:szCs w:val="24"/>
              </w:rPr>
              <w:t xml:space="preserve">B. </w:t>
            </w:r>
            <w:proofErr w:type="spellStart"/>
            <w:r w:rsidRPr="00BD4519">
              <w:rPr>
                <w:rFonts w:asciiTheme="majorBidi" w:hAnsiTheme="majorBidi" w:cstheme="majorBidi"/>
                <w:sz w:val="24"/>
                <w:szCs w:val="24"/>
              </w:rPr>
              <w:t>Alagha</w:t>
            </w:r>
            <w:proofErr w:type="spellEnd"/>
            <w:r w:rsidRPr="00BD4519">
              <w:rPr>
                <w:rFonts w:asciiTheme="majorBidi" w:hAnsiTheme="majorBidi" w:cstheme="majorBidi"/>
                <w:sz w:val="24"/>
                <w:szCs w:val="24"/>
              </w:rPr>
              <w:t xml:space="preserve">, "The effect of leverage and the cost of funding on the rate of return on investment: An empirical study on public corporations operating in Palestine", </w:t>
            </w:r>
            <w:r w:rsidRPr="00BD4519">
              <w:rPr>
                <w:rFonts w:asciiTheme="majorBidi" w:hAnsiTheme="majorBidi" w:cstheme="majorBidi"/>
                <w:i/>
                <w:iCs/>
                <w:sz w:val="24"/>
                <w:szCs w:val="24"/>
              </w:rPr>
              <w:t>Master Thesis</w:t>
            </w:r>
            <w:r w:rsidRPr="00BD4519">
              <w:rPr>
                <w:rFonts w:asciiTheme="majorBidi" w:hAnsiTheme="majorBidi" w:cstheme="majorBidi"/>
                <w:sz w:val="24"/>
                <w:szCs w:val="24"/>
              </w:rPr>
              <w:t>, Faculty of Commerce at the Islamic University, Palestine, (2005).</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[16]</w:t>
            </w:r>
          </w:p>
        </w:tc>
        <w:tc>
          <w:tcPr>
            <w:tcW w:w="7972" w:type="dxa"/>
          </w:tcPr>
          <w:p w:rsidR="00BD4519" w:rsidRDefault="00BD4519" w:rsidP="00BD4519">
            <w:pPr>
              <w:autoSpaceDE w:val="0"/>
              <w:autoSpaceDN w:val="0"/>
              <w:bidi w:val="0"/>
              <w:adjustRightInd w:val="0"/>
              <w:ind w:left="17" w:hanging="17"/>
              <w:jc w:val="both"/>
              <w:rPr>
                <w:rFonts w:asciiTheme="majorBidi" w:hAnsiTheme="majorBidi" w:cstheme="majorBidi"/>
                <w:sz w:val="24"/>
                <w:szCs w:val="24"/>
              </w:rPr>
            </w:pPr>
            <w:r w:rsidRPr="00BD4519">
              <w:rPr>
                <w:rFonts w:asciiTheme="majorBidi" w:hAnsiTheme="majorBidi" w:cstheme="majorBidi"/>
                <w:sz w:val="24"/>
                <w:szCs w:val="24"/>
              </w:rPr>
              <w:t xml:space="preserve">L. F. </w:t>
            </w:r>
            <w:proofErr w:type="spellStart"/>
            <w:r w:rsidRPr="00BD4519">
              <w:rPr>
                <w:rFonts w:asciiTheme="majorBidi" w:hAnsiTheme="majorBidi" w:cstheme="majorBidi"/>
                <w:sz w:val="24"/>
                <w:szCs w:val="24"/>
              </w:rPr>
              <w:t>Andersson</w:t>
            </w:r>
            <w:proofErr w:type="spellEnd"/>
            <w:r w:rsidRPr="00BD4519">
              <w:rPr>
                <w:rFonts w:asciiTheme="majorBidi" w:hAnsiTheme="majorBidi" w:cstheme="majorBidi"/>
                <w:sz w:val="24"/>
                <w:szCs w:val="24"/>
              </w:rPr>
              <w:t xml:space="preserve">, M. </w:t>
            </w:r>
            <w:proofErr w:type="spellStart"/>
            <w:r w:rsidRPr="00BD4519">
              <w:rPr>
                <w:rFonts w:asciiTheme="majorBidi" w:hAnsiTheme="majorBidi" w:cstheme="majorBidi"/>
                <w:sz w:val="24"/>
                <w:szCs w:val="24"/>
              </w:rPr>
              <w:t>Lindmark</w:t>
            </w:r>
            <w:proofErr w:type="spellEnd"/>
            <w:r w:rsidRPr="00BD4519">
              <w:rPr>
                <w:rFonts w:asciiTheme="majorBidi" w:hAnsiTheme="majorBidi" w:cstheme="majorBidi"/>
                <w:sz w:val="24"/>
                <w:szCs w:val="24"/>
              </w:rPr>
              <w:t>,</w:t>
            </w:r>
            <w:r w:rsidRPr="00BD4519">
              <w:rPr>
                <w:sz w:val="24"/>
                <w:szCs w:val="24"/>
              </w:rPr>
              <w:t xml:space="preserve"> M. </w:t>
            </w:r>
            <w:r w:rsidRPr="00BD4519">
              <w:rPr>
                <w:rFonts w:asciiTheme="majorBidi" w:hAnsiTheme="majorBidi" w:cstheme="majorBidi"/>
                <w:sz w:val="24"/>
                <w:szCs w:val="24"/>
              </w:rPr>
              <w:t xml:space="preserve">Adams and V. </w:t>
            </w:r>
            <w:proofErr w:type="spellStart"/>
            <w:r w:rsidRPr="00BD4519">
              <w:rPr>
                <w:rFonts w:asciiTheme="majorBidi" w:hAnsiTheme="majorBidi" w:cstheme="majorBidi"/>
                <w:sz w:val="24"/>
                <w:szCs w:val="24"/>
              </w:rPr>
              <w:t>Upreti</w:t>
            </w:r>
            <w:proofErr w:type="spellEnd"/>
            <w:r w:rsidRPr="00BD4519">
              <w:rPr>
                <w:rFonts w:asciiTheme="majorBidi" w:hAnsiTheme="majorBidi" w:cstheme="majorBidi"/>
                <w:sz w:val="24"/>
                <w:szCs w:val="24"/>
              </w:rPr>
              <w:t xml:space="preserve">, "The determinants of investment returns in the fire insurance industry: The case of Sweden, 1903-1939", </w:t>
            </w:r>
            <w:r w:rsidRPr="00BD4519">
              <w:rPr>
                <w:rFonts w:asciiTheme="majorBidi" w:hAnsiTheme="majorBidi" w:cstheme="majorBidi"/>
                <w:i/>
                <w:iCs/>
                <w:sz w:val="24"/>
                <w:szCs w:val="24"/>
              </w:rPr>
              <w:t>Financial History Review</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20</w:t>
            </w:r>
            <w:r w:rsidRPr="00BD4519">
              <w:rPr>
                <w:rFonts w:asciiTheme="majorBidi" w:hAnsiTheme="majorBidi" w:cstheme="majorBidi"/>
                <w:sz w:val="24"/>
                <w:szCs w:val="24"/>
              </w:rPr>
              <w:t xml:space="preserve">(1), (2013), 73-89. </w:t>
            </w:r>
          </w:p>
          <w:p w:rsidR="00BD4519" w:rsidRPr="00BD4519" w:rsidRDefault="00BD4519" w:rsidP="00BD4519">
            <w:pPr>
              <w:autoSpaceDE w:val="0"/>
              <w:autoSpaceDN w:val="0"/>
              <w:bidi w:val="0"/>
              <w:adjustRightInd w:val="0"/>
              <w:ind w:left="17" w:hanging="17"/>
              <w:jc w:val="both"/>
              <w:rPr>
                <w:rFonts w:asciiTheme="majorBidi" w:hAnsiTheme="majorBidi" w:cstheme="majorBidi"/>
                <w:sz w:val="24"/>
                <w:szCs w:val="24"/>
              </w:rPr>
            </w:pPr>
            <w:proofErr w:type="spellStart"/>
            <w:r w:rsidRPr="00BD4519">
              <w:rPr>
                <w:rFonts w:asciiTheme="majorBidi" w:hAnsiTheme="majorBidi" w:cstheme="majorBidi"/>
                <w:sz w:val="24"/>
                <w:szCs w:val="24"/>
              </w:rPr>
              <w:t>doi</w:t>
            </w:r>
            <w:proofErr w:type="spellEnd"/>
            <w:r w:rsidRPr="00BD4519">
              <w:rPr>
                <w:rFonts w:asciiTheme="majorBidi" w:hAnsiTheme="majorBidi" w:cstheme="majorBidi"/>
                <w:sz w:val="24"/>
                <w:szCs w:val="24"/>
              </w:rPr>
              <w:t xml:space="preserve">: </w:t>
            </w:r>
            <w:hyperlink r:id="rId16" w:tgtFrame="_blank" w:history="1">
              <w:r w:rsidRPr="00BD4519">
                <w:rPr>
                  <w:rFonts w:asciiTheme="majorBidi" w:hAnsiTheme="majorBidi" w:cstheme="majorBidi"/>
                  <w:sz w:val="24"/>
                  <w:szCs w:val="24"/>
                </w:rPr>
                <w:t>10.1017/S0968565012000273</w:t>
              </w:r>
            </w:hyperlink>
            <w:r w:rsidRPr="00BD4519">
              <w:rPr>
                <w:rFonts w:asciiTheme="majorBidi" w:hAnsiTheme="majorBidi" w:cstheme="majorBidi"/>
                <w:sz w:val="24"/>
                <w:szCs w:val="24"/>
              </w:rPr>
              <w:t xml:space="preserve">  </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[17]</w:t>
            </w:r>
          </w:p>
        </w:tc>
        <w:tc>
          <w:tcPr>
            <w:tcW w:w="7972" w:type="dxa"/>
          </w:tcPr>
          <w:p w:rsidR="00BD4519" w:rsidRPr="00BD4519" w:rsidRDefault="00BD4519" w:rsidP="00BD4519">
            <w:pPr>
              <w:autoSpaceDE w:val="0"/>
              <w:autoSpaceDN w:val="0"/>
              <w:bidi w:val="0"/>
              <w:adjustRightInd w:val="0"/>
              <w:ind w:left="17" w:hanging="17"/>
              <w:jc w:val="both"/>
              <w:rPr>
                <w:rFonts w:asciiTheme="majorBidi" w:hAnsiTheme="majorBidi" w:cstheme="majorBidi"/>
                <w:sz w:val="24"/>
                <w:szCs w:val="24"/>
              </w:rPr>
            </w:pPr>
            <w:r w:rsidRPr="00BD4519">
              <w:rPr>
                <w:rFonts w:asciiTheme="majorBidi" w:hAnsiTheme="majorBidi" w:cstheme="majorBidi"/>
                <w:sz w:val="24"/>
                <w:szCs w:val="24"/>
              </w:rPr>
              <w:t xml:space="preserve">L. Donaldson and J. Davis, "Stewardship theory or agency theory: CEO governance and shareholder returns", </w:t>
            </w:r>
            <w:r w:rsidRPr="00BD4519">
              <w:rPr>
                <w:rFonts w:asciiTheme="majorBidi" w:hAnsiTheme="majorBidi" w:cstheme="majorBidi"/>
                <w:i/>
                <w:iCs/>
                <w:sz w:val="24"/>
                <w:szCs w:val="24"/>
              </w:rPr>
              <w:t>Australian Journal of Management</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16</w:t>
            </w:r>
            <w:r w:rsidRPr="00BD4519">
              <w:rPr>
                <w:rFonts w:asciiTheme="majorBidi" w:hAnsiTheme="majorBidi" w:cstheme="majorBidi"/>
                <w:sz w:val="24"/>
                <w:szCs w:val="24"/>
              </w:rPr>
              <w:t xml:space="preserve">(1), (1991), 49 – 64. </w:t>
            </w:r>
            <w:proofErr w:type="spellStart"/>
            <w:r w:rsidRPr="00BD4519">
              <w:rPr>
                <w:rFonts w:asciiTheme="majorBidi" w:hAnsiTheme="majorBidi" w:cstheme="majorBidi"/>
                <w:sz w:val="24"/>
                <w:szCs w:val="24"/>
              </w:rPr>
              <w:t>doi</w:t>
            </w:r>
            <w:proofErr w:type="spellEnd"/>
            <w:r w:rsidRPr="00BD4519">
              <w:rPr>
                <w:rFonts w:asciiTheme="majorBidi" w:hAnsiTheme="majorBidi" w:cstheme="majorBidi"/>
                <w:sz w:val="24"/>
                <w:szCs w:val="24"/>
              </w:rPr>
              <w:t xml:space="preserve">: </w:t>
            </w:r>
            <w:hyperlink r:id="rId17" w:tgtFrame="_blank" w:history="1">
              <w:r w:rsidRPr="00BD4519">
                <w:rPr>
                  <w:rFonts w:asciiTheme="majorBidi" w:hAnsiTheme="majorBidi" w:cstheme="majorBidi"/>
                  <w:sz w:val="24"/>
                  <w:szCs w:val="24"/>
                </w:rPr>
                <w:t>10.1177/031289629101600103</w:t>
              </w:r>
            </w:hyperlink>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[18]</w:t>
            </w:r>
          </w:p>
        </w:tc>
        <w:tc>
          <w:tcPr>
            <w:tcW w:w="7972" w:type="dxa"/>
          </w:tcPr>
          <w:p w:rsidR="00BD4519" w:rsidRPr="00BD4519" w:rsidRDefault="00BD4519" w:rsidP="00BD4519">
            <w:pPr>
              <w:autoSpaceDE w:val="0"/>
              <w:autoSpaceDN w:val="0"/>
              <w:bidi w:val="0"/>
              <w:adjustRightInd w:val="0"/>
              <w:jc w:val="both"/>
              <w:rPr>
                <w:rFonts w:asciiTheme="majorBidi" w:hAnsiTheme="majorBidi" w:cstheme="majorBidi"/>
                <w:sz w:val="24"/>
                <w:szCs w:val="24"/>
              </w:rPr>
            </w:pPr>
            <w:r w:rsidRPr="00BD4519">
              <w:rPr>
                <w:rFonts w:asciiTheme="majorBidi" w:hAnsiTheme="majorBidi" w:cstheme="majorBidi"/>
                <w:sz w:val="24"/>
                <w:szCs w:val="24"/>
              </w:rPr>
              <w:t xml:space="preserve">A. </w:t>
            </w:r>
            <w:proofErr w:type="spellStart"/>
            <w:r w:rsidRPr="00BD4519">
              <w:rPr>
                <w:rFonts w:asciiTheme="majorBidi" w:hAnsiTheme="majorBidi" w:cstheme="majorBidi"/>
                <w:sz w:val="24"/>
                <w:szCs w:val="24"/>
              </w:rPr>
              <w:t>Kempf</w:t>
            </w:r>
            <w:proofErr w:type="spellEnd"/>
            <w:r w:rsidRPr="00BD4519">
              <w:rPr>
                <w:rFonts w:asciiTheme="majorBidi" w:hAnsiTheme="majorBidi" w:cstheme="majorBidi"/>
                <w:sz w:val="24"/>
                <w:szCs w:val="24"/>
              </w:rPr>
              <w:t xml:space="preserve">, A. </w:t>
            </w:r>
            <w:proofErr w:type="spellStart"/>
            <w:r w:rsidRPr="00BD4519">
              <w:rPr>
                <w:rFonts w:asciiTheme="majorBidi" w:hAnsiTheme="majorBidi" w:cstheme="majorBidi"/>
                <w:sz w:val="24"/>
                <w:szCs w:val="24"/>
              </w:rPr>
              <w:t>Pütz</w:t>
            </w:r>
            <w:proofErr w:type="spellEnd"/>
            <w:r w:rsidRPr="00BD4519">
              <w:rPr>
                <w:rFonts w:asciiTheme="majorBidi" w:hAnsiTheme="majorBidi" w:cstheme="majorBidi"/>
                <w:sz w:val="24"/>
                <w:szCs w:val="24"/>
              </w:rPr>
              <w:t xml:space="preserve"> and F. </w:t>
            </w:r>
            <w:proofErr w:type="spellStart"/>
            <w:r w:rsidRPr="00BD4519">
              <w:rPr>
                <w:rFonts w:asciiTheme="majorBidi" w:hAnsiTheme="majorBidi" w:cstheme="majorBidi"/>
                <w:sz w:val="24"/>
                <w:szCs w:val="24"/>
              </w:rPr>
              <w:t>Sonnenburg</w:t>
            </w:r>
            <w:proofErr w:type="spellEnd"/>
            <w:r w:rsidRPr="00BD4519">
              <w:rPr>
                <w:rFonts w:asciiTheme="majorBidi" w:hAnsiTheme="majorBidi" w:cstheme="majorBidi"/>
                <w:sz w:val="24"/>
                <w:szCs w:val="24"/>
              </w:rPr>
              <w:t xml:space="preserve">, "Fund manager duality: Impact on performance and investment behavior", </w:t>
            </w:r>
            <w:r w:rsidRPr="00BD4519">
              <w:rPr>
                <w:rFonts w:asciiTheme="majorBidi" w:hAnsiTheme="majorBidi" w:cstheme="majorBidi"/>
                <w:i/>
                <w:iCs/>
                <w:sz w:val="24"/>
                <w:szCs w:val="24"/>
              </w:rPr>
              <w:t>CFR Working Papers</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no. 12-06</w:t>
            </w:r>
            <w:r w:rsidRPr="00BD4519">
              <w:rPr>
                <w:rFonts w:asciiTheme="majorBidi" w:hAnsiTheme="majorBidi" w:cstheme="majorBidi"/>
                <w:sz w:val="24"/>
                <w:szCs w:val="24"/>
              </w:rPr>
              <w:t>, University of Cologne, Centre for Financial Research, (2012).</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[19]</w:t>
            </w:r>
          </w:p>
        </w:tc>
        <w:tc>
          <w:tcPr>
            <w:tcW w:w="7972" w:type="dxa"/>
          </w:tcPr>
          <w:p w:rsidR="00BD4519" w:rsidRPr="00BD4519" w:rsidRDefault="00BD4519" w:rsidP="00BD4519">
            <w:pPr>
              <w:autoSpaceDE w:val="0"/>
              <w:autoSpaceDN w:val="0"/>
              <w:bidi w:val="0"/>
              <w:adjustRightInd w:val="0"/>
              <w:ind w:left="17" w:hanging="17"/>
              <w:jc w:val="both"/>
              <w:rPr>
                <w:rFonts w:asciiTheme="majorBidi" w:hAnsiTheme="majorBidi" w:cstheme="majorBidi"/>
                <w:sz w:val="24"/>
                <w:szCs w:val="24"/>
              </w:rPr>
            </w:pPr>
            <w:r w:rsidRPr="00BD4519">
              <w:rPr>
                <w:rFonts w:asciiTheme="majorBidi" w:hAnsiTheme="majorBidi" w:cstheme="majorBidi"/>
                <w:sz w:val="24"/>
                <w:szCs w:val="24"/>
              </w:rPr>
              <w:t xml:space="preserve">C. Chen, J. Lin and B. Yi, "CEO duality and firm performance: An endogenous issue", </w:t>
            </w:r>
            <w:r w:rsidRPr="00BD4519">
              <w:rPr>
                <w:rFonts w:asciiTheme="majorBidi" w:hAnsiTheme="majorBidi" w:cstheme="majorBidi"/>
                <w:i/>
                <w:iCs/>
                <w:sz w:val="24"/>
                <w:szCs w:val="24"/>
              </w:rPr>
              <w:t>Corporate Ownership and Control</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6</w:t>
            </w:r>
            <w:r w:rsidRPr="00BD4519">
              <w:rPr>
                <w:rFonts w:asciiTheme="majorBidi" w:hAnsiTheme="majorBidi" w:cstheme="majorBidi"/>
                <w:sz w:val="24"/>
                <w:szCs w:val="24"/>
              </w:rPr>
              <w:t>(1), (2008), 58-65.</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[20]</w:t>
            </w:r>
          </w:p>
        </w:tc>
        <w:tc>
          <w:tcPr>
            <w:tcW w:w="7972" w:type="dxa"/>
          </w:tcPr>
          <w:p w:rsidR="00BD4519" w:rsidRPr="00BD4519" w:rsidRDefault="00BD4519" w:rsidP="00BD4519">
            <w:pPr>
              <w:autoSpaceDE w:val="0"/>
              <w:autoSpaceDN w:val="0"/>
              <w:bidi w:val="0"/>
              <w:adjustRightInd w:val="0"/>
              <w:jc w:val="both"/>
              <w:rPr>
                <w:rFonts w:asciiTheme="majorBidi" w:hAnsiTheme="majorBidi" w:cstheme="majorBidi"/>
                <w:sz w:val="24"/>
                <w:szCs w:val="24"/>
              </w:rPr>
            </w:pPr>
            <w:r w:rsidRPr="00BD4519">
              <w:rPr>
                <w:rFonts w:asciiTheme="majorBidi" w:hAnsiTheme="majorBidi" w:cstheme="majorBidi"/>
                <w:sz w:val="24"/>
                <w:szCs w:val="24"/>
              </w:rPr>
              <w:t xml:space="preserve">P. Guest, "The impact of board size on firm performance: Evidence from the UK", </w:t>
            </w:r>
            <w:r w:rsidRPr="00BD4519">
              <w:rPr>
                <w:rFonts w:asciiTheme="majorBidi" w:hAnsiTheme="majorBidi" w:cstheme="majorBidi"/>
                <w:i/>
                <w:iCs/>
                <w:sz w:val="24"/>
                <w:szCs w:val="24"/>
              </w:rPr>
              <w:t>The European Journal of Finance</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15</w:t>
            </w:r>
            <w:r w:rsidRPr="00BD4519">
              <w:rPr>
                <w:rFonts w:asciiTheme="majorBidi" w:hAnsiTheme="majorBidi" w:cstheme="majorBidi"/>
                <w:sz w:val="24"/>
                <w:szCs w:val="24"/>
              </w:rPr>
              <w:t xml:space="preserve">(4), (2009), 385-404. </w:t>
            </w:r>
            <w:proofErr w:type="spellStart"/>
            <w:r w:rsidRPr="00BD4519">
              <w:rPr>
                <w:rFonts w:asciiTheme="majorBidi" w:hAnsiTheme="majorBidi" w:cstheme="majorBidi"/>
                <w:sz w:val="24"/>
                <w:szCs w:val="24"/>
              </w:rPr>
              <w:t>doi</w:t>
            </w:r>
            <w:proofErr w:type="spellEnd"/>
            <w:r w:rsidRPr="00BD4519">
              <w:rPr>
                <w:rFonts w:asciiTheme="majorBidi" w:hAnsiTheme="majorBidi" w:cstheme="majorBidi"/>
                <w:sz w:val="24"/>
                <w:szCs w:val="24"/>
              </w:rPr>
              <w:t xml:space="preserve">: </w:t>
            </w:r>
            <w:hyperlink r:id="rId18" w:tgtFrame="_blank" w:history="1">
              <w:r w:rsidRPr="00BD4519">
                <w:rPr>
                  <w:rFonts w:asciiTheme="majorBidi" w:hAnsiTheme="majorBidi" w:cstheme="majorBidi"/>
                  <w:sz w:val="24"/>
                  <w:szCs w:val="24"/>
                </w:rPr>
                <w:t>10.1080/13518470802466121</w:t>
              </w:r>
            </w:hyperlink>
            <w:r w:rsidRPr="00BD4519">
              <w:rPr>
                <w:rFonts w:asciiTheme="majorBidi" w:hAnsiTheme="majorBidi" w:cstheme="majorBidi"/>
                <w:sz w:val="24"/>
                <w:szCs w:val="24"/>
              </w:rPr>
              <w:t xml:space="preserve"> </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[21]</w:t>
            </w:r>
          </w:p>
        </w:tc>
        <w:tc>
          <w:tcPr>
            <w:tcW w:w="7972" w:type="dxa"/>
          </w:tcPr>
          <w:p w:rsidR="00BD4519" w:rsidRPr="00BD4519" w:rsidRDefault="00BD4519" w:rsidP="00BD4519">
            <w:pPr>
              <w:autoSpaceDE w:val="0"/>
              <w:autoSpaceDN w:val="0"/>
              <w:bidi w:val="0"/>
              <w:adjustRightInd w:val="0"/>
              <w:ind w:left="17" w:hanging="17"/>
              <w:jc w:val="both"/>
              <w:rPr>
                <w:rFonts w:asciiTheme="majorBidi" w:hAnsiTheme="majorBidi" w:cstheme="majorBidi"/>
                <w:sz w:val="24"/>
                <w:szCs w:val="24"/>
              </w:rPr>
            </w:pPr>
            <w:r w:rsidRPr="00BD4519">
              <w:rPr>
                <w:rFonts w:asciiTheme="majorBidi" w:hAnsiTheme="majorBidi" w:cstheme="majorBidi"/>
                <w:sz w:val="24"/>
                <w:szCs w:val="24"/>
              </w:rPr>
              <w:t xml:space="preserve">M. </w:t>
            </w:r>
            <w:proofErr w:type="spellStart"/>
            <w:r w:rsidRPr="00BD4519">
              <w:rPr>
                <w:rFonts w:asciiTheme="majorBidi" w:hAnsiTheme="majorBidi" w:cstheme="majorBidi"/>
                <w:sz w:val="24"/>
                <w:szCs w:val="24"/>
              </w:rPr>
              <w:t>Ghabayen</w:t>
            </w:r>
            <w:proofErr w:type="spellEnd"/>
            <w:r w:rsidRPr="00BD4519">
              <w:rPr>
                <w:rFonts w:asciiTheme="majorBidi" w:hAnsiTheme="majorBidi" w:cstheme="majorBidi"/>
                <w:sz w:val="24"/>
                <w:szCs w:val="24"/>
              </w:rPr>
              <w:t xml:space="preserve">, "Board characteristics and firm performance: Case of Saudi Arabia", </w:t>
            </w:r>
            <w:r w:rsidRPr="00BD4519">
              <w:rPr>
                <w:rFonts w:asciiTheme="majorBidi" w:hAnsiTheme="majorBidi" w:cstheme="majorBidi"/>
                <w:i/>
                <w:iCs/>
                <w:sz w:val="24"/>
                <w:szCs w:val="24"/>
              </w:rPr>
              <w:t>International Journal of Accounting and Financial Reporting</w:t>
            </w:r>
            <w:r w:rsidRPr="00BD4519">
              <w:rPr>
                <w:rFonts w:asciiTheme="majorBidi" w:hAnsiTheme="majorBidi" w:cstheme="majorBidi"/>
                <w:sz w:val="24"/>
                <w:szCs w:val="24"/>
              </w:rPr>
              <w:t xml:space="preserve">, </w:t>
            </w:r>
            <w:r w:rsidRPr="00BD4519">
              <w:rPr>
                <w:rFonts w:asciiTheme="majorBidi" w:hAnsiTheme="majorBidi" w:cstheme="majorBidi"/>
                <w:b/>
                <w:bCs/>
                <w:sz w:val="24"/>
                <w:szCs w:val="24"/>
              </w:rPr>
              <w:t>2</w:t>
            </w:r>
            <w:r w:rsidRPr="00BD4519">
              <w:rPr>
                <w:rFonts w:asciiTheme="majorBidi" w:hAnsiTheme="majorBidi" w:cstheme="majorBidi"/>
                <w:sz w:val="24"/>
                <w:szCs w:val="24"/>
              </w:rPr>
              <w:t xml:space="preserve">(2), (2012), 168-200. </w:t>
            </w:r>
            <w:proofErr w:type="spellStart"/>
            <w:r w:rsidRPr="00BD4519">
              <w:rPr>
                <w:rFonts w:asciiTheme="majorBidi" w:hAnsiTheme="majorBidi" w:cstheme="majorBidi"/>
                <w:sz w:val="24"/>
                <w:szCs w:val="24"/>
              </w:rPr>
              <w:t>doi</w:t>
            </w:r>
            <w:proofErr w:type="spellEnd"/>
            <w:r w:rsidRPr="00BD4519">
              <w:rPr>
                <w:rFonts w:asciiTheme="majorBidi" w:hAnsiTheme="majorBidi" w:cstheme="majorBidi"/>
                <w:sz w:val="24"/>
                <w:szCs w:val="24"/>
              </w:rPr>
              <w:t xml:space="preserve">: </w:t>
            </w:r>
            <w:hyperlink r:id="rId19" w:tgtFrame="_blank" w:history="1">
              <w:r w:rsidRPr="00BD4519">
                <w:rPr>
                  <w:rFonts w:asciiTheme="majorBidi" w:hAnsiTheme="majorBidi" w:cstheme="majorBidi"/>
                  <w:sz w:val="24"/>
                  <w:szCs w:val="24"/>
                </w:rPr>
                <w:t>10.5296/ijafr.v2i2.2145</w:t>
              </w:r>
            </w:hyperlink>
            <w:r w:rsidRPr="00BD4519">
              <w:rPr>
                <w:rFonts w:asciiTheme="majorBidi" w:hAnsiTheme="majorBidi" w:cstheme="majorBidi"/>
                <w:sz w:val="24"/>
                <w:szCs w:val="24"/>
              </w:rPr>
              <w:t xml:space="preserve">  </w:t>
            </w:r>
          </w:p>
        </w:tc>
      </w:tr>
      <w:tr w:rsidR="00BD4519" w:rsidTr="00BD4519">
        <w:tc>
          <w:tcPr>
            <w:tcW w:w="550" w:type="dxa"/>
          </w:tcPr>
          <w:p w:rsidR="00BD4519" w:rsidRPr="00BD4519" w:rsidRDefault="00BD4519" w:rsidP="00DD1078">
            <w:pPr>
              <w:bidi w:val="0"/>
              <w:jc w:val="right"/>
              <w:rPr>
                <w:rFonts w:asciiTheme="majorBidi" w:hAnsiTheme="majorBidi" w:cstheme="majorBidi"/>
                <w:sz w:val="24"/>
                <w:szCs w:val="24"/>
              </w:rPr>
            </w:pPr>
            <w:r w:rsidRPr="00BD4519">
              <w:rPr>
                <w:rFonts w:asciiTheme="majorBidi" w:hAnsiTheme="majorBidi" w:cstheme="majorBidi"/>
                <w:sz w:val="24"/>
                <w:szCs w:val="24"/>
              </w:rPr>
              <w:t>[22]</w:t>
            </w:r>
          </w:p>
        </w:tc>
        <w:tc>
          <w:tcPr>
            <w:tcW w:w="7972" w:type="dxa"/>
          </w:tcPr>
          <w:p w:rsidR="00BD4519" w:rsidRPr="00BD4519" w:rsidRDefault="00BD4519" w:rsidP="00BD4519">
            <w:pPr>
              <w:autoSpaceDE w:val="0"/>
              <w:autoSpaceDN w:val="0"/>
              <w:bidi w:val="0"/>
              <w:adjustRightInd w:val="0"/>
              <w:ind w:left="425" w:hanging="425"/>
              <w:jc w:val="both"/>
              <w:rPr>
                <w:rFonts w:asciiTheme="majorBidi" w:hAnsiTheme="majorBidi" w:cstheme="majorBidi"/>
                <w:sz w:val="24"/>
                <w:szCs w:val="24"/>
              </w:rPr>
            </w:pPr>
            <w:r w:rsidRPr="00BD4519">
              <w:rPr>
                <w:rFonts w:asciiTheme="majorBidi" w:hAnsiTheme="majorBidi" w:cstheme="majorBidi"/>
                <w:sz w:val="24"/>
                <w:szCs w:val="24"/>
              </w:rPr>
              <w:t>W. H. Greene, "</w:t>
            </w:r>
            <w:r w:rsidRPr="00BD4519">
              <w:rPr>
                <w:rFonts w:asciiTheme="majorBidi" w:hAnsiTheme="majorBidi" w:cstheme="majorBidi"/>
                <w:i/>
                <w:iCs/>
                <w:sz w:val="24"/>
                <w:szCs w:val="24"/>
              </w:rPr>
              <w:t>Econometric analysis</w:t>
            </w:r>
            <w:r w:rsidRPr="00BD4519">
              <w:rPr>
                <w:rFonts w:asciiTheme="majorBidi" w:hAnsiTheme="majorBidi" w:cstheme="majorBidi"/>
                <w:sz w:val="24"/>
                <w:szCs w:val="24"/>
              </w:rPr>
              <w:t>", 7</w:t>
            </w:r>
            <w:r w:rsidRPr="00BD4519">
              <w:rPr>
                <w:rFonts w:asciiTheme="majorBidi" w:hAnsiTheme="majorBidi" w:cstheme="majorBidi"/>
                <w:sz w:val="24"/>
                <w:szCs w:val="24"/>
                <w:vertAlign w:val="superscript"/>
              </w:rPr>
              <w:t>th</w:t>
            </w:r>
            <w:r w:rsidRPr="00BD4519">
              <w:rPr>
                <w:rFonts w:asciiTheme="majorBidi" w:hAnsiTheme="majorBidi" w:cstheme="majorBidi"/>
                <w:sz w:val="24"/>
                <w:szCs w:val="24"/>
              </w:rPr>
              <w:t xml:space="preserve"> edition, Englewood Cliffs, NJ: Prentice-Hall, (2003).</w:t>
            </w:r>
          </w:p>
        </w:tc>
      </w:tr>
    </w:tbl>
    <w:p w:rsidR="00BD4519" w:rsidRPr="00B019FC" w:rsidRDefault="00BD4519" w:rsidP="00BD4519">
      <w:pPr>
        <w:autoSpaceDE w:val="0"/>
        <w:autoSpaceDN w:val="0"/>
        <w:bidi w:val="0"/>
        <w:adjustRightInd w:val="0"/>
        <w:spacing w:after="0" w:line="240" w:lineRule="auto"/>
        <w:jc w:val="both"/>
        <w:rPr>
          <w:rFonts w:asciiTheme="majorBidi" w:hAnsiTheme="majorBidi" w:cstheme="majorBidi"/>
          <w:sz w:val="20"/>
          <w:szCs w:val="20"/>
        </w:rPr>
      </w:pPr>
    </w:p>
    <w:p w:rsidR="00BD4519" w:rsidRPr="00B019FC" w:rsidRDefault="00BD4519" w:rsidP="00BD4519">
      <w:pPr>
        <w:autoSpaceDE w:val="0"/>
        <w:autoSpaceDN w:val="0"/>
        <w:bidi w:val="0"/>
        <w:adjustRightInd w:val="0"/>
        <w:spacing w:after="0" w:line="240" w:lineRule="auto"/>
        <w:ind w:left="425" w:hanging="425"/>
        <w:jc w:val="both"/>
        <w:rPr>
          <w:rFonts w:asciiTheme="majorBidi" w:hAnsiTheme="majorBidi" w:cstheme="majorBidi"/>
          <w:sz w:val="20"/>
          <w:szCs w:val="20"/>
        </w:rPr>
      </w:pPr>
    </w:p>
    <w:sectPr w:rsidR="00BD4519" w:rsidRPr="00B019FC" w:rsidSect="005E3213">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07" w:rsidRDefault="00074E07" w:rsidP="005C0F6E">
      <w:pPr>
        <w:spacing w:after="0" w:line="240" w:lineRule="auto"/>
      </w:pPr>
      <w:r>
        <w:separator/>
      </w:r>
    </w:p>
  </w:endnote>
  <w:endnote w:type="continuationSeparator" w:id="0">
    <w:p w:rsidR="00074E07" w:rsidRDefault="00074E07" w:rsidP="005C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AdvOT6eb13881+f6">
    <w:altName w:val="Arial Unicode MS"/>
    <w:panose1 w:val="00000000000000000000"/>
    <w:charset w:val="88"/>
    <w:family w:val="auto"/>
    <w:notTrueType/>
    <w:pitch w:val="default"/>
    <w:sig w:usb0="00000001" w:usb1="08080000" w:usb2="00000010" w:usb3="00000000" w:csb0="00100000"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6eb1388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003353"/>
      <w:docPartObj>
        <w:docPartGallery w:val="Page Numbers (Bottom of Page)"/>
        <w:docPartUnique/>
      </w:docPartObj>
    </w:sdtPr>
    <w:sdtContent>
      <w:p w:rsidR="00074E07" w:rsidRDefault="00074E07" w:rsidP="00C43157">
        <w:pPr>
          <w:pStyle w:val="Footer"/>
          <w:bidi w:val="0"/>
          <w:jc w:val="center"/>
        </w:pPr>
        <w:r>
          <w:fldChar w:fldCharType="begin"/>
        </w:r>
        <w:r>
          <w:instrText>PAGE   \* MERGEFORMAT</w:instrText>
        </w:r>
        <w:r>
          <w:fldChar w:fldCharType="separate"/>
        </w:r>
        <w:r w:rsidR="00926A29" w:rsidRPr="00926A29">
          <w:rPr>
            <w:rFonts w:cs="Calibri"/>
            <w:noProof/>
            <w:lang w:val="ar-SA"/>
          </w:rPr>
          <w:t>1</w:t>
        </w:r>
        <w:r>
          <w:fldChar w:fldCharType="end"/>
        </w:r>
      </w:p>
    </w:sdtContent>
  </w:sdt>
  <w:p w:rsidR="00074E07" w:rsidRDefault="00074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07" w:rsidRDefault="00074E07" w:rsidP="005C0F6E">
      <w:pPr>
        <w:spacing w:after="0" w:line="240" w:lineRule="auto"/>
      </w:pPr>
      <w:r>
        <w:separator/>
      </w:r>
    </w:p>
  </w:footnote>
  <w:footnote w:type="continuationSeparator" w:id="0">
    <w:p w:rsidR="00074E07" w:rsidRDefault="00074E07" w:rsidP="005C0F6E">
      <w:pPr>
        <w:spacing w:after="0" w:line="240" w:lineRule="auto"/>
      </w:pPr>
      <w:r>
        <w:continuationSeparator/>
      </w:r>
    </w:p>
  </w:footnote>
  <w:footnote w:id="1">
    <w:p w:rsidR="00074E07" w:rsidRPr="001B6458" w:rsidRDefault="00074E07" w:rsidP="00C618C0">
      <w:pPr>
        <w:bidi w:val="0"/>
        <w:spacing w:before="120" w:after="120"/>
        <w:ind w:left="142" w:hanging="142"/>
        <w:rPr>
          <w:rStyle w:val="FootnoteReference"/>
          <w:rFonts w:asciiTheme="majorBidi" w:hAnsiTheme="majorBidi"/>
          <w:sz w:val="20"/>
          <w:vertAlign w:val="baseline"/>
        </w:rPr>
      </w:pPr>
      <w:r w:rsidRPr="00C618C0">
        <w:rPr>
          <w:rStyle w:val="FootnoteReference"/>
        </w:rPr>
        <w:footnoteRef/>
      </w:r>
      <w:r w:rsidRPr="00C618C0">
        <w:rPr>
          <w:rStyle w:val="FootnoteReference"/>
          <w:rtl/>
        </w:rPr>
        <w:t xml:space="preserve"> </w:t>
      </w:r>
      <w:r w:rsidR="00C618C0">
        <w:t xml:space="preserve"> </w:t>
      </w:r>
      <w:r w:rsidR="00C618C0" w:rsidRPr="00DB2B8A">
        <w:rPr>
          <w:rFonts w:asciiTheme="majorBidi" w:hAnsiTheme="majorBidi" w:cstheme="majorBidi"/>
          <w:sz w:val="20"/>
          <w:szCs w:val="20"/>
        </w:rPr>
        <w:t>Associate Professor of Economics</w:t>
      </w:r>
      <w:r w:rsidR="00C618C0">
        <w:rPr>
          <w:rFonts w:asciiTheme="majorBidi" w:hAnsiTheme="majorBidi" w:cstheme="majorBidi"/>
          <w:sz w:val="20"/>
          <w:szCs w:val="20"/>
        </w:rPr>
        <w:t xml:space="preserve">, </w:t>
      </w:r>
      <w:r w:rsidR="00C618C0" w:rsidRPr="00DB2B8A">
        <w:rPr>
          <w:rFonts w:asciiTheme="majorBidi" w:hAnsiTheme="majorBidi" w:cstheme="majorBidi"/>
          <w:sz w:val="20"/>
          <w:szCs w:val="20"/>
        </w:rPr>
        <w:t>Faculty of Commerce and Business Administration</w:t>
      </w:r>
      <w:r w:rsidR="00C618C0">
        <w:rPr>
          <w:rFonts w:asciiTheme="majorBidi" w:hAnsiTheme="majorBidi" w:cstheme="majorBidi"/>
          <w:sz w:val="20"/>
          <w:szCs w:val="20"/>
        </w:rPr>
        <w:t xml:space="preserve">, Department of Economics and foreign Trade, </w:t>
      </w:r>
      <w:proofErr w:type="spellStart"/>
      <w:r w:rsidR="00C618C0" w:rsidRPr="00DB2B8A">
        <w:rPr>
          <w:rFonts w:asciiTheme="majorBidi" w:hAnsiTheme="majorBidi" w:cstheme="majorBidi"/>
          <w:sz w:val="20"/>
          <w:szCs w:val="20"/>
        </w:rPr>
        <w:t>Helwan</w:t>
      </w:r>
      <w:proofErr w:type="spellEnd"/>
      <w:r w:rsidR="00C618C0" w:rsidRPr="00DB2B8A">
        <w:rPr>
          <w:rFonts w:asciiTheme="majorBidi" w:hAnsiTheme="majorBidi" w:cstheme="majorBidi"/>
          <w:sz w:val="20"/>
          <w:szCs w:val="20"/>
        </w:rPr>
        <w:t xml:space="preserve"> University</w:t>
      </w:r>
      <w:r w:rsidR="00C618C0">
        <w:rPr>
          <w:rFonts w:asciiTheme="majorBidi" w:hAnsiTheme="majorBidi" w:cstheme="majorBidi"/>
          <w:sz w:val="20"/>
          <w:szCs w:val="20"/>
        </w:rPr>
        <w:t xml:space="preserve">, </w:t>
      </w:r>
      <w:r w:rsidR="00C618C0" w:rsidRPr="00DB2B8A">
        <w:rPr>
          <w:rFonts w:asciiTheme="majorBidi" w:hAnsiTheme="majorBidi" w:cstheme="majorBidi"/>
          <w:sz w:val="20"/>
          <w:szCs w:val="20"/>
        </w:rPr>
        <w:t>Egypt</w:t>
      </w:r>
      <w:r w:rsidR="00C618C0">
        <w:rPr>
          <w:rFonts w:asciiTheme="majorBidi" w:hAnsiTheme="majorBidi" w:cstheme="majorBidi"/>
          <w:sz w:val="20"/>
          <w:szCs w:val="20"/>
        </w:rPr>
        <w:t xml:space="preserve"> &amp; </w:t>
      </w:r>
      <w:r w:rsidR="00C618C0">
        <w:rPr>
          <w:rFonts w:asciiTheme="majorBidi" w:hAnsiTheme="majorBidi" w:cstheme="majorBidi"/>
          <w:sz w:val="20"/>
          <w:szCs w:val="20"/>
        </w:rPr>
        <w:t xml:space="preserve">College of Applied Studies and </w:t>
      </w:r>
      <w:r w:rsidR="00C618C0" w:rsidRPr="00C618C0">
        <w:rPr>
          <w:rFonts w:asciiTheme="majorBidi" w:hAnsiTheme="majorBidi" w:cstheme="majorBidi"/>
          <w:sz w:val="20"/>
          <w:szCs w:val="20"/>
        </w:rPr>
        <w:t>Community service, Dammam University, Saudi Arabia.</w:t>
      </w:r>
      <w:r w:rsidR="001B6458">
        <w:rPr>
          <w:rStyle w:val="FootnoteReference"/>
          <w:rFonts w:asciiTheme="majorBidi" w:hAnsiTheme="majorBidi"/>
          <w:sz w:val="20"/>
          <w:vertAlign w:val="baseline"/>
        </w:rPr>
        <w:t xml:space="preserve"> Email: </w:t>
      </w:r>
      <w:hyperlink r:id="rId1" w:history="1">
        <w:r w:rsidR="001B6458" w:rsidRPr="00FA17C5">
          <w:rPr>
            <w:rStyle w:val="Hyperlink"/>
            <w:rFonts w:asciiTheme="majorBidi" w:hAnsiTheme="majorBidi" w:cstheme="majorBidi"/>
            <w:sz w:val="20"/>
            <w:szCs w:val="20"/>
          </w:rPr>
          <w:t>mabdelaal@ud.edu.sa</w:t>
        </w:r>
      </w:hyperlink>
      <w:r w:rsidR="001B6458">
        <w:rPr>
          <w:rStyle w:val="FootnoteReference"/>
          <w:rFonts w:asciiTheme="majorBidi" w:hAnsiTheme="majorBidi"/>
          <w:sz w:val="20"/>
          <w:vertAlign w:val="baseline"/>
        </w:rPr>
        <w:t xml:space="preserve"> </w:t>
      </w:r>
    </w:p>
  </w:footnote>
  <w:footnote w:id="2">
    <w:p w:rsidR="00C618C0" w:rsidRDefault="00C618C0" w:rsidP="00C618C0">
      <w:pPr>
        <w:bidi w:val="0"/>
        <w:spacing w:before="120" w:after="120"/>
        <w:ind w:left="142" w:hanging="142"/>
        <w:rPr>
          <w:rFonts w:asciiTheme="majorBidi" w:hAnsiTheme="majorBidi" w:cstheme="majorBidi"/>
          <w:sz w:val="20"/>
          <w:szCs w:val="20"/>
        </w:rPr>
      </w:pPr>
      <w:r>
        <w:rPr>
          <w:rStyle w:val="FootnoteReference"/>
        </w:rPr>
        <w:footnoteRef/>
      </w:r>
      <w:r>
        <w:rPr>
          <w:rtl/>
        </w:rPr>
        <w:t xml:space="preserve"> </w:t>
      </w:r>
      <w:r>
        <w:t xml:space="preserve"> </w:t>
      </w:r>
      <w:r w:rsidRPr="00DB2B8A">
        <w:rPr>
          <w:rFonts w:asciiTheme="majorBidi" w:hAnsiTheme="majorBidi" w:cstheme="majorBidi"/>
          <w:sz w:val="20"/>
          <w:szCs w:val="20"/>
        </w:rPr>
        <w:t>Assistant Professor of Finance</w:t>
      </w:r>
      <w:r>
        <w:rPr>
          <w:rFonts w:asciiTheme="majorBidi" w:hAnsiTheme="majorBidi" w:cstheme="majorBidi"/>
          <w:sz w:val="20"/>
          <w:szCs w:val="20"/>
        </w:rPr>
        <w:t xml:space="preserve">, </w:t>
      </w:r>
      <w:r>
        <w:rPr>
          <w:rFonts w:asciiTheme="majorBidi" w:hAnsiTheme="majorBidi" w:cstheme="majorBidi"/>
          <w:sz w:val="20"/>
          <w:szCs w:val="20"/>
        </w:rPr>
        <w:t>Faculty o</w:t>
      </w:r>
      <w:bookmarkStart w:id="0" w:name="_GoBack"/>
      <w:bookmarkEnd w:id="0"/>
      <w:r>
        <w:rPr>
          <w:rFonts w:asciiTheme="majorBidi" w:hAnsiTheme="majorBidi" w:cstheme="majorBidi"/>
          <w:sz w:val="20"/>
          <w:szCs w:val="20"/>
        </w:rPr>
        <w:t xml:space="preserve">f Commerce, Department of Business Administration, Damietta University, </w:t>
      </w:r>
      <w:r w:rsidRPr="00DB2B8A">
        <w:rPr>
          <w:rFonts w:asciiTheme="majorBidi" w:hAnsiTheme="majorBidi" w:cstheme="majorBidi"/>
          <w:sz w:val="20"/>
          <w:szCs w:val="20"/>
        </w:rPr>
        <w:t>Egypt</w:t>
      </w:r>
      <w:r>
        <w:rPr>
          <w:rFonts w:asciiTheme="majorBidi" w:hAnsiTheme="majorBidi" w:cstheme="majorBidi"/>
          <w:b/>
          <w:bCs/>
          <w:sz w:val="20"/>
          <w:szCs w:val="20"/>
        </w:rPr>
        <w:t xml:space="preserve"> &amp; </w:t>
      </w:r>
      <w:r>
        <w:rPr>
          <w:rFonts w:asciiTheme="majorBidi" w:hAnsiTheme="majorBidi" w:cstheme="majorBidi"/>
          <w:sz w:val="20"/>
          <w:szCs w:val="20"/>
        </w:rPr>
        <w:t>College of Applied Studies and Community service, Dammam University, Saudi Arabia</w:t>
      </w:r>
      <w:r>
        <w:rPr>
          <w:rFonts w:asciiTheme="majorBidi" w:hAnsiTheme="majorBidi" w:cstheme="majorBidi"/>
          <w:b/>
          <w:bCs/>
          <w:sz w:val="20"/>
          <w:szCs w:val="20"/>
        </w:rPr>
        <w:t>.</w:t>
      </w:r>
      <w:r w:rsidR="001B6458">
        <w:rPr>
          <w:rFonts w:asciiTheme="majorBidi" w:hAnsiTheme="majorBidi" w:cstheme="majorBidi"/>
          <w:sz w:val="20"/>
          <w:szCs w:val="20"/>
        </w:rPr>
        <w:t xml:space="preserve"> Email: </w:t>
      </w:r>
      <w:hyperlink r:id="rId2" w:history="1">
        <w:r w:rsidR="001B6458" w:rsidRPr="00FA17C5">
          <w:rPr>
            <w:rStyle w:val="Hyperlink"/>
            <w:rFonts w:asciiTheme="majorBidi" w:hAnsiTheme="majorBidi" w:cstheme="majorBidi"/>
            <w:sz w:val="20"/>
            <w:szCs w:val="20"/>
          </w:rPr>
          <w:t>aashousha@ud.edu.sa</w:t>
        </w:r>
      </w:hyperlink>
      <w:r w:rsidR="001B6458">
        <w:rPr>
          <w:rFonts w:asciiTheme="majorBidi" w:hAnsiTheme="majorBidi" w:cstheme="majorBidi"/>
          <w:sz w:val="20"/>
          <w:szCs w:val="20"/>
        </w:rPr>
        <w:t xml:space="preserve"> </w:t>
      </w:r>
    </w:p>
    <w:p w:rsidR="00C618C0" w:rsidRDefault="00C618C0" w:rsidP="00C618C0">
      <w:pPr>
        <w:pStyle w:val="FootnoteText"/>
        <w:bidi w:val="0"/>
      </w:pPr>
    </w:p>
  </w:footnote>
  <w:footnote w:id="3">
    <w:p w:rsidR="00074E07" w:rsidRDefault="00074E07" w:rsidP="00BB7C26">
      <w:pPr>
        <w:pStyle w:val="FootnoteText"/>
        <w:bidi w:val="0"/>
      </w:pPr>
      <w:r>
        <w:rPr>
          <w:rStyle w:val="FootnoteReference"/>
        </w:rPr>
        <w:footnoteRef/>
      </w:r>
      <w:r>
        <w:rPr>
          <w:rtl/>
        </w:rPr>
        <w:t xml:space="preserve"> </w:t>
      </w:r>
      <w:r>
        <w:t xml:space="preserve"> </w:t>
      </w:r>
      <w:hyperlink r:id="rId3" w:history="1">
        <w:r w:rsidRPr="00682B13">
          <w:rPr>
            <w:rStyle w:val="Hyperlink"/>
          </w:rPr>
          <w:t>http://www.investorguide.com</w:t>
        </w:r>
      </w:hyperlink>
      <w:r>
        <w:t xml:space="preserve"> </w:t>
      </w:r>
    </w:p>
  </w:footnote>
  <w:footnote w:id="4">
    <w:p w:rsidR="00074E07" w:rsidRDefault="00074E07" w:rsidP="00EE5977">
      <w:pPr>
        <w:pStyle w:val="FootnoteText"/>
        <w:bidi w:val="0"/>
      </w:pPr>
      <w:r>
        <w:rPr>
          <w:rStyle w:val="FootnoteReference"/>
        </w:rPr>
        <w:footnoteRef/>
      </w:r>
      <w:r>
        <w:rPr>
          <w:rtl/>
        </w:rPr>
        <w:t xml:space="preserve"> </w:t>
      </w:r>
      <w:r>
        <w:t xml:space="preserve"> </w:t>
      </w:r>
      <w:r w:rsidRPr="00EE5977">
        <w:rPr>
          <w:rFonts w:asciiTheme="majorBidi" w:hAnsiTheme="majorBidi" w:cstheme="majorBidi"/>
        </w:rPr>
        <w:t>For more information about the GMM, see: Greene, W. H. (2003). Econometric Analysis, Chapter 18</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F40"/>
    <w:multiLevelType w:val="hybridMultilevel"/>
    <w:tmpl w:val="7B4A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B587B"/>
    <w:multiLevelType w:val="hybridMultilevel"/>
    <w:tmpl w:val="FEE6533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82611"/>
    <w:multiLevelType w:val="hybridMultilevel"/>
    <w:tmpl w:val="40F09DFC"/>
    <w:lvl w:ilvl="0" w:tplc="836C5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47A91"/>
    <w:multiLevelType w:val="hybridMultilevel"/>
    <w:tmpl w:val="FD6498A6"/>
    <w:lvl w:ilvl="0" w:tplc="CEBEE11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E6289"/>
    <w:multiLevelType w:val="hybridMultilevel"/>
    <w:tmpl w:val="CDA852EE"/>
    <w:lvl w:ilvl="0" w:tplc="07D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82"/>
    <w:rsid w:val="000003E6"/>
    <w:rsid w:val="00001833"/>
    <w:rsid w:val="00006720"/>
    <w:rsid w:val="00013B66"/>
    <w:rsid w:val="00014908"/>
    <w:rsid w:val="0001570F"/>
    <w:rsid w:val="0002022E"/>
    <w:rsid w:val="00023199"/>
    <w:rsid w:val="00023D28"/>
    <w:rsid w:val="00036969"/>
    <w:rsid w:val="00043EDA"/>
    <w:rsid w:val="00052871"/>
    <w:rsid w:val="00053DD8"/>
    <w:rsid w:val="000616E0"/>
    <w:rsid w:val="0006239F"/>
    <w:rsid w:val="00074E07"/>
    <w:rsid w:val="00077380"/>
    <w:rsid w:val="00077650"/>
    <w:rsid w:val="000858F4"/>
    <w:rsid w:val="000936C1"/>
    <w:rsid w:val="00094102"/>
    <w:rsid w:val="000B00BE"/>
    <w:rsid w:val="000B11F0"/>
    <w:rsid w:val="000B1DBB"/>
    <w:rsid w:val="000B44FF"/>
    <w:rsid w:val="000C1017"/>
    <w:rsid w:val="000D0992"/>
    <w:rsid w:val="000D3B40"/>
    <w:rsid w:val="000D4415"/>
    <w:rsid w:val="000E2415"/>
    <w:rsid w:val="000F3C7A"/>
    <w:rsid w:val="000F7457"/>
    <w:rsid w:val="00105A34"/>
    <w:rsid w:val="00111AE1"/>
    <w:rsid w:val="0011378E"/>
    <w:rsid w:val="00113FE0"/>
    <w:rsid w:val="001212AB"/>
    <w:rsid w:val="001333A7"/>
    <w:rsid w:val="001367DD"/>
    <w:rsid w:val="00140565"/>
    <w:rsid w:val="001423C6"/>
    <w:rsid w:val="001433ED"/>
    <w:rsid w:val="0014387C"/>
    <w:rsid w:val="00145709"/>
    <w:rsid w:val="00150023"/>
    <w:rsid w:val="00161757"/>
    <w:rsid w:val="001703CF"/>
    <w:rsid w:val="001739F6"/>
    <w:rsid w:val="0018274F"/>
    <w:rsid w:val="00184F6C"/>
    <w:rsid w:val="00186DAE"/>
    <w:rsid w:val="0019175D"/>
    <w:rsid w:val="00197A4E"/>
    <w:rsid w:val="001A77E0"/>
    <w:rsid w:val="001B12F1"/>
    <w:rsid w:val="001B2C62"/>
    <w:rsid w:val="001B3866"/>
    <w:rsid w:val="001B3C59"/>
    <w:rsid w:val="001B6458"/>
    <w:rsid w:val="001C0645"/>
    <w:rsid w:val="001C72F2"/>
    <w:rsid w:val="001E0B9D"/>
    <w:rsid w:val="001E4DA5"/>
    <w:rsid w:val="001E6F4E"/>
    <w:rsid w:val="001F0AE6"/>
    <w:rsid w:val="001F2C59"/>
    <w:rsid w:val="002002EB"/>
    <w:rsid w:val="00202307"/>
    <w:rsid w:val="00210F78"/>
    <w:rsid w:val="002209B3"/>
    <w:rsid w:val="00220BC0"/>
    <w:rsid w:val="0022325A"/>
    <w:rsid w:val="00225CB6"/>
    <w:rsid w:val="002323FF"/>
    <w:rsid w:val="0023287D"/>
    <w:rsid w:val="002341AE"/>
    <w:rsid w:val="002354EF"/>
    <w:rsid w:val="002515C6"/>
    <w:rsid w:val="00280A69"/>
    <w:rsid w:val="00286AFB"/>
    <w:rsid w:val="002B128E"/>
    <w:rsid w:val="002E4BBB"/>
    <w:rsid w:val="002F34F8"/>
    <w:rsid w:val="00312593"/>
    <w:rsid w:val="00315AB9"/>
    <w:rsid w:val="00321E69"/>
    <w:rsid w:val="00325ADB"/>
    <w:rsid w:val="00335EEA"/>
    <w:rsid w:val="00337F1B"/>
    <w:rsid w:val="00343602"/>
    <w:rsid w:val="0036647D"/>
    <w:rsid w:val="00371101"/>
    <w:rsid w:val="00381B96"/>
    <w:rsid w:val="00396E0A"/>
    <w:rsid w:val="003A75E1"/>
    <w:rsid w:val="003E664A"/>
    <w:rsid w:val="003F3032"/>
    <w:rsid w:val="00414EB4"/>
    <w:rsid w:val="00422BCE"/>
    <w:rsid w:val="00430544"/>
    <w:rsid w:val="00430CA3"/>
    <w:rsid w:val="00433C82"/>
    <w:rsid w:val="00434535"/>
    <w:rsid w:val="004570EB"/>
    <w:rsid w:val="00467D87"/>
    <w:rsid w:val="004759F9"/>
    <w:rsid w:val="00477E52"/>
    <w:rsid w:val="00482015"/>
    <w:rsid w:val="00491F7A"/>
    <w:rsid w:val="00497743"/>
    <w:rsid w:val="004A454F"/>
    <w:rsid w:val="004A4860"/>
    <w:rsid w:val="004A59B2"/>
    <w:rsid w:val="004A6542"/>
    <w:rsid w:val="004A6975"/>
    <w:rsid w:val="004D17BA"/>
    <w:rsid w:val="004F6A02"/>
    <w:rsid w:val="005015BB"/>
    <w:rsid w:val="00502E30"/>
    <w:rsid w:val="005151AF"/>
    <w:rsid w:val="00574656"/>
    <w:rsid w:val="00590745"/>
    <w:rsid w:val="00596BB7"/>
    <w:rsid w:val="00597A22"/>
    <w:rsid w:val="005A475D"/>
    <w:rsid w:val="005B1AEF"/>
    <w:rsid w:val="005B2749"/>
    <w:rsid w:val="005B2ADE"/>
    <w:rsid w:val="005C0F6E"/>
    <w:rsid w:val="005C235D"/>
    <w:rsid w:val="005C31CE"/>
    <w:rsid w:val="005C39B2"/>
    <w:rsid w:val="005E3029"/>
    <w:rsid w:val="005E3213"/>
    <w:rsid w:val="005E4322"/>
    <w:rsid w:val="005F61DB"/>
    <w:rsid w:val="005F7ADB"/>
    <w:rsid w:val="006011F3"/>
    <w:rsid w:val="006062D0"/>
    <w:rsid w:val="00607DB1"/>
    <w:rsid w:val="00634149"/>
    <w:rsid w:val="00644D22"/>
    <w:rsid w:val="00665729"/>
    <w:rsid w:val="00671A6D"/>
    <w:rsid w:val="00682661"/>
    <w:rsid w:val="00691908"/>
    <w:rsid w:val="006A326C"/>
    <w:rsid w:val="006B1B6A"/>
    <w:rsid w:val="006B450D"/>
    <w:rsid w:val="006C1337"/>
    <w:rsid w:val="006D0747"/>
    <w:rsid w:val="006D7562"/>
    <w:rsid w:val="006E0ABF"/>
    <w:rsid w:val="006E538D"/>
    <w:rsid w:val="006F0F07"/>
    <w:rsid w:val="006F7D03"/>
    <w:rsid w:val="00702557"/>
    <w:rsid w:val="00721CCE"/>
    <w:rsid w:val="00727D32"/>
    <w:rsid w:val="0073536B"/>
    <w:rsid w:val="00735C27"/>
    <w:rsid w:val="0073698E"/>
    <w:rsid w:val="00737734"/>
    <w:rsid w:val="007450C4"/>
    <w:rsid w:val="00746DED"/>
    <w:rsid w:val="007541B3"/>
    <w:rsid w:val="00766A04"/>
    <w:rsid w:val="007747D7"/>
    <w:rsid w:val="007773E8"/>
    <w:rsid w:val="00785BD2"/>
    <w:rsid w:val="00794063"/>
    <w:rsid w:val="007A1CAE"/>
    <w:rsid w:val="007A63C2"/>
    <w:rsid w:val="007A7939"/>
    <w:rsid w:val="007B7D4F"/>
    <w:rsid w:val="007E0370"/>
    <w:rsid w:val="007E2081"/>
    <w:rsid w:val="007E4F62"/>
    <w:rsid w:val="007F30EF"/>
    <w:rsid w:val="007F5F31"/>
    <w:rsid w:val="007F6085"/>
    <w:rsid w:val="00813AEF"/>
    <w:rsid w:val="00832BBC"/>
    <w:rsid w:val="00836172"/>
    <w:rsid w:val="00851EC2"/>
    <w:rsid w:val="00856369"/>
    <w:rsid w:val="008564E7"/>
    <w:rsid w:val="008658F9"/>
    <w:rsid w:val="00866A56"/>
    <w:rsid w:val="00886E4C"/>
    <w:rsid w:val="0089441C"/>
    <w:rsid w:val="00896130"/>
    <w:rsid w:val="008A3598"/>
    <w:rsid w:val="008B6881"/>
    <w:rsid w:val="008C1A6E"/>
    <w:rsid w:val="008C6EE6"/>
    <w:rsid w:val="008D35DF"/>
    <w:rsid w:val="008D51FE"/>
    <w:rsid w:val="008E0F6A"/>
    <w:rsid w:val="008E231D"/>
    <w:rsid w:val="008E7728"/>
    <w:rsid w:val="008F098B"/>
    <w:rsid w:val="008F5B5E"/>
    <w:rsid w:val="009014A9"/>
    <w:rsid w:val="00902D97"/>
    <w:rsid w:val="00911EB4"/>
    <w:rsid w:val="00913182"/>
    <w:rsid w:val="00917FC2"/>
    <w:rsid w:val="00920685"/>
    <w:rsid w:val="00926A29"/>
    <w:rsid w:val="0093635F"/>
    <w:rsid w:val="00936CA5"/>
    <w:rsid w:val="0095132D"/>
    <w:rsid w:val="00951ED7"/>
    <w:rsid w:val="009542D6"/>
    <w:rsid w:val="0096571A"/>
    <w:rsid w:val="00975123"/>
    <w:rsid w:val="0099778C"/>
    <w:rsid w:val="009A287D"/>
    <w:rsid w:val="009B5FED"/>
    <w:rsid w:val="009B6DA8"/>
    <w:rsid w:val="009C36DA"/>
    <w:rsid w:val="009C3C49"/>
    <w:rsid w:val="009D3910"/>
    <w:rsid w:val="009D40BF"/>
    <w:rsid w:val="009D7DF3"/>
    <w:rsid w:val="009E3E17"/>
    <w:rsid w:val="009F2A00"/>
    <w:rsid w:val="009F5F1E"/>
    <w:rsid w:val="009F7344"/>
    <w:rsid w:val="00A0053E"/>
    <w:rsid w:val="00A129EA"/>
    <w:rsid w:val="00A46F66"/>
    <w:rsid w:val="00A60EBC"/>
    <w:rsid w:val="00A668DE"/>
    <w:rsid w:val="00A72B96"/>
    <w:rsid w:val="00AB2320"/>
    <w:rsid w:val="00AB2862"/>
    <w:rsid w:val="00AC140F"/>
    <w:rsid w:val="00AC724E"/>
    <w:rsid w:val="00B019FC"/>
    <w:rsid w:val="00B11832"/>
    <w:rsid w:val="00B11D85"/>
    <w:rsid w:val="00B177E5"/>
    <w:rsid w:val="00B32415"/>
    <w:rsid w:val="00B369F4"/>
    <w:rsid w:val="00B37284"/>
    <w:rsid w:val="00B44E14"/>
    <w:rsid w:val="00B50DDC"/>
    <w:rsid w:val="00B5174C"/>
    <w:rsid w:val="00B51E3B"/>
    <w:rsid w:val="00B520DF"/>
    <w:rsid w:val="00B6590C"/>
    <w:rsid w:val="00B92E33"/>
    <w:rsid w:val="00B95F8B"/>
    <w:rsid w:val="00B965C4"/>
    <w:rsid w:val="00BA1B9E"/>
    <w:rsid w:val="00BA5EDE"/>
    <w:rsid w:val="00BB0932"/>
    <w:rsid w:val="00BB0E01"/>
    <w:rsid w:val="00BB1D2E"/>
    <w:rsid w:val="00BB7C26"/>
    <w:rsid w:val="00BC511F"/>
    <w:rsid w:val="00BD4519"/>
    <w:rsid w:val="00BD4DBC"/>
    <w:rsid w:val="00BD5797"/>
    <w:rsid w:val="00BE0566"/>
    <w:rsid w:val="00BE0D09"/>
    <w:rsid w:val="00BE4681"/>
    <w:rsid w:val="00BE58CC"/>
    <w:rsid w:val="00BE7D45"/>
    <w:rsid w:val="00C0020E"/>
    <w:rsid w:val="00C0092C"/>
    <w:rsid w:val="00C23037"/>
    <w:rsid w:val="00C331FD"/>
    <w:rsid w:val="00C347BA"/>
    <w:rsid w:val="00C43157"/>
    <w:rsid w:val="00C55AFB"/>
    <w:rsid w:val="00C618C0"/>
    <w:rsid w:val="00C624F6"/>
    <w:rsid w:val="00C753D3"/>
    <w:rsid w:val="00C91E4F"/>
    <w:rsid w:val="00C948B9"/>
    <w:rsid w:val="00C9625D"/>
    <w:rsid w:val="00CA576A"/>
    <w:rsid w:val="00CC4C2E"/>
    <w:rsid w:val="00CD659C"/>
    <w:rsid w:val="00CE01C7"/>
    <w:rsid w:val="00CE0E7C"/>
    <w:rsid w:val="00D020A0"/>
    <w:rsid w:val="00D06B35"/>
    <w:rsid w:val="00D13925"/>
    <w:rsid w:val="00D23A61"/>
    <w:rsid w:val="00D24C77"/>
    <w:rsid w:val="00D31BBF"/>
    <w:rsid w:val="00D40123"/>
    <w:rsid w:val="00D41482"/>
    <w:rsid w:val="00D4499D"/>
    <w:rsid w:val="00D44FB4"/>
    <w:rsid w:val="00D47C6D"/>
    <w:rsid w:val="00D5235D"/>
    <w:rsid w:val="00D60F98"/>
    <w:rsid w:val="00D614B7"/>
    <w:rsid w:val="00D66938"/>
    <w:rsid w:val="00D7456F"/>
    <w:rsid w:val="00D85BA1"/>
    <w:rsid w:val="00D86C4C"/>
    <w:rsid w:val="00D93D1B"/>
    <w:rsid w:val="00D94093"/>
    <w:rsid w:val="00D9721E"/>
    <w:rsid w:val="00DA0EEE"/>
    <w:rsid w:val="00DB2B8A"/>
    <w:rsid w:val="00DB680F"/>
    <w:rsid w:val="00DC5CAE"/>
    <w:rsid w:val="00DD131D"/>
    <w:rsid w:val="00DD16C7"/>
    <w:rsid w:val="00DD77EC"/>
    <w:rsid w:val="00DE5356"/>
    <w:rsid w:val="00DF44F0"/>
    <w:rsid w:val="00DF4EF1"/>
    <w:rsid w:val="00E03EDE"/>
    <w:rsid w:val="00E23858"/>
    <w:rsid w:val="00E46C48"/>
    <w:rsid w:val="00E606F2"/>
    <w:rsid w:val="00E6373D"/>
    <w:rsid w:val="00E6791F"/>
    <w:rsid w:val="00E67B80"/>
    <w:rsid w:val="00E91F83"/>
    <w:rsid w:val="00E94352"/>
    <w:rsid w:val="00E94B57"/>
    <w:rsid w:val="00EA0C63"/>
    <w:rsid w:val="00EA2B3B"/>
    <w:rsid w:val="00EB710D"/>
    <w:rsid w:val="00EC01F3"/>
    <w:rsid w:val="00EC632A"/>
    <w:rsid w:val="00ED28FD"/>
    <w:rsid w:val="00ED556D"/>
    <w:rsid w:val="00EE0F18"/>
    <w:rsid w:val="00EE5977"/>
    <w:rsid w:val="00EF2559"/>
    <w:rsid w:val="00EF37F4"/>
    <w:rsid w:val="00F02F80"/>
    <w:rsid w:val="00F03758"/>
    <w:rsid w:val="00F06701"/>
    <w:rsid w:val="00F068EE"/>
    <w:rsid w:val="00F15C17"/>
    <w:rsid w:val="00F17926"/>
    <w:rsid w:val="00F2212B"/>
    <w:rsid w:val="00F27A1F"/>
    <w:rsid w:val="00F4396A"/>
    <w:rsid w:val="00F470EC"/>
    <w:rsid w:val="00F507BA"/>
    <w:rsid w:val="00F71576"/>
    <w:rsid w:val="00F7548E"/>
    <w:rsid w:val="00FB14C4"/>
    <w:rsid w:val="00FB36CE"/>
    <w:rsid w:val="00FB3D00"/>
    <w:rsid w:val="00FC2344"/>
    <w:rsid w:val="00FC3340"/>
    <w:rsid w:val="00FD2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284"/>
    <w:rPr>
      <w:color w:val="808080"/>
    </w:rPr>
  </w:style>
  <w:style w:type="paragraph" w:styleId="BalloonText">
    <w:name w:val="Balloon Text"/>
    <w:basedOn w:val="Normal"/>
    <w:link w:val="BalloonTextChar"/>
    <w:uiPriority w:val="99"/>
    <w:semiHidden/>
    <w:unhideWhenUsed/>
    <w:rsid w:val="00B37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84"/>
    <w:rPr>
      <w:rFonts w:ascii="Tahoma" w:hAnsi="Tahoma" w:cs="Tahoma"/>
      <w:sz w:val="16"/>
      <w:szCs w:val="16"/>
    </w:rPr>
  </w:style>
  <w:style w:type="table" w:styleId="TableGrid">
    <w:name w:val="Table Grid"/>
    <w:basedOn w:val="TableNormal"/>
    <w:uiPriority w:val="59"/>
    <w:rsid w:val="004A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4EF"/>
    <w:pPr>
      <w:ind w:left="720"/>
      <w:contextualSpacing/>
    </w:pPr>
  </w:style>
  <w:style w:type="character" w:styleId="FootnoteReference">
    <w:name w:val="footnote reference"/>
    <w:basedOn w:val="DefaultParagraphFont"/>
    <w:semiHidden/>
    <w:rsid w:val="00C618C0"/>
    <w:rPr>
      <w:rFonts w:cstheme="majorBidi"/>
      <w:noProof w:val="0"/>
      <w:szCs w:val="20"/>
      <w:vertAlign w:val="superscript"/>
      <w:lang w:val="en-US"/>
    </w:rPr>
  </w:style>
  <w:style w:type="character" w:styleId="Hyperlink">
    <w:name w:val="Hyperlink"/>
    <w:basedOn w:val="DefaultParagraphFont"/>
    <w:uiPriority w:val="99"/>
    <w:unhideWhenUsed/>
    <w:rsid w:val="00ED28FD"/>
    <w:rPr>
      <w:color w:val="0000FF" w:themeColor="hyperlink"/>
      <w:u w:val="single"/>
    </w:rPr>
  </w:style>
  <w:style w:type="paragraph" w:styleId="HTMLPreformatted">
    <w:name w:val="HTML Preformatted"/>
    <w:basedOn w:val="Normal"/>
    <w:link w:val="HTMLPreformattedChar"/>
    <w:uiPriority w:val="99"/>
    <w:semiHidden/>
    <w:unhideWhenUsed/>
    <w:rsid w:val="0063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4149"/>
    <w:rPr>
      <w:rFonts w:ascii="Courier New" w:eastAsia="Times New Roman" w:hAnsi="Courier New" w:cs="Courier New"/>
      <w:sz w:val="20"/>
      <w:szCs w:val="20"/>
    </w:rPr>
  </w:style>
  <w:style w:type="character" w:customStyle="1" w:styleId="searchword">
    <w:name w:val="searchword"/>
    <w:basedOn w:val="DefaultParagraphFont"/>
    <w:rsid w:val="00E03EDE"/>
    <w:rPr>
      <w:shd w:val="clear" w:color="auto" w:fill="FFFF00"/>
    </w:rPr>
  </w:style>
  <w:style w:type="paragraph" w:customStyle="1" w:styleId="Default">
    <w:name w:val="Default"/>
    <w:rsid w:val="00DC5CAE"/>
    <w:pPr>
      <w:autoSpaceDE w:val="0"/>
      <w:autoSpaceDN w:val="0"/>
      <w:adjustRightInd w:val="0"/>
      <w:spacing w:after="0" w:line="240" w:lineRule="auto"/>
    </w:pPr>
    <w:rPr>
      <w:rFonts w:ascii="Code" w:hAnsi="Code" w:cs="Code"/>
      <w:color w:val="000000"/>
      <w:sz w:val="24"/>
      <w:szCs w:val="24"/>
    </w:rPr>
  </w:style>
  <w:style w:type="character" w:customStyle="1" w:styleId="hps">
    <w:name w:val="hps"/>
    <w:basedOn w:val="DefaultParagraphFont"/>
    <w:rsid w:val="00497743"/>
  </w:style>
  <w:style w:type="character" w:styleId="Emphasis">
    <w:name w:val="Emphasis"/>
    <w:basedOn w:val="DefaultParagraphFont"/>
    <w:uiPriority w:val="20"/>
    <w:qFormat/>
    <w:rsid w:val="000B00BE"/>
    <w:rPr>
      <w:i/>
      <w:iCs/>
    </w:rPr>
  </w:style>
  <w:style w:type="paragraph" w:styleId="Header">
    <w:name w:val="header"/>
    <w:basedOn w:val="Normal"/>
    <w:link w:val="HeaderChar"/>
    <w:uiPriority w:val="99"/>
    <w:unhideWhenUsed/>
    <w:rsid w:val="001137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378E"/>
  </w:style>
  <w:style w:type="paragraph" w:styleId="Footer">
    <w:name w:val="footer"/>
    <w:basedOn w:val="Normal"/>
    <w:link w:val="FooterChar"/>
    <w:uiPriority w:val="99"/>
    <w:unhideWhenUsed/>
    <w:rsid w:val="001137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378E"/>
  </w:style>
  <w:style w:type="paragraph" w:styleId="FootnoteText">
    <w:name w:val="footnote text"/>
    <w:basedOn w:val="Normal"/>
    <w:link w:val="FootnoteTextChar"/>
    <w:uiPriority w:val="99"/>
    <w:semiHidden/>
    <w:unhideWhenUsed/>
    <w:rsid w:val="00BB7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C26"/>
    <w:rPr>
      <w:sz w:val="20"/>
      <w:szCs w:val="20"/>
    </w:rPr>
  </w:style>
  <w:style w:type="paragraph" w:styleId="NormalWeb">
    <w:name w:val="Normal (Web)"/>
    <w:basedOn w:val="Normal"/>
    <w:uiPriority w:val="99"/>
    <w:semiHidden/>
    <w:unhideWhenUsed/>
    <w:rsid w:val="00D1392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482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284"/>
    <w:rPr>
      <w:color w:val="808080"/>
    </w:rPr>
  </w:style>
  <w:style w:type="paragraph" w:styleId="BalloonText">
    <w:name w:val="Balloon Text"/>
    <w:basedOn w:val="Normal"/>
    <w:link w:val="BalloonTextChar"/>
    <w:uiPriority w:val="99"/>
    <w:semiHidden/>
    <w:unhideWhenUsed/>
    <w:rsid w:val="00B37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84"/>
    <w:rPr>
      <w:rFonts w:ascii="Tahoma" w:hAnsi="Tahoma" w:cs="Tahoma"/>
      <w:sz w:val="16"/>
      <w:szCs w:val="16"/>
    </w:rPr>
  </w:style>
  <w:style w:type="table" w:styleId="TableGrid">
    <w:name w:val="Table Grid"/>
    <w:basedOn w:val="TableNormal"/>
    <w:uiPriority w:val="59"/>
    <w:rsid w:val="004A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4EF"/>
    <w:pPr>
      <w:ind w:left="720"/>
      <w:contextualSpacing/>
    </w:pPr>
  </w:style>
  <w:style w:type="character" w:styleId="FootnoteReference">
    <w:name w:val="footnote reference"/>
    <w:basedOn w:val="DefaultParagraphFont"/>
    <w:semiHidden/>
    <w:rsid w:val="00C618C0"/>
    <w:rPr>
      <w:rFonts w:cstheme="majorBidi"/>
      <w:noProof w:val="0"/>
      <w:szCs w:val="20"/>
      <w:vertAlign w:val="superscript"/>
      <w:lang w:val="en-US"/>
    </w:rPr>
  </w:style>
  <w:style w:type="character" w:styleId="Hyperlink">
    <w:name w:val="Hyperlink"/>
    <w:basedOn w:val="DefaultParagraphFont"/>
    <w:uiPriority w:val="99"/>
    <w:unhideWhenUsed/>
    <w:rsid w:val="00ED28FD"/>
    <w:rPr>
      <w:color w:val="0000FF" w:themeColor="hyperlink"/>
      <w:u w:val="single"/>
    </w:rPr>
  </w:style>
  <w:style w:type="paragraph" w:styleId="HTMLPreformatted">
    <w:name w:val="HTML Preformatted"/>
    <w:basedOn w:val="Normal"/>
    <w:link w:val="HTMLPreformattedChar"/>
    <w:uiPriority w:val="99"/>
    <w:semiHidden/>
    <w:unhideWhenUsed/>
    <w:rsid w:val="0063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4149"/>
    <w:rPr>
      <w:rFonts w:ascii="Courier New" w:eastAsia="Times New Roman" w:hAnsi="Courier New" w:cs="Courier New"/>
      <w:sz w:val="20"/>
      <w:szCs w:val="20"/>
    </w:rPr>
  </w:style>
  <w:style w:type="character" w:customStyle="1" w:styleId="searchword">
    <w:name w:val="searchword"/>
    <w:basedOn w:val="DefaultParagraphFont"/>
    <w:rsid w:val="00E03EDE"/>
    <w:rPr>
      <w:shd w:val="clear" w:color="auto" w:fill="FFFF00"/>
    </w:rPr>
  </w:style>
  <w:style w:type="paragraph" w:customStyle="1" w:styleId="Default">
    <w:name w:val="Default"/>
    <w:rsid w:val="00DC5CAE"/>
    <w:pPr>
      <w:autoSpaceDE w:val="0"/>
      <w:autoSpaceDN w:val="0"/>
      <w:adjustRightInd w:val="0"/>
      <w:spacing w:after="0" w:line="240" w:lineRule="auto"/>
    </w:pPr>
    <w:rPr>
      <w:rFonts w:ascii="Code" w:hAnsi="Code" w:cs="Code"/>
      <w:color w:val="000000"/>
      <w:sz w:val="24"/>
      <w:szCs w:val="24"/>
    </w:rPr>
  </w:style>
  <w:style w:type="character" w:customStyle="1" w:styleId="hps">
    <w:name w:val="hps"/>
    <w:basedOn w:val="DefaultParagraphFont"/>
    <w:rsid w:val="00497743"/>
  </w:style>
  <w:style w:type="character" w:styleId="Emphasis">
    <w:name w:val="Emphasis"/>
    <w:basedOn w:val="DefaultParagraphFont"/>
    <w:uiPriority w:val="20"/>
    <w:qFormat/>
    <w:rsid w:val="000B00BE"/>
    <w:rPr>
      <w:i/>
      <w:iCs/>
    </w:rPr>
  </w:style>
  <w:style w:type="paragraph" w:styleId="Header">
    <w:name w:val="header"/>
    <w:basedOn w:val="Normal"/>
    <w:link w:val="HeaderChar"/>
    <w:uiPriority w:val="99"/>
    <w:unhideWhenUsed/>
    <w:rsid w:val="001137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378E"/>
  </w:style>
  <w:style w:type="paragraph" w:styleId="Footer">
    <w:name w:val="footer"/>
    <w:basedOn w:val="Normal"/>
    <w:link w:val="FooterChar"/>
    <w:uiPriority w:val="99"/>
    <w:unhideWhenUsed/>
    <w:rsid w:val="001137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378E"/>
  </w:style>
  <w:style w:type="paragraph" w:styleId="FootnoteText">
    <w:name w:val="footnote text"/>
    <w:basedOn w:val="Normal"/>
    <w:link w:val="FootnoteTextChar"/>
    <w:uiPriority w:val="99"/>
    <w:semiHidden/>
    <w:unhideWhenUsed/>
    <w:rsid w:val="00BB7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C26"/>
    <w:rPr>
      <w:sz w:val="20"/>
      <w:szCs w:val="20"/>
    </w:rPr>
  </w:style>
  <w:style w:type="paragraph" w:styleId="NormalWeb">
    <w:name w:val="Normal (Web)"/>
    <w:basedOn w:val="Normal"/>
    <w:uiPriority w:val="99"/>
    <w:semiHidden/>
    <w:unhideWhenUsed/>
    <w:rsid w:val="00D1392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48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5352">
      <w:bodyDiv w:val="1"/>
      <w:marLeft w:val="0"/>
      <w:marRight w:val="0"/>
      <w:marTop w:val="0"/>
      <w:marBottom w:val="0"/>
      <w:divBdr>
        <w:top w:val="none" w:sz="0" w:space="0" w:color="auto"/>
        <w:left w:val="none" w:sz="0" w:space="0" w:color="auto"/>
        <w:bottom w:val="none" w:sz="0" w:space="0" w:color="auto"/>
        <w:right w:val="none" w:sz="0" w:space="0" w:color="auto"/>
      </w:divBdr>
      <w:divsChild>
        <w:div w:id="646982416">
          <w:marLeft w:val="0"/>
          <w:marRight w:val="0"/>
          <w:marTop w:val="0"/>
          <w:marBottom w:val="0"/>
          <w:divBdr>
            <w:top w:val="none" w:sz="0" w:space="0" w:color="auto"/>
            <w:left w:val="none" w:sz="0" w:space="0" w:color="auto"/>
            <w:bottom w:val="none" w:sz="0" w:space="0" w:color="auto"/>
            <w:right w:val="none" w:sz="0" w:space="0" w:color="auto"/>
          </w:divBdr>
          <w:divsChild>
            <w:div w:id="671954795">
              <w:marLeft w:val="0"/>
              <w:marRight w:val="0"/>
              <w:marTop w:val="0"/>
              <w:marBottom w:val="0"/>
              <w:divBdr>
                <w:top w:val="none" w:sz="0" w:space="0" w:color="auto"/>
                <w:left w:val="none" w:sz="0" w:space="0" w:color="auto"/>
                <w:bottom w:val="none" w:sz="0" w:space="0" w:color="auto"/>
                <w:right w:val="none" w:sz="0" w:space="0" w:color="auto"/>
              </w:divBdr>
              <w:divsChild>
                <w:div w:id="211812683">
                  <w:marLeft w:val="0"/>
                  <w:marRight w:val="0"/>
                  <w:marTop w:val="0"/>
                  <w:marBottom w:val="0"/>
                  <w:divBdr>
                    <w:top w:val="none" w:sz="0" w:space="0" w:color="auto"/>
                    <w:left w:val="none" w:sz="0" w:space="0" w:color="auto"/>
                    <w:bottom w:val="none" w:sz="0" w:space="0" w:color="auto"/>
                    <w:right w:val="none" w:sz="0" w:space="0" w:color="auto"/>
                  </w:divBdr>
                  <w:divsChild>
                    <w:div w:id="1939485076">
                      <w:marLeft w:val="0"/>
                      <w:marRight w:val="0"/>
                      <w:marTop w:val="0"/>
                      <w:marBottom w:val="0"/>
                      <w:divBdr>
                        <w:top w:val="none" w:sz="0" w:space="0" w:color="auto"/>
                        <w:left w:val="none" w:sz="0" w:space="0" w:color="auto"/>
                        <w:bottom w:val="none" w:sz="0" w:space="0" w:color="auto"/>
                        <w:right w:val="none" w:sz="0" w:space="0" w:color="auto"/>
                      </w:divBdr>
                      <w:divsChild>
                        <w:div w:id="351763444">
                          <w:marLeft w:val="0"/>
                          <w:marRight w:val="0"/>
                          <w:marTop w:val="0"/>
                          <w:marBottom w:val="0"/>
                          <w:divBdr>
                            <w:top w:val="none" w:sz="0" w:space="0" w:color="auto"/>
                            <w:left w:val="none" w:sz="0" w:space="0" w:color="auto"/>
                            <w:bottom w:val="none" w:sz="0" w:space="0" w:color="auto"/>
                            <w:right w:val="none" w:sz="0" w:space="0" w:color="auto"/>
                          </w:divBdr>
                          <w:divsChild>
                            <w:div w:id="1559635030">
                              <w:marLeft w:val="0"/>
                              <w:marRight w:val="0"/>
                              <w:marTop w:val="0"/>
                              <w:marBottom w:val="0"/>
                              <w:divBdr>
                                <w:top w:val="none" w:sz="0" w:space="0" w:color="auto"/>
                                <w:left w:val="none" w:sz="0" w:space="0" w:color="auto"/>
                                <w:bottom w:val="none" w:sz="0" w:space="0" w:color="auto"/>
                                <w:right w:val="none" w:sz="0" w:space="0" w:color="auto"/>
                              </w:divBdr>
                              <w:divsChild>
                                <w:div w:id="1362516317">
                                  <w:marLeft w:val="0"/>
                                  <w:marRight w:val="0"/>
                                  <w:marTop w:val="0"/>
                                  <w:marBottom w:val="0"/>
                                  <w:divBdr>
                                    <w:top w:val="none" w:sz="0" w:space="0" w:color="auto"/>
                                    <w:left w:val="none" w:sz="0" w:space="0" w:color="auto"/>
                                    <w:bottom w:val="none" w:sz="0" w:space="0" w:color="auto"/>
                                    <w:right w:val="none" w:sz="0" w:space="0" w:color="auto"/>
                                  </w:divBdr>
                                  <w:divsChild>
                                    <w:div w:id="7168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23562">
      <w:bodyDiv w:val="1"/>
      <w:marLeft w:val="0"/>
      <w:marRight w:val="0"/>
      <w:marTop w:val="0"/>
      <w:marBottom w:val="0"/>
      <w:divBdr>
        <w:top w:val="none" w:sz="0" w:space="0" w:color="auto"/>
        <w:left w:val="none" w:sz="0" w:space="0" w:color="auto"/>
        <w:bottom w:val="none" w:sz="0" w:space="0" w:color="auto"/>
        <w:right w:val="none" w:sz="0" w:space="0" w:color="auto"/>
      </w:divBdr>
      <w:divsChild>
        <w:div w:id="2081830610">
          <w:marLeft w:val="10"/>
          <w:marRight w:val="0"/>
          <w:marTop w:val="0"/>
          <w:marBottom w:val="0"/>
          <w:divBdr>
            <w:top w:val="none" w:sz="0" w:space="0" w:color="auto"/>
            <w:left w:val="none" w:sz="0" w:space="0" w:color="auto"/>
            <w:bottom w:val="none" w:sz="0" w:space="0" w:color="auto"/>
            <w:right w:val="none" w:sz="0" w:space="0" w:color="auto"/>
          </w:divBdr>
        </w:div>
      </w:divsChild>
    </w:div>
    <w:div w:id="1364594300">
      <w:bodyDiv w:val="1"/>
      <w:marLeft w:val="0"/>
      <w:marRight w:val="0"/>
      <w:marTop w:val="0"/>
      <w:marBottom w:val="0"/>
      <w:divBdr>
        <w:top w:val="none" w:sz="0" w:space="0" w:color="auto"/>
        <w:left w:val="none" w:sz="0" w:space="0" w:color="auto"/>
        <w:bottom w:val="none" w:sz="0" w:space="0" w:color="auto"/>
        <w:right w:val="none" w:sz="0" w:space="0" w:color="auto"/>
      </w:divBdr>
    </w:div>
    <w:div w:id="17710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a/ucp/jlawec/v26y1983i2p301-25.html" TargetMode="External"/><Relationship Id="rId18" Type="http://schemas.openxmlformats.org/officeDocument/2006/relationships/hyperlink" Target="http://dx.doi.org/10.1080/135184708024661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x.doi.org/10.1111/j.1467-8551.2005.00450.x" TargetMode="External"/><Relationship Id="rId17" Type="http://schemas.openxmlformats.org/officeDocument/2006/relationships/hyperlink" Target="http://dx.doi.org/10.1177/031289629101600103" TargetMode="External"/><Relationship Id="rId2" Type="http://schemas.openxmlformats.org/officeDocument/2006/relationships/numbering" Target="numbering.xml"/><Relationship Id="rId16" Type="http://schemas.openxmlformats.org/officeDocument/2006/relationships/hyperlink" Target="http://dx.doi.org/10.1017/S09685650120002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11/j.1540-6261.1993.tb04022.x" TargetMode="External"/><Relationship Id="rId5" Type="http://schemas.openxmlformats.org/officeDocument/2006/relationships/settings" Target="settings.xml"/><Relationship Id="rId15" Type="http://schemas.openxmlformats.org/officeDocument/2006/relationships/hyperlink" Target="http://dx.doi.org/10.1086/467037" TargetMode="External"/><Relationship Id="rId10" Type="http://schemas.openxmlformats.org/officeDocument/2006/relationships/hyperlink" Target="http://hollis.harvard.edu/?itemid=|library/m/aleph|000114331" TargetMode="External"/><Relationship Id="rId19" Type="http://schemas.openxmlformats.org/officeDocument/2006/relationships/hyperlink" Target="http://dx.doi.org/10.5296/ijafr.v2i2.2145" TargetMode="External"/><Relationship Id="rId4" Type="http://schemas.microsoft.com/office/2007/relationships/stylesWithEffects" Target="stylesWithEffects.xml"/><Relationship Id="rId9" Type="http://schemas.openxmlformats.org/officeDocument/2006/relationships/hyperlink" Target="http://dx.doi.org/10.1002/1097-0266(200010/11)21:10/11%3C1147::AID-SMJ128%3E3.0.CO;2-R" TargetMode="External"/><Relationship Id="rId14" Type="http://schemas.openxmlformats.org/officeDocument/2006/relationships/hyperlink" Target="http://ideas.repec.org/s/ucp/jlawec.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vestorguide.com" TargetMode="External"/><Relationship Id="rId2" Type="http://schemas.openxmlformats.org/officeDocument/2006/relationships/hyperlink" Target="mailto:aashousha@ud.edu.sa" TargetMode="External"/><Relationship Id="rId1" Type="http://schemas.openxmlformats.org/officeDocument/2006/relationships/hyperlink" Target="mailto:mabdelaal@ud.edu.s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6F0E-563F-4E6A-9A4A-3B968EBC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13</Pages>
  <Words>5669</Words>
  <Characters>32319</Characters>
  <Application>Microsoft Office Word</Application>
  <DocSecurity>0</DocSecurity>
  <Lines>269</Lines>
  <Paragraphs>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user</cp:lastModifiedBy>
  <cp:revision>75</cp:revision>
  <cp:lastPrinted>2014-03-12T21:24:00Z</cp:lastPrinted>
  <dcterms:created xsi:type="dcterms:W3CDTF">2013-12-25T06:20:00Z</dcterms:created>
  <dcterms:modified xsi:type="dcterms:W3CDTF">2014-04-06T22:02:00Z</dcterms:modified>
</cp:coreProperties>
</file>