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9A" w:rsidRPr="007D683B" w:rsidRDefault="002A0C9A" w:rsidP="007D683B">
      <w:pPr>
        <w:pStyle w:val="ListParagraph"/>
        <w:spacing w:line="360" w:lineRule="auto"/>
        <w:jc w:val="center"/>
        <w:rPr>
          <w:b/>
          <w:sz w:val="20"/>
          <w:szCs w:val="20"/>
        </w:rPr>
      </w:pPr>
      <w:r w:rsidRPr="007D683B">
        <w:rPr>
          <w:b/>
          <w:sz w:val="20"/>
          <w:szCs w:val="20"/>
        </w:rPr>
        <w:t>Still on Board Configuration: Review of Nigerian SEC Code Recommendations and the Efficiency of adhering Firms</w:t>
      </w:r>
    </w:p>
    <w:p w:rsidR="00790128" w:rsidRDefault="00790128" w:rsidP="007D683B">
      <w:pPr>
        <w:pStyle w:val="ListParagraph"/>
        <w:spacing w:line="360" w:lineRule="auto"/>
        <w:rPr>
          <w:i/>
          <w:sz w:val="16"/>
          <w:szCs w:val="16"/>
          <w:highlight w:val="yellow"/>
        </w:rPr>
      </w:pPr>
    </w:p>
    <w:p w:rsidR="002A0C9A" w:rsidRPr="001A4912" w:rsidRDefault="002A0C9A" w:rsidP="007D683B">
      <w:pPr>
        <w:jc w:val="center"/>
        <w:rPr>
          <w:b/>
          <w:bCs/>
          <w:sz w:val="20"/>
          <w:szCs w:val="20"/>
          <w:highlight w:val="yellow"/>
        </w:rPr>
      </w:pPr>
    </w:p>
    <w:p w:rsidR="00AD5A69" w:rsidRPr="005253AD" w:rsidRDefault="002A0C9A" w:rsidP="008E4D65">
      <w:pPr>
        <w:pStyle w:val="ListParagraph"/>
        <w:spacing w:line="360" w:lineRule="auto"/>
        <w:jc w:val="both"/>
        <w:rPr>
          <w:sz w:val="20"/>
          <w:szCs w:val="20"/>
        </w:rPr>
      </w:pPr>
      <w:r w:rsidRPr="005253AD">
        <w:rPr>
          <w:b/>
          <w:bCs/>
          <w:sz w:val="20"/>
          <w:szCs w:val="20"/>
        </w:rPr>
        <w:t>Abstract</w:t>
      </w:r>
      <w:r w:rsidR="005253AD" w:rsidRPr="005253AD">
        <w:rPr>
          <w:b/>
          <w:bCs/>
          <w:sz w:val="20"/>
          <w:szCs w:val="20"/>
        </w:rPr>
        <w:t xml:space="preserve"> </w:t>
      </w:r>
      <w:r w:rsidRPr="005253AD">
        <w:rPr>
          <w:sz w:val="20"/>
          <w:szCs w:val="20"/>
        </w:rPr>
        <w:t xml:space="preserve">This paper scrutinizes the effects of adherence to an encoded board configuration on firm efficiency </w:t>
      </w:r>
      <w:r w:rsidR="005D714E" w:rsidRPr="005253AD">
        <w:rPr>
          <w:sz w:val="20"/>
          <w:szCs w:val="20"/>
        </w:rPr>
        <w:t>in terms operational and financial performance</w:t>
      </w:r>
      <w:r w:rsidR="00C65999" w:rsidRPr="005253AD">
        <w:rPr>
          <w:sz w:val="20"/>
          <w:szCs w:val="20"/>
        </w:rPr>
        <w:t>s</w:t>
      </w:r>
      <w:r w:rsidR="005D714E" w:rsidRPr="005253AD">
        <w:rPr>
          <w:sz w:val="20"/>
          <w:szCs w:val="20"/>
        </w:rPr>
        <w:t xml:space="preserve"> </w:t>
      </w:r>
      <w:r w:rsidRPr="005253AD">
        <w:rPr>
          <w:sz w:val="20"/>
          <w:szCs w:val="20"/>
        </w:rPr>
        <w:t xml:space="preserve">using an integrated research framework that combines four distinct theories including agency, stewardship, stakeholders and resource dependency models. The research explores three main aspects of compliance outcomes; benefits accrued to conforming firms in terms </w:t>
      </w:r>
      <w:r w:rsidR="00F3660E">
        <w:rPr>
          <w:sz w:val="20"/>
          <w:szCs w:val="20"/>
        </w:rPr>
        <w:t xml:space="preserve">of </w:t>
      </w:r>
      <w:r w:rsidRPr="005253AD">
        <w:rPr>
          <w:sz w:val="20"/>
          <w:szCs w:val="20"/>
        </w:rPr>
        <w:t>enhanced efficiency</w:t>
      </w:r>
      <w:r w:rsidR="00D13F64" w:rsidRPr="005253AD">
        <w:rPr>
          <w:sz w:val="20"/>
          <w:szCs w:val="20"/>
        </w:rPr>
        <w:t xml:space="preserve"> and market value</w:t>
      </w:r>
      <w:r w:rsidRPr="005253AD">
        <w:rPr>
          <w:sz w:val="20"/>
          <w:szCs w:val="20"/>
        </w:rPr>
        <w:t>, board level drivers as well as the external</w:t>
      </w:r>
      <w:r w:rsidR="000B4B0D" w:rsidRPr="005253AD">
        <w:rPr>
          <w:sz w:val="20"/>
          <w:szCs w:val="20"/>
        </w:rPr>
        <w:t xml:space="preserve"> moderators of these benefits. </w:t>
      </w:r>
      <w:r w:rsidRPr="005253AD">
        <w:rPr>
          <w:sz w:val="20"/>
          <w:szCs w:val="20"/>
        </w:rPr>
        <w:t xml:space="preserve">The analyses </w:t>
      </w:r>
      <w:r w:rsidR="004F3BF1">
        <w:rPr>
          <w:sz w:val="20"/>
          <w:szCs w:val="20"/>
        </w:rPr>
        <w:t>are</w:t>
      </w:r>
      <w:r w:rsidRPr="005253AD">
        <w:rPr>
          <w:sz w:val="20"/>
          <w:szCs w:val="20"/>
        </w:rPr>
        <w:t xml:space="preserve"> based on data drawn from a sample of 127 listed companies on the Nigerian Stock Exchange covering a twelve-year period (1999-2010), an era of significant corporate g</w:t>
      </w:r>
      <w:r w:rsidR="000B4B0D" w:rsidRPr="005253AD">
        <w:rPr>
          <w:sz w:val="20"/>
          <w:szCs w:val="20"/>
        </w:rPr>
        <w:t xml:space="preserve">overnance evolution in Nigeria. </w:t>
      </w:r>
      <w:r w:rsidRPr="005253AD">
        <w:rPr>
          <w:sz w:val="20"/>
          <w:szCs w:val="20"/>
        </w:rPr>
        <w:t>Empirical findings from the t</w:t>
      </w:r>
      <w:r w:rsidR="00D64F6F" w:rsidRPr="005253AD">
        <w:rPr>
          <w:sz w:val="20"/>
          <w:szCs w:val="20"/>
        </w:rPr>
        <w:t>wo</w:t>
      </w:r>
      <w:r w:rsidRPr="005253AD">
        <w:rPr>
          <w:sz w:val="20"/>
          <w:szCs w:val="20"/>
        </w:rPr>
        <w:t xml:space="preserve"> clusters of regression models show that board independence, directors’ </w:t>
      </w:r>
      <w:r w:rsidR="00D64F6F" w:rsidRPr="005253AD">
        <w:rPr>
          <w:sz w:val="20"/>
          <w:szCs w:val="20"/>
        </w:rPr>
        <w:t xml:space="preserve">cognitive </w:t>
      </w:r>
      <w:r w:rsidRPr="005253AD">
        <w:rPr>
          <w:sz w:val="20"/>
          <w:szCs w:val="20"/>
        </w:rPr>
        <w:t xml:space="preserve">competencies as measured in terms of their educational qualifications and professional experiences are positively associated with efficient management of assets </w:t>
      </w:r>
      <w:r w:rsidR="00D64F6F" w:rsidRPr="005253AD">
        <w:rPr>
          <w:sz w:val="20"/>
          <w:szCs w:val="20"/>
        </w:rPr>
        <w:t xml:space="preserve">(ROA) </w:t>
      </w:r>
      <w:r w:rsidRPr="005253AD">
        <w:rPr>
          <w:sz w:val="20"/>
          <w:szCs w:val="20"/>
        </w:rPr>
        <w:t>and firm stock marketability</w:t>
      </w:r>
      <w:r w:rsidR="00D64F6F" w:rsidRPr="005253AD">
        <w:rPr>
          <w:sz w:val="20"/>
          <w:szCs w:val="20"/>
        </w:rPr>
        <w:t xml:space="preserve"> (</w:t>
      </w:r>
      <w:r w:rsidR="00D64F6F" w:rsidRPr="005253AD">
        <w:rPr>
          <w:i/>
          <w:sz w:val="20"/>
          <w:szCs w:val="20"/>
        </w:rPr>
        <w:t>Tobin’s q</w:t>
      </w:r>
      <w:r w:rsidR="00D64F6F" w:rsidRPr="005253AD">
        <w:rPr>
          <w:sz w:val="20"/>
          <w:szCs w:val="20"/>
        </w:rPr>
        <w:t>)</w:t>
      </w:r>
      <w:r w:rsidRPr="005253AD">
        <w:rPr>
          <w:sz w:val="20"/>
          <w:szCs w:val="20"/>
        </w:rPr>
        <w:t xml:space="preserve">.  Regardless of the measures employed however, no substantive empirical evidence was found to suggest that either the adoption of specific leadership structure or directors’ ethnic representation affects firm </w:t>
      </w:r>
      <w:r w:rsidR="00D64F6F" w:rsidRPr="005253AD">
        <w:rPr>
          <w:sz w:val="20"/>
          <w:szCs w:val="20"/>
        </w:rPr>
        <w:t>performance</w:t>
      </w:r>
      <w:r w:rsidRPr="005253AD">
        <w:rPr>
          <w:sz w:val="20"/>
          <w:szCs w:val="20"/>
        </w:rPr>
        <w:t xml:space="preserve">. The study further documents that, country-level macroeconomic variables, especially the degree of economic openness play a </w:t>
      </w:r>
      <w:r w:rsidR="00D64F6F" w:rsidRPr="005253AD">
        <w:rPr>
          <w:sz w:val="20"/>
          <w:szCs w:val="20"/>
        </w:rPr>
        <w:t xml:space="preserve">significant role in determining </w:t>
      </w:r>
      <w:r w:rsidRPr="005253AD">
        <w:rPr>
          <w:sz w:val="20"/>
          <w:szCs w:val="20"/>
        </w:rPr>
        <w:t xml:space="preserve">the </w:t>
      </w:r>
      <w:r w:rsidR="00D64F6F" w:rsidRPr="005253AD">
        <w:rPr>
          <w:sz w:val="20"/>
          <w:szCs w:val="20"/>
        </w:rPr>
        <w:t xml:space="preserve">strength of </w:t>
      </w:r>
      <w:r w:rsidRPr="005253AD">
        <w:rPr>
          <w:sz w:val="20"/>
          <w:szCs w:val="20"/>
        </w:rPr>
        <w:t xml:space="preserve">association between board structure variables and firm </w:t>
      </w:r>
      <w:r w:rsidR="00D64F6F" w:rsidRPr="005253AD">
        <w:rPr>
          <w:sz w:val="20"/>
          <w:szCs w:val="20"/>
        </w:rPr>
        <w:t>performance measures</w:t>
      </w:r>
      <w:r w:rsidRPr="005253AD">
        <w:rPr>
          <w:sz w:val="20"/>
          <w:szCs w:val="20"/>
        </w:rPr>
        <w:t xml:space="preserve">. Post-diagnostic assessment carried out on the regression models offered empirical support to the proportionate explanatory power and stability </w:t>
      </w:r>
      <w:r w:rsidR="00D64F6F" w:rsidRPr="005253AD">
        <w:rPr>
          <w:sz w:val="20"/>
          <w:szCs w:val="20"/>
        </w:rPr>
        <w:t xml:space="preserve">of the analytical models that were used </w:t>
      </w:r>
      <w:r w:rsidRPr="005253AD">
        <w:rPr>
          <w:sz w:val="20"/>
          <w:szCs w:val="20"/>
        </w:rPr>
        <w:t>as indicated in the results of Augmented Dickey- Fuller (ADF) and Theil Inequality Coefficient tests.</w:t>
      </w:r>
      <w:r w:rsidR="00D64F6F" w:rsidRPr="005253AD">
        <w:rPr>
          <w:sz w:val="20"/>
          <w:szCs w:val="20"/>
        </w:rPr>
        <w:t xml:space="preserve"> </w:t>
      </w:r>
    </w:p>
    <w:p w:rsidR="002A0C9A" w:rsidRDefault="002A0C9A" w:rsidP="008E4D65">
      <w:pPr>
        <w:spacing w:line="360" w:lineRule="auto"/>
        <w:ind w:left="720"/>
        <w:jc w:val="both"/>
        <w:rPr>
          <w:sz w:val="16"/>
          <w:szCs w:val="16"/>
          <w:highlight w:val="lightGray"/>
        </w:rPr>
      </w:pPr>
      <w:r w:rsidRPr="002B3757">
        <w:rPr>
          <w:b/>
          <w:sz w:val="20"/>
          <w:szCs w:val="20"/>
        </w:rPr>
        <w:t>Keywords</w:t>
      </w:r>
      <w:r w:rsidRPr="002B3757">
        <w:rPr>
          <w:i/>
          <w:sz w:val="20"/>
          <w:szCs w:val="20"/>
        </w:rPr>
        <w:t xml:space="preserve">: Corporate Governance; Board Structure; </w:t>
      </w:r>
      <w:r w:rsidR="00C65999">
        <w:rPr>
          <w:i/>
          <w:sz w:val="20"/>
          <w:szCs w:val="20"/>
        </w:rPr>
        <w:t xml:space="preserve">Macroeconomic variables, </w:t>
      </w:r>
      <w:r w:rsidR="00795A57">
        <w:rPr>
          <w:i/>
          <w:sz w:val="20"/>
          <w:szCs w:val="20"/>
        </w:rPr>
        <w:t>Firm p</w:t>
      </w:r>
      <w:r w:rsidR="002B3757">
        <w:rPr>
          <w:i/>
          <w:sz w:val="20"/>
          <w:szCs w:val="20"/>
        </w:rPr>
        <w:t xml:space="preserve">erformance </w:t>
      </w:r>
    </w:p>
    <w:p w:rsidR="007C2AD1" w:rsidRDefault="007C2AD1" w:rsidP="008E4D65">
      <w:pPr>
        <w:spacing w:line="360" w:lineRule="auto"/>
        <w:jc w:val="both"/>
        <w:rPr>
          <w:sz w:val="16"/>
          <w:szCs w:val="16"/>
          <w:highlight w:val="lightGray"/>
        </w:rPr>
      </w:pPr>
    </w:p>
    <w:p w:rsidR="007C2AD1" w:rsidRDefault="007C2AD1" w:rsidP="002A0C9A">
      <w:pPr>
        <w:spacing w:line="360" w:lineRule="auto"/>
        <w:jc w:val="both"/>
        <w:rPr>
          <w:sz w:val="16"/>
          <w:szCs w:val="16"/>
          <w:highlight w:val="lightGray"/>
        </w:rPr>
      </w:pPr>
    </w:p>
    <w:p w:rsidR="007C2AD1" w:rsidRDefault="007C2AD1" w:rsidP="002A0C9A">
      <w:pPr>
        <w:spacing w:line="360" w:lineRule="auto"/>
        <w:jc w:val="both"/>
        <w:rPr>
          <w:sz w:val="16"/>
          <w:szCs w:val="16"/>
          <w:highlight w:val="lightGray"/>
        </w:rPr>
      </w:pPr>
    </w:p>
    <w:p w:rsidR="000B4B0D" w:rsidRDefault="000B4B0D" w:rsidP="002A0C9A">
      <w:pPr>
        <w:spacing w:line="360" w:lineRule="auto"/>
        <w:jc w:val="both"/>
        <w:rPr>
          <w:sz w:val="16"/>
          <w:szCs w:val="16"/>
          <w:highlight w:val="lightGray"/>
        </w:rPr>
      </w:pPr>
    </w:p>
    <w:p w:rsidR="000B4B0D" w:rsidRDefault="000B4B0D" w:rsidP="002A0C9A">
      <w:pPr>
        <w:spacing w:line="360" w:lineRule="auto"/>
        <w:jc w:val="both"/>
        <w:rPr>
          <w:sz w:val="16"/>
          <w:szCs w:val="16"/>
          <w:highlight w:val="lightGray"/>
        </w:rPr>
      </w:pPr>
    </w:p>
    <w:p w:rsidR="000B4B0D" w:rsidRDefault="000B4B0D" w:rsidP="002A0C9A">
      <w:pPr>
        <w:spacing w:line="360" w:lineRule="auto"/>
        <w:jc w:val="both"/>
        <w:rPr>
          <w:sz w:val="16"/>
          <w:szCs w:val="16"/>
          <w:highlight w:val="lightGray"/>
        </w:rPr>
      </w:pPr>
    </w:p>
    <w:p w:rsidR="000B4B0D" w:rsidRDefault="000B4B0D" w:rsidP="002A0C9A">
      <w:pPr>
        <w:spacing w:line="360" w:lineRule="auto"/>
        <w:jc w:val="both"/>
        <w:rPr>
          <w:sz w:val="16"/>
          <w:szCs w:val="16"/>
          <w:highlight w:val="lightGray"/>
        </w:rPr>
      </w:pPr>
    </w:p>
    <w:p w:rsidR="000B4B0D" w:rsidRDefault="000B4B0D" w:rsidP="002A0C9A">
      <w:pPr>
        <w:spacing w:line="360" w:lineRule="auto"/>
        <w:jc w:val="both"/>
        <w:rPr>
          <w:sz w:val="16"/>
          <w:szCs w:val="16"/>
          <w:highlight w:val="lightGray"/>
        </w:rPr>
      </w:pPr>
    </w:p>
    <w:p w:rsidR="00175DD5" w:rsidRDefault="00175DD5" w:rsidP="002A0C9A">
      <w:pPr>
        <w:spacing w:line="360" w:lineRule="auto"/>
        <w:jc w:val="both"/>
        <w:rPr>
          <w:sz w:val="16"/>
          <w:szCs w:val="16"/>
          <w:highlight w:val="lightGray"/>
        </w:rPr>
      </w:pPr>
    </w:p>
    <w:p w:rsidR="00175DD5" w:rsidRDefault="00175DD5" w:rsidP="002A0C9A">
      <w:pPr>
        <w:spacing w:line="360" w:lineRule="auto"/>
        <w:jc w:val="both"/>
        <w:rPr>
          <w:sz w:val="16"/>
          <w:szCs w:val="16"/>
          <w:highlight w:val="lightGray"/>
        </w:rPr>
      </w:pPr>
    </w:p>
    <w:p w:rsidR="00175DD5" w:rsidRDefault="00175DD5" w:rsidP="002A0C9A">
      <w:pPr>
        <w:spacing w:line="360" w:lineRule="auto"/>
        <w:jc w:val="both"/>
        <w:rPr>
          <w:sz w:val="16"/>
          <w:szCs w:val="16"/>
          <w:highlight w:val="lightGray"/>
        </w:rPr>
      </w:pPr>
    </w:p>
    <w:p w:rsidR="00175DD5" w:rsidRDefault="00175DD5" w:rsidP="002A0C9A">
      <w:pPr>
        <w:spacing w:line="360" w:lineRule="auto"/>
        <w:jc w:val="both"/>
        <w:rPr>
          <w:sz w:val="16"/>
          <w:szCs w:val="16"/>
          <w:highlight w:val="lightGray"/>
        </w:rPr>
      </w:pPr>
    </w:p>
    <w:p w:rsidR="00175DD5" w:rsidRDefault="00175DD5" w:rsidP="002A0C9A">
      <w:pPr>
        <w:spacing w:line="360" w:lineRule="auto"/>
        <w:jc w:val="both"/>
        <w:rPr>
          <w:sz w:val="16"/>
          <w:szCs w:val="16"/>
          <w:highlight w:val="lightGray"/>
        </w:rPr>
      </w:pPr>
    </w:p>
    <w:p w:rsidR="000B4B0D" w:rsidRDefault="000B4B0D" w:rsidP="002A0C9A">
      <w:pPr>
        <w:spacing w:line="360" w:lineRule="auto"/>
        <w:jc w:val="both"/>
        <w:rPr>
          <w:sz w:val="16"/>
          <w:szCs w:val="16"/>
          <w:highlight w:val="lightGray"/>
        </w:rPr>
      </w:pPr>
    </w:p>
    <w:p w:rsidR="006B1B4D" w:rsidRDefault="006B1B4D" w:rsidP="002A0C9A">
      <w:pPr>
        <w:spacing w:line="360" w:lineRule="auto"/>
        <w:jc w:val="both"/>
        <w:rPr>
          <w:sz w:val="16"/>
          <w:szCs w:val="16"/>
          <w:highlight w:val="lightGray"/>
        </w:rPr>
      </w:pPr>
    </w:p>
    <w:p w:rsidR="007433CB" w:rsidRDefault="007433CB" w:rsidP="002A0C9A">
      <w:pPr>
        <w:spacing w:line="360" w:lineRule="auto"/>
        <w:jc w:val="both"/>
        <w:rPr>
          <w:sz w:val="16"/>
          <w:szCs w:val="16"/>
          <w:highlight w:val="lightGray"/>
        </w:rPr>
      </w:pPr>
    </w:p>
    <w:p w:rsidR="006B1B4D" w:rsidRDefault="006B1B4D" w:rsidP="002A0C9A">
      <w:pPr>
        <w:spacing w:line="360" w:lineRule="auto"/>
        <w:jc w:val="both"/>
        <w:rPr>
          <w:sz w:val="16"/>
          <w:szCs w:val="16"/>
          <w:highlight w:val="lightGray"/>
        </w:rPr>
      </w:pPr>
    </w:p>
    <w:p w:rsidR="000B4B0D" w:rsidRDefault="000B4B0D" w:rsidP="002A0C9A">
      <w:pPr>
        <w:spacing w:line="360" w:lineRule="auto"/>
        <w:jc w:val="both"/>
        <w:rPr>
          <w:sz w:val="16"/>
          <w:szCs w:val="16"/>
          <w:highlight w:val="lightGray"/>
        </w:rPr>
      </w:pPr>
    </w:p>
    <w:p w:rsidR="007C2AD1" w:rsidRDefault="007C2AD1" w:rsidP="002A0C9A">
      <w:pPr>
        <w:spacing w:line="360" w:lineRule="auto"/>
        <w:jc w:val="both"/>
        <w:rPr>
          <w:sz w:val="16"/>
          <w:szCs w:val="16"/>
          <w:highlight w:val="lightGray"/>
        </w:rPr>
      </w:pPr>
    </w:p>
    <w:p w:rsidR="007C2AD1" w:rsidRDefault="007C2AD1" w:rsidP="002A0C9A">
      <w:pPr>
        <w:spacing w:line="360" w:lineRule="auto"/>
        <w:jc w:val="both"/>
        <w:rPr>
          <w:sz w:val="16"/>
          <w:szCs w:val="16"/>
          <w:highlight w:val="lightGray"/>
        </w:rPr>
      </w:pPr>
    </w:p>
    <w:p w:rsidR="00686729" w:rsidRDefault="00686729" w:rsidP="002A0C9A">
      <w:pPr>
        <w:spacing w:line="360" w:lineRule="auto"/>
        <w:jc w:val="both"/>
        <w:rPr>
          <w:sz w:val="16"/>
          <w:szCs w:val="16"/>
          <w:highlight w:val="lightGray"/>
        </w:rPr>
      </w:pPr>
    </w:p>
    <w:p w:rsidR="00AA21DB" w:rsidRPr="00AF58B6" w:rsidRDefault="00AF58B6" w:rsidP="008E4D65">
      <w:pPr>
        <w:pStyle w:val="ListParagraph"/>
        <w:spacing w:line="360" w:lineRule="auto"/>
        <w:jc w:val="both"/>
        <w:rPr>
          <w:b/>
          <w:sz w:val="20"/>
          <w:szCs w:val="20"/>
        </w:rPr>
      </w:pPr>
      <w:r w:rsidRPr="00AF58B6">
        <w:rPr>
          <w:b/>
          <w:sz w:val="20"/>
          <w:szCs w:val="20"/>
        </w:rPr>
        <w:lastRenderedPageBreak/>
        <w:t>1</w:t>
      </w:r>
      <w:r w:rsidRPr="00AF58B6">
        <w:rPr>
          <w:b/>
          <w:sz w:val="20"/>
          <w:szCs w:val="20"/>
        </w:rPr>
        <w:tab/>
      </w:r>
      <w:r w:rsidR="00AA21DB" w:rsidRPr="00AF58B6">
        <w:rPr>
          <w:b/>
          <w:sz w:val="20"/>
          <w:szCs w:val="20"/>
        </w:rPr>
        <w:t>I</w:t>
      </w:r>
      <w:r w:rsidRPr="00AF58B6">
        <w:rPr>
          <w:b/>
          <w:sz w:val="20"/>
          <w:szCs w:val="20"/>
        </w:rPr>
        <w:t>ntroduction</w:t>
      </w:r>
      <w:r w:rsidR="00AA21DB" w:rsidRPr="00AF58B6">
        <w:rPr>
          <w:b/>
          <w:sz w:val="20"/>
          <w:szCs w:val="20"/>
        </w:rPr>
        <w:t xml:space="preserve"> </w:t>
      </w:r>
    </w:p>
    <w:p w:rsidR="00AA21DB" w:rsidRPr="00AF58B6" w:rsidRDefault="00AA21DB" w:rsidP="008E4D65">
      <w:pPr>
        <w:pStyle w:val="ListParagraph"/>
        <w:spacing w:line="360" w:lineRule="auto"/>
        <w:jc w:val="both"/>
        <w:rPr>
          <w:sz w:val="20"/>
          <w:szCs w:val="20"/>
        </w:rPr>
      </w:pPr>
      <w:r w:rsidRPr="00AF58B6">
        <w:rPr>
          <w:sz w:val="20"/>
          <w:szCs w:val="20"/>
        </w:rPr>
        <w:t xml:space="preserve">The spates of corporate scandals of the last twenty-five years had motivated significant drive towards institutional reforms particularly in numerous developed countries (e.g. </w:t>
      </w:r>
      <w:r w:rsidR="00BE15B8" w:rsidRPr="00AF58B6">
        <w:rPr>
          <w:sz w:val="20"/>
          <w:szCs w:val="20"/>
        </w:rPr>
        <w:t xml:space="preserve">Toshiba, Olympus, </w:t>
      </w:r>
      <w:r w:rsidRPr="00AF58B6">
        <w:rPr>
          <w:sz w:val="20"/>
          <w:szCs w:val="20"/>
        </w:rPr>
        <w:t>Enron, Lehman Brothers</w:t>
      </w:r>
      <w:r w:rsidR="00BE15B8" w:rsidRPr="00AF58B6">
        <w:rPr>
          <w:sz w:val="20"/>
          <w:szCs w:val="20"/>
        </w:rPr>
        <w:t xml:space="preserve"> and </w:t>
      </w:r>
      <w:r w:rsidRPr="00AF58B6">
        <w:rPr>
          <w:sz w:val="20"/>
          <w:szCs w:val="20"/>
        </w:rPr>
        <w:t>WorldCom</w:t>
      </w:r>
      <w:r w:rsidR="00BE15B8" w:rsidRPr="00AF58B6">
        <w:rPr>
          <w:sz w:val="20"/>
          <w:szCs w:val="20"/>
        </w:rPr>
        <w:t>)</w:t>
      </w:r>
      <w:r w:rsidRPr="00AF58B6">
        <w:rPr>
          <w:sz w:val="20"/>
          <w:szCs w:val="20"/>
        </w:rPr>
        <w:t xml:space="preserve">. </w:t>
      </w:r>
      <w:r w:rsidR="00BE15B8" w:rsidRPr="00AF58B6">
        <w:rPr>
          <w:sz w:val="20"/>
          <w:szCs w:val="20"/>
        </w:rPr>
        <w:t xml:space="preserve">One of the well cited </w:t>
      </w:r>
      <w:r w:rsidR="001B1B1B" w:rsidRPr="00AF58B6">
        <w:rPr>
          <w:sz w:val="20"/>
          <w:szCs w:val="20"/>
        </w:rPr>
        <w:t>examples</w:t>
      </w:r>
      <w:r w:rsidR="00BE15B8" w:rsidRPr="00AF58B6">
        <w:rPr>
          <w:sz w:val="20"/>
          <w:szCs w:val="20"/>
        </w:rPr>
        <w:t xml:space="preserve"> of government response to these scandal</w:t>
      </w:r>
      <w:r w:rsidR="00306870" w:rsidRPr="00AF58B6">
        <w:rPr>
          <w:sz w:val="20"/>
          <w:szCs w:val="20"/>
        </w:rPr>
        <w:t>s</w:t>
      </w:r>
      <w:r w:rsidR="00BE15B8" w:rsidRPr="00AF58B6">
        <w:rPr>
          <w:sz w:val="20"/>
          <w:szCs w:val="20"/>
        </w:rPr>
        <w:t xml:space="preserve"> </w:t>
      </w:r>
      <w:r w:rsidRPr="00AF58B6">
        <w:rPr>
          <w:sz w:val="20"/>
          <w:szCs w:val="20"/>
        </w:rPr>
        <w:t xml:space="preserve">is </w:t>
      </w:r>
      <w:r w:rsidR="001B1B1B" w:rsidRPr="00AF58B6">
        <w:rPr>
          <w:sz w:val="20"/>
          <w:szCs w:val="20"/>
        </w:rPr>
        <w:t>the passage</w:t>
      </w:r>
      <w:r w:rsidRPr="00AF58B6">
        <w:rPr>
          <w:sz w:val="20"/>
          <w:szCs w:val="20"/>
        </w:rPr>
        <w:t xml:space="preserve"> into law of the famous Sarbanes-Oxley Act (2002) which is widely considered to be the most sweeping corporate governance regulation in the past 70 years (B</w:t>
      </w:r>
      <w:r w:rsidR="00936FF0">
        <w:rPr>
          <w:sz w:val="20"/>
          <w:szCs w:val="20"/>
        </w:rPr>
        <w:t>ulent 2009</w:t>
      </w:r>
      <w:r w:rsidRPr="00AF58B6">
        <w:rPr>
          <w:sz w:val="20"/>
          <w:szCs w:val="20"/>
        </w:rPr>
        <w:t>). These waves of institutional reforms in the developed countries ha</w:t>
      </w:r>
      <w:r w:rsidR="005A7519">
        <w:rPr>
          <w:sz w:val="20"/>
          <w:szCs w:val="20"/>
        </w:rPr>
        <w:t>ve</w:t>
      </w:r>
      <w:r w:rsidRPr="00AF58B6">
        <w:rPr>
          <w:sz w:val="20"/>
          <w:szCs w:val="20"/>
        </w:rPr>
        <w:t xml:space="preserve"> motivated similar moves in the emerging markets. </w:t>
      </w:r>
      <w:r w:rsidR="00A10A4F" w:rsidRPr="00AF58B6">
        <w:rPr>
          <w:sz w:val="20"/>
          <w:szCs w:val="20"/>
        </w:rPr>
        <w:t xml:space="preserve"> </w:t>
      </w:r>
      <w:r w:rsidRPr="00AF58B6">
        <w:rPr>
          <w:sz w:val="20"/>
          <w:szCs w:val="20"/>
        </w:rPr>
        <w:t xml:space="preserve">In Nigeria, where the quest for Direct Foreign Investments (FDIs) have heighten </w:t>
      </w:r>
      <w:r w:rsidRPr="00186E0C">
        <w:rPr>
          <w:sz w:val="20"/>
          <w:szCs w:val="20"/>
        </w:rPr>
        <w:t xml:space="preserve">since the return to democratic governance in 1999, corporate </w:t>
      </w:r>
      <w:r w:rsidRPr="00613E06">
        <w:rPr>
          <w:sz w:val="20"/>
          <w:szCs w:val="20"/>
        </w:rPr>
        <w:t xml:space="preserve">governance has assumed a vital topic of public debate with significant focus on the internal mechanisms. The reason had been that comparable levels of corporate scandals were reported across key sectors. </w:t>
      </w:r>
      <w:r w:rsidR="00613E06">
        <w:rPr>
          <w:sz w:val="20"/>
          <w:szCs w:val="20"/>
        </w:rPr>
        <w:t>F</w:t>
      </w:r>
      <w:r w:rsidR="00613E06" w:rsidRPr="00613E06">
        <w:rPr>
          <w:sz w:val="20"/>
          <w:szCs w:val="20"/>
        </w:rPr>
        <w:t xml:space="preserve">or instance, </w:t>
      </w:r>
      <w:r w:rsidRPr="00613E06">
        <w:rPr>
          <w:sz w:val="20"/>
          <w:szCs w:val="20"/>
        </w:rPr>
        <w:t>varying degrees of corporate malpractices led to the collapse of over fifty commercial banks between 1994 and 2011, whilst, an additional eight banks had to be rescued from impending bankruptcy (CBN 2011).</w:t>
      </w:r>
      <w:r w:rsidRPr="00AF58B6">
        <w:rPr>
          <w:sz w:val="20"/>
          <w:szCs w:val="20"/>
        </w:rPr>
        <w:t xml:space="preserve"> The overstatement of the profit and balance sheets of Cadbury Nigeria Plc and the evidence of share price manipulation at the Fort Oil Plc (formerly African Petroleum) ensured that the two companies became the most famous cases of unethical practices in Nigeria (Egene 2009). </w:t>
      </w:r>
    </w:p>
    <w:p w:rsidR="00AA21DB" w:rsidRPr="00AF58B6" w:rsidRDefault="00AA21DB" w:rsidP="00AF58B6">
      <w:pPr>
        <w:pStyle w:val="ListParagraph"/>
        <w:spacing w:line="360" w:lineRule="auto"/>
        <w:jc w:val="both"/>
        <w:rPr>
          <w:sz w:val="20"/>
          <w:szCs w:val="20"/>
        </w:rPr>
      </w:pPr>
    </w:p>
    <w:p w:rsidR="00AA21DB" w:rsidRPr="00AF58B6" w:rsidRDefault="00AA21DB" w:rsidP="00AF58B6">
      <w:pPr>
        <w:pStyle w:val="ListParagraph"/>
        <w:spacing w:line="360" w:lineRule="auto"/>
        <w:jc w:val="both"/>
        <w:rPr>
          <w:sz w:val="20"/>
          <w:szCs w:val="20"/>
        </w:rPr>
      </w:pPr>
      <w:r w:rsidRPr="00AF58B6">
        <w:rPr>
          <w:sz w:val="20"/>
          <w:szCs w:val="20"/>
        </w:rPr>
        <w:t>Regulatory responses to these corporate incidences were considerable as the institutional efforts saw the Nigeria Securities and Exchange Commission (SEC) issued the country’s first ever Code of Corporate Governance in 2003 (hereafter, SEC Code). In order to enhance board effectiveness, the SEC Code recommended board structure characteristics covering size</w:t>
      </w:r>
      <w:r w:rsidR="00AF58B6">
        <w:rPr>
          <w:sz w:val="20"/>
          <w:szCs w:val="20"/>
        </w:rPr>
        <w:t xml:space="preserve">, composition and leadership. </w:t>
      </w:r>
      <w:r w:rsidRPr="00AF58B6">
        <w:rPr>
          <w:sz w:val="20"/>
          <w:szCs w:val="20"/>
        </w:rPr>
        <w:t xml:space="preserve">However, there has been lingering debate regarding the relevance of these features to corporate efficiency in Nigeria. Questions have been asked as to whether these </w:t>
      </w:r>
      <w:r w:rsidR="00581BC1">
        <w:rPr>
          <w:sz w:val="20"/>
          <w:szCs w:val="20"/>
        </w:rPr>
        <w:t>suggestions</w:t>
      </w:r>
      <w:r w:rsidRPr="00AF58B6">
        <w:rPr>
          <w:sz w:val="20"/>
          <w:szCs w:val="20"/>
        </w:rPr>
        <w:t xml:space="preserve"> which had mirrored developed economies styles of corporate governance can lead to efficiency in the management of firms operating in the emerging economies with completely different socio-cultural disposition.</w:t>
      </w:r>
    </w:p>
    <w:p w:rsidR="00AA21DB" w:rsidRPr="00AF58B6" w:rsidRDefault="00AA21DB" w:rsidP="00AF58B6">
      <w:pPr>
        <w:pStyle w:val="ListParagraph"/>
        <w:spacing w:line="360" w:lineRule="auto"/>
        <w:jc w:val="both"/>
        <w:rPr>
          <w:sz w:val="20"/>
          <w:szCs w:val="20"/>
          <w:highlight w:val="yellow"/>
        </w:rPr>
      </w:pPr>
    </w:p>
    <w:p w:rsidR="00581BC1" w:rsidRDefault="00AA21DB" w:rsidP="00581BC1">
      <w:pPr>
        <w:pStyle w:val="ListParagraph"/>
        <w:spacing w:line="360" w:lineRule="auto"/>
        <w:jc w:val="both"/>
        <w:rPr>
          <w:sz w:val="20"/>
          <w:szCs w:val="20"/>
        </w:rPr>
      </w:pPr>
      <w:r w:rsidRPr="00AF58B6">
        <w:rPr>
          <w:sz w:val="20"/>
          <w:szCs w:val="20"/>
        </w:rPr>
        <w:t>Attempts have been made to empirically examine how important these board features are in firm governance but findings from previous studies set in Nigeria have been equivocal (see: Uadiale 2010). The majority of these studies took an agency approach, focusing mainly on the issue of managerial self-interested behaviour at the expense of other board role fundamentals such as resource co-optation, harmonisation of stakeholders’ interests and executive stewardship (e.g</w:t>
      </w:r>
      <w:r w:rsidR="00BC470E">
        <w:rPr>
          <w:sz w:val="20"/>
          <w:szCs w:val="20"/>
        </w:rPr>
        <w:t>.</w:t>
      </w:r>
      <w:r w:rsidR="009D2D7F">
        <w:rPr>
          <w:sz w:val="20"/>
          <w:szCs w:val="20"/>
        </w:rPr>
        <w:t xml:space="preserve"> </w:t>
      </w:r>
      <w:r w:rsidRPr="00AF58B6">
        <w:rPr>
          <w:sz w:val="20"/>
          <w:szCs w:val="20"/>
        </w:rPr>
        <w:t>Kajola 2008). Most of these studies also suffered from methodological inadequacies ranging from the use of weak model, assumption of definite relationship and absence of control and moderating variable</w:t>
      </w:r>
      <w:r w:rsidR="00581BC1">
        <w:rPr>
          <w:sz w:val="20"/>
          <w:szCs w:val="20"/>
        </w:rPr>
        <w:t>s amongst others (Lawal 2011).</w:t>
      </w:r>
    </w:p>
    <w:p w:rsidR="00581BC1" w:rsidRDefault="00581BC1" w:rsidP="00581BC1">
      <w:pPr>
        <w:pStyle w:val="ListParagraph"/>
        <w:spacing w:line="360" w:lineRule="auto"/>
        <w:jc w:val="both"/>
        <w:rPr>
          <w:sz w:val="20"/>
          <w:szCs w:val="20"/>
        </w:rPr>
      </w:pPr>
    </w:p>
    <w:p w:rsidR="00581BC1" w:rsidRPr="00581BC1" w:rsidRDefault="00AA21DB" w:rsidP="00581BC1">
      <w:pPr>
        <w:pStyle w:val="ListParagraph"/>
        <w:spacing w:line="360" w:lineRule="auto"/>
        <w:jc w:val="both"/>
        <w:rPr>
          <w:sz w:val="20"/>
          <w:szCs w:val="20"/>
        </w:rPr>
      </w:pPr>
      <w:r w:rsidRPr="0030303F">
        <w:rPr>
          <w:sz w:val="20"/>
          <w:szCs w:val="20"/>
        </w:rPr>
        <w:t xml:space="preserve">Relying on the SEC Code recommendations with reference to appropriate board structure, this paper </w:t>
      </w:r>
      <w:r w:rsidR="00581BC1" w:rsidRPr="0030303F">
        <w:rPr>
          <w:sz w:val="20"/>
          <w:szCs w:val="20"/>
        </w:rPr>
        <w:t xml:space="preserve">is aimed at addressing three key fundamentals questions which include; whether adherence to the SEC Code in terms of board configuration, predict firm performance in Nigeria? If </w:t>
      </w:r>
      <w:r w:rsidR="00F2276F" w:rsidRPr="0030303F">
        <w:rPr>
          <w:sz w:val="20"/>
          <w:szCs w:val="20"/>
        </w:rPr>
        <w:t>such is the case,</w:t>
      </w:r>
      <w:r w:rsidR="00581BC1" w:rsidRPr="0030303F">
        <w:rPr>
          <w:sz w:val="20"/>
          <w:szCs w:val="20"/>
        </w:rPr>
        <w:t xml:space="preserve"> </w:t>
      </w:r>
      <w:r w:rsidR="00F2276F" w:rsidRPr="0030303F">
        <w:rPr>
          <w:sz w:val="20"/>
          <w:szCs w:val="20"/>
        </w:rPr>
        <w:t xml:space="preserve">then </w:t>
      </w:r>
      <w:r w:rsidR="00581BC1" w:rsidRPr="0030303F">
        <w:rPr>
          <w:sz w:val="20"/>
          <w:szCs w:val="20"/>
        </w:rPr>
        <w:t xml:space="preserve">which of the specific board features have significant influence on </w:t>
      </w:r>
      <w:r w:rsidR="00F2276F" w:rsidRPr="0030303F">
        <w:rPr>
          <w:sz w:val="20"/>
          <w:szCs w:val="20"/>
        </w:rPr>
        <w:t>measures of performance</w:t>
      </w:r>
      <w:r w:rsidR="00581BC1" w:rsidRPr="0030303F">
        <w:rPr>
          <w:sz w:val="20"/>
          <w:szCs w:val="20"/>
        </w:rPr>
        <w:t>?</w:t>
      </w:r>
      <w:r w:rsidR="00F2276F" w:rsidRPr="0030303F">
        <w:rPr>
          <w:sz w:val="20"/>
          <w:szCs w:val="20"/>
        </w:rPr>
        <w:t xml:space="preserve"> And </w:t>
      </w:r>
      <w:r w:rsidR="00F2276F" w:rsidRPr="0030303F">
        <w:rPr>
          <w:sz w:val="20"/>
          <w:szCs w:val="20"/>
        </w:rPr>
        <w:lastRenderedPageBreak/>
        <w:t>finally, are</w:t>
      </w:r>
      <w:r w:rsidR="00581BC1" w:rsidRPr="0030303F">
        <w:rPr>
          <w:sz w:val="20"/>
          <w:szCs w:val="20"/>
        </w:rPr>
        <w:t xml:space="preserve"> there any other explanatory variables </w:t>
      </w:r>
      <w:r w:rsidR="00F2276F" w:rsidRPr="0030303F">
        <w:rPr>
          <w:sz w:val="20"/>
          <w:szCs w:val="20"/>
        </w:rPr>
        <w:t>outside the board factors</w:t>
      </w:r>
      <w:r w:rsidR="00581BC1" w:rsidRPr="0030303F">
        <w:rPr>
          <w:sz w:val="20"/>
          <w:szCs w:val="20"/>
        </w:rPr>
        <w:t xml:space="preserve"> </w:t>
      </w:r>
      <w:r w:rsidR="00F2276F" w:rsidRPr="0030303F">
        <w:rPr>
          <w:sz w:val="20"/>
          <w:szCs w:val="20"/>
        </w:rPr>
        <w:t>that</w:t>
      </w:r>
      <w:r w:rsidR="00581BC1" w:rsidRPr="0030303F">
        <w:rPr>
          <w:sz w:val="20"/>
          <w:szCs w:val="20"/>
        </w:rPr>
        <w:t xml:space="preserve"> significantly </w:t>
      </w:r>
      <w:r w:rsidR="00F2276F" w:rsidRPr="0030303F">
        <w:rPr>
          <w:sz w:val="20"/>
          <w:szCs w:val="20"/>
        </w:rPr>
        <w:t>drive</w:t>
      </w:r>
      <w:r w:rsidR="00581BC1" w:rsidRPr="0030303F">
        <w:rPr>
          <w:sz w:val="20"/>
          <w:szCs w:val="20"/>
        </w:rPr>
        <w:t xml:space="preserve"> these performance </w:t>
      </w:r>
      <w:r w:rsidR="00F2276F" w:rsidRPr="0030303F">
        <w:rPr>
          <w:sz w:val="20"/>
          <w:szCs w:val="20"/>
        </w:rPr>
        <w:t>variations</w:t>
      </w:r>
      <w:r w:rsidR="00581BC1" w:rsidRPr="0030303F">
        <w:rPr>
          <w:sz w:val="20"/>
          <w:szCs w:val="20"/>
        </w:rPr>
        <w:t>?</w:t>
      </w:r>
    </w:p>
    <w:p w:rsidR="00581BC1" w:rsidRDefault="00581BC1" w:rsidP="00581BC1">
      <w:pPr>
        <w:pStyle w:val="ListParagraph"/>
        <w:spacing w:line="360" w:lineRule="auto"/>
        <w:jc w:val="both"/>
        <w:rPr>
          <w:sz w:val="20"/>
          <w:szCs w:val="20"/>
        </w:rPr>
      </w:pPr>
    </w:p>
    <w:p w:rsidR="00AA21DB" w:rsidRDefault="00D714E7" w:rsidP="00AF58B6">
      <w:pPr>
        <w:pStyle w:val="ListParagraph"/>
        <w:spacing w:line="360" w:lineRule="auto"/>
        <w:jc w:val="both"/>
        <w:rPr>
          <w:sz w:val="20"/>
          <w:szCs w:val="20"/>
        </w:rPr>
      </w:pPr>
      <w:r>
        <w:rPr>
          <w:sz w:val="20"/>
          <w:szCs w:val="20"/>
        </w:rPr>
        <w:t>It is interesting to note that, t</w:t>
      </w:r>
      <w:r w:rsidR="00AA21DB" w:rsidRPr="00AF58B6">
        <w:rPr>
          <w:sz w:val="20"/>
          <w:szCs w:val="20"/>
        </w:rPr>
        <w:t xml:space="preserve">he influence of corporate governance on firm </w:t>
      </w:r>
      <w:r>
        <w:rPr>
          <w:sz w:val="20"/>
          <w:szCs w:val="20"/>
        </w:rPr>
        <w:t>performance</w:t>
      </w:r>
      <w:r w:rsidR="00AA21DB" w:rsidRPr="00AF58B6">
        <w:rPr>
          <w:sz w:val="20"/>
          <w:szCs w:val="20"/>
        </w:rPr>
        <w:t xml:space="preserve"> has been a subject of intense discussion for over twenty years, but mainly in the US, Europe and Latin America, and most recently in the Asian business context (Finegold </w:t>
      </w:r>
      <w:r w:rsidR="00AA21DB" w:rsidRPr="009D1313">
        <w:rPr>
          <w:sz w:val="20"/>
          <w:szCs w:val="20"/>
        </w:rPr>
        <w:t>et al.</w:t>
      </w:r>
      <w:r w:rsidR="00AA21DB" w:rsidRPr="00AF58B6">
        <w:rPr>
          <w:sz w:val="20"/>
          <w:szCs w:val="20"/>
        </w:rPr>
        <w:t xml:space="preserve"> 2007). In Sub-Saharan Africa, </w:t>
      </w:r>
      <w:r w:rsidR="00A56041" w:rsidRPr="00AF58B6">
        <w:rPr>
          <w:sz w:val="20"/>
          <w:szCs w:val="20"/>
        </w:rPr>
        <w:t>particularly</w:t>
      </w:r>
      <w:r w:rsidR="00AA21DB" w:rsidRPr="00AF58B6">
        <w:rPr>
          <w:sz w:val="20"/>
          <w:szCs w:val="20"/>
        </w:rPr>
        <w:t xml:space="preserve"> Nigeria, a review of the literature points to insufficient evidence as, so far, very little research has been conducted in this vital field (</w:t>
      </w:r>
      <w:proofErr w:type="spellStart"/>
      <w:r w:rsidR="00AA21DB" w:rsidRPr="00AF58B6">
        <w:rPr>
          <w:sz w:val="20"/>
          <w:szCs w:val="20"/>
        </w:rPr>
        <w:t>Elsayed</w:t>
      </w:r>
      <w:proofErr w:type="spellEnd"/>
      <w:r w:rsidR="00AA21DB" w:rsidRPr="00AF58B6">
        <w:rPr>
          <w:sz w:val="20"/>
          <w:szCs w:val="20"/>
        </w:rPr>
        <w:t xml:space="preserve"> 2011, </w:t>
      </w:r>
      <w:proofErr w:type="spellStart"/>
      <w:r w:rsidR="00AA21DB" w:rsidRPr="00AF58B6">
        <w:rPr>
          <w:sz w:val="20"/>
          <w:szCs w:val="20"/>
        </w:rPr>
        <w:t>Ongore</w:t>
      </w:r>
      <w:proofErr w:type="spellEnd"/>
      <w:r w:rsidR="00AA21DB" w:rsidRPr="00AF58B6">
        <w:rPr>
          <w:sz w:val="20"/>
          <w:szCs w:val="20"/>
        </w:rPr>
        <w:t xml:space="preserve"> and </w:t>
      </w:r>
      <w:proofErr w:type="spellStart"/>
      <w:r w:rsidR="00AA21DB" w:rsidRPr="00AF58B6">
        <w:rPr>
          <w:sz w:val="20"/>
          <w:szCs w:val="20"/>
        </w:rPr>
        <w:t>K’Obonyo</w:t>
      </w:r>
      <w:proofErr w:type="spellEnd"/>
      <w:r w:rsidR="00AA21DB" w:rsidRPr="00AF58B6">
        <w:rPr>
          <w:sz w:val="20"/>
          <w:szCs w:val="20"/>
        </w:rPr>
        <w:t xml:space="preserve"> 2011). This paper aims</w:t>
      </w:r>
      <w:r w:rsidR="00A56041">
        <w:rPr>
          <w:sz w:val="20"/>
          <w:szCs w:val="20"/>
        </w:rPr>
        <w:t xml:space="preserve"> to add an African perspective </w:t>
      </w:r>
      <w:r w:rsidR="00AA21DB" w:rsidRPr="00AF58B6">
        <w:rPr>
          <w:sz w:val="20"/>
          <w:szCs w:val="20"/>
        </w:rPr>
        <w:t>to this important research stream</w:t>
      </w:r>
      <w:r w:rsidR="00A56041">
        <w:rPr>
          <w:sz w:val="20"/>
          <w:szCs w:val="20"/>
        </w:rPr>
        <w:t>.</w:t>
      </w:r>
      <w:r w:rsidR="00AA21DB" w:rsidRPr="00AF58B6">
        <w:rPr>
          <w:sz w:val="20"/>
          <w:szCs w:val="20"/>
        </w:rPr>
        <w:t xml:space="preserve"> The choice of Nigeria as a case study was based on the fact that it housed one of the four largest stock markets in Africa and above all the largest economy in the Continent. </w:t>
      </w:r>
    </w:p>
    <w:p w:rsidR="00576CC3" w:rsidRPr="00AF58B6" w:rsidRDefault="00576CC3" w:rsidP="00AF58B6">
      <w:pPr>
        <w:pStyle w:val="ListParagraph"/>
        <w:spacing w:line="360" w:lineRule="auto"/>
        <w:jc w:val="both"/>
        <w:rPr>
          <w:sz w:val="20"/>
          <w:szCs w:val="20"/>
        </w:rPr>
      </w:pPr>
    </w:p>
    <w:p w:rsidR="00AA21DB" w:rsidRPr="00AF58B6" w:rsidRDefault="00AA21DB" w:rsidP="00AF58B6">
      <w:pPr>
        <w:pStyle w:val="ListParagraph"/>
        <w:spacing w:line="360" w:lineRule="auto"/>
        <w:jc w:val="both"/>
        <w:rPr>
          <w:sz w:val="20"/>
          <w:szCs w:val="20"/>
        </w:rPr>
      </w:pPr>
      <w:r w:rsidRPr="00C23A25">
        <w:rPr>
          <w:sz w:val="20"/>
          <w:szCs w:val="20"/>
        </w:rPr>
        <w:t xml:space="preserve">The current study was equally motivated by the desire to verify whether, in line with suggestions from some quarters, countries with relatively frail corporate regulations see statistically significant effects of corporate governance variables on firms’ </w:t>
      </w:r>
      <w:r w:rsidR="00A96B33" w:rsidRPr="00C23A25">
        <w:rPr>
          <w:sz w:val="20"/>
          <w:szCs w:val="20"/>
        </w:rPr>
        <w:t xml:space="preserve">performance </w:t>
      </w:r>
      <w:r w:rsidRPr="00C23A25">
        <w:rPr>
          <w:sz w:val="20"/>
          <w:szCs w:val="20"/>
        </w:rPr>
        <w:t xml:space="preserve">(see: </w:t>
      </w:r>
      <w:proofErr w:type="spellStart"/>
      <w:r w:rsidRPr="00C23A25">
        <w:rPr>
          <w:sz w:val="20"/>
          <w:szCs w:val="20"/>
        </w:rPr>
        <w:t>Klapper</w:t>
      </w:r>
      <w:proofErr w:type="spellEnd"/>
      <w:r w:rsidRPr="00C23A25">
        <w:rPr>
          <w:sz w:val="20"/>
          <w:szCs w:val="20"/>
        </w:rPr>
        <w:t xml:space="preserve"> and Love, 2004; Cadbury 2000). Compared with the progress made in other emerging countries, the Nigerian corporate regulations still lag behind due to significant developments not yet appropriately allowed for</w:t>
      </w:r>
      <w:r w:rsidR="00C23A25" w:rsidRPr="00C23A25">
        <w:rPr>
          <w:sz w:val="20"/>
          <w:szCs w:val="20"/>
        </w:rPr>
        <w:t xml:space="preserve"> in the country’s company laws </w:t>
      </w:r>
      <w:r w:rsidRPr="00C23A25">
        <w:rPr>
          <w:sz w:val="20"/>
          <w:szCs w:val="20"/>
        </w:rPr>
        <w:t>(see: Quadri 2010).</w:t>
      </w:r>
    </w:p>
    <w:p w:rsidR="00AA21DB" w:rsidRPr="00AF58B6" w:rsidRDefault="00AA21DB" w:rsidP="00AF58B6">
      <w:pPr>
        <w:pStyle w:val="ListParagraph"/>
        <w:spacing w:line="360" w:lineRule="auto"/>
        <w:jc w:val="both"/>
        <w:rPr>
          <w:sz w:val="20"/>
          <w:szCs w:val="20"/>
        </w:rPr>
      </w:pPr>
    </w:p>
    <w:p w:rsidR="00AA21DB" w:rsidRDefault="00AA21DB" w:rsidP="00AF58B6">
      <w:pPr>
        <w:pStyle w:val="ListParagraph"/>
        <w:spacing w:line="360" w:lineRule="auto"/>
        <w:jc w:val="both"/>
        <w:rPr>
          <w:sz w:val="20"/>
          <w:szCs w:val="20"/>
        </w:rPr>
      </w:pPr>
      <w:r w:rsidRPr="00AF58B6">
        <w:rPr>
          <w:sz w:val="20"/>
          <w:szCs w:val="20"/>
        </w:rPr>
        <w:t xml:space="preserve">Board diversity has been hypothesised to enhance firm performance (Anderson </w:t>
      </w:r>
      <w:r w:rsidRPr="009D1313">
        <w:rPr>
          <w:sz w:val="20"/>
          <w:szCs w:val="20"/>
        </w:rPr>
        <w:t>et al.</w:t>
      </w:r>
      <w:r w:rsidRPr="00AF58B6">
        <w:rPr>
          <w:sz w:val="20"/>
          <w:szCs w:val="20"/>
        </w:rPr>
        <w:t xml:space="preserve"> 2011). Specifically, Cadbury (2000) identified the issues of directors’ educational qualifications, experience and continuous development programmes as being prerequisites for directors’ ability to add value to board deliberations. However, the majority of previous studies on board diversity have tended to focus more on demographic variables (e.g. Kang </w:t>
      </w:r>
      <w:r w:rsidRPr="009D1313">
        <w:rPr>
          <w:sz w:val="20"/>
          <w:szCs w:val="20"/>
        </w:rPr>
        <w:t>et al.</w:t>
      </w:r>
      <w:r w:rsidRPr="00AF58B6">
        <w:rPr>
          <w:sz w:val="20"/>
          <w:szCs w:val="20"/>
        </w:rPr>
        <w:t xml:space="preserve"> 2007; Campbell and Mínguez-</w:t>
      </w:r>
      <w:r w:rsidR="009D1313" w:rsidRPr="00AF58B6">
        <w:rPr>
          <w:sz w:val="20"/>
          <w:szCs w:val="20"/>
        </w:rPr>
        <w:t>Vera</w:t>
      </w:r>
      <w:r w:rsidR="009D1313">
        <w:rPr>
          <w:sz w:val="20"/>
          <w:szCs w:val="20"/>
        </w:rPr>
        <w:t xml:space="preserve"> </w:t>
      </w:r>
      <w:r w:rsidR="009D1313" w:rsidRPr="00AF58B6">
        <w:rPr>
          <w:sz w:val="20"/>
          <w:szCs w:val="20"/>
        </w:rPr>
        <w:t>2008</w:t>
      </w:r>
      <w:r w:rsidRPr="00AF58B6">
        <w:rPr>
          <w:sz w:val="20"/>
          <w:szCs w:val="20"/>
        </w:rPr>
        <w:t xml:space="preserve">). </w:t>
      </w:r>
      <w:r w:rsidR="00E6174C">
        <w:rPr>
          <w:sz w:val="20"/>
          <w:szCs w:val="20"/>
        </w:rPr>
        <w:t xml:space="preserve">Issues related </w:t>
      </w:r>
      <w:r w:rsidRPr="00AF58B6">
        <w:rPr>
          <w:sz w:val="20"/>
          <w:szCs w:val="20"/>
        </w:rPr>
        <w:t xml:space="preserve">to directors’ </w:t>
      </w:r>
      <w:r w:rsidR="00E6174C">
        <w:rPr>
          <w:sz w:val="20"/>
          <w:szCs w:val="20"/>
        </w:rPr>
        <w:t xml:space="preserve">cognitive </w:t>
      </w:r>
      <w:r w:rsidRPr="00AF58B6">
        <w:rPr>
          <w:sz w:val="20"/>
          <w:szCs w:val="20"/>
        </w:rPr>
        <w:t xml:space="preserve">competencies, has not received </w:t>
      </w:r>
      <w:r w:rsidR="00A96B33">
        <w:rPr>
          <w:sz w:val="20"/>
          <w:szCs w:val="20"/>
        </w:rPr>
        <w:t>the desired</w:t>
      </w:r>
      <w:r w:rsidRPr="00AF58B6">
        <w:rPr>
          <w:sz w:val="20"/>
          <w:szCs w:val="20"/>
        </w:rPr>
        <w:t xml:space="preserve"> attention</w:t>
      </w:r>
      <w:r w:rsidR="00A96B33">
        <w:rPr>
          <w:sz w:val="20"/>
          <w:szCs w:val="20"/>
        </w:rPr>
        <w:t xml:space="preserve"> as only</w:t>
      </w:r>
      <w:r w:rsidRPr="00AF58B6">
        <w:rPr>
          <w:sz w:val="20"/>
          <w:szCs w:val="20"/>
        </w:rPr>
        <w:t xml:space="preserve"> few studies hav</w:t>
      </w:r>
      <w:r w:rsidR="00A96B33">
        <w:rPr>
          <w:sz w:val="20"/>
          <w:szCs w:val="20"/>
        </w:rPr>
        <w:t xml:space="preserve">e so far </w:t>
      </w:r>
      <w:r w:rsidRPr="00AF58B6">
        <w:rPr>
          <w:sz w:val="20"/>
          <w:szCs w:val="20"/>
        </w:rPr>
        <w:t xml:space="preserve">been conducted in this area (see: Lückerath-Rovers 2011). This study attempts to fill these gaps and contribute to the growing literature on board diversity. </w:t>
      </w:r>
    </w:p>
    <w:p w:rsidR="009D1313" w:rsidRPr="00AF58B6" w:rsidRDefault="009D1313" w:rsidP="00AF58B6">
      <w:pPr>
        <w:pStyle w:val="ListParagraph"/>
        <w:spacing w:line="360" w:lineRule="auto"/>
        <w:jc w:val="both"/>
        <w:rPr>
          <w:sz w:val="20"/>
          <w:szCs w:val="20"/>
        </w:rPr>
      </w:pPr>
    </w:p>
    <w:p w:rsidR="00AA21DB" w:rsidRDefault="00E6174C" w:rsidP="00AF58B6">
      <w:pPr>
        <w:pStyle w:val="ListParagraph"/>
        <w:spacing w:line="360" w:lineRule="auto"/>
        <w:jc w:val="both"/>
        <w:rPr>
          <w:sz w:val="20"/>
          <w:szCs w:val="20"/>
        </w:rPr>
      </w:pPr>
      <w:r>
        <w:rPr>
          <w:sz w:val="20"/>
          <w:szCs w:val="20"/>
        </w:rPr>
        <w:t xml:space="preserve">Finally, </w:t>
      </w:r>
      <w:r w:rsidR="00AA21DB" w:rsidRPr="00AF58B6">
        <w:rPr>
          <w:sz w:val="20"/>
          <w:szCs w:val="20"/>
        </w:rPr>
        <w:t>Tian and Lau (2001) argued that the external environment within which a firm operates is critical to the effectiveness of the internal governance mechanism. However, it is interesting to note that the mainstream of previous empirical studies have ignored this simple fact, even in developing economies where these environmental factors are of the utmost importance (</w:t>
      </w:r>
      <w:proofErr w:type="spellStart"/>
      <w:r w:rsidR="00AA21DB" w:rsidRPr="00AF58B6">
        <w:rPr>
          <w:sz w:val="20"/>
          <w:szCs w:val="20"/>
        </w:rPr>
        <w:t>Rwegasira</w:t>
      </w:r>
      <w:proofErr w:type="spellEnd"/>
      <w:r w:rsidR="00AA21DB" w:rsidRPr="00AF58B6">
        <w:rPr>
          <w:sz w:val="20"/>
          <w:szCs w:val="20"/>
        </w:rPr>
        <w:t xml:space="preserve"> 2000; </w:t>
      </w:r>
      <w:proofErr w:type="spellStart"/>
      <w:r w:rsidR="00AA21DB" w:rsidRPr="00AF58B6">
        <w:rPr>
          <w:sz w:val="20"/>
          <w:szCs w:val="20"/>
        </w:rPr>
        <w:t>Krambia-Kapardis</w:t>
      </w:r>
      <w:proofErr w:type="spellEnd"/>
      <w:r w:rsidR="00AA21DB" w:rsidRPr="00AF58B6">
        <w:rPr>
          <w:sz w:val="20"/>
          <w:szCs w:val="20"/>
        </w:rPr>
        <w:t xml:space="preserve"> and </w:t>
      </w:r>
      <w:proofErr w:type="spellStart"/>
      <w:r w:rsidR="00AA21DB" w:rsidRPr="00AF58B6">
        <w:rPr>
          <w:sz w:val="20"/>
          <w:szCs w:val="20"/>
        </w:rPr>
        <w:t>Psaros</w:t>
      </w:r>
      <w:proofErr w:type="spellEnd"/>
      <w:r w:rsidR="00AA21DB" w:rsidRPr="00AF58B6">
        <w:rPr>
          <w:sz w:val="20"/>
          <w:szCs w:val="20"/>
        </w:rPr>
        <w:t xml:space="preserve"> 2006; </w:t>
      </w:r>
      <w:proofErr w:type="spellStart"/>
      <w:r w:rsidR="00AA21DB" w:rsidRPr="00AF58B6">
        <w:rPr>
          <w:sz w:val="20"/>
          <w:szCs w:val="20"/>
        </w:rPr>
        <w:t>Klapper</w:t>
      </w:r>
      <w:proofErr w:type="spellEnd"/>
      <w:r w:rsidR="00AA21DB" w:rsidRPr="00AF58B6">
        <w:rPr>
          <w:sz w:val="20"/>
          <w:szCs w:val="20"/>
        </w:rPr>
        <w:t xml:space="preserve"> and Love 2004). This study is thus motivated by the need to take into account the effects of macroeconomic </w:t>
      </w:r>
      <w:r w:rsidR="00023F36">
        <w:rPr>
          <w:sz w:val="20"/>
          <w:szCs w:val="20"/>
        </w:rPr>
        <w:t xml:space="preserve">fundamentals </w:t>
      </w:r>
      <w:r w:rsidR="00AA21DB" w:rsidRPr="00AF58B6">
        <w:rPr>
          <w:sz w:val="20"/>
          <w:szCs w:val="20"/>
        </w:rPr>
        <w:t xml:space="preserve">as </w:t>
      </w:r>
      <w:r w:rsidR="00023F36" w:rsidRPr="00AF58B6">
        <w:rPr>
          <w:sz w:val="20"/>
          <w:szCs w:val="20"/>
        </w:rPr>
        <w:t>mediator</w:t>
      </w:r>
      <w:r w:rsidR="00AA21DB" w:rsidRPr="00AF58B6">
        <w:rPr>
          <w:sz w:val="20"/>
          <w:szCs w:val="20"/>
        </w:rPr>
        <w:t xml:space="preserve"> of the relationship between corporate governance and firm </w:t>
      </w:r>
      <w:r w:rsidR="00CB49C6">
        <w:rPr>
          <w:sz w:val="20"/>
          <w:szCs w:val="20"/>
        </w:rPr>
        <w:t xml:space="preserve">performance </w:t>
      </w:r>
      <w:r w:rsidR="00AA21DB" w:rsidRPr="00AF58B6">
        <w:rPr>
          <w:sz w:val="20"/>
          <w:szCs w:val="20"/>
        </w:rPr>
        <w:t xml:space="preserve">in the context of emerging markets. </w:t>
      </w:r>
    </w:p>
    <w:p w:rsidR="00023F36" w:rsidRPr="00AF58B6" w:rsidRDefault="00023F36" w:rsidP="00AF58B6">
      <w:pPr>
        <w:pStyle w:val="ListParagraph"/>
        <w:spacing w:line="360" w:lineRule="auto"/>
        <w:jc w:val="both"/>
        <w:rPr>
          <w:sz w:val="20"/>
          <w:szCs w:val="20"/>
        </w:rPr>
      </w:pPr>
    </w:p>
    <w:p w:rsidR="00AA21DB" w:rsidRPr="00AF58B6" w:rsidRDefault="00AA21DB" w:rsidP="00AF58B6">
      <w:pPr>
        <w:pStyle w:val="ListParagraph"/>
        <w:spacing w:line="360" w:lineRule="auto"/>
        <w:jc w:val="both"/>
        <w:rPr>
          <w:sz w:val="20"/>
          <w:szCs w:val="20"/>
        </w:rPr>
      </w:pPr>
      <w:r w:rsidRPr="00AF58B6">
        <w:rPr>
          <w:sz w:val="20"/>
          <w:szCs w:val="20"/>
        </w:rPr>
        <w:t xml:space="preserve">The remainder of this paper is structured as follows: the second section deals with the review of relevant literatures and </w:t>
      </w:r>
      <w:r w:rsidR="00BA74B4">
        <w:rPr>
          <w:sz w:val="20"/>
          <w:szCs w:val="20"/>
        </w:rPr>
        <w:t>development hypotheses</w:t>
      </w:r>
      <w:r w:rsidRPr="00AF58B6">
        <w:rPr>
          <w:sz w:val="20"/>
          <w:szCs w:val="20"/>
        </w:rPr>
        <w:t xml:space="preserve">. </w:t>
      </w:r>
      <w:r w:rsidR="001B048B">
        <w:rPr>
          <w:sz w:val="20"/>
          <w:szCs w:val="20"/>
        </w:rPr>
        <w:t>Third s</w:t>
      </w:r>
      <w:r w:rsidR="00BA74B4">
        <w:rPr>
          <w:sz w:val="20"/>
          <w:szCs w:val="20"/>
        </w:rPr>
        <w:t xml:space="preserve">ection covers the </w:t>
      </w:r>
      <w:r w:rsidRPr="00AF58B6">
        <w:rPr>
          <w:sz w:val="20"/>
          <w:szCs w:val="20"/>
        </w:rPr>
        <w:t xml:space="preserve">description of research methodology. </w:t>
      </w:r>
      <w:r w:rsidR="001B048B">
        <w:rPr>
          <w:sz w:val="20"/>
          <w:szCs w:val="20"/>
        </w:rPr>
        <w:t>The fourth s</w:t>
      </w:r>
      <w:r w:rsidR="00BA74B4">
        <w:rPr>
          <w:sz w:val="20"/>
          <w:szCs w:val="20"/>
        </w:rPr>
        <w:t xml:space="preserve">ection </w:t>
      </w:r>
      <w:r w:rsidRPr="00AF58B6">
        <w:rPr>
          <w:sz w:val="20"/>
          <w:szCs w:val="20"/>
        </w:rPr>
        <w:t>was dedicated to analyses</w:t>
      </w:r>
      <w:r w:rsidR="001B048B">
        <w:rPr>
          <w:sz w:val="20"/>
          <w:szCs w:val="20"/>
        </w:rPr>
        <w:t>,</w:t>
      </w:r>
      <w:r w:rsidR="00BA74B4">
        <w:rPr>
          <w:sz w:val="20"/>
          <w:szCs w:val="20"/>
        </w:rPr>
        <w:t xml:space="preserve"> </w:t>
      </w:r>
      <w:r w:rsidRPr="00AF58B6">
        <w:rPr>
          <w:sz w:val="20"/>
          <w:szCs w:val="20"/>
        </w:rPr>
        <w:t xml:space="preserve">discussion of </w:t>
      </w:r>
      <w:r w:rsidR="00BA74B4">
        <w:rPr>
          <w:sz w:val="20"/>
          <w:szCs w:val="20"/>
        </w:rPr>
        <w:t>results</w:t>
      </w:r>
      <w:r w:rsidR="001B048B">
        <w:rPr>
          <w:sz w:val="20"/>
          <w:szCs w:val="20"/>
        </w:rPr>
        <w:t xml:space="preserve"> and theoretical as well </w:t>
      </w:r>
      <w:r w:rsidR="001B048B">
        <w:rPr>
          <w:sz w:val="20"/>
          <w:szCs w:val="20"/>
        </w:rPr>
        <w:lastRenderedPageBreak/>
        <w:t>as the practical implications of the empirical findings</w:t>
      </w:r>
      <w:r w:rsidR="00BA74B4">
        <w:rPr>
          <w:sz w:val="20"/>
          <w:szCs w:val="20"/>
        </w:rPr>
        <w:t xml:space="preserve">. The </w:t>
      </w:r>
      <w:r w:rsidR="001B048B">
        <w:rPr>
          <w:sz w:val="20"/>
          <w:szCs w:val="20"/>
        </w:rPr>
        <w:t xml:space="preserve">fifth </w:t>
      </w:r>
      <w:r w:rsidR="00BA74B4">
        <w:rPr>
          <w:sz w:val="20"/>
          <w:szCs w:val="20"/>
        </w:rPr>
        <w:t>section</w:t>
      </w:r>
      <w:r w:rsidR="001B048B">
        <w:rPr>
          <w:sz w:val="20"/>
          <w:szCs w:val="20"/>
        </w:rPr>
        <w:t>,</w:t>
      </w:r>
      <w:r w:rsidR="00BA74B4">
        <w:rPr>
          <w:sz w:val="20"/>
          <w:szCs w:val="20"/>
        </w:rPr>
        <w:t xml:space="preserve"> </w:t>
      </w:r>
      <w:r w:rsidR="001B048B">
        <w:rPr>
          <w:sz w:val="20"/>
          <w:szCs w:val="20"/>
        </w:rPr>
        <w:t xml:space="preserve">which is the final part, </w:t>
      </w:r>
      <w:r w:rsidR="00BA74B4">
        <w:rPr>
          <w:sz w:val="20"/>
          <w:szCs w:val="20"/>
        </w:rPr>
        <w:t xml:space="preserve">focuses on the conclusion </w:t>
      </w:r>
      <w:r w:rsidR="001B048B">
        <w:rPr>
          <w:sz w:val="20"/>
          <w:szCs w:val="20"/>
        </w:rPr>
        <w:t xml:space="preserve">drawn </w:t>
      </w:r>
      <w:r w:rsidR="00BA74B4">
        <w:rPr>
          <w:sz w:val="20"/>
          <w:szCs w:val="20"/>
        </w:rPr>
        <w:t xml:space="preserve">and offered some </w:t>
      </w:r>
      <w:r w:rsidRPr="00AF58B6">
        <w:rPr>
          <w:sz w:val="20"/>
          <w:szCs w:val="20"/>
        </w:rPr>
        <w:t>direction</w:t>
      </w:r>
      <w:r w:rsidR="00BA74B4">
        <w:rPr>
          <w:sz w:val="20"/>
          <w:szCs w:val="20"/>
        </w:rPr>
        <w:t>s</w:t>
      </w:r>
      <w:r w:rsidRPr="00AF58B6">
        <w:rPr>
          <w:sz w:val="20"/>
          <w:szCs w:val="20"/>
        </w:rPr>
        <w:t xml:space="preserve"> for future research.</w:t>
      </w:r>
    </w:p>
    <w:p w:rsidR="00AA21DB" w:rsidRDefault="00AA21DB" w:rsidP="00AF58B6">
      <w:pPr>
        <w:pStyle w:val="ListParagraph"/>
        <w:spacing w:line="360" w:lineRule="auto"/>
        <w:rPr>
          <w:b/>
          <w:bCs/>
          <w:sz w:val="20"/>
          <w:szCs w:val="20"/>
        </w:rPr>
      </w:pPr>
    </w:p>
    <w:p w:rsidR="00AA21DB" w:rsidRPr="00A3364E" w:rsidRDefault="00A3364E" w:rsidP="008E4D65">
      <w:pPr>
        <w:pStyle w:val="ListParagraph"/>
        <w:spacing w:line="360" w:lineRule="auto"/>
        <w:jc w:val="both"/>
        <w:rPr>
          <w:b/>
          <w:sz w:val="20"/>
          <w:szCs w:val="20"/>
        </w:rPr>
      </w:pPr>
      <w:r>
        <w:rPr>
          <w:b/>
          <w:sz w:val="20"/>
          <w:szCs w:val="20"/>
        </w:rPr>
        <w:t>2</w:t>
      </w:r>
      <w:r>
        <w:rPr>
          <w:b/>
          <w:sz w:val="20"/>
          <w:szCs w:val="20"/>
        </w:rPr>
        <w:tab/>
        <w:t>Related Literatures and Hypotheses</w:t>
      </w:r>
    </w:p>
    <w:p w:rsidR="00AA21DB" w:rsidRPr="00372899" w:rsidRDefault="00AA21DB" w:rsidP="008E4D65">
      <w:pPr>
        <w:pStyle w:val="ListParagraph"/>
        <w:spacing w:line="360" w:lineRule="auto"/>
        <w:jc w:val="both"/>
        <w:rPr>
          <w:sz w:val="20"/>
          <w:szCs w:val="20"/>
        </w:rPr>
      </w:pPr>
      <w:r w:rsidRPr="00372899">
        <w:rPr>
          <w:sz w:val="20"/>
          <w:szCs w:val="20"/>
        </w:rPr>
        <w:t>Corporate governance is said to involve a set of nexus between parties to the firm operations (see: OECD</w:t>
      </w:r>
      <w:r w:rsidR="009D1313">
        <w:rPr>
          <w:sz w:val="20"/>
          <w:szCs w:val="20"/>
        </w:rPr>
        <w:t xml:space="preserve"> 2004:</w:t>
      </w:r>
      <w:r w:rsidRPr="00372899">
        <w:rPr>
          <w:sz w:val="20"/>
          <w:szCs w:val="20"/>
        </w:rPr>
        <w:t xml:space="preserve">11). In practical terms, it encompasses every aspect of running a corporate entity, which amongst other things includes the deployment of both internal and external mechanisms. Of these instruments, the use of internal mechanisms represented by the board of directors stands out and thus well documented in governance literature. Corporate board often regarded as the most significant constituency, plays varieties of intermediary roles that link firms and their owners with those who provide professional management and other ancillary support services (see: Chen et al. 2009; Bozec, 2005). From the </w:t>
      </w:r>
      <w:r w:rsidR="00A3364E" w:rsidRPr="00372899">
        <w:rPr>
          <w:i/>
          <w:sz w:val="20"/>
          <w:szCs w:val="20"/>
        </w:rPr>
        <w:t xml:space="preserve">agency </w:t>
      </w:r>
      <w:r w:rsidRPr="004D0740">
        <w:rPr>
          <w:i/>
          <w:sz w:val="20"/>
          <w:szCs w:val="20"/>
        </w:rPr>
        <w:t>perspective</w:t>
      </w:r>
      <w:r w:rsidRPr="004D0740">
        <w:rPr>
          <w:sz w:val="20"/>
          <w:szCs w:val="20"/>
        </w:rPr>
        <w:t>,</w:t>
      </w:r>
      <w:r w:rsidRPr="00372899">
        <w:rPr>
          <w:sz w:val="20"/>
          <w:szCs w:val="20"/>
        </w:rPr>
        <w:t xml:space="preserve"> the role of board is symbolised by effective monitoring of the executive management team in a way that curtails the perceived moral hazard and residual risk associated with the separation of ownership and control (Weir </w:t>
      </w:r>
      <w:r w:rsidRPr="009D1313">
        <w:rPr>
          <w:sz w:val="20"/>
          <w:szCs w:val="20"/>
        </w:rPr>
        <w:t>et al.</w:t>
      </w:r>
      <w:r w:rsidRPr="00372899">
        <w:rPr>
          <w:sz w:val="20"/>
          <w:szCs w:val="20"/>
        </w:rPr>
        <w:t xml:space="preserve"> 2002). Unlike the agency theory, the </w:t>
      </w:r>
      <w:r w:rsidRPr="00372899">
        <w:rPr>
          <w:i/>
          <w:sz w:val="20"/>
          <w:szCs w:val="20"/>
        </w:rPr>
        <w:t>stewardship theory</w:t>
      </w:r>
      <w:r w:rsidRPr="00372899">
        <w:rPr>
          <w:sz w:val="20"/>
          <w:szCs w:val="20"/>
        </w:rPr>
        <w:t xml:space="preserve"> explores the intrinsic value orientation of the executive management. As corporate stewards, they are seen as individuals who are motivated by non-financial gains such as achievement, growth, self-actualisation and acknowledgment. Here, the role of board, </w:t>
      </w:r>
      <w:r w:rsidRPr="00372899">
        <w:rPr>
          <w:i/>
          <w:sz w:val="20"/>
          <w:szCs w:val="20"/>
        </w:rPr>
        <w:t>ceteris paribus</w:t>
      </w:r>
      <w:r w:rsidRPr="00372899">
        <w:rPr>
          <w:sz w:val="20"/>
          <w:szCs w:val="20"/>
        </w:rPr>
        <w:t xml:space="preserve">, is more of strategy formulation and ratification since information asymmetry issues are said to be limited under stewardship </w:t>
      </w:r>
      <w:r w:rsidR="004D0740" w:rsidRPr="00372899">
        <w:rPr>
          <w:sz w:val="20"/>
          <w:szCs w:val="20"/>
        </w:rPr>
        <w:t>notion</w:t>
      </w:r>
      <w:r w:rsidR="007E0A84">
        <w:rPr>
          <w:sz w:val="20"/>
          <w:szCs w:val="20"/>
        </w:rPr>
        <w:t xml:space="preserve"> (Ahunwan </w:t>
      </w:r>
      <w:r w:rsidRPr="00372899">
        <w:rPr>
          <w:sz w:val="20"/>
          <w:szCs w:val="20"/>
        </w:rPr>
        <w:t>2002)</w:t>
      </w:r>
      <w:r w:rsidR="007E0A84">
        <w:rPr>
          <w:sz w:val="20"/>
          <w:szCs w:val="20"/>
        </w:rPr>
        <w:t>.</w:t>
      </w:r>
      <w:r w:rsidRPr="00372899">
        <w:rPr>
          <w:sz w:val="20"/>
          <w:szCs w:val="20"/>
        </w:rPr>
        <w:t xml:space="preserve"> </w:t>
      </w:r>
    </w:p>
    <w:p w:rsidR="003B67A9" w:rsidRPr="00372899" w:rsidRDefault="003B67A9" w:rsidP="00372899">
      <w:pPr>
        <w:pStyle w:val="ListParagraph"/>
        <w:spacing w:line="360" w:lineRule="auto"/>
        <w:jc w:val="both"/>
        <w:rPr>
          <w:sz w:val="20"/>
          <w:szCs w:val="20"/>
        </w:rPr>
      </w:pPr>
    </w:p>
    <w:p w:rsidR="00AA21DB" w:rsidRPr="00372899" w:rsidRDefault="00AA21DB" w:rsidP="00372899">
      <w:pPr>
        <w:pStyle w:val="ListParagraph"/>
        <w:spacing w:line="360" w:lineRule="auto"/>
        <w:jc w:val="both"/>
        <w:rPr>
          <w:sz w:val="20"/>
          <w:szCs w:val="20"/>
        </w:rPr>
      </w:pPr>
      <w:r w:rsidRPr="00372899">
        <w:rPr>
          <w:i/>
          <w:sz w:val="20"/>
          <w:szCs w:val="20"/>
        </w:rPr>
        <w:t>Stakeholder theory</w:t>
      </w:r>
      <w:r w:rsidRPr="00372899">
        <w:rPr>
          <w:sz w:val="20"/>
          <w:szCs w:val="20"/>
        </w:rPr>
        <w:t xml:space="preserve"> took a rather broader view of corporations as societal entities with arrays of interested parties. As well as the immediate owners, whose funds are being placed at risk, stakeholders include other groups that are at the receiving end of whatever course of action the firm, through the board, decides to pursue (Pfeffer 1994). The roles of corporate board therefore, include balancing proportionately, interests between the numerous stakeholders. Adam and Shavit (2009) had however, stressed the need for distributive justice that gives preference to the shareholders’ interests. In addition to harmonisation of divergence interests, boards are expected to play a “resource-picking “roles which includes scouting for vital information that give the firm a competitive edge over its peers (see: Markarian and Parbonetti 2007). </w:t>
      </w:r>
      <w:r w:rsidRPr="00372899">
        <w:rPr>
          <w:i/>
          <w:sz w:val="20"/>
          <w:szCs w:val="20"/>
        </w:rPr>
        <w:t>Resource dependency theory</w:t>
      </w:r>
      <w:r w:rsidRPr="00372899">
        <w:rPr>
          <w:sz w:val="20"/>
          <w:szCs w:val="20"/>
        </w:rPr>
        <w:t xml:space="preserve"> was first captured in the work of Pfeffer and Salancik (1978) where they argued that a firm’s power in terms of competitiveness is dependent on the amount of resources at its disposal, and that most of this wealth comes from the outside environment. Consistent with the dependency hypothesis, a corporation is seen as an entity whose success and survival hinge on the developments in the environment within which it operates. Corporations thus look to the environment for the sourcing of key resources including human resources, capital and raw materials (see: Pfeffer and Salancik 1978). </w:t>
      </w:r>
    </w:p>
    <w:p w:rsidR="00AA21DB" w:rsidRPr="00372899" w:rsidRDefault="00AA21DB" w:rsidP="00372899">
      <w:pPr>
        <w:pStyle w:val="ListParagraph"/>
        <w:spacing w:line="360" w:lineRule="auto"/>
        <w:rPr>
          <w:sz w:val="20"/>
          <w:szCs w:val="20"/>
        </w:rPr>
      </w:pPr>
    </w:p>
    <w:p w:rsidR="003B67A9" w:rsidRPr="00372899" w:rsidRDefault="00AA21DB" w:rsidP="00372899">
      <w:pPr>
        <w:pStyle w:val="ListParagraph"/>
        <w:spacing w:line="360" w:lineRule="auto"/>
        <w:jc w:val="both"/>
        <w:rPr>
          <w:sz w:val="20"/>
          <w:szCs w:val="20"/>
        </w:rPr>
      </w:pPr>
      <w:r w:rsidRPr="00372899">
        <w:rPr>
          <w:sz w:val="20"/>
          <w:szCs w:val="20"/>
        </w:rPr>
        <w:t>Interestingly, each of these board roles highlighted under the respective theories offered some form of implication for effective firm governance especially from board structure perspective</w:t>
      </w:r>
      <w:r w:rsidR="003B67A9" w:rsidRPr="00372899">
        <w:rPr>
          <w:sz w:val="20"/>
          <w:szCs w:val="20"/>
        </w:rPr>
        <w:t>.</w:t>
      </w:r>
      <w:r w:rsidRPr="00372899">
        <w:rPr>
          <w:sz w:val="20"/>
          <w:szCs w:val="20"/>
        </w:rPr>
        <w:t xml:space="preserve"> Berghe and Levrau (2004) suggested that an investigation of board structure should focus on four dimensions: size, composition, international presence, and cognitive capabilities and diversity. </w:t>
      </w:r>
      <w:r w:rsidR="003B67A9" w:rsidRPr="00372899">
        <w:rPr>
          <w:sz w:val="20"/>
          <w:szCs w:val="20"/>
        </w:rPr>
        <w:t xml:space="preserve">The present study adopted </w:t>
      </w:r>
      <w:r w:rsidR="003B67A9" w:rsidRPr="00372899">
        <w:rPr>
          <w:sz w:val="20"/>
          <w:szCs w:val="20"/>
        </w:rPr>
        <w:lastRenderedPageBreak/>
        <w:t xml:space="preserve">a rather modified version of these dimensions by focusing on the key board features </w:t>
      </w:r>
      <w:r w:rsidR="00372899" w:rsidRPr="00372899">
        <w:rPr>
          <w:sz w:val="20"/>
          <w:szCs w:val="20"/>
        </w:rPr>
        <w:t xml:space="preserve">(i.e. size, composition, CEO duality and diversity) </w:t>
      </w:r>
      <w:r w:rsidR="003B67A9" w:rsidRPr="00372899">
        <w:rPr>
          <w:sz w:val="20"/>
          <w:szCs w:val="20"/>
        </w:rPr>
        <w:t xml:space="preserve">that are consistent with the Nigerian SEC Code recommendations regarding board </w:t>
      </w:r>
      <w:r w:rsidR="00372899" w:rsidRPr="00372899">
        <w:rPr>
          <w:sz w:val="20"/>
          <w:szCs w:val="20"/>
        </w:rPr>
        <w:t>structure</w:t>
      </w:r>
      <w:r w:rsidR="003B67A9" w:rsidRPr="00372899">
        <w:rPr>
          <w:sz w:val="20"/>
          <w:szCs w:val="20"/>
        </w:rPr>
        <w:t>.</w:t>
      </w:r>
    </w:p>
    <w:p w:rsidR="003B67A9" w:rsidRDefault="003B67A9" w:rsidP="003B67A9">
      <w:pPr>
        <w:pStyle w:val="ListParagraph"/>
        <w:jc w:val="both"/>
        <w:rPr>
          <w:sz w:val="16"/>
          <w:szCs w:val="16"/>
        </w:rPr>
      </w:pPr>
    </w:p>
    <w:p w:rsidR="00743150" w:rsidRPr="008E4D65" w:rsidRDefault="00743150" w:rsidP="003417A0">
      <w:pPr>
        <w:pStyle w:val="ListParagraph"/>
        <w:spacing w:line="360" w:lineRule="auto"/>
        <w:rPr>
          <w:b/>
          <w:i/>
          <w:sz w:val="20"/>
          <w:szCs w:val="20"/>
        </w:rPr>
      </w:pPr>
      <w:r w:rsidRPr="00CB3866">
        <w:rPr>
          <w:b/>
          <w:i/>
          <w:sz w:val="20"/>
          <w:szCs w:val="20"/>
        </w:rPr>
        <w:t>Board Size</w:t>
      </w:r>
    </w:p>
    <w:p w:rsidR="002B7543" w:rsidRPr="003417A0" w:rsidRDefault="002B7543" w:rsidP="003417A0">
      <w:pPr>
        <w:pStyle w:val="ListParagraph"/>
        <w:spacing w:line="360" w:lineRule="auto"/>
        <w:jc w:val="both"/>
        <w:rPr>
          <w:sz w:val="20"/>
          <w:szCs w:val="20"/>
        </w:rPr>
      </w:pPr>
      <w:r w:rsidRPr="003417A0">
        <w:rPr>
          <w:sz w:val="20"/>
          <w:szCs w:val="20"/>
        </w:rPr>
        <w:t xml:space="preserve">The size of the Board is regarded as one of the critical elements of board effectiveness and a key determinant of the quality of deliberations that goes on in the so-called black box (Goodstein </w:t>
      </w:r>
      <w:r w:rsidRPr="009D1313">
        <w:rPr>
          <w:sz w:val="20"/>
          <w:szCs w:val="20"/>
        </w:rPr>
        <w:t>et al</w:t>
      </w:r>
      <w:r w:rsidR="009D1313">
        <w:rPr>
          <w:sz w:val="20"/>
          <w:szCs w:val="20"/>
        </w:rPr>
        <w:t>.</w:t>
      </w:r>
      <w:r w:rsidRPr="003417A0">
        <w:rPr>
          <w:i/>
          <w:sz w:val="20"/>
          <w:szCs w:val="20"/>
        </w:rPr>
        <w:t xml:space="preserve"> </w:t>
      </w:r>
      <w:r w:rsidRPr="003417A0">
        <w:rPr>
          <w:sz w:val="20"/>
          <w:szCs w:val="20"/>
        </w:rPr>
        <w:t>1994). I</w:t>
      </w:r>
      <w:r w:rsidR="00743150" w:rsidRPr="003417A0">
        <w:rPr>
          <w:sz w:val="20"/>
          <w:szCs w:val="20"/>
        </w:rPr>
        <w:t>ssue</w:t>
      </w:r>
      <w:r w:rsidRPr="003417A0">
        <w:rPr>
          <w:sz w:val="20"/>
          <w:szCs w:val="20"/>
        </w:rPr>
        <w:t>s</w:t>
      </w:r>
      <w:r w:rsidR="00743150" w:rsidRPr="003417A0">
        <w:rPr>
          <w:sz w:val="20"/>
          <w:szCs w:val="20"/>
        </w:rPr>
        <w:t xml:space="preserve"> of appropriate board size has been </w:t>
      </w:r>
      <w:r w:rsidR="00AB6F80" w:rsidRPr="003417A0">
        <w:rPr>
          <w:sz w:val="20"/>
          <w:szCs w:val="20"/>
        </w:rPr>
        <w:t xml:space="preserve">a </w:t>
      </w:r>
      <w:r w:rsidR="00743150" w:rsidRPr="003417A0">
        <w:rPr>
          <w:sz w:val="20"/>
          <w:szCs w:val="20"/>
        </w:rPr>
        <w:t xml:space="preserve">subject of intense discussion </w:t>
      </w:r>
      <w:r w:rsidR="00AB6F80" w:rsidRPr="003417A0">
        <w:rPr>
          <w:sz w:val="20"/>
          <w:szCs w:val="20"/>
        </w:rPr>
        <w:t xml:space="preserve">with varying degrees of opinions shared when it comes to determining the size of directors that engenders board </w:t>
      </w:r>
      <w:r w:rsidRPr="003417A0">
        <w:rPr>
          <w:sz w:val="20"/>
          <w:szCs w:val="20"/>
        </w:rPr>
        <w:t>performance</w:t>
      </w:r>
      <w:r w:rsidR="00AB6F80" w:rsidRPr="003417A0">
        <w:rPr>
          <w:sz w:val="20"/>
          <w:szCs w:val="20"/>
        </w:rPr>
        <w:t>.</w:t>
      </w:r>
      <w:r w:rsidR="00787DF0" w:rsidRPr="003417A0">
        <w:rPr>
          <w:sz w:val="20"/>
          <w:szCs w:val="20"/>
        </w:rPr>
        <w:t xml:space="preserve"> </w:t>
      </w:r>
      <w:r w:rsidR="00CB3866">
        <w:rPr>
          <w:sz w:val="20"/>
          <w:szCs w:val="20"/>
        </w:rPr>
        <w:t>(</w:t>
      </w:r>
      <w:r w:rsidR="00743150" w:rsidRPr="003417A0">
        <w:rPr>
          <w:sz w:val="20"/>
          <w:szCs w:val="20"/>
        </w:rPr>
        <w:t xml:space="preserve">Yermack 1996). </w:t>
      </w:r>
      <w:r w:rsidRPr="003417A0">
        <w:rPr>
          <w:sz w:val="20"/>
          <w:szCs w:val="20"/>
        </w:rPr>
        <w:t>However, prior discussions have majorly focused on the debate between the relative benefits or otherwise of keeping large and small board membership</w:t>
      </w:r>
      <w:r w:rsidR="00743150" w:rsidRPr="003417A0">
        <w:rPr>
          <w:sz w:val="20"/>
          <w:szCs w:val="20"/>
        </w:rPr>
        <w:t xml:space="preserve"> (Guest 2009; Coles </w:t>
      </w:r>
      <w:r w:rsidR="00743150" w:rsidRPr="009D1313">
        <w:rPr>
          <w:sz w:val="20"/>
          <w:szCs w:val="20"/>
        </w:rPr>
        <w:t>et al.</w:t>
      </w:r>
      <w:r w:rsidR="00743150" w:rsidRPr="003417A0">
        <w:rPr>
          <w:sz w:val="20"/>
          <w:szCs w:val="20"/>
        </w:rPr>
        <w:t xml:space="preserve"> 200</w:t>
      </w:r>
      <w:r w:rsidR="00936FF0">
        <w:rPr>
          <w:sz w:val="20"/>
          <w:szCs w:val="20"/>
        </w:rPr>
        <w:t>8</w:t>
      </w:r>
      <w:r w:rsidR="00743150" w:rsidRPr="003417A0">
        <w:rPr>
          <w:sz w:val="20"/>
          <w:szCs w:val="20"/>
        </w:rPr>
        <w:t xml:space="preserve">). </w:t>
      </w:r>
    </w:p>
    <w:p w:rsidR="002B7543" w:rsidRPr="003417A0" w:rsidRDefault="002B7543" w:rsidP="003417A0">
      <w:pPr>
        <w:pStyle w:val="ListParagraph"/>
        <w:spacing w:line="360" w:lineRule="auto"/>
        <w:jc w:val="both"/>
        <w:rPr>
          <w:sz w:val="20"/>
          <w:szCs w:val="20"/>
        </w:rPr>
      </w:pPr>
    </w:p>
    <w:p w:rsidR="00BB496F" w:rsidRPr="003417A0" w:rsidRDefault="002B7543" w:rsidP="003417A0">
      <w:pPr>
        <w:pStyle w:val="ListParagraph"/>
        <w:spacing w:line="360" w:lineRule="auto"/>
        <w:jc w:val="both"/>
        <w:rPr>
          <w:sz w:val="20"/>
          <w:szCs w:val="20"/>
        </w:rPr>
      </w:pPr>
      <w:r w:rsidRPr="003417A0">
        <w:rPr>
          <w:sz w:val="20"/>
          <w:szCs w:val="20"/>
        </w:rPr>
        <w:t xml:space="preserve">Apart from the </w:t>
      </w:r>
      <w:r w:rsidR="00283111" w:rsidRPr="003417A0">
        <w:rPr>
          <w:sz w:val="20"/>
          <w:szCs w:val="20"/>
        </w:rPr>
        <w:t xml:space="preserve">perceived </w:t>
      </w:r>
      <w:r w:rsidRPr="003417A0">
        <w:rPr>
          <w:sz w:val="20"/>
          <w:szCs w:val="20"/>
        </w:rPr>
        <w:t xml:space="preserve">inherent risk of CEO dominance and entrenchment, proponents of large board size have relied on the availability of pool of knowledge, directors’ independence and external network connections which enhance firms’ access to mobilisation of critical resources and </w:t>
      </w:r>
      <w:r w:rsidR="00283111" w:rsidRPr="003417A0">
        <w:rPr>
          <w:sz w:val="20"/>
          <w:szCs w:val="20"/>
        </w:rPr>
        <w:t xml:space="preserve">vital industry </w:t>
      </w:r>
      <w:r w:rsidRPr="003417A0">
        <w:rPr>
          <w:sz w:val="20"/>
          <w:szCs w:val="20"/>
        </w:rPr>
        <w:t xml:space="preserve">information as some of the key benefits derived from large Board size </w:t>
      </w:r>
      <w:r w:rsidR="00283111" w:rsidRPr="003417A0">
        <w:rPr>
          <w:sz w:val="20"/>
          <w:szCs w:val="20"/>
        </w:rPr>
        <w:t xml:space="preserve">(Larmou and Vafeas 2010; Castro </w:t>
      </w:r>
      <w:r w:rsidR="00283111" w:rsidRPr="00A838EB">
        <w:rPr>
          <w:sz w:val="20"/>
          <w:szCs w:val="20"/>
        </w:rPr>
        <w:t>et al</w:t>
      </w:r>
      <w:r w:rsidR="00A838EB">
        <w:rPr>
          <w:sz w:val="20"/>
          <w:szCs w:val="20"/>
        </w:rPr>
        <w:t>.</w:t>
      </w:r>
      <w:r w:rsidR="00283111" w:rsidRPr="003417A0">
        <w:rPr>
          <w:i/>
          <w:sz w:val="20"/>
          <w:szCs w:val="20"/>
        </w:rPr>
        <w:t xml:space="preserve"> </w:t>
      </w:r>
      <w:r w:rsidR="00283111" w:rsidRPr="003417A0">
        <w:rPr>
          <w:sz w:val="20"/>
          <w:szCs w:val="20"/>
        </w:rPr>
        <w:t xml:space="preserve">2009; Kang </w:t>
      </w:r>
      <w:r w:rsidR="00283111" w:rsidRPr="00A838EB">
        <w:rPr>
          <w:sz w:val="20"/>
          <w:szCs w:val="20"/>
        </w:rPr>
        <w:t>et al</w:t>
      </w:r>
      <w:r w:rsidR="00A838EB">
        <w:rPr>
          <w:sz w:val="20"/>
          <w:szCs w:val="20"/>
        </w:rPr>
        <w:t>.</w:t>
      </w:r>
      <w:r w:rsidR="00283111" w:rsidRPr="003417A0">
        <w:rPr>
          <w:i/>
          <w:sz w:val="20"/>
          <w:szCs w:val="20"/>
        </w:rPr>
        <w:t xml:space="preserve"> </w:t>
      </w:r>
      <w:r w:rsidR="00283111" w:rsidRPr="003417A0">
        <w:rPr>
          <w:sz w:val="20"/>
          <w:szCs w:val="20"/>
        </w:rPr>
        <w:t xml:space="preserve">2007). Jackling and </w:t>
      </w:r>
      <w:proofErr w:type="spellStart"/>
      <w:r w:rsidR="00283111" w:rsidRPr="003417A0">
        <w:rPr>
          <w:sz w:val="20"/>
          <w:szCs w:val="20"/>
        </w:rPr>
        <w:t>Johl</w:t>
      </w:r>
      <w:proofErr w:type="spellEnd"/>
      <w:r w:rsidR="00283111" w:rsidRPr="003417A0">
        <w:rPr>
          <w:sz w:val="20"/>
          <w:szCs w:val="20"/>
        </w:rPr>
        <w:t xml:space="preserve"> (2009) noted </w:t>
      </w:r>
      <w:r w:rsidR="00BB496F" w:rsidRPr="003417A0">
        <w:rPr>
          <w:sz w:val="20"/>
          <w:szCs w:val="20"/>
        </w:rPr>
        <w:t xml:space="preserve">that </w:t>
      </w:r>
      <w:r w:rsidR="00283111" w:rsidRPr="003417A0">
        <w:rPr>
          <w:sz w:val="20"/>
          <w:szCs w:val="20"/>
        </w:rPr>
        <w:t>due to the high degree of heterogeneity among the members</w:t>
      </w:r>
      <w:r w:rsidR="00BB496F" w:rsidRPr="003417A0">
        <w:rPr>
          <w:sz w:val="20"/>
          <w:szCs w:val="20"/>
        </w:rPr>
        <w:t>, large board sizes are backed by the presence of directors with in-depth cognitive capabilities</w:t>
      </w:r>
      <w:r w:rsidR="00283111" w:rsidRPr="003417A0">
        <w:rPr>
          <w:sz w:val="20"/>
          <w:szCs w:val="20"/>
        </w:rPr>
        <w:t xml:space="preserve"> that enhances the quality of board decisions. Coles </w:t>
      </w:r>
      <w:r w:rsidR="00283111" w:rsidRPr="00A838EB">
        <w:rPr>
          <w:sz w:val="20"/>
          <w:szCs w:val="20"/>
        </w:rPr>
        <w:t>et al.</w:t>
      </w:r>
      <w:r w:rsidR="00283111" w:rsidRPr="003417A0">
        <w:rPr>
          <w:i/>
          <w:sz w:val="20"/>
          <w:szCs w:val="20"/>
        </w:rPr>
        <w:t xml:space="preserve"> </w:t>
      </w:r>
      <w:r w:rsidR="00283111" w:rsidRPr="003417A0">
        <w:rPr>
          <w:sz w:val="20"/>
          <w:szCs w:val="20"/>
        </w:rPr>
        <w:t xml:space="preserve">(2008) observed that large boards composed of a higher proportion of non-executives are more vigilant and effective in carrying out the board counselling role. </w:t>
      </w:r>
    </w:p>
    <w:p w:rsidR="00BB496F" w:rsidRPr="003417A0" w:rsidRDefault="00BB496F" w:rsidP="003417A0">
      <w:pPr>
        <w:pStyle w:val="ListParagraph"/>
        <w:spacing w:line="360" w:lineRule="auto"/>
        <w:jc w:val="both"/>
        <w:rPr>
          <w:sz w:val="20"/>
          <w:szCs w:val="20"/>
        </w:rPr>
      </w:pPr>
    </w:p>
    <w:p w:rsidR="00743150" w:rsidRPr="00CB3866" w:rsidRDefault="00433F59" w:rsidP="00CB3866">
      <w:pPr>
        <w:pStyle w:val="ListParagraph"/>
        <w:spacing w:line="360" w:lineRule="auto"/>
        <w:jc w:val="both"/>
        <w:rPr>
          <w:sz w:val="20"/>
          <w:szCs w:val="20"/>
        </w:rPr>
      </w:pPr>
      <w:r>
        <w:rPr>
          <w:sz w:val="20"/>
          <w:szCs w:val="20"/>
        </w:rPr>
        <w:t>C</w:t>
      </w:r>
      <w:r w:rsidR="00283111" w:rsidRPr="00CB3866">
        <w:rPr>
          <w:sz w:val="20"/>
          <w:szCs w:val="20"/>
        </w:rPr>
        <w:t>ritics who favoured small Board size have centred their arguments on the agency implication of such a structure.</w:t>
      </w:r>
      <w:r w:rsidR="006F0B98" w:rsidRPr="00CB3866">
        <w:rPr>
          <w:sz w:val="20"/>
          <w:szCs w:val="20"/>
        </w:rPr>
        <w:t xml:space="preserve"> </w:t>
      </w:r>
      <w:r w:rsidR="00CB3866" w:rsidRPr="00CB3866">
        <w:rPr>
          <w:sz w:val="20"/>
          <w:szCs w:val="20"/>
        </w:rPr>
        <w:t xml:space="preserve">Yawson (2006) observed that </w:t>
      </w:r>
      <w:r w:rsidR="006F0B98" w:rsidRPr="00CB3866">
        <w:rPr>
          <w:sz w:val="20"/>
          <w:szCs w:val="20"/>
        </w:rPr>
        <w:t xml:space="preserve">excessively large </w:t>
      </w:r>
      <w:r w:rsidR="00CB3866" w:rsidRPr="00CB3866">
        <w:rPr>
          <w:sz w:val="20"/>
          <w:szCs w:val="20"/>
        </w:rPr>
        <w:t xml:space="preserve">board </w:t>
      </w:r>
      <w:r w:rsidR="006F0B98" w:rsidRPr="00CB3866">
        <w:rPr>
          <w:sz w:val="20"/>
          <w:szCs w:val="20"/>
        </w:rPr>
        <w:t xml:space="preserve">membership posed monitoring challenges </w:t>
      </w:r>
      <w:r w:rsidR="00CB3866" w:rsidRPr="00CB3866">
        <w:rPr>
          <w:sz w:val="20"/>
          <w:szCs w:val="20"/>
        </w:rPr>
        <w:t>and the tendency to become more</w:t>
      </w:r>
      <w:r w:rsidR="006F0B98" w:rsidRPr="00CB3866">
        <w:rPr>
          <w:sz w:val="20"/>
          <w:szCs w:val="20"/>
        </w:rPr>
        <w:t xml:space="preserve"> vulnerable to managerial entrenchment</w:t>
      </w:r>
      <w:r w:rsidR="00CB3866" w:rsidRPr="00CB3866">
        <w:rPr>
          <w:sz w:val="20"/>
          <w:szCs w:val="20"/>
        </w:rPr>
        <w:t>. S</w:t>
      </w:r>
      <w:r w:rsidR="006F0B98" w:rsidRPr="00CB3866">
        <w:rPr>
          <w:sz w:val="20"/>
          <w:szCs w:val="20"/>
        </w:rPr>
        <w:t>mall boards are more effective at monitoring the CEO, and are more likely to invoke appropriate discipline when necessary, especially in the face of a run of poor firm performance</w:t>
      </w:r>
      <w:r w:rsidR="00CB3866" w:rsidRPr="00CB3866">
        <w:rPr>
          <w:sz w:val="20"/>
          <w:szCs w:val="20"/>
        </w:rPr>
        <w:t xml:space="preserve"> (Yermack 1996; Lipton and Lorsch 1992). </w:t>
      </w:r>
      <w:r w:rsidR="006F0B98" w:rsidRPr="00CB3866">
        <w:rPr>
          <w:sz w:val="20"/>
          <w:szCs w:val="20"/>
        </w:rPr>
        <w:t xml:space="preserve">Proponents of moderate board sizes have advanced the problem of boardroom coordination and communication gap </w:t>
      </w:r>
      <w:r w:rsidR="006D06EF">
        <w:rPr>
          <w:sz w:val="20"/>
          <w:szCs w:val="20"/>
        </w:rPr>
        <w:t xml:space="preserve">due to over crowdedness </w:t>
      </w:r>
      <w:r w:rsidR="006F0B98" w:rsidRPr="00CB3866">
        <w:rPr>
          <w:sz w:val="20"/>
          <w:szCs w:val="20"/>
        </w:rPr>
        <w:t>as part of the constraints associated with large boards for which small boards enjoy a relatively comparative advantage (</w:t>
      </w:r>
      <w:proofErr w:type="spellStart"/>
      <w:r w:rsidR="006F0B98" w:rsidRPr="00CB3866">
        <w:rPr>
          <w:sz w:val="20"/>
          <w:szCs w:val="20"/>
        </w:rPr>
        <w:t>Muth</w:t>
      </w:r>
      <w:proofErr w:type="spellEnd"/>
      <w:r w:rsidR="008F135A" w:rsidRPr="00CB3866">
        <w:rPr>
          <w:sz w:val="20"/>
          <w:szCs w:val="20"/>
        </w:rPr>
        <w:t xml:space="preserve"> and Donaldson</w:t>
      </w:r>
      <w:r w:rsidR="006F0B98" w:rsidRPr="00CB3866">
        <w:rPr>
          <w:sz w:val="20"/>
          <w:szCs w:val="20"/>
        </w:rPr>
        <w:t xml:space="preserve"> 1998). </w:t>
      </w:r>
      <w:r w:rsidR="00094D7A">
        <w:rPr>
          <w:sz w:val="20"/>
          <w:szCs w:val="20"/>
        </w:rPr>
        <w:t xml:space="preserve">Pacini et al. (2008) </w:t>
      </w:r>
      <w:r w:rsidR="00743150" w:rsidRPr="00CB3866">
        <w:rPr>
          <w:sz w:val="20"/>
          <w:szCs w:val="20"/>
        </w:rPr>
        <w:t xml:space="preserve">argued that group think-tank syndrome and potential conflict resulting from the emergence of splinter groups within boards are likely to reduce </w:t>
      </w:r>
      <w:r w:rsidR="008A0ED2" w:rsidRPr="00CB3866">
        <w:rPr>
          <w:sz w:val="20"/>
          <w:szCs w:val="20"/>
        </w:rPr>
        <w:t>the</w:t>
      </w:r>
      <w:r w:rsidR="00743150" w:rsidRPr="00CB3866">
        <w:rPr>
          <w:sz w:val="20"/>
          <w:szCs w:val="20"/>
        </w:rPr>
        <w:t xml:space="preserve"> effectiveness</w:t>
      </w:r>
      <w:r w:rsidR="008A0ED2" w:rsidRPr="00CB3866">
        <w:rPr>
          <w:sz w:val="20"/>
          <w:szCs w:val="20"/>
        </w:rPr>
        <w:t xml:space="preserve"> of large board sizes</w:t>
      </w:r>
      <w:r w:rsidR="00743150" w:rsidRPr="00CB3866">
        <w:rPr>
          <w:sz w:val="20"/>
          <w:szCs w:val="20"/>
        </w:rPr>
        <w:t xml:space="preserve">. </w:t>
      </w:r>
      <w:r w:rsidR="00094D7A">
        <w:rPr>
          <w:sz w:val="20"/>
          <w:szCs w:val="20"/>
        </w:rPr>
        <w:t xml:space="preserve">Similarly, </w:t>
      </w:r>
      <w:proofErr w:type="spellStart"/>
      <w:r w:rsidR="008A0ED2" w:rsidRPr="00CB3866">
        <w:rPr>
          <w:sz w:val="20"/>
          <w:szCs w:val="20"/>
        </w:rPr>
        <w:t>Hermalin</w:t>
      </w:r>
      <w:proofErr w:type="spellEnd"/>
      <w:r w:rsidR="008A0ED2" w:rsidRPr="00CB3866">
        <w:rPr>
          <w:sz w:val="20"/>
          <w:szCs w:val="20"/>
        </w:rPr>
        <w:t xml:space="preserve"> and </w:t>
      </w:r>
      <w:proofErr w:type="spellStart"/>
      <w:r w:rsidR="008A0ED2" w:rsidRPr="00CB3866">
        <w:rPr>
          <w:sz w:val="20"/>
          <w:szCs w:val="20"/>
        </w:rPr>
        <w:t>Weisbach</w:t>
      </w:r>
      <w:proofErr w:type="spellEnd"/>
      <w:r w:rsidR="008A0ED2" w:rsidRPr="00CB3866">
        <w:rPr>
          <w:sz w:val="20"/>
          <w:szCs w:val="20"/>
        </w:rPr>
        <w:t xml:space="preserve"> (2003) established that </w:t>
      </w:r>
      <w:r w:rsidR="00743150" w:rsidRPr="00CB3866">
        <w:rPr>
          <w:sz w:val="20"/>
          <w:szCs w:val="20"/>
        </w:rPr>
        <w:t xml:space="preserve">as the size of the board grows, its tendency to move from being an active organ to a passive element becomes even greater. The issue of social loafing has also surfaced in a large portion of the literature as a negative consequence of a relatively large board size. Bozec (2005) noted that there is a tendency for certain members to act as box tickers and not necessarily contributing anything of value to board discourse. </w:t>
      </w:r>
    </w:p>
    <w:p w:rsidR="006F0B98" w:rsidRPr="003417A0" w:rsidRDefault="006F0B98" w:rsidP="003417A0">
      <w:pPr>
        <w:pStyle w:val="ListParagraph"/>
        <w:spacing w:line="360" w:lineRule="auto"/>
        <w:jc w:val="both"/>
        <w:rPr>
          <w:sz w:val="20"/>
          <w:szCs w:val="20"/>
        </w:rPr>
      </w:pPr>
    </w:p>
    <w:p w:rsidR="00370DDA" w:rsidRDefault="00F42CEF" w:rsidP="0058495C">
      <w:pPr>
        <w:pStyle w:val="ListParagraph"/>
        <w:spacing w:line="360" w:lineRule="auto"/>
        <w:jc w:val="both"/>
        <w:rPr>
          <w:sz w:val="20"/>
          <w:szCs w:val="20"/>
        </w:rPr>
      </w:pPr>
      <w:r>
        <w:rPr>
          <w:sz w:val="20"/>
          <w:szCs w:val="20"/>
        </w:rPr>
        <w:t>S</w:t>
      </w:r>
      <w:r w:rsidR="007632DD" w:rsidRPr="003417A0">
        <w:rPr>
          <w:sz w:val="20"/>
          <w:szCs w:val="20"/>
        </w:rPr>
        <w:t xml:space="preserve">everal </w:t>
      </w:r>
      <w:r w:rsidR="008A0ED2" w:rsidRPr="003417A0">
        <w:rPr>
          <w:sz w:val="20"/>
          <w:szCs w:val="20"/>
        </w:rPr>
        <w:t xml:space="preserve">studies </w:t>
      </w:r>
      <w:r w:rsidR="007632DD" w:rsidRPr="003417A0">
        <w:rPr>
          <w:sz w:val="20"/>
          <w:szCs w:val="20"/>
        </w:rPr>
        <w:t xml:space="preserve">have been conducted to determine the empirical validity of the idea of an optimal board size and its effects on firm performance and market value. Significant numbers of these studies have yielded inconsistent outcomes ranging from positive findings (e.g. Tanna </w:t>
      </w:r>
      <w:r w:rsidR="007632DD" w:rsidRPr="00A838EB">
        <w:rPr>
          <w:sz w:val="20"/>
          <w:szCs w:val="20"/>
        </w:rPr>
        <w:t>et al.</w:t>
      </w:r>
      <w:r w:rsidR="007632DD" w:rsidRPr="003417A0">
        <w:rPr>
          <w:i/>
          <w:sz w:val="20"/>
          <w:szCs w:val="20"/>
        </w:rPr>
        <w:t xml:space="preserve"> </w:t>
      </w:r>
      <w:r w:rsidR="00C70CEA">
        <w:rPr>
          <w:sz w:val="20"/>
          <w:szCs w:val="20"/>
        </w:rPr>
        <w:t>2011</w:t>
      </w:r>
      <w:r w:rsidR="007632DD" w:rsidRPr="003417A0">
        <w:rPr>
          <w:sz w:val="20"/>
          <w:szCs w:val="20"/>
        </w:rPr>
        <w:t xml:space="preserve">) to negative </w:t>
      </w:r>
      <w:r w:rsidR="007632DD" w:rsidRPr="003417A0">
        <w:rPr>
          <w:sz w:val="20"/>
          <w:szCs w:val="20"/>
        </w:rPr>
        <w:lastRenderedPageBreak/>
        <w:t xml:space="preserve">results (e.g. </w:t>
      </w:r>
      <w:proofErr w:type="spellStart"/>
      <w:r w:rsidR="007632DD" w:rsidRPr="003417A0">
        <w:rPr>
          <w:sz w:val="20"/>
          <w:szCs w:val="20"/>
        </w:rPr>
        <w:t>Bennedsen</w:t>
      </w:r>
      <w:proofErr w:type="spellEnd"/>
      <w:r w:rsidR="007632DD" w:rsidRPr="003417A0">
        <w:rPr>
          <w:sz w:val="20"/>
          <w:szCs w:val="20"/>
        </w:rPr>
        <w:t xml:space="preserve"> </w:t>
      </w:r>
      <w:r w:rsidR="007632DD" w:rsidRPr="00A838EB">
        <w:rPr>
          <w:sz w:val="20"/>
          <w:szCs w:val="20"/>
        </w:rPr>
        <w:t>et al.</w:t>
      </w:r>
      <w:r w:rsidR="007632DD" w:rsidRPr="003417A0">
        <w:rPr>
          <w:i/>
          <w:sz w:val="20"/>
          <w:szCs w:val="20"/>
        </w:rPr>
        <w:t xml:space="preserve"> </w:t>
      </w:r>
      <w:r w:rsidR="007632DD" w:rsidRPr="003417A0">
        <w:rPr>
          <w:sz w:val="20"/>
          <w:szCs w:val="20"/>
        </w:rPr>
        <w:t xml:space="preserve">2008; </w:t>
      </w:r>
      <w:proofErr w:type="spellStart"/>
      <w:r w:rsidR="007632DD" w:rsidRPr="003417A0">
        <w:rPr>
          <w:sz w:val="20"/>
          <w:szCs w:val="20"/>
        </w:rPr>
        <w:t>Mak</w:t>
      </w:r>
      <w:proofErr w:type="spellEnd"/>
      <w:r w:rsidR="007632DD" w:rsidRPr="003417A0">
        <w:rPr>
          <w:sz w:val="20"/>
          <w:szCs w:val="20"/>
        </w:rPr>
        <w:t xml:space="preserve"> and </w:t>
      </w:r>
      <w:proofErr w:type="spellStart"/>
      <w:r w:rsidR="007632DD" w:rsidRPr="003417A0">
        <w:rPr>
          <w:sz w:val="20"/>
          <w:szCs w:val="20"/>
        </w:rPr>
        <w:t>Kusnadi</w:t>
      </w:r>
      <w:proofErr w:type="spellEnd"/>
      <w:r w:rsidR="007632DD" w:rsidRPr="003417A0">
        <w:rPr>
          <w:sz w:val="20"/>
          <w:szCs w:val="20"/>
        </w:rPr>
        <w:t xml:space="preserve"> 2005). </w:t>
      </w:r>
      <w:r>
        <w:rPr>
          <w:sz w:val="20"/>
          <w:szCs w:val="20"/>
        </w:rPr>
        <w:t>However</w:t>
      </w:r>
      <w:r w:rsidR="007632DD" w:rsidRPr="003417A0">
        <w:rPr>
          <w:sz w:val="20"/>
          <w:szCs w:val="20"/>
        </w:rPr>
        <w:t>, unlike other board characteristics, significant numbers of previous studies on board size overwhelmingly pointed to a negative relationship with firm performance measures (Guest 2009). Consistent with the pattern of these previous empirical outcomes,</w:t>
      </w:r>
      <w:r w:rsidR="003E426C">
        <w:rPr>
          <w:sz w:val="20"/>
          <w:szCs w:val="20"/>
        </w:rPr>
        <w:t xml:space="preserve"> </w:t>
      </w:r>
      <w:r w:rsidR="000402CA" w:rsidRPr="00651340">
        <w:rPr>
          <w:sz w:val="20"/>
          <w:szCs w:val="20"/>
        </w:rPr>
        <w:t>this study hypothesises</w:t>
      </w:r>
      <w:r w:rsidR="003E426C" w:rsidRPr="00651340">
        <w:rPr>
          <w:sz w:val="20"/>
          <w:szCs w:val="20"/>
        </w:rPr>
        <w:t xml:space="preserve"> </w:t>
      </w:r>
      <w:r w:rsidR="003E426C">
        <w:rPr>
          <w:sz w:val="20"/>
          <w:szCs w:val="20"/>
        </w:rPr>
        <w:t>that;</w:t>
      </w:r>
    </w:p>
    <w:p w:rsidR="003E426C" w:rsidRPr="003417A0" w:rsidRDefault="003E426C" w:rsidP="0058495C">
      <w:pPr>
        <w:pStyle w:val="ListParagraph"/>
        <w:spacing w:line="360" w:lineRule="auto"/>
        <w:jc w:val="both"/>
        <w:rPr>
          <w:i/>
          <w:sz w:val="20"/>
          <w:szCs w:val="20"/>
        </w:rPr>
      </w:pPr>
    </w:p>
    <w:p w:rsidR="007632DD" w:rsidRPr="003417A0" w:rsidRDefault="007632DD" w:rsidP="003417A0">
      <w:pPr>
        <w:pStyle w:val="ListParagraph"/>
        <w:spacing w:line="360" w:lineRule="auto"/>
        <w:ind w:firstLine="720"/>
        <w:rPr>
          <w:i/>
          <w:sz w:val="20"/>
          <w:szCs w:val="20"/>
        </w:rPr>
      </w:pPr>
      <w:r w:rsidRPr="003417A0">
        <w:rPr>
          <w:i/>
          <w:sz w:val="20"/>
          <w:szCs w:val="20"/>
        </w:rPr>
        <w:t>Hypothesis 1:</w:t>
      </w:r>
    </w:p>
    <w:p w:rsidR="007632DD" w:rsidRPr="003417A0" w:rsidRDefault="007632DD" w:rsidP="003417A0">
      <w:pPr>
        <w:pStyle w:val="ListParagraph"/>
        <w:spacing w:line="360" w:lineRule="auto"/>
        <w:ind w:left="1440"/>
        <w:jc w:val="both"/>
        <w:rPr>
          <w:i/>
          <w:sz w:val="20"/>
          <w:szCs w:val="20"/>
        </w:rPr>
      </w:pPr>
      <w:r w:rsidRPr="003417A0">
        <w:rPr>
          <w:i/>
          <w:sz w:val="20"/>
          <w:szCs w:val="20"/>
        </w:rPr>
        <w:t>H</w:t>
      </w:r>
      <w:r w:rsidRPr="003417A0">
        <w:rPr>
          <w:rFonts w:ascii="Calibri" w:hAnsi="Calibri"/>
          <w:i/>
          <w:sz w:val="20"/>
          <w:szCs w:val="20"/>
        </w:rPr>
        <w:t>ₒ</w:t>
      </w:r>
      <w:r w:rsidRPr="003417A0">
        <w:rPr>
          <w:i/>
          <w:sz w:val="20"/>
          <w:szCs w:val="20"/>
        </w:rPr>
        <w:t xml:space="preserve">: Board size, irrespective of the measurement technique used is negatively associated with firm performance in Nigeria. </w:t>
      </w:r>
    </w:p>
    <w:p w:rsidR="007632DD" w:rsidRDefault="007632DD" w:rsidP="007632DD">
      <w:pPr>
        <w:spacing w:line="360" w:lineRule="auto"/>
        <w:ind w:left="720"/>
        <w:jc w:val="both"/>
      </w:pPr>
    </w:p>
    <w:p w:rsidR="009033DA" w:rsidRPr="006D092C" w:rsidRDefault="009033DA" w:rsidP="006D092C">
      <w:pPr>
        <w:pStyle w:val="ListParagraph"/>
        <w:spacing w:line="360" w:lineRule="auto"/>
        <w:rPr>
          <w:b/>
          <w:sz w:val="20"/>
          <w:szCs w:val="20"/>
        </w:rPr>
      </w:pPr>
      <w:r w:rsidRPr="006D092C">
        <w:rPr>
          <w:b/>
          <w:sz w:val="20"/>
          <w:szCs w:val="20"/>
        </w:rPr>
        <w:t>Board Independence</w:t>
      </w:r>
    </w:p>
    <w:p w:rsidR="00FB27DE" w:rsidRDefault="009033DA" w:rsidP="00336039">
      <w:pPr>
        <w:pStyle w:val="ListParagraph"/>
        <w:spacing w:line="360" w:lineRule="auto"/>
        <w:jc w:val="both"/>
        <w:rPr>
          <w:sz w:val="20"/>
          <w:szCs w:val="20"/>
        </w:rPr>
      </w:pPr>
      <w:r w:rsidRPr="00565566">
        <w:rPr>
          <w:sz w:val="20"/>
          <w:szCs w:val="20"/>
        </w:rPr>
        <w:t>When</w:t>
      </w:r>
      <w:r w:rsidR="00E62BEF" w:rsidRPr="00565566">
        <w:rPr>
          <w:sz w:val="20"/>
          <w:szCs w:val="20"/>
        </w:rPr>
        <w:t>ever</w:t>
      </w:r>
      <w:r w:rsidRPr="00565566">
        <w:rPr>
          <w:sz w:val="20"/>
          <w:szCs w:val="20"/>
        </w:rPr>
        <w:t xml:space="preserve"> it comes to gauging the level of board independence, the composition of directors is often used as a proxy (see: Chen </w:t>
      </w:r>
      <w:r w:rsidR="00A838EB">
        <w:rPr>
          <w:sz w:val="20"/>
          <w:szCs w:val="20"/>
        </w:rPr>
        <w:t xml:space="preserve">et al. </w:t>
      </w:r>
      <w:r w:rsidRPr="00565566">
        <w:rPr>
          <w:sz w:val="20"/>
          <w:szCs w:val="20"/>
        </w:rPr>
        <w:t xml:space="preserve">2009). For the purpose of this study, board composition is defined in terms of the proportion of </w:t>
      </w:r>
      <w:r w:rsidR="00A50BEA" w:rsidRPr="00565566">
        <w:rPr>
          <w:sz w:val="20"/>
          <w:szCs w:val="20"/>
        </w:rPr>
        <w:t>executives</w:t>
      </w:r>
      <w:r w:rsidRPr="00565566">
        <w:rPr>
          <w:sz w:val="20"/>
          <w:szCs w:val="20"/>
        </w:rPr>
        <w:t xml:space="preserve"> and </w:t>
      </w:r>
      <w:r w:rsidR="00A50BEA" w:rsidRPr="00565566">
        <w:rPr>
          <w:sz w:val="20"/>
          <w:szCs w:val="20"/>
        </w:rPr>
        <w:t>non</w:t>
      </w:r>
      <w:r w:rsidR="004B123C">
        <w:rPr>
          <w:sz w:val="20"/>
          <w:szCs w:val="20"/>
        </w:rPr>
        <w:t>-</w:t>
      </w:r>
      <w:r w:rsidR="00A50BEA" w:rsidRPr="00565566">
        <w:rPr>
          <w:sz w:val="20"/>
          <w:szCs w:val="20"/>
        </w:rPr>
        <w:t xml:space="preserve">executives </w:t>
      </w:r>
      <w:r w:rsidRPr="00565566">
        <w:rPr>
          <w:sz w:val="20"/>
          <w:szCs w:val="20"/>
        </w:rPr>
        <w:t xml:space="preserve">directors who make up the board. </w:t>
      </w:r>
      <w:r w:rsidR="005F5557" w:rsidRPr="00565566">
        <w:rPr>
          <w:sz w:val="20"/>
          <w:szCs w:val="20"/>
        </w:rPr>
        <w:t xml:space="preserve">Hermalin and Weisbach (1988) noted that the extent to which boards of directors are able to exercise legitimate power depends on their composition. Because insider directors are in possession of valuable corporate information and the non-executives bring to bear their expertise and objectivity, having an appropriate mixture of both categories of directors </w:t>
      </w:r>
      <w:r w:rsidR="00565566" w:rsidRPr="00565566">
        <w:rPr>
          <w:sz w:val="20"/>
          <w:szCs w:val="20"/>
        </w:rPr>
        <w:t>is strategic to firm</w:t>
      </w:r>
      <w:r w:rsidR="005F5557" w:rsidRPr="00565566">
        <w:rPr>
          <w:sz w:val="20"/>
          <w:szCs w:val="20"/>
        </w:rPr>
        <w:t xml:space="preserve"> governance (Byrd and Hickman</w:t>
      </w:r>
      <w:r w:rsidR="00565566" w:rsidRPr="00565566">
        <w:rPr>
          <w:sz w:val="20"/>
          <w:szCs w:val="20"/>
        </w:rPr>
        <w:t xml:space="preserve"> 1992</w:t>
      </w:r>
      <w:r w:rsidR="005F5557" w:rsidRPr="00565566">
        <w:rPr>
          <w:sz w:val="20"/>
          <w:szCs w:val="20"/>
        </w:rPr>
        <w:t>).</w:t>
      </w:r>
      <w:r w:rsidR="00565566" w:rsidRPr="00565566">
        <w:rPr>
          <w:sz w:val="20"/>
          <w:szCs w:val="20"/>
        </w:rPr>
        <w:t xml:space="preserve"> </w:t>
      </w:r>
      <w:r w:rsidR="005F5557" w:rsidRPr="00565566">
        <w:rPr>
          <w:sz w:val="20"/>
          <w:szCs w:val="20"/>
        </w:rPr>
        <w:t xml:space="preserve">Within the </w:t>
      </w:r>
      <w:r w:rsidR="00565566" w:rsidRPr="00565566">
        <w:rPr>
          <w:sz w:val="20"/>
          <w:szCs w:val="20"/>
        </w:rPr>
        <w:t xml:space="preserve">board </w:t>
      </w:r>
      <w:r w:rsidR="005F5557" w:rsidRPr="00565566">
        <w:rPr>
          <w:sz w:val="20"/>
          <w:szCs w:val="20"/>
        </w:rPr>
        <w:t>composite however, t</w:t>
      </w:r>
      <w:r w:rsidR="00A50BEA" w:rsidRPr="00565566">
        <w:rPr>
          <w:sz w:val="20"/>
          <w:szCs w:val="20"/>
        </w:rPr>
        <w:t xml:space="preserve">he independent non-executive directors (NEDs) are </w:t>
      </w:r>
      <w:r w:rsidR="005F5557" w:rsidRPr="00565566">
        <w:rPr>
          <w:sz w:val="20"/>
          <w:szCs w:val="20"/>
        </w:rPr>
        <w:t xml:space="preserve">seen as </w:t>
      </w:r>
      <w:r w:rsidR="00A50BEA" w:rsidRPr="00565566">
        <w:rPr>
          <w:sz w:val="20"/>
          <w:szCs w:val="20"/>
        </w:rPr>
        <w:t xml:space="preserve">symbols of board freedom and sovereignty from CEO exuberant influences (Dalton </w:t>
      </w:r>
      <w:r w:rsidR="00A50BEA" w:rsidRPr="00A838EB">
        <w:rPr>
          <w:sz w:val="20"/>
          <w:szCs w:val="20"/>
        </w:rPr>
        <w:t>et al</w:t>
      </w:r>
      <w:r w:rsidR="00A838EB">
        <w:rPr>
          <w:sz w:val="20"/>
          <w:szCs w:val="20"/>
        </w:rPr>
        <w:t>.</w:t>
      </w:r>
      <w:r w:rsidR="00A50BEA" w:rsidRPr="00A838EB">
        <w:rPr>
          <w:sz w:val="20"/>
          <w:szCs w:val="20"/>
        </w:rPr>
        <w:t xml:space="preserve"> </w:t>
      </w:r>
      <w:r w:rsidR="00A50BEA" w:rsidRPr="00565566">
        <w:rPr>
          <w:sz w:val="20"/>
          <w:szCs w:val="20"/>
        </w:rPr>
        <w:t xml:space="preserve">1998). </w:t>
      </w:r>
    </w:p>
    <w:p w:rsidR="00FB27DE" w:rsidRDefault="00FB27DE" w:rsidP="00336039">
      <w:pPr>
        <w:pStyle w:val="ListParagraph"/>
        <w:spacing w:line="360" w:lineRule="auto"/>
        <w:jc w:val="both"/>
        <w:rPr>
          <w:sz w:val="20"/>
          <w:szCs w:val="20"/>
        </w:rPr>
      </w:pPr>
    </w:p>
    <w:p w:rsidR="00FB27DE" w:rsidRDefault="00565566" w:rsidP="00A50BEA">
      <w:pPr>
        <w:pStyle w:val="ListParagraph"/>
        <w:spacing w:line="360" w:lineRule="auto"/>
        <w:jc w:val="both"/>
        <w:rPr>
          <w:sz w:val="20"/>
          <w:szCs w:val="20"/>
        </w:rPr>
      </w:pPr>
      <w:r w:rsidRPr="00565566">
        <w:rPr>
          <w:sz w:val="20"/>
          <w:szCs w:val="20"/>
        </w:rPr>
        <w:t xml:space="preserve">The presence </w:t>
      </w:r>
      <w:r w:rsidR="00B63E2D">
        <w:rPr>
          <w:sz w:val="20"/>
          <w:szCs w:val="20"/>
        </w:rPr>
        <w:t xml:space="preserve">of </w:t>
      </w:r>
      <w:r w:rsidRPr="00565566">
        <w:rPr>
          <w:sz w:val="20"/>
          <w:szCs w:val="20"/>
        </w:rPr>
        <w:t xml:space="preserve">these outside directors on corporate boards have been linked to different role plays, ranging from </w:t>
      </w:r>
      <w:r w:rsidR="00F42CEF">
        <w:rPr>
          <w:sz w:val="20"/>
          <w:szCs w:val="20"/>
        </w:rPr>
        <w:t xml:space="preserve">provision of </w:t>
      </w:r>
      <w:r w:rsidRPr="00565566">
        <w:rPr>
          <w:sz w:val="20"/>
          <w:szCs w:val="20"/>
        </w:rPr>
        <w:t xml:space="preserve">independent judgement, expertise, resource co-optation and innovation, amongst others (John and Senbet 1998). </w:t>
      </w:r>
      <w:r w:rsidR="00E706C3" w:rsidRPr="00336039">
        <w:rPr>
          <w:sz w:val="20"/>
          <w:szCs w:val="20"/>
        </w:rPr>
        <w:t xml:space="preserve">Luan and Tang (2007) observed that </w:t>
      </w:r>
      <w:r w:rsidR="00F42CEF">
        <w:rPr>
          <w:sz w:val="20"/>
          <w:szCs w:val="20"/>
        </w:rPr>
        <w:t xml:space="preserve">NEDs are indication of </w:t>
      </w:r>
      <w:r w:rsidR="00E706C3" w:rsidRPr="00336039">
        <w:rPr>
          <w:sz w:val="20"/>
          <w:szCs w:val="20"/>
        </w:rPr>
        <w:t>good governance and strong external networks, which provide the management team with the strategic resources required to run the corporation successfully.</w:t>
      </w:r>
      <w:r w:rsidR="00105F7D" w:rsidRPr="00336039">
        <w:rPr>
          <w:sz w:val="20"/>
          <w:szCs w:val="20"/>
        </w:rPr>
        <w:t xml:space="preserve"> </w:t>
      </w:r>
      <w:r w:rsidR="00105F7D" w:rsidRPr="00105F7D">
        <w:rPr>
          <w:sz w:val="20"/>
          <w:szCs w:val="20"/>
        </w:rPr>
        <w:t xml:space="preserve">Advocates of board independence have argued that, if the sole responsibility of the board of directors is to monitor the executives and the management team, then outside independent directors are more enthusiastic about instilling such control measures (Bhagat and Black 2000). </w:t>
      </w:r>
    </w:p>
    <w:p w:rsidR="00FB27DE" w:rsidRDefault="00FB27DE" w:rsidP="00A50BEA">
      <w:pPr>
        <w:pStyle w:val="ListParagraph"/>
        <w:spacing w:line="360" w:lineRule="auto"/>
        <w:jc w:val="both"/>
        <w:rPr>
          <w:sz w:val="20"/>
          <w:szCs w:val="20"/>
        </w:rPr>
      </w:pPr>
    </w:p>
    <w:p w:rsidR="009033DA" w:rsidRPr="00A50BEA" w:rsidRDefault="00671756" w:rsidP="00A50BEA">
      <w:pPr>
        <w:pStyle w:val="ListParagraph"/>
        <w:spacing w:line="360" w:lineRule="auto"/>
        <w:jc w:val="both"/>
        <w:rPr>
          <w:sz w:val="20"/>
          <w:szCs w:val="20"/>
        </w:rPr>
      </w:pPr>
      <w:r>
        <w:rPr>
          <w:sz w:val="20"/>
          <w:szCs w:val="20"/>
        </w:rPr>
        <w:t>D</w:t>
      </w:r>
      <w:r w:rsidR="009033DA" w:rsidRPr="00B44DB8">
        <w:rPr>
          <w:sz w:val="20"/>
          <w:szCs w:val="20"/>
        </w:rPr>
        <w:t xml:space="preserve">espite the popularity that the case for increased non-executive representation has received, empirical evidence supporting claims that such an inclusion can engender improved firm </w:t>
      </w:r>
      <w:r w:rsidR="00AD42F0" w:rsidRPr="00B44DB8">
        <w:rPr>
          <w:sz w:val="20"/>
          <w:szCs w:val="20"/>
        </w:rPr>
        <w:t xml:space="preserve">value </w:t>
      </w:r>
      <w:r w:rsidR="009033DA" w:rsidRPr="00B44DB8">
        <w:rPr>
          <w:sz w:val="20"/>
          <w:szCs w:val="20"/>
        </w:rPr>
        <w:t>remains relatively unclear due mixed results that continued to dominate empirical findings (Finegold et al. 2007). In a study of panel data consisting of 672 UK listed firms, Mura (2007) found that the fraction of NEDs on a board was</w:t>
      </w:r>
      <w:r w:rsidR="009033DA" w:rsidRPr="00A50BEA">
        <w:rPr>
          <w:sz w:val="20"/>
          <w:szCs w:val="20"/>
        </w:rPr>
        <w:t xml:space="preserve"> significantly and positively associated with market value. Positive results were </w:t>
      </w:r>
      <w:r w:rsidR="00651340" w:rsidRPr="00A50BEA">
        <w:rPr>
          <w:sz w:val="20"/>
          <w:szCs w:val="20"/>
        </w:rPr>
        <w:t>equally</w:t>
      </w:r>
      <w:r w:rsidR="009033DA" w:rsidRPr="00A50BEA">
        <w:rPr>
          <w:sz w:val="20"/>
          <w:szCs w:val="20"/>
        </w:rPr>
        <w:t xml:space="preserve"> reported in other similar empirical studies (e.g. Tanna </w:t>
      </w:r>
      <w:r w:rsidR="009033DA" w:rsidRPr="00886076">
        <w:rPr>
          <w:sz w:val="20"/>
          <w:szCs w:val="20"/>
        </w:rPr>
        <w:t>et al.</w:t>
      </w:r>
      <w:r w:rsidR="009033DA" w:rsidRPr="00A50BEA">
        <w:rPr>
          <w:i/>
          <w:sz w:val="20"/>
          <w:szCs w:val="20"/>
        </w:rPr>
        <w:t xml:space="preserve"> </w:t>
      </w:r>
      <w:r w:rsidR="009033DA" w:rsidRPr="00A50BEA">
        <w:rPr>
          <w:sz w:val="20"/>
          <w:szCs w:val="20"/>
        </w:rPr>
        <w:t>2011; Shan and McIver 2011; Perry and Shivdasani 2005</w:t>
      </w:r>
      <w:r w:rsidR="00105F7D">
        <w:rPr>
          <w:sz w:val="20"/>
          <w:szCs w:val="20"/>
        </w:rPr>
        <w:t>)</w:t>
      </w:r>
      <w:r w:rsidR="00B44DB8">
        <w:rPr>
          <w:sz w:val="20"/>
          <w:szCs w:val="20"/>
        </w:rPr>
        <w:t>.</w:t>
      </w:r>
      <w:r w:rsidR="009033DA" w:rsidRPr="00A50BEA">
        <w:rPr>
          <w:sz w:val="20"/>
          <w:szCs w:val="20"/>
        </w:rPr>
        <w:t xml:space="preserve"> However, Randøy and Jenssen (2004) conducted an empirical investigation into a selected number of firms facing strict product market competition</w:t>
      </w:r>
      <w:r>
        <w:rPr>
          <w:sz w:val="20"/>
          <w:szCs w:val="20"/>
        </w:rPr>
        <w:t xml:space="preserve"> and</w:t>
      </w:r>
      <w:r w:rsidR="009033DA" w:rsidRPr="00A50BEA">
        <w:rPr>
          <w:sz w:val="20"/>
          <w:szCs w:val="20"/>
        </w:rPr>
        <w:t xml:space="preserve"> found that board independence was counterproductive </w:t>
      </w:r>
      <w:r w:rsidR="00B44DB8" w:rsidRPr="00A50BEA">
        <w:rPr>
          <w:sz w:val="20"/>
          <w:szCs w:val="20"/>
        </w:rPr>
        <w:t xml:space="preserve">to </w:t>
      </w:r>
      <w:r w:rsidR="009033DA" w:rsidRPr="00A50BEA">
        <w:rPr>
          <w:sz w:val="20"/>
          <w:szCs w:val="20"/>
        </w:rPr>
        <w:t xml:space="preserve">performance. </w:t>
      </w:r>
      <w:r w:rsidR="00180DCC">
        <w:rPr>
          <w:sz w:val="20"/>
          <w:szCs w:val="20"/>
        </w:rPr>
        <w:t xml:space="preserve">Similarly, </w:t>
      </w:r>
      <w:r w:rsidR="009033DA" w:rsidRPr="00A50BEA">
        <w:rPr>
          <w:sz w:val="20"/>
          <w:szCs w:val="20"/>
        </w:rPr>
        <w:t>Bhagat and Black (2000) investigat</w:t>
      </w:r>
      <w:r w:rsidR="00105F7D">
        <w:rPr>
          <w:sz w:val="20"/>
          <w:szCs w:val="20"/>
        </w:rPr>
        <w:t xml:space="preserve">ed </w:t>
      </w:r>
      <w:r w:rsidR="009033DA" w:rsidRPr="00A50BEA">
        <w:rPr>
          <w:sz w:val="20"/>
          <w:szCs w:val="20"/>
        </w:rPr>
        <w:t xml:space="preserve">the long-term effect of board independence using </w:t>
      </w:r>
      <w:r w:rsidR="005C2CEB">
        <w:rPr>
          <w:sz w:val="20"/>
          <w:szCs w:val="20"/>
        </w:rPr>
        <w:t xml:space="preserve">a </w:t>
      </w:r>
      <w:r w:rsidR="009033DA" w:rsidRPr="00A50BEA">
        <w:rPr>
          <w:sz w:val="20"/>
          <w:szCs w:val="20"/>
        </w:rPr>
        <w:t xml:space="preserve">sample </w:t>
      </w:r>
      <w:r w:rsidR="005C2CEB">
        <w:rPr>
          <w:sz w:val="20"/>
          <w:szCs w:val="20"/>
        </w:rPr>
        <w:t xml:space="preserve">of </w:t>
      </w:r>
      <w:r w:rsidR="009033DA" w:rsidRPr="00A50BEA">
        <w:rPr>
          <w:sz w:val="20"/>
          <w:szCs w:val="20"/>
        </w:rPr>
        <w:t>934 largest US public companies</w:t>
      </w:r>
      <w:r w:rsidR="006E4780">
        <w:rPr>
          <w:sz w:val="20"/>
          <w:szCs w:val="20"/>
        </w:rPr>
        <w:t xml:space="preserve"> and found</w:t>
      </w:r>
      <w:r w:rsidR="009033DA" w:rsidRPr="00A50BEA">
        <w:rPr>
          <w:sz w:val="20"/>
          <w:szCs w:val="20"/>
        </w:rPr>
        <w:t xml:space="preserve"> no evidence to suggest that firms benefit financially from such an inclusion. </w:t>
      </w:r>
    </w:p>
    <w:p w:rsidR="009033DA" w:rsidRDefault="00CC0594" w:rsidP="00651340">
      <w:pPr>
        <w:pStyle w:val="ListParagraph"/>
        <w:spacing w:line="360" w:lineRule="auto"/>
        <w:jc w:val="both"/>
        <w:rPr>
          <w:sz w:val="20"/>
          <w:szCs w:val="20"/>
        </w:rPr>
      </w:pPr>
      <w:r>
        <w:rPr>
          <w:sz w:val="20"/>
          <w:szCs w:val="20"/>
        </w:rPr>
        <w:lastRenderedPageBreak/>
        <w:t>Conclusively,</w:t>
      </w:r>
      <w:r w:rsidR="009033DA" w:rsidRPr="00651340">
        <w:rPr>
          <w:sz w:val="20"/>
          <w:szCs w:val="20"/>
        </w:rPr>
        <w:t xml:space="preserve"> while the current study recognises the </w:t>
      </w:r>
      <w:r w:rsidR="004B123C" w:rsidRPr="00651340">
        <w:rPr>
          <w:sz w:val="20"/>
          <w:szCs w:val="20"/>
        </w:rPr>
        <w:t>equivocal</w:t>
      </w:r>
      <w:r w:rsidR="004B123C">
        <w:rPr>
          <w:sz w:val="20"/>
          <w:szCs w:val="20"/>
        </w:rPr>
        <w:t>ity</w:t>
      </w:r>
      <w:r w:rsidR="009033DA" w:rsidRPr="00651340">
        <w:rPr>
          <w:sz w:val="20"/>
          <w:szCs w:val="20"/>
        </w:rPr>
        <w:t xml:space="preserve"> </w:t>
      </w:r>
      <w:r w:rsidR="004B123C">
        <w:rPr>
          <w:sz w:val="20"/>
          <w:szCs w:val="20"/>
        </w:rPr>
        <w:t xml:space="preserve">of previous empirical </w:t>
      </w:r>
      <w:r w:rsidR="009033DA" w:rsidRPr="00651340">
        <w:rPr>
          <w:sz w:val="20"/>
          <w:szCs w:val="20"/>
        </w:rPr>
        <w:t xml:space="preserve">findings </w:t>
      </w:r>
      <w:r w:rsidR="004B123C">
        <w:rPr>
          <w:sz w:val="20"/>
          <w:szCs w:val="20"/>
        </w:rPr>
        <w:t xml:space="preserve">regarding </w:t>
      </w:r>
      <w:r w:rsidR="009033DA" w:rsidRPr="00651340">
        <w:rPr>
          <w:sz w:val="20"/>
          <w:szCs w:val="20"/>
        </w:rPr>
        <w:t xml:space="preserve">the strategic relevance of independent NEDs (see: Jackling and </w:t>
      </w:r>
      <w:proofErr w:type="spellStart"/>
      <w:r w:rsidR="009033DA" w:rsidRPr="00651340">
        <w:rPr>
          <w:sz w:val="20"/>
          <w:szCs w:val="20"/>
        </w:rPr>
        <w:t>Johl</w:t>
      </w:r>
      <w:proofErr w:type="spellEnd"/>
      <w:r w:rsidR="009033DA" w:rsidRPr="00651340">
        <w:rPr>
          <w:sz w:val="20"/>
          <w:szCs w:val="20"/>
        </w:rPr>
        <w:t xml:space="preserve"> 2009; Kim 2007), the assumption that the presence of these outside directors enhances board monitoring and vigilance remains popular. </w:t>
      </w:r>
      <w:r w:rsidR="00651340" w:rsidRPr="00651340">
        <w:rPr>
          <w:sz w:val="20"/>
          <w:szCs w:val="20"/>
        </w:rPr>
        <w:t>C</w:t>
      </w:r>
      <w:r w:rsidR="009033DA" w:rsidRPr="00651340">
        <w:rPr>
          <w:sz w:val="20"/>
          <w:szCs w:val="20"/>
        </w:rPr>
        <w:t xml:space="preserve">onsistent with the above and the fact that the SEC Code </w:t>
      </w:r>
      <w:r w:rsidR="002C0CAC">
        <w:rPr>
          <w:sz w:val="20"/>
          <w:szCs w:val="20"/>
        </w:rPr>
        <w:t xml:space="preserve">had </w:t>
      </w:r>
      <w:r w:rsidR="009033DA" w:rsidRPr="00651340">
        <w:rPr>
          <w:sz w:val="20"/>
          <w:szCs w:val="20"/>
        </w:rPr>
        <w:t>offer</w:t>
      </w:r>
      <w:r w:rsidR="002C0CAC">
        <w:rPr>
          <w:sz w:val="20"/>
          <w:szCs w:val="20"/>
        </w:rPr>
        <w:t>ed</w:t>
      </w:r>
      <w:r w:rsidR="009033DA" w:rsidRPr="00651340">
        <w:rPr>
          <w:sz w:val="20"/>
          <w:szCs w:val="20"/>
        </w:rPr>
        <w:t xml:space="preserve"> similar recommendations in Part </w:t>
      </w:r>
      <w:proofErr w:type="gramStart"/>
      <w:r w:rsidR="009033DA" w:rsidRPr="00651340">
        <w:rPr>
          <w:sz w:val="20"/>
          <w:szCs w:val="20"/>
        </w:rPr>
        <w:t>b(</w:t>
      </w:r>
      <w:proofErr w:type="gramEnd"/>
      <w:r w:rsidR="009033DA" w:rsidRPr="00651340">
        <w:rPr>
          <w:sz w:val="20"/>
          <w:szCs w:val="20"/>
        </w:rPr>
        <w:t>4.3) that “</w:t>
      </w:r>
      <w:r w:rsidR="002C0CAC">
        <w:rPr>
          <w:sz w:val="20"/>
          <w:szCs w:val="20"/>
        </w:rPr>
        <w:t>…</w:t>
      </w:r>
      <w:r w:rsidR="009033DA" w:rsidRPr="00651340">
        <w:rPr>
          <w:i/>
          <w:sz w:val="20"/>
          <w:szCs w:val="20"/>
        </w:rPr>
        <w:t>the majority of Board members should be non-executive directors, at least one of whom should be independent director”</w:t>
      </w:r>
      <w:r w:rsidR="009033DA" w:rsidRPr="00651340">
        <w:rPr>
          <w:sz w:val="20"/>
          <w:szCs w:val="20"/>
        </w:rPr>
        <w:t>, this study hypothesises as follows:</w:t>
      </w:r>
    </w:p>
    <w:p w:rsidR="001830DF" w:rsidRPr="00651340" w:rsidRDefault="001830DF" w:rsidP="00651340">
      <w:pPr>
        <w:pStyle w:val="ListParagraph"/>
        <w:spacing w:line="360" w:lineRule="auto"/>
        <w:jc w:val="both"/>
        <w:rPr>
          <w:sz w:val="20"/>
          <w:szCs w:val="20"/>
        </w:rPr>
      </w:pPr>
    </w:p>
    <w:p w:rsidR="009033DA" w:rsidRPr="00651340" w:rsidRDefault="009033DA" w:rsidP="00CC0594">
      <w:pPr>
        <w:pStyle w:val="ListParagraph"/>
        <w:spacing w:line="360" w:lineRule="auto"/>
        <w:ind w:firstLine="720"/>
        <w:jc w:val="both"/>
        <w:rPr>
          <w:i/>
          <w:sz w:val="20"/>
          <w:szCs w:val="20"/>
        </w:rPr>
      </w:pPr>
      <w:r w:rsidRPr="00651340">
        <w:rPr>
          <w:i/>
          <w:sz w:val="20"/>
          <w:szCs w:val="20"/>
        </w:rPr>
        <w:t>Hypothesis 2:</w:t>
      </w:r>
    </w:p>
    <w:p w:rsidR="009033DA" w:rsidRPr="00651340" w:rsidRDefault="009033DA" w:rsidP="00CC0594">
      <w:pPr>
        <w:pStyle w:val="ListParagraph"/>
        <w:spacing w:line="360" w:lineRule="auto"/>
        <w:ind w:left="1440"/>
        <w:jc w:val="both"/>
        <w:rPr>
          <w:i/>
          <w:sz w:val="20"/>
          <w:szCs w:val="20"/>
        </w:rPr>
      </w:pPr>
      <w:r w:rsidRPr="00651340">
        <w:rPr>
          <w:i/>
          <w:sz w:val="20"/>
          <w:szCs w:val="20"/>
        </w:rPr>
        <w:t>H</w:t>
      </w:r>
      <w:r w:rsidRPr="00651340">
        <w:rPr>
          <w:rFonts w:ascii="Calibri" w:hAnsi="Calibri"/>
          <w:i/>
          <w:sz w:val="20"/>
          <w:szCs w:val="20"/>
        </w:rPr>
        <w:t>ₒ</w:t>
      </w:r>
      <w:r w:rsidRPr="00651340">
        <w:rPr>
          <w:i/>
          <w:sz w:val="20"/>
          <w:szCs w:val="20"/>
        </w:rPr>
        <w:t xml:space="preserve">: There is a statistically significant positive relationship between the presence of independent non-executive directors and firm performance in Nigeria, irrespective of the scenario and performance measures used. </w:t>
      </w:r>
    </w:p>
    <w:p w:rsidR="002A0C9A" w:rsidRPr="00427F67" w:rsidRDefault="002A0C9A" w:rsidP="006D092C">
      <w:pPr>
        <w:pStyle w:val="ListParagraph"/>
        <w:jc w:val="both"/>
        <w:rPr>
          <w:bCs/>
          <w:i/>
          <w:sz w:val="20"/>
          <w:szCs w:val="20"/>
        </w:rPr>
      </w:pPr>
    </w:p>
    <w:p w:rsidR="00EF4463" w:rsidRPr="0077649D" w:rsidRDefault="00EF4463" w:rsidP="0077649D">
      <w:pPr>
        <w:pStyle w:val="ListParagraph"/>
        <w:spacing w:line="360" w:lineRule="auto"/>
        <w:rPr>
          <w:b/>
          <w:sz w:val="20"/>
          <w:szCs w:val="20"/>
        </w:rPr>
      </w:pPr>
      <w:r w:rsidRPr="004B123C">
        <w:rPr>
          <w:b/>
          <w:sz w:val="20"/>
          <w:szCs w:val="20"/>
        </w:rPr>
        <w:t>CEO Duality</w:t>
      </w:r>
    </w:p>
    <w:p w:rsidR="0077649D" w:rsidRDefault="00EF4463" w:rsidP="0077649D">
      <w:pPr>
        <w:pStyle w:val="ListParagraph"/>
        <w:spacing w:line="360" w:lineRule="auto"/>
        <w:jc w:val="both"/>
        <w:rPr>
          <w:sz w:val="20"/>
          <w:szCs w:val="20"/>
        </w:rPr>
      </w:pPr>
      <w:r w:rsidRPr="00505349">
        <w:rPr>
          <w:sz w:val="20"/>
          <w:szCs w:val="20"/>
        </w:rPr>
        <w:t xml:space="preserve">Debate on the dual leadership structure is centred on whether the CEO should be allowed to hold the two top leadership positions within a corporation. Though many codes of corporate governance are structured in favour of the agency theory orientation, which </w:t>
      </w:r>
      <w:r w:rsidR="004B277C">
        <w:rPr>
          <w:sz w:val="20"/>
          <w:szCs w:val="20"/>
        </w:rPr>
        <w:t>encourages separation of power</w:t>
      </w:r>
      <w:r w:rsidRPr="00505349">
        <w:rPr>
          <w:sz w:val="20"/>
          <w:szCs w:val="20"/>
        </w:rPr>
        <w:t>, advocates of CEO duality have emphasised the need for unity of command and control at the top management level (</w:t>
      </w:r>
      <w:proofErr w:type="spellStart"/>
      <w:r w:rsidRPr="00505349">
        <w:rPr>
          <w:sz w:val="20"/>
          <w:szCs w:val="20"/>
        </w:rPr>
        <w:t>Dahya</w:t>
      </w:r>
      <w:proofErr w:type="spellEnd"/>
      <w:r w:rsidRPr="00505349">
        <w:rPr>
          <w:sz w:val="20"/>
          <w:szCs w:val="20"/>
        </w:rPr>
        <w:t xml:space="preserve"> and </w:t>
      </w:r>
      <w:proofErr w:type="spellStart"/>
      <w:r w:rsidRPr="00505349">
        <w:rPr>
          <w:sz w:val="20"/>
          <w:szCs w:val="20"/>
        </w:rPr>
        <w:t>Travlos</w:t>
      </w:r>
      <w:proofErr w:type="spellEnd"/>
      <w:r w:rsidRPr="00505349">
        <w:rPr>
          <w:sz w:val="20"/>
          <w:szCs w:val="20"/>
        </w:rPr>
        <w:t xml:space="preserve"> 2000). Proponents of duality have observed that the creation of the board chair position is more a conventional wisdom, which may not necessarily be effective in the actual governance of firms. Therefore, </w:t>
      </w:r>
      <w:r w:rsidR="00505349" w:rsidRPr="00505349">
        <w:rPr>
          <w:sz w:val="20"/>
          <w:szCs w:val="20"/>
        </w:rPr>
        <w:t>harmonisation of the positions, with the CEO at the helm, creates purposeful and clearly focused corporate leadership.</w:t>
      </w:r>
      <w:r w:rsidRPr="00874B7A">
        <w:rPr>
          <w:sz w:val="20"/>
          <w:szCs w:val="20"/>
        </w:rPr>
        <w:t xml:space="preserve"> Elsayed (2007) argued that the approach eliminates ambiguities and decreases the role conflicts that are usually associated with the separation of decision management and control functions. </w:t>
      </w:r>
      <w:r w:rsidR="00505349">
        <w:rPr>
          <w:sz w:val="20"/>
          <w:szCs w:val="20"/>
        </w:rPr>
        <w:t>T</w:t>
      </w:r>
      <w:r w:rsidRPr="00874B7A">
        <w:rPr>
          <w:sz w:val="20"/>
          <w:szCs w:val="20"/>
        </w:rPr>
        <w:t>h</w:t>
      </w:r>
      <w:r w:rsidR="00505349">
        <w:rPr>
          <w:sz w:val="20"/>
          <w:szCs w:val="20"/>
        </w:rPr>
        <w:t xml:space="preserve">is enhances firm </w:t>
      </w:r>
      <w:r w:rsidRPr="00874B7A">
        <w:rPr>
          <w:sz w:val="20"/>
          <w:szCs w:val="20"/>
        </w:rPr>
        <w:t xml:space="preserve">efficiency </w:t>
      </w:r>
      <w:r w:rsidR="00505349">
        <w:rPr>
          <w:sz w:val="20"/>
          <w:szCs w:val="20"/>
        </w:rPr>
        <w:t xml:space="preserve">particularly the </w:t>
      </w:r>
      <w:r w:rsidRPr="00874B7A">
        <w:rPr>
          <w:sz w:val="20"/>
          <w:szCs w:val="20"/>
        </w:rPr>
        <w:t xml:space="preserve">speed of corporate decision making (Boyd 1995). </w:t>
      </w:r>
    </w:p>
    <w:p w:rsidR="00505349" w:rsidRDefault="00505349" w:rsidP="0077649D">
      <w:pPr>
        <w:pStyle w:val="ListParagraph"/>
        <w:spacing w:line="360" w:lineRule="auto"/>
        <w:jc w:val="both"/>
        <w:rPr>
          <w:sz w:val="20"/>
          <w:szCs w:val="20"/>
        </w:rPr>
      </w:pPr>
    </w:p>
    <w:p w:rsidR="00874B7A" w:rsidRPr="00D678D3" w:rsidRDefault="004B277C" w:rsidP="0077649D">
      <w:pPr>
        <w:pStyle w:val="ListParagraph"/>
        <w:spacing w:line="360" w:lineRule="auto"/>
        <w:jc w:val="both"/>
        <w:rPr>
          <w:sz w:val="20"/>
          <w:szCs w:val="20"/>
        </w:rPr>
      </w:pPr>
      <w:r>
        <w:rPr>
          <w:sz w:val="20"/>
          <w:szCs w:val="20"/>
        </w:rPr>
        <w:t>T</w:t>
      </w:r>
      <w:r w:rsidR="00D678D3">
        <w:rPr>
          <w:sz w:val="20"/>
          <w:szCs w:val="20"/>
        </w:rPr>
        <w:t>he need for separation of power through non-duality has remained the most dominant school of thought</w:t>
      </w:r>
      <w:r>
        <w:rPr>
          <w:sz w:val="20"/>
          <w:szCs w:val="20"/>
        </w:rPr>
        <w:t>.</w:t>
      </w:r>
      <w:r w:rsidR="00D678D3" w:rsidRPr="00D678D3">
        <w:t xml:space="preserve"> </w:t>
      </w:r>
      <w:r w:rsidR="00D678D3" w:rsidRPr="00D678D3">
        <w:rPr>
          <w:sz w:val="20"/>
          <w:szCs w:val="20"/>
        </w:rPr>
        <w:t>The reason for this share</w:t>
      </w:r>
      <w:r w:rsidR="00D678D3">
        <w:rPr>
          <w:sz w:val="20"/>
          <w:szCs w:val="20"/>
        </w:rPr>
        <w:t>d</w:t>
      </w:r>
      <w:r w:rsidR="00D678D3" w:rsidRPr="00D678D3">
        <w:rPr>
          <w:sz w:val="20"/>
          <w:szCs w:val="20"/>
        </w:rPr>
        <w:t xml:space="preserve"> sentiment is not </w:t>
      </w:r>
      <w:r w:rsidRPr="00D678D3">
        <w:rPr>
          <w:sz w:val="20"/>
          <w:szCs w:val="20"/>
        </w:rPr>
        <w:t>far</w:t>
      </w:r>
      <w:r>
        <w:rPr>
          <w:sz w:val="20"/>
          <w:szCs w:val="20"/>
        </w:rPr>
        <w:t>f</w:t>
      </w:r>
      <w:r w:rsidRPr="00D678D3">
        <w:rPr>
          <w:sz w:val="20"/>
          <w:szCs w:val="20"/>
        </w:rPr>
        <w:t>etched</w:t>
      </w:r>
      <w:r w:rsidR="00D678D3" w:rsidRPr="00D678D3">
        <w:rPr>
          <w:sz w:val="20"/>
          <w:szCs w:val="20"/>
        </w:rPr>
        <w:t xml:space="preserve">. </w:t>
      </w:r>
      <w:r w:rsidR="00D678D3">
        <w:rPr>
          <w:sz w:val="20"/>
          <w:szCs w:val="20"/>
        </w:rPr>
        <w:t>S</w:t>
      </w:r>
      <w:r w:rsidR="00D678D3" w:rsidRPr="00D678D3">
        <w:rPr>
          <w:sz w:val="20"/>
          <w:szCs w:val="20"/>
        </w:rPr>
        <w:t xml:space="preserve">eries of </w:t>
      </w:r>
      <w:r w:rsidR="00D678D3">
        <w:rPr>
          <w:sz w:val="20"/>
          <w:szCs w:val="20"/>
        </w:rPr>
        <w:t xml:space="preserve">reported </w:t>
      </w:r>
      <w:r w:rsidR="00D678D3" w:rsidRPr="00D678D3">
        <w:rPr>
          <w:sz w:val="20"/>
          <w:szCs w:val="20"/>
        </w:rPr>
        <w:t xml:space="preserve">corporate scandals have all pointed to the </w:t>
      </w:r>
      <w:r w:rsidR="00D678D3">
        <w:rPr>
          <w:sz w:val="20"/>
          <w:szCs w:val="20"/>
        </w:rPr>
        <w:t xml:space="preserve">failure </w:t>
      </w:r>
      <w:r w:rsidR="00D678D3" w:rsidRPr="00D678D3">
        <w:rPr>
          <w:sz w:val="20"/>
          <w:szCs w:val="20"/>
        </w:rPr>
        <w:t xml:space="preserve">of leadership, especially the overbearing influence of CEOs on the Board of Directors (Jackling and </w:t>
      </w:r>
      <w:proofErr w:type="spellStart"/>
      <w:r w:rsidR="00D678D3" w:rsidRPr="00D678D3">
        <w:rPr>
          <w:sz w:val="20"/>
          <w:szCs w:val="20"/>
        </w:rPr>
        <w:t>Johl</w:t>
      </w:r>
      <w:proofErr w:type="spellEnd"/>
      <w:r w:rsidR="00D678D3" w:rsidRPr="00D678D3">
        <w:rPr>
          <w:sz w:val="20"/>
          <w:szCs w:val="20"/>
        </w:rPr>
        <w:t xml:space="preserve"> 2009). Therefore, a dual leadership structure in which corporate authority resides with the CEO </w:t>
      </w:r>
      <w:r w:rsidR="00D678D3">
        <w:rPr>
          <w:sz w:val="20"/>
          <w:szCs w:val="20"/>
        </w:rPr>
        <w:t xml:space="preserve">is adjudged to be </w:t>
      </w:r>
      <w:r w:rsidR="00D678D3" w:rsidRPr="00D678D3">
        <w:rPr>
          <w:sz w:val="20"/>
          <w:szCs w:val="20"/>
        </w:rPr>
        <w:t>detrimental to shareholders’ protection (Laing and Weir 1999).</w:t>
      </w:r>
    </w:p>
    <w:p w:rsidR="00F96B95" w:rsidRDefault="00F96B95" w:rsidP="0077649D">
      <w:pPr>
        <w:pStyle w:val="ListParagraph"/>
        <w:jc w:val="both"/>
        <w:rPr>
          <w:sz w:val="16"/>
          <w:szCs w:val="16"/>
        </w:rPr>
      </w:pPr>
    </w:p>
    <w:p w:rsidR="00132245" w:rsidRPr="00173E54" w:rsidRDefault="00F96B95" w:rsidP="00132245">
      <w:pPr>
        <w:pStyle w:val="ListParagraph"/>
        <w:spacing w:line="360" w:lineRule="auto"/>
        <w:jc w:val="both"/>
        <w:rPr>
          <w:sz w:val="16"/>
          <w:szCs w:val="16"/>
        </w:rPr>
      </w:pPr>
      <w:r w:rsidRPr="00132245">
        <w:rPr>
          <w:sz w:val="20"/>
          <w:szCs w:val="20"/>
        </w:rPr>
        <w:t xml:space="preserve">Public debates have thus favoured an independent leadership structure that ensures decentralisation of power at the top corporate level. The situation in Nigeria’s corporate environment is no exception to this bias. </w:t>
      </w:r>
      <w:r w:rsidR="00F37D55" w:rsidRPr="00132245">
        <w:rPr>
          <w:sz w:val="20"/>
          <w:szCs w:val="20"/>
        </w:rPr>
        <w:t>Critics have suggested that combining the two positions would impair objectivity and induced conflict of interest, as this could amount to being an arbitrator in one’s own defence (Wan and Ong 2005).</w:t>
      </w:r>
      <w:r w:rsidR="00132245" w:rsidRPr="00132245">
        <w:rPr>
          <w:sz w:val="20"/>
          <w:szCs w:val="20"/>
        </w:rPr>
        <w:t xml:space="preserve"> </w:t>
      </w:r>
      <w:r w:rsidR="00EF4463" w:rsidRPr="00132245">
        <w:rPr>
          <w:sz w:val="20"/>
          <w:szCs w:val="20"/>
        </w:rPr>
        <w:t>CEOs are said to be unable, by virtue of their position in the management team, to offer the kind of unbiased leadership that is required under contemporary institutional arrangements (</w:t>
      </w:r>
      <w:proofErr w:type="spellStart"/>
      <w:r w:rsidR="00C70CEA" w:rsidRPr="00132245">
        <w:rPr>
          <w:sz w:val="20"/>
          <w:szCs w:val="20"/>
        </w:rPr>
        <w:t>Arslan</w:t>
      </w:r>
      <w:proofErr w:type="spellEnd"/>
      <w:r w:rsidR="00C70CEA" w:rsidRPr="00132245">
        <w:rPr>
          <w:sz w:val="20"/>
          <w:szCs w:val="20"/>
        </w:rPr>
        <w:t xml:space="preserve"> </w:t>
      </w:r>
      <w:r w:rsidR="00C70CEA" w:rsidRPr="006A689A">
        <w:rPr>
          <w:sz w:val="20"/>
          <w:szCs w:val="20"/>
        </w:rPr>
        <w:t>et al.</w:t>
      </w:r>
      <w:r w:rsidR="00C70CEA" w:rsidRPr="00132245">
        <w:rPr>
          <w:i/>
          <w:sz w:val="20"/>
          <w:szCs w:val="20"/>
        </w:rPr>
        <w:t xml:space="preserve"> </w:t>
      </w:r>
      <w:r w:rsidR="00C70CEA">
        <w:rPr>
          <w:sz w:val="20"/>
          <w:szCs w:val="20"/>
        </w:rPr>
        <w:t>2010</w:t>
      </w:r>
      <w:r w:rsidR="00EF4463" w:rsidRPr="00132245">
        <w:rPr>
          <w:sz w:val="20"/>
          <w:szCs w:val="20"/>
        </w:rPr>
        <w:t xml:space="preserve">). Laing and Weir (1999) argued that having too much power concentrated in the hands of an individual is likely to increase potential agency costs since it provides little or no room for checks and balances. This, according to Boyd (1995), will subdue board’s usefulness in discharging its fiduciary </w:t>
      </w:r>
      <w:r w:rsidR="00EF4463" w:rsidRPr="00132245">
        <w:rPr>
          <w:sz w:val="20"/>
          <w:szCs w:val="20"/>
        </w:rPr>
        <w:lastRenderedPageBreak/>
        <w:t xml:space="preserve">obligations. Rechner and Dalton (1991) asserted that the quest for corporate probity, transparency and accountability might be compromised because of CEOs’ overbearing tendencies resulting from the high concentration of power. </w:t>
      </w:r>
      <w:r w:rsidR="00132245" w:rsidRPr="00132245">
        <w:rPr>
          <w:sz w:val="20"/>
          <w:szCs w:val="20"/>
        </w:rPr>
        <w:t>In principle, the roles expected of the executives and the board of directors creates two separate constituents with very distinct functions. Therefore, handing so much power over these two different constituents to one person may amount to an aberration</w:t>
      </w:r>
      <w:r w:rsidR="004B277C">
        <w:rPr>
          <w:sz w:val="20"/>
          <w:szCs w:val="20"/>
        </w:rPr>
        <w:t>.</w:t>
      </w:r>
      <w:r w:rsidR="00132245" w:rsidRPr="00173E54">
        <w:rPr>
          <w:sz w:val="16"/>
          <w:szCs w:val="16"/>
        </w:rPr>
        <w:t xml:space="preserve"> </w:t>
      </w:r>
    </w:p>
    <w:p w:rsidR="00EF4463" w:rsidRPr="00173E54" w:rsidRDefault="00EF4463" w:rsidP="0077649D">
      <w:pPr>
        <w:pStyle w:val="ListParagraph"/>
        <w:jc w:val="both"/>
        <w:rPr>
          <w:sz w:val="16"/>
          <w:szCs w:val="16"/>
        </w:rPr>
      </w:pPr>
    </w:p>
    <w:p w:rsidR="00EF4463" w:rsidRPr="00B90907" w:rsidRDefault="00132245" w:rsidP="00B90907">
      <w:pPr>
        <w:pStyle w:val="ListParagraph"/>
        <w:spacing w:line="360" w:lineRule="auto"/>
        <w:jc w:val="both"/>
        <w:rPr>
          <w:sz w:val="20"/>
          <w:szCs w:val="20"/>
        </w:rPr>
      </w:pPr>
      <w:r w:rsidRPr="00B90907">
        <w:rPr>
          <w:sz w:val="20"/>
          <w:szCs w:val="20"/>
        </w:rPr>
        <w:t>Ironically, t</w:t>
      </w:r>
      <w:r w:rsidR="00EF4463" w:rsidRPr="00B90907">
        <w:rPr>
          <w:sz w:val="20"/>
          <w:szCs w:val="20"/>
        </w:rPr>
        <w:t xml:space="preserve">he issue of </w:t>
      </w:r>
      <w:r w:rsidRPr="00B90907">
        <w:rPr>
          <w:sz w:val="20"/>
          <w:szCs w:val="20"/>
        </w:rPr>
        <w:t>corporate leadership</w:t>
      </w:r>
      <w:r w:rsidR="00EF4463" w:rsidRPr="00B90907">
        <w:rPr>
          <w:sz w:val="20"/>
          <w:szCs w:val="20"/>
        </w:rPr>
        <w:t xml:space="preserve"> </w:t>
      </w:r>
      <w:r w:rsidRPr="00B90907">
        <w:rPr>
          <w:sz w:val="20"/>
          <w:szCs w:val="20"/>
        </w:rPr>
        <w:t xml:space="preserve">structure </w:t>
      </w:r>
      <w:r w:rsidR="00EF4463" w:rsidRPr="00B90907">
        <w:rPr>
          <w:sz w:val="20"/>
          <w:szCs w:val="20"/>
        </w:rPr>
        <w:t xml:space="preserve">has not commanded the same level of popularity and attention – in terms of volume of empirical evidence – as other board dynamics, such as size and composition (see: </w:t>
      </w:r>
      <w:proofErr w:type="spellStart"/>
      <w:r w:rsidR="00EF4463" w:rsidRPr="00B90907">
        <w:rPr>
          <w:sz w:val="20"/>
          <w:szCs w:val="20"/>
        </w:rPr>
        <w:t>Rechner</w:t>
      </w:r>
      <w:proofErr w:type="spellEnd"/>
      <w:r w:rsidR="00EF4463" w:rsidRPr="00B90907">
        <w:rPr>
          <w:sz w:val="20"/>
          <w:szCs w:val="20"/>
        </w:rPr>
        <w:t xml:space="preserve"> and Dalton 1991). Results from the few available studies are almost inconclusive as mixed evidences have been reported regarding how CEO duality impact firm performance (see: </w:t>
      </w:r>
      <w:proofErr w:type="spellStart"/>
      <w:r w:rsidR="00EF4463" w:rsidRPr="00B90907">
        <w:rPr>
          <w:sz w:val="20"/>
          <w:szCs w:val="20"/>
        </w:rPr>
        <w:t>Elsayed</w:t>
      </w:r>
      <w:proofErr w:type="spellEnd"/>
      <w:r w:rsidR="00EF4463" w:rsidRPr="00B90907">
        <w:rPr>
          <w:sz w:val="20"/>
          <w:szCs w:val="20"/>
        </w:rPr>
        <w:t xml:space="preserve"> 2007). In a study of 192 US firms drawn from twelve different industries, Boyd (1995) found CEO duality to be both positively and negatively associated with firm performance, depending on the prevailing environmental conditions facing the firm, mainly generosity, dynamism and complexity. Elsayed (2007) reported that the effect of CEO duality on firm performance varied significantly across industrial groupings</w:t>
      </w:r>
      <w:r w:rsidR="00B90907">
        <w:rPr>
          <w:sz w:val="20"/>
          <w:szCs w:val="20"/>
        </w:rPr>
        <w:t xml:space="preserve"> and that </w:t>
      </w:r>
      <w:r w:rsidR="00EF4463" w:rsidRPr="00B90907">
        <w:rPr>
          <w:sz w:val="20"/>
          <w:szCs w:val="20"/>
        </w:rPr>
        <w:t xml:space="preserve">both the agency and stewardship theories </w:t>
      </w:r>
      <w:r w:rsidR="00B90907">
        <w:rPr>
          <w:sz w:val="20"/>
          <w:szCs w:val="20"/>
        </w:rPr>
        <w:t>are</w:t>
      </w:r>
      <w:r w:rsidR="00EF4463" w:rsidRPr="00B90907">
        <w:rPr>
          <w:sz w:val="20"/>
          <w:szCs w:val="20"/>
        </w:rPr>
        <w:t xml:space="preserve"> crucial to understanding the </w:t>
      </w:r>
      <w:r w:rsidR="00B90907" w:rsidRPr="00B90907">
        <w:rPr>
          <w:sz w:val="20"/>
          <w:szCs w:val="20"/>
        </w:rPr>
        <w:t xml:space="preserve">association between the </w:t>
      </w:r>
      <w:r w:rsidR="00B90907">
        <w:rPr>
          <w:sz w:val="20"/>
          <w:szCs w:val="20"/>
        </w:rPr>
        <w:t>two variables</w:t>
      </w:r>
      <w:r w:rsidR="00EF4463" w:rsidRPr="00B90907">
        <w:rPr>
          <w:sz w:val="20"/>
          <w:szCs w:val="20"/>
        </w:rPr>
        <w:t xml:space="preserve"> (</w:t>
      </w:r>
      <w:proofErr w:type="spellStart"/>
      <w:r w:rsidR="00EF4463" w:rsidRPr="00B90907">
        <w:rPr>
          <w:sz w:val="20"/>
          <w:szCs w:val="20"/>
        </w:rPr>
        <w:t>Elsayed</w:t>
      </w:r>
      <w:proofErr w:type="spellEnd"/>
      <w:r w:rsidR="00EF4463" w:rsidRPr="00B90907">
        <w:rPr>
          <w:sz w:val="20"/>
          <w:szCs w:val="20"/>
        </w:rPr>
        <w:t xml:space="preserve"> 2007). </w:t>
      </w:r>
    </w:p>
    <w:p w:rsidR="00B90907" w:rsidRPr="00B90907" w:rsidRDefault="00B90907" w:rsidP="00B90907">
      <w:pPr>
        <w:pStyle w:val="ListParagraph"/>
        <w:spacing w:line="360" w:lineRule="auto"/>
        <w:jc w:val="both"/>
        <w:rPr>
          <w:sz w:val="20"/>
          <w:szCs w:val="20"/>
        </w:rPr>
      </w:pPr>
    </w:p>
    <w:p w:rsidR="00EF4463" w:rsidRPr="00B90907" w:rsidRDefault="0020270B" w:rsidP="00B90907">
      <w:pPr>
        <w:pStyle w:val="ListParagraph"/>
        <w:spacing w:line="360" w:lineRule="auto"/>
        <w:jc w:val="both"/>
        <w:rPr>
          <w:sz w:val="20"/>
          <w:szCs w:val="20"/>
        </w:rPr>
      </w:pPr>
      <w:r>
        <w:rPr>
          <w:sz w:val="20"/>
          <w:szCs w:val="20"/>
        </w:rPr>
        <w:t>Despite not being</w:t>
      </w:r>
      <w:r w:rsidR="00EF4463" w:rsidRPr="00B90907">
        <w:rPr>
          <w:sz w:val="20"/>
          <w:szCs w:val="20"/>
        </w:rPr>
        <w:t xml:space="preserve"> absolutely supported empirically, the call for a separation of power has received tremendous </w:t>
      </w:r>
      <w:r w:rsidR="00157FA7">
        <w:rPr>
          <w:sz w:val="20"/>
          <w:szCs w:val="20"/>
        </w:rPr>
        <w:t xml:space="preserve">citations </w:t>
      </w:r>
      <w:r w:rsidR="00EF4463" w:rsidRPr="00B90907">
        <w:rPr>
          <w:sz w:val="20"/>
          <w:szCs w:val="20"/>
        </w:rPr>
        <w:t>(</w:t>
      </w:r>
      <w:proofErr w:type="spellStart"/>
      <w:r w:rsidR="00EF4463" w:rsidRPr="00B90907">
        <w:rPr>
          <w:sz w:val="20"/>
          <w:szCs w:val="20"/>
        </w:rPr>
        <w:t>Faleye</w:t>
      </w:r>
      <w:proofErr w:type="spellEnd"/>
      <w:r w:rsidR="00EF4463" w:rsidRPr="00B90907">
        <w:rPr>
          <w:sz w:val="20"/>
          <w:szCs w:val="20"/>
        </w:rPr>
        <w:t xml:space="preserve"> 2007). The Nigerian SEC Code had </w:t>
      </w:r>
      <w:r w:rsidR="00157FA7">
        <w:rPr>
          <w:sz w:val="20"/>
          <w:szCs w:val="20"/>
        </w:rPr>
        <w:t>equally</w:t>
      </w:r>
      <w:r>
        <w:rPr>
          <w:sz w:val="20"/>
          <w:szCs w:val="20"/>
        </w:rPr>
        <w:t xml:space="preserve"> </w:t>
      </w:r>
      <w:r w:rsidR="00EF4463" w:rsidRPr="00B90907">
        <w:rPr>
          <w:sz w:val="20"/>
          <w:szCs w:val="20"/>
        </w:rPr>
        <w:t xml:space="preserve">offered similar endorsement encouraging CEO non-duality. </w:t>
      </w:r>
      <w:r>
        <w:rPr>
          <w:sz w:val="20"/>
          <w:szCs w:val="20"/>
        </w:rPr>
        <w:t xml:space="preserve">Consequently, </w:t>
      </w:r>
      <w:r w:rsidR="00EF4463" w:rsidRPr="00B90907">
        <w:rPr>
          <w:sz w:val="20"/>
          <w:szCs w:val="20"/>
        </w:rPr>
        <w:t>this study adopt</w:t>
      </w:r>
      <w:r>
        <w:rPr>
          <w:sz w:val="20"/>
          <w:szCs w:val="20"/>
        </w:rPr>
        <w:t>ed</w:t>
      </w:r>
      <w:r w:rsidR="00EF4463" w:rsidRPr="00B90907">
        <w:rPr>
          <w:sz w:val="20"/>
          <w:szCs w:val="20"/>
        </w:rPr>
        <w:t xml:space="preserve"> the following hypothesis:</w:t>
      </w:r>
    </w:p>
    <w:p w:rsidR="00EF4463" w:rsidRPr="00173E54" w:rsidRDefault="00EF4463" w:rsidP="0077649D">
      <w:pPr>
        <w:pStyle w:val="ListParagraph"/>
        <w:jc w:val="both"/>
        <w:rPr>
          <w:i/>
          <w:sz w:val="16"/>
          <w:szCs w:val="16"/>
        </w:rPr>
      </w:pPr>
    </w:p>
    <w:p w:rsidR="00EF4463" w:rsidRPr="00B90907" w:rsidRDefault="00EF4463" w:rsidP="00B90907">
      <w:pPr>
        <w:pStyle w:val="ListParagraph"/>
        <w:spacing w:line="360" w:lineRule="auto"/>
        <w:ind w:left="1440"/>
        <w:jc w:val="both"/>
        <w:rPr>
          <w:i/>
          <w:sz w:val="20"/>
          <w:szCs w:val="20"/>
        </w:rPr>
      </w:pPr>
      <w:r w:rsidRPr="00B90907">
        <w:rPr>
          <w:i/>
          <w:sz w:val="20"/>
          <w:szCs w:val="20"/>
        </w:rPr>
        <w:t>Hypothesis 3:</w:t>
      </w:r>
    </w:p>
    <w:p w:rsidR="00EF4463" w:rsidRPr="00B90907" w:rsidRDefault="00EF4463" w:rsidP="00B90907">
      <w:pPr>
        <w:pStyle w:val="ListParagraph"/>
        <w:spacing w:line="360" w:lineRule="auto"/>
        <w:ind w:left="1440"/>
        <w:jc w:val="both"/>
        <w:rPr>
          <w:i/>
          <w:sz w:val="20"/>
          <w:szCs w:val="20"/>
        </w:rPr>
      </w:pPr>
      <w:r w:rsidRPr="00B90907">
        <w:rPr>
          <w:i/>
          <w:sz w:val="20"/>
          <w:szCs w:val="20"/>
        </w:rPr>
        <w:t>H</w:t>
      </w:r>
      <w:r w:rsidRPr="00B90907">
        <w:rPr>
          <w:rFonts w:ascii="Calibri" w:hAnsi="Calibri"/>
          <w:i/>
          <w:sz w:val="20"/>
          <w:szCs w:val="20"/>
        </w:rPr>
        <w:t>ₒ</w:t>
      </w:r>
      <w:r w:rsidRPr="00B90907">
        <w:rPr>
          <w:i/>
          <w:sz w:val="20"/>
          <w:szCs w:val="20"/>
        </w:rPr>
        <w:t xml:space="preserve">: There is a statistically significant negative link between the adoption of a dual CEO leadership structure and the performance of listed firms in Nigeria. </w:t>
      </w:r>
    </w:p>
    <w:p w:rsidR="00132245" w:rsidRPr="00B90907" w:rsidRDefault="00132245" w:rsidP="00B90907">
      <w:pPr>
        <w:pStyle w:val="ListParagraph"/>
        <w:spacing w:line="360" w:lineRule="auto"/>
        <w:ind w:left="1440"/>
        <w:jc w:val="both"/>
        <w:rPr>
          <w:i/>
          <w:sz w:val="20"/>
          <w:szCs w:val="20"/>
        </w:rPr>
      </w:pPr>
    </w:p>
    <w:p w:rsidR="00400193" w:rsidRPr="00A37F3F" w:rsidRDefault="00400193" w:rsidP="00FE4BFE">
      <w:pPr>
        <w:pStyle w:val="ListParagraph"/>
        <w:spacing w:line="360" w:lineRule="auto"/>
        <w:jc w:val="both"/>
        <w:rPr>
          <w:b/>
          <w:sz w:val="20"/>
          <w:szCs w:val="20"/>
        </w:rPr>
      </w:pPr>
      <w:r w:rsidRPr="00A37F3F">
        <w:rPr>
          <w:b/>
          <w:sz w:val="20"/>
          <w:szCs w:val="20"/>
        </w:rPr>
        <w:t>Board Diversity</w:t>
      </w:r>
    </w:p>
    <w:p w:rsidR="00F86D6A" w:rsidRDefault="000938C7" w:rsidP="00FE4BFE">
      <w:pPr>
        <w:pStyle w:val="ListParagraph"/>
        <w:spacing w:line="360" w:lineRule="auto"/>
        <w:jc w:val="both"/>
        <w:rPr>
          <w:sz w:val="20"/>
          <w:szCs w:val="20"/>
        </w:rPr>
      </w:pPr>
      <w:r>
        <w:rPr>
          <w:sz w:val="20"/>
          <w:szCs w:val="20"/>
        </w:rPr>
        <w:t xml:space="preserve">Globalisation </w:t>
      </w:r>
      <w:r w:rsidR="00A37F3F" w:rsidRPr="00A37F3F">
        <w:rPr>
          <w:sz w:val="20"/>
          <w:szCs w:val="20"/>
        </w:rPr>
        <w:t xml:space="preserve">has </w:t>
      </w:r>
      <w:r w:rsidR="00C42996">
        <w:rPr>
          <w:sz w:val="20"/>
          <w:szCs w:val="20"/>
        </w:rPr>
        <w:t xml:space="preserve">increasingly </w:t>
      </w:r>
      <w:r w:rsidR="00A37F3F" w:rsidRPr="00A37F3F">
        <w:rPr>
          <w:sz w:val="20"/>
          <w:szCs w:val="20"/>
        </w:rPr>
        <w:t xml:space="preserve">changed the dynamics of firm composition in terms of workforce. People of different diverse demographic and cognitive backgrounds are being co-opted into working together to achieve a common goal (see: Gomez-Mejia </w:t>
      </w:r>
      <w:r w:rsidR="00A37F3F" w:rsidRPr="00416FAA">
        <w:rPr>
          <w:sz w:val="20"/>
          <w:szCs w:val="20"/>
        </w:rPr>
        <w:t>et al</w:t>
      </w:r>
      <w:r w:rsidR="00416FAA">
        <w:rPr>
          <w:sz w:val="20"/>
          <w:szCs w:val="20"/>
        </w:rPr>
        <w:t>.</w:t>
      </w:r>
      <w:r w:rsidR="00A37F3F" w:rsidRPr="00416FAA">
        <w:rPr>
          <w:sz w:val="20"/>
          <w:szCs w:val="20"/>
        </w:rPr>
        <w:t xml:space="preserve"> </w:t>
      </w:r>
      <w:r w:rsidR="00A37F3F" w:rsidRPr="00A37F3F">
        <w:rPr>
          <w:sz w:val="20"/>
          <w:szCs w:val="20"/>
        </w:rPr>
        <w:t>2005).</w:t>
      </w:r>
      <w:r w:rsidR="00491F5B">
        <w:rPr>
          <w:sz w:val="20"/>
          <w:szCs w:val="20"/>
        </w:rPr>
        <w:t xml:space="preserve"> </w:t>
      </w:r>
      <w:r w:rsidR="00400193" w:rsidRPr="00F86D6A">
        <w:rPr>
          <w:sz w:val="20"/>
          <w:szCs w:val="20"/>
        </w:rPr>
        <w:t>At the board level, diversity entails having a board compos</w:t>
      </w:r>
      <w:r w:rsidR="00F321A2">
        <w:rPr>
          <w:sz w:val="20"/>
          <w:szCs w:val="20"/>
        </w:rPr>
        <w:t>ition</w:t>
      </w:r>
      <w:r w:rsidR="00400193" w:rsidRPr="00F86D6A">
        <w:rPr>
          <w:sz w:val="20"/>
          <w:szCs w:val="20"/>
        </w:rPr>
        <w:t xml:space="preserve"> of directors not only from different cultural, ethnic, national, and other racial divides, but also of competent, qualified and experienced individuals from diverse background who bring to bear their versatility and external connections. Board diversity can be subdivided into demographic and cognitive characteristics. While board demographic features are easily recognisable, the cognitive characteristics are not obvious. </w:t>
      </w:r>
      <w:r w:rsidR="00B578A2">
        <w:rPr>
          <w:sz w:val="20"/>
          <w:szCs w:val="20"/>
        </w:rPr>
        <w:t xml:space="preserve">To this end, significant numbers of previous </w:t>
      </w:r>
      <w:r w:rsidR="00400193" w:rsidRPr="00F86D6A">
        <w:rPr>
          <w:sz w:val="20"/>
          <w:szCs w:val="20"/>
        </w:rPr>
        <w:t>studies</w:t>
      </w:r>
      <w:r w:rsidR="00E05168" w:rsidRPr="00F86D6A">
        <w:rPr>
          <w:sz w:val="20"/>
          <w:szCs w:val="20"/>
        </w:rPr>
        <w:t xml:space="preserve"> </w:t>
      </w:r>
      <w:r w:rsidR="00400193" w:rsidRPr="00F86D6A">
        <w:rPr>
          <w:sz w:val="20"/>
          <w:szCs w:val="20"/>
        </w:rPr>
        <w:t>have placed greater emphasis on demographic components such as gender, age, race, nationality</w:t>
      </w:r>
      <w:r w:rsidR="00E05168" w:rsidRPr="00F86D6A">
        <w:rPr>
          <w:sz w:val="20"/>
          <w:szCs w:val="20"/>
        </w:rPr>
        <w:t xml:space="preserve"> and </w:t>
      </w:r>
      <w:r w:rsidR="00400193" w:rsidRPr="00F86D6A">
        <w:rPr>
          <w:sz w:val="20"/>
          <w:szCs w:val="20"/>
        </w:rPr>
        <w:t xml:space="preserve">ethnicity </w:t>
      </w:r>
      <w:r w:rsidR="00E05168" w:rsidRPr="00F86D6A">
        <w:rPr>
          <w:sz w:val="20"/>
          <w:szCs w:val="20"/>
        </w:rPr>
        <w:t xml:space="preserve">because of its </w:t>
      </w:r>
      <w:r w:rsidR="00B578A2">
        <w:rPr>
          <w:sz w:val="20"/>
          <w:szCs w:val="20"/>
        </w:rPr>
        <w:t xml:space="preserve">perceived </w:t>
      </w:r>
      <w:r w:rsidR="00E05168" w:rsidRPr="00F86D6A">
        <w:rPr>
          <w:sz w:val="20"/>
          <w:szCs w:val="20"/>
        </w:rPr>
        <w:t>empirical simplicity</w:t>
      </w:r>
      <w:r w:rsidR="00400193" w:rsidRPr="00F86D6A">
        <w:rPr>
          <w:sz w:val="20"/>
          <w:szCs w:val="20"/>
        </w:rPr>
        <w:t xml:space="preserve"> </w:t>
      </w:r>
      <w:r w:rsidR="00E05168" w:rsidRPr="00F86D6A">
        <w:rPr>
          <w:sz w:val="20"/>
          <w:szCs w:val="20"/>
        </w:rPr>
        <w:t>(</w:t>
      </w:r>
      <w:proofErr w:type="spellStart"/>
      <w:r w:rsidR="00E05168" w:rsidRPr="00F86D6A">
        <w:rPr>
          <w:sz w:val="20"/>
          <w:szCs w:val="20"/>
        </w:rPr>
        <w:t>Lückerath</w:t>
      </w:r>
      <w:proofErr w:type="spellEnd"/>
      <w:r w:rsidR="00E05168" w:rsidRPr="00F86D6A">
        <w:rPr>
          <w:sz w:val="20"/>
          <w:szCs w:val="20"/>
        </w:rPr>
        <w:t xml:space="preserve">-Rovers 2011; </w:t>
      </w:r>
      <w:proofErr w:type="spellStart"/>
      <w:r w:rsidR="00400193" w:rsidRPr="00F86D6A">
        <w:rPr>
          <w:sz w:val="20"/>
          <w:szCs w:val="20"/>
        </w:rPr>
        <w:t>Hagendorff</w:t>
      </w:r>
      <w:proofErr w:type="spellEnd"/>
      <w:r w:rsidR="00400193" w:rsidRPr="00F86D6A">
        <w:rPr>
          <w:sz w:val="20"/>
          <w:szCs w:val="20"/>
        </w:rPr>
        <w:t xml:space="preserve"> and Keasey 2010; Campbell and </w:t>
      </w:r>
      <w:proofErr w:type="spellStart"/>
      <w:r w:rsidR="00400193" w:rsidRPr="00F86D6A">
        <w:rPr>
          <w:sz w:val="20"/>
          <w:szCs w:val="20"/>
        </w:rPr>
        <w:t>Mίnguez</w:t>
      </w:r>
      <w:proofErr w:type="spellEnd"/>
      <w:r w:rsidR="00400193" w:rsidRPr="00F86D6A">
        <w:rPr>
          <w:sz w:val="20"/>
          <w:szCs w:val="20"/>
        </w:rPr>
        <w:t xml:space="preserve">-Vera 2008). </w:t>
      </w:r>
      <w:r w:rsidR="00E05168" w:rsidRPr="00F86D6A">
        <w:rPr>
          <w:sz w:val="20"/>
          <w:szCs w:val="20"/>
        </w:rPr>
        <w:t>Only v</w:t>
      </w:r>
      <w:r w:rsidR="00400193" w:rsidRPr="00F86D6A">
        <w:rPr>
          <w:sz w:val="20"/>
          <w:szCs w:val="20"/>
        </w:rPr>
        <w:t>ery few studies on board diversity can be found on cognitive-related issues such as directors’ educational qualifications, professional memberships, industry experience and external network density</w:t>
      </w:r>
      <w:r w:rsidR="00E05168" w:rsidRPr="00F86D6A">
        <w:rPr>
          <w:sz w:val="20"/>
          <w:szCs w:val="20"/>
        </w:rPr>
        <w:t xml:space="preserve"> (see: Anderson </w:t>
      </w:r>
      <w:r w:rsidR="00E05168" w:rsidRPr="00416FAA">
        <w:rPr>
          <w:sz w:val="20"/>
          <w:szCs w:val="20"/>
        </w:rPr>
        <w:t>et al.</w:t>
      </w:r>
      <w:r w:rsidR="00E05168" w:rsidRPr="00F86D6A">
        <w:rPr>
          <w:i/>
          <w:sz w:val="20"/>
          <w:szCs w:val="20"/>
        </w:rPr>
        <w:t xml:space="preserve"> </w:t>
      </w:r>
      <w:r w:rsidR="00E05168" w:rsidRPr="00F86D6A">
        <w:rPr>
          <w:sz w:val="20"/>
          <w:szCs w:val="20"/>
        </w:rPr>
        <w:t xml:space="preserve">2011). </w:t>
      </w:r>
    </w:p>
    <w:p w:rsidR="00F86D6A" w:rsidRDefault="00F86D6A" w:rsidP="00FE4BFE">
      <w:pPr>
        <w:pStyle w:val="ListParagraph"/>
        <w:spacing w:line="360" w:lineRule="auto"/>
        <w:jc w:val="both"/>
        <w:rPr>
          <w:sz w:val="20"/>
          <w:szCs w:val="20"/>
        </w:rPr>
      </w:pPr>
    </w:p>
    <w:p w:rsidR="00400193" w:rsidRPr="00B578A2" w:rsidRDefault="00AD45E4" w:rsidP="00FE4BFE">
      <w:pPr>
        <w:pStyle w:val="ListParagraph"/>
        <w:spacing w:line="360" w:lineRule="auto"/>
        <w:jc w:val="both"/>
        <w:rPr>
          <w:sz w:val="20"/>
          <w:szCs w:val="20"/>
        </w:rPr>
      </w:pPr>
      <w:r>
        <w:rPr>
          <w:sz w:val="20"/>
          <w:szCs w:val="20"/>
        </w:rPr>
        <w:lastRenderedPageBreak/>
        <w:t>E</w:t>
      </w:r>
      <w:r w:rsidR="00400193" w:rsidRPr="00B578A2">
        <w:rPr>
          <w:sz w:val="20"/>
          <w:szCs w:val="20"/>
        </w:rPr>
        <w:t xml:space="preserve">arly debates on the importance of board diversity are concerned with whether the directors’ gender </w:t>
      </w:r>
      <w:r w:rsidR="00F86D6A" w:rsidRPr="00B578A2">
        <w:rPr>
          <w:sz w:val="20"/>
          <w:szCs w:val="20"/>
        </w:rPr>
        <w:t>diversity;</w:t>
      </w:r>
      <w:r w:rsidR="00400193" w:rsidRPr="00B578A2">
        <w:rPr>
          <w:sz w:val="20"/>
          <w:szCs w:val="20"/>
        </w:rPr>
        <w:t xml:space="preserve"> specifically the presence of female directors enhances the effectiveness of corporate boards. This aspect has resulted in two lines of argument</w:t>
      </w:r>
      <w:r w:rsidR="00F86D6A" w:rsidRPr="00B578A2">
        <w:rPr>
          <w:sz w:val="20"/>
          <w:szCs w:val="20"/>
        </w:rPr>
        <w:t>s</w:t>
      </w:r>
      <w:r w:rsidR="00B578A2" w:rsidRPr="00B578A2">
        <w:rPr>
          <w:sz w:val="20"/>
          <w:szCs w:val="20"/>
        </w:rPr>
        <w:t xml:space="preserve"> i.e. the </w:t>
      </w:r>
      <w:r w:rsidR="00400193" w:rsidRPr="00B578A2">
        <w:rPr>
          <w:sz w:val="20"/>
          <w:szCs w:val="20"/>
        </w:rPr>
        <w:t xml:space="preserve">corporate fair play </w:t>
      </w:r>
      <w:r w:rsidR="00B578A2" w:rsidRPr="00B578A2">
        <w:rPr>
          <w:sz w:val="20"/>
          <w:szCs w:val="20"/>
        </w:rPr>
        <w:t>built on “</w:t>
      </w:r>
      <w:r w:rsidR="00B578A2" w:rsidRPr="00B578A2">
        <w:rPr>
          <w:i/>
          <w:sz w:val="20"/>
          <w:szCs w:val="20"/>
        </w:rPr>
        <w:t>equality</w:t>
      </w:r>
      <w:r w:rsidR="00B578A2" w:rsidRPr="00B578A2">
        <w:rPr>
          <w:sz w:val="20"/>
          <w:szCs w:val="20"/>
        </w:rPr>
        <w:t xml:space="preserve">” </w:t>
      </w:r>
      <w:r w:rsidR="00400193" w:rsidRPr="00B578A2">
        <w:rPr>
          <w:sz w:val="20"/>
          <w:szCs w:val="20"/>
        </w:rPr>
        <w:t xml:space="preserve">and </w:t>
      </w:r>
      <w:r w:rsidR="00B578A2" w:rsidRPr="00B578A2">
        <w:rPr>
          <w:sz w:val="20"/>
          <w:szCs w:val="20"/>
        </w:rPr>
        <w:t xml:space="preserve">value </w:t>
      </w:r>
      <w:r w:rsidR="00400193" w:rsidRPr="00B578A2">
        <w:rPr>
          <w:sz w:val="20"/>
          <w:szCs w:val="20"/>
        </w:rPr>
        <w:t>maximisation</w:t>
      </w:r>
      <w:r w:rsidR="00B578A2" w:rsidRPr="00B578A2">
        <w:rPr>
          <w:sz w:val="20"/>
          <w:szCs w:val="20"/>
        </w:rPr>
        <w:t xml:space="preserve"> which </w:t>
      </w:r>
      <w:r w:rsidR="00400193" w:rsidRPr="00B578A2">
        <w:rPr>
          <w:sz w:val="20"/>
          <w:szCs w:val="20"/>
        </w:rPr>
        <w:t>represents the “</w:t>
      </w:r>
      <w:r w:rsidR="00400193" w:rsidRPr="00B578A2">
        <w:rPr>
          <w:i/>
          <w:sz w:val="20"/>
          <w:szCs w:val="20"/>
        </w:rPr>
        <w:t>business case”</w:t>
      </w:r>
      <w:r w:rsidR="00400193" w:rsidRPr="00B578A2">
        <w:rPr>
          <w:sz w:val="20"/>
          <w:szCs w:val="20"/>
        </w:rPr>
        <w:t xml:space="preserve"> for board diversity</w:t>
      </w:r>
      <w:r w:rsidR="00B578A2" w:rsidRPr="00B578A2">
        <w:rPr>
          <w:sz w:val="20"/>
          <w:szCs w:val="20"/>
        </w:rPr>
        <w:t xml:space="preserve"> (see: Carter </w:t>
      </w:r>
      <w:r w:rsidR="00B578A2" w:rsidRPr="00416FAA">
        <w:rPr>
          <w:sz w:val="20"/>
          <w:szCs w:val="20"/>
        </w:rPr>
        <w:t>et al.</w:t>
      </w:r>
      <w:r w:rsidR="00B578A2" w:rsidRPr="00B578A2">
        <w:rPr>
          <w:sz w:val="20"/>
          <w:szCs w:val="20"/>
        </w:rPr>
        <w:t xml:space="preserve"> 2003). </w:t>
      </w:r>
      <w:r w:rsidR="00400193" w:rsidRPr="00B578A2">
        <w:rPr>
          <w:sz w:val="20"/>
          <w:szCs w:val="20"/>
        </w:rPr>
        <w:t xml:space="preserve">Anchored in the stakeholder theory, advocates of corporate fairness argue in favour of the need to involve people of different races, sexes and cultures in the management and running of corporations, especially at the top level (Hagendorff and Keasey 2010). </w:t>
      </w:r>
      <w:r w:rsidR="00B578A2" w:rsidRPr="00B578A2">
        <w:rPr>
          <w:sz w:val="20"/>
          <w:szCs w:val="20"/>
        </w:rPr>
        <w:t xml:space="preserve"> </w:t>
      </w:r>
      <w:r w:rsidR="00400193" w:rsidRPr="00B578A2">
        <w:rPr>
          <w:sz w:val="20"/>
          <w:szCs w:val="20"/>
        </w:rPr>
        <w:t xml:space="preserve">Regarding the business case, board diversity </w:t>
      </w:r>
      <w:r w:rsidR="002F7BBF">
        <w:rPr>
          <w:sz w:val="20"/>
          <w:szCs w:val="20"/>
        </w:rPr>
        <w:t xml:space="preserve">issues are </w:t>
      </w:r>
      <w:r w:rsidR="00400193" w:rsidRPr="00B578A2">
        <w:rPr>
          <w:sz w:val="20"/>
          <w:szCs w:val="20"/>
        </w:rPr>
        <w:t xml:space="preserve">entrenched in both the agency and resource dependency theories of corporate governance. Boards of directors composed of individuals from diverse demographic and cognitive backgrounds are seen as corporate assets whose synergistic effects are linked to increased firm performance (Hagendorff and Keasey 2010). Gender equality advocates have </w:t>
      </w:r>
      <w:r w:rsidR="00B578A2" w:rsidRPr="00B578A2">
        <w:rPr>
          <w:sz w:val="20"/>
          <w:szCs w:val="20"/>
        </w:rPr>
        <w:t xml:space="preserve">thus </w:t>
      </w:r>
      <w:r w:rsidR="00400193" w:rsidRPr="00B578A2">
        <w:rPr>
          <w:sz w:val="20"/>
          <w:szCs w:val="20"/>
        </w:rPr>
        <w:t xml:space="preserve">argued that women with excellent cognitive abilities need not be discriminated against, as they are just as capable of contributing meaningfully to board deliberations as their male counterparts (Carter </w:t>
      </w:r>
      <w:r w:rsidR="00400193" w:rsidRPr="00416FAA">
        <w:rPr>
          <w:sz w:val="20"/>
          <w:szCs w:val="20"/>
        </w:rPr>
        <w:t>et al.</w:t>
      </w:r>
      <w:r w:rsidR="00400193" w:rsidRPr="00B578A2">
        <w:rPr>
          <w:i/>
          <w:sz w:val="20"/>
          <w:szCs w:val="20"/>
        </w:rPr>
        <w:t xml:space="preserve"> </w:t>
      </w:r>
      <w:r w:rsidR="00400193" w:rsidRPr="00B578A2">
        <w:rPr>
          <w:sz w:val="20"/>
          <w:szCs w:val="20"/>
        </w:rPr>
        <w:t xml:space="preserve">2010). Kang </w:t>
      </w:r>
      <w:r w:rsidR="00400193" w:rsidRPr="00416FAA">
        <w:rPr>
          <w:sz w:val="20"/>
          <w:szCs w:val="20"/>
        </w:rPr>
        <w:t>et al.</w:t>
      </w:r>
      <w:r w:rsidR="00400193" w:rsidRPr="00B578A2">
        <w:rPr>
          <w:i/>
          <w:sz w:val="20"/>
          <w:szCs w:val="20"/>
        </w:rPr>
        <w:t xml:space="preserve"> </w:t>
      </w:r>
      <w:r w:rsidR="00400193" w:rsidRPr="00B578A2">
        <w:rPr>
          <w:sz w:val="20"/>
          <w:szCs w:val="20"/>
        </w:rPr>
        <w:t xml:space="preserve">(2007) </w:t>
      </w:r>
      <w:r w:rsidR="00B578A2" w:rsidRPr="00B578A2">
        <w:rPr>
          <w:sz w:val="20"/>
          <w:szCs w:val="20"/>
        </w:rPr>
        <w:t>observed</w:t>
      </w:r>
      <w:r w:rsidR="00400193" w:rsidRPr="00B578A2">
        <w:rPr>
          <w:sz w:val="20"/>
          <w:szCs w:val="20"/>
        </w:rPr>
        <w:t xml:space="preserve"> that female directors are much more independent as they are usually detached from the “</w:t>
      </w:r>
      <w:r w:rsidR="00400193" w:rsidRPr="00B578A2">
        <w:rPr>
          <w:i/>
          <w:sz w:val="20"/>
          <w:szCs w:val="20"/>
        </w:rPr>
        <w:t>old boys</w:t>
      </w:r>
      <w:r w:rsidR="00400193" w:rsidRPr="00B578A2">
        <w:rPr>
          <w:sz w:val="20"/>
          <w:szCs w:val="20"/>
        </w:rPr>
        <w:t xml:space="preserve">” syndrome, which allows them to offer an unbiased perspective during board meetings. </w:t>
      </w:r>
    </w:p>
    <w:p w:rsidR="00400193" w:rsidRPr="00360578" w:rsidRDefault="00400193" w:rsidP="00FE4BFE">
      <w:pPr>
        <w:pStyle w:val="ListParagraph"/>
        <w:spacing w:line="360" w:lineRule="auto"/>
        <w:jc w:val="both"/>
        <w:rPr>
          <w:sz w:val="16"/>
          <w:szCs w:val="16"/>
        </w:rPr>
      </w:pPr>
    </w:p>
    <w:p w:rsidR="00511E46" w:rsidRPr="000C1956" w:rsidRDefault="00B578A2" w:rsidP="00FE4BFE">
      <w:pPr>
        <w:pStyle w:val="ListParagraph"/>
        <w:spacing w:line="360" w:lineRule="auto"/>
        <w:jc w:val="both"/>
        <w:rPr>
          <w:sz w:val="20"/>
          <w:szCs w:val="20"/>
        </w:rPr>
      </w:pPr>
      <w:r w:rsidRPr="000C1956">
        <w:rPr>
          <w:sz w:val="20"/>
          <w:szCs w:val="20"/>
        </w:rPr>
        <w:t>Interestingly, a new</w:t>
      </w:r>
      <w:r w:rsidR="00400193" w:rsidRPr="000C1956">
        <w:rPr>
          <w:sz w:val="20"/>
          <w:szCs w:val="20"/>
        </w:rPr>
        <w:t xml:space="preserve"> paradigm shift has </w:t>
      </w:r>
      <w:r w:rsidR="00E27CD3" w:rsidRPr="000C1956">
        <w:rPr>
          <w:sz w:val="20"/>
          <w:szCs w:val="20"/>
        </w:rPr>
        <w:t>emerged</w:t>
      </w:r>
      <w:r w:rsidR="00400193" w:rsidRPr="000C1956">
        <w:rPr>
          <w:sz w:val="20"/>
          <w:szCs w:val="20"/>
        </w:rPr>
        <w:t xml:space="preserve"> in the board diversity debate, with more focus on directors’ cognitive characteristics,</w:t>
      </w:r>
      <w:r w:rsidR="00AB4617" w:rsidRPr="000C1956">
        <w:rPr>
          <w:sz w:val="20"/>
          <w:szCs w:val="20"/>
        </w:rPr>
        <w:t xml:space="preserve"> an aspect which had been under</w:t>
      </w:r>
      <w:r w:rsidR="00400193" w:rsidRPr="000C1956">
        <w:rPr>
          <w:sz w:val="20"/>
          <w:szCs w:val="20"/>
        </w:rPr>
        <w:t xml:space="preserve">-studied </w:t>
      </w:r>
      <w:r w:rsidR="00AB4617" w:rsidRPr="000C1956">
        <w:rPr>
          <w:sz w:val="20"/>
          <w:szCs w:val="20"/>
        </w:rPr>
        <w:t>in the past (see: Darmadi 2013).</w:t>
      </w:r>
      <w:r w:rsidR="00E27CD3" w:rsidRPr="000C1956">
        <w:rPr>
          <w:sz w:val="20"/>
          <w:szCs w:val="20"/>
        </w:rPr>
        <w:t xml:space="preserve"> Issues related to academic qualifications have received most of the interest with predominant empirical works focusing on the effects of the directors’ level of education on firm performance. Kim and Lim (2010) found that directors’ fulfilment of their advisory role increases when they possess certain academic qualifications, especially in the areas of business and law. Advocates of cognitive board diversity strongly believe that the effectiveness of corporate board lies in the directors’ aggregate competencies, which shape the quality of deliberation that goes on inside the boardroom. According to Lückerath-Rovers (2011) the cognitive heterogeneity among board</w:t>
      </w:r>
      <w:r w:rsidR="00511E46" w:rsidRPr="000C1956">
        <w:rPr>
          <w:sz w:val="20"/>
          <w:szCs w:val="20"/>
        </w:rPr>
        <w:t xml:space="preserve"> members</w:t>
      </w:r>
      <w:r w:rsidR="00E27CD3" w:rsidRPr="000C1956">
        <w:rPr>
          <w:sz w:val="20"/>
          <w:szCs w:val="20"/>
        </w:rPr>
        <w:t xml:space="preserve"> facilitates access to vital industry information that guides corporate strategic decisions.</w:t>
      </w:r>
      <w:r w:rsidR="00511E46" w:rsidRPr="000C1956">
        <w:rPr>
          <w:sz w:val="20"/>
          <w:szCs w:val="20"/>
        </w:rPr>
        <w:t xml:space="preserve"> As a firm evolves from a single-country operator into a global player, understanding the unique characteristics of each market segment becomes more important for corporate strategic planning and firm competitiveness. Therefore, the composition of the board of directors that will ultimately make corporate strategy decisions needs to reflect the diversity in the marketplace. </w:t>
      </w:r>
      <w:proofErr w:type="spellStart"/>
      <w:r w:rsidR="00511E46" w:rsidRPr="000C1956">
        <w:rPr>
          <w:sz w:val="20"/>
          <w:szCs w:val="20"/>
        </w:rPr>
        <w:t>Eklund</w:t>
      </w:r>
      <w:proofErr w:type="spellEnd"/>
      <w:r w:rsidR="00511E46" w:rsidRPr="000C1956">
        <w:rPr>
          <w:sz w:val="20"/>
          <w:szCs w:val="20"/>
        </w:rPr>
        <w:t xml:space="preserve"> </w:t>
      </w:r>
      <w:r w:rsidR="00511E46" w:rsidRPr="00621A8A">
        <w:rPr>
          <w:sz w:val="20"/>
          <w:szCs w:val="20"/>
        </w:rPr>
        <w:t>et al.</w:t>
      </w:r>
      <w:r w:rsidR="00511E46" w:rsidRPr="000C1956">
        <w:rPr>
          <w:sz w:val="20"/>
          <w:szCs w:val="20"/>
        </w:rPr>
        <w:t xml:space="preserve"> (2009) noted that these diverse board memberships enhance a firm’s ability to comprehend and keep track of changes in the external environment. </w:t>
      </w:r>
      <w:r w:rsidR="00400193" w:rsidRPr="000C1956">
        <w:rPr>
          <w:sz w:val="20"/>
          <w:szCs w:val="20"/>
        </w:rPr>
        <w:t xml:space="preserve">Walt and </w:t>
      </w:r>
      <w:proofErr w:type="spellStart"/>
      <w:r w:rsidR="00400193" w:rsidRPr="000C1956">
        <w:rPr>
          <w:sz w:val="20"/>
          <w:szCs w:val="20"/>
        </w:rPr>
        <w:t>Ingley</w:t>
      </w:r>
      <w:proofErr w:type="spellEnd"/>
      <w:r w:rsidR="00400193" w:rsidRPr="000C1956">
        <w:rPr>
          <w:sz w:val="20"/>
          <w:szCs w:val="20"/>
        </w:rPr>
        <w:t xml:space="preserve"> (2003) argued that directors’ cognitive characteristics are social capital that firms with a diversified board composition can tap into. The presence of well-connected directors, which usually accompanies diversity in the boardroom, makes it easier for firms to raise funds and attract other critical resources from the public. Nordberg (2011) </w:t>
      </w:r>
      <w:r w:rsidR="00511E46" w:rsidRPr="000C1956">
        <w:rPr>
          <w:sz w:val="20"/>
          <w:szCs w:val="20"/>
        </w:rPr>
        <w:t>contended</w:t>
      </w:r>
      <w:r w:rsidR="00400193" w:rsidRPr="000C1956">
        <w:rPr>
          <w:sz w:val="20"/>
          <w:szCs w:val="20"/>
        </w:rPr>
        <w:t xml:space="preserve"> that th</w:t>
      </w:r>
      <w:r w:rsidR="00511E46" w:rsidRPr="000C1956">
        <w:rPr>
          <w:sz w:val="20"/>
          <w:szCs w:val="20"/>
        </w:rPr>
        <w:t>ese</w:t>
      </w:r>
      <w:r w:rsidR="00400193" w:rsidRPr="000C1956">
        <w:rPr>
          <w:sz w:val="20"/>
          <w:szCs w:val="20"/>
        </w:rPr>
        <w:t xml:space="preserve"> included not only access to cheap capital, but also favourable regulatory treatment. </w:t>
      </w:r>
    </w:p>
    <w:p w:rsidR="00511E46" w:rsidRDefault="00511E46" w:rsidP="00FE4BFE">
      <w:pPr>
        <w:pStyle w:val="ListParagraph"/>
        <w:spacing w:line="360" w:lineRule="auto"/>
        <w:jc w:val="both"/>
        <w:rPr>
          <w:sz w:val="16"/>
          <w:szCs w:val="16"/>
        </w:rPr>
      </w:pPr>
    </w:p>
    <w:p w:rsidR="00400193" w:rsidRPr="00FE4BFE" w:rsidRDefault="00511E46" w:rsidP="00FE4BFE">
      <w:pPr>
        <w:pStyle w:val="ListParagraph"/>
        <w:spacing w:line="360" w:lineRule="auto"/>
        <w:jc w:val="both"/>
        <w:rPr>
          <w:sz w:val="20"/>
          <w:szCs w:val="20"/>
        </w:rPr>
      </w:pPr>
      <w:r w:rsidRPr="00FE4BFE">
        <w:rPr>
          <w:sz w:val="20"/>
          <w:szCs w:val="20"/>
        </w:rPr>
        <w:t>Remarkably</w:t>
      </w:r>
      <w:r w:rsidR="000C1956" w:rsidRPr="00FE4BFE">
        <w:rPr>
          <w:sz w:val="20"/>
          <w:szCs w:val="20"/>
        </w:rPr>
        <w:t>,</w:t>
      </w:r>
      <w:r w:rsidRPr="00FE4BFE">
        <w:rPr>
          <w:sz w:val="20"/>
          <w:szCs w:val="20"/>
        </w:rPr>
        <w:t xml:space="preserve"> </w:t>
      </w:r>
      <w:r w:rsidR="000C1956" w:rsidRPr="00FE4BFE">
        <w:rPr>
          <w:sz w:val="20"/>
          <w:szCs w:val="20"/>
        </w:rPr>
        <w:t>w</w:t>
      </w:r>
      <w:r w:rsidR="00400193" w:rsidRPr="00FE4BFE">
        <w:rPr>
          <w:sz w:val="20"/>
          <w:szCs w:val="20"/>
        </w:rPr>
        <w:t xml:space="preserve">hereas, research evidence supporting demographic diversity </w:t>
      </w:r>
      <w:r w:rsidR="000C1956" w:rsidRPr="00FE4BFE">
        <w:rPr>
          <w:sz w:val="20"/>
          <w:szCs w:val="20"/>
        </w:rPr>
        <w:t xml:space="preserve">remained </w:t>
      </w:r>
      <w:r w:rsidR="00400193" w:rsidRPr="00FE4BFE">
        <w:rPr>
          <w:sz w:val="20"/>
          <w:szCs w:val="20"/>
        </w:rPr>
        <w:t>inconclusive, findings from those that had investigated the effect of cognitive diversity were</w:t>
      </w:r>
      <w:r w:rsidR="000C1956" w:rsidRPr="00FE4BFE">
        <w:rPr>
          <w:sz w:val="20"/>
          <w:szCs w:val="20"/>
        </w:rPr>
        <w:t xml:space="preserve"> somewhat </w:t>
      </w:r>
      <w:r w:rsidR="00400193" w:rsidRPr="00FE4BFE">
        <w:rPr>
          <w:sz w:val="20"/>
          <w:szCs w:val="20"/>
        </w:rPr>
        <w:t>aligned</w:t>
      </w:r>
      <w:r w:rsidR="000C1956" w:rsidRPr="00FE4BFE">
        <w:rPr>
          <w:sz w:val="20"/>
          <w:szCs w:val="20"/>
        </w:rPr>
        <w:t xml:space="preserve"> (Nielsen and </w:t>
      </w:r>
      <w:proofErr w:type="spellStart"/>
      <w:r w:rsidR="000C1956" w:rsidRPr="00FE4BFE">
        <w:rPr>
          <w:sz w:val="20"/>
          <w:szCs w:val="20"/>
        </w:rPr>
        <w:t>Huse</w:t>
      </w:r>
      <w:proofErr w:type="spellEnd"/>
      <w:r w:rsidR="000C1956" w:rsidRPr="00FE4BFE">
        <w:rPr>
          <w:sz w:val="20"/>
          <w:szCs w:val="20"/>
        </w:rPr>
        <w:t xml:space="preserve">, 2010; </w:t>
      </w:r>
      <w:proofErr w:type="spellStart"/>
      <w:r w:rsidR="000C1956" w:rsidRPr="00FE4BFE">
        <w:rPr>
          <w:sz w:val="20"/>
          <w:szCs w:val="20"/>
        </w:rPr>
        <w:t>Randøy</w:t>
      </w:r>
      <w:proofErr w:type="spellEnd"/>
      <w:r w:rsidR="000C1956" w:rsidRPr="00FE4BFE">
        <w:rPr>
          <w:sz w:val="20"/>
          <w:szCs w:val="20"/>
        </w:rPr>
        <w:t xml:space="preserve"> </w:t>
      </w:r>
      <w:r w:rsidR="000C1956" w:rsidRPr="00621A8A">
        <w:rPr>
          <w:sz w:val="20"/>
          <w:szCs w:val="20"/>
        </w:rPr>
        <w:t>et al.</w:t>
      </w:r>
      <w:r w:rsidR="000C1956" w:rsidRPr="00FE4BFE">
        <w:rPr>
          <w:i/>
          <w:sz w:val="20"/>
          <w:szCs w:val="20"/>
        </w:rPr>
        <w:t xml:space="preserve"> </w:t>
      </w:r>
      <w:r w:rsidR="000C1956" w:rsidRPr="00FE4BFE">
        <w:rPr>
          <w:sz w:val="20"/>
          <w:szCs w:val="20"/>
        </w:rPr>
        <w:t xml:space="preserve">2006; Carter </w:t>
      </w:r>
      <w:r w:rsidR="000C1956" w:rsidRPr="00621A8A">
        <w:rPr>
          <w:sz w:val="20"/>
          <w:szCs w:val="20"/>
        </w:rPr>
        <w:t>et al.</w:t>
      </w:r>
      <w:r w:rsidR="000C1956" w:rsidRPr="00FE4BFE">
        <w:rPr>
          <w:sz w:val="20"/>
          <w:szCs w:val="20"/>
        </w:rPr>
        <w:t xml:space="preserve"> 2003)</w:t>
      </w:r>
      <w:r w:rsidR="00400193" w:rsidRPr="00FE4BFE">
        <w:rPr>
          <w:sz w:val="20"/>
          <w:szCs w:val="20"/>
        </w:rPr>
        <w:t xml:space="preserve">. </w:t>
      </w:r>
      <w:r w:rsidR="000C1956" w:rsidRPr="00FE4BFE">
        <w:rPr>
          <w:sz w:val="20"/>
          <w:szCs w:val="20"/>
        </w:rPr>
        <w:t xml:space="preserve"> </w:t>
      </w:r>
      <w:r w:rsidR="00400193" w:rsidRPr="00FE4BFE">
        <w:rPr>
          <w:sz w:val="20"/>
          <w:szCs w:val="20"/>
        </w:rPr>
        <w:t xml:space="preserve">Darmadi (2013) in a study consisting of 160 firms listed on the Indonesian Stock </w:t>
      </w:r>
      <w:r w:rsidR="00621A8A" w:rsidRPr="00FE4BFE">
        <w:rPr>
          <w:sz w:val="20"/>
          <w:szCs w:val="20"/>
        </w:rPr>
        <w:t>Exchange</w:t>
      </w:r>
      <w:r w:rsidR="00400193" w:rsidRPr="00FE4BFE">
        <w:rPr>
          <w:sz w:val="20"/>
          <w:szCs w:val="20"/>
        </w:rPr>
        <w:t xml:space="preserve"> found that the directors’ educational </w:t>
      </w:r>
      <w:r w:rsidR="00400193" w:rsidRPr="00FE4BFE">
        <w:rPr>
          <w:sz w:val="20"/>
          <w:szCs w:val="20"/>
        </w:rPr>
        <w:lastRenderedPageBreak/>
        <w:t>qualifications were instrumental to firm</w:t>
      </w:r>
      <w:r w:rsidR="006241EA">
        <w:rPr>
          <w:sz w:val="20"/>
          <w:szCs w:val="20"/>
        </w:rPr>
        <w:t>’s</w:t>
      </w:r>
      <w:r w:rsidR="00400193" w:rsidRPr="00FE4BFE">
        <w:rPr>
          <w:sz w:val="20"/>
          <w:szCs w:val="20"/>
        </w:rPr>
        <w:t xml:space="preserve"> improved performance. Fairchild and Li (2005) examined hostile takeovers as a predictor of directors’ quality</w:t>
      </w:r>
      <w:r w:rsidR="00D37575" w:rsidRPr="00FE4BFE">
        <w:rPr>
          <w:sz w:val="20"/>
          <w:szCs w:val="20"/>
        </w:rPr>
        <w:t xml:space="preserve"> and</w:t>
      </w:r>
      <w:r w:rsidR="00400193" w:rsidRPr="00FE4BFE">
        <w:rPr>
          <w:sz w:val="20"/>
          <w:szCs w:val="20"/>
        </w:rPr>
        <w:t xml:space="preserve"> reported that the quality of the board of directors, as measured in terms of their wealth creation propensity, played a crucial role, not only in the firm’s governance, but in its continued existence as a going concern. These evidences were further affirmed by other similar research outcomes (e.g. Hsu 2010; Bhagat </w:t>
      </w:r>
      <w:r w:rsidR="00621A8A">
        <w:rPr>
          <w:sz w:val="20"/>
          <w:szCs w:val="20"/>
        </w:rPr>
        <w:t xml:space="preserve">et al. </w:t>
      </w:r>
      <w:r w:rsidR="00400193" w:rsidRPr="00FE4BFE">
        <w:rPr>
          <w:sz w:val="20"/>
          <w:szCs w:val="20"/>
        </w:rPr>
        <w:t xml:space="preserve">2010; </w:t>
      </w:r>
      <w:proofErr w:type="spellStart"/>
      <w:r w:rsidR="00400193" w:rsidRPr="00FE4BFE">
        <w:rPr>
          <w:sz w:val="20"/>
          <w:szCs w:val="20"/>
        </w:rPr>
        <w:t>Jalbert</w:t>
      </w:r>
      <w:proofErr w:type="spellEnd"/>
      <w:r w:rsidR="00400193" w:rsidRPr="00FE4BFE">
        <w:rPr>
          <w:sz w:val="20"/>
          <w:szCs w:val="20"/>
        </w:rPr>
        <w:t xml:space="preserve"> </w:t>
      </w:r>
      <w:r w:rsidR="00400193" w:rsidRPr="00621A8A">
        <w:rPr>
          <w:sz w:val="20"/>
          <w:szCs w:val="20"/>
        </w:rPr>
        <w:t xml:space="preserve">et al. </w:t>
      </w:r>
      <w:r w:rsidR="00400193" w:rsidRPr="00FE4BFE">
        <w:rPr>
          <w:sz w:val="20"/>
          <w:szCs w:val="20"/>
        </w:rPr>
        <w:t xml:space="preserve">2002). </w:t>
      </w:r>
    </w:p>
    <w:p w:rsidR="00FE4BFE" w:rsidRDefault="00FE4BFE" w:rsidP="00FE4BFE">
      <w:pPr>
        <w:spacing w:line="360" w:lineRule="auto"/>
        <w:jc w:val="both"/>
        <w:rPr>
          <w:rFonts w:eastAsia="Times New Roman"/>
          <w:sz w:val="16"/>
          <w:szCs w:val="16"/>
          <w:lang w:val="en-GB" w:eastAsia="en-US"/>
        </w:rPr>
      </w:pPr>
    </w:p>
    <w:p w:rsidR="00400193" w:rsidRPr="00FE4BFE" w:rsidRDefault="00FE4BFE" w:rsidP="00FE4BFE">
      <w:pPr>
        <w:spacing w:line="360" w:lineRule="auto"/>
        <w:ind w:left="720"/>
        <w:jc w:val="both"/>
        <w:rPr>
          <w:sz w:val="20"/>
          <w:szCs w:val="20"/>
        </w:rPr>
      </w:pPr>
      <w:r>
        <w:rPr>
          <w:sz w:val="20"/>
          <w:szCs w:val="20"/>
        </w:rPr>
        <w:t xml:space="preserve">In line </w:t>
      </w:r>
      <w:r w:rsidR="00400193" w:rsidRPr="00FE4BFE">
        <w:rPr>
          <w:sz w:val="20"/>
          <w:szCs w:val="20"/>
        </w:rPr>
        <w:t xml:space="preserve">with the above empirical trends and the fact that the Nigerian SEC Code had in Part </w:t>
      </w:r>
      <w:proofErr w:type="gramStart"/>
      <w:r w:rsidR="00400193" w:rsidRPr="00FE4BFE">
        <w:rPr>
          <w:sz w:val="20"/>
          <w:szCs w:val="20"/>
        </w:rPr>
        <w:t>b(</w:t>
      </w:r>
      <w:proofErr w:type="gramEnd"/>
      <w:r w:rsidR="00400193" w:rsidRPr="00FE4BFE">
        <w:rPr>
          <w:sz w:val="20"/>
          <w:szCs w:val="20"/>
        </w:rPr>
        <w:t>4.1) emphasi</w:t>
      </w:r>
      <w:r w:rsidR="006241EA">
        <w:rPr>
          <w:sz w:val="20"/>
          <w:szCs w:val="20"/>
        </w:rPr>
        <w:t>sed</w:t>
      </w:r>
      <w:r w:rsidR="00400193" w:rsidRPr="00FE4BFE">
        <w:rPr>
          <w:sz w:val="20"/>
          <w:szCs w:val="20"/>
        </w:rPr>
        <w:t xml:space="preserve"> that the Board “</w:t>
      </w:r>
      <w:r w:rsidR="00400193" w:rsidRPr="00FE4BFE">
        <w:rPr>
          <w:i/>
          <w:sz w:val="20"/>
          <w:szCs w:val="20"/>
        </w:rPr>
        <w:t xml:space="preserve">should be composed in such a way as to ensure </w:t>
      </w:r>
      <w:r w:rsidR="00400193" w:rsidRPr="00FE4BFE">
        <w:rPr>
          <w:i/>
          <w:sz w:val="20"/>
          <w:szCs w:val="20"/>
          <w:u w:val="single"/>
        </w:rPr>
        <w:t>diversity of experience</w:t>
      </w:r>
      <w:r w:rsidR="00400193" w:rsidRPr="00FE4BFE">
        <w:rPr>
          <w:i/>
          <w:sz w:val="20"/>
          <w:szCs w:val="20"/>
        </w:rPr>
        <w:t xml:space="preserve"> without compromising independence, compatibility, integrity and availability of members to attend meetings”,</w:t>
      </w:r>
      <w:r w:rsidR="00400193" w:rsidRPr="00FE4BFE">
        <w:rPr>
          <w:sz w:val="20"/>
          <w:szCs w:val="20"/>
        </w:rPr>
        <w:t xml:space="preserve"> this study adopt</w:t>
      </w:r>
      <w:r>
        <w:rPr>
          <w:sz w:val="20"/>
          <w:szCs w:val="20"/>
        </w:rPr>
        <w:t>ed</w:t>
      </w:r>
      <w:r w:rsidR="00400193" w:rsidRPr="00FE4BFE">
        <w:rPr>
          <w:sz w:val="20"/>
          <w:szCs w:val="20"/>
        </w:rPr>
        <w:t xml:space="preserve"> the following hypotheses:</w:t>
      </w:r>
    </w:p>
    <w:p w:rsidR="00400193" w:rsidRPr="00FE4BFE" w:rsidRDefault="00400193" w:rsidP="00FE4BFE">
      <w:pPr>
        <w:pStyle w:val="ListParagraph"/>
        <w:spacing w:line="360" w:lineRule="auto"/>
        <w:jc w:val="both"/>
        <w:rPr>
          <w:sz w:val="20"/>
          <w:szCs w:val="20"/>
        </w:rPr>
      </w:pPr>
    </w:p>
    <w:p w:rsidR="00400193" w:rsidRPr="00FE4BFE" w:rsidRDefault="00400193" w:rsidP="00FE4BFE">
      <w:pPr>
        <w:pStyle w:val="ListParagraph"/>
        <w:spacing w:line="360" w:lineRule="auto"/>
        <w:ind w:left="1440"/>
        <w:jc w:val="both"/>
        <w:rPr>
          <w:i/>
          <w:sz w:val="20"/>
          <w:szCs w:val="20"/>
        </w:rPr>
      </w:pPr>
      <w:r w:rsidRPr="00FE4BFE">
        <w:rPr>
          <w:i/>
          <w:sz w:val="20"/>
          <w:szCs w:val="20"/>
        </w:rPr>
        <w:t>Hypothesis 4:</w:t>
      </w:r>
    </w:p>
    <w:p w:rsidR="00400193" w:rsidRPr="00FE4BFE" w:rsidRDefault="00400193" w:rsidP="00FE4BFE">
      <w:pPr>
        <w:pStyle w:val="ListParagraph"/>
        <w:spacing w:line="360" w:lineRule="auto"/>
        <w:ind w:left="1440"/>
        <w:jc w:val="both"/>
        <w:rPr>
          <w:i/>
          <w:sz w:val="20"/>
          <w:szCs w:val="20"/>
        </w:rPr>
      </w:pPr>
      <w:r w:rsidRPr="00FE4BFE">
        <w:rPr>
          <w:i/>
          <w:sz w:val="20"/>
          <w:szCs w:val="20"/>
        </w:rPr>
        <w:t>H</w:t>
      </w:r>
      <w:r w:rsidRPr="00FE4BFE">
        <w:rPr>
          <w:rFonts w:ascii="Calibri" w:hAnsi="Calibri"/>
          <w:i/>
          <w:sz w:val="20"/>
          <w:szCs w:val="20"/>
        </w:rPr>
        <w:t>ₒ</w:t>
      </w:r>
      <w:r w:rsidRPr="00FE4BFE">
        <w:rPr>
          <w:i/>
          <w:sz w:val="20"/>
          <w:szCs w:val="20"/>
        </w:rPr>
        <w:t xml:space="preserve">: The presence of directors with MBA is significantly associated with improved </w:t>
      </w:r>
      <w:r w:rsidR="006241EA" w:rsidRPr="006241EA">
        <w:rPr>
          <w:i/>
          <w:sz w:val="20"/>
          <w:szCs w:val="20"/>
        </w:rPr>
        <w:t>performance</w:t>
      </w:r>
      <w:r w:rsidRPr="00FE4BFE">
        <w:rPr>
          <w:i/>
          <w:sz w:val="20"/>
          <w:szCs w:val="20"/>
        </w:rPr>
        <w:t xml:space="preserve"> among companies quoted on the Nigerian Stock Exchange.</w:t>
      </w:r>
    </w:p>
    <w:p w:rsidR="00400193" w:rsidRPr="00FE4BFE" w:rsidRDefault="00400193" w:rsidP="00FE4BFE">
      <w:pPr>
        <w:pStyle w:val="ListParagraph"/>
        <w:spacing w:line="360" w:lineRule="auto"/>
        <w:ind w:left="1440"/>
        <w:jc w:val="both"/>
        <w:rPr>
          <w:i/>
          <w:sz w:val="20"/>
          <w:szCs w:val="20"/>
        </w:rPr>
      </w:pPr>
    </w:p>
    <w:p w:rsidR="00400193" w:rsidRPr="00FE4BFE" w:rsidRDefault="00400193" w:rsidP="00FE4BFE">
      <w:pPr>
        <w:pStyle w:val="ListParagraph"/>
        <w:spacing w:line="360" w:lineRule="auto"/>
        <w:ind w:left="1440"/>
        <w:jc w:val="both"/>
        <w:rPr>
          <w:i/>
          <w:sz w:val="20"/>
          <w:szCs w:val="20"/>
        </w:rPr>
      </w:pPr>
      <w:r w:rsidRPr="00FE4BFE">
        <w:rPr>
          <w:i/>
          <w:sz w:val="20"/>
          <w:szCs w:val="20"/>
        </w:rPr>
        <w:t>Hypothesis 5:</w:t>
      </w:r>
    </w:p>
    <w:p w:rsidR="00400193" w:rsidRPr="00FE4BFE" w:rsidRDefault="00400193" w:rsidP="00FE4BFE">
      <w:pPr>
        <w:pStyle w:val="ListParagraph"/>
        <w:spacing w:line="360" w:lineRule="auto"/>
        <w:ind w:left="1440"/>
        <w:jc w:val="both"/>
        <w:rPr>
          <w:i/>
          <w:sz w:val="20"/>
          <w:szCs w:val="20"/>
        </w:rPr>
      </w:pPr>
      <w:r w:rsidRPr="00FE4BFE">
        <w:rPr>
          <w:i/>
          <w:sz w:val="20"/>
          <w:szCs w:val="20"/>
        </w:rPr>
        <w:t>H</w:t>
      </w:r>
      <w:r w:rsidRPr="00FE4BFE">
        <w:rPr>
          <w:rFonts w:ascii="Calibri" w:hAnsi="Calibri"/>
          <w:i/>
          <w:sz w:val="20"/>
          <w:szCs w:val="20"/>
        </w:rPr>
        <w:t>ₒ</w:t>
      </w:r>
      <w:r w:rsidRPr="00FE4BFE">
        <w:rPr>
          <w:i/>
          <w:sz w:val="20"/>
          <w:szCs w:val="20"/>
        </w:rPr>
        <w:t xml:space="preserve">: There is a statistically significant positive relationship between directors’ experience and the </w:t>
      </w:r>
      <w:r w:rsidR="006241EA" w:rsidRPr="006241EA">
        <w:rPr>
          <w:i/>
          <w:sz w:val="20"/>
          <w:szCs w:val="20"/>
        </w:rPr>
        <w:t>performance</w:t>
      </w:r>
      <w:r w:rsidR="006241EA" w:rsidRPr="00FE4BFE">
        <w:rPr>
          <w:i/>
          <w:sz w:val="20"/>
          <w:szCs w:val="20"/>
        </w:rPr>
        <w:t xml:space="preserve"> </w:t>
      </w:r>
      <w:r w:rsidRPr="00FE4BFE">
        <w:rPr>
          <w:i/>
          <w:sz w:val="20"/>
          <w:szCs w:val="20"/>
        </w:rPr>
        <w:t>of companies quoted on the Nigerian Stock Exchange.</w:t>
      </w:r>
    </w:p>
    <w:p w:rsidR="00400193" w:rsidRPr="00FE4BFE" w:rsidRDefault="00400193" w:rsidP="00FE4BFE">
      <w:pPr>
        <w:pStyle w:val="ListParagraph"/>
        <w:spacing w:line="360" w:lineRule="auto"/>
        <w:ind w:left="1440"/>
        <w:jc w:val="both"/>
        <w:rPr>
          <w:i/>
          <w:sz w:val="20"/>
          <w:szCs w:val="20"/>
        </w:rPr>
      </w:pPr>
    </w:p>
    <w:p w:rsidR="00400193" w:rsidRPr="00FE4BFE" w:rsidRDefault="00400193" w:rsidP="00FE4BFE">
      <w:pPr>
        <w:pStyle w:val="ListParagraph"/>
        <w:spacing w:line="360" w:lineRule="auto"/>
        <w:ind w:left="1440"/>
        <w:jc w:val="both"/>
        <w:rPr>
          <w:i/>
          <w:sz w:val="20"/>
          <w:szCs w:val="20"/>
        </w:rPr>
      </w:pPr>
      <w:r w:rsidRPr="00FE4BFE">
        <w:rPr>
          <w:i/>
          <w:sz w:val="20"/>
          <w:szCs w:val="20"/>
        </w:rPr>
        <w:t>Hypothesis 6:</w:t>
      </w:r>
    </w:p>
    <w:p w:rsidR="00400193" w:rsidRPr="00FE4BFE" w:rsidRDefault="00400193" w:rsidP="00FE4BFE">
      <w:pPr>
        <w:pStyle w:val="ListParagraph"/>
        <w:spacing w:line="360" w:lineRule="auto"/>
        <w:ind w:left="1440"/>
        <w:jc w:val="both"/>
        <w:rPr>
          <w:i/>
          <w:sz w:val="20"/>
          <w:szCs w:val="20"/>
        </w:rPr>
      </w:pPr>
      <w:r w:rsidRPr="00FE4BFE">
        <w:rPr>
          <w:i/>
          <w:sz w:val="20"/>
          <w:szCs w:val="20"/>
        </w:rPr>
        <w:t>H</w:t>
      </w:r>
      <w:r w:rsidRPr="00FE4BFE">
        <w:rPr>
          <w:rFonts w:ascii="Calibri" w:hAnsi="Calibri"/>
          <w:i/>
          <w:sz w:val="20"/>
          <w:szCs w:val="20"/>
        </w:rPr>
        <w:t>ₒ</w:t>
      </w:r>
      <w:r w:rsidRPr="00FE4BFE">
        <w:rPr>
          <w:i/>
          <w:sz w:val="20"/>
          <w:szCs w:val="20"/>
        </w:rPr>
        <w:t xml:space="preserve">: The proportion of directors on a board that come from the three major ethnic groups is negatively associated with improved firm </w:t>
      </w:r>
      <w:r w:rsidR="006241EA" w:rsidRPr="006241EA">
        <w:rPr>
          <w:i/>
          <w:sz w:val="20"/>
          <w:szCs w:val="20"/>
        </w:rPr>
        <w:t>performance</w:t>
      </w:r>
      <w:r w:rsidR="006241EA" w:rsidRPr="00FE4BFE">
        <w:rPr>
          <w:i/>
          <w:sz w:val="20"/>
          <w:szCs w:val="20"/>
        </w:rPr>
        <w:t xml:space="preserve"> </w:t>
      </w:r>
      <w:r w:rsidRPr="00FE4BFE">
        <w:rPr>
          <w:i/>
          <w:sz w:val="20"/>
          <w:szCs w:val="20"/>
        </w:rPr>
        <w:t xml:space="preserve">in Nigeria. </w:t>
      </w:r>
    </w:p>
    <w:p w:rsidR="00891AD4" w:rsidRDefault="00891AD4" w:rsidP="00A3364E">
      <w:pPr>
        <w:pStyle w:val="ListParagraph"/>
        <w:rPr>
          <w:bCs/>
          <w:i/>
          <w:sz w:val="12"/>
          <w:szCs w:val="12"/>
        </w:rPr>
      </w:pPr>
    </w:p>
    <w:p w:rsidR="00EF5FF8" w:rsidRDefault="00EF5FF8" w:rsidP="00A3364E">
      <w:pPr>
        <w:pStyle w:val="ListParagraph"/>
        <w:rPr>
          <w:bCs/>
          <w:i/>
          <w:sz w:val="12"/>
          <w:szCs w:val="12"/>
        </w:rPr>
      </w:pPr>
    </w:p>
    <w:p w:rsidR="00891AD4" w:rsidRPr="00580E55" w:rsidRDefault="00891AD4" w:rsidP="00CA05B7">
      <w:pPr>
        <w:pStyle w:val="ListParagraph"/>
        <w:spacing w:line="360" w:lineRule="auto"/>
        <w:rPr>
          <w:b/>
          <w:sz w:val="20"/>
          <w:szCs w:val="20"/>
        </w:rPr>
      </w:pPr>
      <w:r w:rsidRPr="00580E55">
        <w:rPr>
          <w:b/>
          <w:sz w:val="20"/>
          <w:szCs w:val="20"/>
        </w:rPr>
        <w:t>M</w:t>
      </w:r>
      <w:r w:rsidR="00ED329C" w:rsidRPr="00580E55">
        <w:rPr>
          <w:b/>
          <w:sz w:val="20"/>
          <w:szCs w:val="20"/>
        </w:rPr>
        <w:t xml:space="preserve">ethodology and Model </w:t>
      </w:r>
      <w:r w:rsidRPr="00580E55">
        <w:rPr>
          <w:b/>
          <w:sz w:val="20"/>
          <w:szCs w:val="20"/>
        </w:rPr>
        <w:t>S</w:t>
      </w:r>
      <w:r w:rsidR="00ED329C" w:rsidRPr="00580E55">
        <w:rPr>
          <w:b/>
          <w:sz w:val="20"/>
          <w:szCs w:val="20"/>
        </w:rPr>
        <w:t>pecification</w:t>
      </w:r>
      <w:r w:rsidRPr="00580E55">
        <w:rPr>
          <w:b/>
          <w:sz w:val="20"/>
          <w:szCs w:val="20"/>
        </w:rPr>
        <w:t xml:space="preserve"> </w:t>
      </w:r>
    </w:p>
    <w:p w:rsidR="00710EE4" w:rsidRPr="00580E55" w:rsidRDefault="00710EE4" w:rsidP="00580E55">
      <w:pPr>
        <w:pStyle w:val="ListParagraph"/>
        <w:spacing w:line="360" w:lineRule="auto"/>
        <w:jc w:val="both"/>
        <w:rPr>
          <w:i/>
          <w:sz w:val="20"/>
          <w:szCs w:val="20"/>
        </w:rPr>
      </w:pPr>
      <w:r w:rsidRPr="00580E55">
        <w:rPr>
          <w:i/>
          <w:sz w:val="20"/>
          <w:szCs w:val="20"/>
        </w:rPr>
        <w:t xml:space="preserve">Conceptual Framework </w:t>
      </w:r>
    </w:p>
    <w:p w:rsidR="005E2703" w:rsidRDefault="005E2703" w:rsidP="00580E55">
      <w:pPr>
        <w:pStyle w:val="ListParagraph"/>
        <w:spacing w:line="360" w:lineRule="auto"/>
        <w:jc w:val="both"/>
        <w:rPr>
          <w:sz w:val="20"/>
          <w:szCs w:val="20"/>
        </w:rPr>
      </w:pPr>
      <w:r w:rsidRPr="00580E55">
        <w:rPr>
          <w:sz w:val="20"/>
          <w:szCs w:val="20"/>
        </w:rPr>
        <w:t xml:space="preserve">Previous studies on the effect of board structure on firm performance has been characterised by inconsistent findings because of faulty research framework (see: Lawal 2011). The </w:t>
      </w:r>
      <w:r w:rsidR="00710EE4" w:rsidRPr="00580E55">
        <w:rPr>
          <w:sz w:val="20"/>
          <w:szCs w:val="20"/>
        </w:rPr>
        <w:t xml:space="preserve">majority </w:t>
      </w:r>
      <w:r w:rsidR="00957297">
        <w:rPr>
          <w:sz w:val="20"/>
          <w:szCs w:val="20"/>
        </w:rPr>
        <w:t xml:space="preserve">of </w:t>
      </w:r>
      <w:r w:rsidRPr="00580E55">
        <w:rPr>
          <w:sz w:val="20"/>
          <w:szCs w:val="20"/>
        </w:rPr>
        <w:t xml:space="preserve">these </w:t>
      </w:r>
      <w:r w:rsidR="00710EE4" w:rsidRPr="00580E55">
        <w:rPr>
          <w:sz w:val="20"/>
          <w:szCs w:val="20"/>
        </w:rPr>
        <w:t>empirical studies</w:t>
      </w:r>
      <w:r w:rsidRPr="00580E55">
        <w:rPr>
          <w:sz w:val="20"/>
          <w:szCs w:val="20"/>
        </w:rPr>
        <w:t xml:space="preserve"> </w:t>
      </w:r>
      <w:r w:rsidR="00710EE4" w:rsidRPr="00580E55">
        <w:rPr>
          <w:sz w:val="20"/>
          <w:szCs w:val="20"/>
        </w:rPr>
        <w:t>ha</w:t>
      </w:r>
      <w:r w:rsidRPr="00580E55">
        <w:rPr>
          <w:sz w:val="20"/>
          <w:szCs w:val="20"/>
        </w:rPr>
        <w:t>d</w:t>
      </w:r>
      <w:r w:rsidR="00710EE4" w:rsidRPr="00580E55">
        <w:rPr>
          <w:sz w:val="20"/>
          <w:szCs w:val="20"/>
        </w:rPr>
        <w:t xml:space="preserve"> adopted the direct relationship approach </w:t>
      </w:r>
      <w:r w:rsidRPr="00580E55">
        <w:rPr>
          <w:sz w:val="20"/>
          <w:szCs w:val="20"/>
        </w:rPr>
        <w:t xml:space="preserve">whereby </w:t>
      </w:r>
      <w:r w:rsidR="00710EE4" w:rsidRPr="00580E55">
        <w:rPr>
          <w:sz w:val="20"/>
          <w:szCs w:val="20"/>
        </w:rPr>
        <w:t xml:space="preserve">firm performance proxies </w:t>
      </w:r>
      <w:r w:rsidRPr="00580E55">
        <w:rPr>
          <w:sz w:val="20"/>
          <w:szCs w:val="20"/>
        </w:rPr>
        <w:t xml:space="preserve">are </w:t>
      </w:r>
      <w:r w:rsidR="00710EE4" w:rsidRPr="00580E55">
        <w:rPr>
          <w:sz w:val="20"/>
          <w:szCs w:val="20"/>
        </w:rPr>
        <w:t>regressed against the relevant board variables of interest (e.g. Guest 2009; Yermack 1996).</w:t>
      </w:r>
      <w:r w:rsidRPr="00580E55">
        <w:rPr>
          <w:sz w:val="20"/>
          <w:szCs w:val="20"/>
        </w:rPr>
        <w:t xml:space="preserve"> Various recommendations have been offered with respect to ways of addressing </w:t>
      </w:r>
      <w:r w:rsidR="003E2228">
        <w:rPr>
          <w:sz w:val="20"/>
          <w:szCs w:val="20"/>
        </w:rPr>
        <w:t xml:space="preserve">previous </w:t>
      </w:r>
      <w:r w:rsidRPr="00580E55">
        <w:rPr>
          <w:sz w:val="20"/>
          <w:szCs w:val="20"/>
        </w:rPr>
        <w:t xml:space="preserve">methodological </w:t>
      </w:r>
      <w:r w:rsidR="003E2228">
        <w:rPr>
          <w:sz w:val="20"/>
          <w:szCs w:val="20"/>
        </w:rPr>
        <w:t xml:space="preserve">flaws </w:t>
      </w:r>
      <w:r w:rsidRPr="00580E55">
        <w:rPr>
          <w:sz w:val="20"/>
          <w:szCs w:val="20"/>
        </w:rPr>
        <w:t xml:space="preserve">while simultaneously bringing robustness to future studies. </w:t>
      </w:r>
      <w:r w:rsidR="00710EE4" w:rsidRPr="00580E55">
        <w:rPr>
          <w:sz w:val="20"/>
          <w:szCs w:val="20"/>
        </w:rPr>
        <w:t xml:space="preserve">Some of the new approaches suggested include the use of multiple theories, the deployment of multidimensional performance measures, and the inclusion of external environmental factors such as macroeconomic, societal and regulatory variables (see: </w:t>
      </w:r>
      <w:proofErr w:type="spellStart"/>
      <w:r w:rsidR="00710EE4" w:rsidRPr="00580E55">
        <w:rPr>
          <w:sz w:val="20"/>
          <w:szCs w:val="20"/>
        </w:rPr>
        <w:t>Şener</w:t>
      </w:r>
      <w:proofErr w:type="spellEnd"/>
      <w:r w:rsidR="00710EE4" w:rsidRPr="00580E55">
        <w:rPr>
          <w:sz w:val="20"/>
          <w:szCs w:val="20"/>
        </w:rPr>
        <w:t xml:space="preserve"> </w:t>
      </w:r>
      <w:r w:rsidR="00710EE4" w:rsidRPr="00EF5FF8">
        <w:rPr>
          <w:sz w:val="20"/>
          <w:szCs w:val="20"/>
        </w:rPr>
        <w:t>et al.</w:t>
      </w:r>
      <w:r w:rsidR="00710EE4" w:rsidRPr="00580E55">
        <w:rPr>
          <w:i/>
          <w:sz w:val="20"/>
          <w:szCs w:val="20"/>
        </w:rPr>
        <w:t xml:space="preserve"> </w:t>
      </w:r>
      <w:r w:rsidR="00710EE4" w:rsidRPr="00580E55">
        <w:rPr>
          <w:sz w:val="20"/>
          <w:szCs w:val="20"/>
        </w:rPr>
        <w:t xml:space="preserve">2011; El Sood 2008; Finegold </w:t>
      </w:r>
      <w:r w:rsidR="00710EE4" w:rsidRPr="00EF5FF8">
        <w:rPr>
          <w:sz w:val="20"/>
          <w:szCs w:val="20"/>
        </w:rPr>
        <w:t>et al.</w:t>
      </w:r>
      <w:r w:rsidR="00710EE4" w:rsidRPr="00580E55">
        <w:rPr>
          <w:sz w:val="20"/>
          <w:szCs w:val="20"/>
        </w:rPr>
        <w:t xml:space="preserve"> 2007; Nicholson and Kiel 2007; Ugur and Ararat 2006; </w:t>
      </w:r>
      <w:proofErr w:type="spellStart"/>
      <w:r w:rsidR="00710EE4" w:rsidRPr="00580E55">
        <w:rPr>
          <w:sz w:val="20"/>
          <w:szCs w:val="20"/>
        </w:rPr>
        <w:t>Muth</w:t>
      </w:r>
      <w:proofErr w:type="spellEnd"/>
      <w:r w:rsidR="00710EE4" w:rsidRPr="00580E55">
        <w:rPr>
          <w:sz w:val="20"/>
          <w:szCs w:val="20"/>
        </w:rPr>
        <w:t xml:space="preserve"> and Donaldson 1998). </w:t>
      </w:r>
    </w:p>
    <w:p w:rsidR="005F1F6F" w:rsidRPr="00580E55" w:rsidRDefault="005F1F6F" w:rsidP="00580E55">
      <w:pPr>
        <w:pStyle w:val="ListParagraph"/>
        <w:spacing w:line="360" w:lineRule="auto"/>
        <w:jc w:val="both"/>
        <w:rPr>
          <w:sz w:val="20"/>
          <w:szCs w:val="20"/>
        </w:rPr>
      </w:pPr>
    </w:p>
    <w:p w:rsidR="00710EE4" w:rsidRPr="00580E55" w:rsidRDefault="00710EE4" w:rsidP="00580E55">
      <w:pPr>
        <w:pStyle w:val="ListParagraph"/>
        <w:spacing w:line="360" w:lineRule="auto"/>
        <w:jc w:val="both"/>
        <w:rPr>
          <w:sz w:val="20"/>
          <w:szCs w:val="20"/>
        </w:rPr>
      </w:pPr>
      <w:r w:rsidRPr="00580E55">
        <w:rPr>
          <w:sz w:val="20"/>
          <w:szCs w:val="20"/>
        </w:rPr>
        <w:t>Consistent with these suggestions, this study adopt</w:t>
      </w:r>
      <w:r w:rsidR="005E2703" w:rsidRPr="00580E55">
        <w:rPr>
          <w:sz w:val="20"/>
          <w:szCs w:val="20"/>
        </w:rPr>
        <w:t>ed</w:t>
      </w:r>
      <w:r w:rsidRPr="00580E55">
        <w:rPr>
          <w:sz w:val="20"/>
          <w:szCs w:val="20"/>
        </w:rPr>
        <w:t xml:space="preserve"> an integrated approach and </w:t>
      </w:r>
      <w:r w:rsidR="005E2703" w:rsidRPr="00580E55">
        <w:rPr>
          <w:sz w:val="20"/>
          <w:szCs w:val="20"/>
        </w:rPr>
        <w:t xml:space="preserve">thus </w:t>
      </w:r>
      <w:r w:rsidRPr="00580E55">
        <w:rPr>
          <w:sz w:val="20"/>
          <w:szCs w:val="20"/>
        </w:rPr>
        <w:t>extend</w:t>
      </w:r>
      <w:r w:rsidR="005E2703" w:rsidRPr="00580E55">
        <w:rPr>
          <w:sz w:val="20"/>
          <w:szCs w:val="20"/>
        </w:rPr>
        <w:t>ed</w:t>
      </w:r>
      <w:r w:rsidRPr="00580E55">
        <w:rPr>
          <w:sz w:val="20"/>
          <w:szCs w:val="20"/>
        </w:rPr>
        <w:t xml:space="preserve"> the constructs of the traditional econometric model commonly used in corporate governance studies from its simplistic form to one that includes variables capturing external environmental forces </w:t>
      </w:r>
      <w:r w:rsidR="005E2703" w:rsidRPr="00580E55">
        <w:rPr>
          <w:sz w:val="20"/>
          <w:szCs w:val="20"/>
        </w:rPr>
        <w:t>specifically</w:t>
      </w:r>
      <w:r w:rsidRPr="00580E55">
        <w:rPr>
          <w:sz w:val="20"/>
          <w:szCs w:val="20"/>
        </w:rPr>
        <w:t xml:space="preserve"> </w:t>
      </w:r>
      <w:r w:rsidR="005E2703" w:rsidRPr="00580E55">
        <w:rPr>
          <w:sz w:val="20"/>
          <w:szCs w:val="20"/>
        </w:rPr>
        <w:t>the macroeconomic factors</w:t>
      </w:r>
      <w:r w:rsidRPr="00580E55">
        <w:rPr>
          <w:sz w:val="20"/>
          <w:szCs w:val="20"/>
        </w:rPr>
        <w:t xml:space="preserve"> (see: Ugur and Ararat 2006). The underlying </w:t>
      </w:r>
      <w:r w:rsidR="00F25E18" w:rsidRPr="00580E55">
        <w:rPr>
          <w:sz w:val="20"/>
          <w:szCs w:val="20"/>
        </w:rPr>
        <w:t xml:space="preserve">premise upon which this study was built </w:t>
      </w:r>
      <w:r w:rsidRPr="00580E55">
        <w:rPr>
          <w:sz w:val="20"/>
          <w:szCs w:val="20"/>
        </w:rPr>
        <w:t xml:space="preserve">is that firm performance in Nigeria is a function of </w:t>
      </w:r>
      <w:r w:rsidR="00F25E18" w:rsidRPr="00580E55">
        <w:rPr>
          <w:sz w:val="20"/>
          <w:szCs w:val="20"/>
        </w:rPr>
        <w:t xml:space="preserve">adherence to </w:t>
      </w:r>
      <w:r w:rsidRPr="00580E55">
        <w:rPr>
          <w:sz w:val="20"/>
          <w:szCs w:val="20"/>
        </w:rPr>
        <w:t xml:space="preserve">SEC Code’s recommended </w:t>
      </w:r>
      <w:r w:rsidRPr="00580E55">
        <w:rPr>
          <w:sz w:val="20"/>
          <w:szCs w:val="20"/>
        </w:rPr>
        <w:lastRenderedPageBreak/>
        <w:t xml:space="preserve">board structure and the overall </w:t>
      </w:r>
      <w:r w:rsidR="00F25E18" w:rsidRPr="00580E55">
        <w:rPr>
          <w:sz w:val="20"/>
          <w:szCs w:val="20"/>
        </w:rPr>
        <w:t>macro</w:t>
      </w:r>
      <w:r w:rsidRPr="00580E55">
        <w:rPr>
          <w:sz w:val="20"/>
          <w:szCs w:val="20"/>
        </w:rPr>
        <w:t>economic situation facing the country at any given point. Th</w:t>
      </w:r>
      <w:r w:rsidR="00F25E18" w:rsidRPr="00580E55">
        <w:rPr>
          <w:sz w:val="20"/>
          <w:szCs w:val="20"/>
        </w:rPr>
        <w:t xml:space="preserve">e sophistication of this framework is evident in the hypothesis </w:t>
      </w:r>
      <w:r w:rsidRPr="00580E55">
        <w:rPr>
          <w:sz w:val="20"/>
          <w:szCs w:val="20"/>
        </w:rPr>
        <w:t xml:space="preserve">advanced by Ugur and Ararat (2006) in support of an empirical shift towards the extended model in the study of the relationship between corporate governance and firm performance. They argued that past studies have ignored the effect of macroeconomic stability on firm performance. While good corporate governance might have the potential to improve a firm’s performance, the presence of macroeconomic stability, or the lack of it, can equally promote or hinder performance (Ugur and Ararat 2006). They further contended that, in the hierarchy of determinants of firm performance, the first element in the pecking order is the rate of return, a variable linked to the macroeconomic </w:t>
      </w:r>
      <w:r w:rsidR="005F1F6F">
        <w:rPr>
          <w:sz w:val="20"/>
          <w:szCs w:val="20"/>
        </w:rPr>
        <w:t>factor</w:t>
      </w:r>
      <w:r w:rsidRPr="00580E55">
        <w:rPr>
          <w:sz w:val="20"/>
          <w:szCs w:val="20"/>
        </w:rPr>
        <w:t xml:space="preserve">. Consistent with previous investigations, the current study adopts two variables, the level of economic growth and the degree of economic openness, as proxies reflecting the general </w:t>
      </w:r>
      <w:r w:rsidR="00F25E18" w:rsidRPr="00580E55">
        <w:rPr>
          <w:sz w:val="20"/>
          <w:szCs w:val="20"/>
        </w:rPr>
        <w:t>macro</w:t>
      </w:r>
      <w:r w:rsidRPr="00580E55">
        <w:rPr>
          <w:sz w:val="20"/>
          <w:szCs w:val="20"/>
        </w:rPr>
        <w:t xml:space="preserve">economic situation in Nigeria (see: </w:t>
      </w:r>
      <w:proofErr w:type="spellStart"/>
      <w:r w:rsidR="0014296F" w:rsidRPr="00580E55">
        <w:rPr>
          <w:sz w:val="20"/>
          <w:szCs w:val="20"/>
        </w:rPr>
        <w:t>Wanyama</w:t>
      </w:r>
      <w:proofErr w:type="spellEnd"/>
      <w:r w:rsidR="0014296F" w:rsidRPr="00580E55">
        <w:rPr>
          <w:sz w:val="20"/>
          <w:szCs w:val="20"/>
        </w:rPr>
        <w:t xml:space="preserve"> </w:t>
      </w:r>
      <w:r w:rsidR="0014296F" w:rsidRPr="0014296F">
        <w:rPr>
          <w:sz w:val="20"/>
          <w:szCs w:val="20"/>
        </w:rPr>
        <w:t>et al.</w:t>
      </w:r>
      <w:r w:rsidR="0014296F" w:rsidRPr="00580E55">
        <w:rPr>
          <w:sz w:val="20"/>
          <w:szCs w:val="20"/>
        </w:rPr>
        <w:t xml:space="preserve"> 2009</w:t>
      </w:r>
      <w:r w:rsidR="0014296F">
        <w:rPr>
          <w:sz w:val="20"/>
          <w:szCs w:val="20"/>
        </w:rPr>
        <w:t xml:space="preserve">; </w:t>
      </w:r>
      <w:r w:rsidRPr="00580E55">
        <w:rPr>
          <w:sz w:val="20"/>
          <w:szCs w:val="20"/>
        </w:rPr>
        <w:t xml:space="preserve">El Sood 2008; </w:t>
      </w:r>
      <w:r w:rsidR="0014296F">
        <w:rPr>
          <w:sz w:val="20"/>
          <w:szCs w:val="20"/>
        </w:rPr>
        <w:t xml:space="preserve">Naceur et al. 2007; </w:t>
      </w:r>
      <w:r w:rsidRPr="00580E55">
        <w:rPr>
          <w:sz w:val="20"/>
          <w:szCs w:val="20"/>
        </w:rPr>
        <w:t>D’Souza</w:t>
      </w:r>
      <w:r w:rsidR="0014296F">
        <w:rPr>
          <w:sz w:val="20"/>
          <w:szCs w:val="20"/>
        </w:rPr>
        <w:t xml:space="preserve"> et al.</w:t>
      </w:r>
      <w:r w:rsidRPr="00580E55">
        <w:rPr>
          <w:sz w:val="20"/>
          <w:szCs w:val="20"/>
        </w:rPr>
        <w:t xml:space="preserve"> 2005; </w:t>
      </w:r>
      <w:proofErr w:type="spellStart"/>
      <w:r w:rsidRPr="00580E55">
        <w:rPr>
          <w:sz w:val="20"/>
          <w:szCs w:val="20"/>
        </w:rPr>
        <w:t>Boubakri</w:t>
      </w:r>
      <w:proofErr w:type="spellEnd"/>
      <w:r w:rsidR="00A93A8C">
        <w:rPr>
          <w:sz w:val="20"/>
          <w:szCs w:val="20"/>
        </w:rPr>
        <w:t xml:space="preserve"> et al.</w:t>
      </w:r>
      <w:r w:rsidRPr="00580E55">
        <w:rPr>
          <w:sz w:val="20"/>
          <w:szCs w:val="20"/>
        </w:rPr>
        <w:t xml:space="preserve"> 2005). </w:t>
      </w:r>
    </w:p>
    <w:p w:rsidR="0014296F" w:rsidRDefault="0014296F" w:rsidP="00580E55">
      <w:pPr>
        <w:pStyle w:val="ListParagraph"/>
        <w:spacing w:line="360" w:lineRule="auto"/>
        <w:rPr>
          <w:sz w:val="20"/>
          <w:szCs w:val="20"/>
        </w:rPr>
      </w:pPr>
    </w:p>
    <w:p w:rsidR="00710EE4" w:rsidRPr="00580E55" w:rsidRDefault="00710EE4" w:rsidP="00580E55">
      <w:pPr>
        <w:pStyle w:val="ListParagraph"/>
        <w:spacing w:line="360" w:lineRule="auto"/>
        <w:rPr>
          <w:i/>
          <w:sz w:val="20"/>
          <w:szCs w:val="20"/>
        </w:rPr>
      </w:pPr>
      <w:r w:rsidRPr="00580E55">
        <w:rPr>
          <w:i/>
          <w:sz w:val="20"/>
          <w:szCs w:val="20"/>
        </w:rPr>
        <w:t xml:space="preserve">Figure </w:t>
      </w:r>
      <w:r w:rsidR="00CA05B7" w:rsidRPr="00580E55">
        <w:rPr>
          <w:i/>
          <w:sz w:val="20"/>
          <w:szCs w:val="20"/>
        </w:rPr>
        <w:t>1:</w:t>
      </w:r>
      <w:r w:rsidRPr="00580E55">
        <w:rPr>
          <w:i/>
          <w:sz w:val="20"/>
          <w:szCs w:val="20"/>
        </w:rPr>
        <w:t xml:space="preserve"> Conceptual Framework of Corporate Governance and Influence of </w:t>
      </w:r>
      <w:r w:rsidR="00CA05B7" w:rsidRPr="00580E55">
        <w:rPr>
          <w:i/>
          <w:sz w:val="20"/>
          <w:szCs w:val="20"/>
        </w:rPr>
        <w:t xml:space="preserve">Macroeconomic </w:t>
      </w:r>
      <w:r w:rsidRPr="00580E55">
        <w:rPr>
          <w:i/>
          <w:sz w:val="20"/>
          <w:szCs w:val="20"/>
        </w:rPr>
        <w:t>Variables on the Performance of Firms in Nigeria</w:t>
      </w:r>
    </w:p>
    <w:p w:rsidR="00710EE4" w:rsidRPr="00F2792D" w:rsidRDefault="00710EE4" w:rsidP="009048D4">
      <w:pPr>
        <w:pStyle w:val="ListParagraph"/>
      </w:pPr>
    </w:p>
    <w:p w:rsidR="00710EE4" w:rsidRPr="002E50BD" w:rsidRDefault="00710EE4" w:rsidP="009048D4">
      <w:pPr>
        <w:pStyle w:val="ListParagraph"/>
      </w:pPr>
      <w:r>
        <w:rPr>
          <w:noProof/>
          <w:shd w:val="clear" w:color="auto" w:fill="FFFFFF"/>
          <w:lang w:eastAsia="en-GB"/>
        </w:rPr>
        <w:drawing>
          <wp:inline distT="0" distB="0" distL="0" distR="0" wp14:anchorId="7A685B8D" wp14:editId="108D1873">
            <wp:extent cx="4953000" cy="2070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0" cy="2070100"/>
                    </a:xfrm>
                    <a:prstGeom prst="rect">
                      <a:avLst/>
                    </a:prstGeom>
                    <a:noFill/>
                    <a:ln>
                      <a:noFill/>
                    </a:ln>
                  </pic:spPr>
                </pic:pic>
              </a:graphicData>
            </a:graphic>
          </wp:inline>
        </w:drawing>
      </w:r>
    </w:p>
    <w:p w:rsidR="0052310A" w:rsidRDefault="0052310A" w:rsidP="009048D4">
      <w:pPr>
        <w:pStyle w:val="ListParagraph"/>
        <w:rPr>
          <w:sz w:val="16"/>
          <w:szCs w:val="16"/>
        </w:rPr>
      </w:pPr>
    </w:p>
    <w:p w:rsidR="00ED5F35" w:rsidRPr="00B238AC" w:rsidRDefault="00B3007F" w:rsidP="00B238AC">
      <w:pPr>
        <w:pStyle w:val="ListParagraph"/>
        <w:spacing w:line="360" w:lineRule="auto"/>
        <w:rPr>
          <w:i/>
          <w:sz w:val="20"/>
          <w:szCs w:val="20"/>
        </w:rPr>
      </w:pPr>
      <w:r w:rsidRPr="00733041">
        <w:rPr>
          <w:i/>
          <w:sz w:val="20"/>
          <w:szCs w:val="20"/>
        </w:rPr>
        <w:t xml:space="preserve">Data and Sample </w:t>
      </w:r>
      <w:r w:rsidR="00ED5F35" w:rsidRPr="00733041">
        <w:rPr>
          <w:i/>
          <w:sz w:val="20"/>
          <w:szCs w:val="20"/>
        </w:rPr>
        <w:t>Determination</w:t>
      </w:r>
    </w:p>
    <w:p w:rsidR="00B3007F" w:rsidRPr="00B238AC" w:rsidRDefault="00B3007F" w:rsidP="00B238AC">
      <w:pPr>
        <w:pStyle w:val="ListParagraph"/>
        <w:spacing w:line="360" w:lineRule="auto"/>
        <w:jc w:val="both"/>
        <w:rPr>
          <w:sz w:val="20"/>
          <w:szCs w:val="20"/>
        </w:rPr>
      </w:pPr>
      <w:r w:rsidRPr="00B238AC">
        <w:rPr>
          <w:sz w:val="20"/>
          <w:szCs w:val="20"/>
        </w:rPr>
        <w:t>This study is based on panel data from 177 firms listed on the Main Board of the NSE between 1</w:t>
      </w:r>
      <w:r w:rsidRPr="00B238AC">
        <w:rPr>
          <w:sz w:val="20"/>
          <w:szCs w:val="20"/>
          <w:vertAlign w:val="superscript"/>
        </w:rPr>
        <w:t>st</w:t>
      </w:r>
      <w:r w:rsidRPr="00B238AC">
        <w:rPr>
          <w:sz w:val="20"/>
          <w:szCs w:val="20"/>
        </w:rPr>
        <w:t xml:space="preserve"> January 1999 and 31</w:t>
      </w:r>
      <w:r w:rsidRPr="00B238AC">
        <w:rPr>
          <w:sz w:val="20"/>
          <w:szCs w:val="20"/>
          <w:vertAlign w:val="superscript"/>
        </w:rPr>
        <w:t>st</w:t>
      </w:r>
      <w:r w:rsidRPr="00B238AC">
        <w:rPr>
          <w:sz w:val="20"/>
          <w:szCs w:val="20"/>
        </w:rPr>
        <w:t xml:space="preserve"> December 2010. </w:t>
      </w:r>
      <w:r w:rsidR="00A20716">
        <w:rPr>
          <w:sz w:val="20"/>
          <w:szCs w:val="20"/>
        </w:rPr>
        <w:t>Q</w:t>
      </w:r>
      <w:r w:rsidRPr="00B238AC">
        <w:rPr>
          <w:sz w:val="20"/>
          <w:szCs w:val="20"/>
        </w:rPr>
        <w:t>ua</w:t>
      </w:r>
      <w:r w:rsidR="00A20716">
        <w:rPr>
          <w:sz w:val="20"/>
          <w:szCs w:val="20"/>
        </w:rPr>
        <w:t>litative</w:t>
      </w:r>
      <w:r w:rsidRPr="00B238AC">
        <w:rPr>
          <w:sz w:val="20"/>
          <w:szCs w:val="20"/>
        </w:rPr>
        <w:t xml:space="preserve"> data in respect of board characteristics were collected from the Nigerian SEC Database and the respective companies’ annual reports. Macroeconomic data </w:t>
      </w:r>
      <w:r w:rsidR="00B1518C" w:rsidRPr="00B238AC">
        <w:rPr>
          <w:sz w:val="20"/>
          <w:szCs w:val="20"/>
        </w:rPr>
        <w:t xml:space="preserve">related </w:t>
      </w:r>
      <w:r w:rsidR="00A20716">
        <w:rPr>
          <w:sz w:val="20"/>
          <w:szCs w:val="20"/>
        </w:rPr>
        <w:t xml:space="preserve">to </w:t>
      </w:r>
      <w:r w:rsidRPr="00B238AC">
        <w:rPr>
          <w:sz w:val="20"/>
          <w:szCs w:val="20"/>
        </w:rPr>
        <w:t xml:space="preserve">economic growth and </w:t>
      </w:r>
      <w:r w:rsidR="00A20716">
        <w:rPr>
          <w:sz w:val="20"/>
          <w:szCs w:val="20"/>
        </w:rPr>
        <w:t>the levels</w:t>
      </w:r>
      <w:r w:rsidR="00A20716" w:rsidRPr="00B238AC">
        <w:rPr>
          <w:sz w:val="20"/>
          <w:szCs w:val="20"/>
        </w:rPr>
        <w:t xml:space="preserve"> of economic openness were</w:t>
      </w:r>
      <w:r w:rsidRPr="00B238AC">
        <w:rPr>
          <w:sz w:val="20"/>
          <w:szCs w:val="20"/>
        </w:rPr>
        <w:t xml:space="preserve"> </w:t>
      </w:r>
      <w:r w:rsidR="00B1518C" w:rsidRPr="00B238AC">
        <w:rPr>
          <w:sz w:val="20"/>
          <w:szCs w:val="20"/>
        </w:rPr>
        <w:t>extracted</w:t>
      </w:r>
      <w:r w:rsidRPr="00B238AC">
        <w:rPr>
          <w:sz w:val="20"/>
          <w:szCs w:val="20"/>
        </w:rPr>
        <w:t xml:space="preserve"> from the 2011 CBN Annual Bulletin. </w:t>
      </w:r>
      <w:r w:rsidR="00A20716">
        <w:rPr>
          <w:sz w:val="20"/>
          <w:szCs w:val="20"/>
        </w:rPr>
        <w:t xml:space="preserve">Information </w:t>
      </w:r>
      <w:r w:rsidRPr="00B238AC">
        <w:rPr>
          <w:sz w:val="20"/>
          <w:szCs w:val="20"/>
        </w:rPr>
        <w:t xml:space="preserve">on </w:t>
      </w:r>
      <w:r w:rsidR="001B074B" w:rsidRPr="00B238AC">
        <w:rPr>
          <w:sz w:val="20"/>
          <w:szCs w:val="20"/>
        </w:rPr>
        <w:t xml:space="preserve">financial </w:t>
      </w:r>
      <w:r w:rsidRPr="00B238AC">
        <w:rPr>
          <w:sz w:val="20"/>
          <w:szCs w:val="20"/>
        </w:rPr>
        <w:t>performance w</w:t>
      </w:r>
      <w:r w:rsidR="00A20716">
        <w:rPr>
          <w:sz w:val="20"/>
          <w:szCs w:val="20"/>
        </w:rPr>
        <w:t>as</w:t>
      </w:r>
      <w:r w:rsidRPr="00B238AC">
        <w:rPr>
          <w:sz w:val="20"/>
          <w:szCs w:val="20"/>
        </w:rPr>
        <w:t xml:space="preserve"> </w:t>
      </w:r>
      <w:r w:rsidR="008A2C48" w:rsidRPr="00B238AC">
        <w:rPr>
          <w:sz w:val="20"/>
          <w:szCs w:val="20"/>
        </w:rPr>
        <w:t>composed</w:t>
      </w:r>
      <w:r w:rsidRPr="00B238AC">
        <w:rPr>
          <w:sz w:val="20"/>
          <w:szCs w:val="20"/>
        </w:rPr>
        <w:t xml:space="preserve"> from the respective companies’ annual reports and </w:t>
      </w:r>
      <w:r w:rsidR="008A2C48" w:rsidRPr="00B238AC">
        <w:rPr>
          <w:sz w:val="20"/>
          <w:szCs w:val="20"/>
        </w:rPr>
        <w:t xml:space="preserve">the </w:t>
      </w:r>
      <w:r w:rsidRPr="00B238AC">
        <w:rPr>
          <w:sz w:val="20"/>
          <w:szCs w:val="20"/>
        </w:rPr>
        <w:t>N</w:t>
      </w:r>
      <w:r w:rsidR="0008467D" w:rsidRPr="00B238AC">
        <w:rPr>
          <w:sz w:val="20"/>
          <w:szCs w:val="20"/>
        </w:rPr>
        <w:t xml:space="preserve">igeria </w:t>
      </w:r>
      <w:r w:rsidRPr="00B238AC">
        <w:rPr>
          <w:sz w:val="20"/>
          <w:szCs w:val="20"/>
        </w:rPr>
        <w:t>S</w:t>
      </w:r>
      <w:r w:rsidR="0008467D" w:rsidRPr="00B238AC">
        <w:rPr>
          <w:sz w:val="20"/>
          <w:szCs w:val="20"/>
        </w:rPr>
        <w:t xml:space="preserve">tock </w:t>
      </w:r>
      <w:r w:rsidRPr="00B238AC">
        <w:rPr>
          <w:sz w:val="20"/>
          <w:szCs w:val="20"/>
        </w:rPr>
        <w:t>E</w:t>
      </w:r>
      <w:r w:rsidR="0008467D" w:rsidRPr="00B238AC">
        <w:rPr>
          <w:sz w:val="20"/>
          <w:szCs w:val="20"/>
        </w:rPr>
        <w:t xml:space="preserve">xchange (NSE) </w:t>
      </w:r>
      <w:r w:rsidRPr="00B238AC">
        <w:rPr>
          <w:sz w:val="20"/>
          <w:szCs w:val="20"/>
        </w:rPr>
        <w:t>Fact Book</w:t>
      </w:r>
      <w:r w:rsidR="001B074B" w:rsidRPr="00B238AC">
        <w:rPr>
          <w:sz w:val="20"/>
          <w:szCs w:val="20"/>
        </w:rPr>
        <w:t>s</w:t>
      </w:r>
      <w:r w:rsidRPr="00B238AC">
        <w:rPr>
          <w:sz w:val="20"/>
          <w:szCs w:val="20"/>
        </w:rPr>
        <w:t>. Information on share prices for all of the companies considered were collected from the NSE Daily Price List, specifically on the last trading day of each of the financial years</w:t>
      </w:r>
      <w:r w:rsidR="0008467D" w:rsidRPr="00B238AC">
        <w:rPr>
          <w:sz w:val="20"/>
          <w:szCs w:val="20"/>
        </w:rPr>
        <w:t>.</w:t>
      </w:r>
      <w:r w:rsidRPr="00B238AC">
        <w:rPr>
          <w:sz w:val="20"/>
          <w:szCs w:val="20"/>
        </w:rPr>
        <w:t xml:space="preserve"> </w:t>
      </w:r>
    </w:p>
    <w:p w:rsidR="00B3007F" w:rsidRPr="00B238AC" w:rsidRDefault="00B3007F" w:rsidP="00B238AC">
      <w:pPr>
        <w:pStyle w:val="ListParagraph"/>
        <w:spacing w:line="360" w:lineRule="auto"/>
        <w:jc w:val="both"/>
        <w:rPr>
          <w:sz w:val="20"/>
          <w:szCs w:val="20"/>
        </w:rPr>
      </w:pPr>
      <w:r w:rsidRPr="00B238AC">
        <w:rPr>
          <w:sz w:val="20"/>
          <w:szCs w:val="20"/>
        </w:rPr>
        <w:tab/>
      </w:r>
    </w:p>
    <w:p w:rsidR="00B3007F" w:rsidRPr="00B238AC" w:rsidRDefault="00B3007F" w:rsidP="00B238AC">
      <w:pPr>
        <w:pStyle w:val="ListParagraph"/>
        <w:spacing w:line="360" w:lineRule="auto"/>
        <w:jc w:val="both"/>
        <w:rPr>
          <w:sz w:val="20"/>
          <w:szCs w:val="20"/>
        </w:rPr>
      </w:pPr>
      <w:r w:rsidRPr="00B238AC">
        <w:rPr>
          <w:sz w:val="20"/>
          <w:szCs w:val="20"/>
        </w:rPr>
        <w:t>In order arrived at final sample that is reflective of the entire population and reduce the problematic nature of an unequal data sample, a filtering mechanism was developed. For a firm to be included in the final sample, therefore they had to</w:t>
      </w:r>
      <w:r w:rsidR="00F47794" w:rsidRPr="00B238AC">
        <w:rPr>
          <w:sz w:val="20"/>
          <w:szCs w:val="20"/>
        </w:rPr>
        <w:t xml:space="preserve"> </w:t>
      </w:r>
      <w:r w:rsidRPr="00B238AC">
        <w:rPr>
          <w:sz w:val="20"/>
          <w:szCs w:val="20"/>
        </w:rPr>
        <w:t>be a listed company whose shares were traded on the floor of the NSE uninterruptedly for at least the twelve-year period between 1999 and 2010</w:t>
      </w:r>
      <w:r w:rsidR="003D0844" w:rsidRPr="00B238AC">
        <w:rPr>
          <w:sz w:val="20"/>
          <w:szCs w:val="20"/>
        </w:rPr>
        <w:t xml:space="preserve">. The second </w:t>
      </w:r>
      <w:r w:rsidR="003D0844" w:rsidRPr="00B238AC">
        <w:rPr>
          <w:sz w:val="20"/>
          <w:szCs w:val="20"/>
        </w:rPr>
        <w:lastRenderedPageBreak/>
        <w:t xml:space="preserve">consideration is the availability </w:t>
      </w:r>
      <w:r w:rsidR="00F47794" w:rsidRPr="00B238AC">
        <w:rPr>
          <w:sz w:val="20"/>
          <w:szCs w:val="20"/>
        </w:rPr>
        <w:t>of audited annual financial reports</w:t>
      </w:r>
      <w:r w:rsidRPr="00B238AC">
        <w:rPr>
          <w:sz w:val="20"/>
          <w:szCs w:val="20"/>
        </w:rPr>
        <w:t xml:space="preserve"> for the period under consideration and finally </w:t>
      </w:r>
      <w:r w:rsidR="00F47794" w:rsidRPr="00B238AC">
        <w:rPr>
          <w:sz w:val="20"/>
          <w:szCs w:val="20"/>
        </w:rPr>
        <w:t>the accessibility of</w:t>
      </w:r>
      <w:r w:rsidRPr="00B238AC">
        <w:rPr>
          <w:sz w:val="20"/>
          <w:szCs w:val="20"/>
        </w:rPr>
        <w:t xml:space="preserve"> detailed information on corporate governance disclosure, especially on the structure of the board of directors for 2003/2004 and 2009/2010</w:t>
      </w:r>
      <w:r w:rsidR="00F47794" w:rsidRPr="00B238AC">
        <w:rPr>
          <w:sz w:val="20"/>
          <w:szCs w:val="20"/>
        </w:rPr>
        <w:t xml:space="preserve"> financial years</w:t>
      </w:r>
      <w:r w:rsidRPr="00B238AC">
        <w:rPr>
          <w:sz w:val="20"/>
          <w:szCs w:val="20"/>
        </w:rPr>
        <w:t xml:space="preserve">. Whilst 2003/2004 represents the era prior to the </w:t>
      </w:r>
      <w:r w:rsidR="006E317E">
        <w:rPr>
          <w:sz w:val="20"/>
          <w:szCs w:val="20"/>
        </w:rPr>
        <w:t xml:space="preserve">introduction of </w:t>
      </w:r>
      <w:r w:rsidRPr="00B238AC">
        <w:rPr>
          <w:sz w:val="20"/>
          <w:szCs w:val="20"/>
        </w:rPr>
        <w:t xml:space="preserve">SEC Code, the 2009/2010 financial year represents the post-2003 SEC Code era and the emergence of the 2009 reversed code. </w:t>
      </w:r>
    </w:p>
    <w:p w:rsidR="00B3007F" w:rsidRPr="00B238AC" w:rsidRDefault="00B3007F" w:rsidP="00B238AC">
      <w:pPr>
        <w:pStyle w:val="ListParagraph"/>
        <w:spacing w:line="360" w:lineRule="auto"/>
        <w:jc w:val="both"/>
        <w:rPr>
          <w:sz w:val="20"/>
          <w:szCs w:val="20"/>
        </w:rPr>
      </w:pPr>
    </w:p>
    <w:p w:rsidR="00B3007F" w:rsidRPr="00B238AC" w:rsidRDefault="00B3007F" w:rsidP="00B238AC">
      <w:pPr>
        <w:pStyle w:val="ListParagraph"/>
        <w:spacing w:line="360" w:lineRule="auto"/>
        <w:jc w:val="both"/>
        <w:rPr>
          <w:sz w:val="20"/>
          <w:szCs w:val="20"/>
        </w:rPr>
      </w:pPr>
      <w:r w:rsidRPr="00B238AC">
        <w:rPr>
          <w:sz w:val="20"/>
          <w:szCs w:val="20"/>
        </w:rPr>
        <w:t xml:space="preserve">Using the above parameters, the total number of eligible companies decreased from 177 to 127, and these companies formed the final sample size used throughout the various stages of the empirical analysis. The </w:t>
      </w:r>
      <w:r w:rsidR="00F47794" w:rsidRPr="00B238AC">
        <w:rPr>
          <w:sz w:val="20"/>
          <w:szCs w:val="20"/>
        </w:rPr>
        <w:t xml:space="preserve">composite of firms that made </w:t>
      </w:r>
      <w:r w:rsidRPr="00B238AC">
        <w:rPr>
          <w:sz w:val="20"/>
          <w:szCs w:val="20"/>
        </w:rPr>
        <w:t xml:space="preserve">final sample represents 72 per cent of the total number of quoted companies that </w:t>
      </w:r>
      <w:r w:rsidR="00F47794" w:rsidRPr="00B238AC">
        <w:rPr>
          <w:sz w:val="20"/>
          <w:szCs w:val="20"/>
        </w:rPr>
        <w:t xml:space="preserve">had </w:t>
      </w:r>
      <w:r w:rsidRPr="00B238AC">
        <w:rPr>
          <w:sz w:val="20"/>
          <w:szCs w:val="20"/>
        </w:rPr>
        <w:t>trad</w:t>
      </w:r>
      <w:r w:rsidR="00F47794" w:rsidRPr="00B238AC">
        <w:rPr>
          <w:sz w:val="20"/>
          <w:szCs w:val="20"/>
        </w:rPr>
        <w:t>ed</w:t>
      </w:r>
      <w:r w:rsidRPr="00B238AC">
        <w:rPr>
          <w:sz w:val="20"/>
          <w:szCs w:val="20"/>
        </w:rPr>
        <w:t xml:space="preserve"> on the NSE </w:t>
      </w:r>
      <w:r w:rsidR="00F47794" w:rsidRPr="00B238AC">
        <w:rPr>
          <w:sz w:val="20"/>
          <w:szCs w:val="20"/>
        </w:rPr>
        <w:t xml:space="preserve">platform </w:t>
      </w:r>
      <w:r w:rsidRPr="00B238AC">
        <w:rPr>
          <w:sz w:val="20"/>
          <w:szCs w:val="20"/>
        </w:rPr>
        <w:t xml:space="preserve">as </w:t>
      </w:r>
      <w:r w:rsidR="00F47794" w:rsidRPr="00B238AC">
        <w:rPr>
          <w:sz w:val="20"/>
          <w:szCs w:val="20"/>
        </w:rPr>
        <w:t>at</w:t>
      </w:r>
      <w:r w:rsidRPr="00B238AC">
        <w:rPr>
          <w:sz w:val="20"/>
          <w:szCs w:val="20"/>
        </w:rPr>
        <w:t xml:space="preserve"> the end of the 2010 financial year. The combined market capitalisation of these firms covers approximately 90 per cent of the market’s all-share index. </w:t>
      </w:r>
      <w:r w:rsidR="0001218E">
        <w:rPr>
          <w:sz w:val="20"/>
          <w:szCs w:val="20"/>
        </w:rPr>
        <w:t xml:space="preserve">It is </w:t>
      </w:r>
      <w:r w:rsidRPr="00B238AC">
        <w:rPr>
          <w:sz w:val="20"/>
          <w:szCs w:val="20"/>
        </w:rPr>
        <w:t xml:space="preserve">important to </w:t>
      </w:r>
      <w:r w:rsidR="00605F80">
        <w:rPr>
          <w:sz w:val="20"/>
          <w:szCs w:val="20"/>
        </w:rPr>
        <w:t xml:space="preserve">equally </w:t>
      </w:r>
      <w:r w:rsidRPr="00B238AC">
        <w:rPr>
          <w:sz w:val="20"/>
          <w:szCs w:val="20"/>
        </w:rPr>
        <w:t>note that the final data sample used in this study is still the largest sample size ever used</w:t>
      </w:r>
      <w:r w:rsidR="009B6970">
        <w:rPr>
          <w:sz w:val="20"/>
          <w:szCs w:val="20"/>
        </w:rPr>
        <w:t>,</w:t>
      </w:r>
      <w:r w:rsidRPr="00B238AC">
        <w:rPr>
          <w:sz w:val="20"/>
          <w:szCs w:val="20"/>
        </w:rPr>
        <w:t xml:space="preserve"> </w:t>
      </w:r>
      <w:r w:rsidR="009B6970">
        <w:rPr>
          <w:sz w:val="20"/>
          <w:szCs w:val="20"/>
        </w:rPr>
        <w:t xml:space="preserve">so far, </w:t>
      </w:r>
      <w:r w:rsidRPr="00B238AC">
        <w:rPr>
          <w:sz w:val="20"/>
          <w:szCs w:val="20"/>
        </w:rPr>
        <w:t>in a single empirical study in the context of Nigeria (e.g. Kajola 2008; Udiale 2010</w:t>
      </w:r>
      <w:r w:rsidR="009D2D7F">
        <w:rPr>
          <w:sz w:val="20"/>
          <w:szCs w:val="20"/>
        </w:rPr>
        <w:t>)</w:t>
      </w:r>
      <w:r w:rsidRPr="00B238AC">
        <w:rPr>
          <w:sz w:val="20"/>
          <w:szCs w:val="20"/>
        </w:rPr>
        <w:t>.</w:t>
      </w:r>
    </w:p>
    <w:p w:rsidR="00DF20C5" w:rsidRPr="00E008C4" w:rsidRDefault="00DF20C5" w:rsidP="009048D4">
      <w:pPr>
        <w:pStyle w:val="ListParagraph"/>
        <w:rPr>
          <w:sz w:val="16"/>
          <w:szCs w:val="16"/>
        </w:rPr>
      </w:pPr>
    </w:p>
    <w:p w:rsidR="00DD67E4" w:rsidRPr="00DF20C5" w:rsidRDefault="00CC2E7F" w:rsidP="00DF20C5">
      <w:pPr>
        <w:pStyle w:val="ListParagraph"/>
        <w:spacing w:line="360" w:lineRule="auto"/>
        <w:rPr>
          <w:i/>
          <w:sz w:val="20"/>
          <w:szCs w:val="20"/>
        </w:rPr>
      </w:pPr>
      <w:r w:rsidRPr="00DF20C5">
        <w:rPr>
          <w:i/>
          <w:sz w:val="20"/>
          <w:szCs w:val="20"/>
        </w:rPr>
        <w:t>Definition and Estimation of Variables</w:t>
      </w:r>
    </w:p>
    <w:p w:rsidR="001E30FE" w:rsidRPr="00C60A1D" w:rsidRDefault="001E30FE" w:rsidP="00C60A1D">
      <w:pPr>
        <w:pStyle w:val="ListParagraph"/>
        <w:spacing w:line="360" w:lineRule="auto"/>
        <w:jc w:val="both"/>
        <w:rPr>
          <w:sz w:val="20"/>
          <w:szCs w:val="20"/>
        </w:rPr>
      </w:pPr>
      <w:r w:rsidRPr="00C60A1D">
        <w:rPr>
          <w:sz w:val="20"/>
          <w:szCs w:val="20"/>
        </w:rPr>
        <w:t xml:space="preserve">The study adopted two sets of </w:t>
      </w:r>
      <w:r w:rsidR="00C151DD" w:rsidRPr="00C60A1D">
        <w:rPr>
          <w:sz w:val="20"/>
          <w:szCs w:val="20"/>
        </w:rPr>
        <w:t xml:space="preserve">performance </w:t>
      </w:r>
      <w:r w:rsidRPr="00C60A1D">
        <w:rPr>
          <w:sz w:val="20"/>
          <w:szCs w:val="20"/>
        </w:rPr>
        <w:t xml:space="preserve">measures </w:t>
      </w:r>
      <w:r w:rsidR="00C151DD" w:rsidRPr="00C60A1D">
        <w:rPr>
          <w:sz w:val="20"/>
          <w:szCs w:val="20"/>
        </w:rPr>
        <w:t>i.e. the a</w:t>
      </w:r>
      <w:r w:rsidRPr="00C60A1D">
        <w:rPr>
          <w:sz w:val="20"/>
          <w:szCs w:val="20"/>
        </w:rPr>
        <w:t xml:space="preserve">ccounting and </w:t>
      </w:r>
      <w:r w:rsidR="00C151DD" w:rsidRPr="00C60A1D">
        <w:rPr>
          <w:sz w:val="20"/>
          <w:szCs w:val="20"/>
        </w:rPr>
        <w:t>m</w:t>
      </w:r>
      <w:r w:rsidRPr="00C60A1D">
        <w:rPr>
          <w:sz w:val="20"/>
          <w:szCs w:val="20"/>
        </w:rPr>
        <w:t xml:space="preserve">arket </w:t>
      </w:r>
      <w:r w:rsidR="00C151DD" w:rsidRPr="00C60A1D">
        <w:rPr>
          <w:sz w:val="20"/>
          <w:szCs w:val="20"/>
        </w:rPr>
        <w:t>v</w:t>
      </w:r>
      <w:r w:rsidRPr="00C60A1D">
        <w:rPr>
          <w:sz w:val="20"/>
          <w:szCs w:val="20"/>
        </w:rPr>
        <w:t xml:space="preserve">alue-based techniques. Meyer (2002) noted that these measures focus on both the historical performance and future expectations. </w:t>
      </w:r>
      <w:r w:rsidRPr="00C60A1D">
        <w:rPr>
          <w:i/>
          <w:sz w:val="20"/>
          <w:szCs w:val="20"/>
        </w:rPr>
        <w:t xml:space="preserve">Tobin’s q, </w:t>
      </w:r>
      <w:r w:rsidRPr="00C60A1D">
        <w:rPr>
          <w:sz w:val="20"/>
          <w:szCs w:val="20"/>
        </w:rPr>
        <w:t xml:space="preserve">a measurement of firm market value, provides the basis for statistical inferences regarding the investors’ appetite for the firm’s stock, whilst the use of accounting-based measures – </w:t>
      </w:r>
      <w:r w:rsidR="00C151DD" w:rsidRPr="00C60A1D">
        <w:rPr>
          <w:sz w:val="20"/>
          <w:szCs w:val="20"/>
        </w:rPr>
        <w:t>r</w:t>
      </w:r>
      <w:r w:rsidRPr="00C60A1D">
        <w:rPr>
          <w:sz w:val="20"/>
          <w:szCs w:val="20"/>
        </w:rPr>
        <w:t>eturn-on-</w:t>
      </w:r>
      <w:r w:rsidR="00C151DD" w:rsidRPr="00C60A1D">
        <w:rPr>
          <w:sz w:val="20"/>
          <w:szCs w:val="20"/>
        </w:rPr>
        <w:t>assets (ROA) and n</w:t>
      </w:r>
      <w:r w:rsidRPr="00C60A1D">
        <w:rPr>
          <w:sz w:val="20"/>
          <w:szCs w:val="20"/>
        </w:rPr>
        <w:t xml:space="preserve">et profit margin (NPM) enables the study to draw conclusions </w:t>
      </w:r>
      <w:r w:rsidR="00C151DD" w:rsidRPr="00C60A1D">
        <w:rPr>
          <w:sz w:val="20"/>
          <w:szCs w:val="20"/>
        </w:rPr>
        <w:t>regarding</w:t>
      </w:r>
      <w:r w:rsidRPr="00C60A1D">
        <w:rPr>
          <w:sz w:val="20"/>
          <w:szCs w:val="20"/>
        </w:rPr>
        <w:t xml:space="preserve"> the operational </w:t>
      </w:r>
      <w:r w:rsidR="00C60A1D" w:rsidRPr="00C60A1D">
        <w:rPr>
          <w:sz w:val="20"/>
          <w:szCs w:val="20"/>
        </w:rPr>
        <w:t xml:space="preserve">efficiency and profitability </w:t>
      </w:r>
      <w:r w:rsidRPr="00C60A1D">
        <w:rPr>
          <w:sz w:val="20"/>
          <w:szCs w:val="20"/>
        </w:rPr>
        <w:t>(see: Gentry and Shen 2010</w:t>
      </w:r>
      <w:r w:rsidR="00C151DD" w:rsidRPr="00C60A1D">
        <w:rPr>
          <w:sz w:val="20"/>
          <w:szCs w:val="20"/>
        </w:rPr>
        <w:t>)</w:t>
      </w:r>
      <w:r w:rsidRPr="00C60A1D">
        <w:rPr>
          <w:sz w:val="20"/>
          <w:szCs w:val="20"/>
        </w:rPr>
        <w:t>.</w:t>
      </w:r>
      <w:r w:rsidRPr="00C60A1D">
        <w:rPr>
          <w:i/>
          <w:sz w:val="20"/>
          <w:szCs w:val="20"/>
        </w:rPr>
        <w:t xml:space="preserve"> Tobin’s q</w:t>
      </w:r>
      <w:r w:rsidRPr="00C60A1D">
        <w:rPr>
          <w:sz w:val="20"/>
          <w:szCs w:val="20"/>
        </w:rPr>
        <w:t xml:space="preserve"> is defined as the ratio </w:t>
      </w:r>
      <w:r w:rsidR="00C151DD" w:rsidRPr="00C60A1D">
        <w:rPr>
          <w:sz w:val="20"/>
          <w:szCs w:val="20"/>
        </w:rPr>
        <w:t xml:space="preserve">of </w:t>
      </w:r>
      <w:r w:rsidRPr="00C60A1D">
        <w:rPr>
          <w:sz w:val="20"/>
          <w:szCs w:val="20"/>
        </w:rPr>
        <w:t xml:space="preserve">market capitalisation plus the book value of debt, to the total assets (e.g. Coles </w:t>
      </w:r>
      <w:r w:rsidRPr="006C5753">
        <w:rPr>
          <w:sz w:val="20"/>
          <w:szCs w:val="20"/>
        </w:rPr>
        <w:t>et al.</w:t>
      </w:r>
      <w:r w:rsidRPr="00C60A1D">
        <w:rPr>
          <w:sz w:val="20"/>
          <w:szCs w:val="20"/>
        </w:rPr>
        <w:t xml:space="preserve"> 2008; </w:t>
      </w:r>
      <w:proofErr w:type="spellStart"/>
      <w:r w:rsidRPr="00C60A1D">
        <w:rPr>
          <w:sz w:val="20"/>
          <w:szCs w:val="20"/>
        </w:rPr>
        <w:t>Mak</w:t>
      </w:r>
      <w:proofErr w:type="spellEnd"/>
      <w:r w:rsidRPr="00C60A1D">
        <w:rPr>
          <w:sz w:val="20"/>
          <w:szCs w:val="20"/>
        </w:rPr>
        <w:t xml:space="preserve"> and </w:t>
      </w:r>
      <w:proofErr w:type="spellStart"/>
      <w:r w:rsidRPr="00C60A1D">
        <w:rPr>
          <w:sz w:val="20"/>
          <w:szCs w:val="20"/>
        </w:rPr>
        <w:t>Kusnadi</w:t>
      </w:r>
      <w:proofErr w:type="spellEnd"/>
      <w:r w:rsidRPr="00C60A1D">
        <w:rPr>
          <w:sz w:val="20"/>
          <w:szCs w:val="20"/>
        </w:rPr>
        <w:t xml:space="preserve"> 2005</w:t>
      </w:r>
      <w:r w:rsidR="00C151DD" w:rsidRPr="00C60A1D">
        <w:rPr>
          <w:sz w:val="20"/>
          <w:szCs w:val="20"/>
        </w:rPr>
        <w:t>)</w:t>
      </w:r>
      <w:r w:rsidRPr="00C60A1D">
        <w:rPr>
          <w:sz w:val="20"/>
          <w:szCs w:val="20"/>
        </w:rPr>
        <w:t xml:space="preserve">. ROA is taken </w:t>
      </w:r>
      <w:r w:rsidR="00C151DD" w:rsidRPr="00C60A1D">
        <w:rPr>
          <w:sz w:val="20"/>
          <w:szCs w:val="20"/>
        </w:rPr>
        <w:t xml:space="preserve">as </w:t>
      </w:r>
      <w:r w:rsidRPr="00C60A1D">
        <w:rPr>
          <w:sz w:val="20"/>
          <w:szCs w:val="20"/>
        </w:rPr>
        <w:t xml:space="preserve">the ratio of net profit to </w:t>
      </w:r>
      <w:r w:rsidR="00C151DD" w:rsidRPr="00C60A1D">
        <w:rPr>
          <w:sz w:val="20"/>
          <w:szCs w:val="20"/>
        </w:rPr>
        <w:t xml:space="preserve">total assets </w:t>
      </w:r>
      <w:r w:rsidRPr="00C60A1D">
        <w:rPr>
          <w:sz w:val="20"/>
          <w:szCs w:val="20"/>
        </w:rPr>
        <w:t>or net worth</w:t>
      </w:r>
      <w:r w:rsidR="00C60A1D" w:rsidRPr="00C60A1D">
        <w:rPr>
          <w:sz w:val="20"/>
          <w:szCs w:val="20"/>
        </w:rPr>
        <w:t xml:space="preserve"> (see: </w:t>
      </w:r>
      <w:proofErr w:type="spellStart"/>
      <w:r w:rsidR="00C60A1D" w:rsidRPr="00C60A1D">
        <w:rPr>
          <w:sz w:val="20"/>
          <w:szCs w:val="20"/>
        </w:rPr>
        <w:t>Bennedsen</w:t>
      </w:r>
      <w:proofErr w:type="spellEnd"/>
      <w:r w:rsidR="00C60A1D" w:rsidRPr="00C60A1D">
        <w:rPr>
          <w:sz w:val="20"/>
          <w:szCs w:val="20"/>
        </w:rPr>
        <w:t xml:space="preserve"> </w:t>
      </w:r>
      <w:r w:rsidR="00C60A1D" w:rsidRPr="006C5753">
        <w:rPr>
          <w:sz w:val="20"/>
          <w:szCs w:val="20"/>
        </w:rPr>
        <w:t xml:space="preserve">et al. </w:t>
      </w:r>
      <w:r w:rsidR="00C60A1D" w:rsidRPr="00C60A1D">
        <w:rPr>
          <w:sz w:val="20"/>
          <w:szCs w:val="20"/>
        </w:rPr>
        <w:t>2008).</w:t>
      </w:r>
      <w:r w:rsidRPr="00C60A1D">
        <w:rPr>
          <w:sz w:val="20"/>
          <w:szCs w:val="20"/>
        </w:rPr>
        <w:t xml:space="preserve"> NPM, as a profitability ratio, is crucial to ascertaining the relative internal strength of a firm and the degree to which it can survive in turbulent times as a going concern. </w:t>
      </w:r>
      <w:r w:rsidR="00C151DD" w:rsidRPr="00C60A1D">
        <w:rPr>
          <w:sz w:val="20"/>
          <w:szCs w:val="20"/>
        </w:rPr>
        <w:t xml:space="preserve">In this study, </w:t>
      </w:r>
      <w:r w:rsidRPr="00C60A1D">
        <w:rPr>
          <w:sz w:val="20"/>
          <w:szCs w:val="20"/>
        </w:rPr>
        <w:t>NPM i</w:t>
      </w:r>
      <w:r w:rsidR="00C151DD" w:rsidRPr="00C60A1D">
        <w:rPr>
          <w:sz w:val="20"/>
          <w:szCs w:val="20"/>
        </w:rPr>
        <w:t xml:space="preserve">s defined as the ratio of </w:t>
      </w:r>
      <w:r w:rsidRPr="00C60A1D">
        <w:rPr>
          <w:sz w:val="20"/>
          <w:szCs w:val="20"/>
        </w:rPr>
        <w:t>turnover to net profit. This definition is consistent with approaches adopte</w:t>
      </w:r>
      <w:r w:rsidR="00C60A1D" w:rsidRPr="00C60A1D">
        <w:rPr>
          <w:sz w:val="20"/>
          <w:szCs w:val="20"/>
        </w:rPr>
        <w:t xml:space="preserve">d in </w:t>
      </w:r>
      <w:proofErr w:type="spellStart"/>
      <w:r w:rsidR="00C60A1D" w:rsidRPr="00C60A1D">
        <w:rPr>
          <w:sz w:val="20"/>
          <w:szCs w:val="20"/>
        </w:rPr>
        <w:t>Raithatha</w:t>
      </w:r>
      <w:proofErr w:type="spellEnd"/>
      <w:r w:rsidR="00C60A1D" w:rsidRPr="00C60A1D">
        <w:rPr>
          <w:sz w:val="20"/>
          <w:szCs w:val="20"/>
        </w:rPr>
        <w:t xml:space="preserve"> and </w:t>
      </w:r>
      <w:proofErr w:type="spellStart"/>
      <w:r w:rsidR="00C60A1D" w:rsidRPr="00C60A1D">
        <w:rPr>
          <w:sz w:val="20"/>
          <w:szCs w:val="20"/>
        </w:rPr>
        <w:t>Bapat</w:t>
      </w:r>
      <w:proofErr w:type="spellEnd"/>
      <w:r w:rsidR="00C60A1D" w:rsidRPr="00C60A1D">
        <w:rPr>
          <w:sz w:val="20"/>
          <w:szCs w:val="20"/>
        </w:rPr>
        <w:t xml:space="preserve"> 2012 and </w:t>
      </w:r>
      <w:r w:rsidRPr="00C60A1D">
        <w:rPr>
          <w:sz w:val="20"/>
          <w:szCs w:val="20"/>
        </w:rPr>
        <w:t xml:space="preserve">Gill </w:t>
      </w:r>
      <w:r w:rsidRPr="006C5753">
        <w:rPr>
          <w:sz w:val="20"/>
          <w:szCs w:val="20"/>
        </w:rPr>
        <w:t>et al</w:t>
      </w:r>
      <w:r w:rsidR="00C60A1D" w:rsidRPr="006C5753">
        <w:rPr>
          <w:sz w:val="20"/>
          <w:szCs w:val="20"/>
        </w:rPr>
        <w:t>.</w:t>
      </w:r>
      <w:r w:rsidRPr="00C60A1D">
        <w:rPr>
          <w:sz w:val="20"/>
          <w:szCs w:val="20"/>
        </w:rPr>
        <w:t xml:space="preserve"> 2008</w:t>
      </w:r>
      <w:r w:rsidR="00C60A1D" w:rsidRPr="00C60A1D">
        <w:rPr>
          <w:sz w:val="20"/>
          <w:szCs w:val="20"/>
        </w:rPr>
        <w:t>.</w:t>
      </w:r>
    </w:p>
    <w:p w:rsidR="001E30FE" w:rsidRPr="00D438C0" w:rsidRDefault="001E30FE" w:rsidP="009048D4">
      <w:pPr>
        <w:pStyle w:val="ListParagraph"/>
        <w:rPr>
          <w:i/>
          <w:sz w:val="20"/>
          <w:szCs w:val="20"/>
        </w:rPr>
      </w:pPr>
    </w:p>
    <w:p w:rsidR="00A544F4" w:rsidRDefault="00D53809" w:rsidP="00A544F4">
      <w:pPr>
        <w:pStyle w:val="ListParagraph"/>
        <w:spacing w:line="360" w:lineRule="auto"/>
        <w:jc w:val="both"/>
        <w:rPr>
          <w:sz w:val="16"/>
          <w:szCs w:val="16"/>
        </w:rPr>
      </w:pPr>
      <w:r w:rsidRPr="00344D9E">
        <w:rPr>
          <w:i/>
          <w:sz w:val="20"/>
          <w:szCs w:val="20"/>
        </w:rPr>
        <w:t>Board size (BS)</w:t>
      </w:r>
      <w:r w:rsidRPr="00344D9E">
        <w:rPr>
          <w:sz w:val="20"/>
          <w:szCs w:val="20"/>
        </w:rPr>
        <w:t xml:space="preserve"> is used in this study as an independent variable </w:t>
      </w:r>
      <w:r w:rsidR="00D438C0" w:rsidRPr="00344D9E">
        <w:rPr>
          <w:sz w:val="20"/>
          <w:szCs w:val="20"/>
        </w:rPr>
        <w:t xml:space="preserve">and </w:t>
      </w:r>
      <w:r w:rsidRPr="00344D9E">
        <w:rPr>
          <w:sz w:val="20"/>
          <w:szCs w:val="20"/>
        </w:rPr>
        <w:t xml:space="preserve">estimated in the model as the total number of directors on the board (e.g. Pacini </w:t>
      </w:r>
      <w:r w:rsidRPr="006C5753">
        <w:rPr>
          <w:sz w:val="20"/>
          <w:szCs w:val="20"/>
        </w:rPr>
        <w:t>et al.</w:t>
      </w:r>
      <w:r w:rsidRPr="00344D9E">
        <w:rPr>
          <w:sz w:val="20"/>
          <w:szCs w:val="20"/>
        </w:rPr>
        <w:t xml:space="preserve"> 2008; Yermack 1996</w:t>
      </w:r>
      <w:r w:rsidR="00D438C0" w:rsidRPr="00344D9E">
        <w:rPr>
          <w:sz w:val="20"/>
          <w:szCs w:val="20"/>
        </w:rPr>
        <w:t>)</w:t>
      </w:r>
      <w:r w:rsidRPr="00344D9E">
        <w:rPr>
          <w:sz w:val="20"/>
          <w:szCs w:val="20"/>
        </w:rPr>
        <w:t xml:space="preserve">. The definition of </w:t>
      </w:r>
      <w:r w:rsidRPr="00344D9E">
        <w:rPr>
          <w:i/>
          <w:sz w:val="20"/>
          <w:szCs w:val="20"/>
        </w:rPr>
        <w:t>board independence (BI)</w:t>
      </w:r>
      <w:r w:rsidRPr="00344D9E">
        <w:rPr>
          <w:sz w:val="20"/>
          <w:szCs w:val="20"/>
        </w:rPr>
        <w:t xml:space="preserve"> offered in this study is an adaptation of the SEC Code’s definition</w:t>
      </w:r>
      <w:r w:rsidR="00344D9E" w:rsidRPr="00344D9E">
        <w:rPr>
          <w:sz w:val="20"/>
          <w:szCs w:val="20"/>
        </w:rPr>
        <w:t xml:space="preserve"> and it </w:t>
      </w:r>
      <w:r w:rsidRPr="00344D9E">
        <w:rPr>
          <w:sz w:val="20"/>
          <w:szCs w:val="20"/>
        </w:rPr>
        <w:t xml:space="preserve">is taken as the proportion of independent NEDs, who are not current or former employees of the company and whose stake in the company is less than 0.1 per cent. Board independence is captured in the model as the total number of independent NEDs on the board during the relevant financial years (e.g. Mura 2007; Peng 2004; Weir </w:t>
      </w:r>
      <w:r w:rsidRPr="006C5753">
        <w:rPr>
          <w:sz w:val="20"/>
          <w:szCs w:val="20"/>
        </w:rPr>
        <w:t>et al.</w:t>
      </w:r>
      <w:r w:rsidRPr="00344D9E">
        <w:rPr>
          <w:i/>
          <w:sz w:val="20"/>
          <w:szCs w:val="20"/>
        </w:rPr>
        <w:t xml:space="preserve"> </w:t>
      </w:r>
      <w:r w:rsidRPr="00344D9E">
        <w:rPr>
          <w:sz w:val="20"/>
          <w:szCs w:val="20"/>
        </w:rPr>
        <w:t>2002</w:t>
      </w:r>
      <w:r w:rsidR="00344D9E" w:rsidRPr="00344D9E">
        <w:rPr>
          <w:sz w:val="20"/>
          <w:szCs w:val="20"/>
        </w:rPr>
        <w:t>)</w:t>
      </w:r>
      <w:r w:rsidRPr="00344D9E">
        <w:rPr>
          <w:sz w:val="20"/>
          <w:szCs w:val="20"/>
        </w:rPr>
        <w:t xml:space="preserve">. </w:t>
      </w:r>
      <w:r w:rsidRPr="007D7E39">
        <w:rPr>
          <w:i/>
          <w:sz w:val="20"/>
          <w:szCs w:val="20"/>
        </w:rPr>
        <w:t>CEO duality (CEODUAL)</w:t>
      </w:r>
      <w:r w:rsidRPr="007D7E39">
        <w:rPr>
          <w:sz w:val="20"/>
          <w:szCs w:val="20"/>
        </w:rPr>
        <w:t xml:space="preserve"> is captured as a dummy variable</w:t>
      </w:r>
      <w:r w:rsidR="009F7A52" w:rsidRPr="007D7E39">
        <w:rPr>
          <w:sz w:val="20"/>
          <w:szCs w:val="20"/>
        </w:rPr>
        <w:t xml:space="preserve"> and </w:t>
      </w:r>
      <w:r w:rsidRPr="007D7E39">
        <w:rPr>
          <w:sz w:val="20"/>
          <w:szCs w:val="20"/>
        </w:rPr>
        <w:t>coded in binary</w:t>
      </w:r>
      <w:r w:rsidR="009F7A52" w:rsidRPr="007D7E39">
        <w:rPr>
          <w:sz w:val="20"/>
          <w:szCs w:val="20"/>
        </w:rPr>
        <w:t xml:space="preserve"> which takes</w:t>
      </w:r>
      <w:r w:rsidRPr="007D7E39">
        <w:rPr>
          <w:sz w:val="20"/>
          <w:szCs w:val="20"/>
        </w:rPr>
        <w:t xml:space="preserve"> the value one</w:t>
      </w:r>
      <w:r w:rsidR="009F7A52" w:rsidRPr="007D7E39">
        <w:rPr>
          <w:sz w:val="20"/>
          <w:szCs w:val="20"/>
        </w:rPr>
        <w:t xml:space="preserve"> (</w:t>
      </w:r>
      <w:r w:rsidR="009F7A52" w:rsidRPr="007D7E39">
        <w:rPr>
          <w:i/>
          <w:sz w:val="20"/>
          <w:szCs w:val="20"/>
        </w:rPr>
        <w:t>1</w:t>
      </w:r>
      <w:r w:rsidR="009F7A52" w:rsidRPr="007D7E39">
        <w:rPr>
          <w:sz w:val="20"/>
          <w:szCs w:val="20"/>
        </w:rPr>
        <w:t>)</w:t>
      </w:r>
      <w:r w:rsidRPr="007D7E39">
        <w:rPr>
          <w:sz w:val="20"/>
          <w:szCs w:val="20"/>
        </w:rPr>
        <w:t xml:space="preserve"> if </w:t>
      </w:r>
      <w:r w:rsidR="009F7A52" w:rsidRPr="007D7E39">
        <w:rPr>
          <w:sz w:val="20"/>
          <w:szCs w:val="20"/>
        </w:rPr>
        <w:t xml:space="preserve">CEO doubled as the Board Chair, signifying </w:t>
      </w:r>
      <w:r w:rsidRPr="007D7E39">
        <w:rPr>
          <w:sz w:val="20"/>
          <w:szCs w:val="20"/>
        </w:rPr>
        <w:t xml:space="preserve">a </w:t>
      </w:r>
      <w:r w:rsidRPr="008B5AAB">
        <w:rPr>
          <w:sz w:val="20"/>
          <w:szCs w:val="20"/>
        </w:rPr>
        <w:t>dependent leadership structure and the value, zero</w:t>
      </w:r>
      <w:r w:rsidR="009F7A52" w:rsidRPr="008B5AAB">
        <w:rPr>
          <w:sz w:val="20"/>
          <w:szCs w:val="20"/>
        </w:rPr>
        <w:t xml:space="preserve"> (</w:t>
      </w:r>
      <w:r w:rsidR="009F7A52" w:rsidRPr="008B5AAB">
        <w:rPr>
          <w:i/>
          <w:sz w:val="20"/>
          <w:szCs w:val="20"/>
        </w:rPr>
        <w:t>0</w:t>
      </w:r>
      <w:r w:rsidR="009F7A52" w:rsidRPr="008B5AAB">
        <w:rPr>
          <w:sz w:val="20"/>
          <w:szCs w:val="20"/>
        </w:rPr>
        <w:t>)</w:t>
      </w:r>
      <w:r w:rsidRPr="008B5AAB">
        <w:rPr>
          <w:sz w:val="20"/>
          <w:szCs w:val="20"/>
        </w:rPr>
        <w:t xml:space="preserve"> if the positions are separate </w:t>
      </w:r>
      <w:r w:rsidR="007D7E39" w:rsidRPr="008B5AAB">
        <w:rPr>
          <w:sz w:val="20"/>
          <w:szCs w:val="20"/>
        </w:rPr>
        <w:t>suggesting</w:t>
      </w:r>
      <w:r w:rsidRPr="008B5AAB">
        <w:rPr>
          <w:sz w:val="20"/>
          <w:szCs w:val="20"/>
        </w:rPr>
        <w:t xml:space="preserve"> an independent leadership configuration</w:t>
      </w:r>
      <w:r w:rsidR="007D7E39" w:rsidRPr="008B5AAB">
        <w:rPr>
          <w:sz w:val="20"/>
          <w:szCs w:val="20"/>
        </w:rPr>
        <w:t xml:space="preserve"> </w:t>
      </w:r>
      <w:r w:rsidRPr="008B5AAB">
        <w:rPr>
          <w:sz w:val="20"/>
          <w:szCs w:val="20"/>
        </w:rPr>
        <w:t xml:space="preserve">(e.g. </w:t>
      </w:r>
      <w:proofErr w:type="spellStart"/>
      <w:r w:rsidRPr="008B5AAB">
        <w:rPr>
          <w:sz w:val="20"/>
          <w:szCs w:val="20"/>
        </w:rPr>
        <w:t>Elsayed</w:t>
      </w:r>
      <w:proofErr w:type="spellEnd"/>
      <w:r w:rsidRPr="008B5AAB">
        <w:rPr>
          <w:sz w:val="20"/>
          <w:szCs w:val="20"/>
        </w:rPr>
        <w:t xml:space="preserve"> 2011; Chen </w:t>
      </w:r>
      <w:r w:rsidRPr="006C5753">
        <w:rPr>
          <w:sz w:val="20"/>
          <w:szCs w:val="20"/>
        </w:rPr>
        <w:t>et al.</w:t>
      </w:r>
      <w:r w:rsidR="007D7E39" w:rsidRPr="008B5AAB">
        <w:rPr>
          <w:sz w:val="20"/>
          <w:szCs w:val="20"/>
        </w:rPr>
        <w:t xml:space="preserve"> 200</w:t>
      </w:r>
      <w:r w:rsidR="00936FF0">
        <w:rPr>
          <w:sz w:val="20"/>
          <w:szCs w:val="20"/>
        </w:rPr>
        <w:t>9</w:t>
      </w:r>
      <w:r w:rsidRPr="008B5AAB">
        <w:rPr>
          <w:sz w:val="20"/>
          <w:szCs w:val="20"/>
        </w:rPr>
        <w:t>).</w:t>
      </w:r>
      <w:r w:rsidR="008B5AAB" w:rsidRPr="008B5AAB">
        <w:rPr>
          <w:sz w:val="20"/>
          <w:szCs w:val="20"/>
        </w:rPr>
        <w:t xml:space="preserve"> </w:t>
      </w:r>
      <w:r w:rsidRPr="008B5AAB">
        <w:rPr>
          <w:i/>
          <w:sz w:val="20"/>
          <w:szCs w:val="20"/>
        </w:rPr>
        <w:t>Board cognitive diversity</w:t>
      </w:r>
      <w:r w:rsidRPr="008B5AAB">
        <w:rPr>
          <w:sz w:val="20"/>
          <w:szCs w:val="20"/>
        </w:rPr>
        <w:t xml:space="preserve">, as employed in this study, is captured using two different proxies; the number of directors who hold MBA </w:t>
      </w:r>
      <w:r w:rsidRPr="008B5AAB">
        <w:rPr>
          <w:i/>
          <w:sz w:val="20"/>
          <w:szCs w:val="20"/>
        </w:rPr>
        <w:t xml:space="preserve">(DMBA) </w:t>
      </w:r>
      <w:r w:rsidRPr="008B5AAB">
        <w:rPr>
          <w:sz w:val="20"/>
          <w:szCs w:val="20"/>
        </w:rPr>
        <w:t>and the directors’ average years of work experience-</w:t>
      </w:r>
      <w:r w:rsidRPr="008B5AAB">
        <w:rPr>
          <w:i/>
          <w:sz w:val="20"/>
          <w:szCs w:val="20"/>
        </w:rPr>
        <w:t>AVGEXP</w:t>
      </w:r>
      <w:r w:rsidRPr="008B5AAB">
        <w:rPr>
          <w:sz w:val="20"/>
          <w:szCs w:val="20"/>
        </w:rPr>
        <w:t xml:space="preserve"> (e.g. Anderson </w:t>
      </w:r>
      <w:r w:rsidRPr="006C5753">
        <w:rPr>
          <w:sz w:val="20"/>
          <w:szCs w:val="20"/>
        </w:rPr>
        <w:t xml:space="preserve">et al. </w:t>
      </w:r>
      <w:r w:rsidRPr="008B5AAB">
        <w:rPr>
          <w:sz w:val="20"/>
          <w:szCs w:val="20"/>
        </w:rPr>
        <w:lastRenderedPageBreak/>
        <w:t xml:space="preserve">2011; Hsu 2010). The </w:t>
      </w:r>
      <w:r w:rsidRPr="008B5AAB">
        <w:rPr>
          <w:i/>
          <w:sz w:val="20"/>
          <w:szCs w:val="20"/>
        </w:rPr>
        <w:t>demographic diversity</w:t>
      </w:r>
      <w:r w:rsidRPr="008B5AAB">
        <w:rPr>
          <w:sz w:val="20"/>
          <w:szCs w:val="20"/>
        </w:rPr>
        <w:t xml:space="preserve"> is captured using ethnicity proxy and measured in two ways. The first approach measure</w:t>
      </w:r>
      <w:r w:rsidR="008B5AAB" w:rsidRPr="008B5AAB">
        <w:rPr>
          <w:sz w:val="20"/>
          <w:szCs w:val="20"/>
        </w:rPr>
        <w:t>d</w:t>
      </w:r>
      <w:r w:rsidRPr="008B5AAB">
        <w:rPr>
          <w:sz w:val="20"/>
          <w:szCs w:val="20"/>
        </w:rPr>
        <w:t xml:space="preserve"> board ethnic diversity </w:t>
      </w:r>
      <w:r w:rsidRPr="008B5AAB">
        <w:rPr>
          <w:i/>
          <w:sz w:val="20"/>
          <w:szCs w:val="20"/>
        </w:rPr>
        <w:t>(ER)</w:t>
      </w:r>
      <w:r w:rsidRPr="008B5AAB">
        <w:rPr>
          <w:sz w:val="20"/>
          <w:szCs w:val="20"/>
        </w:rPr>
        <w:t xml:space="preserve"> on the basis of the absolute number of directors from the three major ethnic groups in Nigeria (i.e. Hausa, Yoruba and Igbo). The second approach uses the Blau index, a measure of heterogeneity and equilibrium: 1-∑ⁿ</w:t>
      </w:r>
      <w:r w:rsidRPr="008B5AAB">
        <w:rPr>
          <w:i/>
          <w:sz w:val="20"/>
          <w:szCs w:val="20"/>
        </w:rPr>
        <w:t>pᵢ</w:t>
      </w:r>
      <w:r w:rsidRPr="008B5AAB">
        <w:rPr>
          <w:sz w:val="20"/>
          <w:szCs w:val="20"/>
        </w:rPr>
        <w:t>² where p is the proportion of directors from major ethnic groups (see: Darmadi 2013</w:t>
      </w:r>
      <w:r w:rsidR="007433CB">
        <w:rPr>
          <w:sz w:val="20"/>
          <w:szCs w:val="20"/>
        </w:rPr>
        <w:t>)</w:t>
      </w:r>
      <w:r w:rsidRPr="008B5AAB">
        <w:rPr>
          <w:sz w:val="20"/>
          <w:szCs w:val="20"/>
        </w:rPr>
        <w:t>.</w:t>
      </w:r>
      <w:r w:rsidRPr="008B5AAB">
        <w:rPr>
          <w:sz w:val="16"/>
          <w:szCs w:val="16"/>
        </w:rPr>
        <w:t xml:space="preserve"> </w:t>
      </w:r>
    </w:p>
    <w:p w:rsidR="00A544F4" w:rsidRDefault="00A544F4" w:rsidP="00A544F4">
      <w:pPr>
        <w:pStyle w:val="ListParagraph"/>
        <w:spacing w:line="360" w:lineRule="auto"/>
        <w:jc w:val="both"/>
        <w:rPr>
          <w:sz w:val="20"/>
          <w:szCs w:val="20"/>
        </w:rPr>
      </w:pPr>
    </w:p>
    <w:p w:rsidR="00290463" w:rsidRPr="00A544F4" w:rsidRDefault="00886E96" w:rsidP="00A544F4">
      <w:pPr>
        <w:pStyle w:val="ListParagraph"/>
        <w:spacing w:line="360" w:lineRule="auto"/>
        <w:jc w:val="both"/>
        <w:rPr>
          <w:sz w:val="20"/>
          <w:szCs w:val="20"/>
        </w:rPr>
      </w:pPr>
      <w:r w:rsidRPr="00A544F4">
        <w:rPr>
          <w:sz w:val="20"/>
          <w:szCs w:val="20"/>
        </w:rPr>
        <w:t xml:space="preserve">Relying on </w:t>
      </w:r>
      <w:r w:rsidR="00290463" w:rsidRPr="00A544F4">
        <w:rPr>
          <w:sz w:val="20"/>
          <w:szCs w:val="20"/>
        </w:rPr>
        <w:t xml:space="preserve">Ugur and Ararat’s (2006) line of thought, as highlighted </w:t>
      </w:r>
      <w:r w:rsidR="00C60A1D" w:rsidRPr="00A544F4">
        <w:rPr>
          <w:sz w:val="20"/>
          <w:szCs w:val="20"/>
        </w:rPr>
        <w:t>in the preceding section</w:t>
      </w:r>
      <w:r w:rsidR="00290463" w:rsidRPr="00A544F4">
        <w:rPr>
          <w:sz w:val="20"/>
          <w:szCs w:val="20"/>
        </w:rPr>
        <w:t>, two external variables that reflect</w:t>
      </w:r>
      <w:r w:rsidRPr="00A544F4">
        <w:rPr>
          <w:sz w:val="20"/>
          <w:szCs w:val="20"/>
        </w:rPr>
        <w:t>ed Nigeria’s</w:t>
      </w:r>
      <w:r w:rsidR="00290463" w:rsidRPr="00A544F4">
        <w:rPr>
          <w:sz w:val="20"/>
          <w:szCs w:val="20"/>
        </w:rPr>
        <w:t xml:space="preserve"> macroeconomic situation are employed </w:t>
      </w:r>
      <w:r w:rsidR="00C60A1D" w:rsidRPr="00A544F4">
        <w:rPr>
          <w:sz w:val="20"/>
          <w:szCs w:val="20"/>
        </w:rPr>
        <w:t>namely; the</w:t>
      </w:r>
      <w:r w:rsidR="00290463" w:rsidRPr="00A544F4">
        <w:rPr>
          <w:sz w:val="20"/>
          <w:szCs w:val="20"/>
        </w:rPr>
        <w:t xml:space="preserve"> level of economic growth and degree of economic openness. The level of economic growth (LOGGDP)</w:t>
      </w:r>
      <w:r w:rsidR="00C60A1D" w:rsidRPr="00A544F4">
        <w:rPr>
          <w:sz w:val="20"/>
          <w:szCs w:val="20"/>
        </w:rPr>
        <w:t xml:space="preserve"> </w:t>
      </w:r>
      <w:r w:rsidR="00290463" w:rsidRPr="00A544F4">
        <w:rPr>
          <w:sz w:val="20"/>
          <w:szCs w:val="20"/>
        </w:rPr>
        <w:t xml:space="preserve">is defined as the rate of change in the real GDP year-on-year, while the degree of economic openness (LOGOPENNESS) is captured </w:t>
      </w:r>
      <w:r w:rsidR="00FA0FAE" w:rsidRPr="00A544F4">
        <w:rPr>
          <w:sz w:val="20"/>
          <w:szCs w:val="20"/>
        </w:rPr>
        <w:t>as</w:t>
      </w:r>
      <w:r w:rsidR="00290463" w:rsidRPr="00A544F4">
        <w:rPr>
          <w:sz w:val="20"/>
          <w:szCs w:val="20"/>
        </w:rPr>
        <w:t xml:space="preserve"> the ratio of the balance of trade to GDP. </w:t>
      </w:r>
      <w:r w:rsidR="00821683" w:rsidRPr="00A544F4">
        <w:rPr>
          <w:sz w:val="20"/>
          <w:szCs w:val="20"/>
        </w:rPr>
        <w:t xml:space="preserve">Both </w:t>
      </w:r>
      <w:r w:rsidR="00290463" w:rsidRPr="00A544F4">
        <w:rPr>
          <w:sz w:val="20"/>
          <w:szCs w:val="20"/>
        </w:rPr>
        <w:t xml:space="preserve">definitions are consistent with methodologies used in previous studies (e.g. El </w:t>
      </w:r>
      <w:proofErr w:type="spellStart"/>
      <w:r w:rsidR="00290463" w:rsidRPr="00A544F4">
        <w:rPr>
          <w:sz w:val="20"/>
          <w:szCs w:val="20"/>
        </w:rPr>
        <w:t>Sood</w:t>
      </w:r>
      <w:proofErr w:type="spellEnd"/>
      <w:r w:rsidR="00290463" w:rsidRPr="00A544F4">
        <w:rPr>
          <w:sz w:val="20"/>
          <w:szCs w:val="20"/>
        </w:rPr>
        <w:t xml:space="preserve"> 2008; </w:t>
      </w:r>
      <w:proofErr w:type="spellStart"/>
      <w:r w:rsidR="00290463" w:rsidRPr="00A544F4">
        <w:rPr>
          <w:sz w:val="20"/>
          <w:szCs w:val="20"/>
        </w:rPr>
        <w:t>Nacuer</w:t>
      </w:r>
      <w:proofErr w:type="spellEnd"/>
      <w:r w:rsidR="00290463" w:rsidRPr="00A544F4">
        <w:rPr>
          <w:sz w:val="20"/>
          <w:szCs w:val="20"/>
        </w:rPr>
        <w:t xml:space="preserve"> </w:t>
      </w:r>
      <w:r w:rsidR="00290463" w:rsidRPr="00084334">
        <w:rPr>
          <w:sz w:val="20"/>
          <w:szCs w:val="20"/>
        </w:rPr>
        <w:t>et al.</w:t>
      </w:r>
      <w:r w:rsidR="00290463" w:rsidRPr="00A544F4">
        <w:rPr>
          <w:sz w:val="20"/>
          <w:szCs w:val="20"/>
        </w:rPr>
        <w:t xml:space="preserve"> 2007; D’Souza </w:t>
      </w:r>
      <w:r w:rsidR="00290463" w:rsidRPr="00084334">
        <w:rPr>
          <w:sz w:val="20"/>
          <w:szCs w:val="20"/>
        </w:rPr>
        <w:t>et al.</w:t>
      </w:r>
      <w:r w:rsidR="00290463" w:rsidRPr="00A544F4">
        <w:rPr>
          <w:sz w:val="20"/>
          <w:szCs w:val="20"/>
        </w:rPr>
        <w:t xml:space="preserve"> 2005</w:t>
      </w:r>
      <w:r w:rsidR="00821683" w:rsidRPr="00A544F4">
        <w:rPr>
          <w:sz w:val="20"/>
          <w:szCs w:val="20"/>
        </w:rPr>
        <w:t>)</w:t>
      </w:r>
      <w:r w:rsidR="00FA0FAE" w:rsidRPr="00A544F4">
        <w:rPr>
          <w:sz w:val="20"/>
          <w:szCs w:val="20"/>
        </w:rPr>
        <w:t>.</w:t>
      </w:r>
    </w:p>
    <w:p w:rsidR="00E37076" w:rsidRDefault="00E37076" w:rsidP="009048D4">
      <w:pPr>
        <w:pStyle w:val="ListParagraph"/>
        <w:rPr>
          <w:i/>
          <w:sz w:val="16"/>
          <w:szCs w:val="16"/>
        </w:rPr>
      </w:pPr>
    </w:p>
    <w:p w:rsidR="00E37076" w:rsidRPr="0077603D" w:rsidRDefault="00E37076" w:rsidP="0077603D">
      <w:pPr>
        <w:pStyle w:val="ListParagraph"/>
        <w:spacing w:line="360" w:lineRule="auto"/>
        <w:jc w:val="both"/>
        <w:rPr>
          <w:i/>
          <w:sz w:val="20"/>
          <w:szCs w:val="20"/>
        </w:rPr>
      </w:pPr>
      <w:r w:rsidRPr="00601521">
        <w:rPr>
          <w:i/>
          <w:sz w:val="20"/>
          <w:szCs w:val="20"/>
        </w:rPr>
        <w:t>Control Variables</w:t>
      </w:r>
      <w:r w:rsidRPr="0077603D">
        <w:rPr>
          <w:i/>
          <w:sz w:val="20"/>
          <w:szCs w:val="20"/>
        </w:rPr>
        <w:t xml:space="preserve"> </w:t>
      </w:r>
    </w:p>
    <w:p w:rsidR="00E37076" w:rsidRDefault="009D7ED8" w:rsidP="0077603D">
      <w:pPr>
        <w:pStyle w:val="ListParagraph"/>
        <w:spacing w:line="360" w:lineRule="auto"/>
        <w:jc w:val="both"/>
        <w:rPr>
          <w:sz w:val="20"/>
          <w:szCs w:val="20"/>
        </w:rPr>
      </w:pPr>
      <w:r w:rsidRPr="0077603D">
        <w:rPr>
          <w:sz w:val="20"/>
          <w:szCs w:val="20"/>
        </w:rPr>
        <w:t>In the field of management sciences, e</w:t>
      </w:r>
      <w:r w:rsidR="00E37076" w:rsidRPr="0077603D">
        <w:rPr>
          <w:sz w:val="20"/>
          <w:szCs w:val="20"/>
        </w:rPr>
        <w:t>ndogeneity</w:t>
      </w:r>
      <w:r w:rsidRPr="0077603D">
        <w:rPr>
          <w:sz w:val="20"/>
          <w:szCs w:val="20"/>
        </w:rPr>
        <w:t xml:space="preserve"> effect</w:t>
      </w:r>
      <w:r w:rsidR="00E37076" w:rsidRPr="0077603D">
        <w:rPr>
          <w:sz w:val="20"/>
          <w:szCs w:val="20"/>
        </w:rPr>
        <w:t>, resulting from simultaneity, omitted variables, measurement errors and other model specification errors</w:t>
      </w:r>
      <w:r w:rsidR="00B67D22" w:rsidRPr="0077603D">
        <w:rPr>
          <w:sz w:val="20"/>
          <w:szCs w:val="20"/>
        </w:rPr>
        <w:t xml:space="preserve"> has been identified as key impediment to </w:t>
      </w:r>
      <w:r w:rsidRPr="0077603D">
        <w:rPr>
          <w:sz w:val="20"/>
          <w:szCs w:val="20"/>
        </w:rPr>
        <w:t xml:space="preserve">reliability and </w:t>
      </w:r>
      <w:r w:rsidR="00B67D22" w:rsidRPr="0077603D">
        <w:rPr>
          <w:sz w:val="20"/>
          <w:szCs w:val="20"/>
        </w:rPr>
        <w:t>robust</w:t>
      </w:r>
      <w:r w:rsidRPr="0077603D">
        <w:rPr>
          <w:sz w:val="20"/>
          <w:szCs w:val="20"/>
        </w:rPr>
        <w:t xml:space="preserve">ness of </w:t>
      </w:r>
      <w:r w:rsidR="00E37076" w:rsidRPr="0077603D">
        <w:rPr>
          <w:sz w:val="20"/>
          <w:szCs w:val="20"/>
        </w:rPr>
        <w:t>empirica</w:t>
      </w:r>
      <w:r w:rsidR="00B67D22" w:rsidRPr="0077603D">
        <w:rPr>
          <w:sz w:val="20"/>
          <w:szCs w:val="20"/>
        </w:rPr>
        <w:t xml:space="preserve">l </w:t>
      </w:r>
      <w:r w:rsidRPr="0077603D">
        <w:rPr>
          <w:sz w:val="20"/>
          <w:szCs w:val="20"/>
        </w:rPr>
        <w:t xml:space="preserve">outcomes </w:t>
      </w:r>
      <w:r w:rsidR="00B67D22" w:rsidRPr="0077603D">
        <w:rPr>
          <w:sz w:val="20"/>
          <w:szCs w:val="20"/>
        </w:rPr>
        <w:t xml:space="preserve">(see: </w:t>
      </w:r>
      <w:proofErr w:type="spellStart"/>
      <w:r w:rsidR="00E37076" w:rsidRPr="0077603D">
        <w:rPr>
          <w:sz w:val="20"/>
          <w:szCs w:val="20"/>
        </w:rPr>
        <w:t>Chenhall</w:t>
      </w:r>
      <w:proofErr w:type="spellEnd"/>
      <w:r w:rsidR="00E37076" w:rsidRPr="0077603D">
        <w:rPr>
          <w:sz w:val="20"/>
          <w:szCs w:val="20"/>
        </w:rPr>
        <w:t xml:space="preserve"> and Moers 2007). Most of the reported inconsistencies in the corporate governance research findings are thought to be linked to the inability of previous researchers to control the endogeneity effects in the estimated models </w:t>
      </w:r>
      <w:r w:rsidRPr="0077603D">
        <w:rPr>
          <w:sz w:val="20"/>
          <w:szCs w:val="20"/>
        </w:rPr>
        <w:t>(</w:t>
      </w:r>
      <w:proofErr w:type="spellStart"/>
      <w:r w:rsidRPr="0077603D">
        <w:rPr>
          <w:sz w:val="20"/>
          <w:szCs w:val="20"/>
        </w:rPr>
        <w:t>Wintoki</w:t>
      </w:r>
      <w:proofErr w:type="spellEnd"/>
      <w:r w:rsidRPr="0077603D">
        <w:rPr>
          <w:sz w:val="20"/>
          <w:szCs w:val="20"/>
        </w:rPr>
        <w:t xml:space="preserve">, </w:t>
      </w:r>
      <w:proofErr w:type="spellStart"/>
      <w:r w:rsidRPr="0077603D">
        <w:rPr>
          <w:sz w:val="20"/>
          <w:szCs w:val="20"/>
        </w:rPr>
        <w:t>Linck</w:t>
      </w:r>
      <w:proofErr w:type="spellEnd"/>
      <w:r w:rsidRPr="0077603D">
        <w:rPr>
          <w:sz w:val="20"/>
          <w:szCs w:val="20"/>
        </w:rPr>
        <w:t xml:space="preserve">, and Netter 2012). </w:t>
      </w:r>
      <w:proofErr w:type="spellStart"/>
      <w:r w:rsidR="00E37076" w:rsidRPr="0077603D">
        <w:rPr>
          <w:sz w:val="20"/>
          <w:szCs w:val="20"/>
        </w:rPr>
        <w:t>Bhagat</w:t>
      </w:r>
      <w:proofErr w:type="spellEnd"/>
      <w:r w:rsidR="00E37076" w:rsidRPr="0077603D">
        <w:rPr>
          <w:sz w:val="20"/>
          <w:szCs w:val="20"/>
        </w:rPr>
        <w:t xml:space="preserve"> and Black (2000) </w:t>
      </w:r>
      <w:r w:rsidRPr="0077603D">
        <w:rPr>
          <w:sz w:val="20"/>
          <w:szCs w:val="20"/>
        </w:rPr>
        <w:t xml:space="preserve">observed </w:t>
      </w:r>
      <w:r w:rsidR="00E37076" w:rsidRPr="0077603D">
        <w:rPr>
          <w:sz w:val="20"/>
          <w:szCs w:val="20"/>
        </w:rPr>
        <w:t>that</w:t>
      </w:r>
      <w:r w:rsidRPr="0077603D">
        <w:rPr>
          <w:sz w:val="20"/>
          <w:szCs w:val="20"/>
        </w:rPr>
        <w:t xml:space="preserve"> </w:t>
      </w:r>
      <w:r w:rsidR="00E37076" w:rsidRPr="0077603D">
        <w:rPr>
          <w:sz w:val="20"/>
          <w:szCs w:val="20"/>
        </w:rPr>
        <w:t xml:space="preserve">the use of control variables can mitigate these potential errors and biases, thereby enhancing the </w:t>
      </w:r>
      <w:r w:rsidRPr="0077603D">
        <w:rPr>
          <w:sz w:val="20"/>
          <w:szCs w:val="20"/>
        </w:rPr>
        <w:t xml:space="preserve">credibility </w:t>
      </w:r>
      <w:r w:rsidR="00E37076" w:rsidRPr="0077603D">
        <w:rPr>
          <w:sz w:val="20"/>
          <w:szCs w:val="20"/>
        </w:rPr>
        <w:t xml:space="preserve">of statistical results. The study thus adapted two sets of control variables to </w:t>
      </w:r>
      <w:r w:rsidRPr="0077603D">
        <w:rPr>
          <w:sz w:val="20"/>
          <w:szCs w:val="20"/>
        </w:rPr>
        <w:t>moderate</w:t>
      </w:r>
      <w:r w:rsidR="00E37076" w:rsidRPr="0077603D">
        <w:rPr>
          <w:sz w:val="20"/>
          <w:szCs w:val="20"/>
        </w:rPr>
        <w:t xml:space="preserve"> the potential effects of endogeneity on the proposed models. </w:t>
      </w:r>
      <w:r w:rsidR="00E37076" w:rsidRPr="0077603D">
        <w:rPr>
          <w:i/>
          <w:sz w:val="20"/>
          <w:szCs w:val="20"/>
        </w:rPr>
        <w:t>Firm Leverage</w:t>
      </w:r>
      <w:r w:rsidR="00E37076" w:rsidRPr="0077603D">
        <w:rPr>
          <w:sz w:val="20"/>
          <w:szCs w:val="20"/>
        </w:rPr>
        <w:t xml:space="preserve"> </w:t>
      </w:r>
      <w:r w:rsidR="004531A4" w:rsidRPr="0077603D">
        <w:rPr>
          <w:sz w:val="20"/>
          <w:szCs w:val="20"/>
        </w:rPr>
        <w:t xml:space="preserve">(LEV) </w:t>
      </w:r>
      <w:r w:rsidR="00E37076" w:rsidRPr="0077603D">
        <w:rPr>
          <w:sz w:val="20"/>
          <w:szCs w:val="20"/>
        </w:rPr>
        <w:t xml:space="preserve">is introduced as a control variable and measured as the ratio of debt to assets (see: Chen </w:t>
      </w:r>
      <w:r w:rsidR="00E37076" w:rsidRPr="00084334">
        <w:rPr>
          <w:sz w:val="20"/>
          <w:szCs w:val="20"/>
        </w:rPr>
        <w:t>et al.</w:t>
      </w:r>
      <w:r w:rsidR="00E37076" w:rsidRPr="0077603D">
        <w:rPr>
          <w:i/>
          <w:sz w:val="20"/>
          <w:szCs w:val="20"/>
        </w:rPr>
        <w:t xml:space="preserve"> </w:t>
      </w:r>
      <w:r w:rsidR="00E37076" w:rsidRPr="0077603D">
        <w:rPr>
          <w:sz w:val="20"/>
          <w:szCs w:val="20"/>
        </w:rPr>
        <w:t xml:space="preserve">2009; Pacini </w:t>
      </w:r>
      <w:r w:rsidR="00E37076" w:rsidRPr="00084334">
        <w:rPr>
          <w:sz w:val="20"/>
          <w:szCs w:val="20"/>
        </w:rPr>
        <w:t xml:space="preserve">et al. </w:t>
      </w:r>
      <w:r w:rsidR="00E37076" w:rsidRPr="0077603D">
        <w:rPr>
          <w:sz w:val="20"/>
          <w:szCs w:val="20"/>
        </w:rPr>
        <w:t>2008</w:t>
      </w:r>
      <w:r w:rsidRPr="0077603D">
        <w:rPr>
          <w:sz w:val="20"/>
          <w:szCs w:val="20"/>
        </w:rPr>
        <w:t>)</w:t>
      </w:r>
      <w:r w:rsidR="00E37076" w:rsidRPr="0077603D">
        <w:rPr>
          <w:sz w:val="20"/>
          <w:szCs w:val="20"/>
        </w:rPr>
        <w:t xml:space="preserve">. The second control variable is </w:t>
      </w:r>
      <w:r w:rsidR="00E37076" w:rsidRPr="0077603D">
        <w:rPr>
          <w:i/>
          <w:sz w:val="20"/>
          <w:szCs w:val="20"/>
        </w:rPr>
        <w:t xml:space="preserve">Firm Size </w:t>
      </w:r>
      <w:r w:rsidR="004531A4" w:rsidRPr="0077603D">
        <w:rPr>
          <w:sz w:val="20"/>
          <w:szCs w:val="20"/>
        </w:rPr>
        <w:t xml:space="preserve">(FS) </w:t>
      </w:r>
      <w:r w:rsidR="00E37076" w:rsidRPr="0077603D">
        <w:rPr>
          <w:sz w:val="20"/>
          <w:szCs w:val="20"/>
        </w:rPr>
        <w:t>and it is</w:t>
      </w:r>
      <w:r w:rsidR="00E37076" w:rsidRPr="0077603D">
        <w:rPr>
          <w:i/>
          <w:sz w:val="20"/>
          <w:szCs w:val="20"/>
        </w:rPr>
        <w:t xml:space="preserve"> </w:t>
      </w:r>
      <w:r w:rsidR="00E37076" w:rsidRPr="0077603D">
        <w:rPr>
          <w:sz w:val="20"/>
          <w:szCs w:val="20"/>
        </w:rPr>
        <w:t xml:space="preserve">measured as the logarithm of turnover (e.g. </w:t>
      </w:r>
      <w:proofErr w:type="spellStart"/>
      <w:r w:rsidR="00E37076" w:rsidRPr="0077603D">
        <w:rPr>
          <w:sz w:val="20"/>
          <w:szCs w:val="20"/>
        </w:rPr>
        <w:t>Yammeesri</w:t>
      </w:r>
      <w:proofErr w:type="spellEnd"/>
      <w:r w:rsidR="00E37076" w:rsidRPr="0077603D">
        <w:rPr>
          <w:sz w:val="20"/>
          <w:szCs w:val="20"/>
        </w:rPr>
        <w:t xml:space="preserve"> and </w:t>
      </w:r>
      <w:proofErr w:type="spellStart"/>
      <w:r w:rsidR="00E37076" w:rsidRPr="0077603D">
        <w:rPr>
          <w:sz w:val="20"/>
          <w:szCs w:val="20"/>
        </w:rPr>
        <w:t>Herath</w:t>
      </w:r>
      <w:proofErr w:type="spellEnd"/>
      <w:r w:rsidR="00E37076" w:rsidRPr="0077603D">
        <w:rPr>
          <w:sz w:val="20"/>
          <w:szCs w:val="20"/>
        </w:rPr>
        <w:t xml:space="preserve"> 2010; Nicholson and Kiel 2007</w:t>
      </w:r>
      <w:r w:rsidR="0077603D" w:rsidRPr="0077603D">
        <w:rPr>
          <w:sz w:val="20"/>
          <w:szCs w:val="20"/>
        </w:rPr>
        <w:t>)</w:t>
      </w:r>
      <w:r w:rsidR="00E37076" w:rsidRPr="0077603D">
        <w:rPr>
          <w:sz w:val="20"/>
          <w:szCs w:val="20"/>
        </w:rPr>
        <w:t>.</w:t>
      </w:r>
    </w:p>
    <w:p w:rsidR="00423C1A" w:rsidRDefault="00423C1A" w:rsidP="0077603D">
      <w:pPr>
        <w:pStyle w:val="ListParagraph"/>
        <w:spacing w:line="360" w:lineRule="auto"/>
        <w:jc w:val="both"/>
        <w:rPr>
          <w:sz w:val="20"/>
          <w:szCs w:val="20"/>
        </w:rPr>
      </w:pPr>
    </w:p>
    <w:p w:rsidR="00B92E0B" w:rsidRPr="00845E65" w:rsidRDefault="00B92E0B" w:rsidP="00845E65">
      <w:pPr>
        <w:pStyle w:val="ListParagraph"/>
        <w:spacing w:line="360" w:lineRule="auto"/>
        <w:jc w:val="both"/>
        <w:rPr>
          <w:i/>
          <w:sz w:val="20"/>
          <w:szCs w:val="20"/>
        </w:rPr>
      </w:pPr>
      <w:r w:rsidRPr="00845E65">
        <w:rPr>
          <w:i/>
          <w:sz w:val="20"/>
          <w:szCs w:val="20"/>
        </w:rPr>
        <w:t>Diagnostic Tests and Model Specification</w:t>
      </w:r>
    </w:p>
    <w:p w:rsidR="00136160" w:rsidRPr="00845E65" w:rsidRDefault="00136160" w:rsidP="00845E65">
      <w:pPr>
        <w:pStyle w:val="ListParagraph"/>
        <w:spacing w:line="360" w:lineRule="auto"/>
        <w:jc w:val="both"/>
        <w:rPr>
          <w:i/>
          <w:sz w:val="20"/>
          <w:szCs w:val="20"/>
        </w:rPr>
      </w:pPr>
      <w:r w:rsidRPr="00845E65">
        <w:rPr>
          <w:i/>
          <w:sz w:val="20"/>
          <w:szCs w:val="20"/>
        </w:rPr>
        <w:t xml:space="preserve">Pre-Diagnostic Tests </w:t>
      </w:r>
    </w:p>
    <w:p w:rsidR="00136160" w:rsidRDefault="00136160" w:rsidP="00845E65">
      <w:pPr>
        <w:pStyle w:val="ListParagraph"/>
        <w:spacing w:line="360" w:lineRule="auto"/>
        <w:jc w:val="both"/>
        <w:rPr>
          <w:sz w:val="20"/>
          <w:szCs w:val="20"/>
        </w:rPr>
      </w:pPr>
      <w:r w:rsidRPr="00845E65">
        <w:rPr>
          <w:sz w:val="20"/>
          <w:szCs w:val="20"/>
        </w:rPr>
        <w:t xml:space="preserve">In order to ensure a fair and balance evaluation throughout the empirical process, a series of preliminary tests </w:t>
      </w:r>
      <w:r w:rsidR="00F87113" w:rsidRPr="00845E65">
        <w:rPr>
          <w:sz w:val="20"/>
          <w:szCs w:val="20"/>
        </w:rPr>
        <w:t>were</w:t>
      </w:r>
      <w:r w:rsidRPr="00845E65">
        <w:rPr>
          <w:sz w:val="20"/>
          <w:szCs w:val="20"/>
        </w:rPr>
        <w:t xml:space="preserve"> conducted on the data sets and variables to be used in the regression model, to ascertain their reliability, level of usefulness and predictive power. </w:t>
      </w:r>
      <w:r w:rsidRPr="00845E65">
        <w:rPr>
          <w:i/>
          <w:sz w:val="20"/>
          <w:szCs w:val="20"/>
        </w:rPr>
        <w:t>Chow breakpoint</w:t>
      </w:r>
      <w:r w:rsidRPr="00845E65">
        <w:rPr>
          <w:sz w:val="20"/>
          <w:szCs w:val="20"/>
        </w:rPr>
        <w:t xml:space="preserve"> test </w:t>
      </w:r>
      <w:r w:rsidR="00D0132B" w:rsidRPr="00845E65">
        <w:rPr>
          <w:sz w:val="20"/>
          <w:szCs w:val="20"/>
        </w:rPr>
        <w:t xml:space="preserve">was conducted </w:t>
      </w:r>
      <w:r w:rsidRPr="00845E65">
        <w:rPr>
          <w:sz w:val="20"/>
          <w:szCs w:val="20"/>
        </w:rPr>
        <w:t>on pre- and post-SEC-Code board structure</w:t>
      </w:r>
      <w:r w:rsidR="00D0132B" w:rsidRPr="00845E65">
        <w:rPr>
          <w:sz w:val="20"/>
          <w:szCs w:val="20"/>
        </w:rPr>
        <w:t xml:space="preserve"> and </w:t>
      </w:r>
      <w:r w:rsidRPr="00845E65">
        <w:rPr>
          <w:sz w:val="20"/>
          <w:szCs w:val="20"/>
        </w:rPr>
        <w:t xml:space="preserve">the </w:t>
      </w:r>
      <w:r w:rsidRPr="00845E65">
        <w:rPr>
          <w:i/>
          <w:sz w:val="20"/>
          <w:szCs w:val="20"/>
        </w:rPr>
        <w:t xml:space="preserve">CUSUM </w:t>
      </w:r>
      <w:r w:rsidRPr="00845E65">
        <w:rPr>
          <w:sz w:val="20"/>
          <w:szCs w:val="20"/>
        </w:rPr>
        <w:t xml:space="preserve">(cumulative sum of squares residual) test </w:t>
      </w:r>
      <w:r w:rsidR="00D0132B" w:rsidRPr="00845E65">
        <w:rPr>
          <w:sz w:val="20"/>
          <w:szCs w:val="20"/>
        </w:rPr>
        <w:t xml:space="preserve">was further carried out </w:t>
      </w:r>
      <w:r w:rsidRPr="00845E65">
        <w:rPr>
          <w:sz w:val="20"/>
          <w:szCs w:val="20"/>
        </w:rPr>
        <w:t>to validate the sustainability of the Chow breakpoint results</w:t>
      </w:r>
      <w:r w:rsidR="00845E65" w:rsidRPr="00845E65">
        <w:rPr>
          <w:sz w:val="20"/>
          <w:szCs w:val="20"/>
        </w:rPr>
        <w:t xml:space="preserve">. Both the board structure and the macroeconomic variables were subjected to </w:t>
      </w:r>
      <w:r w:rsidR="00547F6B" w:rsidRPr="00845E65">
        <w:rPr>
          <w:i/>
          <w:sz w:val="20"/>
          <w:szCs w:val="20"/>
        </w:rPr>
        <w:t>S</w:t>
      </w:r>
      <w:r w:rsidRPr="00845E65">
        <w:rPr>
          <w:i/>
          <w:sz w:val="20"/>
          <w:szCs w:val="20"/>
        </w:rPr>
        <w:t>tationarity</w:t>
      </w:r>
      <w:r w:rsidRPr="00845E65">
        <w:rPr>
          <w:sz w:val="20"/>
          <w:szCs w:val="20"/>
        </w:rPr>
        <w:t xml:space="preserve"> (</w:t>
      </w:r>
      <w:r w:rsidR="00547F6B" w:rsidRPr="00845E65">
        <w:rPr>
          <w:sz w:val="20"/>
          <w:szCs w:val="20"/>
        </w:rPr>
        <w:t>U</w:t>
      </w:r>
      <w:r w:rsidRPr="00845E65">
        <w:rPr>
          <w:sz w:val="20"/>
          <w:szCs w:val="20"/>
        </w:rPr>
        <w:t xml:space="preserve">nit </w:t>
      </w:r>
      <w:r w:rsidR="00547F6B" w:rsidRPr="00845E65">
        <w:rPr>
          <w:sz w:val="20"/>
          <w:szCs w:val="20"/>
        </w:rPr>
        <w:t>R</w:t>
      </w:r>
      <w:r w:rsidRPr="00845E65">
        <w:rPr>
          <w:sz w:val="20"/>
          <w:szCs w:val="20"/>
        </w:rPr>
        <w:t xml:space="preserve">oot) and the </w:t>
      </w:r>
      <w:r w:rsidR="00547F6B" w:rsidRPr="00845E65">
        <w:rPr>
          <w:i/>
          <w:sz w:val="20"/>
          <w:szCs w:val="20"/>
        </w:rPr>
        <w:t>N</w:t>
      </w:r>
      <w:r w:rsidRPr="00845E65">
        <w:rPr>
          <w:i/>
          <w:sz w:val="20"/>
          <w:szCs w:val="20"/>
        </w:rPr>
        <w:t>ormality</w:t>
      </w:r>
      <w:r w:rsidRPr="00845E65">
        <w:rPr>
          <w:sz w:val="20"/>
          <w:szCs w:val="20"/>
        </w:rPr>
        <w:t xml:space="preserve"> test</w:t>
      </w:r>
      <w:r w:rsidR="00845E65" w:rsidRPr="00845E65">
        <w:rPr>
          <w:sz w:val="20"/>
          <w:szCs w:val="20"/>
        </w:rPr>
        <w:t>s</w:t>
      </w:r>
      <w:r w:rsidRPr="00845E65">
        <w:rPr>
          <w:sz w:val="20"/>
          <w:szCs w:val="20"/>
        </w:rPr>
        <w:t xml:space="preserve"> to </w:t>
      </w:r>
      <w:r w:rsidR="00845E65" w:rsidRPr="00845E65">
        <w:rPr>
          <w:sz w:val="20"/>
          <w:szCs w:val="20"/>
        </w:rPr>
        <w:t>ascertain</w:t>
      </w:r>
      <w:r w:rsidRPr="00845E65">
        <w:rPr>
          <w:sz w:val="20"/>
          <w:szCs w:val="20"/>
        </w:rPr>
        <w:t xml:space="preserve"> the degree of data spread</w:t>
      </w:r>
      <w:r w:rsidR="00B65A7B">
        <w:rPr>
          <w:sz w:val="20"/>
          <w:szCs w:val="20"/>
        </w:rPr>
        <w:t xml:space="preserve"> and the normality of data distribution</w:t>
      </w:r>
      <w:r w:rsidR="00845E65" w:rsidRPr="00845E65">
        <w:rPr>
          <w:sz w:val="20"/>
          <w:szCs w:val="20"/>
        </w:rPr>
        <w:t xml:space="preserve">. These preliminary assessments were consistent with the empirical works of </w:t>
      </w:r>
      <w:r w:rsidRPr="00845E65">
        <w:rPr>
          <w:sz w:val="20"/>
          <w:szCs w:val="20"/>
        </w:rPr>
        <w:t xml:space="preserve">Al-Haddad </w:t>
      </w:r>
      <w:r w:rsidRPr="00C660A3">
        <w:rPr>
          <w:sz w:val="20"/>
          <w:szCs w:val="20"/>
        </w:rPr>
        <w:t>et al.</w:t>
      </w:r>
      <w:r w:rsidRPr="00845E65">
        <w:rPr>
          <w:sz w:val="20"/>
          <w:szCs w:val="20"/>
        </w:rPr>
        <w:t xml:space="preserve"> </w:t>
      </w:r>
      <w:r w:rsidR="00845E65" w:rsidRPr="00845E65">
        <w:rPr>
          <w:sz w:val="20"/>
          <w:szCs w:val="20"/>
        </w:rPr>
        <w:t>(</w:t>
      </w:r>
      <w:r w:rsidRPr="00845E65">
        <w:rPr>
          <w:sz w:val="20"/>
          <w:szCs w:val="20"/>
        </w:rPr>
        <w:t>2011</w:t>
      </w:r>
      <w:r w:rsidR="00845E65" w:rsidRPr="00845E65">
        <w:rPr>
          <w:sz w:val="20"/>
          <w:szCs w:val="20"/>
        </w:rPr>
        <w:t xml:space="preserve">) and that of </w:t>
      </w:r>
      <w:r w:rsidRPr="00845E65">
        <w:rPr>
          <w:sz w:val="20"/>
          <w:szCs w:val="20"/>
        </w:rPr>
        <w:t>Lam and Lee</w:t>
      </w:r>
      <w:r w:rsidR="00845E65" w:rsidRPr="00845E65">
        <w:rPr>
          <w:sz w:val="20"/>
          <w:szCs w:val="20"/>
        </w:rPr>
        <w:t xml:space="preserve"> (</w:t>
      </w:r>
      <w:r w:rsidRPr="00845E65">
        <w:rPr>
          <w:sz w:val="20"/>
          <w:szCs w:val="20"/>
        </w:rPr>
        <w:t>2008</w:t>
      </w:r>
      <w:r w:rsidR="00845E65" w:rsidRPr="00845E65">
        <w:rPr>
          <w:sz w:val="20"/>
          <w:szCs w:val="20"/>
        </w:rPr>
        <w:t>).</w:t>
      </w:r>
    </w:p>
    <w:p w:rsidR="00646C5D" w:rsidRDefault="00646C5D" w:rsidP="00845E65">
      <w:pPr>
        <w:pStyle w:val="ListParagraph"/>
        <w:spacing w:line="360" w:lineRule="auto"/>
        <w:jc w:val="both"/>
        <w:rPr>
          <w:sz w:val="20"/>
          <w:szCs w:val="20"/>
        </w:rPr>
      </w:pPr>
    </w:p>
    <w:p w:rsidR="00646C5D" w:rsidRPr="00845E65" w:rsidRDefault="00646C5D" w:rsidP="00845E65">
      <w:pPr>
        <w:pStyle w:val="ListParagraph"/>
        <w:spacing w:line="360" w:lineRule="auto"/>
        <w:jc w:val="both"/>
        <w:rPr>
          <w:sz w:val="20"/>
          <w:szCs w:val="20"/>
        </w:rPr>
      </w:pPr>
    </w:p>
    <w:p w:rsidR="00136160" w:rsidRPr="00762D1B" w:rsidRDefault="00136160" w:rsidP="00F87113">
      <w:pPr>
        <w:pStyle w:val="ListParagraph"/>
        <w:jc w:val="both"/>
        <w:rPr>
          <w:i/>
          <w:sz w:val="16"/>
          <w:szCs w:val="16"/>
        </w:rPr>
      </w:pPr>
    </w:p>
    <w:p w:rsidR="00762D1B" w:rsidRPr="00F35829" w:rsidRDefault="00762D1B" w:rsidP="00F35829">
      <w:pPr>
        <w:pStyle w:val="ListParagraph"/>
        <w:spacing w:line="360" w:lineRule="auto"/>
        <w:jc w:val="both"/>
        <w:rPr>
          <w:i/>
          <w:sz w:val="20"/>
          <w:szCs w:val="20"/>
        </w:rPr>
      </w:pPr>
      <w:r w:rsidRPr="00F35829">
        <w:rPr>
          <w:i/>
          <w:sz w:val="20"/>
          <w:szCs w:val="20"/>
        </w:rPr>
        <w:lastRenderedPageBreak/>
        <w:t>Model Specification</w:t>
      </w:r>
    </w:p>
    <w:p w:rsidR="00F21C05" w:rsidRPr="00F35829" w:rsidRDefault="00CA3809" w:rsidP="00F35829">
      <w:pPr>
        <w:pStyle w:val="ListParagraph"/>
        <w:spacing w:line="360" w:lineRule="auto"/>
        <w:jc w:val="both"/>
        <w:rPr>
          <w:sz w:val="20"/>
          <w:szCs w:val="20"/>
        </w:rPr>
      </w:pPr>
      <w:r w:rsidRPr="00F35829">
        <w:rPr>
          <w:sz w:val="20"/>
          <w:szCs w:val="20"/>
        </w:rPr>
        <w:t>The relationship between performance measures and the SEC Recommended board characteristics is tested using two clusters of multivariate regression models</w:t>
      </w:r>
      <w:r w:rsidR="00F21C05" w:rsidRPr="00F35829">
        <w:rPr>
          <w:sz w:val="20"/>
          <w:szCs w:val="20"/>
        </w:rPr>
        <w:t xml:space="preserve"> with e</w:t>
      </w:r>
      <w:r w:rsidRPr="00F35829">
        <w:rPr>
          <w:sz w:val="20"/>
          <w:szCs w:val="20"/>
        </w:rPr>
        <w:t xml:space="preserve">ach Cluster consisted of </w:t>
      </w:r>
      <w:r w:rsidR="00BB3ED5" w:rsidRPr="00F35829">
        <w:rPr>
          <w:sz w:val="20"/>
          <w:szCs w:val="20"/>
        </w:rPr>
        <w:t>a base and s</w:t>
      </w:r>
      <w:r w:rsidRPr="00F35829">
        <w:rPr>
          <w:sz w:val="20"/>
          <w:szCs w:val="20"/>
        </w:rPr>
        <w:t>ensitivity models.</w:t>
      </w:r>
      <w:r w:rsidR="00F21C05" w:rsidRPr="00F35829">
        <w:rPr>
          <w:sz w:val="20"/>
          <w:szCs w:val="20"/>
        </w:rPr>
        <w:t xml:space="preserve"> The first cluster</w:t>
      </w:r>
      <w:r w:rsidR="00BB3ED5" w:rsidRPr="00F35829">
        <w:rPr>
          <w:sz w:val="20"/>
          <w:szCs w:val="20"/>
        </w:rPr>
        <w:t>,</w:t>
      </w:r>
      <w:r w:rsidR="00F21C05" w:rsidRPr="00F35829">
        <w:rPr>
          <w:sz w:val="20"/>
          <w:szCs w:val="20"/>
        </w:rPr>
        <w:t xml:space="preserve"> </w:t>
      </w:r>
      <w:r w:rsidR="00BB3ED5" w:rsidRPr="00F35829">
        <w:rPr>
          <w:sz w:val="20"/>
          <w:szCs w:val="20"/>
        </w:rPr>
        <w:t xml:space="preserve">in equations (1) and (2) below, </w:t>
      </w:r>
      <w:r w:rsidR="00F21C05" w:rsidRPr="00F35829">
        <w:rPr>
          <w:sz w:val="20"/>
          <w:szCs w:val="20"/>
        </w:rPr>
        <w:t xml:space="preserve">represents an intermediate analysis, designed to answer the first </w:t>
      </w:r>
      <w:r w:rsidR="00D3388C">
        <w:rPr>
          <w:sz w:val="20"/>
          <w:szCs w:val="20"/>
        </w:rPr>
        <w:t xml:space="preserve">two of the three </w:t>
      </w:r>
      <w:r w:rsidR="00F21C05" w:rsidRPr="00F35829">
        <w:rPr>
          <w:sz w:val="20"/>
          <w:szCs w:val="20"/>
        </w:rPr>
        <w:t>research question</w:t>
      </w:r>
      <w:r w:rsidR="00D3388C">
        <w:rPr>
          <w:sz w:val="20"/>
          <w:szCs w:val="20"/>
        </w:rPr>
        <w:t>s</w:t>
      </w:r>
      <w:r w:rsidR="00F21C05" w:rsidRPr="00F35829">
        <w:rPr>
          <w:sz w:val="20"/>
          <w:szCs w:val="20"/>
        </w:rPr>
        <w:t>. Using the base mode</w:t>
      </w:r>
      <w:r w:rsidR="00BB3ED5" w:rsidRPr="00F35829">
        <w:rPr>
          <w:sz w:val="20"/>
          <w:szCs w:val="20"/>
        </w:rPr>
        <w:t>l</w:t>
      </w:r>
      <w:r w:rsidR="00F21C05" w:rsidRPr="00F35829">
        <w:rPr>
          <w:sz w:val="20"/>
          <w:szCs w:val="20"/>
        </w:rPr>
        <w:t xml:space="preserve">, </w:t>
      </w:r>
      <w:r w:rsidR="00F35829">
        <w:rPr>
          <w:i/>
          <w:sz w:val="20"/>
          <w:szCs w:val="20"/>
        </w:rPr>
        <w:t>Tobin’s</w:t>
      </w:r>
      <w:r w:rsidR="008D4DF1">
        <w:rPr>
          <w:i/>
          <w:sz w:val="20"/>
          <w:szCs w:val="20"/>
        </w:rPr>
        <w:t xml:space="preserve"> q</w:t>
      </w:r>
      <w:r w:rsidR="00F35829">
        <w:rPr>
          <w:i/>
          <w:sz w:val="20"/>
          <w:szCs w:val="20"/>
        </w:rPr>
        <w:t xml:space="preserve">, </w:t>
      </w:r>
      <w:r w:rsidR="00F35829" w:rsidRPr="00F35829">
        <w:rPr>
          <w:sz w:val="20"/>
          <w:szCs w:val="20"/>
        </w:rPr>
        <w:t>a measure of firm performance (FP)</w:t>
      </w:r>
      <w:r w:rsidR="00F35829">
        <w:rPr>
          <w:sz w:val="20"/>
          <w:szCs w:val="20"/>
        </w:rPr>
        <w:t xml:space="preserve"> </w:t>
      </w:r>
      <w:r w:rsidR="00F21C05" w:rsidRPr="00F35829">
        <w:rPr>
          <w:sz w:val="20"/>
          <w:szCs w:val="20"/>
        </w:rPr>
        <w:t xml:space="preserve">was regressed against the board structure variables. Further sensitivity analyses are then conducted on the results from the base model, using equation (2) with net profit margin (NPM) as a proxy for </w:t>
      </w:r>
      <w:r w:rsidR="00F35829">
        <w:rPr>
          <w:sz w:val="20"/>
          <w:szCs w:val="20"/>
        </w:rPr>
        <w:t>FP</w:t>
      </w:r>
      <w:r w:rsidR="00F21C05" w:rsidRPr="00F35829">
        <w:rPr>
          <w:sz w:val="20"/>
          <w:szCs w:val="20"/>
        </w:rPr>
        <w:t xml:space="preserve">. Sensitivity analyse was designed to evaluate the degree to which the base model results are sensitive to the performance </w:t>
      </w:r>
      <w:r w:rsidR="00ED08A1" w:rsidRPr="00F35829">
        <w:rPr>
          <w:sz w:val="20"/>
          <w:szCs w:val="20"/>
        </w:rPr>
        <w:t xml:space="preserve">measure </w:t>
      </w:r>
      <w:r w:rsidR="00F21C05" w:rsidRPr="00F35829">
        <w:rPr>
          <w:sz w:val="20"/>
          <w:szCs w:val="20"/>
        </w:rPr>
        <w:t xml:space="preserve">(see: Darmadi 2013). </w:t>
      </w:r>
    </w:p>
    <w:p w:rsidR="00F21C05" w:rsidRDefault="00F21C05" w:rsidP="00F35829">
      <w:pPr>
        <w:pStyle w:val="ListParagraph"/>
        <w:spacing w:line="360" w:lineRule="auto"/>
        <w:rPr>
          <w:sz w:val="20"/>
          <w:szCs w:val="20"/>
        </w:rPr>
      </w:pPr>
    </w:p>
    <w:p w:rsidR="00CA3809" w:rsidRPr="00EA6E58" w:rsidRDefault="00CA3809" w:rsidP="00EA6E58">
      <w:pPr>
        <w:pStyle w:val="ListParagraph"/>
        <w:spacing w:line="360" w:lineRule="auto"/>
        <w:jc w:val="both"/>
        <w:rPr>
          <w:i/>
          <w:sz w:val="20"/>
          <w:szCs w:val="20"/>
        </w:rPr>
      </w:pPr>
      <w:r w:rsidRPr="00EA6E58">
        <w:rPr>
          <w:i/>
          <w:sz w:val="20"/>
          <w:szCs w:val="20"/>
        </w:rPr>
        <w:t xml:space="preserve">Cluster 1: </w:t>
      </w:r>
      <w:r w:rsidR="00F35829" w:rsidRPr="00EA6E58">
        <w:rPr>
          <w:i/>
          <w:sz w:val="20"/>
          <w:szCs w:val="20"/>
        </w:rPr>
        <w:t>Intermediate Multivariate Analysis</w:t>
      </w:r>
    </w:p>
    <w:p w:rsidR="00CA3809" w:rsidRPr="00EA6E58" w:rsidRDefault="00CA3809" w:rsidP="00EA6E58">
      <w:pPr>
        <w:pStyle w:val="ListParagraph"/>
        <w:spacing w:line="360" w:lineRule="auto"/>
        <w:jc w:val="both"/>
        <w:rPr>
          <w:i/>
          <w:sz w:val="20"/>
          <w:szCs w:val="20"/>
        </w:rPr>
      </w:pPr>
      <w:r w:rsidRPr="00EA6E58">
        <w:rPr>
          <w:i/>
          <w:sz w:val="20"/>
          <w:szCs w:val="20"/>
        </w:rPr>
        <w:t>Base Model</w:t>
      </w:r>
    </w:p>
    <w:p w:rsidR="00CA3809" w:rsidRPr="00EA6E58" w:rsidRDefault="00CA3809" w:rsidP="00EA6E58">
      <w:pPr>
        <w:pStyle w:val="ListParagraph"/>
        <w:spacing w:line="360" w:lineRule="auto"/>
        <w:jc w:val="both"/>
        <w:rPr>
          <w:sz w:val="20"/>
          <w:szCs w:val="20"/>
        </w:rPr>
      </w:pPr>
      <w:proofErr w:type="spellStart"/>
      <w:r w:rsidRPr="00EA6E58">
        <w:rPr>
          <w:sz w:val="20"/>
          <w:szCs w:val="20"/>
        </w:rPr>
        <w:t>FP</w:t>
      </w:r>
      <w:r w:rsidRPr="00EA6E58">
        <w:rPr>
          <w:sz w:val="20"/>
          <w:szCs w:val="20"/>
          <w:vertAlign w:val="subscript"/>
        </w:rPr>
        <w:t>it</w:t>
      </w:r>
      <w:proofErr w:type="spellEnd"/>
      <w:r w:rsidRPr="00EA6E58">
        <w:rPr>
          <w:sz w:val="20"/>
          <w:szCs w:val="20"/>
        </w:rPr>
        <w:t xml:space="preserve"> = α</w:t>
      </w:r>
      <w:r w:rsidRPr="00EA6E58">
        <w:rPr>
          <w:sz w:val="20"/>
          <w:szCs w:val="20"/>
          <w:vertAlign w:val="subscript"/>
        </w:rPr>
        <w:t>1</w:t>
      </w:r>
      <w:r w:rsidRPr="00EA6E58">
        <w:rPr>
          <w:sz w:val="20"/>
          <w:szCs w:val="20"/>
        </w:rPr>
        <w:t xml:space="preserve"> + β</w:t>
      </w:r>
      <w:r w:rsidRPr="00EA6E58">
        <w:rPr>
          <w:sz w:val="20"/>
          <w:szCs w:val="20"/>
          <w:vertAlign w:val="subscript"/>
        </w:rPr>
        <w:t>1</w:t>
      </w:r>
      <w:r w:rsidRPr="00EA6E58">
        <w:rPr>
          <w:sz w:val="20"/>
          <w:szCs w:val="20"/>
        </w:rPr>
        <w:t>BS</w:t>
      </w:r>
      <w:r w:rsidRPr="00EA6E58">
        <w:rPr>
          <w:sz w:val="20"/>
          <w:szCs w:val="20"/>
          <w:vertAlign w:val="subscript"/>
        </w:rPr>
        <w:t>it</w:t>
      </w:r>
      <w:r w:rsidRPr="00EA6E58">
        <w:rPr>
          <w:sz w:val="20"/>
          <w:szCs w:val="20"/>
        </w:rPr>
        <w:t xml:space="preserve"> + β</w:t>
      </w:r>
      <w:r w:rsidRPr="00EA6E58">
        <w:rPr>
          <w:sz w:val="20"/>
          <w:szCs w:val="20"/>
          <w:vertAlign w:val="subscript"/>
        </w:rPr>
        <w:t>2</w:t>
      </w:r>
      <w:r w:rsidRPr="00EA6E58">
        <w:rPr>
          <w:sz w:val="20"/>
          <w:szCs w:val="20"/>
        </w:rPr>
        <w:t>BI</w:t>
      </w:r>
      <w:r w:rsidRPr="00EA6E58">
        <w:rPr>
          <w:sz w:val="20"/>
          <w:szCs w:val="20"/>
          <w:vertAlign w:val="subscript"/>
        </w:rPr>
        <w:t>it</w:t>
      </w:r>
      <w:r w:rsidRPr="00EA6E58">
        <w:rPr>
          <w:sz w:val="20"/>
          <w:szCs w:val="20"/>
        </w:rPr>
        <w:t>+ β</w:t>
      </w:r>
      <w:r w:rsidRPr="00EA6E58">
        <w:rPr>
          <w:sz w:val="20"/>
          <w:szCs w:val="20"/>
          <w:vertAlign w:val="subscript"/>
        </w:rPr>
        <w:t>3</w:t>
      </w:r>
      <w:r w:rsidRPr="00EA6E58">
        <w:rPr>
          <w:sz w:val="20"/>
          <w:szCs w:val="20"/>
        </w:rPr>
        <w:t>CEODUAL</w:t>
      </w:r>
      <w:r w:rsidRPr="00EA6E58">
        <w:rPr>
          <w:sz w:val="20"/>
          <w:szCs w:val="20"/>
          <w:vertAlign w:val="subscript"/>
        </w:rPr>
        <w:t>it+</w:t>
      </w:r>
      <w:r w:rsidRPr="00EA6E58">
        <w:rPr>
          <w:sz w:val="20"/>
          <w:szCs w:val="20"/>
        </w:rPr>
        <w:t xml:space="preserve"> β</w:t>
      </w:r>
      <w:r w:rsidRPr="00EA6E58">
        <w:rPr>
          <w:sz w:val="20"/>
          <w:szCs w:val="20"/>
          <w:vertAlign w:val="subscript"/>
        </w:rPr>
        <w:t>4</w:t>
      </w:r>
      <w:r w:rsidRPr="00EA6E58">
        <w:rPr>
          <w:sz w:val="20"/>
          <w:szCs w:val="20"/>
        </w:rPr>
        <w:t>DMBA</w:t>
      </w:r>
      <w:r w:rsidRPr="00EA6E58">
        <w:rPr>
          <w:sz w:val="20"/>
          <w:szCs w:val="20"/>
          <w:vertAlign w:val="subscript"/>
        </w:rPr>
        <w:t>it</w:t>
      </w:r>
      <w:r w:rsidRPr="00EA6E58">
        <w:rPr>
          <w:sz w:val="20"/>
          <w:szCs w:val="20"/>
        </w:rPr>
        <w:t>+ β</w:t>
      </w:r>
      <w:r w:rsidRPr="00EA6E58">
        <w:rPr>
          <w:sz w:val="20"/>
          <w:szCs w:val="20"/>
          <w:vertAlign w:val="subscript"/>
        </w:rPr>
        <w:t>5A</w:t>
      </w:r>
      <w:r w:rsidRPr="00EA6E58">
        <w:rPr>
          <w:sz w:val="20"/>
          <w:szCs w:val="20"/>
        </w:rPr>
        <w:t>AVGEXP</w:t>
      </w:r>
      <w:r w:rsidRPr="00EA6E58">
        <w:rPr>
          <w:sz w:val="20"/>
          <w:szCs w:val="20"/>
          <w:vertAlign w:val="subscript"/>
        </w:rPr>
        <w:t>it</w:t>
      </w:r>
      <w:r w:rsidRPr="00EA6E58">
        <w:rPr>
          <w:sz w:val="20"/>
          <w:szCs w:val="20"/>
        </w:rPr>
        <w:t xml:space="preserve"> + β</w:t>
      </w:r>
      <w:r w:rsidRPr="00EA6E58">
        <w:rPr>
          <w:sz w:val="20"/>
          <w:szCs w:val="20"/>
          <w:vertAlign w:val="subscript"/>
        </w:rPr>
        <w:t>6</w:t>
      </w:r>
      <w:r w:rsidRPr="00EA6E58">
        <w:rPr>
          <w:sz w:val="20"/>
          <w:szCs w:val="20"/>
        </w:rPr>
        <w:t>ER</w:t>
      </w:r>
      <w:r w:rsidRPr="00EA6E58">
        <w:rPr>
          <w:sz w:val="20"/>
          <w:szCs w:val="20"/>
          <w:vertAlign w:val="subscript"/>
        </w:rPr>
        <w:t>it</w:t>
      </w:r>
      <w:r w:rsidRPr="00EA6E58">
        <w:rPr>
          <w:sz w:val="20"/>
          <w:szCs w:val="20"/>
        </w:rPr>
        <w:t>+ β</w:t>
      </w:r>
      <w:r w:rsidRPr="00EA6E58">
        <w:rPr>
          <w:sz w:val="20"/>
          <w:szCs w:val="20"/>
          <w:vertAlign w:val="subscript"/>
        </w:rPr>
        <w:t>7</w:t>
      </w:r>
      <w:r w:rsidRPr="00EA6E58">
        <w:rPr>
          <w:sz w:val="20"/>
          <w:szCs w:val="20"/>
        </w:rPr>
        <w:t>LEV</w:t>
      </w:r>
      <w:r w:rsidRPr="00EA6E58">
        <w:rPr>
          <w:sz w:val="20"/>
          <w:szCs w:val="20"/>
          <w:vertAlign w:val="subscript"/>
        </w:rPr>
        <w:t>it</w:t>
      </w:r>
      <w:r w:rsidRPr="00EA6E58">
        <w:rPr>
          <w:sz w:val="20"/>
          <w:szCs w:val="20"/>
        </w:rPr>
        <w:t xml:space="preserve"> + </w:t>
      </w:r>
      <w:proofErr w:type="spellStart"/>
      <w:r w:rsidRPr="00EA6E58">
        <w:rPr>
          <w:sz w:val="20"/>
          <w:szCs w:val="20"/>
        </w:rPr>
        <w:t>ε</w:t>
      </w:r>
      <w:r w:rsidRPr="00EA6E58">
        <w:rPr>
          <w:sz w:val="20"/>
          <w:szCs w:val="20"/>
          <w:vertAlign w:val="subscript"/>
        </w:rPr>
        <w:t>it</w:t>
      </w:r>
      <w:proofErr w:type="spellEnd"/>
      <w:r w:rsidRPr="00EA6E58">
        <w:rPr>
          <w:sz w:val="20"/>
          <w:szCs w:val="20"/>
          <w:vertAlign w:val="subscript"/>
        </w:rPr>
        <w:t xml:space="preserve"> </w:t>
      </w:r>
      <w:r w:rsidR="00537044">
        <w:rPr>
          <w:sz w:val="20"/>
          <w:szCs w:val="20"/>
          <w:vertAlign w:val="subscript"/>
        </w:rPr>
        <w:tab/>
      </w:r>
      <w:r w:rsidRPr="00537044">
        <w:rPr>
          <w:i/>
          <w:sz w:val="20"/>
          <w:szCs w:val="20"/>
        </w:rPr>
        <w:t>(1)</w:t>
      </w:r>
    </w:p>
    <w:p w:rsidR="00CA3809" w:rsidRPr="00EA6E58" w:rsidRDefault="00CA3809" w:rsidP="00EA6E58">
      <w:pPr>
        <w:pStyle w:val="ListParagraph"/>
        <w:spacing w:line="360" w:lineRule="auto"/>
        <w:jc w:val="both"/>
        <w:rPr>
          <w:i/>
          <w:sz w:val="20"/>
          <w:szCs w:val="20"/>
        </w:rPr>
      </w:pPr>
    </w:p>
    <w:p w:rsidR="00CA3809" w:rsidRPr="00EA6E58" w:rsidRDefault="00CA3809" w:rsidP="00EA6E58">
      <w:pPr>
        <w:pStyle w:val="ListParagraph"/>
        <w:spacing w:line="360" w:lineRule="auto"/>
        <w:jc w:val="both"/>
        <w:rPr>
          <w:i/>
          <w:sz w:val="20"/>
          <w:szCs w:val="20"/>
        </w:rPr>
      </w:pPr>
      <w:r w:rsidRPr="00EA6E58">
        <w:rPr>
          <w:i/>
          <w:sz w:val="20"/>
          <w:szCs w:val="20"/>
        </w:rPr>
        <w:t>Sensitivity Model</w:t>
      </w:r>
    </w:p>
    <w:p w:rsidR="00CA3809" w:rsidRPr="00EA6E58" w:rsidRDefault="00CA3809" w:rsidP="00EA6E58">
      <w:pPr>
        <w:pStyle w:val="ListParagraph"/>
        <w:spacing w:line="360" w:lineRule="auto"/>
        <w:jc w:val="both"/>
        <w:rPr>
          <w:sz w:val="20"/>
          <w:szCs w:val="20"/>
        </w:rPr>
      </w:pPr>
      <w:proofErr w:type="spellStart"/>
      <w:r w:rsidRPr="00EA6E58">
        <w:rPr>
          <w:sz w:val="20"/>
          <w:szCs w:val="20"/>
        </w:rPr>
        <w:t>FP</w:t>
      </w:r>
      <w:r w:rsidRPr="00EA6E58">
        <w:rPr>
          <w:sz w:val="20"/>
          <w:szCs w:val="20"/>
          <w:vertAlign w:val="subscript"/>
        </w:rPr>
        <w:t>it</w:t>
      </w:r>
      <w:proofErr w:type="spellEnd"/>
      <w:r w:rsidRPr="00EA6E58">
        <w:rPr>
          <w:sz w:val="20"/>
          <w:szCs w:val="20"/>
        </w:rPr>
        <w:t xml:space="preserve"> = α</w:t>
      </w:r>
      <w:r w:rsidRPr="00EA6E58">
        <w:rPr>
          <w:sz w:val="20"/>
          <w:szCs w:val="20"/>
          <w:vertAlign w:val="subscript"/>
        </w:rPr>
        <w:t>1</w:t>
      </w:r>
      <w:r w:rsidRPr="00EA6E58">
        <w:rPr>
          <w:sz w:val="20"/>
          <w:szCs w:val="20"/>
        </w:rPr>
        <w:t xml:space="preserve"> + β</w:t>
      </w:r>
      <w:r w:rsidRPr="00EA6E58">
        <w:rPr>
          <w:sz w:val="20"/>
          <w:szCs w:val="20"/>
          <w:vertAlign w:val="subscript"/>
        </w:rPr>
        <w:t>1</w:t>
      </w:r>
      <w:r w:rsidRPr="00EA6E58">
        <w:rPr>
          <w:sz w:val="20"/>
          <w:szCs w:val="20"/>
        </w:rPr>
        <w:t>BS</w:t>
      </w:r>
      <w:r w:rsidRPr="00EA6E58">
        <w:rPr>
          <w:sz w:val="20"/>
          <w:szCs w:val="20"/>
          <w:vertAlign w:val="subscript"/>
        </w:rPr>
        <w:t>it</w:t>
      </w:r>
      <w:r w:rsidRPr="00EA6E58">
        <w:rPr>
          <w:sz w:val="20"/>
          <w:szCs w:val="20"/>
        </w:rPr>
        <w:t xml:space="preserve"> + β</w:t>
      </w:r>
      <w:r w:rsidRPr="00EA6E58">
        <w:rPr>
          <w:sz w:val="20"/>
          <w:szCs w:val="20"/>
          <w:vertAlign w:val="subscript"/>
        </w:rPr>
        <w:t>2</w:t>
      </w:r>
      <w:r w:rsidRPr="00EA6E58">
        <w:rPr>
          <w:sz w:val="20"/>
          <w:szCs w:val="20"/>
        </w:rPr>
        <w:t>BI</w:t>
      </w:r>
      <w:r w:rsidRPr="00EA6E58">
        <w:rPr>
          <w:sz w:val="20"/>
          <w:szCs w:val="20"/>
          <w:vertAlign w:val="subscript"/>
        </w:rPr>
        <w:t>it</w:t>
      </w:r>
      <w:r w:rsidRPr="00EA6E58">
        <w:rPr>
          <w:sz w:val="20"/>
          <w:szCs w:val="20"/>
        </w:rPr>
        <w:t>+ β</w:t>
      </w:r>
      <w:r w:rsidRPr="00EA6E58">
        <w:rPr>
          <w:sz w:val="20"/>
          <w:szCs w:val="20"/>
          <w:vertAlign w:val="subscript"/>
        </w:rPr>
        <w:t>3</w:t>
      </w:r>
      <w:r w:rsidRPr="00EA6E58">
        <w:rPr>
          <w:sz w:val="20"/>
          <w:szCs w:val="20"/>
        </w:rPr>
        <w:t>CEODUAL</w:t>
      </w:r>
      <w:r w:rsidRPr="00EA6E58">
        <w:rPr>
          <w:sz w:val="20"/>
          <w:szCs w:val="20"/>
          <w:vertAlign w:val="subscript"/>
        </w:rPr>
        <w:t>it+</w:t>
      </w:r>
      <w:r w:rsidRPr="00EA6E58">
        <w:rPr>
          <w:sz w:val="20"/>
          <w:szCs w:val="20"/>
        </w:rPr>
        <w:t xml:space="preserve"> β</w:t>
      </w:r>
      <w:r w:rsidRPr="00EA6E58">
        <w:rPr>
          <w:sz w:val="20"/>
          <w:szCs w:val="20"/>
          <w:vertAlign w:val="subscript"/>
        </w:rPr>
        <w:t>4</w:t>
      </w:r>
      <w:r w:rsidRPr="00EA6E58">
        <w:rPr>
          <w:sz w:val="20"/>
          <w:szCs w:val="20"/>
        </w:rPr>
        <w:t>DMBA</w:t>
      </w:r>
      <w:r w:rsidRPr="00EA6E58">
        <w:rPr>
          <w:sz w:val="20"/>
          <w:szCs w:val="20"/>
          <w:vertAlign w:val="subscript"/>
        </w:rPr>
        <w:t>it</w:t>
      </w:r>
      <w:r w:rsidRPr="00EA6E58">
        <w:rPr>
          <w:sz w:val="20"/>
          <w:szCs w:val="20"/>
        </w:rPr>
        <w:t>+ β</w:t>
      </w:r>
      <w:r w:rsidRPr="00EA6E58">
        <w:rPr>
          <w:sz w:val="20"/>
          <w:szCs w:val="20"/>
          <w:vertAlign w:val="subscript"/>
        </w:rPr>
        <w:t>5A</w:t>
      </w:r>
      <w:r w:rsidRPr="00EA6E58">
        <w:rPr>
          <w:sz w:val="20"/>
          <w:szCs w:val="20"/>
        </w:rPr>
        <w:t>AVGEXP</w:t>
      </w:r>
      <w:r w:rsidRPr="00EA6E58">
        <w:rPr>
          <w:sz w:val="20"/>
          <w:szCs w:val="20"/>
          <w:vertAlign w:val="subscript"/>
        </w:rPr>
        <w:t>it</w:t>
      </w:r>
      <w:r w:rsidRPr="00EA6E58">
        <w:rPr>
          <w:sz w:val="20"/>
          <w:szCs w:val="20"/>
        </w:rPr>
        <w:t xml:space="preserve"> + β</w:t>
      </w:r>
      <w:r w:rsidRPr="00EA6E58">
        <w:rPr>
          <w:sz w:val="20"/>
          <w:szCs w:val="20"/>
          <w:vertAlign w:val="subscript"/>
        </w:rPr>
        <w:t>6</w:t>
      </w:r>
      <w:r w:rsidRPr="00EA6E58">
        <w:rPr>
          <w:sz w:val="20"/>
          <w:szCs w:val="20"/>
        </w:rPr>
        <w:t>ER</w:t>
      </w:r>
      <w:r w:rsidRPr="00EA6E58">
        <w:rPr>
          <w:sz w:val="20"/>
          <w:szCs w:val="20"/>
          <w:vertAlign w:val="subscript"/>
        </w:rPr>
        <w:t>it</w:t>
      </w:r>
      <w:r w:rsidRPr="00EA6E58">
        <w:rPr>
          <w:sz w:val="20"/>
          <w:szCs w:val="20"/>
        </w:rPr>
        <w:t>+ β</w:t>
      </w:r>
      <w:r w:rsidRPr="00EA6E58">
        <w:rPr>
          <w:sz w:val="20"/>
          <w:szCs w:val="20"/>
          <w:vertAlign w:val="subscript"/>
        </w:rPr>
        <w:t>7</w:t>
      </w:r>
      <w:r w:rsidRPr="00EA6E58">
        <w:rPr>
          <w:sz w:val="20"/>
          <w:szCs w:val="20"/>
        </w:rPr>
        <w:t>LEV</w:t>
      </w:r>
      <w:r w:rsidRPr="00EA6E58">
        <w:rPr>
          <w:sz w:val="20"/>
          <w:szCs w:val="20"/>
          <w:vertAlign w:val="subscript"/>
        </w:rPr>
        <w:t>it</w:t>
      </w:r>
      <w:r w:rsidRPr="00EA6E58">
        <w:rPr>
          <w:sz w:val="20"/>
          <w:szCs w:val="20"/>
        </w:rPr>
        <w:t xml:space="preserve"> + </w:t>
      </w:r>
      <w:proofErr w:type="spellStart"/>
      <w:r w:rsidRPr="00EA6E58">
        <w:rPr>
          <w:sz w:val="20"/>
          <w:szCs w:val="20"/>
        </w:rPr>
        <w:t>ε</w:t>
      </w:r>
      <w:r w:rsidRPr="00EA6E58">
        <w:rPr>
          <w:sz w:val="20"/>
          <w:szCs w:val="20"/>
          <w:vertAlign w:val="subscript"/>
        </w:rPr>
        <w:t>it</w:t>
      </w:r>
      <w:proofErr w:type="spellEnd"/>
      <w:r w:rsidRPr="00EA6E58">
        <w:rPr>
          <w:sz w:val="20"/>
          <w:szCs w:val="20"/>
          <w:vertAlign w:val="subscript"/>
        </w:rPr>
        <w:t xml:space="preserve"> </w:t>
      </w:r>
      <w:r w:rsidR="00537044">
        <w:rPr>
          <w:sz w:val="20"/>
          <w:szCs w:val="20"/>
          <w:vertAlign w:val="subscript"/>
        </w:rPr>
        <w:tab/>
      </w:r>
      <w:r w:rsidRPr="00537044">
        <w:rPr>
          <w:i/>
          <w:sz w:val="20"/>
          <w:szCs w:val="20"/>
        </w:rPr>
        <w:t>(2)</w:t>
      </w:r>
    </w:p>
    <w:p w:rsidR="007D74C9" w:rsidRDefault="007D74C9" w:rsidP="009048D4">
      <w:pPr>
        <w:pStyle w:val="ListParagraph"/>
        <w:rPr>
          <w:sz w:val="16"/>
          <w:szCs w:val="16"/>
        </w:rPr>
      </w:pPr>
    </w:p>
    <w:p w:rsidR="00F478A4" w:rsidRPr="00F478A4" w:rsidRDefault="007D74C9" w:rsidP="00F478A4">
      <w:pPr>
        <w:pStyle w:val="ListParagraph"/>
        <w:spacing w:line="360" w:lineRule="auto"/>
        <w:jc w:val="both"/>
        <w:rPr>
          <w:sz w:val="20"/>
          <w:szCs w:val="20"/>
        </w:rPr>
      </w:pPr>
      <w:r w:rsidRPr="00F478A4">
        <w:rPr>
          <w:sz w:val="20"/>
          <w:szCs w:val="20"/>
        </w:rPr>
        <w:t xml:space="preserve">The second cluster </w:t>
      </w:r>
      <w:r w:rsidR="00286A24" w:rsidRPr="00F478A4">
        <w:rPr>
          <w:sz w:val="20"/>
          <w:szCs w:val="20"/>
        </w:rPr>
        <w:t>models combine</w:t>
      </w:r>
      <w:r w:rsidRPr="00F478A4">
        <w:rPr>
          <w:sz w:val="20"/>
          <w:szCs w:val="20"/>
        </w:rPr>
        <w:t xml:space="preserve"> the features of Cluster 1 a</w:t>
      </w:r>
      <w:r w:rsidR="00286A24" w:rsidRPr="00F478A4">
        <w:rPr>
          <w:sz w:val="20"/>
          <w:szCs w:val="20"/>
        </w:rPr>
        <w:t>s well as the inclusion of</w:t>
      </w:r>
      <w:r w:rsidRPr="00F478A4">
        <w:rPr>
          <w:sz w:val="20"/>
          <w:szCs w:val="20"/>
        </w:rPr>
        <w:t xml:space="preserve"> </w:t>
      </w:r>
      <w:r w:rsidR="00286A24" w:rsidRPr="00F478A4">
        <w:rPr>
          <w:sz w:val="20"/>
          <w:szCs w:val="20"/>
        </w:rPr>
        <w:t xml:space="preserve">external </w:t>
      </w:r>
      <w:r w:rsidRPr="00F478A4">
        <w:rPr>
          <w:sz w:val="20"/>
          <w:szCs w:val="20"/>
        </w:rPr>
        <w:t>moderat</w:t>
      </w:r>
      <w:r w:rsidR="00286A24" w:rsidRPr="00F478A4">
        <w:rPr>
          <w:sz w:val="20"/>
          <w:szCs w:val="20"/>
        </w:rPr>
        <w:t xml:space="preserve">ors (i.e. </w:t>
      </w:r>
      <w:r w:rsidR="00F478A4" w:rsidRPr="00F478A4">
        <w:rPr>
          <w:sz w:val="20"/>
          <w:szCs w:val="20"/>
        </w:rPr>
        <w:t xml:space="preserve">level of </w:t>
      </w:r>
      <w:r w:rsidR="00286A24" w:rsidRPr="00F478A4">
        <w:rPr>
          <w:sz w:val="20"/>
          <w:szCs w:val="20"/>
        </w:rPr>
        <w:t>economic growth and degree of economic openness)</w:t>
      </w:r>
      <w:r w:rsidR="00F478A4" w:rsidRPr="00F478A4">
        <w:rPr>
          <w:sz w:val="20"/>
          <w:szCs w:val="20"/>
        </w:rPr>
        <w:t xml:space="preserve">. </w:t>
      </w:r>
      <w:r w:rsidR="00286A24" w:rsidRPr="00F478A4">
        <w:rPr>
          <w:sz w:val="20"/>
          <w:szCs w:val="20"/>
        </w:rPr>
        <w:t xml:space="preserve">Cluster 2 models were designed to affirm the robustness of Cluster 1 findings and offered empirical response to the final of the three fundamental questions that were raised at the beginning of the study. Equation (3) represents the base model and </w:t>
      </w:r>
      <w:r w:rsidR="00286A24" w:rsidRPr="00F478A4">
        <w:rPr>
          <w:i/>
          <w:sz w:val="20"/>
          <w:szCs w:val="20"/>
        </w:rPr>
        <w:t xml:space="preserve">Tobin’s q </w:t>
      </w:r>
      <w:r w:rsidR="00286A24" w:rsidRPr="00F478A4">
        <w:rPr>
          <w:sz w:val="20"/>
          <w:szCs w:val="20"/>
        </w:rPr>
        <w:t xml:space="preserve">is regressed against the board and macroeconomic variables, with the outcome further exposed to a sensitivity test using ROA equation (4). </w:t>
      </w:r>
      <w:r w:rsidR="00F478A4" w:rsidRPr="00F478A4">
        <w:rPr>
          <w:sz w:val="20"/>
          <w:szCs w:val="20"/>
        </w:rPr>
        <w:t xml:space="preserve">The adopted models in this cluster are consistent with the previous empirical studies (e.g. El Sood 2008; Bozec 2005; D’Souza </w:t>
      </w:r>
      <w:r w:rsidR="00F478A4" w:rsidRPr="00CF14A0">
        <w:rPr>
          <w:sz w:val="20"/>
          <w:szCs w:val="20"/>
        </w:rPr>
        <w:t>et al.</w:t>
      </w:r>
      <w:r w:rsidR="00F478A4" w:rsidRPr="00F478A4">
        <w:rPr>
          <w:sz w:val="20"/>
          <w:szCs w:val="20"/>
        </w:rPr>
        <w:t xml:space="preserve"> 2005). </w:t>
      </w:r>
    </w:p>
    <w:p w:rsidR="00286A24" w:rsidRDefault="00286A24" w:rsidP="002018AE">
      <w:pPr>
        <w:pStyle w:val="ListParagraph"/>
        <w:spacing w:line="360" w:lineRule="auto"/>
        <w:jc w:val="both"/>
        <w:rPr>
          <w:sz w:val="20"/>
          <w:szCs w:val="20"/>
        </w:rPr>
      </w:pPr>
    </w:p>
    <w:p w:rsidR="00CA3809" w:rsidRPr="002018AE" w:rsidRDefault="00CA3809" w:rsidP="002018AE">
      <w:pPr>
        <w:pStyle w:val="ListParagraph"/>
        <w:spacing w:line="360" w:lineRule="auto"/>
        <w:jc w:val="both"/>
        <w:rPr>
          <w:i/>
          <w:sz w:val="20"/>
          <w:szCs w:val="20"/>
        </w:rPr>
      </w:pPr>
      <w:r w:rsidRPr="002018AE">
        <w:rPr>
          <w:i/>
          <w:sz w:val="20"/>
          <w:szCs w:val="20"/>
        </w:rPr>
        <w:t xml:space="preserve">Cluster 2: </w:t>
      </w:r>
      <w:r w:rsidR="00F35829" w:rsidRPr="002018AE">
        <w:rPr>
          <w:i/>
          <w:sz w:val="20"/>
          <w:szCs w:val="20"/>
        </w:rPr>
        <w:t xml:space="preserve">Extended Multivariate Analysis </w:t>
      </w:r>
    </w:p>
    <w:p w:rsidR="00F35829" w:rsidRPr="002018AE" w:rsidRDefault="00F35829" w:rsidP="002018AE">
      <w:pPr>
        <w:pStyle w:val="ListParagraph"/>
        <w:spacing w:line="360" w:lineRule="auto"/>
        <w:jc w:val="both"/>
        <w:rPr>
          <w:i/>
          <w:sz w:val="20"/>
          <w:szCs w:val="20"/>
        </w:rPr>
      </w:pPr>
    </w:p>
    <w:p w:rsidR="00CA3809" w:rsidRPr="002018AE" w:rsidRDefault="00CA3809" w:rsidP="002018AE">
      <w:pPr>
        <w:pStyle w:val="ListParagraph"/>
        <w:spacing w:line="360" w:lineRule="auto"/>
        <w:jc w:val="both"/>
        <w:rPr>
          <w:i/>
          <w:sz w:val="20"/>
          <w:szCs w:val="20"/>
        </w:rPr>
      </w:pPr>
      <w:r w:rsidRPr="002018AE">
        <w:rPr>
          <w:i/>
          <w:sz w:val="20"/>
          <w:szCs w:val="20"/>
        </w:rPr>
        <w:t>Base Model</w:t>
      </w:r>
    </w:p>
    <w:p w:rsidR="00CA3809" w:rsidRPr="002018AE" w:rsidRDefault="00CA3809" w:rsidP="002018AE">
      <w:pPr>
        <w:pStyle w:val="ListParagraph"/>
        <w:spacing w:line="360" w:lineRule="auto"/>
        <w:jc w:val="both"/>
        <w:rPr>
          <w:sz w:val="20"/>
          <w:szCs w:val="20"/>
        </w:rPr>
      </w:pPr>
      <w:proofErr w:type="spellStart"/>
      <w:r w:rsidRPr="002018AE">
        <w:rPr>
          <w:sz w:val="20"/>
          <w:szCs w:val="20"/>
        </w:rPr>
        <w:t>FP</w:t>
      </w:r>
      <w:r w:rsidRPr="002018AE">
        <w:rPr>
          <w:sz w:val="20"/>
          <w:szCs w:val="20"/>
          <w:vertAlign w:val="subscript"/>
        </w:rPr>
        <w:t>it</w:t>
      </w:r>
      <w:proofErr w:type="spellEnd"/>
      <w:r w:rsidRPr="002018AE">
        <w:rPr>
          <w:sz w:val="20"/>
          <w:szCs w:val="20"/>
        </w:rPr>
        <w:t xml:space="preserve"> = α</w:t>
      </w:r>
      <w:r w:rsidRPr="002018AE">
        <w:rPr>
          <w:sz w:val="20"/>
          <w:szCs w:val="20"/>
          <w:vertAlign w:val="subscript"/>
        </w:rPr>
        <w:t>1</w:t>
      </w:r>
      <w:r w:rsidRPr="002018AE">
        <w:rPr>
          <w:sz w:val="20"/>
          <w:szCs w:val="20"/>
        </w:rPr>
        <w:t xml:space="preserve"> + β</w:t>
      </w:r>
      <w:r w:rsidRPr="002018AE">
        <w:rPr>
          <w:sz w:val="20"/>
          <w:szCs w:val="20"/>
          <w:vertAlign w:val="subscript"/>
        </w:rPr>
        <w:t>1</w:t>
      </w:r>
      <w:r w:rsidRPr="002018AE">
        <w:rPr>
          <w:sz w:val="20"/>
          <w:szCs w:val="20"/>
        </w:rPr>
        <w:t>BS</w:t>
      </w:r>
      <w:r w:rsidRPr="002018AE">
        <w:rPr>
          <w:sz w:val="20"/>
          <w:szCs w:val="20"/>
          <w:vertAlign w:val="subscript"/>
        </w:rPr>
        <w:t>it</w:t>
      </w:r>
      <w:r w:rsidRPr="002018AE">
        <w:rPr>
          <w:sz w:val="20"/>
          <w:szCs w:val="20"/>
        </w:rPr>
        <w:t xml:space="preserve"> + β</w:t>
      </w:r>
      <w:r w:rsidRPr="002018AE">
        <w:rPr>
          <w:sz w:val="20"/>
          <w:szCs w:val="20"/>
          <w:vertAlign w:val="subscript"/>
        </w:rPr>
        <w:t>2</w:t>
      </w:r>
      <w:r w:rsidRPr="002018AE">
        <w:rPr>
          <w:sz w:val="20"/>
          <w:szCs w:val="20"/>
        </w:rPr>
        <w:t>BI</w:t>
      </w:r>
      <w:r w:rsidRPr="002018AE">
        <w:rPr>
          <w:sz w:val="20"/>
          <w:szCs w:val="20"/>
          <w:vertAlign w:val="subscript"/>
        </w:rPr>
        <w:t>it</w:t>
      </w:r>
      <w:r w:rsidRPr="002018AE">
        <w:rPr>
          <w:sz w:val="20"/>
          <w:szCs w:val="20"/>
        </w:rPr>
        <w:t>+ β</w:t>
      </w:r>
      <w:r w:rsidRPr="002018AE">
        <w:rPr>
          <w:sz w:val="20"/>
          <w:szCs w:val="20"/>
          <w:vertAlign w:val="subscript"/>
        </w:rPr>
        <w:t>3</w:t>
      </w:r>
      <w:r w:rsidRPr="002018AE">
        <w:rPr>
          <w:sz w:val="20"/>
          <w:szCs w:val="20"/>
        </w:rPr>
        <w:t>CEODUAL</w:t>
      </w:r>
      <w:r w:rsidRPr="002018AE">
        <w:rPr>
          <w:sz w:val="20"/>
          <w:szCs w:val="20"/>
          <w:vertAlign w:val="subscript"/>
        </w:rPr>
        <w:t>it+</w:t>
      </w:r>
      <w:r w:rsidRPr="002018AE">
        <w:rPr>
          <w:sz w:val="20"/>
          <w:szCs w:val="20"/>
        </w:rPr>
        <w:t xml:space="preserve"> β</w:t>
      </w:r>
      <w:r w:rsidRPr="002018AE">
        <w:rPr>
          <w:sz w:val="20"/>
          <w:szCs w:val="20"/>
          <w:vertAlign w:val="subscript"/>
        </w:rPr>
        <w:t>4</w:t>
      </w:r>
      <w:r w:rsidRPr="002018AE">
        <w:rPr>
          <w:sz w:val="20"/>
          <w:szCs w:val="20"/>
        </w:rPr>
        <w:t>DMBA</w:t>
      </w:r>
      <w:r w:rsidRPr="002018AE">
        <w:rPr>
          <w:sz w:val="20"/>
          <w:szCs w:val="20"/>
          <w:vertAlign w:val="subscript"/>
        </w:rPr>
        <w:t>it</w:t>
      </w:r>
      <w:r w:rsidRPr="002018AE">
        <w:rPr>
          <w:sz w:val="20"/>
          <w:szCs w:val="20"/>
        </w:rPr>
        <w:t>+ β</w:t>
      </w:r>
      <w:r w:rsidRPr="002018AE">
        <w:rPr>
          <w:sz w:val="20"/>
          <w:szCs w:val="20"/>
          <w:vertAlign w:val="subscript"/>
        </w:rPr>
        <w:t>5A</w:t>
      </w:r>
      <w:r w:rsidRPr="002018AE">
        <w:rPr>
          <w:sz w:val="20"/>
          <w:szCs w:val="20"/>
        </w:rPr>
        <w:t>AVGEXP</w:t>
      </w:r>
      <w:r w:rsidRPr="002018AE">
        <w:rPr>
          <w:sz w:val="20"/>
          <w:szCs w:val="20"/>
          <w:vertAlign w:val="subscript"/>
        </w:rPr>
        <w:t>it</w:t>
      </w:r>
      <w:r w:rsidRPr="002018AE">
        <w:rPr>
          <w:sz w:val="20"/>
          <w:szCs w:val="20"/>
        </w:rPr>
        <w:t xml:space="preserve"> + β</w:t>
      </w:r>
      <w:r w:rsidRPr="002018AE">
        <w:rPr>
          <w:sz w:val="20"/>
          <w:szCs w:val="20"/>
          <w:vertAlign w:val="subscript"/>
        </w:rPr>
        <w:t>6</w:t>
      </w:r>
      <w:r w:rsidRPr="002018AE">
        <w:rPr>
          <w:sz w:val="20"/>
          <w:szCs w:val="20"/>
        </w:rPr>
        <w:t>ER</w:t>
      </w:r>
      <w:r w:rsidRPr="002018AE">
        <w:rPr>
          <w:sz w:val="20"/>
          <w:szCs w:val="20"/>
          <w:vertAlign w:val="subscript"/>
        </w:rPr>
        <w:t>it</w:t>
      </w:r>
      <w:r w:rsidRPr="002018AE">
        <w:rPr>
          <w:sz w:val="20"/>
          <w:szCs w:val="20"/>
        </w:rPr>
        <w:t xml:space="preserve"> + β</w:t>
      </w:r>
      <w:r w:rsidRPr="002018AE">
        <w:rPr>
          <w:sz w:val="20"/>
          <w:szCs w:val="20"/>
          <w:vertAlign w:val="subscript"/>
        </w:rPr>
        <w:t>7</w:t>
      </w:r>
      <w:r w:rsidRPr="002018AE">
        <w:rPr>
          <w:sz w:val="20"/>
          <w:szCs w:val="20"/>
        </w:rPr>
        <w:t>LEV</w:t>
      </w:r>
      <w:r w:rsidRPr="002018AE">
        <w:rPr>
          <w:sz w:val="20"/>
          <w:szCs w:val="20"/>
          <w:vertAlign w:val="subscript"/>
        </w:rPr>
        <w:t>it</w:t>
      </w:r>
      <w:r w:rsidRPr="002018AE">
        <w:rPr>
          <w:sz w:val="20"/>
          <w:szCs w:val="20"/>
        </w:rPr>
        <w:t xml:space="preserve"> + α</w:t>
      </w:r>
      <w:r w:rsidRPr="002018AE">
        <w:rPr>
          <w:sz w:val="20"/>
          <w:szCs w:val="20"/>
          <w:vertAlign w:val="subscript"/>
        </w:rPr>
        <w:t>8</w:t>
      </w:r>
      <w:r w:rsidRPr="002018AE">
        <w:rPr>
          <w:sz w:val="20"/>
          <w:szCs w:val="20"/>
        </w:rPr>
        <w:t>logGDP</w:t>
      </w:r>
      <w:r w:rsidRPr="002018AE">
        <w:rPr>
          <w:sz w:val="20"/>
          <w:szCs w:val="20"/>
          <w:vertAlign w:val="subscript"/>
        </w:rPr>
        <w:t>it</w:t>
      </w:r>
      <w:r w:rsidRPr="002018AE">
        <w:rPr>
          <w:sz w:val="20"/>
          <w:szCs w:val="20"/>
        </w:rPr>
        <w:t>+ α</w:t>
      </w:r>
      <w:r w:rsidRPr="002018AE">
        <w:rPr>
          <w:sz w:val="20"/>
          <w:szCs w:val="20"/>
          <w:vertAlign w:val="subscript"/>
        </w:rPr>
        <w:t>9</w:t>
      </w:r>
      <w:r w:rsidRPr="002018AE">
        <w:rPr>
          <w:sz w:val="20"/>
          <w:szCs w:val="20"/>
        </w:rPr>
        <w:t>logOP</w:t>
      </w:r>
      <w:r w:rsidRPr="002018AE">
        <w:rPr>
          <w:sz w:val="20"/>
          <w:szCs w:val="20"/>
          <w:vertAlign w:val="subscript"/>
        </w:rPr>
        <w:t>it</w:t>
      </w:r>
      <w:r w:rsidRPr="002018AE">
        <w:rPr>
          <w:sz w:val="20"/>
          <w:szCs w:val="20"/>
        </w:rPr>
        <w:t xml:space="preserve">+ </w:t>
      </w:r>
      <w:proofErr w:type="spellStart"/>
      <w:r w:rsidRPr="002018AE">
        <w:rPr>
          <w:sz w:val="20"/>
          <w:szCs w:val="20"/>
        </w:rPr>
        <w:t>ε</w:t>
      </w:r>
      <w:r w:rsidRPr="002018AE">
        <w:rPr>
          <w:sz w:val="20"/>
          <w:szCs w:val="20"/>
          <w:vertAlign w:val="subscript"/>
        </w:rPr>
        <w:t>it</w:t>
      </w:r>
      <w:proofErr w:type="spellEnd"/>
      <w:r w:rsidRPr="002018AE">
        <w:rPr>
          <w:sz w:val="20"/>
          <w:szCs w:val="20"/>
          <w:vertAlign w:val="subscript"/>
        </w:rPr>
        <w:t xml:space="preserve">  </w:t>
      </w:r>
      <w:r w:rsidR="00537044">
        <w:rPr>
          <w:sz w:val="20"/>
          <w:szCs w:val="20"/>
          <w:vertAlign w:val="subscript"/>
        </w:rPr>
        <w:tab/>
      </w:r>
      <w:r w:rsidR="00537044">
        <w:rPr>
          <w:sz w:val="20"/>
          <w:szCs w:val="20"/>
          <w:vertAlign w:val="subscript"/>
        </w:rPr>
        <w:tab/>
      </w:r>
      <w:r w:rsidR="00537044">
        <w:rPr>
          <w:sz w:val="20"/>
          <w:szCs w:val="20"/>
          <w:vertAlign w:val="subscript"/>
        </w:rPr>
        <w:tab/>
      </w:r>
      <w:r w:rsidR="00537044">
        <w:rPr>
          <w:sz w:val="20"/>
          <w:szCs w:val="20"/>
          <w:vertAlign w:val="subscript"/>
        </w:rPr>
        <w:tab/>
      </w:r>
      <w:r w:rsidR="00537044">
        <w:rPr>
          <w:sz w:val="20"/>
          <w:szCs w:val="20"/>
          <w:vertAlign w:val="subscript"/>
        </w:rPr>
        <w:tab/>
      </w:r>
      <w:r w:rsidR="00537044">
        <w:rPr>
          <w:sz w:val="20"/>
          <w:szCs w:val="20"/>
          <w:vertAlign w:val="subscript"/>
        </w:rPr>
        <w:tab/>
      </w:r>
      <w:r w:rsidR="00537044">
        <w:rPr>
          <w:sz w:val="20"/>
          <w:szCs w:val="20"/>
          <w:vertAlign w:val="subscript"/>
        </w:rPr>
        <w:tab/>
      </w:r>
      <w:r w:rsidR="00537044">
        <w:rPr>
          <w:sz w:val="20"/>
          <w:szCs w:val="20"/>
          <w:vertAlign w:val="subscript"/>
        </w:rPr>
        <w:tab/>
      </w:r>
      <w:r w:rsidRPr="00537044">
        <w:rPr>
          <w:i/>
          <w:sz w:val="20"/>
          <w:szCs w:val="20"/>
        </w:rPr>
        <w:t>(3)</w:t>
      </w:r>
      <w:r w:rsidRPr="002018AE">
        <w:rPr>
          <w:sz w:val="20"/>
          <w:szCs w:val="20"/>
        </w:rPr>
        <w:t xml:space="preserve">   </w:t>
      </w:r>
    </w:p>
    <w:p w:rsidR="00CA3809" w:rsidRPr="002018AE" w:rsidRDefault="00CA3809" w:rsidP="002018AE">
      <w:pPr>
        <w:pStyle w:val="ListParagraph"/>
        <w:spacing w:line="360" w:lineRule="auto"/>
        <w:jc w:val="both"/>
        <w:rPr>
          <w:sz w:val="20"/>
          <w:szCs w:val="20"/>
        </w:rPr>
      </w:pPr>
    </w:p>
    <w:p w:rsidR="00CA3809" w:rsidRPr="002018AE" w:rsidRDefault="00CA3809" w:rsidP="002018AE">
      <w:pPr>
        <w:pStyle w:val="ListParagraph"/>
        <w:spacing w:line="360" w:lineRule="auto"/>
        <w:jc w:val="both"/>
        <w:rPr>
          <w:i/>
          <w:sz w:val="20"/>
          <w:szCs w:val="20"/>
        </w:rPr>
      </w:pPr>
      <w:r w:rsidRPr="002018AE">
        <w:rPr>
          <w:i/>
          <w:sz w:val="20"/>
          <w:szCs w:val="20"/>
        </w:rPr>
        <w:t>Sensitivity Model</w:t>
      </w:r>
    </w:p>
    <w:p w:rsidR="00CA3809" w:rsidRPr="002018AE" w:rsidRDefault="00CA3809" w:rsidP="002018AE">
      <w:pPr>
        <w:pStyle w:val="ListParagraph"/>
        <w:spacing w:line="360" w:lineRule="auto"/>
        <w:jc w:val="both"/>
        <w:rPr>
          <w:sz w:val="20"/>
          <w:szCs w:val="20"/>
        </w:rPr>
      </w:pPr>
      <w:proofErr w:type="spellStart"/>
      <w:r w:rsidRPr="002018AE">
        <w:rPr>
          <w:sz w:val="20"/>
          <w:szCs w:val="20"/>
        </w:rPr>
        <w:t>FP</w:t>
      </w:r>
      <w:r w:rsidRPr="002018AE">
        <w:rPr>
          <w:sz w:val="20"/>
          <w:szCs w:val="20"/>
          <w:vertAlign w:val="subscript"/>
        </w:rPr>
        <w:t>it</w:t>
      </w:r>
      <w:proofErr w:type="spellEnd"/>
      <w:r w:rsidRPr="002018AE">
        <w:rPr>
          <w:sz w:val="20"/>
          <w:szCs w:val="20"/>
        </w:rPr>
        <w:t xml:space="preserve"> = α</w:t>
      </w:r>
      <w:r w:rsidRPr="002018AE">
        <w:rPr>
          <w:sz w:val="20"/>
          <w:szCs w:val="20"/>
          <w:vertAlign w:val="subscript"/>
        </w:rPr>
        <w:t>1</w:t>
      </w:r>
      <w:r w:rsidRPr="002018AE">
        <w:rPr>
          <w:sz w:val="20"/>
          <w:szCs w:val="20"/>
        </w:rPr>
        <w:t xml:space="preserve"> + β</w:t>
      </w:r>
      <w:r w:rsidRPr="002018AE">
        <w:rPr>
          <w:sz w:val="20"/>
          <w:szCs w:val="20"/>
          <w:vertAlign w:val="subscript"/>
        </w:rPr>
        <w:t>1</w:t>
      </w:r>
      <w:r w:rsidRPr="002018AE">
        <w:rPr>
          <w:sz w:val="20"/>
          <w:szCs w:val="20"/>
        </w:rPr>
        <w:t>BS</w:t>
      </w:r>
      <w:r w:rsidRPr="002018AE">
        <w:rPr>
          <w:sz w:val="20"/>
          <w:szCs w:val="20"/>
          <w:vertAlign w:val="subscript"/>
        </w:rPr>
        <w:t>it</w:t>
      </w:r>
      <w:r w:rsidRPr="002018AE">
        <w:rPr>
          <w:sz w:val="20"/>
          <w:szCs w:val="20"/>
        </w:rPr>
        <w:t xml:space="preserve"> + β</w:t>
      </w:r>
      <w:r w:rsidRPr="002018AE">
        <w:rPr>
          <w:sz w:val="20"/>
          <w:szCs w:val="20"/>
          <w:vertAlign w:val="subscript"/>
        </w:rPr>
        <w:t>2</w:t>
      </w:r>
      <w:r w:rsidRPr="002018AE">
        <w:rPr>
          <w:sz w:val="20"/>
          <w:szCs w:val="20"/>
        </w:rPr>
        <w:t>BI</w:t>
      </w:r>
      <w:r w:rsidRPr="002018AE">
        <w:rPr>
          <w:sz w:val="20"/>
          <w:szCs w:val="20"/>
          <w:vertAlign w:val="subscript"/>
        </w:rPr>
        <w:t>it</w:t>
      </w:r>
      <w:r w:rsidRPr="002018AE">
        <w:rPr>
          <w:sz w:val="20"/>
          <w:szCs w:val="20"/>
        </w:rPr>
        <w:t>+ β</w:t>
      </w:r>
      <w:r w:rsidRPr="002018AE">
        <w:rPr>
          <w:sz w:val="20"/>
          <w:szCs w:val="20"/>
          <w:vertAlign w:val="subscript"/>
        </w:rPr>
        <w:t>3</w:t>
      </w:r>
      <w:r w:rsidRPr="002018AE">
        <w:rPr>
          <w:sz w:val="20"/>
          <w:szCs w:val="20"/>
        </w:rPr>
        <w:t>CEODUAL</w:t>
      </w:r>
      <w:r w:rsidRPr="002018AE">
        <w:rPr>
          <w:sz w:val="20"/>
          <w:szCs w:val="20"/>
          <w:vertAlign w:val="subscript"/>
        </w:rPr>
        <w:t>it+</w:t>
      </w:r>
      <w:r w:rsidRPr="002018AE">
        <w:rPr>
          <w:sz w:val="20"/>
          <w:szCs w:val="20"/>
        </w:rPr>
        <w:t xml:space="preserve"> β</w:t>
      </w:r>
      <w:r w:rsidRPr="002018AE">
        <w:rPr>
          <w:sz w:val="20"/>
          <w:szCs w:val="20"/>
          <w:vertAlign w:val="subscript"/>
        </w:rPr>
        <w:t>4</w:t>
      </w:r>
      <w:r w:rsidRPr="002018AE">
        <w:rPr>
          <w:sz w:val="20"/>
          <w:szCs w:val="20"/>
        </w:rPr>
        <w:t>DMBA</w:t>
      </w:r>
      <w:r w:rsidRPr="002018AE">
        <w:rPr>
          <w:sz w:val="20"/>
          <w:szCs w:val="20"/>
          <w:vertAlign w:val="subscript"/>
        </w:rPr>
        <w:t>it</w:t>
      </w:r>
      <w:r w:rsidRPr="002018AE">
        <w:rPr>
          <w:sz w:val="20"/>
          <w:szCs w:val="20"/>
        </w:rPr>
        <w:t>+ β</w:t>
      </w:r>
      <w:r w:rsidRPr="002018AE">
        <w:rPr>
          <w:sz w:val="20"/>
          <w:szCs w:val="20"/>
          <w:vertAlign w:val="subscript"/>
        </w:rPr>
        <w:t>5A</w:t>
      </w:r>
      <w:r w:rsidRPr="002018AE">
        <w:rPr>
          <w:sz w:val="20"/>
          <w:szCs w:val="20"/>
        </w:rPr>
        <w:t>AVGEXP</w:t>
      </w:r>
      <w:r w:rsidRPr="002018AE">
        <w:rPr>
          <w:sz w:val="20"/>
          <w:szCs w:val="20"/>
          <w:vertAlign w:val="subscript"/>
        </w:rPr>
        <w:t>it</w:t>
      </w:r>
      <w:r w:rsidRPr="002018AE">
        <w:rPr>
          <w:sz w:val="20"/>
          <w:szCs w:val="20"/>
        </w:rPr>
        <w:t xml:space="preserve"> + β</w:t>
      </w:r>
      <w:r w:rsidRPr="002018AE">
        <w:rPr>
          <w:sz w:val="20"/>
          <w:szCs w:val="20"/>
          <w:vertAlign w:val="subscript"/>
        </w:rPr>
        <w:t>6</w:t>
      </w:r>
      <w:r w:rsidRPr="002018AE">
        <w:rPr>
          <w:sz w:val="20"/>
          <w:szCs w:val="20"/>
        </w:rPr>
        <w:t>ER</w:t>
      </w:r>
      <w:r w:rsidRPr="002018AE">
        <w:rPr>
          <w:sz w:val="20"/>
          <w:szCs w:val="20"/>
          <w:vertAlign w:val="subscript"/>
        </w:rPr>
        <w:t>it</w:t>
      </w:r>
      <w:r w:rsidRPr="002018AE">
        <w:rPr>
          <w:sz w:val="20"/>
          <w:szCs w:val="20"/>
        </w:rPr>
        <w:t xml:space="preserve"> + β</w:t>
      </w:r>
      <w:r w:rsidRPr="002018AE">
        <w:rPr>
          <w:sz w:val="20"/>
          <w:szCs w:val="20"/>
          <w:vertAlign w:val="subscript"/>
        </w:rPr>
        <w:t>7</w:t>
      </w:r>
      <w:r w:rsidRPr="002018AE">
        <w:rPr>
          <w:sz w:val="20"/>
          <w:szCs w:val="20"/>
        </w:rPr>
        <w:t>FS</w:t>
      </w:r>
      <w:r w:rsidRPr="002018AE">
        <w:rPr>
          <w:sz w:val="20"/>
          <w:szCs w:val="20"/>
          <w:vertAlign w:val="subscript"/>
        </w:rPr>
        <w:t>it</w:t>
      </w:r>
      <w:r w:rsidRPr="002018AE">
        <w:rPr>
          <w:sz w:val="20"/>
          <w:szCs w:val="20"/>
        </w:rPr>
        <w:t xml:space="preserve"> + α</w:t>
      </w:r>
      <w:r w:rsidRPr="002018AE">
        <w:rPr>
          <w:sz w:val="20"/>
          <w:szCs w:val="20"/>
          <w:vertAlign w:val="subscript"/>
        </w:rPr>
        <w:t>8</w:t>
      </w:r>
      <w:r w:rsidRPr="002018AE">
        <w:rPr>
          <w:sz w:val="20"/>
          <w:szCs w:val="20"/>
        </w:rPr>
        <w:t>logGDP</w:t>
      </w:r>
      <w:r w:rsidRPr="002018AE">
        <w:rPr>
          <w:sz w:val="20"/>
          <w:szCs w:val="20"/>
          <w:vertAlign w:val="subscript"/>
        </w:rPr>
        <w:t>it</w:t>
      </w:r>
      <w:r w:rsidRPr="002018AE">
        <w:rPr>
          <w:sz w:val="20"/>
          <w:szCs w:val="20"/>
        </w:rPr>
        <w:t>+ α</w:t>
      </w:r>
      <w:r w:rsidRPr="002018AE">
        <w:rPr>
          <w:sz w:val="20"/>
          <w:szCs w:val="20"/>
          <w:vertAlign w:val="subscript"/>
        </w:rPr>
        <w:t>9</w:t>
      </w:r>
      <w:r w:rsidRPr="002018AE">
        <w:rPr>
          <w:sz w:val="20"/>
          <w:szCs w:val="20"/>
        </w:rPr>
        <w:t>logOP</w:t>
      </w:r>
      <w:r w:rsidRPr="002018AE">
        <w:rPr>
          <w:sz w:val="20"/>
          <w:szCs w:val="20"/>
          <w:vertAlign w:val="subscript"/>
        </w:rPr>
        <w:t>it</w:t>
      </w:r>
      <w:r w:rsidRPr="002018AE">
        <w:rPr>
          <w:sz w:val="20"/>
          <w:szCs w:val="20"/>
        </w:rPr>
        <w:t xml:space="preserve">+ </w:t>
      </w:r>
      <w:proofErr w:type="spellStart"/>
      <w:r w:rsidRPr="002018AE">
        <w:rPr>
          <w:sz w:val="20"/>
          <w:szCs w:val="20"/>
        </w:rPr>
        <w:t>ε</w:t>
      </w:r>
      <w:r w:rsidRPr="002018AE">
        <w:rPr>
          <w:sz w:val="20"/>
          <w:szCs w:val="20"/>
          <w:vertAlign w:val="subscript"/>
        </w:rPr>
        <w:t>it</w:t>
      </w:r>
      <w:proofErr w:type="spellEnd"/>
      <w:r w:rsidRPr="002018AE">
        <w:rPr>
          <w:sz w:val="20"/>
          <w:szCs w:val="20"/>
          <w:vertAlign w:val="subscript"/>
        </w:rPr>
        <w:t xml:space="preserve">  </w:t>
      </w:r>
      <w:r w:rsidR="00537044">
        <w:rPr>
          <w:sz w:val="20"/>
          <w:szCs w:val="20"/>
          <w:vertAlign w:val="subscript"/>
        </w:rPr>
        <w:tab/>
      </w:r>
      <w:r w:rsidR="00537044">
        <w:rPr>
          <w:sz w:val="20"/>
          <w:szCs w:val="20"/>
          <w:vertAlign w:val="subscript"/>
        </w:rPr>
        <w:tab/>
      </w:r>
      <w:r w:rsidR="00537044">
        <w:rPr>
          <w:sz w:val="20"/>
          <w:szCs w:val="20"/>
          <w:vertAlign w:val="subscript"/>
        </w:rPr>
        <w:tab/>
      </w:r>
      <w:r w:rsidR="00537044">
        <w:rPr>
          <w:sz w:val="20"/>
          <w:szCs w:val="20"/>
          <w:vertAlign w:val="subscript"/>
        </w:rPr>
        <w:tab/>
      </w:r>
      <w:r w:rsidR="00537044">
        <w:rPr>
          <w:sz w:val="20"/>
          <w:szCs w:val="20"/>
          <w:vertAlign w:val="subscript"/>
        </w:rPr>
        <w:tab/>
      </w:r>
      <w:r w:rsidR="00537044">
        <w:rPr>
          <w:sz w:val="20"/>
          <w:szCs w:val="20"/>
          <w:vertAlign w:val="subscript"/>
        </w:rPr>
        <w:tab/>
      </w:r>
      <w:r w:rsidR="00537044">
        <w:rPr>
          <w:sz w:val="20"/>
          <w:szCs w:val="20"/>
          <w:vertAlign w:val="subscript"/>
        </w:rPr>
        <w:tab/>
      </w:r>
      <w:r w:rsidR="00537044">
        <w:rPr>
          <w:sz w:val="20"/>
          <w:szCs w:val="20"/>
          <w:vertAlign w:val="subscript"/>
        </w:rPr>
        <w:tab/>
      </w:r>
      <w:r w:rsidR="00537044">
        <w:rPr>
          <w:sz w:val="20"/>
          <w:szCs w:val="20"/>
          <w:vertAlign w:val="subscript"/>
        </w:rPr>
        <w:tab/>
      </w:r>
      <w:r w:rsidR="00537044">
        <w:rPr>
          <w:sz w:val="20"/>
          <w:szCs w:val="20"/>
          <w:vertAlign w:val="subscript"/>
        </w:rPr>
        <w:tab/>
      </w:r>
      <w:r w:rsidRPr="00537044">
        <w:rPr>
          <w:i/>
          <w:sz w:val="20"/>
          <w:szCs w:val="20"/>
        </w:rPr>
        <w:t>(4)</w:t>
      </w:r>
      <w:r w:rsidRPr="002018AE">
        <w:rPr>
          <w:sz w:val="20"/>
          <w:szCs w:val="20"/>
        </w:rPr>
        <w:t xml:space="preserve">   </w:t>
      </w:r>
    </w:p>
    <w:p w:rsidR="00CA3809" w:rsidRDefault="00CA3809" w:rsidP="002018AE">
      <w:pPr>
        <w:pStyle w:val="ListParagraph"/>
        <w:spacing w:line="360" w:lineRule="auto"/>
        <w:rPr>
          <w:sz w:val="20"/>
          <w:szCs w:val="20"/>
        </w:rPr>
      </w:pPr>
    </w:p>
    <w:p w:rsidR="00071A4A" w:rsidRDefault="00071A4A" w:rsidP="002018AE">
      <w:pPr>
        <w:pStyle w:val="ListParagraph"/>
        <w:spacing w:line="360" w:lineRule="auto"/>
        <w:rPr>
          <w:sz w:val="20"/>
          <w:szCs w:val="20"/>
        </w:rPr>
      </w:pPr>
    </w:p>
    <w:p w:rsidR="00071A4A" w:rsidRDefault="00071A4A" w:rsidP="002018AE">
      <w:pPr>
        <w:pStyle w:val="ListParagraph"/>
        <w:spacing w:line="360" w:lineRule="auto"/>
        <w:rPr>
          <w:sz w:val="20"/>
          <w:szCs w:val="20"/>
        </w:rPr>
      </w:pPr>
    </w:p>
    <w:p w:rsidR="00071A4A" w:rsidRDefault="00071A4A" w:rsidP="002018AE">
      <w:pPr>
        <w:pStyle w:val="ListParagraph"/>
        <w:spacing w:line="360" w:lineRule="auto"/>
        <w:rPr>
          <w:sz w:val="20"/>
          <w:szCs w:val="20"/>
        </w:rPr>
      </w:pPr>
    </w:p>
    <w:p w:rsidR="00071A4A" w:rsidRDefault="00071A4A" w:rsidP="002018AE">
      <w:pPr>
        <w:pStyle w:val="ListParagraph"/>
        <w:spacing w:line="360" w:lineRule="auto"/>
        <w:rPr>
          <w:sz w:val="20"/>
          <w:szCs w:val="20"/>
        </w:rPr>
      </w:pPr>
    </w:p>
    <w:p w:rsidR="00071A4A" w:rsidRPr="002018AE" w:rsidRDefault="00071A4A" w:rsidP="002018AE">
      <w:pPr>
        <w:pStyle w:val="ListParagraph"/>
        <w:spacing w:line="360" w:lineRule="auto"/>
        <w:rPr>
          <w:sz w:val="20"/>
          <w:szCs w:val="20"/>
        </w:rPr>
      </w:pPr>
    </w:p>
    <w:p w:rsidR="00762D1B" w:rsidRPr="00DD6628" w:rsidRDefault="00762D1B" w:rsidP="00DD6628">
      <w:pPr>
        <w:pStyle w:val="ListParagraph"/>
        <w:spacing w:line="360" w:lineRule="auto"/>
        <w:rPr>
          <w:i/>
          <w:sz w:val="20"/>
          <w:szCs w:val="20"/>
        </w:rPr>
      </w:pPr>
      <w:r w:rsidRPr="00071A4A">
        <w:rPr>
          <w:i/>
          <w:sz w:val="20"/>
          <w:szCs w:val="20"/>
        </w:rPr>
        <w:lastRenderedPageBreak/>
        <w:t>Post-Diagnostic Tests</w:t>
      </w:r>
    </w:p>
    <w:p w:rsidR="007E1FA1" w:rsidRPr="00DD6628" w:rsidRDefault="00BD52DF" w:rsidP="00DD6628">
      <w:pPr>
        <w:pStyle w:val="ListParagraph"/>
        <w:spacing w:line="360" w:lineRule="auto"/>
        <w:jc w:val="both"/>
        <w:rPr>
          <w:sz w:val="20"/>
          <w:szCs w:val="20"/>
        </w:rPr>
      </w:pPr>
      <w:r w:rsidRPr="00DD6628">
        <w:rPr>
          <w:sz w:val="20"/>
          <w:szCs w:val="20"/>
        </w:rPr>
        <w:t xml:space="preserve">This study is designed, not only to investigate the variables that determine firm performance in Nigeria, as has been the case in most of the previous studies, but to </w:t>
      </w:r>
      <w:r w:rsidR="00F555D7" w:rsidRPr="00DD6628">
        <w:rPr>
          <w:sz w:val="20"/>
          <w:szCs w:val="20"/>
        </w:rPr>
        <w:t xml:space="preserve">likewise </w:t>
      </w:r>
      <w:r w:rsidRPr="00DD6628">
        <w:rPr>
          <w:sz w:val="20"/>
          <w:szCs w:val="20"/>
        </w:rPr>
        <w:t xml:space="preserve">ascertain the relevance of these drivers of performance in the long </w:t>
      </w:r>
      <w:r w:rsidR="00F555D7">
        <w:rPr>
          <w:sz w:val="20"/>
          <w:szCs w:val="20"/>
        </w:rPr>
        <w:t>run</w:t>
      </w:r>
      <w:r w:rsidRPr="00DD6628">
        <w:rPr>
          <w:sz w:val="20"/>
          <w:szCs w:val="20"/>
        </w:rPr>
        <w:t xml:space="preserve">. Two sets of post-diagnostic examinations are conducted on the regression models using </w:t>
      </w:r>
      <w:r w:rsidR="00DD6628">
        <w:rPr>
          <w:sz w:val="20"/>
          <w:szCs w:val="20"/>
        </w:rPr>
        <w:t xml:space="preserve">the </w:t>
      </w:r>
      <w:r w:rsidR="002018AE" w:rsidRPr="00DD6628">
        <w:rPr>
          <w:i/>
          <w:sz w:val="20"/>
          <w:szCs w:val="20"/>
        </w:rPr>
        <w:t>augmented Dickey–Fuller (ADF)</w:t>
      </w:r>
      <w:r w:rsidR="002018AE" w:rsidRPr="00DD6628">
        <w:rPr>
          <w:sz w:val="20"/>
          <w:szCs w:val="20"/>
        </w:rPr>
        <w:t xml:space="preserve"> </w:t>
      </w:r>
      <w:r w:rsidRPr="00185F41">
        <w:rPr>
          <w:i/>
          <w:sz w:val="20"/>
          <w:szCs w:val="20"/>
        </w:rPr>
        <w:t>co-integration</w:t>
      </w:r>
      <w:r w:rsidRPr="00DD6628">
        <w:rPr>
          <w:sz w:val="20"/>
          <w:szCs w:val="20"/>
        </w:rPr>
        <w:t xml:space="preserve"> and </w:t>
      </w:r>
      <w:r w:rsidR="002018AE" w:rsidRPr="00DD6628">
        <w:rPr>
          <w:i/>
          <w:sz w:val="20"/>
          <w:szCs w:val="20"/>
        </w:rPr>
        <w:t>Theil inequality coefficient</w:t>
      </w:r>
      <w:r w:rsidR="002018AE" w:rsidRPr="00DD6628">
        <w:rPr>
          <w:sz w:val="20"/>
          <w:szCs w:val="20"/>
        </w:rPr>
        <w:t xml:space="preserve"> </w:t>
      </w:r>
      <w:r w:rsidRPr="00DD6628">
        <w:rPr>
          <w:sz w:val="20"/>
          <w:szCs w:val="20"/>
        </w:rPr>
        <w:t xml:space="preserve">forecast </w:t>
      </w:r>
      <w:r w:rsidR="002018AE" w:rsidRPr="00DD6628">
        <w:rPr>
          <w:sz w:val="20"/>
          <w:szCs w:val="20"/>
        </w:rPr>
        <w:t>tests.</w:t>
      </w:r>
      <w:r w:rsidRPr="00DD6628">
        <w:rPr>
          <w:sz w:val="20"/>
          <w:szCs w:val="20"/>
        </w:rPr>
        <w:t xml:space="preserve"> </w:t>
      </w:r>
      <w:r w:rsidR="00D6272A" w:rsidRPr="00DD6628">
        <w:rPr>
          <w:sz w:val="20"/>
          <w:szCs w:val="20"/>
        </w:rPr>
        <w:t>The co-integration test</w:t>
      </w:r>
      <w:r w:rsidR="00D6272A" w:rsidRPr="00DD6628">
        <w:rPr>
          <w:i/>
          <w:sz w:val="20"/>
          <w:szCs w:val="20"/>
        </w:rPr>
        <w:t xml:space="preserve"> </w:t>
      </w:r>
      <w:r w:rsidR="00D6272A" w:rsidRPr="00DD6628">
        <w:rPr>
          <w:sz w:val="20"/>
          <w:szCs w:val="20"/>
        </w:rPr>
        <w:t xml:space="preserve">covers every aspect of the entire model, both deterministic and non-deterministic variables. This extensiveness </w:t>
      </w:r>
      <w:r w:rsidR="002018AE" w:rsidRPr="00DD6628">
        <w:rPr>
          <w:sz w:val="20"/>
          <w:szCs w:val="20"/>
        </w:rPr>
        <w:t xml:space="preserve">facilitates the </w:t>
      </w:r>
      <w:r w:rsidR="00D6272A" w:rsidRPr="00DD6628">
        <w:rPr>
          <w:sz w:val="20"/>
          <w:szCs w:val="20"/>
        </w:rPr>
        <w:t>spot</w:t>
      </w:r>
      <w:r w:rsidR="002018AE" w:rsidRPr="00DD6628">
        <w:rPr>
          <w:sz w:val="20"/>
          <w:szCs w:val="20"/>
        </w:rPr>
        <w:t>ting</w:t>
      </w:r>
      <w:r w:rsidR="00D6272A" w:rsidRPr="00DD6628">
        <w:rPr>
          <w:sz w:val="20"/>
          <w:szCs w:val="20"/>
        </w:rPr>
        <w:t xml:space="preserve"> </w:t>
      </w:r>
      <w:r w:rsidR="002018AE" w:rsidRPr="00DD6628">
        <w:rPr>
          <w:sz w:val="20"/>
          <w:szCs w:val="20"/>
        </w:rPr>
        <w:t xml:space="preserve">of </w:t>
      </w:r>
      <w:r w:rsidR="00D6272A" w:rsidRPr="00DD6628">
        <w:rPr>
          <w:sz w:val="20"/>
          <w:szCs w:val="20"/>
        </w:rPr>
        <w:t xml:space="preserve">any potential spuriousness in the </w:t>
      </w:r>
      <w:r w:rsidR="002018AE" w:rsidRPr="00DD6628">
        <w:rPr>
          <w:sz w:val="20"/>
          <w:szCs w:val="20"/>
        </w:rPr>
        <w:t>regression</w:t>
      </w:r>
      <w:r w:rsidR="00D6272A" w:rsidRPr="00DD6628">
        <w:rPr>
          <w:sz w:val="20"/>
          <w:szCs w:val="20"/>
        </w:rPr>
        <w:t xml:space="preserve"> results </w:t>
      </w:r>
      <w:r w:rsidR="002018AE" w:rsidRPr="00DD6628">
        <w:rPr>
          <w:sz w:val="20"/>
          <w:szCs w:val="20"/>
        </w:rPr>
        <w:t xml:space="preserve">that were </w:t>
      </w:r>
      <w:r w:rsidR="00D6272A" w:rsidRPr="00DD6628">
        <w:rPr>
          <w:sz w:val="20"/>
          <w:szCs w:val="20"/>
        </w:rPr>
        <w:t>obtained across the two clusters</w:t>
      </w:r>
      <w:r w:rsidR="00C74171" w:rsidRPr="00DD6628">
        <w:rPr>
          <w:sz w:val="20"/>
          <w:szCs w:val="20"/>
        </w:rPr>
        <w:t xml:space="preserve"> (see: </w:t>
      </w:r>
      <w:proofErr w:type="spellStart"/>
      <w:r w:rsidR="00C74171" w:rsidRPr="00DD6628">
        <w:rPr>
          <w:sz w:val="20"/>
          <w:szCs w:val="20"/>
        </w:rPr>
        <w:t>Marmol</w:t>
      </w:r>
      <w:proofErr w:type="spellEnd"/>
      <w:r w:rsidR="00C74171" w:rsidRPr="00DD6628">
        <w:rPr>
          <w:sz w:val="20"/>
          <w:szCs w:val="20"/>
        </w:rPr>
        <w:t xml:space="preserve"> and Velasco 2004)</w:t>
      </w:r>
      <w:r w:rsidR="00D6272A" w:rsidRPr="00DD6628">
        <w:rPr>
          <w:sz w:val="20"/>
          <w:szCs w:val="20"/>
        </w:rPr>
        <w:t xml:space="preserve">. </w:t>
      </w:r>
      <w:r w:rsidR="00C74171" w:rsidRPr="00DD6628">
        <w:rPr>
          <w:sz w:val="20"/>
          <w:szCs w:val="20"/>
        </w:rPr>
        <w:t xml:space="preserve">The co-integration test was introduced to serves as a robustness check regarding the long-term sustainability of the model in explaining the causality between the board characteristics and performance measures as moderated by the macroeconomic variables. Interestingly, this approach was equally </w:t>
      </w:r>
      <w:r w:rsidR="00D6272A" w:rsidRPr="00DD6628">
        <w:rPr>
          <w:sz w:val="20"/>
          <w:szCs w:val="20"/>
        </w:rPr>
        <w:t xml:space="preserve">consistent </w:t>
      </w:r>
      <w:r w:rsidR="00C74171" w:rsidRPr="00DD6628">
        <w:rPr>
          <w:sz w:val="20"/>
          <w:szCs w:val="20"/>
        </w:rPr>
        <w:t xml:space="preserve">with those adopted in </w:t>
      </w:r>
      <w:r w:rsidR="00D6272A" w:rsidRPr="00DD6628">
        <w:rPr>
          <w:sz w:val="20"/>
          <w:szCs w:val="20"/>
        </w:rPr>
        <w:t>previous studies (</w:t>
      </w:r>
      <w:r w:rsidR="00C74171" w:rsidRPr="00DD6628">
        <w:rPr>
          <w:sz w:val="20"/>
          <w:szCs w:val="20"/>
        </w:rPr>
        <w:t xml:space="preserve">e.g. Rogers </w:t>
      </w:r>
      <w:r w:rsidR="00C74171" w:rsidRPr="00CF14A0">
        <w:rPr>
          <w:sz w:val="20"/>
          <w:szCs w:val="20"/>
        </w:rPr>
        <w:t>et al.</w:t>
      </w:r>
      <w:r w:rsidR="00C74171" w:rsidRPr="00DD6628">
        <w:rPr>
          <w:sz w:val="20"/>
          <w:szCs w:val="20"/>
        </w:rPr>
        <w:t xml:space="preserve"> 2008</w:t>
      </w:r>
      <w:r w:rsidR="00D6272A" w:rsidRPr="00DD6628">
        <w:rPr>
          <w:sz w:val="20"/>
          <w:szCs w:val="20"/>
        </w:rPr>
        <w:t>).</w:t>
      </w:r>
      <w:r w:rsidR="00DD6628" w:rsidRPr="00DD6628">
        <w:rPr>
          <w:sz w:val="20"/>
          <w:szCs w:val="20"/>
        </w:rPr>
        <w:t xml:space="preserve"> </w:t>
      </w:r>
      <w:r w:rsidR="007E1FA1" w:rsidRPr="00DD6628">
        <w:rPr>
          <w:sz w:val="20"/>
          <w:szCs w:val="20"/>
        </w:rPr>
        <w:t xml:space="preserve">The second post-diagnostic analysis, </w:t>
      </w:r>
      <w:r w:rsidR="007E1FA1" w:rsidRPr="000C5856">
        <w:rPr>
          <w:sz w:val="20"/>
          <w:szCs w:val="20"/>
        </w:rPr>
        <w:t>the Theil inequality coefficient</w:t>
      </w:r>
      <w:r w:rsidR="007E1FA1" w:rsidRPr="00DD6628">
        <w:rPr>
          <w:sz w:val="20"/>
          <w:szCs w:val="20"/>
        </w:rPr>
        <w:t xml:space="preserve"> forecast test was conducted to determine the reliability and predictive accuracy of the models across the three multidimensional performance measures (i.e. ROA, NPM and </w:t>
      </w:r>
      <w:r w:rsidR="007E1FA1" w:rsidRPr="00DD6628">
        <w:rPr>
          <w:i/>
          <w:sz w:val="20"/>
          <w:szCs w:val="20"/>
        </w:rPr>
        <w:t>Tobin’s q</w:t>
      </w:r>
      <w:r w:rsidR="007E1FA1" w:rsidRPr="00DD6628">
        <w:rPr>
          <w:sz w:val="20"/>
          <w:szCs w:val="20"/>
        </w:rPr>
        <w:t>).</w:t>
      </w:r>
      <w:r w:rsidR="00DD6628" w:rsidRPr="00DD6628">
        <w:rPr>
          <w:sz w:val="20"/>
          <w:szCs w:val="20"/>
        </w:rPr>
        <w:t xml:space="preserve"> The application of the Theil inequality coefficient is appropriate following the regression analysis to compare how far the actual model results are from the forecast. The coefficient is sub-divided into three measures: bias, variance and covariance. Whilst the forecast test is conducted for the three measures, statistical inferences regarding the precision </w:t>
      </w:r>
      <w:r w:rsidR="004A1739">
        <w:rPr>
          <w:sz w:val="20"/>
          <w:szCs w:val="20"/>
        </w:rPr>
        <w:t xml:space="preserve">and </w:t>
      </w:r>
      <w:r w:rsidR="00DD6628" w:rsidRPr="00DD6628">
        <w:rPr>
          <w:sz w:val="20"/>
          <w:szCs w:val="20"/>
        </w:rPr>
        <w:t xml:space="preserve">otherwise of the models </w:t>
      </w:r>
      <w:r w:rsidR="00480A31" w:rsidRPr="00DD6628">
        <w:rPr>
          <w:sz w:val="20"/>
          <w:szCs w:val="20"/>
        </w:rPr>
        <w:t>is</w:t>
      </w:r>
      <w:r w:rsidR="00DD6628" w:rsidRPr="00DD6628">
        <w:rPr>
          <w:sz w:val="20"/>
          <w:szCs w:val="20"/>
        </w:rPr>
        <w:t xml:space="preserve"> drawn using Theil’s outcome of bias component, which measures the systematic error in the forecast model (see: </w:t>
      </w:r>
      <w:proofErr w:type="spellStart"/>
      <w:r w:rsidR="00DD6628" w:rsidRPr="00DD6628">
        <w:rPr>
          <w:sz w:val="20"/>
          <w:szCs w:val="20"/>
        </w:rPr>
        <w:t>Ocram</w:t>
      </w:r>
      <w:proofErr w:type="spellEnd"/>
      <w:r w:rsidR="00DD6628" w:rsidRPr="00DD6628">
        <w:rPr>
          <w:sz w:val="20"/>
          <w:szCs w:val="20"/>
        </w:rPr>
        <w:t xml:space="preserve"> and </w:t>
      </w:r>
      <w:proofErr w:type="spellStart"/>
      <w:r w:rsidR="00DD6628" w:rsidRPr="00DD6628">
        <w:rPr>
          <w:sz w:val="20"/>
          <w:szCs w:val="20"/>
        </w:rPr>
        <w:t>Biekpe</w:t>
      </w:r>
      <w:proofErr w:type="spellEnd"/>
      <w:r w:rsidR="00DD6628" w:rsidRPr="00DD6628">
        <w:rPr>
          <w:sz w:val="20"/>
          <w:szCs w:val="20"/>
        </w:rPr>
        <w:t xml:space="preserve"> 2007).</w:t>
      </w:r>
    </w:p>
    <w:p w:rsidR="007E1FA1" w:rsidRDefault="007E1FA1" w:rsidP="009048D4">
      <w:pPr>
        <w:pStyle w:val="ListParagraph"/>
        <w:rPr>
          <w:sz w:val="16"/>
          <w:szCs w:val="16"/>
        </w:rPr>
      </w:pPr>
    </w:p>
    <w:p w:rsidR="00DD6628" w:rsidRPr="00607306" w:rsidRDefault="000C5856" w:rsidP="00607306">
      <w:pPr>
        <w:spacing w:line="360" w:lineRule="auto"/>
        <w:ind w:left="720"/>
        <w:jc w:val="both"/>
        <w:rPr>
          <w:b/>
          <w:sz w:val="20"/>
          <w:szCs w:val="20"/>
        </w:rPr>
      </w:pPr>
      <w:r w:rsidRPr="004E1ECE">
        <w:rPr>
          <w:b/>
          <w:sz w:val="20"/>
          <w:szCs w:val="20"/>
        </w:rPr>
        <w:t>Empirical Results and Discussions</w:t>
      </w:r>
    </w:p>
    <w:p w:rsidR="00750DD9" w:rsidRPr="00607306" w:rsidRDefault="00750DD9" w:rsidP="00607306">
      <w:pPr>
        <w:pStyle w:val="ListParagraph"/>
        <w:spacing w:line="360" w:lineRule="auto"/>
        <w:jc w:val="both"/>
        <w:rPr>
          <w:i/>
          <w:sz w:val="20"/>
          <w:szCs w:val="20"/>
        </w:rPr>
      </w:pPr>
      <w:r w:rsidRPr="00607306">
        <w:rPr>
          <w:i/>
          <w:sz w:val="20"/>
          <w:szCs w:val="20"/>
        </w:rPr>
        <w:t xml:space="preserve">Description Statistics </w:t>
      </w:r>
    </w:p>
    <w:p w:rsidR="00750DD9" w:rsidRDefault="00750DD9" w:rsidP="00607306">
      <w:pPr>
        <w:pStyle w:val="ListParagraph"/>
        <w:spacing w:line="360" w:lineRule="auto"/>
        <w:jc w:val="both"/>
        <w:rPr>
          <w:sz w:val="20"/>
          <w:szCs w:val="20"/>
        </w:rPr>
      </w:pPr>
      <w:r w:rsidRPr="00607306">
        <w:rPr>
          <w:sz w:val="20"/>
          <w:szCs w:val="20"/>
        </w:rPr>
        <w:t xml:space="preserve">As highlighted in the preceding section, Nigeria operates a unitary board system, typical of most Anglo-Saxon countries. The board of directors comprises both executives and NEDs. </w:t>
      </w:r>
      <w:r w:rsidR="002C5360" w:rsidRPr="00607306">
        <w:rPr>
          <w:sz w:val="20"/>
          <w:szCs w:val="20"/>
        </w:rPr>
        <w:t xml:space="preserve">The </w:t>
      </w:r>
      <w:r w:rsidR="002C5360" w:rsidRPr="00BF5F64">
        <w:rPr>
          <w:sz w:val="20"/>
          <w:szCs w:val="20"/>
        </w:rPr>
        <w:t>t</w:t>
      </w:r>
      <w:r w:rsidRPr="00BF5F64">
        <w:rPr>
          <w:sz w:val="20"/>
          <w:szCs w:val="20"/>
        </w:rPr>
        <w:t xml:space="preserve">able </w:t>
      </w:r>
      <w:r w:rsidR="002C5360" w:rsidRPr="00BF5F64">
        <w:rPr>
          <w:sz w:val="20"/>
          <w:szCs w:val="20"/>
        </w:rPr>
        <w:t>1</w:t>
      </w:r>
      <w:r w:rsidRPr="00BF5F64">
        <w:rPr>
          <w:sz w:val="20"/>
          <w:szCs w:val="20"/>
        </w:rPr>
        <w:t xml:space="preserve"> </w:t>
      </w:r>
      <w:r w:rsidRPr="00607306">
        <w:rPr>
          <w:sz w:val="20"/>
          <w:szCs w:val="20"/>
        </w:rPr>
        <w:t xml:space="preserve">below shows the descriptive statistics of the board characteristics for the sample of firms covered in this study. An average board size (BS) in Nigeria, is approximately ten, which is above the minimum of five specified in the SEC Code. </w:t>
      </w:r>
      <w:r w:rsidRPr="004E1ECE">
        <w:rPr>
          <w:sz w:val="20"/>
          <w:szCs w:val="20"/>
        </w:rPr>
        <w:t xml:space="preserve">It </w:t>
      </w:r>
      <w:r w:rsidR="004E1ECE" w:rsidRPr="004E1ECE">
        <w:rPr>
          <w:sz w:val="20"/>
          <w:szCs w:val="20"/>
        </w:rPr>
        <w:t>is likewise</w:t>
      </w:r>
      <w:r w:rsidR="009E17AD" w:rsidRPr="004E1ECE">
        <w:rPr>
          <w:sz w:val="20"/>
          <w:szCs w:val="20"/>
        </w:rPr>
        <w:t xml:space="preserve"> </w:t>
      </w:r>
      <w:r w:rsidRPr="004E1ECE">
        <w:rPr>
          <w:sz w:val="20"/>
          <w:szCs w:val="20"/>
        </w:rPr>
        <w:t>within the band recommended in some previous empirical studies (e.g. Lipton and Lorsch 1992).</w:t>
      </w:r>
      <w:r w:rsidRPr="00607306">
        <w:rPr>
          <w:sz w:val="20"/>
          <w:szCs w:val="20"/>
        </w:rPr>
        <w:t xml:space="preserve"> Board independence (BI), which measures the monitoring role played by the corporate board, shows an average of three NEDs, representing almost 30 per cent of the average board size of the firms in the sample. This implies adequate representation of outside independent directors who held less than 0.1 per cent of the shares. The SEC Code </w:t>
      </w:r>
      <w:r w:rsidR="006C7C7E" w:rsidRPr="00607306">
        <w:rPr>
          <w:sz w:val="20"/>
          <w:szCs w:val="20"/>
        </w:rPr>
        <w:t xml:space="preserve">had </w:t>
      </w:r>
      <w:r w:rsidRPr="00607306">
        <w:rPr>
          <w:sz w:val="20"/>
          <w:szCs w:val="20"/>
        </w:rPr>
        <w:t>recommend</w:t>
      </w:r>
      <w:r w:rsidR="006C7C7E" w:rsidRPr="00607306">
        <w:rPr>
          <w:sz w:val="20"/>
          <w:szCs w:val="20"/>
        </w:rPr>
        <w:t>ed</w:t>
      </w:r>
      <w:r w:rsidRPr="00607306">
        <w:rPr>
          <w:sz w:val="20"/>
          <w:szCs w:val="20"/>
        </w:rPr>
        <w:t xml:space="preserve"> the presence of at least one </w:t>
      </w:r>
      <w:r w:rsidR="004E1ECE">
        <w:rPr>
          <w:sz w:val="20"/>
          <w:szCs w:val="20"/>
        </w:rPr>
        <w:t xml:space="preserve">of </w:t>
      </w:r>
      <w:r w:rsidRPr="00607306">
        <w:rPr>
          <w:sz w:val="20"/>
          <w:szCs w:val="20"/>
        </w:rPr>
        <w:t>such independent director on the boards of listed firms. Therefore, it might not be out of place to conclude that the board monitoring role is crucial to shareholders in Nigeria.</w:t>
      </w:r>
    </w:p>
    <w:p w:rsidR="004E1ECE" w:rsidRDefault="004E1ECE" w:rsidP="00607306">
      <w:pPr>
        <w:pStyle w:val="ListParagraph"/>
        <w:spacing w:line="360" w:lineRule="auto"/>
        <w:jc w:val="both"/>
        <w:rPr>
          <w:sz w:val="20"/>
          <w:szCs w:val="20"/>
        </w:rPr>
      </w:pPr>
    </w:p>
    <w:p w:rsidR="004E1ECE" w:rsidRDefault="004E1ECE" w:rsidP="00607306">
      <w:pPr>
        <w:pStyle w:val="ListParagraph"/>
        <w:spacing w:line="360" w:lineRule="auto"/>
        <w:jc w:val="both"/>
        <w:rPr>
          <w:sz w:val="20"/>
          <w:szCs w:val="20"/>
        </w:rPr>
      </w:pPr>
    </w:p>
    <w:p w:rsidR="004E1ECE" w:rsidRDefault="004E1ECE" w:rsidP="00607306">
      <w:pPr>
        <w:pStyle w:val="ListParagraph"/>
        <w:spacing w:line="360" w:lineRule="auto"/>
        <w:jc w:val="both"/>
        <w:rPr>
          <w:sz w:val="20"/>
          <w:szCs w:val="20"/>
        </w:rPr>
      </w:pPr>
    </w:p>
    <w:p w:rsidR="004E1ECE" w:rsidRDefault="004E1ECE" w:rsidP="00607306">
      <w:pPr>
        <w:pStyle w:val="ListParagraph"/>
        <w:spacing w:line="360" w:lineRule="auto"/>
        <w:jc w:val="both"/>
        <w:rPr>
          <w:sz w:val="20"/>
          <w:szCs w:val="20"/>
        </w:rPr>
      </w:pPr>
    </w:p>
    <w:p w:rsidR="004E1ECE" w:rsidRPr="00607306" w:rsidRDefault="004E1ECE" w:rsidP="00607306">
      <w:pPr>
        <w:pStyle w:val="ListParagraph"/>
        <w:spacing w:line="360" w:lineRule="auto"/>
        <w:jc w:val="both"/>
        <w:rPr>
          <w:sz w:val="20"/>
          <w:szCs w:val="20"/>
        </w:rPr>
      </w:pPr>
    </w:p>
    <w:p w:rsidR="00750DD9" w:rsidRDefault="00750DD9" w:rsidP="00750DD9">
      <w:pPr>
        <w:tabs>
          <w:tab w:val="left" w:pos="1440"/>
        </w:tabs>
        <w:spacing w:line="360" w:lineRule="auto"/>
        <w:ind w:left="360"/>
        <w:jc w:val="both"/>
      </w:pPr>
    </w:p>
    <w:p w:rsidR="00750DD9" w:rsidRPr="00631A0C" w:rsidRDefault="00750DD9" w:rsidP="00631A0C">
      <w:pPr>
        <w:spacing w:line="360" w:lineRule="auto"/>
        <w:ind w:firstLine="720"/>
        <w:rPr>
          <w:sz w:val="20"/>
          <w:szCs w:val="20"/>
        </w:rPr>
      </w:pPr>
      <w:r w:rsidRPr="00631A0C">
        <w:rPr>
          <w:b/>
          <w:sz w:val="20"/>
          <w:szCs w:val="20"/>
        </w:rPr>
        <w:lastRenderedPageBreak/>
        <w:t xml:space="preserve">Table </w:t>
      </w:r>
      <w:r w:rsidR="00631A0C" w:rsidRPr="00631A0C">
        <w:rPr>
          <w:b/>
          <w:sz w:val="20"/>
          <w:szCs w:val="20"/>
        </w:rPr>
        <w:t>1</w:t>
      </w:r>
      <w:r w:rsidRPr="00631A0C">
        <w:rPr>
          <w:b/>
          <w:sz w:val="20"/>
          <w:szCs w:val="20"/>
        </w:rPr>
        <w:t xml:space="preserve">: </w:t>
      </w:r>
      <w:r w:rsidR="00631A0C" w:rsidRPr="00631A0C">
        <w:rPr>
          <w:sz w:val="20"/>
          <w:szCs w:val="20"/>
        </w:rPr>
        <w:t xml:space="preserve">Descriptive of </w:t>
      </w:r>
      <w:r w:rsidRPr="00631A0C">
        <w:rPr>
          <w:sz w:val="20"/>
          <w:szCs w:val="20"/>
        </w:rPr>
        <w:t>S</w:t>
      </w:r>
      <w:r w:rsidR="00631A0C" w:rsidRPr="00631A0C">
        <w:rPr>
          <w:sz w:val="20"/>
          <w:szCs w:val="20"/>
        </w:rPr>
        <w:t xml:space="preserve">tatistics </w:t>
      </w:r>
      <w:r w:rsidRPr="00631A0C">
        <w:rPr>
          <w:sz w:val="20"/>
          <w:szCs w:val="20"/>
        </w:rPr>
        <w:t>of Board Structure and Performance Measures</w:t>
      </w:r>
    </w:p>
    <w:tbl>
      <w:tblPr>
        <w:tblW w:w="8306" w:type="dxa"/>
        <w:tblInd w:w="725" w:type="dxa"/>
        <w:tblLook w:val="04A0" w:firstRow="1" w:lastRow="0" w:firstColumn="1" w:lastColumn="0" w:noHBand="0" w:noVBand="1"/>
      </w:tblPr>
      <w:tblGrid>
        <w:gridCol w:w="1228"/>
        <w:gridCol w:w="868"/>
        <w:gridCol w:w="1002"/>
        <w:gridCol w:w="868"/>
        <w:gridCol w:w="868"/>
        <w:gridCol w:w="868"/>
        <w:gridCol w:w="868"/>
        <w:gridCol w:w="868"/>
        <w:gridCol w:w="868"/>
      </w:tblGrid>
      <w:tr w:rsidR="00631A0C" w:rsidRPr="00631A0C" w:rsidTr="00631A0C">
        <w:trPr>
          <w:trHeight w:val="303"/>
        </w:trPr>
        <w:tc>
          <w:tcPr>
            <w:tcW w:w="1228" w:type="dxa"/>
            <w:tcBorders>
              <w:top w:val="single" w:sz="8" w:space="0" w:color="auto"/>
              <w:left w:val="nil"/>
              <w:bottom w:val="single" w:sz="8" w:space="0" w:color="auto"/>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Variables</w:t>
            </w:r>
          </w:p>
        </w:tc>
        <w:tc>
          <w:tcPr>
            <w:tcW w:w="868" w:type="dxa"/>
            <w:tcBorders>
              <w:top w:val="single" w:sz="8" w:space="0" w:color="auto"/>
              <w:left w:val="nil"/>
              <w:bottom w:val="single" w:sz="8" w:space="0" w:color="auto"/>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BS</w:t>
            </w:r>
          </w:p>
        </w:tc>
        <w:tc>
          <w:tcPr>
            <w:tcW w:w="1002" w:type="dxa"/>
            <w:tcBorders>
              <w:top w:val="single" w:sz="8" w:space="0" w:color="auto"/>
              <w:left w:val="nil"/>
              <w:bottom w:val="single" w:sz="8" w:space="0" w:color="auto"/>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AVGEXP</w:t>
            </w:r>
          </w:p>
        </w:tc>
        <w:tc>
          <w:tcPr>
            <w:tcW w:w="868" w:type="dxa"/>
            <w:tcBorders>
              <w:top w:val="single" w:sz="8" w:space="0" w:color="auto"/>
              <w:left w:val="nil"/>
              <w:bottom w:val="single" w:sz="8" w:space="0" w:color="auto"/>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BI</w:t>
            </w:r>
          </w:p>
        </w:tc>
        <w:tc>
          <w:tcPr>
            <w:tcW w:w="868" w:type="dxa"/>
            <w:tcBorders>
              <w:top w:val="single" w:sz="8" w:space="0" w:color="auto"/>
              <w:left w:val="nil"/>
              <w:bottom w:val="single" w:sz="8" w:space="0" w:color="auto"/>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DMBA</w:t>
            </w:r>
          </w:p>
        </w:tc>
        <w:tc>
          <w:tcPr>
            <w:tcW w:w="868" w:type="dxa"/>
            <w:tcBorders>
              <w:top w:val="single" w:sz="8" w:space="0" w:color="auto"/>
              <w:left w:val="nil"/>
              <w:bottom w:val="single" w:sz="8" w:space="0" w:color="auto"/>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ER</w:t>
            </w:r>
          </w:p>
        </w:tc>
        <w:tc>
          <w:tcPr>
            <w:tcW w:w="868" w:type="dxa"/>
            <w:tcBorders>
              <w:top w:val="single" w:sz="8" w:space="0" w:color="auto"/>
              <w:left w:val="nil"/>
              <w:bottom w:val="single" w:sz="8" w:space="0" w:color="auto"/>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ROA</w:t>
            </w:r>
          </w:p>
        </w:tc>
        <w:tc>
          <w:tcPr>
            <w:tcW w:w="868" w:type="dxa"/>
            <w:tcBorders>
              <w:top w:val="single" w:sz="8" w:space="0" w:color="auto"/>
              <w:left w:val="nil"/>
              <w:bottom w:val="single" w:sz="8" w:space="0" w:color="auto"/>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Tobin's q</w:t>
            </w:r>
          </w:p>
        </w:tc>
        <w:tc>
          <w:tcPr>
            <w:tcW w:w="868" w:type="dxa"/>
            <w:tcBorders>
              <w:top w:val="single" w:sz="8" w:space="0" w:color="auto"/>
              <w:left w:val="nil"/>
              <w:bottom w:val="single" w:sz="8" w:space="0" w:color="auto"/>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NPM</w:t>
            </w:r>
          </w:p>
        </w:tc>
      </w:tr>
      <w:tr w:rsidR="00631A0C" w:rsidRPr="00631A0C" w:rsidTr="00631A0C">
        <w:trPr>
          <w:trHeight w:val="289"/>
        </w:trPr>
        <w:tc>
          <w:tcPr>
            <w:tcW w:w="1228" w:type="dxa"/>
            <w:tcBorders>
              <w:top w:val="nil"/>
              <w:left w:val="nil"/>
              <w:bottom w:val="nil"/>
              <w:right w:val="nil"/>
            </w:tcBorders>
            <w:shd w:val="clear" w:color="000000" w:fill="FFFFFF"/>
            <w:noWrap/>
            <w:vAlign w:val="bottom"/>
            <w:hideMark/>
          </w:tcPr>
          <w:p w:rsidR="00631A0C" w:rsidRPr="00631A0C" w:rsidRDefault="00631A0C" w:rsidP="00631A0C">
            <w:pPr>
              <w:rPr>
                <w:rFonts w:eastAsia="Times New Roman"/>
                <w:color w:val="000000"/>
                <w:sz w:val="16"/>
                <w:szCs w:val="16"/>
                <w:lang w:val="en-GB" w:eastAsia="en-GB"/>
              </w:rPr>
            </w:pPr>
            <w:r w:rsidRPr="00631A0C">
              <w:rPr>
                <w:rFonts w:eastAsia="Times New Roman"/>
                <w:color w:val="000000"/>
                <w:sz w:val="16"/>
                <w:szCs w:val="16"/>
                <w:lang w:val="en-GB" w:eastAsia="en-GB"/>
              </w:rPr>
              <w:t>Minimum</w:t>
            </w:r>
          </w:p>
        </w:tc>
        <w:tc>
          <w:tcPr>
            <w:tcW w:w="868"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5</w:t>
            </w:r>
          </w:p>
        </w:tc>
        <w:tc>
          <w:tcPr>
            <w:tcW w:w="1002"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5.38</w:t>
            </w:r>
          </w:p>
        </w:tc>
        <w:tc>
          <w:tcPr>
            <w:tcW w:w="868"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0.00</w:t>
            </w:r>
          </w:p>
        </w:tc>
        <w:tc>
          <w:tcPr>
            <w:tcW w:w="868"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1.00</w:t>
            </w:r>
          </w:p>
        </w:tc>
        <w:tc>
          <w:tcPr>
            <w:tcW w:w="868"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2.00</w:t>
            </w:r>
          </w:p>
        </w:tc>
        <w:tc>
          <w:tcPr>
            <w:tcW w:w="868"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-2.15E4</w:t>
            </w:r>
          </w:p>
        </w:tc>
        <w:tc>
          <w:tcPr>
            <w:tcW w:w="868"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-150.27</w:t>
            </w:r>
          </w:p>
        </w:tc>
        <w:tc>
          <w:tcPr>
            <w:tcW w:w="868"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-3144</w:t>
            </w:r>
          </w:p>
        </w:tc>
      </w:tr>
      <w:tr w:rsidR="00631A0C" w:rsidRPr="00631A0C" w:rsidTr="00631A0C">
        <w:trPr>
          <w:trHeight w:val="289"/>
        </w:trPr>
        <w:tc>
          <w:tcPr>
            <w:tcW w:w="1228" w:type="dxa"/>
            <w:tcBorders>
              <w:top w:val="nil"/>
              <w:left w:val="nil"/>
              <w:bottom w:val="nil"/>
              <w:right w:val="nil"/>
            </w:tcBorders>
            <w:shd w:val="clear" w:color="000000" w:fill="FFFFFF"/>
            <w:noWrap/>
            <w:vAlign w:val="bottom"/>
            <w:hideMark/>
          </w:tcPr>
          <w:p w:rsidR="00631A0C" w:rsidRPr="00631A0C" w:rsidRDefault="00631A0C" w:rsidP="00631A0C">
            <w:pPr>
              <w:rPr>
                <w:rFonts w:eastAsia="Times New Roman"/>
                <w:color w:val="000000"/>
                <w:sz w:val="16"/>
                <w:szCs w:val="16"/>
                <w:lang w:val="en-GB" w:eastAsia="en-GB"/>
              </w:rPr>
            </w:pPr>
            <w:r w:rsidRPr="00631A0C">
              <w:rPr>
                <w:rFonts w:eastAsia="Times New Roman"/>
                <w:color w:val="000000"/>
                <w:sz w:val="16"/>
                <w:szCs w:val="16"/>
                <w:lang w:val="en-GB" w:eastAsia="en-GB"/>
              </w:rPr>
              <w:t>Maximum</w:t>
            </w:r>
          </w:p>
        </w:tc>
        <w:tc>
          <w:tcPr>
            <w:tcW w:w="868"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20</w:t>
            </w:r>
          </w:p>
        </w:tc>
        <w:tc>
          <w:tcPr>
            <w:tcW w:w="1002"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40.4</w:t>
            </w:r>
          </w:p>
        </w:tc>
        <w:tc>
          <w:tcPr>
            <w:tcW w:w="868"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9.00</w:t>
            </w:r>
          </w:p>
        </w:tc>
        <w:tc>
          <w:tcPr>
            <w:tcW w:w="868"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9.00</w:t>
            </w:r>
          </w:p>
        </w:tc>
        <w:tc>
          <w:tcPr>
            <w:tcW w:w="868"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20.00</w:t>
            </w:r>
          </w:p>
        </w:tc>
        <w:tc>
          <w:tcPr>
            <w:tcW w:w="868"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3206.96</w:t>
            </w:r>
          </w:p>
        </w:tc>
        <w:tc>
          <w:tcPr>
            <w:tcW w:w="868"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1206.22</w:t>
            </w:r>
          </w:p>
        </w:tc>
        <w:tc>
          <w:tcPr>
            <w:tcW w:w="868"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373.13</w:t>
            </w:r>
          </w:p>
        </w:tc>
      </w:tr>
      <w:tr w:rsidR="00631A0C" w:rsidRPr="00631A0C" w:rsidTr="00631A0C">
        <w:trPr>
          <w:trHeight w:val="289"/>
        </w:trPr>
        <w:tc>
          <w:tcPr>
            <w:tcW w:w="1228" w:type="dxa"/>
            <w:tcBorders>
              <w:top w:val="nil"/>
              <w:left w:val="nil"/>
              <w:bottom w:val="nil"/>
              <w:right w:val="nil"/>
            </w:tcBorders>
            <w:shd w:val="clear" w:color="000000" w:fill="FFFFFF"/>
            <w:noWrap/>
            <w:vAlign w:val="bottom"/>
            <w:hideMark/>
          </w:tcPr>
          <w:p w:rsidR="00631A0C" w:rsidRPr="00631A0C" w:rsidRDefault="00631A0C" w:rsidP="00631A0C">
            <w:pPr>
              <w:rPr>
                <w:rFonts w:eastAsia="Times New Roman"/>
                <w:color w:val="000000"/>
                <w:sz w:val="16"/>
                <w:szCs w:val="16"/>
                <w:lang w:val="en-GB" w:eastAsia="en-GB"/>
              </w:rPr>
            </w:pPr>
            <w:r w:rsidRPr="00631A0C">
              <w:rPr>
                <w:rFonts w:eastAsia="Times New Roman"/>
                <w:color w:val="000000"/>
                <w:sz w:val="16"/>
                <w:szCs w:val="16"/>
                <w:lang w:val="en-GB" w:eastAsia="en-GB"/>
              </w:rPr>
              <w:t xml:space="preserve">Mean </w:t>
            </w:r>
          </w:p>
        </w:tc>
        <w:tc>
          <w:tcPr>
            <w:tcW w:w="868"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9.57</w:t>
            </w:r>
          </w:p>
        </w:tc>
        <w:tc>
          <w:tcPr>
            <w:tcW w:w="1002"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20.32</w:t>
            </w:r>
          </w:p>
        </w:tc>
        <w:tc>
          <w:tcPr>
            <w:tcW w:w="868"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2.78</w:t>
            </w:r>
          </w:p>
        </w:tc>
        <w:tc>
          <w:tcPr>
            <w:tcW w:w="868"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2.57</w:t>
            </w:r>
          </w:p>
        </w:tc>
        <w:tc>
          <w:tcPr>
            <w:tcW w:w="868"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7.78</w:t>
            </w:r>
          </w:p>
        </w:tc>
        <w:tc>
          <w:tcPr>
            <w:tcW w:w="868"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-4.23</w:t>
            </w:r>
          </w:p>
        </w:tc>
        <w:tc>
          <w:tcPr>
            <w:tcW w:w="868"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8.97</w:t>
            </w:r>
          </w:p>
        </w:tc>
        <w:tc>
          <w:tcPr>
            <w:tcW w:w="868" w:type="dxa"/>
            <w:tcBorders>
              <w:top w:val="nil"/>
              <w:left w:val="nil"/>
              <w:bottom w:val="nil"/>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-1.77</w:t>
            </w:r>
          </w:p>
        </w:tc>
      </w:tr>
      <w:tr w:rsidR="00631A0C" w:rsidRPr="00631A0C" w:rsidTr="00631A0C">
        <w:trPr>
          <w:trHeight w:val="303"/>
        </w:trPr>
        <w:tc>
          <w:tcPr>
            <w:tcW w:w="1228" w:type="dxa"/>
            <w:tcBorders>
              <w:top w:val="nil"/>
              <w:left w:val="nil"/>
              <w:bottom w:val="single" w:sz="8" w:space="0" w:color="auto"/>
              <w:right w:val="nil"/>
            </w:tcBorders>
            <w:shd w:val="clear" w:color="000000" w:fill="FFFFFF"/>
            <w:noWrap/>
            <w:vAlign w:val="bottom"/>
            <w:hideMark/>
          </w:tcPr>
          <w:p w:rsidR="00631A0C" w:rsidRPr="00631A0C" w:rsidRDefault="00631A0C" w:rsidP="00631A0C">
            <w:pPr>
              <w:rPr>
                <w:rFonts w:eastAsia="Times New Roman"/>
                <w:color w:val="000000"/>
                <w:sz w:val="16"/>
                <w:szCs w:val="16"/>
                <w:lang w:val="en-GB" w:eastAsia="en-GB"/>
              </w:rPr>
            </w:pPr>
            <w:r w:rsidRPr="00631A0C">
              <w:rPr>
                <w:rFonts w:eastAsia="Times New Roman"/>
                <w:color w:val="000000"/>
                <w:sz w:val="16"/>
                <w:szCs w:val="16"/>
                <w:lang w:val="en-GB" w:eastAsia="en-GB"/>
              </w:rPr>
              <w:t>Std. Deviation</w:t>
            </w:r>
          </w:p>
        </w:tc>
        <w:tc>
          <w:tcPr>
            <w:tcW w:w="868" w:type="dxa"/>
            <w:tcBorders>
              <w:top w:val="nil"/>
              <w:left w:val="nil"/>
              <w:bottom w:val="single" w:sz="8" w:space="0" w:color="auto"/>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3.07</w:t>
            </w:r>
          </w:p>
        </w:tc>
        <w:tc>
          <w:tcPr>
            <w:tcW w:w="1002" w:type="dxa"/>
            <w:tcBorders>
              <w:top w:val="nil"/>
              <w:left w:val="nil"/>
              <w:bottom w:val="single" w:sz="8" w:space="0" w:color="auto"/>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7.37</w:t>
            </w:r>
          </w:p>
        </w:tc>
        <w:tc>
          <w:tcPr>
            <w:tcW w:w="868" w:type="dxa"/>
            <w:tcBorders>
              <w:top w:val="nil"/>
              <w:left w:val="nil"/>
              <w:bottom w:val="single" w:sz="8" w:space="0" w:color="auto"/>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1.81</w:t>
            </w:r>
          </w:p>
        </w:tc>
        <w:tc>
          <w:tcPr>
            <w:tcW w:w="868" w:type="dxa"/>
            <w:tcBorders>
              <w:top w:val="nil"/>
              <w:left w:val="nil"/>
              <w:bottom w:val="single" w:sz="8" w:space="0" w:color="auto"/>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1.71</w:t>
            </w:r>
          </w:p>
        </w:tc>
        <w:tc>
          <w:tcPr>
            <w:tcW w:w="868" w:type="dxa"/>
            <w:tcBorders>
              <w:top w:val="nil"/>
              <w:left w:val="nil"/>
              <w:bottom w:val="single" w:sz="8" w:space="0" w:color="auto"/>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3.54</w:t>
            </w:r>
          </w:p>
        </w:tc>
        <w:tc>
          <w:tcPr>
            <w:tcW w:w="868" w:type="dxa"/>
            <w:tcBorders>
              <w:top w:val="nil"/>
              <w:left w:val="nil"/>
              <w:bottom w:val="single" w:sz="8" w:space="0" w:color="auto"/>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1.2E3</w:t>
            </w:r>
          </w:p>
        </w:tc>
        <w:tc>
          <w:tcPr>
            <w:tcW w:w="868" w:type="dxa"/>
            <w:tcBorders>
              <w:top w:val="nil"/>
              <w:left w:val="nil"/>
              <w:bottom w:val="single" w:sz="8" w:space="0" w:color="auto"/>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7.1E1</w:t>
            </w:r>
          </w:p>
        </w:tc>
        <w:tc>
          <w:tcPr>
            <w:tcW w:w="868" w:type="dxa"/>
            <w:tcBorders>
              <w:top w:val="nil"/>
              <w:left w:val="nil"/>
              <w:bottom w:val="single" w:sz="8" w:space="0" w:color="auto"/>
              <w:right w:val="nil"/>
            </w:tcBorders>
            <w:shd w:val="clear" w:color="000000" w:fill="FFFFFF"/>
            <w:noWrap/>
            <w:vAlign w:val="bottom"/>
            <w:hideMark/>
          </w:tcPr>
          <w:p w:rsidR="00631A0C" w:rsidRPr="00631A0C" w:rsidRDefault="00631A0C" w:rsidP="00631A0C">
            <w:pPr>
              <w:jc w:val="center"/>
              <w:rPr>
                <w:rFonts w:eastAsia="Times New Roman"/>
                <w:color w:val="000000"/>
                <w:sz w:val="16"/>
                <w:szCs w:val="16"/>
                <w:lang w:val="en-GB" w:eastAsia="en-GB"/>
              </w:rPr>
            </w:pPr>
            <w:r w:rsidRPr="00631A0C">
              <w:rPr>
                <w:rFonts w:eastAsia="Times New Roman"/>
                <w:color w:val="000000"/>
                <w:sz w:val="16"/>
                <w:szCs w:val="16"/>
                <w:lang w:val="en-GB" w:eastAsia="en-GB"/>
              </w:rPr>
              <w:t>2.2E2</w:t>
            </w:r>
          </w:p>
        </w:tc>
      </w:tr>
    </w:tbl>
    <w:p w:rsidR="00631A0C" w:rsidRDefault="00631A0C" w:rsidP="00631A0C">
      <w:pPr>
        <w:spacing w:line="360" w:lineRule="auto"/>
        <w:ind w:firstLine="720"/>
      </w:pPr>
    </w:p>
    <w:p w:rsidR="00750DD9" w:rsidRPr="00521D6B" w:rsidRDefault="0009767F" w:rsidP="0009767F">
      <w:pPr>
        <w:pStyle w:val="ListParagraph"/>
        <w:spacing w:line="360" w:lineRule="auto"/>
        <w:jc w:val="both"/>
        <w:rPr>
          <w:sz w:val="20"/>
          <w:szCs w:val="20"/>
        </w:rPr>
      </w:pPr>
      <w:r w:rsidRPr="00DE2745">
        <w:rPr>
          <w:sz w:val="20"/>
          <w:szCs w:val="20"/>
        </w:rPr>
        <w:t>T</w:t>
      </w:r>
      <w:r w:rsidR="00750DD9" w:rsidRPr="00DE2745">
        <w:rPr>
          <w:sz w:val="20"/>
          <w:szCs w:val="20"/>
        </w:rPr>
        <w:t xml:space="preserve">he majority of companies in Nigeria have fully complied with the SEC recommendation </w:t>
      </w:r>
      <w:r w:rsidRPr="00DE2745">
        <w:rPr>
          <w:sz w:val="20"/>
          <w:szCs w:val="20"/>
        </w:rPr>
        <w:t xml:space="preserve">regarding </w:t>
      </w:r>
      <w:r w:rsidR="00750DD9" w:rsidRPr="00DE2745">
        <w:rPr>
          <w:sz w:val="20"/>
          <w:szCs w:val="20"/>
        </w:rPr>
        <w:t xml:space="preserve">the separation of power at the top corporate level. Approximately 98 per cent of the companies covered in this study have adopted clear CEO non-duality </w:t>
      </w:r>
      <w:r w:rsidRPr="00DE2745">
        <w:rPr>
          <w:sz w:val="20"/>
          <w:szCs w:val="20"/>
        </w:rPr>
        <w:t xml:space="preserve">with the positions of board chair and CEO occupied by two different individuals </w:t>
      </w:r>
      <w:r w:rsidR="00750DD9" w:rsidRPr="00DE2745">
        <w:rPr>
          <w:sz w:val="20"/>
          <w:szCs w:val="20"/>
        </w:rPr>
        <w:t>(see: Appendix 1).</w:t>
      </w:r>
      <w:r w:rsidR="00750DD9" w:rsidRPr="00521D6B">
        <w:rPr>
          <w:sz w:val="20"/>
          <w:szCs w:val="20"/>
        </w:rPr>
        <w:t xml:space="preserve"> The directors in the study sample have an average of twenty years’ experience, and a minimum of five years. At least three board members hold MBA, a cognitive qualification necessary for strategic business policy decision making (see: Hsu 2010; Bhagat </w:t>
      </w:r>
      <w:r w:rsidR="00750DD9" w:rsidRPr="00CF14A0">
        <w:rPr>
          <w:sz w:val="20"/>
          <w:szCs w:val="20"/>
        </w:rPr>
        <w:t>et al.</w:t>
      </w:r>
      <w:r w:rsidR="00750DD9" w:rsidRPr="00521D6B">
        <w:rPr>
          <w:sz w:val="20"/>
          <w:szCs w:val="20"/>
        </w:rPr>
        <w:t xml:space="preserve"> 2010). On average, eight directors on the boards of quoted companies in Nigeria are drawn from within the three major ethnic groups, namely Hausa/Fulani, Yoruba and Igbo. </w:t>
      </w:r>
    </w:p>
    <w:p w:rsidR="00750DD9" w:rsidRPr="00521D6B" w:rsidRDefault="00750DD9" w:rsidP="00D553ED">
      <w:pPr>
        <w:pStyle w:val="ListParagraph"/>
        <w:jc w:val="both"/>
        <w:rPr>
          <w:sz w:val="20"/>
          <w:szCs w:val="20"/>
        </w:rPr>
      </w:pPr>
    </w:p>
    <w:p w:rsidR="00750DD9" w:rsidRPr="00521D6B" w:rsidRDefault="00750DD9" w:rsidP="00E11D42">
      <w:pPr>
        <w:pStyle w:val="ListParagraph"/>
        <w:spacing w:line="360" w:lineRule="auto"/>
        <w:jc w:val="both"/>
        <w:rPr>
          <w:sz w:val="20"/>
          <w:szCs w:val="20"/>
        </w:rPr>
      </w:pPr>
      <w:r w:rsidRPr="00521D6B">
        <w:rPr>
          <w:sz w:val="20"/>
          <w:szCs w:val="20"/>
        </w:rPr>
        <w:t>Regarding the firm performance measures, the two accounting-based techniques, ROA and NPM, have negative average ratios of -4.23 and -1.77. These descriptive results imply that an average firm in the sample experienced negative financial performance over the period being investigated with regards to the management’s efficiency at utilising the firms’ assets and executi</w:t>
      </w:r>
      <w:r w:rsidR="00F722C0">
        <w:rPr>
          <w:sz w:val="20"/>
          <w:szCs w:val="20"/>
        </w:rPr>
        <w:t>o</w:t>
      </w:r>
      <w:r w:rsidRPr="00521D6B">
        <w:rPr>
          <w:sz w:val="20"/>
          <w:szCs w:val="20"/>
        </w:rPr>
        <w:t xml:space="preserve">n </w:t>
      </w:r>
      <w:r w:rsidR="00F722C0">
        <w:rPr>
          <w:sz w:val="20"/>
          <w:szCs w:val="20"/>
        </w:rPr>
        <w:t xml:space="preserve">of </w:t>
      </w:r>
      <w:r w:rsidRPr="00521D6B">
        <w:rPr>
          <w:sz w:val="20"/>
          <w:szCs w:val="20"/>
        </w:rPr>
        <w:t xml:space="preserve">marketing and distribution strategies. On the market value technique that measures the marketability of the firm in terms of investors’ sentiment towards the company’s stock, the </w:t>
      </w:r>
      <w:r w:rsidRPr="00521D6B">
        <w:rPr>
          <w:i/>
          <w:sz w:val="20"/>
          <w:szCs w:val="20"/>
        </w:rPr>
        <w:t>Tobin’s q</w:t>
      </w:r>
      <w:r w:rsidRPr="00521D6B">
        <w:rPr>
          <w:sz w:val="20"/>
          <w:szCs w:val="20"/>
        </w:rPr>
        <w:t xml:space="preserve"> is positive, with an average of 8.97 for the sample</w:t>
      </w:r>
      <w:r w:rsidRPr="00521D6B">
        <w:rPr>
          <w:i/>
          <w:sz w:val="20"/>
          <w:szCs w:val="20"/>
        </w:rPr>
        <w:t xml:space="preserve"> </w:t>
      </w:r>
      <w:r w:rsidRPr="00521D6B">
        <w:rPr>
          <w:sz w:val="20"/>
          <w:szCs w:val="20"/>
        </w:rPr>
        <w:t xml:space="preserve">of 127 firms </w:t>
      </w:r>
      <w:r w:rsidR="003B7806">
        <w:rPr>
          <w:sz w:val="20"/>
          <w:szCs w:val="20"/>
        </w:rPr>
        <w:t>investigated</w:t>
      </w:r>
      <w:r w:rsidRPr="00521D6B">
        <w:rPr>
          <w:sz w:val="20"/>
          <w:szCs w:val="20"/>
        </w:rPr>
        <w:t xml:space="preserve">. </w:t>
      </w:r>
    </w:p>
    <w:p w:rsidR="00E11D42" w:rsidRDefault="00E11D42" w:rsidP="00D553ED">
      <w:pPr>
        <w:pStyle w:val="ListParagraph"/>
        <w:jc w:val="both"/>
        <w:rPr>
          <w:i/>
          <w:sz w:val="20"/>
          <w:szCs w:val="20"/>
        </w:rPr>
      </w:pPr>
    </w:p>
    <w:p w:rsidR="00750DD9" w:rsidRPr="00521D6B" w:rsidRDefault="00750DD9" w:rsidP="0007268F">
      <w:pPr>
        <w:pStyle w:val="ListParagraph"/>
        <w:spacing w:line="360" w:lineRule="auto"/>
        <w:jc w:val="both"/>
        <w:rPr>
          <w:i/>
          <w:sz w:val="20"/>
          <w:szCs w:val="20"/>
        </w:rPr>
      </w:pPr>
      <w:r w:rsidRPr="00521D6B">
        <w:rPr>
          <w:i/>
          <w:sz w:val="20"/>
          <w:szCs w:val="20"/>
        </w:rPr>
        <w:t>Results of Pre-Diagnostic Tests</w:t>
      </w:r>
    </w:p>
    <w:p w:rsidR="00750DD9" w:rsidRPr="00521D6B" w:rsidRDefault="00750DD9" w:rsidP="00FA232F">
      <w:pPr>
        <w:pStyle w:val="ListParagraph"/>
        <w:spacing w:line="360" w:lineRule="auto"/>
        <w:jc w:val="both"/>
        <w:rPr>
          <w:sz w:val="20"/>
          <w:szCs w:val="20"/>
        </w:rPr>
      </w:pPr>
      <w:r w:rsidRPr="00DE2745">
        <w:rPr>
          <w:sz w:val="20"/>
          <w:szCs w:val="20"/>
        </w:rPr>
        <w:t>Chow breakpoint test was conducted on the pre- and post-SEC-Code board structure data. The p-value of the F-test showed that the F-statistic (0.424) was not statistically significant at the 5 per cent level (see: Appendix 2).</w:t>
      </w:r>
      <w:r w:rsidRPr="00521D6B">
        <w:rPr>
          <w:sz w:val="20"/>
          <w:szCs w:val="20"/>
        </w:rPr>
        <w:t xml:space="preserve"> As a result, the null hypothesis that H</w:t>
      </w:r>
      <w:r w:rsidRPr="00521D6B">
        <w:rPr>
          <w:sz w:val="20"/>
          <w:szCs w:val="20"/>
          <w:vertAlign w:val="subscript"/>
        </w:rPr>
        <w:t>0</w:t>
      </w:r>
      <w:r w:rsidRPr="00521D6B">
        <w:rPr>
          <w:sz w:val="20"/>
          <w:szCs w:val="20"/>
        </w:rPr>
        <w:t>:µ</w:t>
      </w:r>
      <w:r w:rsidRPr="00521D6B">
        <w:rPr>
          <w:sz w:val="20"/>
          <w:szCs w:val="20"/>
          <w:vertAlign w:val="subscript"/>
        </w:rPr>
        <w:t>1</w:t>
      </w:r>
      <w:r w:rsidRPr="00521D6B">
        <w:rPr>
          <w:sz w:val="20"/>
          <w:szCs w:val="20"/>
        </w:rPr>
        <w:t>=µ</w:t>
      </w:r>
      <w:r w:rsidRPr="00521D6B">
        <w:rPr>
          <w:sz w:val="20"/>
          <w:szCs w:val="20"/>
          <w:vertAlign w:val="subscript"/>
        </w:rPr>
        <w:t xml:space="preserve">2 </w:t>
      </w:r>
      <w:r w:rsidRPr="00521D6B">
        <w:rPr>
          <w:sz w:val="20"/>
          <w:szCs w:val="20"/>
        </w:rPr>
        <w:t>was not rejected</w:t>
      </w:r>
      <w:r w:rsidRPr="00521D6B">
        <w:rPr>
          <w:sz w:val="20"/>
          <w:szCs w:val="20"/>
          <w:vertAlign w:val="subscript"/>
        </w:rPr>
        <w:t>.</w:t>
      </w:r>
      <w:r w:rsidRPr="00521D6B">
        <w:rPr>
          <w:sz w:val="20"/>
          <w:szCs w:val="20"/>
        </w:rPr>
        <w:t xml:space="preserve"> Consequently, this study accepts that there is no significant difference in board structure between the periods before and after the SEC Code’s introduction, in the sample of listed companies investigated. This result is confirmed by the results of the CUSUM test on the breakpoint (shock), taken to be the 2004 financial year when the SEC Code became effective. The CUSUM graph shows that the trend stays within the acceptance region, which implies that the non-significant nature of the Chow breakpoint test result is sustainable over a long period </w:t>
      </w:r>
      <w:r w:rsidRPr="00083B90">
        <w:rPr>
          <w:sz w:val="20"/>
          <w:szCs w:val="20"/>
        </w:rPr>
        <w:t>(see: Appendix 3).</w:t>
      </w:r>
      <w:r w:rsidRPr="00521D6B">
        <w:rPr>
          <w:sz w:val="20"/>
          <w:szCs w:val="20"/>
        </w:rPr>
        <w:t xml:space="preserve"> Given the above result, the study is at liberty to use any of the partitioned data. Hence, the decision was made to adopt the post-Code data across the entire analysis (i.e. board structure data for the 2010 financial year). This approach is consistent with the methodology adopted in Tian and Lau, (2001), where the 1996 financial year was taken as the base year and some other similar studies (see: Chen </w:t>
      </w:r>
      <w:r w:rsidRPr="00CF14A0">
        <w:rPr>
          <w:sz w:val="20"/>
          <w:szCs w:val="20"/>
        </w:rPr>
        <w:t>et al.</w:t>
      </w:r>
      <w:r w:rsidRPr="00521D6B">
        <w:rPr>
          <w:sz w:val="20"/>
          <w:szCs w:val="20"/>
        </w:rPr>
        <w:t xml:space="preserve"> 2009). </w:t>
      </w:r>
    </w:p>
    <w:p w:rsidR="00750DD9" w:rsidRPr="00521D6B" w:rsidRDefault="00750DD9" w:rsidP="00D553ED">
      <w:pPr>
        <w:pStyle w:val="ListParagraph"/>
        <w:jc w:val="both"/>
        <w:rPr>
          <w:b/>
          <w:sz w:val="20"/>
          <w:szCs w:val="20"/>
        </w:rPr>
      </w:pPr>
    </w:p>
    <w:p w:rsidR="008D6E55" w:rsidRDefault="008D6E55" w:rsidP="00FB2AC8">
      <w:pPr>
        <w:pStyle w:val="ListParagraph"/>
        <w:spacing w:line="360" w:lineRule="auto"/>
        <w:jc w:val="both"/>
        <w:rPr>
          <w:sz w:val="20"/>
          <w:szCs w:val="20"/>
        </w:rPr>
      </w:pPr>
    </w:p>
    <w:p w:rsidR="008D6E55" w:rsidRDefault="008D6E55" w:rsidP="00FB2AC8">
      <w:pPr>
        <w:pStyle w:val="ListParagraph"/>
        <w:spacing w:line="360" w:lineRule="auto"/>
        <w:jc w:val="both"/>
        <w:rPr>
          <w:sz w:val="20"/>
          <w:szCs w:val="20"/>
        </w:rPr>
      </w:pPr>
    </w:p>
    <w:p w:rsidR="00750DD9" w:rsidRPr="00521D6B" w:rsidRDefault="00750DD9" w:rsidP="00FB2AC8">
      <w:pPr>
        <w:pStyle w:val="ListParagraph"/>
        <w:spacing w:line="360" w:lineRule="auto"/>
        <w:jc w:val="both"/>
        <w:rPr>
          <w:sz w:val="20"/>
          <w:szCs w:val="20"/>
        </w:rPr>
      </w:pPr>
      <w:r w:rsidRPr="00083B90">
        <w:rPr>
          <w:sz w:val="20"/>
          <w:szCs w:val="20"/>
        </w:rPr>
        <w:lastRenderedPageBreak/>
        <w:t>The normality test found the spread to be normally distributed around a zero mean and constant variance, except for the directors’ average number of years of experience (AVGexp) (see: Appendix 4).</w:t>
      </w:r>
      <w:r w:rsidRPr="00521D6B">
        <w:rPr>
          <w:sz w:val="20"/>
          <w:szCs w:val="20"/>
        </w:rPr>
        <w:t xml:space="preserve"> This result shows that the data collected for the purpose of this study are well spread and cut across the entire population under investigation. The implication is that the outcome derived from this empirical investigation is most likely to be free from the inherent heteroskedasticity problem often associated with non-randomly distributed data. When data are normally distributed, it is easier to observe statistically the degree of spread within the sample. The absence of abnormality in data usually leads to more credible regression results and better statistical inferences (see: </w:t>
      </w:r>
      <w:proofErr w:type="spellStart"/>
      <w:r w:rsidRPr="00521D6B">
        <w:rPr>
          <w:sz w:val="20"/>
          <w:szCs w:val="20"/>
        </w:rPr>
        <w:t>Razali</w:t>
      </w:r>
      <w:proofErr w:type="spellEnd"/>
      <w:r w:rsidRPr="00521D6B">
        <w:rPr>
          <w:sz w:val="20"/>
          <w:szCs w:val="20"/>
        </w:rPr>
        <w:t xml:space="preserve"> and </w:t>
      </w:r>
      <w:proofErr w:type="spellStart"/>
      <w:r w:rsidRPr="00521D6B">
        <w:rPr>
          <w:sz w:val="20"/>
          <w:szCs w:val="20"/>
        </w:rPr>
        <w:t>Wah</w:t>
      </w:r>
      <w:proofErr w:type="spellEnd"/>
      <w:r w:rsidRPr="00521D6B">
        <w:rPr>
          <w:sz w:val="20"/>
          <w:szCs w:val="20"/>
        </w:rPr>
        <w:t xml:space="preserve"> 2011). </w:t>
      </w:r>
    </w:p>
    <w:p w:rsidR="00750DD9" w:rsidRPr="00521D6B" w:rsidRDefault="00750DD9" w:rsidP="00D553ED">
      <w:pPr>
        <w:pStyle w:val="ListParagraph"/>
        <w:jc w:val="both"/>
        <w:rPr>
          <w:sz w:val="20"/>
          <w:szCs w:val="20"/>
        </w:rPr>
      </w:pPr>
    </w:p>
    <w:p w:rsidR="00750DD9" w:rsidRPr="00521D6B" w:rsidRDefault="00750DD9" w:rsidP="00FB2AC8">
      <w:pPr>
        <w:pStyle w:val="ListParagraph"/>
        <w:spacing w:line="360" w:lineRule="auto"/>
        <w:jc w:val="both"/>
        <w:rPr>
          <w:sz w:val="20"/>
          <w:szCs w:val="20"/>
        </w:rPr>
      </w:pPr>
      <w:r w:rsidRPr="00521D6B">
        <w:rPr>
          <w:sz w:val="20"/>
          <w:szCs w:val="20"/>
        </w:rPr>
        <w:t xml:space="preserve">Granger (1969) observed that the use of non-stationary variables can lead to spurious regression results. Therefore, both the dependent and independent variables used in this study were further subjected to stationarity tests, as described in the previous section (using Levin, Lin and Chu; </w:t>
      </w:r>
      <w:proofErr w:type="spellStart"/>
      <w:r w:rsidRPr="00521D6B">
        <w:rPr>
          <w:sz w:val="20"/>
          <w:szCs w:val="20"/>
        </w:rPr>
        <w:t>Pesaran</w:t>
      </w:r>
      <w:proofErr w:type="spellEnd"/>
      <w:r w:rsidRPr="00521D6B">
        <w:rPr>
          <w:sz w:val="20"/>
          <w:szCs w:val="20"/>
        </w:rPr>
        <w:t xml:space="preserve"> and Shin; ADF-Fisher chi-square; Philip, Peron and Fisher chi-square). The stationarity test results show that the country-level macroeconomic variables (i.e. level of economic growth and degree of economic openness) and </w:t>
      </w:r>
      <w:r w:rsidR="00FB2AC8">
        <w:rPr>
          <w:sz w:val="20"/>
          <w:szCs w:val="20"/>
        </w:rPr>
        <w:t xml:space="preserve">one of the </w:t>
      </w:r>
      <w:r w:rsidRPr="00521D6B">
        <w:rPr>
          <w:sz w:val="20"/>
          <w:szCs w:val="20"/>
        </w:rPr>
        <w:t xml:space="preserve">accounting </w:t>
      </w:r>
      <w:r w:rsidR="00FB2AC8" w:rsidRPr="00521D6B">
        <w:rPr>
          <w:sz w:val="20"/>
          <w:szCs w:val="20"/>
        </w:rPr>
        <w:t>measures</w:t>
      </w:r>
      <w:r w:rsidRPr="00521D6B">
        <w:rPr>
          <w:sz w:val="20"/>
          <w:szCs w:val="20"/>
        </w:rPr>
        <w:t xml:space="preserve"> of firm performance (NPM) are stationary at the first difference.</w:t>
      </w:r>
      <w:r w:rsidR="00FB2AC8">
        <w:rPr>
          <w:sz w:val="20"/>
          <w:szCs w:val="20"/>
        </w:rPr>
        <w:t xml:space="preserve"> </w:t>
      </w:r>
      <w:r w:rsidRPr="00521D6B">
        <w:rPr>
          <w:sz w:val="20"/>
          <w:szCs w:val="20"/>
        </w:rPr>
        <w:t xml:space="preserve">The proxies for board structure (i.e. board size, board independence, board experience, CEO duality, board professional qualifications and ethnic representation) and the control variables (i.e. leverage and firm size) are stationary </w:t>
      </w:r>
      <w:r w:rsidRPr="00121408">
        <w:rPr>
          <w:sz w:val="20"/>
          <w:szCs w:val="20"/>
        </w:rPr>
        <w:t xml:space="preserve">at level (see: Appendix </w:t>
      </w:r>
      <w:r w:rsidR="003C12D9">
        <w:rPr>
          <w:sz w:val="20"/>
          <w:szCs w:val="20"/>
        </w:rPr>
        <w:t>5</w:t>
      </w:r>
      <w:r w:rsidRPr="00121408">
        <w:rPr>
          <w:sz w:val="20"/>
          <w:szCs w:val="20"/>
        </w:rPr>
        <w:t>).</w:t>
      </w:r>
      <w:r w:rsidRPr="00521D6B">
        <w:rPr>
          <w:sz w:val="20"/>
          <w:szCs w:val="20"/>
        </w:rPr>
        <w:t xml:space="preserve"> The stationarity results validate the stability of the variables of interest used in the model, implying that the variables show no seasonality-driven behaviour but are rather stable over time. </w:t>
      </w:r>
    </w:p>
    <w:p w:rsidR="00750DD9" w:rsidRDefault="00750DD9" w:rsidP="00D553ED">
      <w:pPr>
        <w:pStyle w:val="ListParagraph"/>
        <w:jc w:val="both"/>
        <w:rPr>
          <w:sz w:val="20"/>
          <w:szCs w:val="20"/>
        </w:rPr>
      </w:pPr>
    </w:p>
    <w:p w:rsidR="00FB2AC8" w:rsidRDefault="00FB2AC8" w:rsidP="00D553ED">
      <w:pPr>
        <w:pStyle w:val="ListParagraph"/>
        <w:jc w:val="both"/>
        <w:rPr>
          <w:sz w:val="20"/>
          <w:szCs w:val="20"/>
        </w:rPr>
      </w:pPr>
    </w:p>
    <w:p w:rsidR="00750DD9" w:rsidRPr="006E7C77" w:rsidRDefault="00750DD9" w:rsidP="006E7C77">
      <w:pPr>
        <w:pStyle w:val="ListParagraph"/>
        <w:spacing w:line="360" w:lineRule="auto"/>
        <w:jc w:val="both"/>
        <w:rPr>
          <w:i/>
          <w:sz w:val="20"/>
          <w:szCs w:val="20"/>
        </w:rPr>
      </w:pPr>
      <w:r w:rsidRPr="006E7C77">
        <w:rPr>
          <w:i/>
          <w:sz w:val="20"/>
          <w:szCs w:val="20"/>
        </w:rPr>
        <w:t>Results of the Regressions</w:t>
      </w:r>
    </w:p>
    <w:p w:rsidR="00750DD9" w:rsidRPr="006E7C77" w:rsidRDefault="00750DD9" w:rsidP="006E7C77">
      <w:pPr>
        <w:pStyle w:val="ListParagraph"/>
        <w:spacing w:line="360" w:lineRule="auto"/>
        <w:jc w:val="both"/>
        <w:rPr>
          <w:sz w:val="20"/>
          <w:szCs w:val="20"/>
        </w:rPr>
      </w:pPr>
      <w:r w:rsidRPr="004415CE">
        <w:rPr>
          <w:sz w:val="20"/>
          <w:szCs w:val="20"/>
        </w:rPr>
        <w:t xml:space="preserve">Consistent with the proposed research methodology for the cluster one, performance measure was regressed against board variables without the inclusion of the macroeconomic variables </w:t>
      </w:r>
      <w:r w:rsidR="00BF5F64" w:rsidRPr="004415CE">
        <w:rPr>
          <w:sz w:val="20"/>
          <w:szCs w:val="20"/>
        </w:rPr>
        <w:t xml:space="preserve">(see: Table </w:t>
      </w:r>
      <w:r w:rsidRPr="004415CE">
        <w:rPr>
          <w:sz w:val="20"/>
          <w:szCs w:val="20"/>
        </w:rPr>
        <w:t>2).</w:t>
      </w:r>
      <w:r w:rsidRPr="006E7C77">
        <w:rPr>
          <w:sz w:val="20"/>
          <w:szCs w:val="20"/>
        </w:rPr>
        <w:t xml:space="preserve"> The explanatory power of the resulting base model was</w:t>
      </w:r>
      <w:r w:rsidR="009B5CE2" w:rsidRPr="006E7C77">
        <w:rPr>
          <w:sz w:val="20"/>
          <w:szCs w:val="20"/>
        </w:rPr>
        <w:t xml:space="preserve"> high, with an R² of </w:t>
      </w:r>
      <w:r w:rsidRPr="006E7C77">
        <w:rPr>
          <w:sz w:val="20"/>
          <w:szCs w:val="20"/>
        </w:rPr>
        <w:t xml:space="preserve">0.645, which signifies that the model explains over 60 per cent of the variations in firm performance as measured by </w:t>
      </w:r>
      <w:r w:rsidRPr="006E7C77">
        <w:rPr>
          <w:i/>
          <w:sz w:val="20"/>
          <w:szCs w:val="20"/>
        </w:rPr>
        <w:t>Tobin’s q</w:t>
      </w:r>
      <w:r w:rsidRPr="006E7C77">
        <w:rPr>
          <w:sz w:val="20"/>
          <w:szCs w:val="20"/>
        </w:rPr>
        <w:t xml:space="preserve">. The results of the base model regression show that the directors’ years of experience (AVGEXP) and board independence (BI) are positive and significantly associated with </w:t>
      </w:r>
      <w:r w:rsidRPr="006E7C77">
        <w:rPr>
          <w:i/>
          <w:sz w:val="20"/>
          <w:szCs w:val="20"/>
        </w:rPr>
        <w:t>Tobin’s q</w:t>
      </w:r>
      <w:r w:rsidRPr="006E7C77">
        <w:rPr>
          <w:sz w:val="20"/>
          <w:szCs w:val="20"/>
        </w:rPr>
        <w:t xml:space="preserve"> a measure of market value at the 5 per cent level. Board size (BS), CEO duality (CEODUAL), directors’ educational qualifications (</w:t>
      </w:r>
      <w:r w:rsidR="00CB3F4A" w:rsidRPr="006E7C77">
        <w:rPr>
          <w:sz w:val="20"/>
          <w:szCs w:val="20"/>
        </w:rPr>
        <w:t>D</w:t>
      </w:r>
      <w:r w:rsidRPr="006E7C77">
        <w:rPr>
          <w:sz w:val="20"/>
          <w:szCs w:val="20"/>
        </w:rPr>
        <w:t xml:space="preserve">MBA) and ethnic representation were also positively related to the performance measure but statistically insignificant. </w:t>
      </w:r>
    </w:p>
    <w:p w:rsidR="00750DD9" w:rsidRDefault="00750DD9" w:rsidP="00750DD9">
      <w:pPr>
        <w:spacing w:line="360" w:lineRule="auto"/>
        <w:ind w:left="360"/>
        <w:jc w:val="both"/>
      </w:pPr>
    </w:p>
    <w:p w:rsidR="00C27655" w:rsidRDefault="00C27655" w:rsidP="00750DD9">
      <w:pPr>
        <w:spacing w:line="360" w:lineRule="auto"/>
        <w:ind w:left="360"/>
        <w:jc w:val="both"/>
      </w:pPr>
    </w:p>
    <w:p w:rsidR="00486238" w:rsidRDefault="00486238" w:rsidP="00750DD9">
      <w:pPr>
        <w:spacing w:line="360" w:lineRule="auto"/>
        <w:ind w:left="360"/>
        <w:jc w:val="both"/>
      </w:pPr>
    </w:p>
    <w:p w:rsidR="00486238" w:rsidRDefault="00486238" w:rsidP="00750DD9">
      <w:pPr>
        <w:spacing w:line="360" w:lineRule="auto"/>
        <w:ind w:left="360"/>
        <w:jc w:val="both"/>
      </w:pPr>
    </w:p>
    <w:p w:rsidR="00486238" w:rsidRDefault="00486238" w:rsidP="00750DD9">
      <w:pPr>
        <w:spacing w:line="360" w:lineRule="auto"/>
        <w:ind w:left="360"/>
        <w:jc w:val="both"/>
      </w:pPr>
    </w:p>
    <w:p w:rsidR="00C27655" w:rsidRDefault="00C27655" w:rsidP="00750DD9">
      <w:pPr>
        <w:spacing w:line="360" w:lineRule="auto"/>
        <w:ind w:left="360"/>
        <w:jc w:val="both"/>
      </w:pPr>
    </w:p>
    <w:p w:rsidR="00C27655" w:rsidRDefault="00C27655" w:rsidP="00750DD9">
      <w:pPr>
        <w:spacing w:line="360" w:lineRule="auto"/>
        <w:ind w:left="360"/>
        <w:jc w:val="both"/>
      </w:pPr>
    </w:p>
    <w:p w:rsidR="00C27655" w:rsidRPr="005370D5" w:rsidRDefault="00C27655" w:rsidP="00750DD9">
      <w:pPr>
        <w:spacing w:line="360" w:lineRule="auto"/>
        <w:ind w:left="360"/>
        <w:jc w:val="both"/>
      </w:pPr>
    </w:p>
    <w:p w:rsidR="00750DD9" w:rsidRPr="00521D6B" w:rsidRDefault="00521D6B" w:rsidP="00750DD9">
      <w:pPr>
        <w:spacing w:line="360" w:lineRule="auto"/>
        <w:jc w:val="center"/>
        <w:rPr>
          <w:b/>
          <w:sz w:val="20"/>
          <w:szCs w:val="20"/>
        </w:rPr>
      </w:pPr>
      <w:r w:rsidRPr="00521D6B">
        <w:rPr>
          <w:b/>
          <w:sz w:val="20"/>
          <w:szCs w:val="20"/>
        </w:rPr>
        <w:lastRenderedPageBreak/>
        <w:t>Cluster 1</w:t>
      </w:r>
      <w:r w:rsidR="00750DD9" w:rsidRPr="00521D6B">
        <w:rPr>
          <w:b/>
          <w:sz w:val="20"/>
          <w:szCs w:val="20"/>
        </w:rPr>
        <w:t xml:space="preserve">: </w:t>
      </w:r>
      <w:r w:rsidRPr="00521D6B">
        <w:rPr>
          <w:sz w:val="20"/>
          <w:szCs w:val="20"/>
        </w:rPr>
        <w:t>Intermediate Multivariate Analysis</w:t>
      </w:r>
    </w:p>
    <w:p w:rsidR="00750DD9" w:rsidRPr="00521D6B" w:rsidRDefault="00750DD9" w:rsidP="00750DD9">
      <w:pPr>
        <w:spacing w:line="360" w:lineRule="auto"/>
        <w:ind w:left="709"/>
        <w:rPr>
          <w:sz w:val="20"/>
          <w:szCs w:val="20"/>
        </w:rPr>
      </w:pPr>
      <w:r w:rsidRPr="00521D6B">
        <w:rPr>
          <w:b/>
          <w:sz w:val="20"/>
          <w:szCs w:val="20"/>
        </w:rPr>
        <w:t>Table 2</w:t>
      </w:r>
      <w:r w:rsidRPr="00521D6B">
        <w:rPr>
          <w:sz w:val="20"/>
          <w:szCs w:val="20"/>
        </w:rPr>
        <w:t xml:space="preserve">: Board Features as Determinants of Firm Performance </w:t>
      </w:r>
    </w:p>
    <w:tbl>
      <w:tblPr>
        <w:tblW w:w="8662" w:type="dxa"/>
        <w:tblInd w:w="760" w:type="dxa"/>
        <w:tblLook w:val="04A0" w:firstRow="1" w:lastRow="0" w:firstColumn="1" w:lastColumn="0" w:noHBand="0" w:noVBand="1"/>
      </w:tblPr>
      <w:tblGrid>
        <w:gridCol w:w="1965"/>
        <w:gridCol w:w="916"/>
        <w:gridCol w:w="916"/>
        <w:gridCol w:w="916"/>
        <w:gridCol w:w="1011"/>
        <w:gridCol w:w="1011"/>
        <w:gridCol w:w="1011"/>
        <w:gridCol w:w="916"/>
      </w:tblGrid>
      <w:tr w:rsidR="00521D6B" w:rsidRPr="00521D6B" w:rsidTr="00D16B2B">
        <w:trPr>
          <w:trHeight w:val="300"/>
        </w:trPr>
        <w:tc>
          <w:tcPr>
            <w:tcW w:w="1965" w:type="dxa"/>
            <w:tcBorders>
              <w:top w:val="single" w:sz="8" w:space="0" w:color="auto"/>
              <w:left w:val="nil"/>
              <w:bottom w:val="nil"/>
              <w:right w:val="nil"/>
            </w:tcBorders>
            <w:shd w:val="clear" w:color="000000" w:fill="FFFFFF"/>
            <w:noWrap/>
            <w:vAlign w:val="center"/>
            <w:hideMark/>
          </w:tcPr>
          <w:p w:rsidR="00521D6B" w:rsidRPr="00521D6B" w:rsidRDefault="00521D6B" w:rsidP="00521D6B">
            <w:pPr>
              <w:rPr>
                <w:rFonts w:eastAsia="Times New Roman"/>
                <w:b/>
                <w:bCs/>
                <w:color w:val="000000"/>
                <w:sz w:val="20"/>
                <w:szCs w:val="20"/>
                <w:lang w:val="en-GB" w:eastAsia="en-GB"/>
              </w:rPr>
            </w:pPr>
            <w:r w:rsidRPr="00521D6B">
              <w:rPr>
                <w:rFonts w:eastAsia="Times New Roman"/>
                <w:b/>
                <w:bCs/>
                <w:color w:val="000000"/>
                <w:sz w:val="20"/>
                <w:szCs w:val="20"/>
                <w:lang w:val="en-GB" w:eastAsia="en-GB"/>
              </w:rPr>
              <w:t>Variable</w:t>
            </w:r>
          </w:p>
        </w:tc>
        <w:tc>
          <w:tcPr>
            <w:tcW w:w="2748" w:type="dxa"/>
            <w:gridSpan w:val="3"/>
            <w:tcBorders>
              <w:top w:val="single" w:sz="8" w:space="0" w:color="auto"/>
              <w:left w:val="nil"/>
              <w:bottom w:val="nil"/>
              <w:right w:val="nil"/>
            </w:tcBorders>
            <w:shd w:val="clear" w:color="000000" w:fill="FFFFFF"/>
            <w:noWrap/>
            <w:vAlign w:val="bottom"/>
            <w:hideMark/>
          </w:tcPr>
          <w:p w:rsidR="00521D6B" w:rsidRPr="00521D6B" w:rsidRDefault="00521D6B" w:rsidP="00521D6B">
            <w:pPr>
              <w:jc w:val="center"/>
              <w:rPr>
                <w:rFonts w:eastAsia="Times New Roman"/>
                <w:b/>
                <w:bCs/>
                <w:color w:val="000000"/>
                <w:sz w:val="20"/>
                <w:szCs w:val="20"/>
                <w:lang w:val="en-GB" w:eastAsia="en-GB"/>
              </w:rPr>
            </w:pPr>
            <w:r w:rsidRPr="00521D6B">
              <w:rPr>
                <w:rFonts w:eastAsia="Times New Roman"/>
                <w:b/>
                <w:bCs/>
                <w:color w:val="000000"/>
                <w:sz w:val="20"/>
                <w:szCs w:val="20"/>
                <w:lang w:val="en-GB" w:eastAsia="en-GB"/>
              </w:rPr>
              <w:t xml:space="preserve">Base Model (Tobin's </w:t>
            </w:r>
            <w:r w:rsidRPr="00521D6B">
              <w:rPr>
                <w:rFonts w:eastAsia="Times New Roman"/>
                <w:b/>
                <w:bCs/>
                <w:i/>
                <w:iCs/>
                <w:color w:val="000000"/>
                <w:sz w:val="20"/>
                <w:szCs w:val="20"/>
                <w:lang w:val="en-GB" w:eastAsia="en-GB"/>
              </w:rPr>
              <w:t>q)</w:t>
            </w:r>
          </w:p>
        </w:tc>
        <w:tc>
          <w:tcPr>
            <w:tcW w:w="3033" w:type="dxa"/>
            <w:gridSpan w:val="3"/>
            <w:tcBorders>
              <w:top w:val="single" w:sz="8" w:space="0" w:color="auto"/>
              <w:left w:val="nil"/>
              <w:bottom w:val="nil"/>
              <w:right w:val="nil"/>
            </w:tcBorders>
            <w:shd w:val="clear" w:color="000000" w:fill="FFFFFF"/>
            <w:noWrap/>
            <w:vAlign w:val="bottom"/>
            <w:hideMark/>
          </w:tcPr>
          <w:p w:rsidR="00521D6B" w:rsidRPr="00521D6B" w:rsidRDefault="00521D6B" w:rsidP="00521D6B">
            <w:pPr>
              <w:jc w:val="center"/>
              <w:rPr>
                <w:rFonts w:eastAsia="Times New Roman"/>
                <w:b/>
                <w:bCs/>
                <w:color w:val="000000"/>
                <w:sz w:val="20"/>
                <w:szCs w:val="20"/>
                <w:lang w:val="en-GB" w:eastAsia="en-GB"/>
              </w:rPr>
            </w:pPr>
            <w:r w:rsidRPr="00521D6B">
              <w:rPr>
                <w:rFonts w:eastAsia="Times New Roman"/>
                <w:b/>
                <w:bCs/>
                <w:color w:val="000000"/>
                <w:sz w:val="20"/>
                <w:szCs w:val="20"/>
                <w:lang w:val="en-GB" w:eastAsia="en-GB"/>
              </w:rPr>
              <w:t>Sensitivity Model (NPM)</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521D6B" w:rsidTr="00521D6B">
        <w:trPr>
          <w:trHeight w:val="30"/>
        </w:trPr>
        <w:tc>
          <w:tcPr>
            <w:tcW w:w="1965" w:type="dxa"/>
            <w:tcBorders>
              <w:top w:val="nil"/>
              <w:left w:val="nil"/>
              <w:bottom w:val="single" w:sz="8" w:space="0" w:color="auto"/>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c>
          <w:tcPr>
            <w:tcW w:w="916" w:type="dxa"/>
            <w:tcBorders>
              <w:top w:val="nil"/>
              <w:left w:val="nil"/>
              <w:bottom w:val="single" w:sz="8" w:space="0" w:color="auto"/>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c>
          <w:tcPr>
            <w:tcW w:w="916" w:type="dxa"/>
            <w:tcBorders>
              <w:top w:val="nil"/>
              <w:left w:val="nil"/>
              <w:bottom w:val="single" w:sz="8" w:space="0" w:color="auto"/>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c>
          <w:tcPr>
            <w:tcW w:w="916" w:type="dxa"/>
            <w:tcBorders>
              <w:top w:val="nil"/>
              <w:left w:val="nil"/>
              <w:bottom w:val="single" w:sz="8" w:space="0" w:color="auto"/>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c>
          <w:tcPr>
            <w:tcW w:w="1011" w:type="dxa"/>
            <w:tcBorders>
              <w:top w:val="nil"/>
              <w:left w:val="nil"/>
              <w:bottom w:val="single" w:sz="8" w:space="0" w:color="auto"/>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c>
          <w:tcPr>
            <w:tcW w:w="1011" w:type="dxa"/>
            <w:tcBorders>
              <w:top w:val="nil"/>
              <w:left w:val="nil"/>
              <w:bottom w:val="single" w:sz="8" w:space="0" w:color="auto"/>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c>
          <w:tcPr>
            <w:tcW w:w="1011" w:type="dxa"/>
            <w:tcBorders>
              <w:top w:val="nil"/>
              <w:left w:val="nil"/>
              <w:bottom w:val="single" w:sz="8" w:space="0" w:color="auto"/>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521D6B" w:rsidTr="00D16B2B">
        <w:trPr>
          <w:trHeight w:val="315"/>
        </w:trPr>
        <w:tc>
          <w:tcPr>
            <w:tcW w:w="1965"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 </w:t>
            </w:r>
          </w:p>
        </w:tc>
        <w:tc>
          <w:tcPr>
            <w:tcW w:w="2748" w:type="dxa"/>
            <w:gridSpan w:val="3"/>
            <w:tcBorders>
              <w:top w:val="single" w:sz="8" w:space="0" w:color="auto"/>
              <w:left w:val="nil"/>
              <w:bottom w:val="single" w:sz="8" w:space="0" w:color="auto"/>
              <w:right w:val="nil"/>
            </w:tcBorders>
            <w:shd w:val="clear" w:color="000000" w:fill="FFFFFF"/>
            <w:noWrap/>
            <w:vAlign w:val="bottom"/>
            <w:hideMark/>
          </w:tcPr>
          <w:p w:rsidR="00521D6B" w:rsidRPr="00521D6B" w:rsidRDefault="00521D6B" w:rsidP="00521D6B">
            <w:pPr>
              <w:jc w:val="center"/>
              <w:rPr>
                <w:rFonts w:eastAsia="Times New Roman"/>
                <w:i/>
                <w:iCs/>
                <w:color w:val="000000"/>
                <w:sz w:val="20"/>
                <w:szCs w:val="20"/>
                <w:lang w:val="en-GB" w:eastAsia="en-GB"/>
              </w:rPr>
            </w:pPr>
            <w:r w:rsidRPr="00521D6B">
              <w:rPr>
                <w:rFonts w:eastAsia="Times New Roman"/>
                <w:i/>
                <w:iCs/>
                <w:color w:val="000000"/>
                <w:sz w:val="20"/>
                <w:szCs w:val="20"/>
                <w:lang w:val="en-GB" w:eastAsia="en-GB"/>
              </w:rPr>
              <w:t>OLS Result</w:t>
            </w:r>
          </w:p>
        </w:tc>
        <w:tc>
          <w:tcPr>
            <w:tcW w:w="3033" w:type="dxa"/>
            <w:gridSpan w:val="3"/>
            <w:tcBorders>
              <w:top w:val="single" w:sz="8" w:space="0" w:color="auto"/>
              <w:left w:val="nil"/>
              <w:bottom w:val="single" w:sz="8" w:space="0" w:color="auto"/>
              <w:right w:val="nil"/>
            </w:tcBorders>
            <w:shd w:val="clear" w:color="000000" w:fill="FFFFFF"/>
            <w:noWrap/>
            <w:vAlign w:val="bottom"/>
            <w:hideMark/>
          </w:tcPr>
          <w:p w:rsidR="00521D6B" w:rsidRPr="00521D6B" w:rsidRDefault="00521D6B" w:rsidP="00521D6B">
            <w:pPr>
              <w:jc w:val="center"/>
              <w:rPr>
                <w:rFonts w:eastAsia="Times New Roman"/>
                <w:i/>
                <w:iCs/>
                <w:color w:val="000000"/>
                <w:sz w:val="20"/>
                <w:szCs w:val="20"/>
                <w:lang w:val="en-GB" w:eastAsia="en-GB"/>
              </w:rPr>
            </w:pPr>
            <w:r w:rsidRPr="00521D6B">
              <w:rPr>
                <w:rFonts w:eastAsia="Times New Roman"/>
                <w:i/>
                <w:iCs/>
                <w:color w:val="000000"/>
                <w:sz w:val="20"/>
                <w:szCs w:val="20"/>
                <w:lang w:val="en-GB" w:eastAsia="en-GB"/>
              </w:rPr>
              <w:t>OLS Result</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521D6B" w:rsidTr="00D16B2B">
        <w:trPr>
          <w:trHeight w:val="300"/>
        </w:trPr>
        <w:tc>
          <w:tcPr>
            <w:tcW w:w="1965"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Constant</w:t>
            </w:r>
          </w:p>
        </w:tc>
        <w:tc>
          <w:tcPr>
            <w:tcW w:w="2748"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color w:val="000000"/>
                <w:sz w:val="20"/>
                <w:szCs w:val="20"/>
                <w:lang w:val="en-GB" w:eastAsia="en-GB"/>
              </w:rPr>
            </w:pPr>
            <w:r w:rsidRPr="00521D6B">
              <w:rPr>
                <w:rFonts w:eastAsia="Times New Roman"/>
                <w:color w:val="000000"/>
                <w:sz w:val="20"/>
                <w:szCs w:val="20"/>
                <w:lang w:val="en-GB" w:eastAsia="en-GB"/>
              </w:rPr>
              <w:t>0.009</w:t>
            </w:r>
          </w:p>
        </w:tc>
        <w:tc>
          <w:tcPr>
            <w:tcW w:w="3033" w:type="dxa"/>
            <w:gridSpan w:val="3"/>
            <w:tcBorders>
              <w:top w:val="single" w:sz="8" w:space="0" w:color="auto"/>
              <w:left w:val="nil"/>
              <w:bottom w:val="nil"/>
              <w:right w:val="nil"/>
            </w:tcBorders>
            <w:shd w:val="clear" w:color="000000" w:fill="FFFFFF"/>
            <w:noWrap/>
            <w:vAlign w:val="bottom"/>
            <w:hideMark/>
          </w:tcPr>
          <w:p w:rsidR="00521D6B" w:rsidRPr="00521D6B" w:rsidRDefault="00521D6B" w:rsidP="00521D6B">
            <w:pPr>
              <w:jc w:val="center"/>
              <w:rPr>
                <w:rFonts w:eastAsia="Times New Roman"/>
                <w:color w:val="000000"/>
                <w:sz w:val="20"/>
                <w:szCs w:val="20"/>
                <w:lang w:val="en-GB" w:eastAsia="en-GB"/>
              </w:rPr>
            </w:pPr>
            <w:r w:rsidRPr="00521D6B">
              <w:rPr>
                <w:rFonts w:eastAsia="Times New Roman"/>
                <w:color w:val="000000"/>
                <w:sz w:val="20"/>
                <w:szCs w:val="20"/>
                <w:lang w:val="en-GB" w:eastAsia="en-GB"/>
              </w:rPr>
              <w:t>-0.006</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521D6B" w:rsidTr="00D16B2B">
        <w:trPr>
          <w:trHeight w:val="300"/>
        </w:trPr>
        <w:tc>
          <w:tcPr>
            <w:tcW w:w="1965"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 </w:t>
            </w:r>
          </w:p>
        </w:tc>
        <w:tc>
          <w:tcPr>
            <w:tcW w:w="2748"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i/>
                <w:iCs/>
                <w:color w:val="000000"/>
                <w:sz w:val="20"/>
                <w:szCs w:val="20"/>
                <w:lang w:val="en-GB" w:eastAsia="en-GB"/>
              </w:rPr>
            </w:pPr>
            <w:r w:rsidRPr="00521D6B">
              <w:rPr>
                <w:rFonts w:eastAsia="Times New Roman"/>
                <w:i/>
                <w:iCs/>
                <w:color w:val="000000"/>
                <w:sz w:val="20"/>
                <w:szCs w:val="20"/>
                <w:lang w:val="en-GB" w:eastAsia="en-GB"/>
              </w:rPr>
              <w:t>(0.144)</w:t>
            </w:r>
          </w:p>
        </w:tc>
        <w:tc>
          <w:tcPr>
            <w:tcW w:w="3033"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i/>
                <w:iCs/>
                <w:color w:val="000000"/>
                <w:sz w:val="20"/>
                <w:szCs w:val="20"/>
                <w:lang w:val="en-GB" w:eastAsia="en-GB"/>
              </w:rPr>
            </w:pPr>
            <w:r w:rsidRPr="00521D6B">
              <w:rPr>
                <w:rFonts w:eastAsia="Times New Roman"/>
                <w:i/>
                <w:iCs/>
                <w:color w:val="000000"/>
                <w:sz w:val="20"/>
                <w:szCs w:val="20"/>
                <w:lang w:val="en-GB" w:eastAsia="en-GB"/>
              </w:rPr>
              <w:t>(-0.104)</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521D6B" w:rsidTr="00D16B2B">
        <w:trPr>
          <w:trHeight w:val="300"/>
        </w:trPr>
        <w:tc>
          <w:tcPr>
            <w:tcW w:w="1965"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BS</w:t>
            </w:r>
          </w:p>
        </w:tc>
        <w:tc>
          <w:tcPr>
            <w:tcW w:w="2748"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color w:val="000000"/>
                <w:sz w:val="20"/>
                <w:szCs w:val="20"/>
                <w:lang w:val="en-GB" w:eastAsia="en-GB"/>
              </w:rPr>
            </w:pPr>
            <w:r w:rsidRPr="00521D6B">
              <w:rPr>
                <w:rFonts w:eastAsia="Times New Roman"/>
                <w:color w:val="000000"/>
                <w:sz w:val="20"/>
                <w:szCs w:val="20"/>
                <w:lang w:val="en-GB" w:eastAsia="en-GB"/>
              </w:rPr>
              <w:t>0.077</w:t>
            </w:r>
          </w:p>
        </w:tc>
        <w:tc>
          <w:tcPr>
            <w:tcW w:w="3033"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color w:val="000000"/>
                <w:sz w:val="20"/>
                <w:szCs w:val="20"/>
                <w:lang w:val="en-GB" w:eastAsia="en-GB"/>
              </w:rPr>
            </w:pPr>
            <w:r w:rsidRPr="00521D6B">
              <w:rPr>
                <w:rFonts w:eastAsia="Times New Roman"/>
                <w:color w:val="000000"/>
                <w:sz w:val="20"/>
                <w:szCs w:val="20"/>
                <w:lang w:val="en-GB" w:eastAsia="en-GB"/>
              </w:rPr>
              <w:t>0.076</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521D6B" w:rsidTr="00D16B2B">
        <w:trPr>
          <w:trHeight w:val="300"/>
        </w:trPr>
        <w:tc>
          <w:tcPr>
            <w:tcW w:w="1965"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 </w:t>
            </w:r>
          </w:p>
        </w:tc>
        <w:tc>
          <w:tcPr>
            <w:tcW w:w="2748"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i/>
                <w:iCs/>
                <w:color w:val="000000"/>
                <w:sz w:val="20"/>
                <w:szCs w:val="20"/>
                <w:lang w:val="en-GB" w:eastAsia="en-GB"/>
              </w:rPr>
            </w:pPr>
            <w:r w:rsidRPr="00521D6B">
              <w:rPr>
                <w:rFonts w:eastAsia="Times New Roman"/>
                <w:i/>
                <w:iCs/>
                <w:color w:val="000000"/>
                <w:sz w:val="20"/>
                <w:szCs w:val="20"/>
                <w:lang w:val="en-GB" w:eastAsia="en-GB"/>
              </w:rPr>
              <w:t>(0.728)</w:t>
            </w:r>
          </w:p>
        </w:tc>
        <w:tc>
          <w:tcPr>
            <w:tcW w:w="3033"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i/>
                <w:iCs/>
                <w:color w:val="000000"/>
                <w:sz w:val="20"/>
                <w:szCs w:val="20"/>
                <w:lang w:val="en-GB" w:eastAsia="en-GB"/>
              </w:rPr>
            </w:pPr>
            <w:r w:rsidRPr="00521D6B">
              <w:rPr>
                <w:rFonts w:eastAsia="Times New Roman"/>
                <w:i/>
                <w:iCs/>
                <w:color w:val="000000"/>
                <w:sz w:val="20"/>
                <w:szCs w:val="20"/>
                <w:lang w:val="en-GB" w:eastAsia="en-GB"/>
              </w:rPr>
              <w:t>(0.728)</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521D6B" w:rsidTr="00D16B2B">
        <w:trPr>
          <w:trHeight w:val="406"/>
        </w:trPr>
        <w:tc>
          <w:tcPr>
            <w:tcW w:w="1965"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AVGEXP</w:t>
            </w:r>
          </w:p>
        </w:tc>
        <w:tc>
          <w:tcPr>
            <w:tcW w:w="2748"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color w:val="000000"/>
                <w:sz w:val="20"/>
                <w:szCs w:val="20"/>
                <w:lang w:val="en-GB" w:eastAsia="en-GB"/>
              </w:rPr>
            </w:pPr>
            <w:r w:rsidRPr="00521D6B">
              <w:rPr>
                <w:rFonts w:eastAsia="Times New Roman"/>
                <w:color w:val="000000"/>
                <w:sz w:val="20"/>
                <w:szCs w:val="20"/>
                <w:lang w:val="en-GB" w:eastAsia="en-GB"/>
              </w:rPr>
              <w:t>0.129</w:t>
            </w:r>
            <w:r w:rsidRPr="00521D6B">
              <w:rPr>
                <w:rFonts w:eastAsia="Times New Roman"/>
                <w:b/>
                <w:bCs/>
                <w:i/>
                <w:iCs/>
                <w:color w:val="000000"/>
                <w:sz w:val="32"/>
                <w:szCs w:val="32"/>
                <w:lang w:val="en-GB" w:eastAsia="en-GB"/>
              </w:rPr>
              <w:t>ᵃ</w:t>
            </w:r>
          </w:p>
        </w:tc>
        <w:tc>
          <w:tcPr>
            <w:tcW w:w="3033"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color w:val="000000"/>
                <w:sz w:val="20"/>
                <w:szCs w:val="20"/>
                <w:lang w:val="en-GB" w:eastAsia="en-GB"/>
              </w:rPr>
            </w:pPr>
            <w:r w:rsidRPr="00521D6B">
              <w:rPr>
                <w:rFonts w:eastAsia="Times New Roman"/>
                <w:color w:val="000000"/>
                <w:sz w:val="20"/>
                <w:szCs w:val="20"/>
                <w:lang w:val="en-GB" w:eastAsia="en-GB"/>
              </w:rPr>
              <w:t>-0.148</w:t>
            </w:r>
            <w:r w:rsidRPr="00521D6B">
              <w:rPr>
                <w:rFonts w:eastAsia="Times New Roman"/>
                <w:b/>
                <w:bCs/>
                <w:i/>
                <w:iCs/>
                <w:color w:val="000000"/>
                <w:sz w:val="32"/>
                <w:szCs w:val="32"/>
                <w:lang w:val="en-GB" w:eastAsia="en-GB"/>
              </w:rPr>
              <w:t>ᵃ</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521D6B" w:rsidTr="00D16B2B">
        <w:trPr>
          <w:trHeight w:val="300"/>
        </w:trPr>
        <w:tc>
          <w:tcPr>
            <w:tcW w:w="1965"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 </w:t>
            </w:r>
          </w:p>
        </w:tc>
        <w:tc>
          <w:tcPr>
            <w:tcW w:w="2748"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i/>
                <w:iCs/>
                <w:color w:val="000000"/>
                <w:sz w:val="20"/>
                <w:szCs w:val="20"/>
                <w:lang w:val="en-GB" w:eastAsia="en-GB"/>
              </w:rPr>
            </w:pPr>
            <w:r w:rsidRPr="00521D6B">
              <w:rPr>
                <w:rFonts w:eastAsia="Times New Roman"/>
                <w:i/>
                <w:iCs/>
                <w:color w:val="000000"/>
                <w:sz w:val="20"/>
                <w:szCs w:val="20"/>
                <w:lang w:val="en-GB" w:eastAsia="en-GB"/>
              </w:rPr>
              <w:t>(1.863)</w:t>
            </w:r>
          </w:p>
        </w:tc>
        <w:tc>
          <w:tcPr>
            <w:tcW w:w="3033"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i/>
                <w:iCs/>
                <w:color w:val="000000"/>
                <w:sz w:val="20"/>
                <w:szCs w:val="20"/>
                <w:lang w:val="en-GB" w:eastAsia="en-GB"/>
              </w:rPr>
            </w:pPr>
            <w:r w:rsidRPr="00521D6B">
              <w:rPr>
                <w:rFonts w:eastAsia="Times New Roman"/>
                <w:i/>
                <w:iCs/>
                <w:color w:val="000000"/>
                <w:sz w:val="20"/>
                <w:szCs w:val="20"/>
                <w:lang w:val="en-GB" w:eastAsia="en-GB"/>
              </w:rPr>
              <w:t>(-2.139)</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521D6B" w:rsidTr="00D16B2B">
        <w:trPr>
          <w:trHeight w:val="406"/>
        </w:trPr>
        <w:tc>
          <w:tcPr>
            <w:tcW w:w="1965"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BI</w:t>
            </w:r>
          </w:p>
        </w:tc>
        <w:tc>
          <w:tcPr>
            <w:tcW w:w="2748"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color w:val="000000"/>
                <w:sz w:val="20"/>
                <w:szCs w:val="20"/>
                <w:lang w:val="en-GB" w:eastAsia="en-GB"/>
              </w:rPr>
            </w:pPr>
            <w:r w:rsidRPr="00521D6B">
              <w:rPr>
                <w:rFonts w:eastAsia="Times New Roman"/>
                <w:color w:val="000000"/>
                <w:sz w:val="20"/>
                <w:szCs w:val="20"/>
                <w:lang w:val="en-GB" w:eastAsia="en-GB"/>
              </w:rPr>
              <w:t>0.089</w:t>
            </w:r>
            <w:r w:rsidRPr="00521D6B">
              <w:rPr>
                <w:rFonts w:eastAsia="Times New Roman"/>
                <w:b/>
                <w:bCs/>
                <w:i/>
                <w:iCs/>
                <w:color w:val="000000"/>
                <w:sz w:val="32"/>
                <w:szCs w:val="32"/>
                <w:lang w:val="en-GB" w:eastAsia="en-GB"/>
              </w:rPr>
              <w:t>ᵃ</w:t>
            </w:r>
          </w:p>
        </w:tc>
        <w:tc>
          <w:tcPr>
            <w:tcW w:w="3033"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color w:val="000000"/>
                <w:sz w:val="20"/>
                <w:szCs w:val="20"/>
                <w:lang w:val="en-GB" w:eastAsia="en-GB"/>
              </w:rPr>
            </w:pPr>
            <w:r w:rsidRPr="00521D6B">
              <w:rPr>
                <w:rFonts w:eastAsia="Times New Roman"/>
                <w:color w:val="000000"/>
                <w:sz w:val="20"/>
                <w:szCs w:val="20"/>
                <w:lang w:val="en-GB" w:eastAsia="en-GB"/>
              </w:rPr>
              <w:t>-0.088</w:t>
            </w:r>
            <w:r w:rsidRPr="00521D6B">
              <w:rPr>
                <w:rFonts w:eastAsia="Times New Roman"/>
                <w:b/>
                <w:bCs/>
                <w:i/>
                <w:iCs/>
                <w:color w:val="000000"/>
                <w:sz w:val="32"/>
                <w:szCs w:val="32"/>
                <w:lang w:val="en-GB" w:eastAsia="en-GB"/>
              </w:rPr>
              <w:t>ᵃ</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521D6B" w:rsidTr="00D16B2B">
        <w:trPr>
          <w:trHeight w:val="300"/>
        </w:trPr>
        <w:tc>
          <w:tcPr>
            <w:tcW w:w="1965"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 </w:t>
            </w:r>
          </w:p>
        </w:tc>
        <w:tc>
          <w:tcPr>
            <w:tcW w:w="2748"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i/>
                <w:iCs/>
                <w:color w:val="000000"/>
                <w:sz w:val="20"/>
                <w:szCs w:val="20"/>
                <w:lang w:val="en-GB" w:eastAsia="en-GB"/>
              </w:rPr>
            </w:pPr>
            <w:r w:rsidRPr="00521D6B">
              <w:rPr>
                <w:rFonts w:eastAsia="Times New Roman"/>
                <w:i/>
                <w:iCs/>
                <w:color w:val="000000"/>
                <w:sz w:val="20"/>
                <w:szCs w:val="20"/>
                <w:lang w:val="en-GB" w:eastAsia="en-GB"/>
              </w:rPr>
              <w:t>(1.244)</w:t>
            </w:r>
          </w:p>
        </w:tc>
        <w:tc>
          <w:tcPr>
            <w:tcW w:w="3033"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i/>
                <w:iCs/>
                <w:color w:val="000000"/>
                <w:sz w:val="20"/>
                <w:szCs w:val="20"/>
                <w:lang w:val="en-GB" w:eastAsia="en-GB"/>
              </w:rPr>
            </w:pPr>
            <w:r w:rsidRPr="00521D6B">
              <w:rPr>
                <w:rFonts w:eastAsia="Times New Roman"/>
                <w:i/>
                <w:iCs/>
                <w:color w:val="000000"/>
                <w:sz w:val="20"/>
                <w:szCs w:val="20"/>
                <w:lang w:val="en-GB" w:eastAsia="en-GB"/>
              </w:rPr>
              <w:t>(-1.243)</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521D6B" w:rsidTr="00D16B2B">
        <w:trPr>
          <w:trHeight w:val="300"/>
        </w:trPr>
        <w:tc>
          <w:tcPr>
            <w:tcW w:w="1965"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CEODUAL</w:t>
            </w:r>
          </w:p>
        </w:tc>
        <w:tc>
          <w:tcPr>
            <w:tcW w:w="2748"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color w:val="000000"/>
                <w:sz w:val="20"/>
                <w:szCs w:val="20"/>
                <w:lang w:val="en-GB" w:eastAsia="en-GB"/>
              </w:rPr>
            </w:pPr>
            <w:r w:rsidRPr="00521D6B">
              <w:rPr>
                <w:rFonts w:eastAsia="Times New Roman"/>
                <w:color w:val="000000"/>
                <w:sz w:val="20"/>
                <w:szCs w:val="20"/>
                <w:lang w:val="en-GB" w:eastAsia="en-GB"/>
              </w:rPr>
              <w:t>0.036</w:t>
            </w:r>
          </w:p>
        </w:tc>
        <w:tc>
          <w:tcPr>
            <w:tcW w:w="3033"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color w:val="000000"/>
                <w:sz w:val="20"/>
                <w:szCs w:val="20"/>
                <w:lang w:val="en-GB" w:eastAsia="en-GB"/>
              </w:rPr>
            </w:pPr>
            <w:r w:rsidRPr="00521D6B">
              <w:rPr>
                <w:rFonts w:eastAsia="Times New Roman"/>
                <w:color w:val="000000"/>
                <w:sz w:val="20"/>
                <w:szCs w:val="20"/>
                <w:lang w:val="en-GB" w:eastAsia="en-GB"/>
              </w:rPr>
              <w:t>-0.034</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521D6B" w:rsidTr="00D16B2B">
        <w:trPr>
          <w:trHeight w:val="300"/>
        </w:trPr>
        <w:tc>
          <w:tcPr>
            <w:tcW w:w="1965"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 </w:t>
            </w:r>
          </w:p>
        </w:tc>
        <w:tc>
          <w:tcPr>
            <w:tcW w:w="2748"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i/>
                <w:iCs/>
                <w:color w:val="000000"/>
                <w:sz w:val="20"/>
                <w:szCs w:val="20"/>
                <w:lang w:val="en-GB" w:eastAsia="en-GB"/>
              </w:rPr>
            </w:pPr>
            <w:r w:rsidRPr="00521D6B">
              <w:rPr>
                <w:rFonts w:eastAsia="Times New Roman"/>
                <w:i/>
                <w:iCs/>
                <w:color w:val="000000"/>
                <w:sz w:val="20"/>
                <w:szCs w:val="20"/>
                <w:lang w:val="en-GB" w:eastAsia="en-GB"/>
              </w:rPr>
              <w:t>(0.582)</w:t>
            </w:r>
          </w:p>
        </w:tc>
        <w:tc>
          <w:tcPr>
            <w:tcW w:w="3033"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i/>
                <w:iCs/>
                <w:color w:val="000000"/>
                <w:sz w:val="20"/>
                <w:szCs w:val="20"/>
                <w:lang w:val="en-GB" w:eastAsia="en-GB"/>
              </w:rPr>
            </w:pPr>
            <w:r w:rsidRPr="00521D6B">
              <w:rPr>
                <w:rFonts w:eastAsia="Times New Roman"/>
                <w:i/>
                <w:iCs/>
                <w:color w:val="000000"/>
                <w:sz w:val="20"/>
                <w:szCs w:val="20"/>
                <w:lang w:val="en-GB" w:eastAsia="en-GB"/>
              </w:rPr>
              <w:t>(-0.556)</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521D6B" w:rsidTr="00D16B2B">
        <w:trPr>
          <w:trHeight w:val="300"/>
        </w:trPr>
        <w:tc>
          <w:tcPr>
            <w:tcW w:w="1965"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DMBA</w:t>
            </w:r>
          </w:p>
        </w:tc>
        <w:tc>
          <w:tcPr>
            <w:tcW w:w="2748"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color w:val="000000"/>
                <w:sz w:val="20"/>
                <w:szCs w:val="20"/>
                <w:lang w:val="en-GB" w:eastAsia="en-GB"/>
              </w:rPr>
            </w:pPr>
            <w:r w:rsidRPr="00521D6B">
              <w:rPr>
                <w:rFonts w:eastAsia="Times New Roman"/>
                <w:color w:val="000000"/>
                <w:sz w:val="20"/>
                <w:szCs w:val="20"/>
                <w:lang w:val="en-GB" w:eastAsia="en-GB"/>
              </w:rPr>
              <w:t>0.042</w:t>
            </w:r>
          </w:p>
        </w:tc>
        <w:tc>
          <w:tcPr>
            <w:tcW w:w="3033"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color w:val="000000"/>
                <w:sz w:val="20"/>
                <w:szCs w:val="20"/>
                <w:lang w:val="en-GB" w:eastAsia="en-GB"/>
              </w:rPr>
            </w:pPr>
            <w:r w:rsidRPr="00521D6B">
              <w:rPr>
                <w:rFonts w:eastAsia="Times New Roman"/>
                <w:color w:val="000000"/>
                <w:sz w:val="20"/>
                <w:szCs w:val="20"/>
                <w:lang w:val="en-GB" w:eastAsia="en-GB"/>
              </w:rPr>
              <w:t>-0.053</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521D6B" w:rsidTr="00D16B2B">
        <w:trPr>
          <w:trHeight w:val="300"/>
        </w:trPr>
        <w:tc>
          <w:tcPr>
            <w:tcW w:w="1965"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 </w:t>
            </w:r>
          </w:p>
        </w:tc>
        <w:tc>
          <w:tcPr>
            <w:tcW w:w="2748"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color w:val="000000"/>
                <w:sz w:val="20"/>
                <w:szCs w:val="20"/>
                <w:lang w:val="en-GB" w:eastAsia="en-GB"/>
              </w:rPr>
            </w:pPr>
            <w:r w:rsidRPr="00521D6B">
              <w:rPr>
                <w:rFonts w:eastAsia="Times New Roman"/>
                <w:color w:val="000000"/>
                <w:sz w:val="20"/>
                <w:szCs w:val="20"/>
                <w:lang w:val="en-GB" w:eastAsia="en-GB"/>
              </w:rPr>
              <w:t>(0.623)</w:t>
            </w:r>
          </w:p>
        </w:tc>
        <w:tc>
          <w:tcPr>
            <w:tcW w:w="3033"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i/>
                <w:iCs/>
                <w:color w:val="000000"/>
                <w:sz w:val="20"/>
                <w:szCs w:val="20"/>
                <w:lang w:val="en-GB" w:eastAsia="en-GB"/>
              </w:rPr>
            </w:pPr>
            <w:r w:rsidRPr="00521D6B">
              <w:rPr>
                <w:rFonts w:eastAsia="Times New Roman"/>
                <w:i/>
                <w:iCs/>
                <w:color w:val="000000"/>
                <w:sz w:val="20"/>
                <w:szCs w:val="20"/>
                <w:lang w:val="en-GB" w:eastAsia="en-GB"/>
              </w:rPr>
              <w:t>(-0.788)</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521D6B" w:rsidTr="00D16B2B">
        <w:trPr>
          <w:trHeight w:val="300"/>
        </w:trPr>
        <w:tc>
          <w:tcPr>
            <w:tcW w:w="1965"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ER</w:t>
            </w:r>
          </w:p>
        </w:tc>
        <w:tc>
          <w:tcPr>
            <w:tcW w:w="2748"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color w:val="000000"/>
                <w:sz w:val="20"/>
                <w:szCs w:val="20"/>
                <w:lang w:val="en-GB" w:eastAsia="en-GB"/>
              </w:rPr>
            </w:pPr>
            <w:r w:rsidRPr="00521D6B">
              <w:rPr>
                <w:rFonts w:eastAsia="Times New Roman"/>
                <w:color w:val="000000"/>
                <w:sz w:val="20"/>
                <w:szCs w:val="20"/>
                <w:lang w:val="en-GB" w:eastAsia="en-GB"/>
              </w:rPr>
              <w:t>0.000</w:t>
            </w:r>
          </w:p>
        </w:tc>
        <w:tc>
          <w:tcPr>
            <w:tcW w:w="3033"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color w:val="000000"/>
                <w:sz w:val="20"/>
                <w:szCs w:val="20"/>
                <w:lang w:val="en-GB" w:eastAsia="en-GB"/>
              </w:rPr>
            </w:pPr>
            <w:r w:rsidRPr="00521D6B">
              <w:rPr>
                <w:rFonts w:eastAsia="Times New Roman"/>
                <w:color w:val="000000"/>
                <w:sz w:val="20"/>
                <w:szCs w:val="20"/>
                <w:lang w:val="en-GB" w:eastAsia="en-GB"/>
              </w:rPr>
              <w:t>-0.003</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521D6B" w:rsidTr="00D16B2B">
        <w:trPr>
          <w:trHeight w:val="300"/>
        </w:trPr>
        <w:tc>
          <w:tcPr>
            <w:tcW w:w="1965"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 </w:t>
            </w:r>
          </w:p>
        </w:tc>
        <w:tc>
          <w:tcPr>
            <w:tcW w:w="2748"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i/>
                <w:iCs/>
                <w:color w:val="000000"/>
                <w:sz w:val="20"/>
                <w:szCs w:val="20"/>
                <w:lang w:val="en-GB" w:eastAsia="en-GB"/>
              </w:rPr>
            </w:pPr>
            <w:r w:rsidRPr="00521D6B">
              <w:rPr>
                <w:rFonts w:eastAsia="Times New Roman"/>
                <w:i/>
                <w:iCs/>
                <w:color w:val="000000"/>
                <w:sz w:val="20"/>
                <w:szCs w:val="20"/>
                <w:lang w:val="en-GB" w:eastAsia="en-GB"/>
              </w:rPr>
              <w:t>(0.003)</w:t>
            </w:r>
          </w:p>
        </w:tc>
        <w:tc>
          <w:tcPr>
            <w:tcW w:w="3033"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i/>
                <w:iCs/>
                <w:color w:val="000000"/>
                <w:sz w:val="20"/>
                <w:szCs w:val="20"/>
                <w:lang w:val="en-GB" w:eastAsia="en-GB"/>
              </w:rPr>
            </w:pPr>
            <w:r w:rsidRPr="00521D6B">
              <w:rPr>
                <w:rFonts w:eastAsia="Times New Roman"/>
                <w:i/>
                <w:iCs/>
                <w:color w:val="000000"/>
                <w:sz w:val="20"/>
                <w:szCs w:val="20"/>
                <w:lang w:val="en-GB" w:eastAsia="en-GB"/>
              </w:rPr>
              <w:t>(-0.036)</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521D6B" w:rsidTr="00D16B2B">
        <w:trPr>
          <w:trHeight w:val="406"/>
        </w:trPr>
        <w:tc>
          <w:tcPr>
            <w:tcW w:w="1965"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LEV</w:t>
            </w:r>
          </w:p>
        </w:tc>
        <w:tc>
          <w:tcPr>
            <w:tcW w:w="2748"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color w:val="000000"/>
                <w:sz w:val="20"/>
                <w:szCs w:val="20"/>
                <w:lang w:val="en-GB" w:eastAsia="en-GB"/>
              </w:rPr>
            </w:pPr>
            <w:r w:rsidRPr="00521D6B">
              <w:rPr>
                <w:rFonts w:eastAsia="Times New Roman"/>
                <w:color w:val="000000"/>
                <w:sz w:val="20"/>
                <w:szCs w:val="20"/>
                <w:lang w:val="en-GB" w:eastAsia="en-GB"/>
              </w:rPr>
              <w:t>0.081</w:t>
            </w:r>
            <w:r w:rsidRPr="00521D6B">
              <w:rPr>
                <w:rFonts w:eastAsia="Times New Roman"/>
                <w:b/>
                <w:bCs/>
                <w:i/>
                <w:iCs/>
                <w:color w:val="000000"/>
                <w:sz w:val="32"/>
                <w:szCs w:val="32"/>
                <w:lang w:val="en-GB" w:eastAsia="en-GB"/>
              </w:rPr>
              <w:t>ᵇ</w:t>
            </w:r>
          </w:p>
        </w:tc>
        <w:tc>
          <w:tcPr>
            <w:tcW w:w="3033"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color w:val="000000"/>
                <w:sz w:val="20"/>
                <w:szCs w:val="20"/>
                <w:lang w:val="en-GB" w:eastAsia="en-GB"/>
              </w:rPr>
            </w:pPr>
            <w:r w:rsidRPr="00521D6B">
              <w:rPr>
                <w:rFonts w:eastAsia="Times New Roman"/>
                <w:color w:val="000000"/>
                <w:sz w:val="20"/>
                <w:szCs w:val="20"/>
                <w:lang w:val="en-GB" w:eastAsia="en-GB"/>
              </w:rPr>
              <w:t>-0.080</w:t>
            </w:r>
            <w:r w:rsidRPr="00521D6B">
              <w:rPr>
                <w:rFonts w:eastAsia="Times New Roman"/>
                <w:b/>
                <w:bCs/>
                <w:i/>
                <w:iCs/>
                <w:color w:val="000000"/>
                <w:sz w:val="32"/>
                <w:szCs w:val="32"/>
                <w:lang w:val="en-GB" w:eastAsia="en-GB"/>
              </w:rPr>
              <w:t>ᵃ</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521D6B" w:rsidTr="00D16B2B">
        <w:trPr>
          <w:trHeight w:val="300"/>
        </w:trPr>
        <w:tc>
          <w:tcPr>
            <w:tcW w:w="1965"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 </w:t>
            </w:r>
          </w:p>
        </w:tc>
        <w:tc>
          <w:tcPr>
            <w:tcW w:w="2748"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i/>
                <w:iCs/>
                <w:color w:val="000000"/>
                <w:sz w:val="20"/>
                <w:szCs w:val="20"/>
                <w:lang w:val="en-GB" w:eastAsia="en-GB"/>
              </w:rPr>
            </w:pPr>
            <w:r w:rsidRPr="00521D6B">
              <w:rPr>
                <w:rFonts w:eastAsia="Times New Roman"/>
                <w:i/>
                <w:iCs/>
                <w:color w:val="000000"/>
                <w:sz w:val="20"/>
                <w:szCs w:val="20"/>
                <w:lang w:val="en-GB" w:eastAsia="en-GB"/>
              </w:rPr>
              <w:t>(1.214)</w:t>
            </w:r>
          </w:p>
        </w:tc>
        <w:tc>
          <w:tcPr>
            <w:tcW w:w="3033" w:type="dxa"/>
            <w:gridSpan w:val="3"/>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i/>
                <w:iCs/>
                <w:color w:val="000000"/>
                <w:sz w:val="20"/>
                <w:szCs w:val="20"/>
                <w:lang w:val="en-GB" w:eastAsia="en-GB"/>
              </w:rPr>
            </w:pPr>
            <w:r w:rsidRPr="00521D6B">
              <w:rPr>
                <w:rFonts w:eastAsia="Times New Roman"/>
                <w:i/>
                <w:iCs/>
                <w:color w:val="000000"/>
                <w:sz w:val="20"/>
                <w:szCs w:val="20"/>
                <w:lang w:val="en-GB" w:eastAsia="en-GB"/>
              </w:rPr>
              <w:t>(-1.215)</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521D6B" w:rsidTr="00521D6B">
        <w:trPr>
          <w:trHeight w:val="300"/>
        </w:trPr>
        <w:tc>
          <w:tcPr>
            <w:tcW w:w="1965"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 </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i/>
                <w:iCs/>
                <w:color w:val="000000"/>
                <w:sz w:val="20"/>
                <w:szCs w:val="20"/>
                <w:lang w:val="en-GB" w:eastAsia="en-GB"/>
              </w:rPr>
            </w:pPr>
            <w:r w:rsidRPr="00521D6B">
              <w:rPr>
                <w:rFonts w:eastAsia="Times New Roman"/>
                <w:i/>
                <w:iCs/>
                <w:color w:val="000000"/>
                <w:sz w:val="20"/>
                <w:szCs w:val="20"/>
                <w:lang w:val="en-GB" w:eastAsia="en-GB"/>
              </w:rPr>
              <w:t> </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i/>
                <w:iCs/>
                <w:color w:val="000000"/>
                <w:sz w:val="20"/>
                <w:szCs w:val="20"/>
                <w:lang w:val="en-GB" w:eastAsia="en-GB"/>
              </w:rPr>
            </w:pPr>
            <w:r w:rsidRPr="00521D6B">
              <w:rPr>
                <w:rFonts w:eastAsia="Times New Roman"/>
                <w:i/>
                <w:iCs/>
                <w:color w:val="000000"/>
                <w:sz w:val="20"/>
                <w:szCs w:val="20"/>
                <w:lang w:val="en-GB" w:eastAsia="en-GB"/>
              </w:rPr>
              <w:t> </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 </w:t>
            </w:r>
          </w:p>
        </w:tc>
        <w:tc>
          <w:tcPr>
            <w:tcW w:w="1011"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 </w:t>
            </w:r>
          </w:p>
        </w:tc>
        <w:tc>
          <w:tcPr>
            <w:tcW w:w="1011"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 </w:t>
            </w:r>
          </w:p>
        </w:tc>
        <w:tc>
          <w:tcPr>
            <w:tcW w:w="1011"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521D6B" w:rsidTr="00D16B2B">
        <w:trPr>
          <w:trHeight w:val="300"/>
        </w:trPr>
        <w:tc>
          <w:tcPr>
            <w:tcW w:w="1965"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R</w:t>
            </w:r>
            <w:r w:rsidRPr="00521D6B">
              <w:rPr>
                <w:rFonts w:ascii="Calibri" w:eastAsia="Times New Roman" w:hAnsi="Calibri"/>
                <w:color w:val="000000"/>
                <w:sz w:val="20"/>
                <w:szCs w:val="20"/>
                <w:lang w:val="en-GB" w:eastAsia="en-GB"/>
              </w:rPr>
              <w:t>²</w:t>
            </w:r>
          </w:p>
        </w:tc>
        <w:tc>
          <w:tcPr>
            <w:tcW w:w="1832" w:type="dxa"/>
            <w:gridSpan w:val="2"/>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color w:val="000000"/>
                <w:sz w:val="20"/>
                <w:szCs w:val="20"/>
                <w:lang w:val="en-GB" w:eastAsia="en-GB"/>
              </w:rPr>
            </w:pPr>
            <w:r w:rsidRPr="00521D6B">
              <w:rPr>
                <w:rFonts w:eastAsia="Times New Roman"/>
                <w:color w:val="000000"/>
                <w:sz w:val="20"/>
                <w:szCs w:val="20"/>
                <w:lang w:val="en-GB" w:eastAsia="en-GB"/>
              </w:rPr>
              <w:t>0.645</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 </w:t>
            </w:r>
          </w:p>
        </w:tc>
        <w:tc>
          <w:tcPr>
            <w:tcW w:w="2022" w:type="dxa"/>
            <w:gridSpan w:val="2"/>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color w:val="000000"/>
                <w:sz w:val="20"/>
                <w:szCs w:val="20"/>
                <w:lang w:val="en-GB" w:eastAsia="en-GB"/>
              </w:rPr>
            </w:pPr>
            <w:r w:rsidRPr="00521D6B">
              <w:rPr>
                <w:rFonts w:eastAsia="Times New Roman"/>
                <w:color w:val="000000"/>
                <w:sz w:val="20"/>
                <w:szCs w:val="20"/>
                <w:lang w:val="en-GB" w:eastAsia="en-GB"/>
              </w:rPr>
              <w:t>0.644</w:t>
            </w:r>
          </w:p>
        </w:tc>
        <w:tc>
          <w:tcPr>
            <w:tcW w:w="1011"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521D6B" w:rsidTr="00D16B2B">
        <w:trPr>
          <w:trHeight w:val="300"/>
        </w:trPr>
        <w:tc>
          <w:tcPr>
            <w:tcW w:w="1965"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Adjusted R²</w:t>
            </w:r>
          </w:p>
        </w:tc>
        <w:tc>
          <w:tcPr>
            <w:tcW w:w="1832" w:type="dxa"/>
            <w:gridSpan w:val="2"/>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color w:val="000000"/>
                <w:sz w:val="20"/>
                <w:szCs w:val="20"/>
                <w:lang w:val="en-GB" w:eastAsia="en-GB"/>
              </w:rPr>
            </w:pPr>
            <w:r w:rsidRPr="00521D6B">
              <w:rPr>
                <w:rFonts w:eastAsia="Times New Roman"/>
                <w:color w:val="000000"/>
                <w:sz w:val="20"/>
                <w:szCs w:val="20"/>
                <w:lang w:val="en-GB" w:eastAsia="en-GB"/>
              </w:rPr>
              <w:t>0.541</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 </w:t>
            </w:r>
          </w:p>
        </w:tc>
        <w:tc>
          <w:tcPr>
            <w:tcW w:w="2022" w:type="dxa"/>
            <w:gridSpan w:val="2"/>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color w:val="000000"/>
                <w:sz w:val="20"/>
                <w:szCs w:val="20"/>
                <w:lang w:val="en-GB" w:eastAsia="en-GB"/>
              </w:rPr>
            </w:pPr>
            <w:r w:rsidRPr="00521D6B">
              <w:rPr>
                <w:rFonts w:eastAsia="Times New Roman"/>
                <w:color w:val="000000"/>
                <w:sz w:val="20"/>
                <w:szCs w:val="20"/>
                <w:lang w:val="en-GB" w:eastAsia="en-GB"/>
              </w:rPr>
              <w:t>0.562</w:t>
            </w:r>
          </w:p>
        </w:tc>
        <w:tc>
          <w:tcPr>
            <w:tcW w:w="1011"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521D6B" w:rsidTr="00D16B2B">
        <w:trPr>
          <w:trHeight w:val="300"/>
        </w:trPr>
        <w:tc>
          <w:tcPr>
            <w:tcW w:w="1965"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i/>
                <w:iCs/>
                <w:color w:val="000000"/>
                <w:sz w:val="20"/>
                <w:szCs w:val="20"/>
                <w:lang w:val="en-GB" w:eastAsia="en-GB"/>
              </w:rPr>
            </w:pPr>
            <w:r w:rsidRPr="00521D6B">
              <w:rPr>
                <w:rFonts w:eastAsia="Times New Roman"/>
                <w:i/>
                <w:iCs/>
                <w:color w:val="000000"/>
                <w:sz w:val="20"/>
                <w:szCs w:val="20"/>
                <w:lang w:val="en-GB" w:eastAsia="en-GB"/>
              </w:rPr>
              <w:t>F-</w:t>
            </w:r>
            <w:r w:rsidRPr="00521D6B">
              <w:rPr>
                <w:rFonts w:eastAsia="Times New Roman"/>
                <w:color w:val="000000"/>
                <w:sz w:val="20"/>
                <w:szCs w:val="20"/>
                <w:lang w:val="en-GB" w:eastAsia="en-GB"/>
              </w:rPr>
              <w:t>statistics</w:t>
            </w:r>
          </w:p>
        </w:tc>
        <w:tc>
          <w:tcPr>
            <w:tcW w:w="1832" w:type="dxa"/>
            <w:gridSpan w:val="2"/>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color w:val="000000"/>
                <w:sz w:val="20"/>
                <w:szCs w:val="20"/>
                <w:lang w:val="en-GB" w:eastAsia="en-GB"/>
              </w:rPr>
            </w:pPr>
            <w:r w:rsidRPr="00521D6B">
              <w:rPr>
                <w:rFonts w:eastAsia="Times New Roman"/>
                <w:color w:val="000000"/>
                <w:sz w:val="20"/>
                <w:szCs w:val="20"/>
                <w:lang w:val="en-GB" w:eastAsia="en-GB"/>
              </w:rPr>
              <w:t>1.404</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color w:val="000000"/>
                <w:sz w:val="20"/>
                <w:szCs w:val="20"/>
                <w:lang w:val="en-GB" w:eastAsia="en-GB"/>
              </w:rPr>
              <w:t> </w:t>
            </w:r>
          </w:p>
        </w:tc>
        <w:tc>
          <w:tcPr>
            <w:tcW w:w="2022" w:type="dxa"/>
            <w:gridSpan w:val="2"/>
            <w:tcBorders>
              <w:top w:val="nil"/>
              <w:left w:val="nil"/>
              <w:bottom w:val="nil"/>
              <w:right w:val="nil"/>
            </w:tcBorders>
            <w:shd w:val="clear" w:color="000000" w:fill="FFFFFF"/>
            <w:noWrap/>
            <w:vAlign w:val="bottom"/>
            <w:hideMark/>
          </w:tcPr>
          <w:p w:rsidR="00521D6B" w:rsidRPr="00521D6B" w:rsidRDefault="00521D6B" w:rsidP="00521D6B">
            <w:pPr>
              <w:jc w:val="center"/>
              <w:rPr>
                <w:rFonts w:eastAsia="Times New Roman"/>
                <w:color w:val="000000"/>
                <w:sz w:val="20"/>
                <w:szCs w:val="20"/>
                <w:lang w:val="en-GB" w:eastAsia="en-GB"/>
              </w:rPr>
            </w:pPr>
            <w:r w:rsidRPr="00521D6B">
              <w:rPr>
                <w:rFonts w:eastAsia="Times New Roman"/>
                <w:color w:val="000000"/>
                <w:sz w:val="20"/>
                <w:szCs w:val="20"/>
                <w:lang w:val="en-GB" w:eastAsia="en-GB"/>
              </w:rPr>
              <w:t>1.606</w:t>
            </w:r>
          </w:p>
        </w:tc>
        <w:tc>
          <w:tcPr>
            <w:tcW w:w="1011"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521D6B" w:rsidTr="00D16B2B">
        <w:trPr>
          <w:trHeight w:val="315"/>
        </w:trPr>
        <w:tc>
          <w:tcPr>
            <w:tcW w:w="1965" w:type="dxa"/>
            <w:tcBorders>
              <w:top w:val="nil"/>
              <w:left w:val="nil"/>
              <w:bottom w:val="single" w:sz="8" w:space="0" w:color="auto"/>
              <w:right w:val="nil"/>
            </w:tcBorders>
            <w:shd w:val="clear" w:color="000000" w:fill="FFFFFF"/>
            <w:noWrap/>
            <w:vAlign w:val="bottom"/>
            <w:hideMark/>
          </w:tcPr>
          <w:p w:rsidR="00521D6B" w:rsidRPr="00521D6B" w:rsidRDefault="00521D6B" w:rsidP="00521D6B">
            <w:pPr>
              <w:rPr>
                <w:rFonts w:eastAsia="Times New Roman"/>
                <w:color w:val="000000"/>
                <w:sz w:val="20"/>
                <w:szCs w:val="20"/>
                <w:lang w:val="en-GB" w:eastAsia="en-GB"/>
              </w:rPr>
            </w:pPr>
            <w:r w:rsidRPr="00521D6B">
              <w:rPr>
                <w:rFonts w:eastAsia="Times New Roman"/>
                <w:i/>
                <w:iCs/>
                <w:color w:val="000000"/>
                <w:sz w:val="20"/>
                <w:szCs w:val="20"/>
                <w:lang w:val="en-GB" w:eastAsia="en-GB"/>
              </w:rPr>
              <w:t>P-Value</w:t>
            </w:r>
            <w:r w:rsidRPr="00521D6B">
              <w:rPr>
                <w:rFonts w:eastAsia="Times New Roman"/>
                <w:color w:val="000000"/>
                <w:sz w:val="20"/>
                <w:szCs w:val="20"/>
                <w:lang w:val="en-GB" w:eastAsia="en-GB"/>
              </w:rPr>
              <w:t>(</w:t>
            </w:r>
            <w:r w:rsidRPr="00521D6B">
              <w:rPr>
                <w:rFonts w:eastAsia="Times New Roman"/>
                <w:i/>
                <w:iCs/>
                <w:color w:val="000000"/>
                <w:sz w:val="20"/>
                <w:szCs w:val="20"/>
                <w:lang w:val="en-GB" w:eastAsia="en-GB"/>
              </w:rPr>
              <w:t>F</w:t>
            </w:r>
            <w:r w:rsidRPr="00521D6B">
              <w:rPr>
                <w:rFonts w:eastAsia="Times New Roman"/>
                <w:color w:val="000000"/>
                <w:sz w:val="20"/>
                <w:szCs w:val="20"/>
                <w:lang w:val="en-GB" w:eastAsia="en-GB"/>
              </w:rPr>
              <w:t>-statistics)</w:t>
            </w:r>
          </w:p>
        </w:tc>
        <w:tc>
          <w:tcPr>
            <w:tcW w:w="1832" w:type="dxa"/>
            <w:gridSpan w:val="2"/>
            <w:tcBorders>
              <w:top w:val="nil"/>
              <w:left w:val="nil"/>
              <w:bottom w:val="single" w:sz="8" w:space="0" w:color="auto"/>
              <w:right w:val="nil"/>
            </w:tcBorders>
            <w:shd w:val="clear" w:color="000000" w:fill="FFFFFF"/>
            <w:noWrap/>
            <w:vAlign w:val="bottom"/>
            <w:hideMark/>
          </w:tcPr>
          <w:p w:rsidR="00521D6B" w:rsidRPr="00521D6B" w:rsidRDefault="00521D6B" w:rsidP="00521D6B">
            <w:pPr>
              <w:jc w:val="center"/>
              <w:rPr>
                <w:rFonts w:eastAsia="Times New Roman"/>
                <w:color w:val="000000"/>
                <w:sz w:val="22"/>
                <w:szCs w:val="22"/>
                <w:lang w:val="en-GB" w:eastAsia="en-GB"/>
              </w:rPr>
            </w:pPr>
            <w:r w:rsidRPr="00521D6B">
              <w:rPr>
                <w:rFonts w:eastAsia="Times New Roman"/>
                <w:color w:val="000000"/>
                <w:sz w:val="22"/>
                <w:szCs w:val="22"/>
                <w:lang w:val="en-GB" w:eastAsia="en-GB"/>
              </w:rPr>
              <w:t>0.00</w:t>
            </w:r>
          </w:p>
        </w:tc>
        <w:tc>
          <w:tcPr>
            <w:tcW w:w="916" w:type="dxa"/>
            <w:tcBorders>
              <w:top w:val="nil"/>
              <w:left w:val="nil"/>
              <w:bottom w:val="single" w:sz="8" w:space="0" w:color="auto"/>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c>
          <w:tcPr>
            <w:tcW w:w="2022" w:type="dxa"/>
            <w:gridSpan w:val="2"/>
            <w:tcBorders>
              <w:top w:val="nil"/>
              <w:left w:val="nil"/>
              <w:bottom w:val="single" w:sz="8" w:space="0" w:color="auto"/>
              <w:right w:val="nil"/>
            </w:tcBorders>
            <w:shd w:val="clear" w:color="000000" w:fill="FFFFFF"/>
            <w:noWrap/>
            <w:vAlign w:val="bottom"/>
            <w:hideMark/>
          </w:tcPr>
          <w:p w:rsidR="00521D6B" w:rsidRPr="00521D6B" w:rsidRDefault="00521D6B" w:rsidP="00521D6B">
            <w:pPr>
              <w:jc w:val="center"/>
              <w:rPr>
                <w:rFonts w:eastAsia="Times New Roman"/>
                <w:color w:val="000000"/>
                <w:sz w:val="22"/>
                <w:szCs w:val="22"/>
                <w:lang w:val="en-GB" w:eastAsia="en-GB"/>
              </w:rPr>
            </w:pPr>
            <w:r w:rsidRPr="00521D6B">
              <w:rPr>
                <w:rFonts w:eastAsia="Times New Roman"/>
                <w:color w:val="000000"/>
                <w:sz w:val="22"/>
                <w:szCs w:val="22"/>
                <w:lang w:val="en-GB" w:eastAsia="en-GB"/>
              </w:rPr>
              <w:t>0.00</w:t>
            </w:r>
          </w:p>
        </w:tc>
        <w:tc>
          <w:tcPr>
            <w:tcW w:w="1011" w:type="dxa"/>
            <w:tcBorders>
              <w:top w:val="nil"/>
              <w:left w:val="nil"/>
              <w:bottom w:val="single" w:sz="8" w:space="0" w:color="auto"/>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c>
          <w:tcPr>
            <w:tcW w:w="916" w:type="dxa"/>
            <w:tcBorders>
              <w:top w:val="nil"/>
              <w:left w:val="nil"/>
              <w:bottom w:val="nil"/>
              <w:right w:val="nil"/>
            </w:tcBorders>
            <w:shd w:val="clear" w:color="000000" w:fill="FFFFFF"/>
            <w:noWrap/>
            <w:vAlign w:val="bottom"/>
            <w:hideMark/>
          </w:tcPr>
          <w:p w:rsidR="00521D6B" w:rsidRPr="00521D6B" w:rsidRDefault="00521D6B" w:rsidP="00521D6B">
            <w:pPr>
              <w:rPr>
                <w:rFonts w:eastAsia="Times New Roman"/>
                <w:color w:val="000000"/>
                <w:sz w:val="22"/>
                <w:szCs w:val="22"/>
                <w:lang w:val="en-GB" w:eastAsia="en-GB"/>
              </w:rPr>
            </w:pPr>
            <w:r w:rsidRPr="00521D6B">
              <w:rPr>
                <w:rFonts w:eastAsia="Times New Roman"/>
                <w:color w:val="000000"/>
                <w:sz w:val="22"/>
                <w:szCs w:val="22"/>
                <w:lang w:val="en-GB" w:eastAsia="en-GB"/>
              </w:rPr>
              <w:t> </w:t>
            </w:r>
          </w:p>
        </w:tc>
      </w:tr>
      <w:tr w:rsidR="00521D6B" w:rsidRPr="009B6268" w:rsidTr="00D16B2B">
        <w:trPr>
          <w:trHeight w:val="300"/>
        </w:trPr>
        <w:tc>
          <w:tcPr>
            <w:tcW w:w="8662" w:type="dxa"/>
            <w:gridSpan w:val="8"/>
            <w:tcBorders>
              <w:top w:val="nil"/>
              <w:left w:val="nil"/>
              <w:bottom w:val="nil"/>
              <w:right w:val="nil"/>
            </w:tcBorders>
            <w:shd w:val="clear" w:color="000000" w:fill="FFFFFF"/>
            <w:noWrap/>
            <w:vAlign w:val="bottom"/>
            <w:hideMark/>
          </w:tcPr>
          <w:p w:rsidR="00521D6B" w:rsidRPr="009B6268" w:rsidRDefault="00521D6B" w:rsidP="00521D6B">
            <w:pPr>
              <w:rPr>
                <w:rFonts w:eastAsia="Times New Roman"/>
                <w:i/>
                <w:color w:val="000000"/>
                <w:sz w:val="16"/>
                <w:szCs w:val="16"/>
                <w:lang w:val="en-GB" w:eastAsia="en-GB"/>
              </w:rPr>
            </w:pPr>
            <w:r w:rsidRPr="009B6268">
              <w:rPr>
                <w:rFonts w:eastAsia="Times New Roman"/>
                <w:color w:val="000000"/>
                <w:sz w:val="16"/>
                <w:szCs w:val="16"/>
                <w:lang w:val="en-GB" w:eastAsia="en-GB"/>
              </w:rPr>
              <w:t>Notes</w:t>
            </w:r>
            <w:r w:rsidRPr="009B6268">
              <w:rPr>
                <w:rFonts w:eastAsia="Times New Roman"/>
                <w:i/>
                <w:color w:val="000000"/>
                <w:sz w:val="16"/>
                <w:szCs w:val="16"/>
                <w:lang w:val="en-GB" w:eastAsia="en-GB"/>
              </w:rPr>
              <w:t xml:space="preserve">: </w:t>
            </w:r>
            <w:r w:rsidRPr="009B6268">
              <w:rPr>
                <w:rFonts w:eastAsia="Times New Roman"/>
                <w:b/>
                <w:bCs/>
                <w:i/>
                <w:iCs/>
                <w:color w:val="000000"/>
                <w:sz w:val="16"/>
                <w:szCs w:val="16"/>
                <w:lang w:val="en-GB" w:eastAsia="en-GB"/>
              </w:rPr>
              <w:t>a</w:t>
            </w:r>
            <w:r w:rsidRPr="009B6268">
              <w:rPr>
                <w:rFonts w:eastAsia="Times New Roman"/>
                <w:i/>
                <w:color w:val="000000"/>
                <w:sz w:val="16"/>
                <w:szCs w:val="16"/>
                <w:lang w:val="en-GB" w:eastAsia="en-GB"/>
              </w:rPr>
              <w:t xml:space="preserve"> significant at 5% level; </w:t>
            </w:r>
            <w:r w:rsidRPr="009B6268">
              <w:rPr>
                <w:rFonts w:eastAsia="Times New Roman"/>
                <w:b/>
                <w:bCs/>
                <w:i/>
                <w:iCs/>
                <w:color w:val="000000"/>
                <w:sz w:val="16"/>
                <w:szCs w:val="16"/>
                <w:lang w:val="en-GB" w:eastAsia="en-GB"/>
              </w:rPr>
              <w:t>b</w:t>
            </w:r>
            <w:r w:rsidRPr="009B6268">
              <w:rPr>
                <w:rFonts w:eastAsia="Times New Roman"/>
                <w:i/>
                <w:color w:val="000000"/>
                <w:sz w:val="16"/>
                <w:szCs w:val="16"/>
                <w:lang w:val="en-GB" w:eastAsia="en-GB"/>
              </w:rPr>
              <w:t xml:space="preserve"> significant at 10% level; t-statistics values captured in parentheses </w:t>
            </w:r>
          </w:p>
        </w:tc>
      </w:tr>
    </w:tbl>
    <w:p w:rsidR="00D16B2B" w:rsidRPr="00D16B2B" w:rsidRDefault="00D16B2B" w:rsidP="00D16B2B">
      <w:pPr>
        <w:pStyle w:val="ListParagraph"/>
        <w:jc w:val="both"/>
        <w:rPr>
          <w:i/>
          <w:sz w:val="16"/>
          <w:szCs w:val="16"/>
        </w:rPr>
      </w:pPr>
      <w:r w:rsidRPr="009B6268">
        <w:rPr>
          <w:i/>
          <w:sz w:val="16"/>
          <w:szCs w:val="16"/>
        </w:rPr>
        <w:t>ROA is measured as the ratio of net profit to a firm’s total assets. NPM is measured as the proportion of sales to net profit. Tobin’s q is derived as the ratio of a firm’s market capitalisation to total assets. Board size is estimated as the total number of directors on the board. Board Independence is captured as the total number of independent NEDs on the board. CEO Duality is captured as a dummy, which takes the value one if the same person holds the two positions and the value zero if the positions are separated. DMBA is captured as the number of directors with an MBA. AVGEXP is captured as the average number of years of work experience of the directors. ER is captured as the proportion of directors from the three major ethnic groups in Nigeria. Firm Leverage is measured as the ratio of firm debt to assets.</w:t>
      </w:r>
      <w:r w:rsidRPr="00D16B2B">
        <w:rPr>
          <w:i/>
          <w:sz w:val="16"/>
          <w:szCs w:val="16"/>
        </w:rPr>
        <w:t xml:space="preserve"> </w:t>
      </w:r>
    </w:p>
    <w:p w:rsidR="00750DD9" w:rsidRPr="00D16B2B" w:rsidRDefault="00750DD9" w:rsidP="00750DD9">
      <w:pPr>
        <w:spacing w:line="360" w:lineRule="auto"/>
        <w:ind w:left="720"/>
        <w:jc w:val="both"/>
        <w:rPr>
          <w:sz w:val="16"/>
          <w:szCs w:val="16"/>
        </w:rPr>
      </w:pPr>
    </w:p>
    <w:p w:rsidR="00750DD9" w:rsidRPr="0041594F" w:rsidRDefault="00750DD9" w:rsidP="0041594F">
      <w:pPr>
        <w:pStyle w:val="ListParagraph"/>
        <w:spacing w:line="360" w:lineRule="auto"/>
        <w:jc w:val="both"/>
        <w:rPr>
          <w:sz w:val="20"/>
          <w:szCs w:val="20"/>
        </w:rPr>
      </w:pPr>
      <w:r w:rsidRPr="0041594F">
        <w:rPr>
          <w:sz w:val="20"/>
          <w:szCs w:val="20"/>
        </w:rPr>
        <w:t>A follow-up sensitivity test was conducted on the preceding base model results to verify the robustness of the outcomes discussed above. Consistent with the previous operational procedure, the macroeconomic variables were dropped. In addition, a different measure</w:t>
      </w:r>
      <w:r w:rsidR="005A6EF2">
        <w:rPr>
          <w:sz w:val="20"/>
          <w:szCs w:val="20"/>
        </w:rPr>
        <w:t xml:space="preserve"> of </w:t>
      </w:r>
      <w:r w:rsidR="005A6EF2" w:rsidRPr="0041594F">
        <w:rPr>
          <w:sz w:val="20"/>
          <w:szCs w:val="20"/>
        </w:rPr>
        <w:t>performance</w:t>
      </w:r>
      <w:r w:rsidRPr="0041594F">
        <w:rPr>
          <w:sz w:val="20"/>
          <w:szCs w:val="20"/>
        </w:rPr>
        <w:t xml:space="preserve">, NPM, was introduced to replace </w:t>
      </w:r>
      <w:r w:rsidRPr="0041594F">
        <w:rPr>
          <w:i/>
          <w:sz w:val="20"/>
          <w:szCs w:val="20"/>
        </w:rPr>
        <w:t>Tobin’s q</w:t>
      </w:r>
      <w:r w:rsidRPr="0041594F">
        <w:rPr>
          <w:sz w:val="20"/>
          <w:szCs w:val="20"/>
        </w:rPr>
        <w:t>. The idea was to test whether the results obtained were sensitive to the performance measure employed. The performance of the sensitivity model, especially in terms of its explanatory power, was consistent with the base model. The R</w:t>
      </w:r>
      <w:r w:rsidRPr="0041594F">
        <w:rPr>
          <w:sz w:val="20"/>
          <w:szCs w:val="20"/>
          <w:vertAlign w:val="superscript"/>
        </w:rPr>
        <w:t>2</w:t>
      </w:r>
      <w:r w:rsidRPr="0041594F">
        <w:rPr>
          <w:sz w:val="20"/>
          <w:szCs w:val="20"/>
        </w:rPr>
        <w:t xml:space="preserve"> and F-statistic of the model are 0.644 and 1.606 respectively. The p-value of 0.008 is much less than the 5 per cent (&lt;0.05) critical threshold, which indicates that the entire model is statistically significant. </w:t>
      </w:r>
    </w:p>
    <w:p w:rsidR="00750DD9" w:rsidRDefault="00750DD9" w:rsidP="007D77C4">
      <w:pPr>
        <w:pStyle w:val="ListParagraph"/>
        <w:jc w:val="both"/>
        <w:rPr>
          <w:sz w:val="20"/>
          <w:szCs w:val="20"/>
        </w:rPr>
      </w:pPr>
    </w:p>
    <w:p w:rsidR="00600CEF" w:rsidRDefault="00600CEF" w:rsidP="007D77C4">
      <w:pPr>
        <w:pStyle w:val="ListParagraph"/>
        <w:jc w:val="both"/>
        <w:rPr>
          <w:sz w:val="20"/>
          <w:szCs w:val="20"/>
        </w:rPr>
      </w:pPr>
    </w:p>
    <w:p w:rsidR="00600CEF" w:rsidRPr="007D77C4" w:rsidRDefault="00600CEF" w:rsidP="007D77C4">
      <w:pPr>
        <w:pStyle w:val="ListParagraph"/>
        <w:jc w:val="both"/>
        <w:rPr>
          <w:sz w:val="20"/>
          <w:szCs w:val="20"/>
        </w:rPr>
      </w:pPr>
    </w:p>
    <w:p w:rsidR="00750DD9" w:rsidRPr="007D77C4" w:rsidRDefault="00750DD9" w:rsidP="009474FA">
      <w:pPr>
        <w:pStyle w:val="ListParagraph"/>
        <w:spacing w:line="360" w:lineRule="auto"/>
        <w:jc w:val="both"/>
        <w:rPr>
          <w:sz w:val="20"/>
          <w:szCs w:val="20"/>
        </w:rPr>
      </w:pPr>
      <w:r w:rsidRPr="009474FA">
        <w:rPr>
          <w:sz w:val="20"/>
          <w:szCs w:val="20"/>
        </w:rPr>
        <w:lastRenderedPageBreak/>
        <w:t>In the sensitivity model, three variables – directors’ years of experience (AVGexp), board independence (BI) and firm leverage (LEV) – remained statistically significant although they exhibited an inverse relationship with the firm performance proxy NPM. On the other hand, board size (BS), CEO duality (CEODUAL), directors’ educational qualifications (</w:t>
      </w:r>
      <w:r w:rsidR="00CB3F4A" w:rsidRPr="009474FA">
        <w:rPr>
          <w:sz w:val="20"/>
          <w:szCs w:val="20"/>
        </w:rPr>
        <w:t>D</w:t>
      </w:r>
      <w:r w:rsidRPr="009474FA">
        <w:rPr>
          <w:sz w:val="20"/>
          <w:szCs w:val="20"/>
        </w:rPr>
        <w:t>MBA) and ethnic representation (ER) were found to be statistically insignificant in this model.</w:t>
      </w:r>
      <w:r w:rsidR="009474FA" w:rsidRPr="009474FA">
        <w:rPr>
          <w:sz w:val="20"/>
          <w:szCs w:val="20"/>
        </w:rPr>
        <w:t xml:space="preserve"> </w:t>
      </w:r>
      <w:r w:rsidRPr="009474FA">
        <w:rPr>
          <w:sz w:val="20"/>
          <w:szCs w:val="20"/>
        </w:rPr>
        <w:t xml:space="preserve">It is interesting to note here that, while some variables maintained the same level of statistical significance, the effect of their relationship with the dependent variable, NPM, changed from that in the base model, where </w:t>
      </w:r>
      <w:r w:rsidRPr="009474FA">
        <w:rPr>
          <w:i/>
          <w:sz w:val="20"/>
          <w:szCs w:val="20"/>
        </w:rPr>
        <w:t>Tobin’s q</w:t>
      </w:r>
      <w:r w:rsidRPr="009474FA">
        <w:rPr>
          <w:sz w:val="20"/>
          <w:szCs w:val="20"/>
        </w:rPr>
        <w:t xml:space="preserve"> was used. For instance, the effect of board independence and directors’ years of experience on firm performance, initially positive, became negative and statistically significant at the 5 per cent level. The proportion of directors with MBA and directors from major ethnic groups were found to be negatively and statistically insignificantly related to firm performance in this model. Board size was found to be positively associated with NPM but not statistically significant. While CEO duality also exhibited an inverse relationship with the dependent variable compared to the result obtained in the base model, the outcome still provided little support for the hypothesis: the sensitivity model shows CEO duality to be negatively associated with NPM but not significant statistically.</w:t>
      </w:r>
    </w:p>
    <w:p w:rsidR="00750DD9" w:rsidRPr="007D77C4" w:rsidRDefault="00750DD9" w:rsidP="007D77C4">
      <w:pPr>
        <w:pStyle w:val="ListParagraph"/>
        <w:jc w:val="both"/>
        <w:rPr>
          <w:sz w:val="20"/>
          <w:szCs w:val="20"/>
        </w:rPr>
      </w:pPr>
    </w:p>
    <w:p w:rsidR="009E4781" w:rsidRDefault="00750DD9" w:rsidP="009E4781">
      <w:pPr>
        <w:pStyle w:val="ListParagraph"/>
        <w:spacing w:line="360" w:lineRule="auto"/>
        <w:jc w:val="both"/>
        <w:rPr>
          <w:sz w:val="20"/>
          <w:szCs w:val="20"/>
        </w:rPr>
      </w:pPr>
      <w:r w:rsidRPr="007D77C4">
        <w:rPr>
          <w:sz w:val="20"/>
          <w:szCs w:val="20"/>
        </w:rPr>
        <w:t xml:space="preserve">Table </w:t>
      </w:r>
      <w:r w:rsidR="00261D63">
        <w:rPr>
          <w:sz w:val="20"/>
          <w:szCs w:val="20"/>
        </w:rPr>
        <w:t>3</w:t>
      </w:r>
      <w:r w:rsidRPr="007D77C4">
        <w:rPr>
          <w:sz w:val="20"/>
          <w:szCs w:val="20"/>
        </w:rPr>
        <w:t xml:space="preserve"> present</w:t>
      </w:r>
      <w:r w:rsidR="003B4EC7">
        <w:rPr>
          <w:sz w:val="20"/>
          <w:szCs w:val="20"/>
        </w:rPr>
        <w:t xml:space="preserve">ed the results of the </w:t>
      </w:r>
      <w:r w:rsidRPr="007D77C4">
        <w:rPr>
          <w:sz w:val="20"/>
          <w:szCs w:val="20"/>
        </w:rPr>
        <w:t>second cluster. Board structure and macroeconomic variables were regressed against the firm performance proxy (</w:t>
      </w:r>
      <w:r w:rsidRPr="007D77C4">
        <w:rPr>
          <w:i/>
          <w:sz w:val="20"/>
          <w:szCs w:val="20"/>
        </w:rPr>
        <w:t>Tobin’s q</w:t>
      </w:r>
      <w:r w:rsidRPr="007D77C4">
        <w:rPr>
          <w:sz w:val="20"/>
          <w:szCs w:val="20"/>
        </w:rPr>
        <w:t>). The results show the base model to be robust and offer</w:t>
      </w:r>
      <w:r w:rsidR="000A5532">
        <w:rPr>
          <w:sz w:val="20"/>
          <w:szCs w:val="20"/>
        </w:rPr>
        <w:t>ed</w:t>
      </w:r>
      <w:r w:rsidRPr="007D77C4">
        <w:rPr>
          <w:sz w:val="20"/>
          <w:szCs w:val="20"/>
        </w:rPr>
        <w:t xml:space="preserve"> high explanatory power, as reflected in the R</w:t>
      </w:r>
      <w:r w:rsidRPr="007D77C4">
        <w:rPr>
          <w:sz w:val="20"/>
          <w:szCs w:val="20"/>
          <w:vertAlign w:val="superscript"/>
        </w:rPr>
        <w:t>2</w:t>
      </w:r>
      <w:r w:rsidRPr="007D77C4">
        <w:rPr>
          <w:sz w:val="20"/>
          <w:szCs w:val="20"/>
        </w:rPr>
        <w:t xml:space="preserve"> and F-statistic (0.871 and 14.274). The p-value, 0.000, which is less than the 0.05 level, also suggests that the base model is statistically significant. The R</w:t>
      </w:r>
      <w:r w:rsidRPr="007D77C4">
        <w:rPr>
          <w:sz w:val="20"/>
          <w:szCs w:val="20"/>
          <w:vertAlign w:val="superscript"/>
        </w:rPr>
        <w:t>2</w:t>
      </w:r>
      <w:r w:rsidRPr="007D77C4">
        <w:rPr>
          <w:sz w:val="20"/>
          <w:szCs w:val="20"/>
        </w:rPr>
        <w:t xml:space="preserve"> value of 0.871 implies that the variables used in the model explain up to 87 per cent of the relationship between the independent variables and dependent variable. </w:t>
      </w:r>
    </w:p>
    <w:p w:rsidR="009E4781" w:rsidRDefault="009E4781" w:rsidP="009E4781">
      <w:pPr>
        <w:pStyle w:val="ListParagraph"/>
        <w:spacing w:line="360" w:lineRule="auto"/>
        <w:jc w:val="both"/>
        <w:rPr>
          <w:sz w:val="20"/>
          <w:szCs w:val="20"/>
        </w:rPr>
      </w:pPr>
    </w:p>
    <w:p w:rsidR="00750DD9" w:rsidRPr="007D77C4" w:rsidRDefault="00750DD9" w:rsidP="009E4781">
      <w:pPr>
        <w:pStyle w:val="ListParagraph"/>
        <w:spacing w:line="360" w:lineRule="auto"/>
        <w:jc w:val="both"/>
        <w:rPr>
          <w:sz w:val="20"/>
          <w:szCs w:val="20"/>
        </w:rPr>
      </w:pPr>
      <w:r w:rsidRPr="007D77C4">
        <w:rPr>
          <w:sz w:val="20"/>
          <w:szCs w:val="20"/>
        </w:rPr>
        <w:t xml:space="preserve">With respect to the performance of the individual variables that made up the regressors, five variables were found to be </w:t>
      </w:r>
      <w:r w:rsidR="009E4781">
        <w:rPr>
          <w:sz w:val="20"/>
          <w:szCs w:val="20"/>
        </w:rPr>
        <w:t xml:space="preserve">statistically </w:t>
      </w:r>
      <w:r w:rsidRPr="007D77C4">
        <w:rPr>
          <w:sz w:val="20"/>
          <w:szCs w:val="20"/>
        </w:rPr>
        <w:t>significant. These were directors’ years of experience (AVGEXP), board independence (BI) and directors’ qualifications (</w:t>
      </w:r>
      <w:r w:rsidR="00CB3F4A" w:rsidRPr="007D77C4">
        <w:rPr>
          <w:sz w:val="20"/>
          <w:szCs w:val="20"/>
        </w:rPr>
        <w:t>D</w:t>
      </w:r>
      <w:r w:rsidRPr="007D77C4">
        <w:rPr>
          <w:sz w:val="20"/>
          <w:szCs w:val="20"/>
        </w:rPr>
        <w:t>MBA), leverage (LEV) and economic openness (LOGOPENNESS). Board size (BS), CEO duality (CEODUAL) and directors’ ethnic representation, as well as the level of economic growth (LOGGGDP), were found to be statistically immaterial at the 5 per cent level of significance.</w:t>
      </w:r>
      <w:r w:rsidR="009E4781">
        <w:rPr>
          <w:sz w:val="20"/>
          <w:szCs w:val="20"/>
        </w:rPr>
        <w:t xml:space="preserve"> </w:t>
      </w:r>
      <w:r w:rsidRPr="007D77C4">
        <w:rPr>
          <w:sz w:val="20"/>
          <w:szCs w:val="20"/>
        </w:rPr>
        <w:t xml:space="preserve">The results regarding the effect of the relationships were equally significant. Board size was found to have a positive effect on </w:t>
      </w:r>
      <w:r w:rsidRPr="007D77C4">
        <w:rPr>
          <w:i/>
          <w:sz w:val="20"/>
          <w:szCs w:val="20"/>
        </w:rPr>
        <w:t>Tobin’s q</w:t>
      </w:r>
      <w:r w:rsidRPr="007D77C4">
        <w:rPr>
          <w:sz w:val="20"/>
          <w:szCs w:val="20"/>
        </w:rPr>
        <w:t xml:space="preserve">, contrary to the prediction of </w:t>
      </w:r>
      <w:r w:rsidRPr="00312BEB">
        <w:rPr>
          <w:sz w:val="20"/>
          <w:szCs w:val="20"/>
        </w:rPr>
        <w:t>Hypothesis 1</w:t>
      </w:r>
      <w:r w:rsidRPr="007D77C4">
        <w:rPr>
          <w:sz w:val="20"/>
          <w:szCs w:val="20"/>
        </w:rPr>
        <w:t xml:space="preserve">, but the effect was statistically insignificant (coefficient =0.052; p-value = 0.650). Directors’ years of experience was found to be positively and significantly associated with </w:t>
      </w:r>
      <w:r w:rsidRPr="007D77C4">
        <w:rPr>
          <w:i/>
          <w:sz w:val="20"/>
          <w:szCs w:val="20"/>
        </w:rPr>
        <w:t>Tobin’s q</w:t>
      </w:r>
      <w:r w:rsidRPr="007D77C4">
        <w:rPr>
          <w:sz w:val="20"/>
          <w:szCs w:val="20"/>
        </w:rPr>
        <w:t xml:space="preserve"> (coefficient =0.164; p-value = 0.032).</w:t>
      </w:r>
    </w:p>
    <w:p w:rsidR="00750DD9" w:rsidRDefault="00750DD9" w:rsidP="00750DD9">
      <w:pPr>
        <w:spacing w:line="360" w:lineRule="auto"/>
        <w:ind w:left="360"/>
        <w:jc w:val="both"/>
      </w:pPr>
    </w:p>
    <w:p w:rsidR="00615031" w:rsidRDefault="00615031" w:rsidP="00750DD9">
      <w:pPr>
        <w:spacing w:line="360" w:lineRule="auto"/>
        <w:ind w:left="360"/>
        <w:jc w:val="both"/>
      </w:pPr>
    </w:p>
    <w:p w:rsidR="00615031" w:rsidRDefault="00615031" w:rsidP="00750DD9">
      <w:pPr>
        <w:spacing w:line="360" w:lineRule="auto"/>
        <w:ind w:left="360"/>
        <w:jc w:val="both"/>
      </w:pPr>
    </w:p>
    <w:p w:rsidR="00615031" w:rsidRDefault="00615031" w:rsidP="00750DD9">
      <w:pPr>
        <w:spacing w:line="360" w:lineRule="auto"/>
        <w:ind w:left="360"/>
        <w:jc w:val="both"/>
      </w:pPr>
    </w:p>
    <w:p w:rsidR="00615031" w:rsidRDefault="00615031" w:rsidP="00750DD9">
      <w:pPr>
        <w:spacing w:line="360" w:lineRule="auto"/>
        <w:ind w:left="360"/>
        <w:jc w:val="both"/>
      </w:pPr>
    </w:p>
    <w:p w:rsidR="008921F1" w:rsidRDefault="008921F1" w:rsidP="00750DD9">
      <w:pPr>
        <w:spacing w:line="360" w:lineRule="auto"/>
        <w:ind w:left="360"/>
        <w:jc w:val="both"/>
      </w:pPr>
    </w:p>
    <w:p w:rsidR="00750DD9" w:rsidRPr="007D77C4" w:rsidRDefault="00750DD9" w:rsidP="00750DD9">
      <w:pPr>
        <w:spacing w:line="360" w:lineRule="auto"/>
        <w:jc w:val="center"/>
        <w:rPr>
          <w:b/>
          <w:sz w:val="20"/>
          <w:szCs w:val="20"/>
        </w:rPr>
      </w:pPr>
      <w:r w:rsidRPr="007D77C4">
        <w:rPr>
          <w:b/>
          <w:sz w:val="20"/>
          <w:szCs w:val="20"/>
        </w:rPr>
        <w:lastRenderedPageBreak/>
        <w:t xml:space="preserve">Cluster </w:t>
      </w:r>
      <w:r w:rsidR="007D77C4" w:rsidRPr="007D77C4">
        <w:rPr>
          <w:b/>
          <w:sz w:val="20"/>
          <w:szCs w:val="20"/>
        </w:rPr>
        <w:t>2</w:t>
      </w:r>
      <w:r w:rsidRPr="007D77C4">
        <w:rPr>
          <w:b/>
          <w:sz w:val="20"/>
          <w:szCs w:val="20"/>
        </w:rPr>
        <w:t xml:space="preserve">: </w:t>
      </w:r>
      <w:r w:rsidR="007D77C4" w:rsidRPr="007D77C4">
        <w:rPr>
          <w:sz w:val="20"/>
          <w:szCs w:val="20"/>
        </w:rPr>
        <w:t>Extended Multivariate Analysis</w:t>
      </w:r>
      <w:r w:rsidR="007D77C4" w:rsidRPr="007D77C4">
        <w:rPr>
          <w:i/>
          <w:sz w:val="20"/>
          <w:szCs w:val="20"/>
        </w:rPr>
        <w:t xml:space="preserve"> </w:t>
      </w:r>
    </w:p>
    <w:p w:rsidR="00750DD9" w:rsidRDefault="00750DD9" w:rsidP="00750DD9">
      <w:pPr>
        <w:spacing w:line="360" w:lineRule="auto"/>
        <w:ind w:left="720"/>
        <w:jc w:val="both"/>
        <w:rPr>
          <w:sz w:val="20"/>
          <w:szCs w:val="20"/>
        </w:rPr>
      </w:pPr>
      <w:r w:rsidRPr="007D77C4">
        <w:rPr>
          <w:b/>
          <w:sz w:val="20"/>
          <w:szCs w:val="20"/>
        </w:rPr>
        <w:t xml:space="preserve">Table </w:t>
      </w:r>
      <w:r w:rsidR="007D77C4" w:rsidRPr="007D77C4">
        <w:rPr>
          <w:b/>
          <w:sz w:val="20"/>
          <w:szCs w:val="20"/>
        </w:rPr>
        <w:t>3</w:t>
      </w:r>
      <w:r w:rsidRPr="007D77C4">
        <w:rPr>
          <w:sz w:val="20"/>
          <w:szCs w:val="20"/>
        </w:rPr>
        <w:t xml:space="preserve">: Board Features and </w:t>
      </w:r>
      <w:r w:rsidR="007D77C4" w:rsidRPr="007D77C4">
        <w:rPr>
          <w:sz w:val="20"/>
          <w:szCs w:val="20"/>
        </w:rPr>
        <w:t xml:space="preserve">Macroeconomic </w:t>
      </w:r>
      <w:r w:rsidRPr="007D77C4">
        <w:rPr>
          <w:sz w:val="20"/>
          <w:szCs w:val="20"/>
        </w:rPr>
        <w:t>Variables as Determinants of Firm Performance (</w:t>
      </w:r>
      <w:r w:rsidRPr="007D77C4">
        <w:rPr>
          <w:i/>
          <w:sz w:val="20"/>
          <w:szCs w:val="20"/>
        </w:rPr>
        <w:t>Tobin’s q</w:t>
      </w:r>
      <w:r w:rsidRPr="007D77C4">
        <w:rPr>
          <w:sz w:val="20"/>
          <w:szCs w:val="20"/>
        </w:rPr>
        <w:t>)</w:t>
      </w:r>
    </w:p>
    <w:tbl>
      <w:tblPr>
        <w:tblW w:w="8895" w:type="dxa"/>
        <w:tblInd w:w="750" w:type="dxa"/>
        <w:tblLook w:val="04A0" w:firstRow="1" w:lastRow="0" w:firstColumn="1" w:lastColumn="0" w:noHBand="0" w:noVBand="1"/>
      </w:tblPr>
      <w:tblGrid>
        <w:gridCol w:w="2088"/>
        <w:gridCol w:w="953"/>
        <w:gridCol w:w="952"/>
        <w:gridCol w:w="1012"/>
        <w:gridCol w:w="973"/>
        <w:gridCol w:w="953"/>
        <w:gridCol w:w="952"/>
        <w:gridCol w:w="1012"/>
      </w:tblGrid>
      <w:tr w:rsidR="00A14127" w:rsidRPr="00A14127" w:rsidTr="002C5360">
        <w:trPr>
          <w:trHeight w:val="315"/>
        </w:trPr>
        <w:tc>
          <w:tcPr>
            <w:tcW w:w="2088" w:type="dxa"/>
            <w:tcBorders>
              <w:top w:val="single" w:sz="8" w:space="0" w:color="auto"/>
              <w:left w:val="nil"/>
              <w:bottom w:val="single" w:sz="8" w:space="0" w:color="auto"/>
              <w:right w:val="nil"/>
            </w:tcBorders>
            <w:shd w:val="clear" w:color="000000" w:fill="FFFFFF"/>
            <w:noWrap/>
            <w:vAlign w:val="center"/>
            <w:hideMark/>
          </w:tcPr>
          <w:p w:rsidR="00A14127" w:rsidRPr="00A14127" w:rsidRDefault="00A14127" w:rsidP="00A14127">
            <w:pPr>
              <w:rPr>
                <w:rFonts w:eastAsia="Times New Roman"/>
                <w:b/>
                <w:bCs/>
                <w:color w:val="000000"/>
                <w:sz w:val="20"/>
                <w:szCs w:val="20"/>
                <w:lang w:val="en-GB" w:eastAsia="en-GB"/>
              </w:rPr>
            </w:pPr>
            <w:r w:rsidRPr="00A14127">
              <w:rPr>
                <w:rFonts w:eastAsia="Times New Roman"/>
                <w:b/>
                <w:bCs/>
                <w:color w:val="000000"/>
                <w:sz w:val="20"/>
                <w:szCs w:val="20"/>
                <w:lang w:eastAsia="en-GB"/>
              </w:rPr>
              <w:t>Variable</w:t>
            </w:r>
          </w:p>
        </w:tc>
        <w:tc>
          <w:tcPr>
            <w:tcW w:w="2917" w:type="dxa"/>
            <w:gridSpan w:val="3"/>
            <w:tcBorders>
              <w:top w:val="single" w:sz="8" w:space="0" w:color="auto"/>
              <w:left w:val="nil"/>
              <w:bottom w:val="single" w:sz="8" w:space="0" w:color="auto"/>
              <w:right w:val="nil"/>
            </w:tcBorders>
            <w:shd w:val="clear" w:color="000000" w:fill="FFFFFF"/>
            <w:noWrap/>
            <w:vAlign w:val="bottom"/>
            <w:hideMark/>
          </w:tcPr>
          <w:p w:rsidR="00A14127" w:rsidRPr="00A14127" w:rsidRDefault="00A14127" w:rsidP="00A14127">
            <w:pPr>
              <w:jc w:val="center"/>
              <w:rPr>
                <w:rFonts w:eastAsia="Times New Roman"/>
                <w:b/>
                <w:bCs/>
                <w:color w:val="000000"/>
                <w:sz w:val="20"/>
                <w:szCs w:val="20"/>
                <w:lang w:val="en-GB" w:eastAsia="en-GB"/>
              </w:rPr>
            </w:pPr>
            <w:r w:rsidRPr="00A14127">
              <w:rPr>
                <w:rFonts w:eastAsia="Times New Roman"/>
                <w:b/>
                <w:bCs/>
                <w:color w:val="000000"/>
                <w:sz w:val="20"/>
                <w:szCs w:val="20"/>
                <w:lang w:val="en-GB" w:eastAsia="en-GB"/>
              </w:rPr>
              <w:t>Base Model (Tobin's q)</w:t>
            </w:r>
          </w:p>
        </w:tc>
        <w:tc>
          <w:tcPr>
            <w:tcW w:w="973" w:type="dxa"/>
            <w:tcBorders>
              <w:top w:val="single" w:sz="8" w:space="0" w:color="auto"/>
              <w:left w:val="nil"/>
              <w:bottom w:val="single" w:sz="8" w:space="0" w:color="auto"/>
              <w:right w:val="nil"/>
            </w:tcBorders>
            <w:shd w:val="clear" w:color="000000" w:fill="FFFFFF"/>
            <w:noWrap/>
            <w:vAlign w:val="bottom"/>
            <w:hideMark/>
          </w:tcPr>
          <w:p w:rsidR="00A14127" w:rsidRPr="00A14127" w:rsidRDefault="00A14127" w:rsidP="00A14127">
            <w:pPr>
              <w:jc w:val="center"/>
              <w:rPr>
                <w:rFonts w:eastAsia="Times New Roman"/>
                <w:b/>
                <w:bCs/>
                <w:color w:val="000000"/>
                <w:sz w:val="20"/>
                <w:szCs w:val="20"/>
                <w:lang w:val="en-GB" w:eastAsia="en-GB"/>
              </w:rPr>
            </w:pPr>
            <w:r w:rsidRPr="00A14127">
              <w:rPr>
                <w:rFonts w:eastAsia="Times New Roman"/>
                <w:b/>
                <w:bCs/>
                <w:color w:val="000000"/>
                <w:sz w:val="20"/>
                <w:szCs w:val="20"/>
                <w:lang w:val="en-GB" w:eastAsia="en-GB"/>
              </w:rPr>
              <w:t> </w:t>
            </w:r>
          </w:p>
        </w:tc>
        <w:tc>
          <w:tcPr>
            <w:tcW w:w="2917" w:type="dxa"/>
            <w:gridSpan w:val="3"/>
            <w:tcBorders>
              <w:top w:val="single" w:sz="8" w:space="0" w:color="auto"/>
              <w:left w:val="nil"/>
              <w:bottom w:val="single" w:sz="8" w:space="0" w:color="auto"/>
              <w:right w:val="nil"/>
            </w:tcBorders>
            <w:shd w:val="clear" w:color="000000" w:fill="FFFFFF"/>
            <w:noWrap/>
            <w:vAlign w:val="bottom"/>
            <w:hideMark/>
          </w:tcPr>
          <w:p w:rsidR="00A14127" w:rsidRPr="00A14127" w:rsidRDefault="00A14127" w:rsidP="00A14127">
            <w:pPr>
              <w:jc w:val="center"/>
              <w:rPr>
                <w:rFonts w:eastAsia="Times New Roman"/>
                <w:b/>
                <w:bCs/>
                <w:color w:val="000000"/>
                <w:sz w:val="20"/>
                <w:szCs w:val="20"/>
                <w:lang w:val="en-GB" w:eastAsia="en-GB"/>
              </w:rPr>
            </w:pPr>
            <w:r w:rsidRPr="00A14127">
              <w:rPr>
                <w:rFonts w:eastAsia="Times New Roman"/>
                <w:b/>
                <w:bCs/>
                <w:color w:val="000000"/>
                <w:sz w:val="20"/>
                <w:szCs w:val="20"/>
                <w:lang w:val="en-GB" w:eastAsia="en-GB"/>
              </w:rPr>
              <w:t>Sensitivity Model (ROA)</w:t>
            </w:r>
          </w:p>
        </w:tc>
      </w:tr>
      <w:tr w:rsidR="00A14127" w:rsidRPr="00A14127" w:rsidTr="002C5360">
        <w:trPr>
          <w:trHeight w:val="315"/>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2917" w:type="dxa"/>
            <w:gridSpan w:val="3"/>
            <w:tcBorders>
              <w:top w:val="single" w:sz="8" w:space="0" w:color="auto"/>
              <w:left w:val="nil"/>
              <w:bottom w:val="single" w:sz="8" w:space="0" w:color="auto"/>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OLS Result</w:t>
            </w:r>
          </w:p>
        </w:tc>
        <w:tc>
          <w:tcPr>
            <w:tcW w:w="973" w:type="dxa"/>
            <w:tcBorders>
              <w:top w:val="nil"/>
              <w:left w:val="nil"/>
              <w:bottom w:val="single" w:sz="8" w:space="0" w:color="auto"/>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 </w:t>
            </w:r>
          </w:p>
        </w:tc>
        <w:tc>
          <w:tcPr>
            <w:tcW w:w="2917" w:type="dxa"/>
            <w:gridSpan w:val="3"/>
            <w:tcBorders>
              <w:top w:val="single" w:sz="8" w:space="0" w:color="auto"/>
              <w:left w:val="nil"/>
              <w:bottom w:val="single" w:sz="8" w:space="0" w:color="auto"/>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OLS Result</w:t>
            </w:r>
          </w:p>
        </w:tc>
      </w:tr>
      <w:tr w:rsidR="00A14127" w:rsidRPr="00A14127" w:rsidTr="002C5360">
        <w:trPr>
          <w:trHeight w:val="300"/>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Constant</w:t>
            </w:r>
          </w:p>
        </w:tc>
        <w:tc>
          <w:tcPr>
            <w:tcW w:w="2917" w:type="dxa"/>
            <w:gridSpan w:val="3"/>
            <w:tcBorders>
              <w:top w:val="single" w:sz="8" w:space="0" w:color="auto"/>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9.878</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2917" w:type="dxa"/>
            <w:gridSpan w:val="3"/>
            <w:tcBorders>
              <w:top w:val="single" w:sz="8" w:space="0" w:color="auto"/>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-0.805</w:t>
            </w:r>
          </w:p>
        </w:tc>
      </w:tr>
      <w:tr w:rsidR="00A14127" w:rsidRPr="00A14127" w:rsidTr="002C5360">
        <w:trPr>
          <w:trHeight w:val="300"/>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(-1.318)</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(-0.103)</w:t>
            </w:r>
          </w:p>
        </w:tc>
      </w:tr>
      <w:tr w:rsidR="00A14127" w:rsidRPr="00A14127" w:rsidTr="002C5360">
        <w:trPr>
          <w:trHeight w:val="300"/>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BS</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0.052</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0.135</w:t>
            </w:r>
          </w:p>
        </w:tc>
      </w:tr>
      <w:tr w:rsidR="00A14127" w:rsidRPr="00A14127" w:rsidTr="002C5360">
        <w:trPr>
          <w:trHeight w:val="300"/>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(0.454)</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(1.281)</w:t>
            </w:r>
          </w:p>
        </w:tc>
      </w:tr>
      <w:tr w:rsidR="00A14127" w:rsidRPr="00A14127" w:rsidTr="002C5360">
        <w:trPr>
          <w:trHeight w:val="405"/>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AVGEXP</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0.164</w:t>
            </w:r>
            <w:r w:rsidRPr="00E56C0A">
              <w:rPr>
                <w:rFonts w:eastAsia="Times New Roman"/>
                <w:b/>
                <w:bCs/>
                <w:i/>
                <w:iCs/>
                <w:color w:val="000000"/>
                <w:sz w:val="32"/>
                <w:szCs w:val="32"/>
                <w:lang w:val="en-GB" w:eastAsia="en-GB"/>
              </w:rPr>
              <w:t>ᵃ</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0.175</w:t>
            </w:r>
            <w:r w:rsidRPr="00E56C0A">
              <w:rPr>
                <w:rFonts w:eastAsia="Times New Roman"/>
                <w:b/>
                <w:bCs/>
                <w:i/>
                <w:iCs/>
                <w:color w:val="000000"/>
                <w:sz w:val="32"/>
                <w:szCs w:val="32"/>
                <w:lang w:val="en-GB" w:eastAsia="en-GB"/>
              </w:rPr>
              <w:t>ᵃ</w:t>
            </w:r>
          </w:p>
        </w:tc>
      </w:tr>
      <w:tr w:rsidR="00A14127" w:rsidRPr="00A14127" w:rsidTr="002C5360">
        <w:trPr>
          <w:trHeight w:val="300"/>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(2.154)</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(2.396)</w:t>
            </w:r>
          </w:p>
        </w:tc>
      </w:tr>
      <w:tr w:rsidR="00A14127" w:rsidRPr="00A14127" w:rsidTr="002C5360">
        <w:trPr>
          <w:trHeight w:val="405"/>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BI</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0.103</w:t>
            </w:r>
            <w:r w:rsidRPr="00E56C0A">
              <w:rPr>
                <w:rFonts w:eastAsia="Times New Roman"/>
                <w:b/>
                <w:bCs/>
                <w:i/>
                <w:iCs/>
                <w:color w:val="000000"/>
                <w:sz w:val="32"/>
                <w:szCs w:val="32"/>
                <w:lang w:val="en-GB" w:eastAsia="en-GB"/>
              </w:rPr>
              <w:t>ᵃ</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-0.081</w:t>
            </w:r>
          </w:p>
        </w:tc>
      </w:tr>
      <w:tr w:rsidR="00A14127" w:rsidRPr="00A14127" w:rsidTr="002C5360">
        <w:trPr>
          <w:trHeight w:val="300"/>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(1.343)</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(-1.077)</w:t>
            </w:r>
          </w:p>
        </w:tc>
      </w:tr>
      <w:tr w:rsidR="00A14127" w:rsidRPr="00A14127" w:rsidTr="002C5360">
        <w:trPr>
          <w:trHeight w:val="300"/>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CEODUAL</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0.035</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-0.062</w:t>
            </w:r>
          </w:p>
        </w:tc>
      </w:tr>
      <w:tr w:rsidR="00A14127" w:rsidRPr="00A14127" w:rsidTr="002C5360">
        <w:trPr>
          <w:trHeight w:val="300"/>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(0.544)</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(-0.920)</w:t>
            </w:r>
          </w:p>
        </w:tc>
      </w:tr>
      <w:tr w:rsidR="00A14127" w:rsidRPr="00A14127" w:rsidTr="002C5360">
        <w:trPr>
          <w:trHeight w:val="405"/>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DMBA</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0.272</w:t>
            </w:r>
            <w:r w:rsidRPr="00E56C0A">
              <w:rPr>
                <w:rFonts w:eastAsia="Times New Roman"/>
                <w:b/>
                <w:bCs/>
                <w:i/>
                <w:iCs/>
                <w:color w:val="000000"/>
                <w:sz w:val="32"/>
                <w:szCs w:val="32"/>
                <w:lang w:val="en-GB" w:eastAsia="en-GB"/>
              </w:rPr>
              <w:t>ᵃ</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0.022</w:t>
            </w:r>
          </w:p>
        </w:tc>
      </w:tr>
      <w:tr w:rsidR="00A14127" w:rsidRPr="00A14127" w:rsidTr="002C5360">
        <w:trPr>
          <w:trHeight w:val="300"/>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(3.694)</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(0.308)</w:t>
            </w:r>
          </w:p>
        </w:tc>
      </w:tr>
      <w:tr w:rsidR="00A14127" w:rsidRPr="00A14127" w:rsidTr="002C5360">
        <w:trPr>
          <w:trHeight w:val="300"/>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ER</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0.026</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-0.058</w:t>
            </w:r>
          </w:p>
        </w:tc>
      </w:tr>
      <w:tr w:rsidR="00A14127" w:rsidRPr="00A14127" w:rsidTr="002C5360">
        <w:trPr>
          <w:trHeight w:val="300"/>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(0.236)</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(-0.577)</w:t>
            </w:r>
          </w:p>
        </w:tc>
      </w:tr>
      <w:tr w:rsidR="00A14127" w:rsidRPr="00A14127" w:rsidTr="002C5360">
        <w:trPr>
          <w:trHeight w:val="300"/>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LOGGDP(-1)</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-1.156</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-0.236</w:t>
            </w:r>
          </w:p>
        </w:tc>
      </w:tr>
      <w:tr w:rsidR="00A14127" w:rsidRPr="00A14127" w:rsidTr="002C5360">
        <w:trPr>
          <w:trHeight w:val="300"/>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(-1.474)</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(-0.289)</w:t>
            </w:r>
          </w:p>
        </w:tc>
      </w:tr>
      <w:tr w:rsidR="00A14127" w:rsidRPr="00A14127" w:rsidTr="002C5360">
        <w:trPr>
          <w:trHeight w:val="405"/>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LOGOPENNESS(-1)</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0.128</w:t>
            </w:r>
            <w:r w:rsidRPr="00E56C0A">
              <w:rPr>
                <w:rFonts w:eastAsia="Times New Roman"/>
                <w:b/>
                <w:bCs/>
                <w:i/>
                <w:iCs/>
                <w:color w:val="000000"/>
                <w:sz w:val="32"/>
                <w:szCs w:val="32"/>
                <w:lang w:val="en-GB" w:eastAsia="en-GB"/>
              </w:rPr>
              <w:t>ᵃ</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0.149</w:t>
            </w:r>
            <w:r w:rsidRPr="00E56C0A">
              <w:rPr>
                <w:rFonts w:eastAsia="Times New Roman"/>
                <w:b/>
                <w:bCs/>
                <w:i/>
                <w:iCs/>
                <w:color w:val="000000"/>
                <w:sz w:val="32"/>
                <w:szCs w:val="32"/>
                <w:lang w:val="en-GB" w:eastAsia="en-GB"/>
              </w:rPr>
              <w:t>ᵃ</w:t>
            </w:r>
          </w:p>
        </w:tc>
      </w:tr>
      <w:tr w:rsidR="00A14127" w:rsidRPr="00A14127" w:rsidTr="002C5360">
        <w:trPr>
          <w:trHeight w:val="300"/>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(1.635)</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(1.822)</w:t>
            </w:r>
          </w:p>
        </w:tc>
      </w:tr>
      <w:tr w:rsidR="00A14127" w:rsidRPr="00A14127" w:rsidTr="002C5360">
        <w:trPr>
          <w:trHeight w:val="405"/>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LEV</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0.023</w:t>
            </w:r>
            <w:r w:rsidRPr="00E56C0A">
              <w:rPr>
                <w:rFonts w:eastAsia="Times New Roman"/>
                <w:b/>
                <w:bCs/>
                <w:i/>
                <w:iCs/>
                <w:color w:val="000000"/>
                <w:sz w:val="32"/>
                <w:szCs w:val="32"/>
                <w:lang w:val="en-GB" w:eastAsia="en-GB"/>
              </w:rPr>
              <w:t>ᵃ</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FS</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1.128</w:t>
            </w:r>
            <w:r w:rsidRPr="00E56C0A">
              <w:rPr>
                <w:rFonts w:eastAsia="Times New Roman"/>
                <w:b/>
                <w:bCs/>
                <w:i/>
                <w:iCs/>
                <w:color w:val="000000"/>
                <w:sz w:val="32"/>
                <w:szCs w:val="32"/>
                <w:lang w:val="en-GB" w:eastAsia="en-GB"/>
              </w:rPr>
              <w:t>ᵃ</w:t>
            </w:r>
          </w:p>
        </w:tc>
      </w:tr>
      <w:tr w:rsidR="00A14127" w:rsidRPr="00A14127" w:rsidTr="002C5360">
        <w:trPr>
          <w:trHeight w:val="300"/>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(2.332)</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 </w:t>
            </w:r>
          </w:p>
        </w:tc>
        <w:tc>
          <w:tcPr>
            <w:tcW w:w="2917" w:type="dxa"/>
            <w:gridSpan w:val="3"/>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(1.933)</w:t>
            </w:r>
          </w:p>
        </w:tc>
      </w:tr>
      <w:tr w:rsidR="00A14127" w:rsidRPr="00A14127" w:rsidTr="002C5360">
        <w:trPr>
          <w:trHeight w:val="300"/>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953" w:type="dxa"/>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 </w:t>
            </w:r>
          </w:p>
        </w:tc>
        <w:tc>
          <w:tcPr>
            <w:tcW w:w="952" w:type="dxa"/>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i/>
                <w:iCs/>
                <w:color w:val="000000"/>
                <w:sz w:val="20"/>
                <w:szCs w:val="20"/>
                <w:lang w:val="en-GB" w:eastAsia="en-GB"/>
              </w:rPr>
            </w:pPr>
            <w:r w:rsidRPr="00A14127">
              <w:rPr>
                <w:rFonts w:eastAsia="Times New Roman"/>
                <w:i/>
                <w:iCs/>
                <w:color w:val="000000"/>
                <w:sz w:val="20"/>
                <w:szCs w:val="20"/>
                <w:lang w:val="en-GB" w:eastAsia="en-GB"/>
              </w:rPr>
              <w:t> </w:t>
            </w:r>
          </w:p>
        </w:tc>
        <w:tc>
          <w:tcPr>
            <w:tcW w:w="1012"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953"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952"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1012"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r>
      <w:tr w:rsidR="00A14127" w:rsidRPr="00A14127" w:rsidTr="002C5360">
        <w:trPr>
          <w:trHeight w:val="300"/>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R</w:t>
            </w:r>
            <w:r w:rsidRPr="00A14127">
              <w:rPr>
                <w:rFonts w:ascii="Calibri" w:eastAsia="Times New Roman" w:hAnsi="Calibri"/>
                <w:color w:val="000000"/>
                <w:sz w:val="20"/>
                <w:szCs w:val="20"/>
                <w:lang w:val="en-GB" w:eastAsia="en-GB"/>
              </w:rPr>
              <w:t>²</w:t>
            </w:r>
          </w:p>
        </w:tc>
        <w:tc>
          <w:tcPr>
            <w:tcW w:w="1905" w:type="dxa"/>
            <w:gridSpan w:val="2"/>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0.871</w:t>
            </w:r>
          </w:p>
        </w:tc>
        <w:tc>
          <w:tcPr>
            <w:tcW w:w="1012"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1905" w:type="dxa"/>
            <w:gridSpan w:val="2"/>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0.742</w:t>
            </w:r>
          </w:p>
        </w:tc>
        <w:tc>
          <w:tcPr>
            <w:tcW w:w="1012"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r>
      <w:tr w:rsidR="00A14127" w:rsidRPr="00A14127" w:rsidTr="002C5360">
        <w:trPr>
          <w:trHeight w:val="300"/>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Adjusted R²</w:t>
            </w:r>
          </w:p>
        </w:tc>
        <w:tc>
          <w:tcPr>
            <w:tcW w:w="1905" w:type="dxa"/>
            <w:gridSpan w:val="2"/>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0.751</w:t>
            </w:r>
          </w:p>
        </w:tc>
        <w:tc>
          <w:tcPr>
            <w:tcW w:w="1012"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1905" w:type="dxa"/>
            <w:gridSpan w:val="2"/>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0.675</w:t>
            </w:r>
          </w:p>
        </w:tc>
        <w:tc>
          <w:tcPr>
            <w:tcW w:w="1012"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r>
      <w:tr w:rsidR="00A14127" w:rsidRPr="00A14127" w:rsidTr="002C5360">
        <w:trPr>
          <w:trHeight w:val="300"/>
        </w:trPr>
        <w:tc>
          <w:tcPr>
            <w:tcW w:w="2088"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i/>
                <w:iCs/>
                <w:color w:val="000000"/>
                <w:sz w:val="20"/>
                <w:szCs w:val="20"/>
                <w:lang w:val="en-GB" w:eastAsia="en-GB"/>
              </w:rPr>
            </w:pPr>
            <w:r w:rsidRPr="00A14127">
              <w:rPr>
                <w:rFonts w:eastAsia="Times New Roman"/>
                <w:i/>
                <w:iCs/>
                <w:color w:val="000000"/>
                <w:sz w:val="20"/>
                <w:szCs w:val="20"/>
                <w:lang w:val="en-GB" w:eastAsia="en-GB"/>
              </w:rPr>
              <w:t>F-</w:t>
            </w:r>
            <w:r w:rsidRPr="00A14127">
              <w:rPr>
                <w:rFonts w:eastAsia="Times New Roman"/>
                <w:color w:val="000000"/>
                <w:sz w:val="20"/>
                <w:szCs w:val="20"/>
                <w:lang w:val="en-GB" w:eastAsia="en-GB"/>
              </w:rPr>
              <w:t>statistics</w:t>
            </w:r>
          </w:p>
        </w:tc>
        <w:tc>
          <w:tcPr>
            <w:tcW w:w="1905" w:type="dxa"/>
            <w:gridSpan w:val="2"/>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14.273</w:t>
            </w:r>
          </w:p>
        </w:tc>
        <w:tc>
          <w:tcPr>
            <w:tcW w:w="1012"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973"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1905" w:type="dxa"/>
            <w:gridSpan w:val="2"/>
            <w:tcBorders>
              <w:top w:val="nil"/>
              <w:left w:val="nil"/>
              <w:bottom w:val="nil"/>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7.216</w:t>
            </w:r>
          </w:p>
        </w:tc>
        <w:tc>
          <w:tcPr>
            <w:tcW w:w="1012" w:type="dxa"/>
            <w:tcBorders>
              <w:top w:val="nil"/>
              <w:left w:val="nil"/>
              <w:bottom w:val="nil"/>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r>
      <w:tr w:rsidR="00A14127" w:rsidRPr="00A14127" w:rsidTr="002C5360">
        <w:trPr>
          <w:trHeight w:val="315"/>
        </w:trPr>
        <w:tc>
          <w:tcPr>
            <w:tcW w:w="2088" w:type="dxa"/>
            <w:tcBorders>
              <w:top w:val="nil"/>
              <w:left w:val="nil"/>
              <w:bottom w:val="single" w:sz="8" w:space="0" w:color="auto"/>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i/>
                <w:iCs/>
                <w:color w:val="000000"/>
                <w:sz w:val="20"/>
                <w:szCs w:val="20"/>
                <w:lang w:val="en-GB" w:eastAsia="en-GB"/>
              </w:rPr>
              <w:t>P-Value</w:t>
            </w:r>
            <w:r w:rsidRPr="00A14127">
              <w:rPr>
                <w:rFonts w:eastAsia="Times New Roman"/>
                <w:color w:val="000000"/>
                <w:sz w:val="20"/>
                <w:szCs w:val="20"/>
                <w:lang w:val="en-GB" w:eastAsia="en-GB"/>
              </w:rPr>
              <w:t>(</w:t>
            </w:r>
            <w:r w:rsidRPr="00A14127">
              <w:rPr>
                <w:rFonts w:eastAsia="Times New Roman"/>
                <w:i/>
                <w:iCs/>
                <w:color w:val="000000"/>
                <w:sz w:val="20"/>
                <w:szCs w:val="20"/>
                <w:lang w:val="en-GB" w:eastAsia="en-GB"/>
              </w:rPr>
              <w:t>F</w:t>
            </w:r>
            <w:r w:rsidRPr="00A14127">
              <w:rPr>
                <w:rFonts w:eastAsia="Times New Roman"/>
                <w:color w:val="000000"/>
                <w:sz w:val="20"/>
                <w:szCs w:val="20"/>
                <w:lang w:val="en-GB" w:eastAsia="en-GB"/>
              </w:rPr>
              <w:t>-statistics)</w:t>
            </w:r>
          </w:p>
        </w:tc>
        <w:tc>
          <w:tcPr>
            <w:tcW w:w="1905" w:type="dxa"/>
            <w:gridSpan w:val="2"/>
            <w:tcBorders>
              <w:top w:val="nil"/>
              <w:left w:val="nil"/>
              <w:bottom w:val="single" w:sz="8" w:space="0" w:color="auto"/>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0.00</w:t>
            </w:r>
          </w:p>
        </w:tc>
        <w:tc>
          <w:tcPr>
            <w:tcW w:w="1012" w:type="dxa"/>
            <w:tcBorders>
              <w:top w:val="nil"/>
              <w:left w:val="nil"/>
              <w:bottom w:val="single" w:sz="8" w:space="0" w:color="auto"/>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973" w:type="dxa"/>
            <w:tcBorders>
              <w:top w:val="nil"/>
              <w:left w:val="nil"/>
              <w:bottom w:val="single" w:sz="8" w:space="0" w:color="auto"/>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c>
          <w:tcPr>
            <w:tcW w:w="1905" w:type="dxa"/>
            <w:gridSpan w:val="2"/>
            <w:tcBorders>
              <w:top w:val="nil"/>
              <w:left w:val="nil"/>
              <w:bottom w:val="single" w:sz="8" w:space="0" w:color="auto"/>
              <w:right w:val="nil"/>
            </w:tcBorders>
            <w:shd w:val="clear" w:color="000000" w:fill="FFFFFF"/>
            <w:noWrap/>
            <w:vAlign w:val="bottom"/>
            <w:hideMark/>
          </w:tcPr>
          <w:p w:rsidR="00A14127" w:rsidRPr="00A14127" w:rsidRDefault="00A14127" w:rsidP="00A14127">
            <w:pPr>
              <w:jc w:val="center"/>
              <w:rPr>
                <w:rFonts w:eastAsia="Times New Roman"/>
                <w:color w:val="000000"/>
                <w:sz w:val="20"/>
                <w:szCs w:val="20"/>
                <w:lang w:val="en-GB" w:eastAsia="en-GB"/>
              </w:rPr>
            </w:pPr>
            <w:r w:rsidRPr="00A14127">
              <w:rPr>
                <w:rFonts w:eastAsia="Times New Roman"/>
                <w:color w:val="000000"/>
                <w:sz w:val="20"/>
                <w:szCs w:val="20"/>
                <w:lang w:val="en-GB" w:eastAsia="en-GB"/>
              </w:rPr>
              <w:t>0.00</w:t>
            </w:r>
          </w:p>
        </w:tc>
        <w:tc>
          <w:tcPr>
            <w:tcW w:w="1012" w:type="dxa"/>
            <w:tcBorders>
              <w:top w:val="nil"/>
              <w:left w:val="nil"/>
              <w:bottom w:val="single" w:sz="8" w:space="0" w:color="auto"/>
              <w:right w:val="nil"/>
            </w:tcBorders>
            <w:shd w:val="clear" w:color="000000" w:fill="FFFFFF"/>
            <w:noWrap/>
            <w:vAlign w:val="bottom"/>
            <w:hideMark/>
          </w:tcPr>
          <w:p w:rsidR="00A14127" w:rsidRPr="00A14127" w:rsidRDefault="00A14127" w:rsidP="00A14127">
            <w:pPr>
              <w:rPr>
                <w:rFonts w:eastAsia="Times New Roman"/>
                <w:color w:val="000000"/>
                <w:sz w:val="20"/>
                <w:szCs w:val="20"/>
                <w:lang w:val="en-GB" w:eastAsia="en-GB"/>
              </w:rPr>
            </w:pPr>
            <w:r w:rsidRPr="00A14127">
              <w:rPr>
                <w:rFonts w:eastAsia="Times New Roman"/>
                <w:color w:val="000000"/>
                <w:sz w:val="20"/>
                <w:szCs w:val="20"/>
                <w:lang w:val="en-GB" w:eastAsia="en-GB"/>
              </w:rPr>
              <w:t> </w:t>
            </w:r>
          </w:p>
        </w:tc>
      </w:tr>
      <w:tr w:rsidR="00A14127" w:rsidRPr="00E41C68" w:rsidTr="002C5360">
        <w:trPr>
          <w:trHeight w:val="300"/>
        </w:trPr>
        <w:tc>
          <w:tcPr>
            <w:tcW w:w="8895" w:type="dxa"/>
            <w:gridSpan w:val="8"/>
            <w:tcBorders>
              <w:top w:val="single" w:sz="8" w:space="0" w:color="auto"/>
              <w:left w:val="nil"/>
              <w:bottom w:val="nil"/>
              <w:right w:val="nil"/>
            </w:tcBorders>
            <w:shd w:val="clear" w:color="000000" w:fill="FFFFFF"/>
            <w:noWrap/>
            <w:vAlign w:val="bottom"/>
            <w:hideMark/>
          </w:tcPr>
          <w:p w:rsidR="00A14127" w:rsidRPr="00E41C68" w:rsidRDefault="00A14127" w:rsidP="00A14127">
            <w:pPr>
              <w:rPr>
                <w:rFonts w:eastAsia="Times New Roman"/>
                <w:i/>
                <w:color w:val="000000"/>
                <w:sz w:val="16"/>
                <w:szCs w:val="16"/>
                <w:lang w:val="en-GB" w:eastAsia="en-GB"/>
              </w:rPr>
            </w:pPr>
            <w:r w:rsidRPr="00E41C68">
              <w:rPr>
                <w:rFonts w:eastAsia="Times New Roman"/>
                <w:color w:val="000000"/>
                <w:sz w:val="16"/>
                <w:szCs w:val="16"/>
                <w:lang w:val="en-GB" w:eastAsia="en-GB"/>
              </w:rPr>
              <w:t>Notes</w:t>
            </w:r>
            <w:r w:rsidRPr="00E41C68">
              <w:rPr>
                <w:rFonts w:eastAsia="Times New Roman"/>
                <w:i/>
                <w:color w:val="000000"/>
                <w:sz w:val="16"/>
                <w:szCs w:val="16"/>
                <w:lang w:val="en-GB" w:eastAsia="en-GB"/>
              </w:rPr>
              <w:t xml:space="preserve">: </w:t>
            </w:r>
            <w:r w:rsidRPr="00E41C68">
              <w:rPr>
                <w:rFonts w:eastAsia="Times New Roman"/>
                <w:b/>
                <w:i/>
                <w:color w:val="000000"/>
                <w:sz w:val="16"/>
                <w:szCs w:val="16"/>
                <w:lang w:val="en-GB" w:eastAsia="en-GB"/>
              </w:rPr>
              <w:t>a</w:t>
            </w:r>
            <w:r w:rsidRPr="00E41C68">
              <w:rPr>
                <w:rFonts w:eastAsia="Times New Roman"/>
                <w:i/>
                <w:color w:val="000000"/>
                <w:sz w:val="16"/>
                <w:szCs w:val="16"/>
                <w:lang w:val="en-GB" w:eastAsia="en-GB"/>
              </w:rPr>
              <w:t xml:space="preserve"> significant at 5% level; </w:t>
            </w:r>
            <w:r w:rsidRPr="00E41C68">
              <w:rPr>
                <w:rFonts w:eastAsia="Times New Roman"/>
                <w:b/>
                <w:i/>
                <w:color w:val="000000"/>
                <w:sz w:val="16"/>
                <w:szCs w:val="16"/>
                <w:lang w:val="en-GB" w:eastAsia="en-GB"/>
              </w:rPr>
              <w:t>b</w:t>
            </w:r>
            <w:r w:rsidRPr="00E41C68">
              <w:rPr>
                <w:rFonts w:eastAsia="Times New Roman"/>
                <w:i/>
                <w:color w:val="000000"/>
                <w:sz w:val="16"/>
                <w:szCs w:val="16"/>
                <w:lang w:val="en-GB" w:eastAsia="en-GB"/>
              </w:rPr>
              <w:t xml:space="preserve"> significant at 10% level; t-statistics values captured in parentheses </w:t>
            </w:r>
          </w:p>
        </w:tc>
      </w:tr>
    </w:tbl>
    <w:p w:rsidR="00D16B2B" w:rsidRPr="00D16B2B" w:rsidRDefault="00D16B2B" w:rsidP="00D16B2B">
      <w:pPr>
        <w:pStyle w:val="ListParagraph"/>
        <w:jc w:val="both"/>
        <w:rPr>
          <w:i/>
          <w:sz w:val="16"/>
          <w:szCs w:val="16"/>
        </w:rPr>
      </w:pPr>
      <w:r w:rsidRPr="00E41C68">
        <w:rPr>
          <w:i/>
          <w:sz w:val="16"/>
          <w:szCs w:val="16"/>
        </w:rPr>
        <w:t>ROA is measured as the ratio of net profit to a firm’s total assets. NPM is measured as the proportion of sales to net profit. Tobin’s q is derived as the ratio of a firm’s market capitalisation to total assets. Board size is estimated as the total number of directors on the board. Board Independence is captured as the total number of independent NEDs on the board. CEO Duality is captured as a dummy, which takes the value one if the same person holds the two positions and the value zero if the positions are separated. DMBA is captured as the number of directors with an MBA. AVGEXP is captured as the average number of years of work experience of the directors. ER is captured as the proportion of directors from the three major ethnic groups in Nigeria. Economic growth is captured as the percentage change in the real GDP year-on-year. Economic Openness is measured as the ratio of the balance of trade to GDP. Firm Leverage is measured as the ratio of firm debt to assets.</w:t>
      </w:r>
      <w:r w:rsidRPr="00D16B2B">
        <w:rPr>
          <w:i/>
          <w:sz w:val="16"/>
          <w:szCs w:val="16"/>
        </w:rPr>
        <w:t xml:space="preserve"> </w:t>
      </w:r>
    </w:p>
    <w:p w:rsidR="00D16B2B" w:rsidRPr="00236850" w:rsidRDefault="00D16B2B" w:rsidP="00D16B2B">
      <w:pPr>
        <w:pStyle w:val="ListParagraph"/>
        <w:jc w:val="both"/>
        <w:rPr>
          <w:i/>
          <w:sz w:val="16"/>
          <w:szCs w:val="16"/>
        </w:rPr>
      </w:pPr>
    </w:p>
    <w:p w:rsidR="00750DD9" w:rsidRPr="0001322A" w:rsidRDefault="00750DD9" w:rsidP="00AF7C13">
      <w:pPr>
        <w:pStyle w:val="ListParagraph"/>
        <w:spacing w:line="360" w:lineRule="auto"/>
        <w:jc w:val="both"/>
        <w:rPr>
          <w:sz w:val="20"/>
          <w:szCs w:val="20"/>
        </w:rPr>
      </w:pPr>
      <w:r w:rsidRPr="0001322A">
        <w:rPr>
          <w:sz w:val="20"/>
          <w:szCs w:val="20"/>
        </w:rPr>
        <w:t>This result offers empirical support to the fifth hypothesis. Board independence was found to be strongly and significantly linked to firm performance. This outcome is consistent with the second hypothesis. Hypothesis 3’s prediction of the effect of firm leadership structure (CEO duality) is not authenticated. CEO duality was found to be positively but insignificantly associated with the performance measure. Directors’ educational qualifications (</w:t>
      </w:r>
      <w:r w:rsidR="00CB3F4A" w:rsidRPr="0001322A">
        <w:rPr>
          <w:sz w:val="20"/>
          <w:szCs w:val="20"/>
        </w:rPr>
        <w:t>D</w:t>
      </w:r>
      <w:r w:rsidRPr="0001322A">
        <w:rPr>
          <w:sz w:val="20"/>
          <w:szCs w:val="20"/>
        </w:rPr>
        <w:t xml:space="preserve">MBA) were found to be significantly associated with </w:t>
      </w:r>
      <w:r w:rsidRPr="0001322A">
        <w:rPr>
          <w:i/>
          <w:sz w:val="20"/>
          <w:szCs w:val="20"/>
        </w:rPr>
        <w:t>Tobin’s q</w:t>
      </w:r>
      <w:r w:rsidRPr="0001322A">
        <w:rPr>
          <w:sz w:val="20"/>
          <w:szCs w:val="20"/>
        </w:rPr>
        <w:t xml:space="preserve"> (coefficient =0.272; p-value = 0.005) thus offering support for the fourth </w:t>
      </w:r>
      <w:r w:rsidRPr="0001322A">
        <w:rPr>
          <w:sz w:val="20"/>
          <w:szCs w:val="20"/>
        </w:rPr>
        <w:lastRenderedPageBreak/>
        <w:t xml:space="preserve">hypothesis. On the contrary, directors’ ethnicity (ER) was found to be positively linked to firm performance as predicted in the sixth hypothesis, but the effect was statistically insignificant. </w:t>
      </w:r>
    </w:p>
    <w:p w:rsidR="00750DD9" w:rsidRPr="0001322A" w:rsidRDefault="00750DD9" w:rsidP="00750DD9">
      <w:pPr>
        <w:spacing w:line="360" w:lineRule="auto"/>
        <w:ind w:left="360"/>
        <w:jc w:val="both"/>
        <w:rPr>
          <w:sz w:val="20"/>
          <w:szCs w:val="20"/>
        </w:rPr>
      </w:pPr>
    </w:p>
    <w:p w:rsidR="00750DD9" w:rsidRPr="0001322A" w:rsidRDefault="00750DD9" w:rsidP="00312BEB">
      <w:pPr>
        <w:pStyle w:val="ListParagraph"/>
        <w:spacing w:line="360" w:lineRule="auto"/>
        <w:jc w:val="both"/>
        <w:rPr>
          <w:sz w:val="20"/>
          <w:szCs w:val="20"/>
        </w:rPr>
      </w:pPr>
      <w:r w:rsidRPr="0001322A">
        <w:rPr>
          <w:sz w:val="20"/>
          <w:szCs w:val="20"/>
        </w:rPr>
        <w:t xml:space="preserve">A further sensitivity analysis was conducted to verify whether the results obtained from the base model of Cluster 2 were sensitive to the performance measure employed, i.e. </w:t>
      </w:r>
      <w:r w:rsidRPr="0001322A">
        <w:rPr>
          <w:i/>
          <w:sz w:val="20"/>
          <w:szCs w:val="20"/>
        </w:rPr>
        <w:t xml:space="preserve">Tobin’s q </w:t>
      </w:r>
      <w:r w:rsidRPr="0001322A">
        <w:rPr>
          <w:sz w:val="20"/>
          <w:szCs w:val="20"/>
        </w:rPr>
        <w:t xml:space="preserve">(see Table </w:t>
      </w:r>
      <w:r w:rsidR="002951EC" w:rsidRPr="0001322A">
        <w:rPr>
          <w:sz w:val="20"/>
          <w:szCs w:val="20"/>
        </w:rPr>
        <w:t>3</w:t>
      </w:r>
      <w:r w:rsidRPr="0001322A">
        <w:rPr>
          <w:sz w:val="20"/>
          <w:szCs w:val="20"/>
        </w:rPr>
        <w:t xml:space="preserve">). The alternative model was regressed using a different performance measure (ROA) and with an additional </w:t>
      </w:r>
      <w:r w:rsidRPr="000823E9">
        <w:rPr>
          <w:sz w:val="20"/>
          <w:szCs w:val="20"/>
        </w:rPr>
        <w:t>control variable (firm size) to mitigate potential endogeneity. The overall outcome shows the model to have high explanatory power and robust</w:t>
      </w:r>
      <w:r w:rsidR="000823E9" w:rsidRPr="000823E9">
        <w:rPr>
          <w:sz w:val="20"/>
          <w:szCs w:val="20"/>
        </w:rPr>
        <w:t>ness.</w:t>
      </w:r>
      <w:r w:rsidRPr="000823E9">
        <w:rPr>
          <w:sz w:val="20"/>
          <w:szCs w:val="20"/>
        </w:rPr>
        <w:t xml:space="preserve"> The adjusted R</w:t>
      </w:r>
      <w:r w:rsidRPr="000823E9">
        <w:rPr>
          <w:sz w:val="20"/>
          <w:szCs w:val="20"/>
          <w:vertAlign w:val="superscript"/>
        </w:rPr>
        <w:t>2</w:t>
      </w:r>
      <w:r w:rsidRPr="000823E9">
        <w:rPr>
          <w:sz w:val="20"/>
          <w:szCs w:val="20"/>
        </w:rPr>
        <w:t xml:space="preserve"> is 0.675, suggesting that nearly 68 per cent of the variation in the dependent variable (ROA) is explained by the estimated model. This is further corroborated by the R</w:t>
      </w:r>
      <w:r w:rsidRPr="000823E9">
        <w:rPr>
          <w:sz w:val="20"/>
          <w:szCs w:val="20"/>
          <w:vertAlign w:val="superscript"/>
        </w:rPr>
        <w:t>2</w:t>
      </w:r>
      <w:r w:rsidRPr="000823E9">
        <w:rPr>
          <w:sz w:val="20"/>
          <w:szCs w:val="20"/>
        </w:rPr>
        <w:t xml:space="preserve"> (=74 per cent).</w:t>
      </w:r>
      <w:r w:rsidRPr="0001322A">
        <w:rPr>
          <w:sz w:val="20"/>
          <w:szCs w:val="20"/>
        </w:rPr>
        <w:t xml:space="preserve"> </w:t>
      </w:r>
    </w:p>
    <w:p w:rsidR="00750DD9" w:rsidRPr="0001322A" w:rsidRDefault="00750DD9" w:rsidP="002C5360">
      <w:pPr>
        <w:pStyle w:val="ListParagraph"/>
        <w:jc w:val="both"/>
        <w:rPr>
          <w:sz w:val="20"/>
          <w:szCs w:val="20"/>
        </w:rPr>
      </w:pPr>
    </w:p>
    <w:p w:rsidR="00750DD9" w:rsidRPr="0001322A" w:rsidRDefault="00750DD9" w:rsidP="002358E8">
      <w:pPr>
        <w:pStyle w:val="ListParagraph"/>
        <w:spacing w:line="360" w:lineRule="auto"/>
        <w:jc w:val="both"/>
        <w:rPr>
          <w:sz w:val="20"/>
          <w:szCs w:val="20"/>
        </w:rPr>
      </w:pPr>
      <w:r w:rsidRPr="0001322A">
        <w:rPr>
          <w:sz w:val="20"/>
          <w:szCs w:val="20"/>
        </w:rPr>
        <w:t xml:space="preserve">In terms of the relative effects of the explanatory variables on the dependent variable, directors’ years of experience (AVGexp) was found to be statistically significant at the 5 per cent level. This result implies that, consistent with the fifth hypothesis, directors’ years of experience are indeed positively associated with </w:t>
      </w:r>
      <w:r w:rsidR="00191D0C">
        <w:rPr>
          <w:sz w:val="20"/>
          <w:szCs w:val="20"/>
        </w:rPr>
        <w:t>ROA</w:t>
      </w:r>
      <w:r w:rsidRPr="0001322A">
        <w:rPr>
          <w:sz w:val="20"/>
          <w:szCs w:val="20"/>
        </w:rPr>
        <w:t xml:space="preserve">. Board size (BS) </w:t>
      </w:r>
      <w:r w:rsidR="00230492" w:rsidRPr="0001322A">
        <w:rPr>
          <w:sz w:val="20"/>
          <w:szCs w:val="20"/>
        </w:rPr>
        <w:t>and the proportion of directors with an MBA were found be positively associated with ROA, as expected,</w:t>
      </w:r>
      <w:r w:rsidR="00037771" w:rsidRPr="0001322A">
        <w:rPr>
          <w:sz w:val="20"/>
          <w:szCs w:val="20"/>
        </w:rPr>
        <w:t xml:space="preserve"> but statistically insignificant</w:t>
      </w:r>
      <w:r w:rsidR="00230492" w:rsidRPr="0001322A">
        <w:rPr>
          <w:sz w:val="20"/>
          <w:szCs w:val="20"/>
        </w:rPr>
        <w:t>.</w:t>
      </w:r>
      <w:r w:rsidRPr="0001322A">
        <w:rPr>
          <w:sz w:val="20"/>
          <w:szCs w:val="20"/>
        </w:rPr>
        <w:t xml:space="preserve"> </w:t>
      </w:r>
      <w:r w:rsidR="00587A37" w:rsidRPr="0001322A">
        <w:rPr>
          <w:sz w:val="20"/>
          <w:szCs w:val="20"/>
        </w:rPr>
        <w:t xml:space="preserve">The relationship between CEO duality (CEODUAL) and firm performance has the sign predicted in the third hypothesis but also not statistically significant (coefficient = -0.062; t-statistic = -0.920). </w:t>
      </w:r>
      <w:r w:rsidRPr="0001322A">
        <w:rPr>
          <w:sz w:val="20"/>
          <w:szCs w:val="20"/>
        </w:rPr>
        <w:t xml:space="preserve">Board independence is negatively associated with ROA </w:t>
      </w:r>
      <w:r w:rsidR="00230492" w:rsidRPr="0001322A">
        <w:rPr>
          <w:sz w:val="20"/>
          <w:szCs w:val="20"/>
        </w:rPr>
        <w:t xml:space="preserve">but not significant </w:t>
      </w:r>
      <w:r w:rsidRPr="0001322A">
        <w:rPr>
          <w:sz w:val="20"/>
          <w:szCs w:val="20"/>
        </w:rPr>
        <w:t xml:space="preserve">(coefficient = -0.081; t-statistic = -1.077). </w:t>
      </w:r>
      <w:r w:rsidR="00587A37" w:rsidRPr="0001322A">
        <w:rPr>
          <w:sz w:val="20"/>
          <w:szCs w:val="20"/>
        </w:rPr>
        <w:t xml:space="preserve">Regression result of from sensitivity model offered no support for the </w:t>
      </w:r>
      <w:r w:rsidRPr="0001322A">
        <w:rPr>
          <w:sz w:val="20"/>
          <w:szCs w:val="20"/>
        </w:rPr>
        <w:t>strategic relevance of ethnic representation (ER)</w:t>
      </w:r>
      <w:r w:rsidR="00587A37" w:rsidRPr="0001322A">
        <w:rPr>
          <w:sz w:val="20"/>
          <w:szCs w:val="20"/>
        </w:rPr>
        <w:t xml:space="preserve"> to firm performance.</w:t>
      </w:r>
      <w:r w:rsidRPr="0001322A">
        <w:rPr>
          <w:sz w:val="20"/>
          <w:szCs w:val="20"/>
        </w:rPr>
        <w:t xml:space="preserve"> </w:t>
      </w:r>
    </w:p>
    <w:p w:rsidR="00750DD9" w:rsidRDefault="00750DD9" w:rsidP="00750DD9">
      <w:pPr>
        <w:spacing w:line="360" w:lineRule="auto"/>
        <w:ind w:left="360"/>
        <w:jc w:val="both"/>
      </w:pPr>
    </w:p>
    <w:p w:rsidR="00750DD9" w:rsidRPr="003C12D9" w:rsidRDefault="00750DD9" w:rsidP="00750DD9">
      <w:pPr>
        <w:spacing w:line="360" w:lineRule="auto"/>
        <w:ind w:left="360"/>
        <w:rPr>
          <w:i/>
          <w:sz w:val="20"/>
          <w:szCs w:val="20"/>
        </w:rPr>
      </w:pPr>
      <w:r>
        <w:rPr>
          <w:b/>
        </w:rPr>
        <w:t xml:space="preserve">  </w:t>
      </w:r>
      <w:r>
        <w:rPr>
          <w:b/>
        </w:rPr>
        <w:tab/>
      </w:r>
      <w:r w:rsidRPr="003C12D9">
        <w:rPr>
          <w:i/>
          <w:sz w:val="20"/>
          <w:szCs w:val="20"/>
        </w:rPr>
        <w:t>Post-Diagnostic Results</w:t>
      </w:r>
    </w:p>
    <w:p w:rsidR="00DA202E" w:rsidRPr="0001322A" w:rsidRDefault="00750DD9" w:rsidP="00DA202E">
      <w:pPr>
        <w:spacing w:line="360" w:lineRule="auto"/>
        <w:ind w:left="720"/>
        <w:jc w:val="both"/>
        <w:rPr>
          <w:sz w:val="20"/>
          <w:szCs w:val="20"/>
        </w:rPr>
      </w:pPr>
      <w:r w:rsidRPr="003C12D9">
        <w:rPr>
          <w:sz w:val="20"/>
          <w:szCs w:val="20"/>
        </w:rPr>
        <w:t xml:space="preserve">The regression results obtained in the preceding models were further subjected to post-diagnostic evaluations to reaffirm their validity, reliability and long-term sustainability. A </w:t>
      </w:r>
      <w:r w:rsidRPr="003C12D9">
        <w:rPr>
          <w:i/>
          <w:sz w:val="20"/>
          <w:szCs w:val="20"/>
        </w:rPr>
        <w:t>co-integration test</w:t>
      </w:r>
      <w:r w:rsidRPr="003C12D9">
        <w:rPr>
          <w:sz w:val="20"/>
          <w:szCs w:val="20"/>
        </w:rPr>
        <w:t xml:space="preserve"> result showed a high level of statistical significance. The reported p-value was 0.011 (coefficient = 0.018; t-statistic = 1.594). This result implies that all of the explanatory variables captured in the model, and the subsequent series of results obtained under various scenarios that examined their effects on firm performance are sustainable in the long term (see: Appendix </w:t>
      </w:r>
      <w:r w:rsidR="003C12D9">
        <w:rPr>
          <w:sz w:val="20"/>
          <w:szCs w:val="20"/>
        </w:rPr>
        <w:t>6</w:t>
      </w:r>
      <w:r w:rsidRPr="003C12D9">
        <w:rPr>
          <w:sz w:val="20"/>
          <w:szCs w:val="20"/>
        </w:rPr>
        <w:t>).</w:t>
      </w:r>
      <w:r w:rsidRPr="0001322A">
        <w:rPr>
          <w:sz w:val="20"/>
          <w:szCs w:val="20"/>
        </w:rPr>
        <w:t xml:space="preserve"> </w:t>
      </w:r>
      <w:r w:rsidR="00DA202E" w:rsidRPr="0001322A">
        <w:rPr>
          <w:sz w:val="20"/>
          <w:szCs w:val="20"/>
        </w:rPr>
        <w:t xml:space="preserve">The second post-diagnostic test conducted was a static forecast experiment using the </w:t>
      </w:r>
      <w:r w:rsidR="00DA202E" w:rsidRPr="0001322A">
        <w:rPr>
          <w:i/>
          <w:sz w:val="20"/>
          <w:szCs w:val="20"/>
        </w:rPr>
        <w:t>Theil inequality coefficient</w:t>
      </w:r>
      <w:r w:rsidR="00DA202E" w:rsidRPr="0001322A">
        <w:rPr>
          <w:sz w:val="20"/>
          <w:szCs w:val="20"/>
        </w:rPr>
        <w:t xml:space="preserve"> (see Table 4). The rationale behind this reliability test was to check the effectiveness of the model in reflecting future changes in the explained variables. Across the four dependent variables employed in this study, the Theil inequality coefficients were greater than zero but also less than one, which implies a relatively good fit.</w:t>
      </w:r>
    </w:p>
    <w:p w:rsidR="00DA202E" w:rsidRDefault="00DA202E" w:rsidP="00DA202E">
      <w:pPr>
        <w:spacing w:line="360" w:lineRule="auto"/>
        <w:ind w:left="720"/>
        <w:jc w:val="both"/>
        <w:rPr>
          <w:sz w:val="20"/>
          <w:szCs w:val="20"/>
        </w:rPr>
      </w:pPr>
    </w:p>
    <w:p w:rsidR="00600CEF" w:rsidRDefault="00600CEF" w:rsidP="00DA202E">
      <w:pPr>
        <w:spacing w:line="360" w:lineRule="auto"/>
        <w:ind w:left="720"/>
        <w:jc w:val="both"/>
        <w:rPr>
          <w:sz w:val="20"/>
          <w:szCs w:val="20"/>
        </w:rPr>
      </w:pPr>
    </w:p>
    <w:p w:rsidR="00600CEF" w:rsidRDefault="00600CEF" w:rsidP="00DA202E">
      <w:pPr>
        <w:spacing w:line="360" w:lineRule="auto"/>
        <w:ind w:left="720"/>
        <w:jc w:val="both"/>
        <w:rPr>
          <w:sz w:val="20"/>
          <w:szCs w:val="20"/>
        </w:rPr>
      </w:pPr>
    </w:p>
    <w:p w:rsidR="00600CEF" w:rsidRDefault="00600CEF" w:rsidP="00DA202E">
      <w:pPr>
        <w:spacing w:line="360" w:lineRule="auto"/>
        <w:ind w:left="720"/>
        <w:jc w:val="both"/>
        <w:rPr>
          <w:sz w:val="20"/>
          <w:szCs w:val="20"/>
        </w:rPr>
      </w:pPr>
    </w:p>
    <w:p w:rsidR="00600CEF" w:rsidRDefault="00600CEF" w:rsidP="00DA202E">
      <w:pPr>
        <w:spacing w:line="360" w:lineRule="auto"/>
        <w:ind w:left="720"/>
        <w:jc w:val="both"/>
        <w:rPr>
          <w:sz w:val="20"/>
          <w:szCs w:val="20"/>
        </w:rPr>
      </w:pPr>
    </w:p>
    <w:p w:rsidR="00600CEF" w:rsidRPr="0001322A" w:rsidRDefault="00600CEF" w:rsidP="00DA202E">
      <w:pPr>
        <w:spacing w:line="360" w:lineRule="auto"/>
        <w:ind w:left="720"/>
        <w:jc w:val="both"/>
        <w:rPr>
          <w:sz w:val="20"/>
          <w:szCs w:val="20"/>
        </w:rPr>
      </w:pPr>
    </w:p>
    <w:p w:rsidR="00DA202E" w:rsidRPr="0001322A" w:rsidRDefault="00B318FC" w:rsidP="00750DD9">
      <w:pPr>
        <w:spacing w:line="360" w:lineRule="auto"/>
        <w:ind w:left="720"/>
        <w:jc w:val="both"/>
        <w:rPr>
          <w:sz w:val="20"/>
          <w:szCs w:val="20"/>
        </w:rPr>
      </w:pPr>
      <w:r w:rsidRPr="0001322A">
        <w:rPr>
          <w:b/>
          <w:sz w:val="20"/>
          <w:szCs w:val="20"/>
        </w:rPr>
        <w:lastRenderedPageBreak/>
        <w:t xml:space="preserve">Table </w:t>
      </w:r>
      <w:r w:rsidR="00DA202E" w:rsidRPr="0001322A">
        <w:rPr>
          <w:b/>
          <w:sz w:val="20"/>
          <w:szCs w:val="20"/>
        </w:rPr>
        <w:t>4</w:t>
      </w:r>
      <w:r w:rsidR="00DA202E" w:rsidRPr="0001322A">
        <w:rPr>
          <w:sz w:val="20"/>
          <w:szCs w:val="20"/>
        </w:rPr>
        <w:t>: Static Forecast Tests of Model Reliability</w:t>
      </w:r>
    </w:p>
    <w:p w:rsidR="00750DD9" w:rsidRPr="0001322A" w:rsidRDefault="00DA202E" w:rsidP="00750DD9">
      <w:pPr>
        <w:spacing w:line="360" w:lineRule="auto"/>
        <w:ind w:left="360" w:firstLine="360"/>
        <w:jc w:val="both"/>
        <w:rPr>
          <w:b/>
          <w:sz w:val="20"/>
          <w:szCs w:val="20"/>
        </w:rPr>
      </w:pPr>
      <w:r w:rsidRPr="0001322A">
        <w:rPr>
          <w:noProof/>
          <w:sz w:val="20"/>
          <w:szCs w:val="20"/>
          <w:lang w:val="en-GB" w:eastAsia="en-GB"/>
        </w:rPr>
        <w:drawing>
          <wp:inline distT="0" distB="0" distL="0" distR="0" wp14:anchorId="1EF0CB69" wp14:editId="16B82F39">
            <wp:extent cx="5257800" cy="156144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8930" cy="1561777"/>
                    </a:xfrm>
                    <a:prstGeom prst="rect">
                      <a:avLst/>
                    </a:prstGeom>
                    <a:noFill/>
                    <a:ln>
                      <a:noFill/>
                    </a:ln>
                  </pic:spPr>
                </pic:pic>
              </a:graphicData>
            </a:graphic>
          </wp:inline>
        </w:drawing>
      </w:r>
    </w:p>
    <w:p w:rsidR="00DA202E" w:rsidRPr="0001322A" w:rsidRDefault="00DA202E" w:rsidP="00750DD9">
      <w:pPr>
        <w:spacing w:line="360" w:lineRule="auto"/>
        <w:ind w:left="720"/>
        <w:jc w:val="both"/>
        <w:rPr>
          <w:sz w:val="20"/>
          <w:szCs w:val="20"/>
        </w:rPr>
      </w:pPr>
    </w:p>
    <w:p w:rsidR="00750DD9" w:rsidRPr="0001322A" w:rsidRDefault="00750DD9" w:rsidP="00750DD9">
      <w:pPr>
        <w:spacing w:line="360" w:lineRule="auto"/>
        <w:ind w:left="720"/>
        <w:jc w:val="both"/>
        <w:rPr>
          <w:sz w:val="20"/>
          <w:szCs w:val="20"/>
        </w:rPr>
      </w:pPr>
      <w:r w:rsidRPr="0001322A">
        <w:rPr>
          <w:sz w:val="20"/>
          <w:szCs w:val="20"/>
        </w:rPr>
        <w:t>The Theil coefficient results are further divided into three proportions: bias, variance and covariance. The results from the division process show an absence of systematic bias (see</w:t>
      </w:r>
      <w:r w:rsidR="00996D36">
        <w:rPr>
          <w:sz w:val="20"/>
          <w:szCs w:val="20"/>
        </w:rPr>
        <w:t>:</w:t>
      </w:r>
      <w:r w:rsidRPr="0001322A">
        <w:rPr>
          <w:sz w:val="20"/>
          <w:szCs w:val="20"/>
        </w:rPr>
        <w:t xml:space="preserve"> Table </w:t>
      </w:r>
      <w:r w:rsidR="00DA202E" w:rsidRPr="0001322A">
        <w:rPr>
          <w:sz w:val="20"/>
          <w:szCs w:val="20"/>
        </w:rPr>
        <w:t>4</w:t>
      </w:r>
      <w:r w:rsidRPr="0001322A">
        <w:rPr>
          <w:sz w:val="20"/>
          <w:szCs w:val="20"/>
        </w:rPr>
        <w:t xml:space="preserve"> above), which implies that the mean of the forecast and the mean of the actual series were not significantly far apart, but almost equal. Therefore, the estimated models used in this study are statistically valid. In addition, the overall residual variance proportion is relatively low, which suggests that the fluctuations seen in the estimated models </w:t>
      </w:r>
      <w:r w:rsidR="00996D36">
        <w:rPr>
          <w:sz w:val="20"/>
          <w:szCs w:val="20"/>
        </w:rPr>
        <w:t xml:space="preserve">had </w:t>
      </w:r>
      <w:r w:rsidRPr="0001322A">
        <w:rPr>
          <w:sz w:val="20"/>
          <w:szCs w:val="20"/>
        </w:rPr>
        <w:t xml:space="preserve">occurred by chance. Thus, the pattern of results observed and documented in terms of the effects of the independent variables on the dependent variables are sustainable (see: Theil 1966). </w:t>
      </w:r>
    </w:p>
    <w:p w:rsidR="00BD52DF" w:rsidRDefault="00BD52DF" w:rsidP="00B92E0B">
      <w:pPr>
        <w:spacing w:line="276" w:lineRule="auto"/>
        <w:ind w:firstLine="720"/>
        <w:rPr>
          <w:sz w:val="16"/>
          <w:szCs w:val="16"/>
        </w:rPr>
      </w:pPr>
    </w:p>
    <w:p w:rsidR="00FE2B89" w:rsidRDefault="00FE2B89" w:rsidP="00B92E0B">
      <w:pPr>
        <w:spacing w:line="276" w:lineRule="auto"/>
        <w:ind w:firstLine="720"/>
        <w:rPr>
          <w:sz w:val="16"/>
          <w:szCs w:val="16"/>
        </w:rPr>
      </w:pPr>
    </w:p>
    <w:p w:rsidR="00FE2B89" w:rsidRPr="008C2EAA" w:rsidRDefault="00FE2B89" w:rsidP="00276982">
      <w:pPr>
        <w:spacing w:line="360" w:lineRule="auto"/>
        <w:ind w:left="709"/>
        <w:jc w:val="both"/>
        <w:rPr>
          <w:i/>
          <w:sz w:val="20"/>
          <w:szCs w:val="20"/>
        </w:rPr>
      </w:pPr>
      <w:r w:rsidRPr="008C2EAA">
        <w:rPr>
          <w:i/>
          <w:sz w:val="20"/>
          <w:szCs w:val="20"/>
        </w:rPr>
        <w:t>Discussion of Results</w:t>
      </w:r>
    </w:p>
    <w:p w:rsidR="00FE2B89" w:rsidRPr="008C2EAA" w:rsidRDefault="00FE2B89" w:rsidP="00276982">
      <w:pPr>
        <w:pStyle w:val="ListParagraph"/>
        <w:spacing w:line="360" w:lineRule="auto"/>
        <w:jc w:val="both"/>
        <w:rPr>
          <w:sz w:val="20"/>
          <w:szCs w:val="20"/>
        </w:rPr>
      </w:pPr>
      <w:r w:rsidRPr="00276982">
        <w:rPr>
          <w:sz w:val="20"/>
          <w:szCs w:val="20"/>
        </w:rPr>
        <w:t xml:space="preserve">The study has focused on establishing whether SEC Code-recommended board characteristics and macroeconomic variables are linked with improved firm performance in Nigeria. Several findings </w:t>
      </w:r>
      <w:r w:rsidR="00734F2A" w:rsidRPr="00276982">
        <w:rPr>
          <w:sz w:val="20"/>
          <w:szCs w:val="20"/>
        </w:rPr>
        <w:t xml:space="preserve">have </w:t>
      </w:r>
      <w:r w:rsidRPr="00276982">
        <w:rPr>
          <w:sz w:val="20"/>
          <w:szCs w:val="20"/>
        </w:rPr>
        <w:t>emerged across the two clusters</w:t>
      </w:r>
      <w:r w:rsidR="00734F2A" w:rsidRPr="00276982">
        <w:rPr>
          <w:sz w:val="20"/>
          <w:szCs w:val="20"/>
        </w:rPr>
        <w:t xml:space="preserve"> of the estimated models</w:t>
      </w:r>
      <w:r w:rsidRPr="00276982">
        <w:rPr>
          <w:sz w:val="20"/>
          <w:szCs w:val="20"/>
        </w:rPr>
        <w:t xml:space="preserve">. Diverse results from a single study are not peculiar to this </w:t>
      </w:r>
      <w:r w:rsidR="002E71F8">
        <w:rPr>
          <w:sz w:val="20"/>
          <w:szCs w:val="20"/>
        </w:rPr>
        <w:t>empirical investigation</w:t>
      </w:r>
      <w:r w:rsidRPr="00276982">
        <w:rPr>
          <w:sz w:val="20"/>
          <w:szCs w:val="20"/>
        </w:rPr>
        <w:t xml:space="preserve">, but rather widely documented in corporate governance studies (e.g. Jackling and </w:t>
      </w:r>
      <w:proofErr w:type="spellStart"/>
      <w:r w:rsidRPr="00276982">
        <w:rPr>
          <w:sz w:val="20"/>
          <w:szCs w:val="20"/>
        </w:rPr>
        <w:t>Johl</w:t>
      </w:r>
      <w:proofErr w:type="spellEnd"/>
      <w:r w:rsidRPr="00276982">
        <w:rPr>
          <w:sz w:val="20"/>
          <w:szCs w:val="20"/>
        </w:rPr>
        <w:t xml:space="preserve"> 2009; </w:t>
      </w:r>
      <w:proofErr w:type="spellStart"/>
      <w:r w:rsidRPr="00276982">
        <w:rPr>
          <w:sz w:val="20"/>
          <w:szCs w:val="20"/>
        </w:rPr>
        <w:t>Arslan</w:t>
      </w:r>
      <w:proofErr w:type="spellEnd"/>
      <w:r w:rsidRPr="00276982">
        <w:rPr>
          <w:sz w:val="20"/>
          <w:szCs w:val="20"/>
        </w:rPr>
        <w:t xml:space="preserve"> </w:t>
      </w:r>
      <w:r w:rsidRPr="00600CEF">
        <w:rPr>
          <w:sz w:val="20"/>
          <w:szCs w:val="20"/>
        </w:rPr>
        <w:t>et al.</w:t>
      </w:r>
      <w:r w:rsidRPr="00276982">
        <w:rPr>
          <w:sz w:val="20"/>
          <w:szCs w:val="20"/>
        </w:rPr>
        <w:t xml:space="preserve"> 2010; Anderson </w:t>
      </w:r>
      <w:r w:rsidRPr="00600CEF">
        <w:rPr>
          <w:sz w:val="20"/>
          <w:szCs w:val="20"/>
        </w:rPr>
        <w:t>et al.</w:t>
      </w:r>
      <w:r w:rsidRPr="00276982">
        <w:rPr>
          <w:i/>
          <w:sz w:val="20"/>
          <w:szCs w:val="20"/>
        </w:rPr>
        <w:t xml:space="preserve"> </w:t>
      </w:r>
      <w:r w:rsidRPr="00276982">
        <w:rPr>
          <w:sz w:val="20"/>
          <w:szCs w:val="20"/>
        </w:rPr>
        <w:t xml:space="preserve">2011). </w:t>
      </w:r>
      <w:r w:rsidR="00276982" w:rsidRPr="00276982">
        <w:rPr>
          <w:sz w:val="20"/>
          <w:szCs w:val="20"/>
        </w:rPr>
        <w:t>B</w:t>
      </w:r>
      <w:r w:rsidRPr="00276982">
        <w:rPr>
          <w:sz w:val="20"/>
          <w:szCs w:val="20"/>
        </w:rPr>
        <w:t xml:space="preserve">oard size </w:t>
      </w:r>
      <w:r w:rsidR="006501B0" w:rsidRPr="00276982">
        <w:rPr>
          <w:sz w:val="20"/>
          <w:szCs w:val="20"/>
        </w:rPr>
        <w:t xml:space="preserve">had </w:t>
      </w:r>
      <w:r w:rsidRPr="00276982">
        <w:rPr>
          <w:sz w:val="20"/>
          <w:szCs w:val="20"/>
        </w:rPr>
        <w:t xml:space="preserve">maintained its positive but insignificant relationship with the firm performance measures </w:t>
      </w:r>
      <w:r w:rsidRPr="00276982">
        <w:rPr>
          <w:i/>
          <w:sz w:val="20"/>
          <w:szCs w:val="20"/>
        </w:rPr>
        <w:t>Tobin’s q</w:t>
      </w:r>
      <w:r w:rsidRPr="00276982">
        <w:rPr>
          <w:sz w:val="20"/>
          <w:szCs w:val="20"/>
        </w:rPr>
        <w:t xml:space="preserve"> and ROA respectively. This study thus concludes that the </w:t>
      </w:r>
      <w:r w:rsidRPr="00BE3F39">
        <w:rPr>
          <w:i/>
          <w:sz w:val="20"/>
          <w:szCs w:val="20"/>
        </w:rPr>
        <w:t>Hypothesis 1</w:t>
      </w:r>
      <w:r w:rsidRPr="00276982">
        <w:rPr>
          <w:sz w:val="20"/>
          <w:szCs w:val="20"/>
        </w:rPr>
        <w:t xml:space="preserve"> prediction of a negative association between board size and firm performance is invalid in the Nigerian context. Th</w:t>
      </w:r>
      <w:r w:rsidR="006501B0" w:rsidRPr="00276982">
        <w:rPr>
          <w:sz w:val="20"/>
          <w:szCs w:val="20"/>
        </w:rPr>
        <w:t>is</w:t>
      </w:r>
      <w:r w:rsidRPr="00276982">
        <w:rPr>
          <w:sz w:val="20"/>
          <w:szCs w:val="20"/>
        </w:rPr>
        <w:t xml:space="preserve"> outcome </w:t>
      </w:r>
      <w:r w:rsidR="006501B0" w:rsidRPr="00276982">
        <w:rPr>
          <w:sz w:val="20"/>
          <w:szCs w:val="20"/>
        </w:rPr>
        <w:t xml:space="preserve">is </w:t>
      </w:r>
      <w:r w:rsidRPr="00276982">
        <w:rPr>
          <w:sz w:val="20"/>
          <w:szCs w:val="20"/>
        </w:rPr>
        <w:t xml:space="preserve">consistent with </w:t>
      </w:r>
      <w:r w:rsidR="006501B0" w:rsidRPr="00276982">
        <w:rPr>
          <w:sz w:val="20"/>
          <w:szCs w:val="20"/>
        </w:rPr>
        <w:t xml:space="preserve">previous </w:t>
      </w:r>
      <w:r w:rsidR="00276982" w:rsidRPr="00276982">
        <w:rPr>
          <w:sz w:val="20"/>
          <w:szCs w:val="20"/>
        </w:rPr>
        <w:t xml:space="preserve">empirical </w:t>
      </w:r>
      <w:r w:rsidRPr="00276982">
        <w:rPr>
          <w:sz w:val="20"/>
          <w:szCs w:val="20"/>
        </w:rPr>
        <w:t>evidence</w:t>
      </w:r>
      <w:r w:rsidR="006501B0" w:rsidRPr="00276982">
        <w:rPr>
          <w:sz w:val="20"/>
          <w:szCs w:val="20"/>
        </w:rPr>
        <w:t>s</w:t>
      </w:r>
      <w:r w:rsidRPr="00276982">
        <w:rPr>
          <w:sz w:val="20"/>
          <w:szCs w:val="20"/>
        </w:rPr>
        <w:t xml:space="preserve"> (e.g. Tanna </w:t>
      </w:r>
      <w:r w:rsidRPr="00600CEF">
        <w:rPr>
          <w:sz w:val="20"/>
          <w:szCs w:val="20"/>
        </w:rPr>
        <w:t>et al.</w:t>
      </w:r>
      <w:r w:rsidRPr="00276982">
        <w:rPr>
          <w:sz w:val="20"/>
          <w:szCs w:val="20"/>
        </w:rPr>
        <w:t xml:space="preserve"> 2011; </w:t>
      </w:r>
      <w:proofErr w:type="spellStart"/>
      <w:r w:rsidRPr="00276982">
        <w:rPr>
          <w:sz w:val="20"/>
          <w:szCs w:val="20"/>
        </w:rPr>
        <w:t>Larmou</w:t>
      </w:r>
      <w:proofErr w:type="spellEnd"/>
      <w:r w:rsidRPr="00276982">
        <w:rPr>
          <w:sz w:val="20"/>
          <w:szCs w:val="20"/>
        </w:rPr>
        <w:t xml:space="preserve"> and </w:t>
      </w:r>
      <w:proofErr w:type="spellStart"/>
      <w:r w:rsidRPr="00276982">
        <w:rPr>
          <w:sz w:val="20"/>
          <w:szCs w:val="20"/>
        </w:rPr>
        <w:t>Vafeas</w:t>
      </w:r>
      <w:proofErr w:type="spellEnd"/>
      <w:r w:rsidRPr="00276982">
        <w:rPr>
          <w:sz w:val="20"/>
          <w:szCs w:val="20"/>
        </w:rPr>
        <w:t xml:space="preserve"> 2010</w:t>
      </w:r>
      <w:r w:rsidR="006501B0" w:rsidRPr="00276982">
        <w:rPr>
          <w:sz w:val="20"/>
          <w:szCs w:val="20"/>
        </w:rPr>
        <w:t>)</w:t>
      </w:r>
      <w:r w:rsidRPr="00276982">
        <w:rPr>
          <w:sz w:val="20"/>
          <w:szCs w:val="20"/>
        </w:rPr>
        <w:t>.</w:t>
      </w:r>
      <w:r w:rsidRPr="008C2EAA">
        <w:rPr>
          <w:sz w:val="20"/>
          <w:szCs w:val="20"/>
        </w:rPr>
        <w:t xml:space="preserve"> </w:t>
      </w:r>
    </w:p>
    <w:p w:rsidR="00FE2B89" w:rsidRPr="008C2EAA" w:rsidRDefault="00FE2B89" w:rsidP="008C2EAA">
      <w:pPr>
        <w:pStyle w:val="ListParagraph"/>
        <w:jc w:val="both"/>
        <w:rPr>
          <w:sz w:val="20"/>
          <w:szCs w:val="20"/>
        </w:rPr>
      </w:pPr>
    </w:p>
    <w:p w:rsidR="00FE2B89" w:rsidRPr="008C2EAA" w:rsidRDefault="00FE2B89" w:rsidP="00C052EC">
      <w:pPr>
        <w:pStyle w:val="ListParagraph"/>
        <w:spacing w:line="360" w:lineRule="auto"/>
        <w:jc w:val="both"/>
        <w:rPr>
          <w:sz w:val="20"/>
          <w:szCs w:val="20"/>
        </w:rPr>
      </w:pPr>
      <w:r w:rsidRPr="008C2EAA">
        <w:rPr>
          <w:sz w:val="20"/>
          <w:szCs w:val="20"/>
        </w:rPr>
        <w:t>Board independence was found to be positively associated with firm value and statistically significant at the 5 per cent level. Even when the sign of the relationship became negative during the sensitivity assessment, the resultant change was not statistically significant to invalidate the market value (</w:t>
      </w:r>
      <w:r w:rsidRPr="008C2EAA">
        <w:rPr>
          <w:i/>
          <w:sz w:val="20"/>
          <w:szCs w:val="20"/>
        </w:rPr>
        <w:t>Tobin’s q</w:t>
      </w:r>
      <w:r w:rsidRPr="008C2EAA">
        <w:rPr>
          <w:sz w:val="20"/>
          <w:szCs w:val="20"/>
        </w:rPr>
        <w:t xml:space="preserve">) outcome. Therefore, this study has found credible evidence in support of </w:t>
      </w:r>
      <w:r w:rsidRPr="00BE3F39">
        <w:rPr>
          <w:i/>
          <w:sz w:val="20"/>
          <w:szCs w:val="20"/>
        </w:rPr>
        <w:t>Hypothesis 2</w:t>
      </w:r>
      <w:r w:rsidRPr="00BE3F39">
        <w:rPr>
          <w:sz w:val="20"/>
          <w:szCs w:val="20"/>
        </w:rPr>
        <w:t>,</w:t>
      </w:r>
      <w:r w:rsidRPr="008C2EAA">
        <w:rPr>
          <w:sz w:val="20"/>
          <w:szCs w:val="20"/>
        </w:rPr>
        <w:t xml:space="preserve"> in that the presence of independent NEDs is vital to improving the performance of listed companies in Nigeria. This outcome is very much consistent with previous empirical studies examining the effects of board independence on firm p</w:t>
      </w:r>
      <w:r w:rsidR="00276982">
        <w:rPr>
          <w:sz w:val="20"/>
          <w:szCs w:val="20"/>
        </w:rPr>
        <w:t xml:space="preserve">erformance (see: </w:t>
      </w:r>
      <w:r w:rsidRPr="008C2EAA">
        <w:rPr>
          <w:sz w:val="20"/>
          <w:szCs w:val="20"/>
        </w:rPr>
        <w:t xml:space="preserve">Jackling and </w:t>
      </w:r>
      <w:proofErr w:type="spellStart"/>
      <w:r w:rsidRPr="008C2EAA">
        <w:rPr>
          <w:sz w:val="20"/>
          <w:szCs w:val="20"/>
        </w:rPr>
        <w:t>Johl</w:t>
      </w:r>
      <w:proofErr w:type="spellEnd"/>
      <w:r w:rsidRPr="008C2EAA">
        <w:rPr>
          <w:sz w:val="20"/>
          <w:szCs w:val="20"/>
        </w:rPr>
        <w:t xml:space="preserve"> 2009; Rhoades </w:t>
      </w:r>
      <w:r w:rsidRPr="00600CEF">
        <w:rPr>
          <w:sz w:val="20"/>
          <w:szCs w:val="20"/>
        </w:rPr>
        <w:t>et al.</w:t>
      </w:r>
      <w:r w:rsidRPr="008C2EAA">
        <w:rPr>
          <w:i/>
          <w:sz w:val="20"/>
          <w:szCs w:val="20"/>
        </w:rPr>
        <w:t xml:space="preserve"> </w:t>
      </w:r>
      <w:r w:rsidRPr="008C2EAA">
        <w:rPr>
          <w:sz w:val="20"/>
          <w:szCs w:val="20"/>
        </w:rPr>
        <w:t xml:space="preserve">2000). Regarding leadership structure, the study found neither significant support for </w:t>
      </w:r>
      <w:r w:rsidRPr="00BE3F39">
        <w:rPr>
          <w:i/>
          <w:sz w:val="20"/>
          <w:szCs w:val="20"/>
        </w:rPr>
        <w:t>Hypothesis 3</w:t>
      </w:r>
      <w:r w:rsidRPr="008C2EAA">
        <w:rPr>
          <w:sz w:val="20"/>
          <w:szCs w:val="20"/>
        </w:rPr>
        <w:t xml:space="preserve"> or evidence to justify the presumption that CEO duality is a key determinant of firm performance in Nigeria. This finding is clearly consistent with previous empirical evidence in both developed and emerging economies (see: </w:t>
      </w:r>
      <w:proofErr w:type="spellStart"/>
      <w:r w:rsidRPr="008C2EAA">
        <w:rPr>
          <w:sz w:val="20"/>
          <w:szCs w:val="20"/>
        </w:rPr>
        <w:t>Arslan</w:t>
      </w:r>
      <w:proofErr w:type="spellEnd"/>
      <w:r w:rsidRPr="008C2EAA">
        <w:rPr>
          <w:sz w:val="20"/>
          <w:szCs w:val="20"/>
        </w:rPr>
        <w:t xml:space="preserve"> </w:t>
      </w:r>
      <w:r w:rsidRPr="00600CEF">
        <w:rPr>
          <w:sz w:val="20"/>
          <w:szCs w:val="20"/>
        </w:rPr>
        <w:t>et al.</w:t>
      </w:r>
      <w:r w:rsidRPr="008C2EAA">
        <w:rPr>
          <w:i/>
          <w:sz w:val="20"/>
          <w:szCs w:val="20"/>
        </w:rPr>
        <w:t xml:space="preserve"> </w:t>
      </w:r>
      <w:r w:rsidRPr="008C2EAA">
        <w:rPr>
          <w:sz w:val="20"/>
          <w:szCs w:val="20"/>
        </w:rPr>
        <w:t xml:space="preserve">2010; </w:t>
      </w:r>
      <w:proofErr w:type="spellStart"/>
      <w:r w:rsidRPr="008C2EAA">
        <w:rPr>
          <w:sz w:val="20"/>
          <w:szCs w:val="20"/>
        </w:rPr>
        <w:t>Baliga</w:t>
      </w:r>
      <w:proofErr w:type="spellEnd"/>
      <w:r w:rsidRPr="008C2EAA">
        <w:rPr>
          <w:sz w:val="20"/>
          <w:szCs w:val="20"/>
        </w:rPr>
        <w:t xml:space="preserve"> </w:t>
      </w:r>
      <w:r w:rsidRPr="00600CEF">
        <w:rPr>
          <w:sz w:val="20"/>
          <w:szCs w:val="20"/>
        </w:rPr>
        <w:t>et al.</w:t>
      </w:r>
      <w:r w:rsidRPr="008C2EAA">
        <w:rPr>
          <w:i/>
          <w:sz w:val="20"/>
          <w:szCs w:val="20"/>
        </w:rPr>
        <w:t xml:space="preserve"> </w:t>
      </w:r>
      <w:r w:rsidRPr="008C2EAA">
        <w:rPr>
          <w:sz w:val="20"/>
          <w:szCs w:val="20"/>
        </w:rPr>
        <w:t xml:space="preserve">1996; Boyd 1995). </w:t>
      </w:r>
    </w:p>
    <w:p w:rsidR="00FE2B89" w:rsidRPr="008C2EAA" w:rsidRDefault="00FE2B89" w:rsidP="008C2EAA">
      <w:pPr>
        <w:pStyle w:val="ListParagraph"/>
        <w:jc w:val="both"/>
        <w:rPr>
          <w:sz w:val="20"/>
          <w:szCs w:val="20"/>
        </w:rPr>
      </w:pPr>
    </w:p>
    <w:p w:rsidR="00FE2B89" w:rsidRPr="008C2EAA" w:rsidRDefault="00FE2B89" w:rsidP="00E5691E">
      <w:pPr>
        <w:pStyle w:val="ListParagraph"/>
        <w:spacing w:line="360" w:lineRule="auto"/>
        <w:jc w:val="both"/>
        <w:rPr>
          <w:sz w:val="20"/>
          <w:szCs w:val="20"/>
        </w:rPr>
      </w:pPr>
      <w:r w:rsidRPr="00244707">
        <w:rPr>
          <w:sz w:val="20"/>
          <w:szCs w:val="20"/>
        </w:rPr>
        <w:t>The presence of directors with MBA was found to be positively and statistically significantly linked to firm market value (</w:t>
      </w:r>
      <w:r w:rsidRPr="00244707">
        <w:rPr>
          <w:i/>
          <w:sz w:val="20"/>
          <w:szCs w:val="20"/>
        </w:rPr>
        <w:t>Tobin’s q</w:t>
      </w:r>
      <w:r w:rsidRPr="00244707">
        <w:rPr>
          <w:sz w:val="20"/>
          <w:szCs w:val="20"/>
        </w:rPr>
        <w:t xml:space="preserve">). </w:t>
      </w:r>
      <w:r w:rsidR="00244707" w:rsidRPr="00244707">
        <w:rPr>
          <w:sz w:val="20"/>
          <w:szCs w:val="20"/>
        </w:rPr>
        <w:t>In addition, t</w:t>
      </w:r>
      <w:r w:rsidR="00C052EC" w:rsidRPr="00244707">
        <w:rPr>
          <w:sz w:val="20"/>
          <w:szCs w:val="20"/>
        </w:rPr>
        <w:t>he results obtained using</w:t>
      </w:r>
      <w:r w:rsidR="00244707" w:rsidRPr="00244707">
        <w:rPr>
          <w:sz w:val="20"/>
          <w:szCs w:val="20"/>
        </w:rPr>
        <w:t xml:space="preserve"> the accounting-based measures (NPM and ROA) were both not </w:t>
      </w:r>
      <w:r w:rsidRPr="00244707">
        <w:rPr>
          <w:sz w:val="20"/>
          <w:szCs w:val="20"/>
        </w:rPr>
        <w:t xml:space="preserve">significant </w:t>
      </w:r>
      <w:r w:rsidR="00244707" w:rsidRPr="00244707">
        <w:rPr>
          <w:sz w:val="20"/>
          <w:szCs w:val="20"/>
        </w:rPr>
        <w:t xml:space="preserve">enough to invalid the outcome from </w:t>
      </w:r>
      <w:r w:rsidRPr="00244707">
        <w:rPr>
          <w:i/>
          <w:sz w:val="20"/>
          <w:szCs w:val="20"/>
        </w:rPr>
        <w:t>Tobin’s q</w:t>
      </w:r>
      <w:r w:rsidRPr="00244707">
        <w:rPr>
          <w:sz w:val="20"/>
          <w:szCs w:val="20"/>
        </w:rPr>
        <w:t xml:space="preserve"> (see: Shan and McIver 2011). Therefore, the </w:t>
      </w:r>
      <w:r w:rsidRPr="00BE3F39">
        <w:rPr>
          <w:i/>
          <w:sz w:val="20"/>
          <w:szCs w:val="20"/>
        </w:rPr>
        <w:t>Hypothesis 4</w:t>
      </w:r>
      <w:r w:rsidRPr="00244707">
        <w:rPr>
          <w:sz w:val="20"/>
          <w:szCs w:val="20"/>
        </w:rPr>
        <w:t xml:space="preserve"> prediction, which suggested that MBA qualifications are significantly linked to improved firm performance in Nigeria, was sustained.</w:t>
      </w:r>
      <w:r w:rsidRPr="008C2EAA">
        <w:rPr>
          <w:sz w:val="20"/>
          <w:szCs w:val="20"/>
        </w:rPr>
        <w:t xml:space="preserve"> However, the study acknowledges that the sign of this relationship tends to vary across performance measures. This finding is consistent with previous studies (e.g. Darmadi 2013; Anderson </w:t>
      </w:r>
      <w:r w:rsidRPr="00600CEF">
        <w:rPr>
          <w:sz w:val="20"/>
          <w:szCs w:val="20"/>
        </w:rPr>
        <w:t>et al.</w:t>
      </w:r>
      <w:r w:rsidRPr="008C2EAA">
        <w:rPr>
          <w:i/>
          <w:sz w:val="20"/>
          <w:szCs w:val="20"/>
        </w:rPr>
        <w:t xml:space="preserve"> </w:t>
      </w:r>
      <w:r w:rsidRPr="008C2EAA">
        <w:rPr>
          <w:sz w:val="20"/>
          <w:szCs w:val="20"/>
        </w:rPr>
        <w:t xml:space="preserve">2011; </w:t>
      </w:r>
      <w:proofErr w:type="spellStart"/>
      <w:r w:rsidRPr="008C2EAA">
        <w:rPr>
          <w:sz w:val="20"/>
          <w:szCs w:val="20"/>
        </w:rPr>
        <w:t>Rakhmayil</w:t>
      </w:r>
      <w:proofErr w:type="spellEnd"/>
      <w:r w:rsidRPr="008C2EAA">
        <w:rPr>
          <w:sz w:val="20"/>
          <w:szCs w:val="20"/>
        </w:rPr>
        <w:t xml:space="preserve"> and </w:t>
      </w:r>
      <w:proofErr w:type="spellStart"/>
      <w:r w:rsidRPr="008C2EAA">
        <w:rPr>
          <w:sz w:val="20"/>
          <w:szCs w:val="20"/>
        </w:rPr>
        <w:t>Yuce</w:t>
      </w:r>
      <w:proofErr w:type="spellEnd"/>
      <w:r w:rsidRPr="008C2EAA">
        <w:rPr>
          <w:sz w:val="20"/>
          <w:szCs w:val="20"/>
        </w:rPr>
        <w:t xml:space="preserve"> 2008). </w:t>
      </w:r>
    </w:p>
    <w:p w:rsidR="00FE2B89" w:rsidRPr="008C2EAA" w:rsidRDefault="00FE2B89" w:rsidP="008C2EAA">
      <w:pPr>
        <w:pStyle w:val="ListParagraph"/>
        <w:jc w:val="both"/>
        <w:rPr>
          <w:sz w:val="20"/>
          <w:szCs w:val="20"/>
        </w:rPr>
      </w:pPr>
    </w:p>
    <w:p w:rsidR="00FE2B89" w:rsidRPr="008C2EAA" w:rsidRDefault="00FE2B89" w:rsidP="00BE3F39">
      <w:pPr>
        <w:pStyle w:val="ListParagraph"/>
        <w:spacing w:line="360" w:lineRule="auto"/>
        <w:jc w:val="both"/>
        <w:rPr>
          <w:sz w:val="20"/>
          <w:szCs w:val="20"/>
        </w:rPr>
      </w:pPr>
      <w:r w:rsidRPr="008C2EAA">
        <w:rPr>
          <w:sz w:val="20"/>
          <w:szCs w:val="20"/>
        </w:rPr>
        <w:t xml:space="preserve">Directors’ years of experience was found to be significantly linked to firm performance across the measures. Interestingly, this is the only board variable whose level of statistical significance was sustained across Clusters 1 and 2. The study found overwhelming evidence to suggest that board members’ experience, one of the indicators of cognitive diversity, is relevant and a key determinant of firm performance in Nigeria. </w:t>
      </w:r>
      <w:r w:rsidRPr="00BE3F39">
        <w:rPr>
          <w:i/>
          <w:sz w:val="20"/>
          <w:szCs w:val="20"/>
        </w:rPr>
        <w:t>Hypothesis 5</w:t>
      </w:r>
      <w:r w:rsidRPr="008C2EAA">
        <w:rPr>
          <w:sz w:val="20"/>
          <w:szCs w:val="20"/>
        </w:rPr>
        <w:t xml:space="preserve"> was thus supported empirically. This evidence is consistent with previous studies on cognitive diversity (e.g. Lai and Chen 2012; Anderson </w:t>
      </w:r>
      <w:r w:rsidRPr="00600CEF">
        <w:rPr>
          <w:sz w:val="20"/>
          <w:szCs w:val="20"/>
        </w:rPr>
        <w:t>et al.</w:t>
      </w:r>
      <w:r w:rsidRPr="008C2EAA">
        <w:rPr>
          <w:i/>
          <w:sz w:val="20"/>
          <w:szCs w:val="20"/>
        </w:rPr>
        <w:t xml:space="preserve"> </w:t>
      </w:r>
      <w:r w:rsidR="00754612">
        <w:rPr>
          <w:sz w:val="20"/>
          <w:szCs w:val="20"/>
        </w:rPr>
        <w:t>2011</w:t>
      </w:r>
      <w:r w:rsidRPr="008C2EAA">
        <w:rPr>
          <w:sz w:val="20"/>
          <w:szCs w:val="20"/>
        </w:rPr>
        <w:t>).  The final board variable tested was the effect of directors’ ethnicity</w:t>
      </w:r>
      <w:r w:rsidR="00BE3F39">
        <w:rPr>
          <w:sz w:val="20"/>
          <w:szCs w:val="20"/>
        </w:rPr>
        <w:t xml:space="preserve"> (</w:t>
      </w:r>
      <w:r w:rsidR="00BE3F39" w:rsidRPr="008C2EAA">
        <w:rPr>
          <w:i/>
          <w:sz w:val="20"/>
          <w:szCs w:val="20"/>
        </w:rPr>
        <w:t>Hypothesis 6</w:t>
      </w:r>
      <w:r w:rsidR="00BE3F39">
        <w:rPr>
          <w:i/>
          <w:sz w:val="20"/>
          <w:szCs w:val="20"/>
        </w:rPr>
        <w:t>)</w:t>
      </w:r>
      <w:r w:rsidRPr="008C2EAA">
        <w:rPr>
          <w:sz w:val="20"/>
          <w:szCs w:val="20"/>
        </w:rPr>
        <w:t xml:space="preserve">. The study found that the directors’ ethnic representation was statistically insignificant to firm performance across the measures (i.e. both market and accounting-based). While the study acknowledges the importance of directors’ demography on a firm’s operations, the effect of </w:t>
      </w:r>
      <w:r w:rsidR="0092541F">
        <w:rPr>
          <w:sz w:val="20"/>
          <w:szCs w:val="20"/>
        </w:rPr>
        <w:t xml:space="preserve">such </w:t>
      </w:r>
      <w:r w:rsidRPr="008C2EAA">
        <w:rPr>
          <w:sz w:val="20"/>
          <w:szCs w:val="20"/>
        </w:rPr>
        <w:t xml:space="preserve">configuration seems to be immaterial when it comes to creating value for the firm. The finding on directors’ ethnicity is consistent with the outcomes from previous studies on demographic diversity (e.g. Carter </w:t>
      </w:r>
      <w:r w:rsidRPr="00600CEF">
        <w:rPr>
          <w:sz w:val="20"/>
          <w:szCs w:val="20"/>
        </w:rPr>
        <w:t>et al.</w:t>
      </w:r>
      <w:r w:rsidRPr="008C2EAA">
        <w:rPr>
          <w:i/>
          <w:sz w:val="20"/>
          <w:szCs w:val="20"/>
        </w:rPr>
        <w:t xml:space="preserve"> </w:t>
      </w:r>
      <w:r w:rsidRPr="008C2EAA">
        <w:rPr>
          <w:sz w:val="20"/>
          <w:szCs w:val="20"/>
        </w:rPr>
        <w:t xml:space="preserve">2010; Hagendorff and </w:t>
      </w:r>
      <w:proofErr w:type="spellStart"/>
      <w:r w:rsidRPr="008C2EAA">
        <w:rPr>
          <w:sz w:val="20"/>
          <w:szCs w:val="20"/>
        </w:rPr>
        <w:t>Keasey</w:t>
      </w:r>
      <w:proofErr w:type="spellEnd"/>
      <w:r w:rsidRPr="008C2EAA">
        <w:rPr>
          <w:sz w:val="20"/>
          <w:szCs w:val="20"/>
        </w:rPr>
        <w:t xml:space="preserve"> 2010; </w:t>
      </w:r>
      <w:proofErr w:type="spellStart"/>
      <w:r w:rsidRPr="008C2EAA">
        <w:rPr>
          <w:sz w:val="20"/>
          <w:szCs w:val="20"/>
        </w:rPr>
        <w:t>Randoy</w:t>
      </w:r>
      <w:proofErr w:type="spellEnd"/>
      <w:r w:rsidRPr="008C2EAA">
        <w:rPr>
          <w:sz w:val="20"/>
          <w:szCs w:val="20"/>
        </w:rPr>
        <w:t xml:space="preserve"> </w:t>
      </w:r>
      <w:r w:rsidRPr="00600CEF">
        <w:rPr>
          <w:sz w:val="20"/>
          <w:szCs w:val="20"/>
        </w:rPr>
        <w:t>et al.</w:t>
      </w:r>
      <w:r w:rsidRPr="008C2EAA">
        <w:rPr>
          <w:i/>
          <w:sz w:val="20"/>
          <w:szCs w:val="20"/>
        </w:rPr>
        <w:t xml:space="preserve"> </w:t>
      </w:r>
      <w:r w:rsidRPr="008C2EAA">
        <w:rPr>
          <w:sz w:val="20"/>
          <w:szCs w:val="20"/>
        </w:rPr>
        <w:t>2006).</w:t>
      </w:r>
    </w:p>
    <w:p w:rsidR="00FE2B89" w:rsidRPr="008C2EAA" w:rsidRDefault="00FE2B89" w:rsidP="008C2EAA">
      <w:pPr>
        <w:pStyle w:val="ListParagraph"/>
        <w:jc w:val="both"/>
        <w:rPr>
          <w:sz w:val="20"/>
          <w:szCs w:val="20"/>
        </w:rPr>
      </w:pPr>
    </w:p>
    <w:p w:rsidR="00FE2B89" w:rsidRPr="008C2EAA" w:rsidRDefault="00BE3F39" w:rsidP="00BE3F39">
      <w:pPr>
        <w:pStyle w:val="ListParagraph"/>
        <w:spacing w:line="360" w:lineRule="auto"/>
        <w:jc w:val="both"/>
        <w:rPr>
          <w:sz w:val="20"/>
          <w:szCs w:val="20"/>
        </w:rPr>
      </w:pPr>
      <w:r>
        <w:rPr>
          <w:sz w:val="20"/>
          <w:szCs w:val="20"/>
        </w:rPr>
        <w:t>Whereas t</w:t>
      </w:r>
      <w:r w:rsidR="00FE2B89" w:rsidRPr="008C2EAA">
        <w:rPr>
          <w:sz w:val="20"/>
          <w:szCs w:val="20"/>
        </w:rPr>
        <w:t>he level of economic growth was found to be statistically insignificant</w:t>
      </w:r>
      <w:r>
        <w:rPr>
          <w:sz w:val="20"/>
          <w:szCs w:val="20"/>
        </w:rPr>
        <w:t xml:space="preserve">, </w:t>
      </w:r>
      <w:r w:rsidRPr="008C2EAA">
        <w:rPr>
          <w:sz w:val="20"/>
          <w:szCs w:val="20"/>
        </w:rPr>
        <w:t>the degree of economic openness was found to be s</w:t>
      </w:r>
      <w:r>
        <w:rPr>
          <w:sz w:val="20"/>
          <w:szCs w:val="20"/>
        </w:rPr>
        <w:t>trongly</w:t>
      </w:r>
      <w:r w:rsidRPr="008C2EAA">
        <w:rPr>
          <w:sz w:val="20"/>
          <w:szCs w:val="20"/>
        </w:rPr>
        <w:t xml:space="preserve"> linked to firm performance. </w:t>
      </w:r>
      <w:r w:rsidR="00FE2B89" w:rsidRPr="008C2EAA">
        <w:rPr>
          <w:sz w:val="20"/>
          <w:szCs w:val="20"/>
        </w:rPr>
        <w:t xml:space="preserve">This result points to the effects of FDI on the performance of local companies in both small and emerging economies (see: </w:t>
      </w:r>
      <w:proofErr w:type="spellStart"/>
      <w:r w:rsidR="00FE2B89" w:rsidRPr="008C2EAA">
        <w:rPr>
          <w:sz w:val="20"/>
          <w:szCs w:val="20"/>
        </w:rPr>
        <w:t>Symeou</w:t>
      </w:r>
      <w:proofErr w:type="spellEnd"/>
      <w:r w:rsidR="00FE2B89" w:rsidRPr="008C2EAA">
        <w:rPr>
          <w:sz w:val="20"/>
          <w:szCs w:val="20"/>
        </w:rPr>
        <w:t xml:space="preserve"> 2009). Trade liberalisation is an important factor relating to the sustainable performance of firms in Nigeria, especially those quoted on the NSE. This finding is consistent with some previous studies that examined the combined effect of corporate governance and macroeconomic variables on firm performance (e.g. Naceur </w:t>
      </w:r>
      <w:r w:rsidR="00FE2B89" w:rsidRPr="00FA6AEA">
        <w:rPr>
          <w:sz w:val="20"/>
          <w:szCs w:val="20"/>
        </w:rPr>
        <w:t>et al.</w:t>
      </w:r>
      <w:r w:rsidR="00FE2B89" w:rsidRPr="008C2EAA">
        <w:rPr>
          <w:i/>
          <w:sz w:val="20"/>
          <w:szCs w:val="20"/>
        </w:rPr>
        <w:t xml:space="preserve"> </w:t>
      </w:r>
      <w:r w:rsidR="00FE2B89" w:rsidRPr="008C2EAA">
        <w:rPr>
          <w:sz w:val="20"/>
          <w:szCs w:val="20"/>
        </w:rPr>
        <w:t xml:space="preserve">2007; </w:t>
      </w:r>
      <w:proofErr w:type="spellStart"/>
      <w:r w:rsidR="00FE2B89" w:rsidRPr="008C2EAA">
        <w:rPr>
          <w:sz w:val="20"/>
          <w:szCs w:val="20"/>
        </w:rPr>
        <w:t>Boubakari</w:t>
      </w:r>
      <w:proofErr w:type="spellEnd"/>
      <w:r w:rsidR="00FE2B89" w:rsidRPr="008C2EAA">
        <w:rPr>
          <w:sz w:val="20"/>
          <w:szCs w:val="20"/>
        </w:rPr>
        <w:t xml:space="preserve"> </w:t>
      </w:r>
      <w:r w:rsidR="00FE2B89" w:rsidRPr="00FA6AEA">
        <w:rPr>
          <w:sz w:val="20"/>
          <w:szCs w:val="20"/>
        </w:rPr>
        <w:t>et al.</w:t>
      </w:r>
      <w:r w:rsidR="00FE2B89" w:rsidRPr="008C2EAA">
        <w:rPr>
          <w:sz w:val="20"/>
          <w:szCs w:val="20"/>
        </w:rPr>
        <w:t xml:space="preserve"> 2005; D’Souza </w:t>
      </w:r>
      <w:r w:rsidR="00FE2B89" w:rsidRPr="00FA6AEA">
        <w:rPr>
          <w:sz w:val="20"/>
          <w:szCs w:val="20"/>
        </w:rPr>
        <w:t>et al.</w:t>
      </w:r>
      <w:r w:rsidR="00FE2B89" w:rsidRPr="008C2EAA">
        <w:rPr>
          <w:i/>
          <w:sz w:val="20"/>
          <w:szCs w:val="20"/>
        </w:rPr>
        <w:t xml:space="preserve"> </w:t>
      </w:r>
      <w:r w:rsidR="00FE2B89" w:rsidRPr="008C2EAA">
        <w:rPr>
          <w:sz w:val="20"/>
          <w:szCs w:val="20"/>
        </w:rPr>
        <w:t>2005). This result further explains why the explanatory power of the models used in this study increased when the external variables relating to the state of the economy were introduced, as seen in Cluster 2.</w:t>
      </w:r>
    </w:p>
    <w:p w:rsidR="00FE2B89" w:rsidRPr="008C2EAA" w:rsidRDefault="00FE2B89" w:rsidP="008C2EAA">
      <w:pPr>
        <w:pStyle w:val="ListParagraph"/>
        <w:jc w:val="both"/>
        <w:rPr>
          <w:sz w:val="20"/>
          <w:szCs w:val="20"/>
        </w:rPr>
      </w:pPr>
    </w:p>
    <w:p w:rsidR="00FE2B89" w:rsidRPr="008C2EAA" w:rsidRDefault="00FE2B89" w:rsidP="00BE3F39">
      <w:pPr>
        <w:pStyle w:val="ListParagraph"/>
        <w:spacing w:line="360" w:lineRule="auto"/>
        <w:jc w:val="both"/>
        <w:rPr>
          <w:sz w:val="20"/>
          <w:szCs w:val="20"/>
        </w:rPr>
      </w:pPr>
      <w:r w:rsidRPr="008C2EAA">
        <w:rPr>
          <w:sz w:val="20"/>
          <w:szCs w:val="20"/>
        </w:rPr>
        <w:t xml:space="preserve">Overall, the results from the estimated models were impressive in providing empirical answers to the fundamental research questions posed at the beginning of this study, and in laying a solid foundation that could guide future research on the nature of the relationship between the board and firm performance in the Nigerian context. In summary, the empirical answers to the key research questions are as follows: </w:t>
      </w:r>
    </w:p>
    <w:p w:rsidR="00FE2B89" w:rsidRDefault="00FE2B89" w:rsidP="008C2EAA">
      <w:pPr>
        <w:pStyle w:val="ListParagraph"/>
        <w:jc w:val="both"/>
        <w:rPr>
          <w:sz w:val="20"/>
          <w:szCs w:val="20"/>
        </w:rPr>
      </w:pPr>
    </w:p>
    <w:p w:rsidR="00175DD5" w:rsidRPr="008C2EAA" w:rsidRDefault="00175DD5" w:rsidP="008C2EAA">
      <w:pPr>
        <w:pStyle w:val="ListParagraph"/>
        <w:jc w:val="both"/>
        <w:rPr>
          <w:sz w:val="20"/>
          <w:szCs w:val="20"/>
        </w:rPr>
      </w:pPr>
    </w:p>
    <w:p w:rsidR="007C08F0" w:rsidRPr="00101597" w:rsidRDefault="007C08F0" w:rsidP="007C08F0">
      <w:pPr>
        <w:pStyle w:val="ListParagraph"/>
        <w:ind w:left="1440"/>
        <w:jc w:val="both"/>
        <w:rPr>
          <w:sz w:val="16"/>
          <w:szCs w:val="16"/>
        </w:rPr>
      </w:pPr>
      <w:r w:rsidRPr="00101597">
        <w:rPr>
          <w:b/>
          <w:i/>
          <w:sz w:val="16"/>
          <w:szCs w:val="16"/>
        </w:rPr>
        <w:lastRenderedPageBreak/>
        <w:t>Question 1</w:t>
      </w:r>
      <w:r w:rsidRPr="00101597">
        <w:rPr>
          <w:sz w:val="16"/>
          <w:szCs w:val="16"/>
        </w:rPr>
        <w:t>: On whether adherence to the SEC Code in terms of board configuration, predict firm performance in Nigeria, the study found significant evidences of relationships between board independent, directors’ academic qualification, professional experience and the measures</w:t>
      </w:r>
      <w:r w:rsidR="006C1714">
        <w:rPr>
          <w:sz w:val="16"/>
          <w:szCs w:val="16"/>
        </w:rPr>
        <w:t xml:space="preserve"> of </w:t>
      </w:r>
      <w:r w:rsidR="006C1714" w:rsidRPr="00101597">
        <w:rPr>
          <w:sz w:val="16"/>
          <w:szCs w:val="16"/>
        </w:rPr>
        <w:t>performance</w:t>
      </w:r>
      <w:r w:rsidRPr="00101597">
        <w:rPr>
          <w:sz w:val="16"/>
          <w:szCs w:val="16"/>
        </w:rPr>
        <w:t xml:space="preserve">. </w:t>
      </w:r>
    </w:p>
    <w:p w:rsidR="007C08F0" w:rsidRDefault="007C08F0" w:rsidP="007C08F0">
      <w:pPr>
        <w:pStyle w:val="ListParagraph"/>
        <w:ind w:left="1440"/>
        <w:jc w:val="both"/>
        <w:rPr>
          <w:b/>
          <w:i/>
          <w:sz w:val="16"/>
          <w:szCs w:val="16"/>
        </w:rPr>
      </w:pPr>
    </w:p>
    <w:p w:rsidR="007C08F0" w:rsidRPr="00BE3F39" w:rsidRDefault="007C08F0" w:rsidP="007C08F0">
      <w:pPr>
        <w:pStyle w:val="ListParagraph"/>
        <w:ind w:left="1440"/>
        <w:jc w:val="both"/>
        <w:rPr>
          <w:sz w:val="16"/>
          <w:szCs w:val="16"/>
        </w:rPr>
      </w:pPr>
      <w:r w:rsidRPr="00BE3F39">
        <w:rPr>
          <w:b/>
          <w:i/>
          <w:sz w:val="16"/>
          <w:szCs w:val="16"/>
        </w:rPr>
        <w:t>Question 2</w:t>
      </w:r>
      <w:r w:rsidRPr="00BE3F39">
        <w:rPr>
          <w:sz w:val="16"/>
          <w:szCs w:val="16"/>
        </w:rPr>
        <w:t xml:space="preserve">: </w:t>
      </w:r>
      <w:r>
        <w:rPr>
          <w:sz w:val="16"/>
          <w:szCs w:val="16"/>
        </w:rPr>
        <w:t xml:space="preserve">Regarding </w:t>
      </w:r>
      <w:r w:rsidRPr="00BE3F39">
        <w:rPr>
          <w:sz w:val="16"/>
          <w:szCs w:val="16"/>
        </w:rPr>
        <w:t>which of the specific board features has the most significant influence on performance</w:t>
      </w:r>
      <w:r>
        <w:rPr>
          <w:sz w:val="16"/>
          <w:szCs w:val="16"/>
        </w:rPr>
        <w:t xml:space="preserve">, the study found </w:t>
      </w:r>
      <w:r w:rsidRPr="00BE3F39">
        <w:rPr>
          <w:sz w:val="16"/>
          <w:szCs w:val="16"/>
        </w:rPr>
        <w:t xml:space="preserve">board independence in terms of the proportion of independent NEDs </w:t>
      </w:r>
      <w:r>
        <w:rPr>
          <w:sz w:val="16"/>
          <w:szCs w:val="16"/>
        </w:rPr>
        <w:t>to be the most crucial element of board effectiveness in Nigeria.</w:t>
      </w:r>
    </w:p>
    <w:p w:rsidR="007C08F0" w:rsidRPr="00BE3F39" w:rsidRDefault="007C08F0" w:rsidP="007C08F0">
      <w:pPr>
        <w:pStyle w:val="ListParagraph"/>
        <w:ind w:left="1440"/>
        <w:jc w:val="both"/>
        <w:rPr>
          <w:sz w:val="16"/>
          <w:szCs w:val="16"/>
        </w:rPr>
      </w:pPr>
    </w:p>
    <w:p w:rsidR="007C08F0" w:rsidRDefault="007C08F0" w:rsidP="007C08F0">
      <w:pPr>
        <w:pStyle w:val="ListParagraph"/>
        <w:ind w:left="1440"/>
        <w:jc w:val="both"/>
        <w:rPr>
          <w:sz w:val="16"/>
          <w:szCs w:val="16"/>
        </w:rPr>
      </w:pPr>
      <w:r w:rsidRPr="00295F34">
        <w:rPr>
          <w:b/>
          <w:i/>
          <w:sz w:val="16"/>
          <w:szCs w:val="16"/>
        </w:rPr>
        <w:t>Question 3</w:t>
      </w:r>
      <w:r w:rsidRPr="00295F34">
        <w:rPr>
          <w:sz w:val="16"/>
          <w:szCs w:val="16"/>
        </w:rPr>
        <w:t xml:space="preserve">: Relating to whether there any other explanatory variables outside the board factors that significantly drive these performance variations, the study found that the inclusion of macroeconomic variables in the estimated models increased their explanatory power from an average of 65 to 84 per cent. This study argued that, in the Nigerian context, external economic forces particularly, the degree of economic openness is a key determinant that needs to be taken into account in model estimation when investigating the relationship between board features and firm performance. The explanatory </w:t>
      </w:r>
      <w:r w:rsidR="006C1714" w:rsidRPr="00295F34">
        <w:rPr>
          <w:sz w:val="16"/>
          <w:szCs w:val="16"/>
        </w:rPr>
        <w:t xml:space="preserve">power of the models used in previous empirical studies in Nigeria </w:t>
      </w:r>
      <w:r w:rsidR="006C1714">
        <w:rPr>
          <w:sz w:val="16"/>
          <w:szCs w:val="16"/>
        </w:rPr>
        <w:t>is</w:t>
      </w:r>
      <w:r w:rsidRPr="00295F34">
        <w:rPr>
          <w:sz w:val="16"/>
          <w:szCs w:val="16"/>
        </w:rPr>
        <w:t xml:space="preserve"> extremely weak and inadequate compared to the level achieved in this study (e.g. Kajola 2008). </w:t>
      </w:r>
    </w:p>
    <w:p w:rsidR="00026D71" w:rsidRDefault="00026D71" w:rsidP="008C2EAA">
      <w:pPr>
        <w:pStyle w:val="ListParagraph"/>
        <w:jc w:val="both"/>
        <w:rPr>
          <w:b/>
          <w:sz w:val="20"/>
          <w:szCs w:val="20"/>
        </w:rPr>
      </w:pPr>
    </w:p>
    <w:p w:rsidR="00303BFA" w:rsidRPr="0045128A" w:rsidRDefault="00303BFA" w:rsidP="00303BFA">
      <w:pPr>
        <w:pStyle w:val="ListParagraph"/>
        <w:spacing w:line="360" w:lineRule="auto"/>
        <w:jc w:val="both"/>
        <w:rPr>
          <w:b/>
          <w:sz w:val="20"/>
          <w:szCs w:val="20"/>
        </w:rPr>
      </w:pPr>
      <w:r w:rsidRPr="0045128A">
        <w:rPr>
          <w:b/>
          <w:sz w:val="20"/>
          <w:szCs w:val="20"/>
        </w:rPr>
        <w:t>Theoretical and Practical Implications of the Findings</w:t>
      </w:r>
    </w:p>
    <w:p w:rsidR="00303BFA" w:rsidRPr="0045128A" w:rsidRDefault="00303BFA" w:rsidP="00303BFA">
      <w:pPr>
        <w:pStyle w:val="ListParagraph"/>
        <w:spacing w:line="360" w:lineRule="auto"/>
        <w:jc w:val="both"/>
        <w:rPr>
          <w:sz w:val="20"/>
          <w:szCs w:val="20"/>
        </w:rPr>
      </w:pPr>
      <w:r w:rsidRPr="0045128A">
        <w:rPr>
          <w:sz w:val="20"/>
          <w:szCs w:val="20"/>
        </w:rPr>
        <w:t xml:space="preserve">Findings from this study have three key implications that are rooted in the existing corporate governance theories. The first implication relates to the methodological approach used to study the board to firm performance relationship. Significant numbers of previous studies have relied on simplistic theoretical assumptions of linear relationships. However, the causality between the board characteristics and firm performance seems to be much more complicated than these theories have hypothesised (see: Nicholson and Kiel 2007). While the present study has found evidence suggesting that some specific board characteristics are linked to improved firm performance, the statistical levels of significance of these relationships </w:t>
      </w:r>
      <w:r w:rsidR="00F223E6">
        <w:rPr>
          <w:sz w:val="20"/>
          <w:szCs w:val="20"/>
        </w:rPr>
        <w:t>are</w:t>
      </w:r>
      <w:r w:rsidRPr="0045128A">
        <w:rPr>
          <w:sz w:val="20"/>
          <w:szCs w:val="20"/>
        </w:rPr>
        <w:t xml:space="preserve"> very weak in the absence of moderating variables, most of which are external to the firm. The explanatory power of the estimated models (i.e. R² and R² adjusted) used in this study, when macroeconomic variables were introduced as determinants of firm performance, ranged between 64 per cent and 87 per cent. The explanatory efficacy of these models is 30 to 50 per cent higher than those used in most previous studies that have assumed direct relationship between specific board features and measures</w:t>
      </w:r>
      <w:r w:rsidR="00F223E6">
        <w:rPr>
          <w:sz w:val="20"/>
          <w:szCs w:val="20"/>
        </w:rPr>
        <w:t xml:space="preserve"> of </w:t>
      </w:r>
      <w:r w:rsidR="00F223E6" w:rsidRPr="0045128A">
        <w:rPr>
          <w:sz w:val="20"/>
          <w:szCs w:val="20"/>
        </w:rPr>
        <w:t>performance</w:t>
      </w:r>
      <w:r w:rsidRPr="0045128A">
        <w:rPr>
          <w:sz w:val="20"/>
          <w:szCs w:val="20"/>
        </w:rPr>
        <w:t xml:space="preserve"> (e.g. Guest 2009; </w:t>
      </w:r>
      <w:proofErr w:type="spellStart"/>
      <w:r w:rsidRPr="0045128A">
        <w:rPr>
          <w:sz w:val="20"/>
          <w:szCs w:val="20"/>
        </w:rPr>
        <w:t>Kajola</w:t>
      </w:r>
      <w:proofErr w:type="spellEnd"/>
      <w:r w:rsidRPr="0045128A">
        <w:rPr>
          <w:sz w:val="20"/>
          <w:szCs w:val="20"/>
        </w:rPr>
        <w:t xml:space="preserve"> 2008; </w:t>
      </w:r>
      <w:proofErr w:type="spellStart"/>
      <w:r w:rsidRPr="0045128A">
        <w:rPr>
          <w:sz w:val="20"/>
          <w:szCs w:val="20"/>
        </w:rPr>
        <w:t>Mak</w:t>
      </w:r>
      <w:proofErr w:type="spellEnd"/>
      <w:r w:rsidRPr="0045128A">
        <w:rPr>
          <w:sz w:val="20"/>
          <w:szCs w:val="20"/>
        </w:rPr>
        <w:t xml:space="preserve"> and </w:t>
      </w:r>
      <w:proofErr w:type="spellStart"/>
      <w:r w:rsidRPr="0045128A">
        <w:rPr>
          <w:sz w:val="20"/>
          <w:szCs w:val="20"/>
        </w:rPr>
        <w:t>Kusnadi</w:t>
      </w:r>
      <w:proofErr w:type="spellEnd"/>
      <w:r w:rsidRPr="0045128A">
        <w:rPr>
          <w:sz w:val="20"/>
          <w:szCs w:val="20"/>
        </w:rPr>
        <w:t xml:space="preserve"> 2005). The assumption of </w:t>
      </w:r>
      <w:r w:rsidRPr="0045128A">
        <w:rPr>
          <w:i/>
          <w:sz w:val="20"/>
          <w:szCs w:val="20"/>
        </w:rPr>
        <w:t>ceteris paribus</w:t>
      </w:r>
      <w:r w:rsidRPr="0045128A">
        <w:rPr>
          <w:sz w:val="20"/>
          <w:szCs w:val="20"/>
        </w:rPr>
        <w:t xml:space="preserve">, corporate governance being the only determinant of firm performance, can be deceptive, especially in the context of emerging economies (see: Ugur and Ararat, 2006; </w:t>
      </w:r>
      <w:proofErr w:type="spellStart"/>
      <w:r w:rsidRPr="0045128A">
        <w:rPr>
          <w:sz w:val="20"/>
          <w:szCs w:val="20"/>
        </w:rPr>
        <w:t>Boubakri</w:t>
      </w:r>
      <w:proofErr w:type="spellEnd"/>
      <w:r w:rsidRPr="0045128A">
        <w:rPr>
          <w:sz w:val="20"/>
          <w:szCs w:val="20"/>
        </w:rPr>
        <w:t xml:space="preserve"> </w:t>
      </w:r>
      <w:r w:rsidRPr="00DE2864">
        <w:rPr>
          <w:sz w:val="20"/>
          <w:szCs w:val="20"/>
        </w:rPr>
        <w:t>et al.</w:t>
      </w:r>
      <w:r w:rsidRPr="0045128A">
        <w:rPr>
          <w:i/>
          <w:sz w:val="20"/>
          <w:szCs w:val="20"/>
        </w:rPr>
        <w:t xml:space="preserve"> </w:t>
      </w:r>
      <w:r w:rsidRPr="0045128A">
        <w:rPr>
          <w:sz w:val="20"/>
          <w:szCs w:val="20"/>
        </w:rPr>
        <w:t xml:space="preserve">2005; Naceur </w:t>
      </w:r>
      <w:r w:rsidRPr="00DE2864">
        <w:rPr>
          <w:sz w:val="20"/>
          <w:szCs w:val="20"/>
        </w:rPr>
        <w:t>et al.</w:t>
      </w:r>
      <w:r w:rsidRPr="0045128A">
        <w:rPr>
          <w:sz w:val="20"/>
          <w:szCs w:val="20"/>
        </w:rPr>
        <w:t xml:space="preserve"> 2007). Researchers must begin to recognise, and capture in their estimation models, those variables that account for the interplay between firms’ internal and external environments (see: Nicholson and Kiel 2007).</w:t>
      </w:r>
    </w:p>
    <w:p w:rsidR="00303BFA" w:rsidRPr="0045128A" w:rsidRDefault="00303BFA" w:rsidP="00303BFA">
      <w:pPr>
        <w:pStyle w:val="ListParagraph"/>
        <w:spacing w:line="360" w:lineRule="auto"/>
        <w:jc w:val="both"/>
        <w:rPr>
          <w:sz w:val="20"/>
          <w:szCs w:val="20"/>
        </w:rPr>
      </w:pPr>
    </w:p>
    <w:p w:rsidR="00303BFA" w:rsidRPr="0045128A" w:rsidRDefault="00303BFA" w:rsidP="00303BFA">
      <w:pPr>
        <w:pStyle w:val="ListParagraph"/>
        <w:spacing w:line="360" w:lineRule="auto"/>
        <w:jc w:val="both"/>
        <w:rPr>
          <w:sz w:val="20"/>
          <w:szCs w:val="20"/>
        </w:rPr>
      </w:pPr>
      <w:r w:rsidRPr="0045128A">
        <w:rPr>
          <w:sz w:val="20"/>
          <w:szCs w:val="20"/>
        </w:rPr>
        <w:t xml:space="preserve">Second, the agency theory has received significant attention in corporate governance discourse, especially the issue of independent leadership structure. This study, however, found no empirical support for the separation of leadership as hypothesised in agency theory and recommended in the SEC Code. Ninety-eight per cent of firms in the data sample had adopted a non-dual leadership style with the positions of CEO and board chair held by two different individuals (see: Appendix 1). But, across the estimated models, no statistically significant results were recorded regarding the economic benefits associated with the adoption of such paradigm. This study’s findings add to the growing empirical evidence suggesting that CEO duality or non-duality is contingent on firm-specific characteristics, as investors remain somewhat indifferent to the style of leadership firms adopt (see: </w:t>
      </w:r>
      <w:proofErr w:type="spellStart"/>
      <w:r w:rsidRPr="0045128A">
        <w:rPr>
          <w:sz w:val="20"/>
          <w:szCs w:val="20"/>
        </w:rPr>
        <w:t>Baliga</w:t>
      </w:r>
      <w:proofErr w:type="spellEnd"/>
      <w:r w:rsidRPr="0045128A">
        <w:rPr>
          <w:sz w:val="20"/>
          <w:szCs w:val="20"/>
        </w:rPr>
        <w:t xml:space="preserve"> </w:t>
      </w:r>
      <w:r w:rsidRPr="00DE2864">
        <w:rPr>
          <w:sz w:val="20"/>
          <w:szCs w:val="20"/>
        </w:rPr>
        <w:t xml:space="preserve">et al. </w:t>
      </w:r>
      <w:r w:rsidRPr="0045128A">
        <w:rPr>
          <w:sz w:val="20"/>
          <w:szCs w:val="20"/>
        </w:rPr>
        <w:t xml:space="preserve">1996; </w:t>
      </w:r>
      <w:proofErr w:type="spellStart"/>
      <w:r w:rsidRPr="0045128A">
        <w:rPr>
          <w:sz w:val="20"/>
          <w:szCs w:val="20"/>
        </w:rPr>
        <w:t>Dahya</w:t>
      </w:r>
      <w:proofErr w:type="spellEnd"/>
      <w:r w:rsidRPr="0045128A">
        <w:rPr>
          <w:sz w:val="20"/>
          <w:szCs w:val="20"/>
        </w:rPr>
        <w:t xml:space="preserve"> and </w:t>
      </w:r>
      <w:proofErr w:type="spellStart"/>
      <w:r w:rsidRPr="0045128A">
        <w:rPr>
          <w:sz w:val="20"/>
          <w:szCs w:val="20"/>
        </w:rPr>
        <w:t>Travlos</w:t>
      </w:r>
      <w:proofErr w:type="spellEnd"/>
      <w:r w:rsidRPr="0045128A">
        <w:rPr>
          <w:sz w:val="20"/>
          <w:szCs w:val="20"/>
        </w:rPr>
        <w:t xml:space="preserve"> 2000). It was observed, based on the pattern of data collected on CEO duality, that some firms have adopted a clear independent leadership structure in those industries that specifically require high technical expertise, such as construction, IT, health care and oil and gas. The bulk </w:t>
      </w:r>
      <w:r w:rsidRPr="0045128A">
        <w:rPr>
          <w:sz w:val="20"/>
          <w:szCs w:val="20"/>
        </w:rPr>
        <w:lastRenderedPageBreak/>
        <w:t>shareholders in these sub-sectors have assumed the position of board chair in their respective companies, whilst an independent person is appointed as CEO to run the affairs of the firm. Interestingly, the study found significant statistical evidence that the proportion of independent NEDs is linked to increased firm performance in Nigeria. While th</w:t>
      </w:r>
      <w:r w:rsidR="00F306DE">
        <w:rPr>
          <w:sz w:val="20"/>
          <w:szCs w:val="20"/>
        </w:rPr>
        <w:t>is</w:t>
      </w:r>
      <w:r w:rsidRPr="0045128A">
        <w:rPr>
          <w:sz w:val="20"/>
          <w:szCs w:val="20"/>
        </w:rPr>
        <w:t xml:space="preserve"> result offers support to the agency theory, this study has attributed the relationship to firms’ desire for resource co-optation, rather than for monitoring the CEO-led executives. This explains why similar results were obtained regarding the effects of the board cognitive diversity elements (i.e. directors’ educational qualifications and experience) on firm performance. Peng (2004) argued that, in transition economies, NEDs play more of a resource dependency role than a role of monitoring the executives. Nigerian corporate boards may look well-configured and in line with the agency orientation but, in actual fact, the roles these directors are brought in to play differ significantly from the agency theory-based roles. </w:t>
      </w:r>
    </w:p>
    <w:p w:rsidR="00303BFA" w:rsidRPr="0045128A" w:rsidRDefault="00303BFA" w:rsidP="00303BFA">
      <w:pPr>
        <w:pStyle w:val="ListParagraph"/>
        <w:spacing w:line="360" w:lineRule="auto"/>
        <w:jc w:val="both"/>
        <w:rPr>
          <w:sz w:val="20"/>
          <w:szCs w:val="20"/>
        </w:rPr>
      </w:pPr>
    </w:p>
    <w:p w:rsidR="00303BFA" w:rsidRDefault="00303BFA" w:rsidP="00303BFA">
      <w:pPr>
        <w:pStyle w:val="ListParagraph"/>
        <w:spacing w:line="360" w:lineRule="auto"/>
        <w:jc w:val="both"/>
        <w:rPr>
          <w:sz w:val="20"/>
          <w:szCs w:val="20"/>
        </w:rPr>
      </w:pPr>
      <w:r w:rsidRPr="0045128A">
        <w:rPr>
          <w:sz w:val="20"/>
          <w:szCs w:val="20"/>
        </w:rPr>
        <w:t xml:space="preserve">Third, the study findings also have implications for the board diversity debate, from both the resource dependency and stakeholder perspectives. In support of the resource dependency theory, the study offers significant evidence linking directors’ competences with firm performance. The proportion of directors with MBA and their years of experience </w:t>
      </w:r>
      <w:r w:rsidR="00960189">
        <w:rPr>
          <w:sz w:val="20"/>
          <w:szCs w:val="20"/>
        </w:rPr>
        <w:t>are</w:t>
      </w:r>
      <w:r w:rsidRPr="0045128A">
        <w:rPr>
          <w:sz w:val="20"/>
          <w:szCs w:val="20"/>
        </w:rPr>
        <w:t xml:space="preserve"> both associated with increased market value (</w:t>
      </w:r>
      <w:r w:rsidRPr="0045128A">
        <w:rPr>
          <w:i/>
          <w:sz w:val="20"/>
          <w:szCs w:val="20"/>
        </w:rPr>
        <w:t>Tobin’s q</w:t>
      </w:r>
      <w:r w:rsidRPr="0045128A">
        <w:rPr>
          <w:sz w:val="20"/>
          <w:szCs w:val="20"/>
        </w:rPr>
        <w:t>). However, no substantial evidence was recorded with regard to the relevance of ethnic diversity at the board level. This implies that, in the Nigerian context, the business case for board diversity, through the increased involvement of competent directors with appropriate educational qualifications and backgrounds/experience, takes precedence over ethnic considerations. The lack of empirical support for the importance of directors’ ethnicity in this study does not undo the arguments put forward by board equality debaters but rather points to the fact that, in an emerging economy striving towards the attainment of developmental goals, demographic variables play a less significant role in determining who does what in the corporate environment.</w:t>
      </w:r>
    </w:p>
    <w:p w:rsidR="00303BFA" w:rsidRPr="008C2EAA" w:rsidRDefault="00303BFA" w:rsidP="00303BFA">
      <w:pPr>
        <w:pStyle w:val="ListParagraph"/>
        <w:spacing w:line="360" w:lineRule="auto"/>
        <w:jc w:val="both"/>
        <w:rPr>
          <w:sz w:val="20"/>
          <w:szCs w:val="20"/>
        </w:rPr>
      </w:pPr>
    </w:p>
    <w:p w:rsidR="00310C95" w:rsidRPr="003D2BA2" w:rsidRDefault="003D2BA2" w:rsidP="003D2BA2">
      <w:pPr>
        <w:pStyle w:val="ListParagraph"/>
        <w:spacing w:line="360" w:lineRule="auto"/>
        <w:rPr>
          <w:b/>
          <w:sz w:val="20"/>
          <w:szCs w:val="20"/>
        </w:rPr>
      </w:pPr>
      <w:r w:rsidRPr="003D2BA2">
        <w:rPr>
          <w:b/>
          <w:sz w:val="20"/>
          <w:szCs w:val="20"/>
        </w:rPr>
        <w:t xml:space="preserve">Conclusion </w:t>
      </w:r>
    </w:p>
    <w:p w:rsidR="00BC09ED" w:rsidRPr="003D2BA2" w:rsidRDefault="00BC09ED" w:rsidP="003D2BA2">
      <w:pPr>
        <w:pStyle w:val="ListParagraph"/>
        <w:spacing w:line="360" w:lineRule="auto"/>
        <w:jc w:val="both"/>
        <w:rPr>
          <w:sz w:val="20"/>
          <w:szCs w:val="20"/>
        </w:rPr>
      </w:pPr>
      <w:r w:rsidRPr="003D2BA2">
        <w:rPr>
          <w:sz w:val="20"/>
          <w:szCs w:val="20"/>
        </w:rPr>
        <w:t xml:space="preserve">This study has documented significant empirical evidence on the relevance of board independence and directors’ competence in firm governance. The presence of independent NEDs and directors with specific educational qualifications (MBA) and professional experience were found to be vital instruments in improving a firm’s market valuation and performance. While the contribution of this study in the area of board independence is more one of validating previous empirical findings, the evidence recorded here regarding directors’ educational qualification and experience is crucial to the emerging debate on the strategic relevance of directors’ competencies in firm governance. This study offers support for the business case for diversity, while rejecting the equality case for board heterogeneity. From the theoretical viewpoint, the agency and resource dependency theories of corporate governance were empirically supported in this study, with a high statistical level of significance achieved regarding the relevance of board independence and cognitive competence. The findings from these two key variables would provide corporate regulators in the emerging economies especially those in Nigeria, with an empirically proven lead that can </w:t>
      </w:r>
      <w:r w:rsidR="00892B6C">
        <w:rPr>
          <w:sz w:val="20"/>
          <w:szCs w:val="20"/>
        </w:rPr>
        <w:t xml:space="preserve">help to </w:t>
      </w:r>
      <w:r w:rsidRPr="003D2BA2">
        <w:rPr>
          <w:sz w:val="20"/>
          <w:szCs w:val="20"/>
        </w:rPr>
        <w:t xml:space="preserve">guide future policy prescriptions in the area of corporate governance. </w:t>
      </w:r>
    </w:p>
    <w:p w:rsidR="00BC09ED" w:rsidRPr="003D2BA2" w:rsidRDefault="00BC09ED" w:rsidP="003D2BA2">
      <w:pPr>
        <w:pStyle w:val="ListParagraph"/>
        <w:spacing w:line="360" w:lineRule="auto"/>
        <w:jc w:val="both"/>
        <w:rPr>
          <w:sz w:val="20"/>
          <w:szCs w:val="20"/>
        </w:rPr>
      </w:pPr>
    </w:p>
    <w:p w:rsidR="00BC09ED" w:rsidRPr="003D2BA2" w:rsidRDefault="00BC09ED" w:rsidP="003D2BA2">
      <w:pPr>
        <w:pStyle w:val="ListParagraph"/>
        <w:spacing w:line="360" w:lineRule="auto"/>
        <w:jc w:val="both"/>
        <w:rPr>
          <w:sz w:val="20"/>
          <w:szCs w:val="20"/>
        </w:rPr>
      </w:pPr>
      <w:r w:rsidRPr="003D2BA2">
        <w:rPr>
          <w:sz w:val="20"/>
          <w:szCs w:val="20"/>
        </w:rPr>
        <w:t>Finally, this study has added methodological originality to corporate governance research through the adoption of an integrated approach using three stages of analytical procedures (i.e. pre-diagnostic tests, regression analysis and post-diagnostic tests) to arrive at the final empirical results. The application of extensive econometric tools in single piece of corporate governance research is not a common phenomenon in this field of study, but rather an emerging trend with the approach mostly visible in those research works published over the last ten years (e.g. Peng</w:t>
      </w:r>
      <w:r w:rsidR="00D735DF">
        <w:rPr>
          <w:sz w:val="20"/>
          <w:szCs w:val="20"/>
        </w:rPr>
        <w:t xml:space="preserve"> </w:t>
      </w:r>
      <w:r w:rsidRPr="003D2BA2">
        <w:rPr>
          <w:sz w:val="20"/>
          <w:szCs w:val="20"/>
        </w:rPr>
        <w:t>2007).</w:t>
      </w:r>
    </w:p>
    <w:p w:rsidR="00BC09ED" w:rsidRPr="003D2BA2" w:rsidRDefault="00BC09ED" w:rsidP="003D2BA2">
      <w:pPr>
        <w:pStyle w:val="ListParagraph"/>
        <w:spacing w:line="360" w:lineRule="auto"/>
        <w:jc w:val="both"/>
        <w:rPr>
          <w:sz w:val="20"/>
          <w:szCs w:val="20"/>
        </w:rPr>
      </w:pPr>
    </w:p>
    <w:p w:rsidR="00BC09ED" w:rsidRPr="003D2BA2" w:rsidRDefault="00BC09ED" w:rsidP="003D2BA2">
      <w:pPr>
        <w:pStyle w:val="ListParagraph"/>
        <w:spacing w:line="360" w:lineRule="auto"/>
        <w:jc w:val="both"/>
        <w:rPr>
          <w:sz w:val="20"/>
          <w:szCs w:val="20"/>
        </w:rPr>
      </w:pPr>
      <w:r w:rsidRPr="003D2BA2">
        <w:rPr>
          <w:sz w:val="20"/>
          <w:szCs w:val="20"/>
        </w:rPr>
        <w:t xml:space="preserve">In terms of future study directions, the Nigerian corporate environment offers several untapped opportunities for the development of new research frameworks on the dichotomy of board dynamics and firm performance. This study thus calls for more corporate governance research with an emphasis on both internal and external mechanisms. Future studies are encouraged to pay equal attention to board structure and drilling down into the configuration of board committees (see: Pacini </w:t>
      </w:r>
      <w:r w:rsidRPr="00DE2864">
        <w:rPr>
          <w:sz w:val="20"/>
          <w:szCs w:val="20"/>
        </w:rPr>
        <w:t>et al.</w:t>
      </w:r>
      <w:r w:rsidR="000D19EC">
        <w:rPr>
          <w:sz w:val="20"/>
          <w:szCs w:val="20"/>
        </w:rPr>
        <w:t xml:space="preserve"> 2008</w:t>
      </w:r>
      <w:r w:rsidRPr="003D2BA2">
        <w:rPr>
          <w:sz w:val="20"/>
          <w:szCs w:val="20"/>
        </w:rPr>
        <w:t xml:space="preserve">). Because of the constraints on holding board meetings as regularly as might be expected, much board business is being carried out at the committee level. It would be interesting to examine the composition of board committees and their relationship with firm performance. </w:t>
      </w:r>
      <w:r w:rsidR="003D2BA2" w:rsidRPr="003D2BA2">
        <w:rPr>
          <w:sz w:val="20"/>
          <w:szCs w:val="20"/>
        </w:rPr>
        <w:t xml:space="preserve"> </w:t>
      </w:r>
      <w:r w:rsidRPr="003D2BA2">
        <w:rPr>
          <w:sz w:val="20"/>
          <w:szCs w:val="20"/>
        </w:rPr>
        <w:t xml:space="preserve">Board diversity originating from directors’ demographic and cognitive features has been a subject of public debate in relation to corporate governance, mostly in developed economies. However, this study’s findings of a significant relationship between cognitive variables (i.e. the directors’ experience and educational qualifications) and firm performance opens up a new paradigm on board structure discourse in Nigeria. This study encourages further research in the two major areas of the diversity debate, but especially in that relating to directors’ competencies. The literature on cognitive diversity remains very limited compared to that addressing the demographic elements. </w:t>
      </w:r>
    </w:p>
    <w:p w:rsidR="003D2BA2" w:rsidRDefault="003D2BA2" w:rsidP="003D2BA2">
      <w:pPr>
        <w:pStyle w:val="ListParagraph"/>
        <w:spacing w:line="360" w:lineRule="auto"/>
        <w:rPr>
          <w:b/>
          <w:sz w:val="20"/>
          <w:szCs w:val="20"/>
        </w:rPr>
      </w:pPr>
    </w:p>
    <w:p w:rsidR="0001322A" w:rsidRDefault="0001322A" w:rsidP="003D2BA2">
      <w:pPr>
        <w:pStyle w:val="ListParagraph"/>
        <w:spacing w:line="360" w:lineRule="auto"/>
        <w:rPr>
          <w:b/>
          <w:sz w:val="20"/>
          <w:szCs w:val="20"/>
        </w:rPr>
      </w:pPr>
    </w:p>
    <w:p w:rsidR="00303BFA" w:rsidRDefault="00303BFA" w:rsidP="003D2BA2">
      <w:pPr>
        <w:pStyle w:val="ListParagraph"/>
        <w:spacing w:line="360" w:lineRule="auto"/>
        <w:rPr>
          <w:b/>
          <w:sz w:val="20"/>
          <w:szCs w:val="20"/>
        </w:rPr>
      </w:pPr>
    </w:p>
    <w:p w:rsidR="00303BFA" w:rsidRDefault="00303BFA" w:rsidP="003D2BA2">
      <w:pPr>
        <w:pStyle w:val="ListParagraph"/>
        <w:spacing w:line="360" w:lineRule="auto"/>
        <w:rPr>
          <w:b/>
          <w:sz w:val="20"/>
          <w:szCs w:val="20"/>
        </w:rPr>
      </w:pPr>
    </w:p>
    <w:p w:rsidR="00303BFA" w:rsidRDefault="00303BFA" w:rsidP="003D2BA2">
      <w:pPr>
        <w:pStyle w:val="ListParagraph"/>
        <w:spacing w:line="360" w:lineRule="auto"/>
        <w:rPr>
          <w:b/>
          <w:sz w:val="20"/>
          <w:szCs w:val="20"/>
        </w:rPr>
      </w:pPr>
    </w:p>
    <w:p w:rsidR="00E31F5B" w:rsidRDefault="00E31F5B" w:rsidP="003D2BA2">
      <w:pPr>
        <w:pStyle w:val="ListParagraph"/>
        <w:spacing w:line="360" w:lineRule="auto"/>
        <w:rPr>
          <w:b/>
          <w:sz w:val="20"/>
          <w:szCs w:val="20"/>
        </w:rPr>
      </w:pPr>
    </w:p>
    <w:p w:rsidR="00E31F5B" w:rsidRDefault="00E31F5B" w:rsidP="003D2BA2">
      <w:pPr>
        <w:pStyle w:val="ListParagraph"/>
        <w:spacing w:line="360" w:lineRule="auto"/>
        <w:rPr>
          <w:b/>
          <w:sz w:val="20"/>
          <w:szCs w:val="20"/>
        </w:rPr>
      </w:pPr>
    </w:p>
    <w:p w:rsidR="00E31F5B" w:rsidRDefault="00E31F5B" w:rsidP="003D2BA2">
      <w:pPr>
        <w:pStyle w:val="ListParagraph"/>
        <w:spacing w:line="360" w:lineRule="auto"/>
        <w:rPr>
          <w:b/>
          <w:sz w:val="20"/>
          <w:szCs w:val="20"/>
        </w:rPr>
      </w:pPr>
    </w:p>
    <w:p w:rsidR="00303BFA" w:rsidRDefault="00303BFA" w:rsidP="003D2BA2">
      <w:pPr>
        <w:pStyle w:val="ListParagraph"/>
        <w:spacing w:line="360" w:lineRule="auto"/>
        <w:rPr>
          <w:b/>
          <w:sz w:val="20"/>
          <w:szCs w:val="20"/>
        </w:rPr>
      </w:pPr>
    </w:p>
    <w:p w:rsidR="00303BFA" w:rsidRDefault="00303BFA" w:rsidP="003D2BA2">
      <w:pPr>
        <w:pStyle w:val="ListParagraph"/>
        <w:spacing w:line="360" w:lineRule="auto"/>
        <w:rPr>
          <w:b/>
          <w:sz w:val="20"/>
          <w:szCs w:val="20"/>
        </w:rPr>
      </w:pPr>
    </w:p>
    <w:p w:rsidR="00303BFA" w:rsidRDefault="00303BFA" w:rsidP="003D2BA2">
      <w:pPr>
        <w:pStyle w:val="ListParagraph"/>
        <w:spacing w:line="360" w:lineRule="auto"/>
        <w:rPr>
          <w:b/>
          <w:sz w:val="20"/>
          <w:szCs w:val="20"/>
        </w:rPr>
      </w:pPr>
    </w:p>
    <w:p w:rsidR="00303BFA" w:rsidRDefault="00303BFA" w:rsidP="003D2BA2">
      <w:pPr>
        <w:pStyle w:val="ListParagraph"/>
        <w:spacing w:line="360" w:lineRule="auto"/>
        <w:rPr>
          <w:b/>
          <w:sz w:val="20"/>
          <w:szCs w:val="20"/>
        </w:rPr>
      </w:pPr>
    </w:p>
    <w:p w:rsidR="00303BFA" w:rsidRDefault="00303BFA" w:rsidP="003D2BA2">
      <w:pPr>
        <w:pStyle w:val="ListParagraph"/>
        <w:spacing w:line="360" w:lineRule="auto"/>
        <w:rPr>
          <w:b/>
          <w:sz w:val="20"/>
          <w:szCs w:val="20"/>
        </w:rPr>
      </w:pPr>
    </w:p>
    <w:p w:rsidR="004D1B8A" w:rsidRDefault="004D1B8A" w:rsidP="003D2BA2">
      <w:pPr>
        <w:pStyle w:val="ListParagraph"/>
        <w:spacing w:line="360" w:lineRule="auto"/>
        <w:rPr>
          <w:b/>
          <w:sz w:val="20"/>
          <w:szCs w:val="20"/>
        </w:rPr>
      </w:pPr>
    </w:p>
    <w:p w:rsidR="004D1B8A" w:rsidRDefault="004D1B8A" w:rsidP="003D2BA2">
      <w:pPr>
        <w:pStyle w:val="ListParagraph"/>
        <w:spacing w:line="360" w:lineRule="auto"/>
        <w:rPr>
          <w:b/>
          <w:sz w:val="20"/>
          <w:szCs w:val="20"/>
        </w:rPr>
      </w:pPr>
    </w:p>
    <w:p w:rsidR="004D1B8A" w:rsidRDefault="004D1B8A" w:rsidP="003D2BA2">
      <w:pPr>
        <w:pStyle w:val="ListParagraph"/>
        <w:spacing w:line="360" w:lineRule="auto"/>
        <w:rPr>
          <w:b/>
          <w:sz w:val="20"/>
          <w:szCs w:val="20"/>
        </w:rPr>
      </w:pPr>
    </w:p>
    <w:p w:rsidR="00303BFA" w:rsidRDefault="00303BFA" w:rsidP="003D2BA2">
      <w:pPr>
        <w:pStyle w:val="ListParagraph"/>
        <w:spacing w:line="360" w:lineRule="auto"/>
        <w:rPr>
          <w:b/>
          <w:sz w:val="20"/>
          <w:szCs w:val="20"/>
        </w:rPr>
      </w:pPr>
    </w:p>
    <w:p w:rsidR="00A372DF" w:rsidRDefault="00A372DF" w:rsidP="003D2BA2">
      <w:pPr>
        <w:pStyle w:val="ListParagraph"/>
        <w:spacing w:line="360" w:lineRule="auto"/>
        <w:rPr>
          <w:b/>
          <w:sz w:val="20"/>
          <w:szCs w:val="20"/>
        </w:rPr>
      </w:pPr>
    </w:p>
    <w:p w:rsidR="003D2BA2" w:rsidRPr="003D2BA2" w:rsidRDefault="003D2BA2" w:rsidP="00E61A2C">
      <w:pPr>
        <w:pStyle w:val="ListParagraph"/>
        <w:spacing w:line="360" w:lineRule="auto"/>
        <w:jc w:val="center"/>
        <w:rPr>
          <w:b/>
          <w:sz w:val="20"/>
          <w:szCs w:val="20"/>
        </w:rPr>
      </w:pPr>
      <w:r>
        <w:rPr>
          <w:b/>
          <w:sz w:val="20"/>
          <w:szCs w:val="20"/>
        </w:rPr>
        <w:t>References</w:t>
      </w:r>
    </w:p>
    <w:p w:rsidR="00D735DF" w:rsidRPr="00104204" w:rsidRDefault="00D735DF" w:rsidP="00D735DF">
      <w:pPr>
        <w:pStyle w:val="Bibliography"/>
        <w:spacing w:line="360" w:lineRule="auto"/>
        <w:ind w:left="1440" w:hanging="720"/>
        <w:jc w:val="both"/>
        <w:rPr>
          <w:sz w:val="20"/>
          <w:szCs w:val="20"/>
        </w:rPr>
      </w:pPr>
      <w:r w:rsidRPr="00104204">
        <w:rPr>
          <w:sz w:val="20"/>
          <w:szCs w:val="20"/>
        </w:rPr>
        <w:t>Adam, A. M.</w:t>
      </w:r>
      <w:r w:rsidR="002924C6" w:rsidRPr="00104204">
        <w:rPr>
          <w:sz w:val="20"/>
          <w:szCs w:val="20"/>
        </w:rPr>
        <w:t>,</w:t>
      </w:r>
      <w:r w:rsidRPr="00104204">
        <w:rPr>
          <w:sz w:val="20"/>
          <w:szCs w:val="20"/>
        </w:rPr>
        <w:t xml:space="preserve"> </w:t>
      </w:r>
      <w:r w:rsidR="002924C6" w:rsidRPr="00104204">
        <w:rPr>
          <w:sz w:val="20"/>
          <w:szCs w:val="20"/>
        </w:rPr>
        <w:t xml:space="preserve">&amp; </w:t>
      </w:r>
      <w:r w:rsidRPr="00104204">
        <w:rPr>
          <w:sz w:val="20"/>
          <w:szCs w:val="20"/>
        </w:rPr>
        <w:t>Shavit</w:t>
      </w:r>
      <w:r w:rsidR="002924C6" w:rsidRPr="00104204">
        <w:rPr>
          <w:sz w:val="20"/>
          <w:szCs w:val="20"/>
        </w:rPr>
        <w:t>,</w:t>
      </w:r>
      <w:r w:rsidRPr="00104204">
        <w:rPr>
          <w:sz w:val="20"/>
          <w:szCs w:val="20"/>
        </w:rPr>
        <w:t xml:space="preserve"> </w:t>
      </w:r>
      <w:r w:rsidR="002924C6" w:rsidRPr="00104204">
        <w:rPr>
          <w:sz w:val="20"/>
          <w:szCs w:val="20"/>
        </w:rPr>
        <w:t xml:space="preserve">T. </w:t>
      </w:r>
      <w:r w:rsidRPr="00104204">
        <w:rPr>
          <w:sz w:val="20"/>
          <w:szCs w:val="20"/>
        </w:rPr>
        <w:t>(2009)</w:t>
      </w:r>
      <w:r w:rsidR="002924C6" w:rsidRPr="00104204">
        <w:rPr>
          <w:sz w:val="20"/>
          <w:szCs w:val="20"/>
        </w:rPr>
        <w:t>.</w:t>
      </w:r>
      <w:r w:rsidRPr="00104204">
        <w:rPr>
          <w:sz w:val="20"/>
          <w:szCs w:val="20"/>
        </w:rPr>
        <w:t xml:space="preserve"> Roles and responsibilities of boards of directors revisited in reconciling conflicting stakeholders’ interests while maintaining corporate responsibility</w:t>
      </w:r>
      <w:r w:rsidR="002924C6" w:rsidRPr="00104204">
        <w:rPr>
          <w:sz w:val="20"/>
          <w:szCs w:val="20"/>
        </w:rPr>
        <w:t>.</w:t>
      </w:r>
      <w:r w:rsidRPr="00104204">
        <w:rPr>
          <w:sz w:val="20"/>
          <w:szCs w:val="20"/>
        </w:rPr>
        <w:t xml:space="preserve"> </w:t>
      </w:r>
      <w:r w:rsidRPr="00104204">
        <w:rPr>
          <w:i/>
          <w:iCs/>
          <w:sz w:val="20"/>
          <w:szCs w:val="20"/>
        </w:rPr>
        <w:t xml:space="preserve">Journal of Management and Governance, </w:t>
      </w:r>
      <w:r w:rsidRPr="00104204">
        <w:rPr>
          <w:iCs/>
          <w:sz w:val="20"/>
          <w:szCs w:val="20"/>
        </w:rPr>
        <w:t>13(4)</w:t>
      </w:r>
      <w:r w:rsidRPr="00104204">
        <w:rPr>
          <w:sz w:val="20"/>
          <w:szCs w:val="20"/>
        </w:rPr>
        <w:t>, 281-302.</w:t>
      </w:r>
    </w:p>
    <w:p w:rsidR="00D735DF" w:rsidRPr="00104204" w:rsidRDefault="00D735DF" w:rsidP="00D735DF">
      <w:pPr>
        <w:spacing w:line="360" w:lineRule="auto"/>
        <w:ind w:left="1440" w:hanging="720"/>
        <w:jc w:val="both"/>
        <w:rPr>
          <w:sz w:val="20"/>
          <w:szCs w:val="20"/>
        </w:rPr>
      </w:pPr>
      <w:proofErr w:type="spellStart"/>
      <w:r w:rsidRPr="00104204">
        <w:rPr>
          <w:sz w:val="20"/>
          <w:szCs w:val="20"/>
        </w:rPr>
        <w:t>Ahunwan</w:t>
      </w:r>
      <w:proofErr w:type="spellEnd"/>
      <w:r w:rsidRPr="00104204">
        <w:rPr>
          <w:sz w:val="20"/>
          <w:szCs w:val="20"/>
        </w:rPr>
        <w:t>, B. (2002)</w:t>
      </w:r>
      <w:r w:rsidR="002924C6" w:rsidRPr="00104204">
        <w:rPr>
          <w:sz w:val="20"/>
          <w:szCs w:val="20"/>
        </w:rPr>
        <w:t>.</w:t>
      </w:r>
      <w:r w:rsidRPr="00104204">
        <w:rPr>
          <w:sz w:val="20"/>
          <w:szCs w:val="20"/>
        </w:rPr>
        <w:t xml:space="preserve"> Corporate governance in Nigeria</w:t>
      </w:r>
      <w:r w:rsidR="002924C6" w:rsidRPr="00104204">
        <w:rPr>
          <w:sz w:val="20"/>
          <w:szCs w:val="20"/>
        </w:rPr>
        <w:t>.</w:t>
      </w:r>
      <w:r w:rsidRPr="00104204">
        <w:rPr>
          <w:sz w:val="20"/>
          <w:szCs w:val="20"/>
        </w:rPr>
        <w:t xml:space="preserve"> </w:t>
      </w:r>
      <w:r w:rsidRPr="00104204">
        <w:rPr>
          <w:i/>
          <w:iCs/>
          <w:sz w:val="20"/>
          <w:szCs w:val="20"/>
        </w:rPr>
        <w:t xml:space="preserve">Journal of Business Ethics, </w:t>
      </w:r>
      <w:r w:rsidRPr="00104204">
        <w:rPr>
          <w:iCs/>
          <w:sz w:val="20"/>
          <w:szCs w:val="20"/>
        </w:rPr>
        <w:t>37(3)</w:t>
      </w:r>
      <w:r w:rsidRPr="00104204">
        <w:rPr>
          <w:sz w:val="20"/>
          <w:szCs w:val="20"/>
        </w:rPr>
        <w:t>, 269-287.</w:t>
      </w:r>
    </w:p>
    <w:p w:rsidR="00D735DF" w:rsidRPr="00104204" w:rsidRDefault="00D735DF" w:rsidP="00D735DF">
      <w:pPr>
        <w:spacing w:line="360" w:lineRule="auto"/>
        <w:ind w:left="1440" w:hanging="720"/>
        <w:jc w:val="both"/>
        <w:rPr>
          <w:sz w:val="20"/>
          <w:szCs w:val="20"/>
        </w:rPr>
      </w:pPr>
      <w:r w:rsidRPr="00104204">
        <w:rPr>
          <w:sz w:val="20"/>
          <w:szCs w:val="20"/>
        </w:rPr>
        <w:t>Al-Haddad, W.M.Y</w:t>
      </w:r>
      <w:r w:rsidR="002924C6" w:rsidRPr="00104204">
        <w:rPr>
          <w:sz w:val="20"/>
          <w:szCs w:val="20"/>
        </w:rPr>
        <w:t>.</w:t>
      </w:r>
      <w:r w:rsidRPr="00104204">
        <w:rPr>
          <w:sz w:val="20"/>
          <w:szCs w:val="20"/>
        </w:rPr>
        <w:t xml:space="preserve">, </w:t>
      </w:r>
      <w:proofErr w:type="spellStart"/>
      <w:r w:rsidRPr="00104204">
        <w:rPr>
          <w:sz w:val="20"/>
          <w:szCs w:val="20"/>
        </w:rPr>
        <w:t>Alzurqan</w:t>
      </w:r>
      <w:proofErr w:type="spellEnd"/>
      <w:r w:rsidR="002924C6" w:rsidRPr="00104204">
        <w:rPr>
          <w:sz w:val="20"/>
          <w:szCs w:val="20"/>
        </w:rPr>
        <w:t>, S.T., &amp;</w:t>
      </w:r>
      <w:r w:rsidRPr="00104204">
        <w:rPr>
          <w:sz w:val="20"/>
          <w:szCs w:val="20"/>
        </w:rPr>
        <w:t xml:space="preserve"> </w:t>
      </w:r>
      <w:proofErr w:type="spellStart"/>
      <w:r w:rsidRPr="00104204">
        <w:rPr>
          <w:sz w:val="20"/>
          <w:szCs w:val="20"/>
        </w:rPr>
        <w:t>Al_Sufy</w:t>
      </w:r>
      <w:proofErr w:type="spellEnd"/>
      <w:r w:rsidRPr="00104204">
        <w:rPr>
          <w:sz w:val="20"/>
          <w:szCs w:val="20"/>
        </w:rPr>
        <w:t xml:space="preserve"> </w:t>
      </w:r>
      <w:r w:rsidR="002924C6" w:rsidRPr="00104204">
        <w:rPr>
          <w:sz w:val="20"/>
          <w:szCs w:val="20"/>
        </w:rPr>
        <w:t xml:space="preserve">F. J. </w:t>
      </w:r>
      <w:r w:rsidRPr="00104204">
        <w:rPr>
          <w:sz w:val="20"/>
          <w:szCs w:val="20"/>
        </w:rPr>
        <w:t>(2011)</w:t>
      </w:r>
      <w:r w:rsidR="002924C6" w:rsidRPr="00104204">
        <w:rPr>
          <w:sz w:val="20"/>
          <w:szCs w:val="20"/>
        </w:rPr>
        <w:t>.</w:t>
      </w:r>
      <w:r w:rsidRPr="00104204">
        <w:rPr>
          <w:sz w:val="20"/>
          <w:szCs w:val="20"/>
        </w:rPr>
        <w:t xml:space="preserve"> The effect of corporate governance on the performance of Jordanian industrial companies: an empirical study on the Amman Stock Exchange</w:t>
      </w:r>
      <w:r w:rsidR="002924C6" w:rsidRPr="00104204">
        <w:rPr>
          <w:sz w:val="20"/>
          <w:szCs w:val="20"/>
        </w:rPr>
        <w:t>.</w:t>
      </w:r>
      <w:r w:rsidRPr="00104204">
        <w:rPr>
          <w:sz w:val="20"/>
          <w:szCs w:val="20"/>
        </w:rPr>
        <w:t xml:space="preserve"> </w:t>
      </w:r>
      <w:r w:rsidRPr="00104204">
        <w:rPr>
          <w:i/>
          <w:sz w:val="20"/>
          <w:szCs w:val="20"/>
        </w:rPr>
        <w:t>International Journal of Humanities and Social Science</w:t>
      </w:r>
      <w:r w:rsidRPr="00104204">
        <w:rPr>
          <w:sz w:val="20"/>
          <w:szCs w:val="20"/>
        </w:rPr>
        <w:t>, 1(4), 56-69.</w:t>
      </w:r>
    </w:p>
    <w:p w:rsidR="00D735DF" w:rsidRPr="00104204" w:rsidRDefault="00D735DF" w:rsidP="00D735DF">
      <w:pPr>
        <w:spacing w:line="360" w:lineRule="auto"/>
        <w:ind w:left="1440" w:hanging="720"/>
        <w:jc w:val="both"/>
        <w:rPr>
          <w:sz w:val="20"/>
          <w:szCs w:val="20"/>
        </w:rPr>
      </w:pPr>
      <w:r w:rsidRPr="00104204">
        <w:rPr>
          <w:sz w:val="20"/>
          <w:szCs w:val="20"/>
        </w:rPr>
        <w:t>Anderson, R. C</w:t>
      </w:r>
      <w:r w:rsidR="00217D58" w:rsidRPr="00104204">
        <w:rPr>
          <w:sz w:val="20"/>
          <w:szCs w:val="20"/>
        </w:rPr>
        <w:t>.</w:t>
      </w:r>
      <w:r w:rsidRPr="00104204">
        <w:rPr>
          <w:sz w:val="20"/>
          <w:szCs w:val="20"/>
        </w:rPr>
        <w:t xml:space="preserve">, </w:t>
      </w:r>
      <w:proofErr w:type="spellStart"/>
      <w:r w:rsidRPr="00104204">
        <w:rPr>
          <w:sz w:val="20"/>
          <w:szCs w:val="20"/>
        </w:rPr>
        <w:t>Reeb</w:t>
      </w:r>
      <w:proofErr w:type="spellEnd"/>
      <w:r w:rsidRPr="00104204">
        <w:rPr>
          <w:sz w:val="20"/>
          <w:szCs w:val="20"/>
        </w:rPr>
        <w:t xml:space="preserve">, </w:t>
      </w:r>
      <w:r w:rsidR="00217D58" w:rsidRPr="00104204">
        <w:rPr>
          <w:sz w:val="20"/>
          <w:szCs w:val="20"/>
        </w:rPr>
        <w:t xml:space="preserve">D. M., </w:t>
      </w:r>
      <w:proofErr w:type="spellStart"/>
      <w:r w:rsidRPr="00104204">
        <w:rPr>
          <w:sz w:val="20"/>
          <w:szCs w:val="20"/>
        </w:rPr>
        <w:t>Upadhyay</w:t>
      </w:r>
      <w:proofErr w:type="spellEnd"/>
      <w:r w:rsidRPr="00104204">
        <w:rPr>
          <w:sz w:val="20"/>
          <w:szCs w:val="20"/>
        </w:rPr>
        <w:t xml:space="preserve">, </w:t>
      </w:r>
      <w:r w:rsidR="00217D58" w:rsidRPr="00104204">
        <w:rPr>
          <w:sz w:val="20"/>
          <w:szCs w:val="20"/>
        </w:rPr>
        <w:t>A., &amp;</w:t>
      </w:r>
      <w:r w:rsidRPr="00104204">
        <w:rPr>
          <w:sz w:val="20"/>
          <w:szCs w:val="20"/>
        </w:rPr>
        <w:t xml:space="preserve"> Zhao </w:t>
      </w:r>
      <w:r w:rsidR="00217D58" w:rsidRPr="00104204">
        <w:rPr>
          <w:sz w:val="20"/>
          <w:szCs w:val="20"/>
        </w:rPr>
        <w:t xml:space="preserve">W. </w:t>
      </w:r>
      <w:r w:rsidRPr="00104204">
        <w:rPr>
          <w:sz w:val="20"/>
          <w:szCs w:val="20"/>
        </w:rPr>
        <w:t>(2011)</w:t>
      </w:r>
      <w:r w:rsidR="00217D58" w:rsidRPr="00104204">
        <w:rPr>
          <w:sz w:val="20"/>
          <w:szCs w:val="20"/>
        </w:rPr>
        <w:t>.</w:t>
      </w:r>
      <w:r w:rsidRPr="00104204">
        <w:rPr>
          <w:sz w:val="20"/>
          <w:szCs w:val="20"/>
        </w:rPr>
        <w:t xml:space="preserve"> The economics of director heterogeneity</w:t>
      </w:r>
      <w:r w:rsidR="00217D58" w:rsidRPr="00104204">
        <w:rPr>
          <w:sz w:val="20"/>
          <w:szCs w:val="20"/>
        </w:rPr>
        <w:t>.</w:t>
      </w:r>
      <w:r w:rsidRPr="00104204">
        <w:rPr>
          <w:sz w:val="20"/>
          <w:szCs w:val="20"/>
        </w:rPr>
        <w:t xml:space="preserve"> </w:t>
      </w:r>
      <w:r w:rsidRPr="00104204">
        <w:rPr>
          <w:i/>
          <w:sz w:val="20"/>
          <w:szCs w:val="20"/>
        </w:rPr>
        <w:t>Financial Management</w:t>
      </w:r>
      <w:r w:rsidRPr="00104204">
        <w:rPr>
          <w:sz w:val="20"/>
          <w:szCs w:val="20"/>
        </w:rPr>
        <w:t>, 40(1), 5-38.</w:t>
      </w:r>
    </w:p>
    <w:p w:rsidR="00D735DF" w:rsidRPr="00104204" w:rsidRDefault="00D735DF" w:rsidP="00D735DF">
      <w:pPr>
        <w:spacing w:line="360" w:lineRule="auto"/>
        <w:ind w:left="1440" w:hanging="720"/>
        <w:jc w:val="both"/>
        <w:rPr>
          <w:sz w:val="20"/>
          <w:szCs w:val="20"/>
        </w:rPr>
      </w:pPr>
      <w:proofErr w:type="spellStart"/>
      <w:r w:rsidRPr="00104204">
        <w:rPr>
          <w:sz w:val="20"/>
          <w:szCs w:val="20"/>
        </w:rPr>
        <w:t>Arslan</w:t>
      </w:r>
      <w:proofErr w:type="spellEnd"/>
      <w:r w:rsidRPr="00104204">
        <w:rPr>
          <w:sz w:val="20"/>
          <w:szCs w:val="20"/>
        </w:rPr>
        <w:t xml:space="preserve">, Ö., Karan, </w:t>
      </w:r>
      <w:r w:rsidR="00217D58" w:rsidRPr="00104204">
        <w:rPr>
          <w:sz w:val="20"/>
          <w:szCs w:val="20"/>
        </w:rPr>
        <w:t xml:space="preserve">M. B., &amp; </w:t>
      </w:r>
      <w:proofErr w:type="spellStart"/>
      <w:r w:rsidRPr="00104204">
        <w:rPr>
          <w:sz w:val="20"/>
          <w:szCs w:val="20"/>
        </w:rPr>
        <w:t>Ekşi</w:t>
      </w:r>
      <w:proofErr w:type="spellEnd"/>
      <w:r w:rsidRPr="00104204">
        <w:rPr>
          <w:sz w:val="20"/>
          <w:szCs w:val="20"/>
        </w:rPr>
        <w:t xml:space="preserve"> </w:t>
      </w:r>
      <w:r w:rsidR="00217D58" w:rsidRPr="00104204">
        <w:rPr>
          <w:sz w:val="20"/>
          <w:szCs w:val="20"/>
        </w:rPr>
        <w:t>C. (2010).</w:t>
      </w:r>
      <w:r w:rsidRPr="00104204">
        <w:rPr>
          <w:sz w:val="20"/>
          <w:szCs w:val="20"/>
        </w:rPr>
        <w:t xml:space="preserve"> Board structure and corporate performance</w:t>
      </w:r>
      <w:r w:rsidR="00217D58" w:rsidRPr="00104204">
        <w:rPr>
          <w:sz w:val="20"/>
          <w:szCs w:val="20"/>
        </w:rPr>
        <w:t>.</w:t>
      </w:r>
      <w:r w:rsidRPr="00104204">
        <w:rPr>
          <w:sz w:val="20"/>
          <w:szCs w:val="20"/>
        </w:rPr>
        <w:t xml:space="preserve"> </w:t>
      </w:r>
      <w:r w:rsidRPr="00104204">
        <w:rPr>
          <w:i/>
          <w:sz w:val="20"/>
          <w:szCs w:val="20"/>
        </w:rPr>
        <w:t>Managing Global Transitions</w:t>
      </w:r>
      <w:r w:rsidRPr="00104204">
        <w:rPr>
          <w:sz w:val="20"/>
          <w:szCs w:val="20"/>
        </w:rPr>
        <w:t>, 8(1), 3-22.</w:t>
      </w:r>
    </w:p>
    <w:p w:rsidR="00D735DF" w:rsidRPr="00104204" w:rsidRDefault="00D735DF" w:rsidP="00D735DF">
      <w:pPr>
        <w:spacing w:line="360" w:lineRule="auto"/>
        <w:ind w:left="1440" w:hanging="720"/>
        <w:jc w:val="both"/>
        <w:rPr>
          <w:sz w:val="20"/>
          <w:szCs w:val="20"/>
        </w:rPr>
      </w:pPr>
      <w:proofErr w:type="spellStart"/>
      <w:r w:rsidRPr="00104204">
        <w:rPr>
          <w:sz w:val="20"/>
          <w:szCs w:val="20"/>
        </w:rPr>
        <w:t>Baliga</w:t>
      </w:r>
      <w:proofErr w:type="spellEnd"/>
      <w:r w:rsidRPr="00104204">
        <w:rPr>
          <w:sz w:val="20"/>
          <w:szCs w:val="20"/>
        </w:rPr>
        <w:t xml:space="preserve">, B. R., Moyer </w:t>
      </w:r>
      <w:r w:rsidR="00217D58" w:rsidRPr="00104204">
        <w:rPr>
          <w:sz w:val="20"/>
          <w:szCs w:val="20"/>
        </w:rPr>
        <w:t xml:space="preserve">R. C., &amp; </w:t>
      </w:r>
      <w:r w:rsidRPr="00104204">
        <w:rPr>
          <w:sz w:val="20"/>
          <w:szCs w:val="20"/>
        </w:rPr>
        <w:t>Rao</w:t>
      </w:r>
      <w:r w:rsidR="00217D58" w:rsidRPr="00104204">
        <w:rPr>
          <w:sz w:val="20"/>
          <w:szCs w:val="20"/>
        </w:rPr>
        <w:t xml:space="preserve">, R. S. </w:t>
      </w:r>
      <w:r w:rsidRPr="00104204">
        <w:rPr>
          <w:sz w:val="20"/>
          <w:szCs w:val="20"/>
        </w:rPr>
        <w:t>(1996)</w:t>
      </w:r>
      <w:r w:rsidR="00217D58" w:rsidRPr="00104204">
        <w:rPr>
          <w:sz w:val="20"/>
          <w:szCs w:val="20"/>
        </w:rPr>
        <w:t>.</w:t>
      </w:r>
      <w:r w:rsidRPr="00104204">
        <w:rPr>
          <w:sz w:val="20"/>
          <w:szCs w:val="20"/>
        </w:rPr>
        <w:t xml:space="preserve"> CEO duality and firm performance: what's the fuss? </w:t>
      </w:r>
      <w:r w:rsidRPr="00104204">
        <w:rPr>
          <w:i/>
          <w:sz w:val="20"/>
          <w:szCs w:val="20"/>
        </w:rPr>
        <w:t>Strategic Management Journal</w:t>
      </w:r>
      <w:r w:rsidRPr="00104204">
        <w:rPr>
          <w:sz w:val="20"/>
          <w:szCs w:val="20"/>
        </w:rPr>
        <w:t>, 17(1), 41-53.</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Bennedsen</w:t>
      </w:r>
      <w:proofErr w:type="spellEnd"/>
      <w:r w:rsidRPr="00104204">
        <w:rPr>
          <w:sz w:val="20"/>
          <w:szCs w:val="20"/>
        </w:rPr>
        <w:t>, M</w:t>
      </w:r>
      <w:r w:rsidR="00217D58" w:rsidRPr="00104204">
        <w:rPr>
          <w:sz w:val="20"/>
          <w:szCs w:val="20"/>
        </w:rPr>
        <w:t>.</w:t>
      </w:r>
      <w:r w:rsidRPr="00104204">
        <w:rPr>
          <w:sz w:val="20"/>
          <w:szCs w:val="20"/>
        </w:rPr>
        <w:t xml:space="preserve">, </w:t>
      </w:r>
      <w:proofErr w:type="spellStart"/>
      <w:r w:rsidRPr="00104204">
        <w:rPr>
          <w:sz w:val="20"/>
          <w:szCs w:val="20"/>
        </w:rPr>
        <w:t>Kongsted</w:t>
      </w:r>
      <w:proofErr w:type="spellEnd"/>
      <w:r w:rsidR="00217D58" w:rsidRPr="00104204">
        <w:rPr>
          <w:sz w:val="20"/>
          <w:szCs w:val="20"/>
        </w:rPr>
        <w:t>, H. C., &amp;</w:t>
      </w:r>
      <w:r w:rsidRPr="00104204">
        <w:rPr>
          <w:sz w:val="20"/>
          <w:szCs w:val="20"/>
        </w:rPr>
        <w:t xml:space="preserve"> Nielsen</w:t>
      </w:r>
      <w:r w:rsidR="00217D58" w:rsidRPr="00104204">
        <w:rPr>
          <w:sz w:val="20"/>
          <w:szCs w:val="20"/>
        </w:rPr>
        <w:t xml:space="preserve">, K. M. </w:t>
      </w:r>
      <w:r w:rsidRPr="00104204">
        <w:rPr>
          <w:sz w:val="20"/>
          <w:szCs w:val="20"/>
        </w:rPr>
        <w:t>(2008)</w:t>
      </w:r>
      <w:r w:rsidR="00217D58" w:rsidRPr="00104204">
        <w:rPr>
          <w:sz w:val="20"/>
          <w:szCs w:val="20"/>
        </w:rPr>
        <w:t>.</w:t>
      </w:r>
      <w:proofErr w:type="gramEnd"/>
      <w:r w:rsidRPr="00104204">
        <w:rPr>
          <w:sz w:val="20"/>
          <w:szCs w:val="20"/>
        </w:rPr>
        <w:t xml:space="preserve"> </w:t>
      </w:r>
      <w:proofErr w:type="gramStart"/>
      <w:r w:rsidRPr="00104204">
        <w:rPr>
          <w:sz w:val="20"/>
          <w:szCs w:val="20"/>
        </w:rPr>
        <w:t>The causal effect of board size in the performance of small- and medium-sized firms</w:t>
      </w:r>
      <w:r w:rsidR="00217D58" w:rsidRPr="00104204">
        <w:rPr>
          <w:sz w:val="20"/>
          <w:szCs w:val="20"/>
        </w:rPr>
        <w:t>.</w:t>
      </w:r>
      <w:proofErr w:type="gramEnd"/>
      <w:r w:rsidRPr="00104204">
        <w:rPr>
          <w:sz w:val="20"/>
          <w:szCs w:val="20"/>
        </w:rPr>
        <w:t xml:space="preserve"> </w:t>
      </w:r>
      <w:r w:rsidRPr="00104204">
        <w:rPr>
          <w:i/>
          <w:sz w:val="20"/>
          <w:szCs w:val="20"/>
        </w:rPr>
        <w:t>Journal of Banking and Finance</w:t>
      </w:r>
      <w:r w:rsidRPr="00104204">
        <w:rPr>
          <w:sz w:val="20"/>
          <w:szCs w:val="20"/>
        </w:rPr>
        <w:t>, 32(6), 1098-1109.</w:t>
      </w:r>
    </w:p>
    <w:p w:rsidR="00D735DF" w:rsidRPr="00104204" w:rsidRDefault="00D735DF" w:rsidP="00D735DF">
      <w:pPr>
        <w:spacing w:line="360" w:lineRule="auto"/>
        <w:ind w:left="1440" w:hanging="720"/>
        <w:jc w:val="both"/>
        <w:rPr>
          <w:sz w:val="20"/>
          <w:szCs w:val="20"/>
        </w:rPr>
      </w:pPr>
      <w:proofErr w:type="gramStart"/>
      <w:r w:rsidRPr="00104204">
        <w:rPr>
          <w:sz w:val="20"/>
          <w:szCs w:val="20"/>
        </w:rPr>
        <w:t>Berghe, L. A.</w:t>
      </w:r>
      <w:r w:rsidR="00217D58" w:rsidRPr="00104204">
        <w:rPr>
          <w:sz w:val="20"/>
          <w:szCs w:val="20"/>
        </w:rPr>
        <w:t>,</w:t>
      </w:r>
      <w:r w:rsidRPr="00104204">
        <w:rPr>
          <w:sz w:val="20"/>
          <w:szCs w:val="20"/>
        </w:rPr>
        <w:t xml:space="preserve"> </w:t>
      </w:r>
      <w:r w:rsidR="00217D58" w:rsidRPr="00104204">
        <w:rPr>
          <w:sz w:val="20"/>
          <w:szCs w:val="20"/>
        </w:rPr>
        <w:t xml:space="preserve">&amp; </w:t>
      </w:r>
      <w:r w:rsidRPr="00104204">
        <w:rPr>
          <w:sz w:val="20"/>
          <w:szCs w:val="20"/>
        </w:rPr>
        <w:t>Levrau</w:t>
      </w:r>
      <w:r w:rsidR="00217D58" w:rsidRPr="00104204">
        <w:rPr>
          <w:sz w:val="20"/>
          <w:szCs w:val="20"/>
        </w:rPr>
        <w:t xml:space="preserve">, A. </w:t>
      </w:r>
      <w:r w:rsidRPr="00104204">
        <w:rPr>
          <w:sz w:val="20"/>
          <w:szCs w:val="20"/>
        </w:rPr>
        <w:t>(2004)</w:t>
      </w:r>
      <w:r w:rsidR="00217D58" w:rsidRPr="00104204">
        <w:rPr>
          <w:sz w:val="20"/>
          <w:szCs w:val="20"/>
        </w:rPr>
        <w:t>.</w:t>
      </w:r>
      <w:proofErr w:type="gramEnd"/>
      <w:r w:rsidRPr="00104204">
        <w:rPr>
          <w:sz w:val="20"/>
          <w:szCs w:val="20"/>
        </w:rPr>
        <w:t xml:space="preserve"> Evaluating boards of directors: what constitutes a good corporate </w:t>
      </w:r>
      <w:proofErr w:type="gramStart"/>
      <w:r w:rsidRPr="00104204">
        <w:rPr>
          <w:sz w:val="20"/>
          <w:szCs w:val="20"/>
        </w:rPr>
        <w:t>board</w:t>
      </w:r>
      <w:r w:rsidR="00217D58" w:rsidRPr="00104204">
        <w:rPr>
          <w:sz w:val="20"/>
          <w:szCs w:val="20"/>
        </w:rPr>
        <w:t>.</w:t>
      </w:r>
      <w:proofErr w:type="gramEnd"/>
      <w:r w:rsidRPr="00104204">
        <w:rPr>
          <w:sz w:val="20"/>
          <w:szCs w:val="20"/>
        </w:rPr>
        <w:t xml:space="preserve"> </w:t>
      </w:r>
      <w:r w:rsidRPr="00104204">
        <w:rPr>
          <w:i/>
          <w:sz w:val="20"/>
          <w:szCs w:val="20"/>
        </w:rPr>
        <w:t>Corporate Governance: An International Review</w:t>
      </w:r>
      <w:r w:rsidRPr="00104204">
        <w:rPr>
          <w:sz w:val="20"/>
          <w:szCs w:val="20"/>
        </w:rPr>
        <w:t>, 12(4), 461-478.</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Bhagat</w:t>
      </w:r>
      <w:proofErr w:type="spellEnd"/>
      <w:r w:rsidRPr="00104204">
        <w:rPr>
          <w:sz w:val="20"/>
          <w:szCs w:val="20"/>
        </w:rPr>
        <w:t>, S</w:t>
      </w:r>
      <w:r w:rsidR="00217D58" w:rsidRPr="00104204">
        <w:rPr>
          <w:sz w:val="20"/>
          <w:szCs w:val="20"/>
        </w:rPr>
        <w:t>.</w:t>
      </w:r>
      <w:r w:rsidRPr="00104204">
        <w:rPr>
          <w:sz w:val="20"/>
          <w:szCs w:val="20"/>
        </w:rPr>
        <w:t>, Bolton</w:t>
      </w:r>
      <w:r w:rsidR="00217D58" w:rsidRPr="00104204">
        <w:rPr>
          <w:sz w:val="20"/>
          <w:szCs w:val="20"/>
        </w:rPr>
        <w:t>, B. J., &amp;</w:t>
      </w:r>
      <w:r w:rsidRPr="00104204">
        <w:rPr>
          <w:sz w:val="20"/>
          <w:szCs w:val="20"/>
        </w:rPr>
        <w:t xml:space="preserve"> Subramanian</w:t>
      </w:r>
      <w:r w:rsidR="00217D58" w:rsidRPr="00104204">
        <w:rPr>
          <w:sz w:val="20"/>
          <w:szCs w:val="20"/>
        </w:rPr>
        <w:t xml:space="preserve">, A. </w:t>
      </w:r>
      <w:r w:rsidRPr="00104204">
        <w:rPr>
          <w:sz w:val="20"/>
          <w:szCs w:val="20"/>
        </w:rPr>
        <w:t>(2010)</w:t>
      </w:r>
      <w:r w:rsidR="00217D58" w:rsidRPr="00104204">
        <w:rPr>
          <w:sz w:val="20"/>
          <w:szCs w:val="20"/>
        </w:rPr>
        <w:t>.</w:t>
      </w:r>
      <w:proofErr w:type="gramEnd"/>
      <w:r w:rsidRPr="00104204">
        <w:rPr>
          <w:sz w:val="20"/>
          <w:szCs w:val="20"/>
        </w:rPr>
        <w:t xml:space="preserve"> </w:t>
      </w:r>
      <w:proofErr w:type="gramStart"/>
      <w:r w:rsidRPr="00104204">
        <w:rPr>
          <w:sz w:val="20"/>
          <w:szCs w:val="20"/>
        </w:rPr>
        <w:t>CEO Education, CEO Turnover, and Firm Performance</w:t>
      </w:r>
      <w:r w:rsidR="00217D58" w:rsidRPr="00104204">
        <w:rPr>
          <w:i/>
          <w:sz w:val="20"/>
          <w:szCs w:val="20"/>
        </w:rPr>
        <w:t>.</w:t>
      </w:r>
      <w:proofErr w:type="gramEnd"/>
      <w:r w:rsidR="00217D58" w:rsidRPr="00104204">
        <w:rPr>
          <w:sz w:val="20"/>
          <w:szCs w:val="20"/>
        </w:rPr>
        <w:t xml:space="preserve"> </w:t>
      </w:r>
      <w:hyperlink r:id="rId11" w:history="1">
        <w:r w:rsidRPr="00104204">
          <w:rPr>
            <w:rStyle w:val="Hyperlink"/>
            <w:sz w:val="20"/>
            <w:szCs w:val="20"/>
          </w:rPr>
          <w:t>http://papers.ssrn.com/sol3/papers.cfm?abstract_id=1670219</w:t>
        </w:r>
      </w:hyperlink>
      <w:r w:rsidR="00217D58" w:rsidRPr="00104204">
        <w:rPr>
          <w:rStyle w:val="Hyperlink"/>
          <w:sz w:val="20"/>
          <w:szCs w:val="20"/>
        </w:rPr>
        <w:t xml:space="preserve">. </w:t>
      </w:r>
      <w:proofErr w:type="gramStart"/>
      <w:r w:rsidR="00217D58" w:rsidRPr="00104204">
        <w:rPr>
          <w:rStyle w:val="Hyperlink"/>
          <w:sz w:val="20"/>
          <w:szCs w:val="20"/>
        </w:rPr>
        <w:t>A</w:t>
      </w:r>
      <w:r w:rsidRPr="00104204">
        <w:rPr>
          <w:sz w:val="20"/>
          <w:szCs w:val="20"/>
        </w:rPr>
        <w:t>ccessed 5 October 2012.</w:t>
      </w:r>
      <w:proofErr w:type="gramEnd"/>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Bhagat</w:t>
      </w:r>
      <w:proofErr w:type="spellEnd"/>
      <w:r w:rsidRPr="00104204">
        <w:rPr>
          <w:sz w:val="20"/>
          <w:szCs w:val="20"/>
        </w:rPr>
        <w:t>, S</w:t>
      </w:r>
      <w:r w:rsidR="00217D58" w:rsidRPr="00104204">
        <w:rPr>
          <w:sz w:val="20"/>
          <w:szCs w:val="20"/>
        </w:rPr>
        <w:t>.</w:t>
      </w:r>
      <w:r w:rsidRPr="00104204">
        <w:rPr>
          <w:sz w:val="20"/>
          <w:szCs w:val="20"/>
        </w:rPr>
        <w:t xml:space="preserve">, </w:t>
      </w:r>
      <w:r w:rsidR="00217D58" w:rsidRPr="00104204">
        <w:rPr>
          <w:sz w:val="20"/>
          <w:szCs w:val="20"/>
        </w:rPr>
        <w:t>&amp;</w:t>
      </w:r>
      <w:r w:rsidRPr="00104204">
        <w:rPr>
          <w:sz w:val="20"/>
          <w:szCs w:val="20"/>
        </w:rPr>
        <w:t xml:space="preserve"> Black</w:t>
      </w:r>
      <w:r w:rsidR="00217D58" w:rsidRPr="00104204">
        <w:rPr>
          <w:sz w:val="20"/>
          <w:szCs w:val="20"/>
        </w:rPr>
        <w:t xml:space="preserve">, B. </w:t>
      </w:r>
      <w:r w:rsidRPr="00104204">
        <w:rPr>
          <w:sz w:val="20"/>
          <w:szCs w:val="20"/>
        </w:rPr>
        <w:t>(2000)</w:t>
      </w:r>
      <w:r w:rsidR="00217D58" w:rsidRPr="00104204">
        <w:rPr>
          <w:sz w:val="20"/>
          <w:szCs w:val="20"/>
        </w:rPr>
        <w:t>.</w:t>
      </w:r>
      <w:proofErr w:type="gramEnd"/>
      <w:r w:rsidRPr="00104204">
        <w:rPr>
          <w:sz w:val="20"/>
          <w:szCs w:val="20"/>
        </w:rPr>
        <w:t xml:space="preserve"> </w:t>
      </w:r>
      <w:proofErr w:type="gramStart"/>
      <w:r w:rsidRPr="00104204">
        <w:rPr>
          <w:i/>
          <w:sz w:val="20"/>
          <w:szCs w:val="20"/>
        </w:rPr>
        <w:t>Board Independence and Long-Term Firm Performance</w:t>
      </w:r>
      <w:r w:rsidR="00217D58" w:rsidRPr="00104204">
        <w:rPr>
          <w:sz w:val="20"/>
          <w:szCs w:val="20"/>
        </w:rPr>
        <w:t>.</w:t>
      </w:r>
      <w:proofErr w:type="gramEnd"/>
      <w:r w:rsidRPr="00104204">
        <w:rPr>
          <w:sz w:val="20"/>
          <w:szCs w:val="20"/>
        </w:rPr>
        <w:t xml:space="preserve"> Law and Economics Working Paper No. 143, New York: The Centre for Law and Economics Studies at CLS.</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Boubakri</w:t>
      </w:r>
      <w:proofErr w:type="spellEnd"/>
      <w:r w:rsidRPr="00104204">
        <w:rPr>
          <w:sz w:val="20"/>
          <w:szCs w:val="20"/>
        </w:rPr>
        <w:t>, N., Cosset</w:t>
      </w:r>
      <w:r w:rsidR="00146125" w:rsidRPr="00104204">
        <w:rPr>
          <w:sz w:val="20"/>
          <w:szCs w:val="20"/>
        </w:rPr>
        <w:t>,</w:t>
      </w:r>
      <w:r w:rsidRPr="00104204">
        <w:rPr>
          <w:sz w:val="20"/>
          <w:szCs w:val="20"/>
        </w:rPr>
        <w:t xml:space="preserve"> </w:t>
      </w:r>
      <w:r w:rsidR="00146125" w:rsidRPr="00104204">
        <w:rPr>
          <w:sz w:val="20"/>
          <w:szCs w:val="20"/>
        </w:rPr>
        <w:t xml:space="preserve">J.C., &amp; </w:t>
      </w:r>
      <w:proofErr w:type="spellStart"/>
      <w:r w:rsidRPr="00104204">
        <w:rPr>
          <w:sz w:val="20"/>
          <w:szCs w:val="20"/>
        </w:rPr>
        <w:t>Guedhami</w:t>
      </w:r>
      <w:proofErr w:type="spellEnd"/>
      <w:r w:rsidR="00146125" w:rsidRPr="00104204">
        <w:rPr>
          <w:sz w:val="20"/>
          <w:szCs w:val="20"/>
        </w:rPr>
        <w:t>,</w:t>
      </w:r>
      <w:r w:rsidRPr="00104204">
        <w:rPr>
          <w:sz w:val="20"/>
          <w:szCs w:val="20"/>
        </w:rPr>
        <w:t xml:space="preserve"> </w:t>
      </w:r>
      <w:r w:rsidR="00146125" w:rsidRPr="00104204">
        <w:rPr>
          <w:sz w:val="20"/>
          <w:szCs w:val="20"/>
        </w:rPr>
        <w:t xml:space="preserve">O. </w:t>
      </w:r>
      <w:r w:rsidRPr="00104204">
        <w:rPr>
          <w:sz w:val="20"/>
          <w:szCs w:val="20"/>
        </w:rPr>
        <w:t>(2005)</w:t>
      </w:r>
      <w:r w:rsidR="00146125" w:rsidRPr="00104204">
        <w:rPr>
          <w:sz w:val="20"/>
          <w:szCs w:val="20"/>
        </w:rPr>
        <w:t>.</w:t>
      </w:r>
      <w:proofErr w:type="gramEnd"/>
      <w:r w:rsidRPr="00104204">
        <w:rPr>
          <w:sz w:val="20"/>
          <w:szCs w:val="20"/>
        </w:rPr>
        <w:t xml:space="preserve"> </w:t>
      </w:r>
      <w:proofErr w:type="spellStart"/>
      <w:proofErr w:type="gramStart"/>
      <w:r w:rsidRPr="00104204">
        <w:rPr>
          <w:sz w:val="20"/>
          <w:szCs w:val="20"/>
        </w:rPr>
        <w:t>Liberalisation</w:t>
      </w:r>
      <w:proofErr w:type="spellEnd"/>
      <w:r w:rsidRPr="00104204">
        <w:rPr>
          <w:sz w:val="20"/>
          <w:szCs w:val="20"/>
        </w:rPr>
        <w:t xml:space="preserve">, corporate governance and the performance of </w:t>
      </w:r>
      <w:proofErr w:type="spellStart"/>
      <w:r w:rsidRPr="00104204">
        <w:rPr>
          <w:sz w:val="20"/>
          <w:szCs w:val="20"/>
        </w:rPr>
        <w:t>privatised</w:t>
      </w:r>
      <w:proofErr w:type="spellEnd"/>
      <w:r w:rsidRPr="00104204">
        <w:rPr>
          <w:sz w:val="20"/>
          <w:szCs w:val="20"/>
        </w:rPr>
        <w:t xml:space="preserve"> firms in developing countries</w:t>
      </w:r>
      <w:r w:rsidR="00146125" w:rsidRPr="00104204">
        <w:rPr>
          <w:sz w:val="20"/>
          <w:szCs w:val="20"/>
        </w:rPr>
        <w:t>.</w:t>
      </w:r>
      <w:proofErr w:type="gramEnd"/>
      <w:r w:rsidRPr="00104204">
        <w:rPr>
          <w:sz w:val="20"/>
          <w:szCs w:val="20"/>
        </w:rPr>
        <w:t xml:space="preserve"> </w:t>
      </w:r>
      <w:r w:rsidRPr="00104204">
        <w:rPr>
          <w:i/>
          <w:sz w:val="20"/>
          <w:szCs w:val="20"/>
        </w:rPr>
        <w:t>Journal of Corporate Finance</w:t>
      </w:r>
      <w:r w:rsidRPr="00104204">
        <w:rPr>
          <w:sz w:val="20"/>
          <w:szCs w:val="20"/>
        </w:rPr>
        <w:t>, 11(5), 767-790.</w:t>
      </w:r>
    </w:p>
    <w:p w:rsidR="00D735DF" w:rsidRPr="00104204" w:rsidRDefault="00D735DF" w:rsidP="00D735DF">
      <w:pPr>
        <w:spacing w:line="360" w:lineRule="auto"/>
        <w:ind w:left="1440" w:hanging="720"/>
        <w:jc w:val="both"/>
        <w:rPr>
          <w:sz w:val="20"/>
          <w:szCs w:val="20"/>
        </w:rPr>
      </w:pPr>
      <w:r w:rsidRPr="00104204">
        <w:rPr>
          <w:sz w:val="20"/>
          <w:szCs w:val="20"/>
        </w:rPr>
        <w:t>Boyd, B. K. (1995)</w:t>
      </w:r>
      <w:r w:rsidR="00146125" w:rsidRPr="00104204">
        <w:rPr>
          <w:sz w:val="20"/>
          <w:szCs w:val="20"/>
        </w:rPr>
        <w:t>.</w:t>
      </w:r>
      <w:r w:rsidRPr="00104204">
        <w:rPr>
          <w:sz w:val="20"/>
          <w:szCs w:val="20"/>
        </w:rPr>
        <w:t xml:space="preserve"> CEO duality and firm performance: A contingency model</w:t>
      </w:r>
      <w:r w:rsidR="00146125" w:rsidRPr="00104204">
        <w:rPr>
          <w:sz w:val="20"/>
          <w:szCs w:val="20"/>
        </w:rPr>
        <w:t>.</w:t>
      </w:r>
      <w:r w:rsidRPr="00104204">
        <w:rPr>
          <w:sz w:val="20"/>
          <w:szCs w:val="20"/>
        </w:rPr>
        <w:t xml:space="preserve"> </w:t>
      </w:r>
      <w:r w:rsidRPr="00104204">
        <w:rPr>
          <w:i/>
          <w:sz w:val="20"/>
          <w:szCs w:val="20"/>
        </w:rPr>
        <w:t>Strategic Management Journal</w:t>
      </w:r>
      <w:r w:rsidRPr="00104204">
        <w:rPr>
          <w:sz w:val="20"/>
          <w:szCs w:val="20"/>
        </w:rPr>
        <w:t>, 16(4), 301-312.</w:t>
      </w:r>
    </w:p>
    <w:p w:rsidR="00D735DF" w:rsidRPr="00104204" w:rsidRDefault="00D735DF" w:rsidP="00D735DF">
      <w:pPr>
        <w:spacing w:line="360" w:lineRule="auto"/>
        <w:ind w:left="1440" w:hanging="720"/>
        <w:jc w:val="both"/>
        <w:rPr>
          <w:sz w:val="20"/>
          <w:szCs w:val="20"/>
        </w:rPr>
      </w:pPr>
      <w:proofErr w:type="spellStart"/>
      <w:r w:rsidRPr="00104204">
        <w:rPr>
          <w:sz w:val="20"/>
          <w:szCs w:val="20"/>
        </w:rPr>
        <w:t>Bozec</w:t>
      </w:r>
      <w:proofErr w:type="spellEnd"/>
      <w:r w:rsidRPr="00104204">
        <w:rPr>
          <w:sz w:val="20"/>
          <w:szCs w:val="20"/>
        </w:rPr>
        <w:t>, R. (2005)</w:t>
      </w:r>
      <w:r w:rsidR="00146125" w:rsidRPr="00104204">
        <w:rPr>
          <w:sz w:val="20"/>
          <w:szCs w:val="20"/>
        </w:rPr>
        <w:t>.</w:t>
      </w:r>
      <w:r w:rsidRPr="00104204">
        <w:rPr>
          <w:sz w:val="20"/>
          <w:szCs w:val="20"/>
        </w:rPr>
        <w:t xml:space="preserve"> </w:t>
      </w:r>
      <w:proofErr w:type="gramStart"/>
      <w:r w:rsidRPr="00104204">
        <w:rPr>
          <w:sz w:val="20"/>
          <w:szCs w:val="20"/>
        </w:rPr>
        <w:t>Boards of directors, market discipline and firm performance</w:t>
      </w:r>
      <w:r w:rsidR="00146125" w:rsidRPr="00104204">
        <w:rPr>
          <w:sz w:val="20"/>
          <w:szCs w:val="20"/>
        </w:rPr>
        <w:t>.</w:t>
      </w:r>
      <w:proofErr w:type="gramEnd"/>
      <w:r w:rsidRPr="00104204">
        <w:rPr>
          <w:sz w:val="20"/>
          <w:szCs w:val="20"/>
        </w:rPr>
        <w:t xml:space="preserve"> </w:t>
      </w:r>
      <w:r w:rsidRPr="00104204">
        <w:rPr>
          <w:i/>
          <w:sz w:val="20"/>
          <w:szCs w:val="20"/>
        </w:rPr>
        <w:t>Journal of Business Finance and Accounting</w:t>
      </w:r>
      <w:r w:rsidRPr="00104204">
        <w:rPr>
          <w:sz w:val="20"/>
          <w:szCs w:val="20"/>
        </w:rPr>
        <w:t>, 32(9 and 10), 1921-1960.</w:t>
      </w:r>
    </w:p>
    <w:p w:rsidR="00D735DF" w:rsidRPr="00104204" w:rsidRDefault="00D735DF" w:rsidP="00D735DF">
      <w:pPr>
        <w:spacing w:line="360" w:lineRule="auto"/>
        <w:ind w:left="1440" w:hanging="720"/>
        <w:jc w:val="both"/>
        <w:rPr>
          <w:sz w:val="20"/>
          <w:szCs w:val="20"/>
        </w:rPr>
      </w:pPr>
      <w:r w:rsidRPr="00104204">
        <w:rPr>
          <w:sz w:val="20"/>
          <w:szCs w:val="20"/>
        </w:rPr>
        <w:t>Bulent, G. (2009)</w:t>
      </w:r>
      <w:r w:rsidR="00146125" w:rsidRPr="00104204">
        <w:rPr>
          <w:sz w:val="20"/>
          <w:szCs w:val="20"/>
        </w:rPr>
        <w:t>.</w:t>
      </w:r>
      <w:r w:rsidRPr="00104204">
        <w:rPr>
          <w:sz w:val="20"/>
          <w:szCs w:val="20"/>
        </w:rPr>
        <w:t xml:space="preserve"> </w:t>
      </w:r>
      <w:r w:rsidRPr="00104204">
        <w:rPr>
          <w:i/>
          <w:sz w:val="20"/>
          <w:szCs w:val="20"/>
        </w:rPr>
        <w:t>The 2008 World Economic Crisis: Global Shifts and Fault Lines</w:t>
      </w:r>
      <w:r w:rsidR="00146125" w:rsidRPr="00104204">
        <w:rPr>
          <w:i/>
          <w:sz w:val="20"/>
          <w:szCs w:val="20"/>
        </w:rPr>
        <w:t>.</w:t>
      </w:r>
      <w:r w:rsidRPr="00104204">
        <w:rPr>
          <w:i/>
          <w:sz w:val="20"/>
          <w:szCs w:val="20"/>
        </w:rPr>
        <w:t xml:space="preserve"> </w:t>
      </w:r>
      <w:hyperlink r:id="rId12" w:history="1">
        <w:r w:rsidRPr="00104204">
          <w:rPr>
            <w:sz w:val="20"/>
            <w:szCs w:val="20"/>
            <w:u w:val="single"/>
          </w:rPr>
          <w:t>http://www.globalresearch.ca/index.php?context=va&amp;aid=12283</w:t>
        </w:r>
      </w:hyperlink>
      <w:r w:rsidR="00146125" w:rsidRPr="00104204">
        <w:rPr>
          <w:sz w:val="20"/>
          <w:szCs w:val="20"/>
          <w:u w:val="single"/>
        </w:rPr>
        <w:t xml:space="preserve">. </w:t>
      </w:r>
      <w:r w:rsidR="00146125" w:rsidRPr="00104204">
        <w:rPr>
          <w:sz w:val="20"/>
          <w:szCs w:val="20"/>
        </w:rPr>
        <w:t>A</w:t>
      </w:r>
      <w:r w:rsidRPr="00104204">
        <w:rPr>
          <w:sz w:val="20"/>
          <w:szCs w:val="20"/>
        </w:rPr>
        <w:t xml:space="preserve">ccessed 7 June 2010. </w:t>
      </w:r>
    </w:p>
    <w:p w:rsidR="00D735DF" w:rsidRPr="00104204" w:rsidRDefault="00D735DF" w:rsidP="00D735DF">
      <w:pPr>
        <w:spacing w:line="360" w:lineRule="auto"/>
        <w:ind w:left="1440" w:hanging="720"/>
        <w:jc w:val="both"/>
        <w:rPr>
          <w:sz w:val="20"/>
          <w:szCs w:val="20"/>
        </w:rPr>
      </w:pPr>
      <w:proofErr w:type="gramStart"/>
      <w:r w:rsidRPr="00104204">
        <w:rPr>
          <w:sz w:val="20"/>
          <w:szCs w:val="20"/>
        </w:rPr>
        <w:t>Byrd, J. W.</w:t>
      </w:r>
      <w:r w:rsidR="00146125" w:rsidRPr="00104204">
        <w:rPr>
          <w:sz w:val="20"/>
          <w:szCs w:val="20"/>
        </w:rPr>
        <w:t>, &amp;</w:t>
      </w:r>
      <w:r w:rsidRPr="00104204">
        <w:rPr>
          <w:sz w:val="20"/>
          <w:szCs w:val="20"/>
        </w:rPr>
        <w:t xml:space="preserve"> Hickman</w:t>
      </w:r>
      <w:r w:rsidR="00146125" w:rsidRPr="00104204">
        <w:rPr>
          <w:sz w:val="20"/>
          <w:szCs w:val="20"/>
        </w:rPr>
        <w:t>, K. A.</w:t>
      </w:r>
      <w:proofErr w:type="gramEnd"/>
      <w:r w:rsidR="00146125" w:rsidRPr="00104204">
        <w:rPr>
          <w:sz w:val="20"/>
          <w:szCs w:val="20"/>
        </w:rPr>
        <w:t xml:space="preserve"> </w:t>
      </w:r>
      <w:r w:rsidRPr="00104204">
        <w:rPr>
          <w:sz w:val="20"/>
          <w:szCs w:val="20"/>
        </w:rPr>
        <w:t xml:space="preserve"> (1992)</w:t>
      </w:r>
      <w:r w:rsidR="00146125" w:rsidRPr="00104204">
        <w:rPr>
          <w:sz w:val="20"/>
          <w:szCs w:val="20"/>
        </w:rPr>
        <w:t>.</w:t>
      </w:r>
      <w:r w:rsidRPr="00104204">
        <w:rPr>
          <w:sz w:val="20"/>
          <w:szCs w:val="20"/>
        </w:rPr>
        <w:t xml:space="preserve"> Do outside directors monitor managers? </w:t>
      </w:r>
      <w:r w:rsidRPr="00104204">
        <w:rPr>
          <w:i/>
          <w:sz w:val="20"/>
          <w:szCs w:val="20"/>
        </w:rPr>
        <w:t>Journal of Financial Economics</w:t>
      </w:r>
      <w:r w:rsidRPr="00104204">
        <w:rPr>
          <w:sz w:val="20"/>
          <w:szCs w:val="20"/>
        </w:rPr>
        <w:t>, 32(2), 195-221.</w:t>
      </w:r>
    </w:p>
    <w:p w:rsidR="00D735DF" w:rsidRPr="00104204" w:rsidRDefault="00D735DF" w:rsidP="00D735DF">
      <w:pPr>
        <w:spacing w:line="360" w:lineRule="auto"/>
        <w:ind w:left="1440" w:hanging="720"/>
        <w:jc w:val="both"/>
        <w:rPr>
          <w:sz w:val="20"/>
          <w:szCs w:val="20"/>
        </w:rPr>
      </w:pPr>
      <w:r w:rsidRPr="00104204">
        <w:rPr>
          <w:sz w:val="20"/>
          <w:szCs w:val="20"/>
        </w:rPr>
        <w:t>Cadbury, S.A. (2000)</w:t>
      </w:r>
      <w:r w:rsidR="00146125" w:rsidRPr="00104204">
        <w:rPr>
          <w:sz w:val="20"/>
          <w:szCs w:val="20"/>
        </w:rPr>
        <w:t>.</w:t>
      </w:r>
      <w:r w:rsidRPr="00104204">
        <w:rPr>
          <w:sz w:val="20"/>
          <w:szCs w:val="20"/>
        </w:rPr>
        <w:t xml:space="preserve"> </w:t>
      </w:r>
      <w:proofErr w:type="gramStart"/>
      <w:r w:rsidRPr="00104204">
        <w:rPr>
          <w:sz w:val="20"/>
          <w:szCs w:val="20"/>
        </w:rPr>
        <w:t>The corporate governance agenda</w:t>
      </w:r>
      <w:r w:rsidR="00146125" w:rsidRPr="00104204">
        <w:rPr>
          <w:sz w:val="20"/>
          <w:szCs w:val="20"/>
        </w:rPr>
        <w:t>.</w:t>
      </w:r>
      <w:proofErr w:type="gramEnd"/>
      <w:r w:rsidRPr="00104204">
        <w:rPr>
          <w:sz w:val="20"/>
          <w:szCs w:val="20"/>
        </w:rPr>
        <w:t xml:space="preserve"> </w:t>
      </w:r>
      <w:r w:rsidRPr="00104204">
        <w:rPr>
          <w:i/>
          <w:sz w:val="20"/>
          <w:szCs w:val="20"/>
        </w:rPr>
        <w:t>Corporate Governance: An International Review</w:t>
      </w:r>
      <w:r w:rsidRPr="00104204">
        <w:rPr>
          <w:sz w:val="20"/>
          <w:szCs w:val="20"/>
        </w:rPr>
        <w:t>, 8(1), 7-15.</w:t>
      </w:r>
    </w:p>
    <w:p w:rsidR="00D735DF" w:rsidRPr="00104204" w:rsidRDefault="00D735DF" w:rsidP="00D735DF">
      <w:pPr>
        <w:spacing w:line="360" w:lineRule="auto"/>
        <w:ind w:left="1440" w:hanging="720"/>
        <w:jc w:val="both"/>
        <w:rPr>
          <w:sz w:val="20"/>
          <w:szCs w:val="20"/>
        </w:rPr>
      </w:pPr>
      <w:proofErr w:type="gramStart"/>
      <w:r w:rsidRPr="00104204">
        <w:rPr>
          <w:sz w:val="20"/>
          <w:szCs w:val="20"/>
        </w:rPr>
        <w:lastRenderedPageBreak/>
        <w:t>Campbell, K.</w:t>
      </w:r>
      <w:r w:rsidR="00146125" w:rsidRPr="00104204">
        <w:rPr>
          <w:sz w:val="20"/>
          <w:szCs w:val="20"/>
        </w:rPr>
        <w:t>,</w:t>
      </w:r>
      <w:r w:rsidRPr="00104204">
        <w:rPr>
          <w:sz w:val="20"/>
          <w:szCs w:val="20"/>
        </w:rPr>
        <w:t xml:space="preserve"> </w:t>
      </w:r>
      <w:r w:rsidR="00146125" w:rsidRPr="00104204">
        <w:rPr>
          <w:sz w:val="20"/>
          <w:szCs w:val="20"/>
        </w:rPr>
        <w:t>&amp;</w:t>
      </w:r>
      <w:r w:rsidRPr="00104204">
        <w:rPr>
          <w:sz w:val="20"/>
          <w:szCs w:val="20"/>
        </w:rPr>
        <w:t xml:space="preserve"> </w:t>
      </w:r>
      <w:proofErr w:type="spellStart"/>
      <w:r w:rsidRPr="00104204">
        <w:rPr>
          <w:sz w:val="20"/>
          <w:szCs w:val="20"/>
        </w:rPr>
        <w:t>Mίnguez</w:t>
      </w:r>
      <w:proofErr w:type="spellEnd"/>
      <w:r w:rsidRPr="00104204">
        <w:rPr>
          <w:sz w:val="20"/>
          <w:szCs w:val="20"/>
        </w:rPr>
        <w:t>-Vera</w:t>
      </w:r>
      <w:r w:rsidR="00146125" w:rsidRPr="00104204">
        <w:rPr>
          <w:sz w:val="20"/>
          <w:szCs w:val="20"/>
        </w:rPr>
        <w:t xml:space="preserve">, A. </w:t>
      </w:r>
      <w:r w:rsidRPr="00104204">
        <w:rPr>
          <w:sz w:val="20"/>
          <w:szCs w:val="20"/>
        </w:rPr>
        <w:t>(2008)</w:t>
      </w:r>
      <w:r w:rsidR="00146125" w:rsidRPr="00104204">
        <w:rPr>
          <w:sz w:val="20"/>
          <w:szCs w:val="20"/>
        </w:rPr>
        <w:t>.</w:t>
      </w:r>
      <w:proofErr w:type="gramEnd"/>
      <w:r w:rsidRPr="00104204">
        <w:rPr>
          <w:sz w:val="20"/>
          <w:szCs w:val="20"/>
        </w:rPr>
        <w:t xml:space="preserve"> </w:t>
      </w:r>
      <w:proofErr w:type="gramStart"/>
      <w:r w:rsidRPr="00104204">
        <w:rPr>
          <w:sz w:val="20"/>
          <w:szCs w:val="20"/>
        </w:rPr>
        <w:t>Gender diversity in the boardroom and firm financial performance</w:t>
      </w:r>
      <w:r w:rsidR="00146125" w:rsidRPr="00104204">
        <w:rPr>
          <w:sz w:val="20"/>
          <w:szCs w:val="20"/>
        </w:rPr>
        <w:t>.</w:t>
      </w:r>
      <w:proofErr w:type="gramEnd"/>
      <w:r w:rsidRPr="00104204">
        <w:rPr>
          <w:sz w:val="20"/>
          <w:szCs w:val="20"/>
        </w:rPr>
        <w:t xml:space="preserve"> </w:t>
      </w:r>
      <w:r w:rsidRPr="00104204">
        <w:rPr>
          <w:i/>
          <w:sz w:val="20"/>
          <w:szCs w:val="20"/>
        </w:rPr>
        <w:t>Journal of Business Ethics</w:t>
      </w:r>
      <w:r w:rsidRPr="00104204">
        <w:rPr>
          <w:sz w:val="20"/>
          <w:szCs w:val="20"/>
        </w:rPr>
        <w:t>, 83(3), 435-451.</w:t>
      </w:r>
    </w:p>
    <w:p w:rsidR="00D735DF" w:rsidRPr="00104204" w:rsidRDefault="00D735DF" w:rsidP="00D735DF">
      <w:pPr>
        <w:spacing w:line="360" w:lineRule="auto"/>
        <w:ind w:left="1440" w:hanging="720"/>
        <w:jc w:val="both"/>
        <w:rPr>
          <w:sz w:val="20"/>
          <w:szCs w:val="20"/>
        </w:rPr>
      </w:pPr>
      <w:r w:rsidRPr="00104204">
        <w:rPr>
          <w:sz w:val="20"/>
          <w:szCs w:val="20"/>
        </w:rPr>
        <w:t>Carter, D. A</w:t>
      </w:r>
      <w:r w:rsidR="00146125" w:rsidRPr="00104204">
        <w:rPr>
          <w:sz w:val="20"/>
          <w:szCs w:val="20"/>
        </w:rPr>
        <w:t>.</w:t>
      </w:r>
      <w:proofErr w:type="gramStart"/>
      <w:r w:rsidRPr="00104204">
        <w:rPr>
          <w:sz w:val="20"/>
          <w:szCs w:val="20"/>
        </w:rPr>
        <w:t>,  D'Souza</w:t>
      </w:r>
      <w:proofErr w:type="gramEnd"/>
      <w:r w:rsidRPr="00104204">
        <w:rPr>
          <w:sz w:val="20"/>
          <w:szCs w:val="20"/>
        </w:rPr>
        <w:t xml:space="preserve">, </w:t>
      </w:r>
      <w:r w:rsidR="00146125" w:rsidRPr="00104204">
        <w:rPr>
          <w:sz w:val="20"/>
          <w:szCs w:val="20"/>
        </w:rPr>
        <w:t xml:space="preserve">F., </w:t>
      </w:r>
      <w:proofErr w:type="spellStart"/>
      <w:r w:rsidRPr="00104204">
        <w:rPr>
          <w:sz w:val="20"/>
          <w:szCs w:val="20"/>
        </w:rPr>
        <w:t>Simkins</w:t>
      </w:r>
      <w:proofErr w:type="spellEnd"/>
      <w:r w:rsidRPr="00104204">
        <w:rPr>
          <w:sz w:val="20"/>
          <w:szCs w:val="20"/>
        </w:rPr>
        <w:t xml:space="preserve">, </w:t>
      </w:r>
      <w:r w:rsidR="00146125" w:rsidRPr="00104204">
        <w:rPr>
          <w:sz w:val="20"/>
          <w:szCs w:val="20"/>
        </w:rPr>
        <w:t>B. J. &amp;</w:t>
      </w:r>
      <w:r w:rsidRPr="00104204">
        <w:rPr>
          <w:sz w:val="20"/>
          <w:szCs w:val="20"/>
        </w:rPr>
        <w:t xml:space="preserve"> Simpson</w:t>
      </w:r>
      <w:r w:rsidR="00146125" w:rsidRPr="00104204">
        <w:rPr>
          <w:sz w:val="20"/>
          <w:szCs w:val="20"/>
        </w:rPr>
        <w:t>, W. G.  (2010).</w:t>
      </w:r>
      <w:r w:rsidRPr="00104204">
        <w:rPr>
          <w:sz w:val="20"/>
          <w:szCs w:val="20"/>
        </w:rPr>
        <w:t xml:space="preserve"> </w:t>
      </w:r>
      <w:proofErr w:type="gramStart"/>
      <w:r w:rsidRPr="00104204">
        <w:rPr>
          <w:sz w:val="20"/>
          <w:szCs w:val="20"/>
        </w:rPr>
        <w:t>The</w:t>
      </w:r>
      <w:proofErr w:type="gramEnd"/>
      <w:r w:rsidRPr="00104204">
        <w:rPr>
          <w:sz w:val="20"/>
          <w:szCs w:val="20"/>
        </w:rPr>
        <w:t xml:space="preserve"> gender and ethnic diversity of US boards and board committee and firm financial performance</w:t>
      </w:r>
      <w:r w:rsidR="00146125" w:rsidRPr="00104204">
        <w:rPr>
          <w:sz w:val="20"/>
          <w:szCs w:val="20"/>
        </w:rPr>
        <w:t>.</w:t>
      </w:r>
      <w:r w:rsidRPr="00104204">
        <w:rPr>
          <w:sz w:val="20"/>
          <w:szCs w:val="20"/>
        </w:rPr>
        <w:t xml:space="preserve"> </w:t>
      </w:r>
      <w:r w:rsidRPr="00104204">
        <w:rPr>
          <w:i/>
          <w:sz w:val="20"/>
          <w:szCs w:val="20"/>
        </w:rPr>
        <w:t>Corporate Governance: An International Review</w:t>
      </w:r>
      <w:r w:rsidRPr="00104204">
        <w:rPr>
          <w:sz w:val="20"/>
          <w:szCs w:val="20"/>
        </w:rPr>
        <w:t>, 18(5), 396-414.</w:t>
      </w:r>
    </w:p>
    <w:p w:rsidR="00BC70D5" w:rsidRPr="00104204" w:rsidRDefault="00D735DF" w:rsidP="00BC70D5">
      <w:pPr>
        <w:spacing w:line="360" w:lineRule="auto"/>
        <w:ind w:left="1440" w:hanging="720"/>
        <w:jc w:val="both"/>
        <w:rPr>
          <w:sz w:val="20"/>
          <w:szCs w:val="20"/>
        </w:rPr>
      </w:pPr>
      <w:r w:rsidRPr="00104204">
        <w:rPr>
          <w:sz w:val="20"/>
          <w:szCs w:val="20"/>
        </w:rPr>
        <w:t>Carter, D. A</w:t>
      </w:r>
      <w:r w:rsidR="00146125" w:rsidRPr="00104204">
        <w:rPr>
          <w:sz w:val="20"/>
          <w:szCs w:val="20"/>
        </w:rPr>
        <w:t>.</w:t>
      </w:r>
      <w:r w:rsidRPr="00104204">
        <w:rPr>
          <w:sz w:val="20"/>
          <w:szCs w:val="20"/>
        </w:rPr>
        <w:t xml:space="preserve">, </w:t>
      </w:r>
      <w:proofErr w:type="spellStart"/>
      <w:r w:rsidRPr="00104204">
        <w:rPr>
          <w:sz w:val="20"/>
          <w:szCs w:val="20"/>
        </w:rPr>
        <w:t>Simkins</w:t>
      </w:r>
      <w:proofErr w:type="spellEnd"/>
      <w:r w:rsidR="00146125" w:rsidRPr="00104204">
        <w:rPr>
          <w:sz w:val="20"/>
          <w:szCs w:val="20"/>
        </w:rPr>
        <w:t>, B. J. &amp;</w:t>
      </w:r>
      <w:r w:rsidRPr="00104204">
        <w:rPr>
          <w:sz w:val="20"/>
          <w:szCs w:val="20"/>
        </w:rPr>
        <w:t xml:space="preserve"> Simpson</w:t>
      </w:r>
      <w:r w:rsidR="00146125" w:rsidRPr="00104204">
        <w:rPr>
          <w:sz w:val="20"/>
          <w:szCs w:val="20"/>
        </w:rPr>
        <w:t>, W. G. (2003).</w:t>
      </w:r>
      <w:r w:rsidRPr="00104204">
        <w:rPr>
          <w:sz w:val="20"/>
          <w:szCs w:val="20"/>
        </w:rPr>
        <w:t xml:space="preserve"> </w:t>
      </w:r>
      <w:proofErr w:type="gramStart"/>
      <w:r w:rsidRPr="00104204">
        <w:rPr>
          <w:sz w:val="20"/>
          <w:szCs w:val="20"/>
        </w:rPr>
        <w:t>Corporate governance, board diversity, and firm value</w:t>
      </w:r>
      <w:r w:rsidR="00146125" w:rsidRPr="00104204">
        <w:rPr>
          <w:sz w:val="20"/>
          <w:szCs w:val="20"/>
        </w:rPr>
        <w:t>.</w:t>
      </w:r>
      <w:proofErr w:type="gramEnd"/>
      <w:r w:rsidRPr="00104204">
        <w:rPr>
          <w:sz w:val="20"/>
          <w:szCs w:val="20"/>
        </w:rPr>
        <w:t xml:space="preserve"> </w:t>
      </w:r>
      <w:r w:rsidRPr="00104204">
        <w:rPr>
          <w:i/>
          <w:sz w:val="20"/>
          <w:szCs w:val="20"/>
        </w:rPr>
        <w:t>The Financial Review</w:t>
      </w:r>
      <w:r w:rsidR="00BC70D5" w:rsidRPr="00104204">
        <w:rPr>
          <w:sz w:val="20"/>
          <w:szCs w:val="20"/>
        </w:rPr>
        <w:t>, 38(1), 33-53.</w:t>
      </w:r>
    </w:p>
    <w:p w:rsidR="00BC70D5" w:rsidRPr="00104204" w:rsidRDefault="00BC70D5" w:rsidP="00BC70D5">
      <w:pPr>
        <w:spacing w:line="360" w:lineRule="auto"/>
        <w:ind w:left="1440" w:hanging="720"/>
        <w:jc w:val="both"/>
        <w:rPr>
          <w:sz w:val="20"/>
          <w:szCs w:val="20"/>
        </w:rPr>
      </w:pPr>
      <w:proofErr w:type="gramStart"/>
      <w:r w:rsidRPr="00104204">
        <w:rPr>
          <w:sz w:val="20"/>
          <w:szCs w:val="20"/>
        </w:rPr>
        <w:t>CBN</w:t>
      </w:r>
      <w:r w:rsidR="00146125" w:rsidRPr="00104204">
        <w:rPr>
          <w:sz w:val="20"/>
          <w:szCs w:val="20"/>
        </w:rPr>
        <w:t>,</w:t>
      </w:r>
      <w:r w:rsidRPr="00104204">
        <w:rPr>
          <w:sz w:val="20"/>
          <w:szCs w:val="20"/>
        </w:rPr>
        <w:t xml:space="preserve"> (2011)</w:t>
      </w:r>
      <w:r w:rsidR="00146125" w:rsidRPr="00104204">
        <w:rPr>
          <w:sz w:val="20"/>
          <w:szCs w:val="20"/>
        </w:rPr>
        <w:t>.</w:t>
      </w:r>
      <w:proofErr w:type="gramEnd"/>
      <w:r w:rsidRPr="00104204">
        <w:rPr>
          <w:sz w:val="20"/>
          <w:szCs w:val="20"/>
        </w:rPr>
        <w:t xml:space="preserve"> </w:t>
      </w:r>
      <w:proofErr w:type="gramStart"/>
      <w:r w:rsidRPr="00104204">
        <w:rPr>
          <w:i/>
          <w:iCs/>
          <w:sz w:val="20"/>
          <w:szCs w:val="20"/>
        </w:rPr>
        <w:t>On capitalization of eight Nigerian banks</w:t>
      </w:r>
      <w:r w:rsidR="00146125" w:rsidRPr="00104204">
        <w:rPr>
          <w:i/>
          <w:iCs/>
          <w:sz w:val="20"/>
          <w:szCs w:val="20"/>
        </w:rPr>
        <w:t>.</w:t>
      </w:r>
      <w:proofErr w:type="gramEnd"/>
      <w:r w:rsidRPr="00104204">
        <w:rPr>
          <w:i/>
          <w:iCs/>
          <w:sz w:val="20"/>
          <w:szCs w:val="20"/>
        </w:rPr>
        <w:t xml:space="preserve"> </w:t>
      </w:r>
      <w:r w:rsidRPr="00104204">
        <w:rPr>
          <w:iCs/>
          <w:sz w:val="20"/>
          <w:szCs w:val="20"/>
        </w:rPr>
        <w:t>Abuja: Central Bank of Nigeria</w:t>
      </w:r>
      <w:r w:rsidRPr="00104204">
        <w:rPr>
          <w:sz w:val="20"/>
          <w:szCs w:val="20"/>
        </w:rPr>
        <w:t>.</w:t>
      </w:r>
    </w:p>
    <w:p w:rsidR="00D735DF" w:rsidRPr="00104204" w:rsidRDefault="00D735DF" w:rsidP="00D735DF">
      <w:pPr>
        <w:spacing w:line="360" w:lineRule="auto"/>
        <w:ind w:left="1440" w:hanging="720"/>
        <w:jc w:val="both"/>
        <w:rPr>
          <w:sz w:val="20"/>
          <w:szCs w:val="20"/>
        </w:rPr>
      </w:pPr>
      <w:r w:rsidRPr="00104204">
        <w:rPr>
          <w:sz w:val="20"/>
          <w:szCs w:val="20"/>
        </w:rPr>
        <w:t>Chen, R, M.</w:t>
      </w:r>
      <w:r w:rsidR="00146125" w:rsidRPr="00104204">
        <w:rPr>
          <w:sz w:val="20"/>
          <w:szCs w:val="20"/>
        </w:rPr>
        <w:t>,</w:t>
      </w:r>
      <w:r w:rsidRPr="00104204">
        <w:rPr>
          <w:sz w:val="20"/>
          <w:szCs w:val="20"/>
        </w:rPr>
        <w:t xml:space="preserve"> </w:t>
      </w:r>
      <w:proofErr w:type="spellStart"/>
      <w:r w:rsidRPr="00104204">
        <w:rPr>
          <w:sz w:val="20"/>
          <w:szCs w:val="20"/>
        </w:rPr>
        <w:t>Dyball</w:t>
      </w:r>
      <w:proofErr w:type="spellEnd"/>
      <w:r w:rsidR="00146125" w:rsidRPr="00104204">
        <w:rPr>
          <w:sz w:val="20"/>
          <w:szCs w:val="20"/>
        </w:rPr>
        <w:t>, C., &amp;</w:t>
      </w:r>
      <w:r w:rsidRPr="00104204">
        <w:rPr>
          <w:sz w:val="20"/>
          <w:szCs w:val="20"/>
        </w:rPr>
        <w:t xml:space="preserve"> Wright</w:t>
      </w:r>
      <w:r w:rsidR="00146125" w:rsidRPr="00104204">
        <w:rPr>
          <w:sz w:val="20"/>
          <w:szCs w:val="20"/>
        </w:rPr>
        <w:t xml:space="preserve">, S. </w:t>
      </w:r>
      <w:r w:rsidRPr="00104204">
        <w:rPr>
          <w:sz w:val="20"/>
          <w:szCs w:val="20"/>
        </w:rPr>
        <w:t>(2009)</w:t>
      </w:r>
      <w:r w:rsidR="00146125" w:rsidRPr="00104204">
        <w:rPr>
          <w:sz w:val="20"/>
          <w:szCs w:val="20"/>
        </w:rPr>
        <w:t>.</w:t>
      </w:r>
      <w:r w:rsidRPr="00104204">
        <w:rPr>
          <w:sz w:val="20"/>
          <w:szCs w:val="20"/>
        </w:rPr>
        <w:t xml:space="preserve"> </w:t>
      </w:r>
      <w:proofErr w:type="gramStart"/>
      <w:r w:rsidRPr="00104204">
        <w:rPr>
          <w:sz w:val="20"/>
          <w:szCs w:val="20"/>
        </w:rPr>
        <w:t>The link between board composition and corporate diversification in Australian corporations</w:t>
      </w:r>
      <w:r w:rsidR="00146125" w:rsidRPr="00104204">
        <w:rPr>
          <w:sz w:val="20"/>
          <w:szCs w:val="20"/>
        </w:rPr>
        <w:t>.</w:t>
      </w:r>
      <w:proofErr w:type="gramEnd"/>
      <w:r w:rsidRPr="00104204">
        <w:rPr>
          <w:sz w:val="20"/>
          <w:szCs w:val="20"/>
        </w:rPr>
        <w:t xml:space="preserve"> </w:t>
      </w:r>
      <w:r w:rsidRPr="00104204">
        <w:rPr>
          <w:i/>
          <w:sz w:val="20"/>
          <w:szCs w:val="20"/>
        </w:rPr>
        <w:t>Corporate Governance: An International Review</w:t>
      </w:r>
      <w:r w:rsidRPr="00104204">
        <w:rPr>
          <w:sz w:val="20"/>
          <w:szCs w:val="20"/>
        </w:rPr>
        <w:t>, 17(2), 208-223.</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Chenhall</w:t>
      </w:r>
      <w:proofErr w:type="spellEnd"/>
      <w:r w:rsidRPr="00104204">
        <w:rPr>
          <w:sz w:val="20"/>
          <w:szCs w:val="20"/>
        </w:rPr>
        <w:t>, R.H.</w:t>
      </w:r>
      <w:r w:rsidR="00146125" w:rsidRPr="00104204">
        <w:rPr>
          <w:sz w:val="20"/>
          <w:szCs w:val="20"/>
        </w:rPr>
        <w:t>,</w:t>
      </w:r>
      <w:r w:rsidRPr="00104204">
        <w:rPr>
          <w:sz w:val="20"/>
          <w:szCs w:val="20"/>
        </w:rPr>
        <w:t xml:space="preserve"> </w:t>
      </w:r>
      <w:r w:rsidR="00146125" w:rsidRPr="00104204">
        <w:rPr>
          <w:sz w:val="20"/>
          <w:szCs w:val="20"/>
        </w:rPr>
        <w:t>&amp;</w:t>
      </w:r>
      <w:r w:rsidRPr="00104204">
        <w:rPr>
          <w:sz w:val="20"/>
          <w:szCs w:val="20"/>
        </w:rPr>
        <w:t xml:space="preserve"> Moers</w:t>
      </w:r>
      <w:r w:rsidR="00146125" w:rsidRPr="00104204">
        <w:rPr>
          <w:sz w:val="20"/>
          <w:szCs w:val="20"/>
        </w:rPr>
        <w:t xml:space="preserve">, F. </w:t>
      </w:r>
      <w:r w:rsidRPr="00104204">
        <w:rPr>
          <w:sz w:val="20"/>
          <w:szCs w:val="20"/>
        </w:rPr>
        <w:t>(2007)</w:t>
      </w:r>
      <w:r w:rsidR="00146125" w:rsidRPr="00104204">
        <w:rPr>
          <w:sz w:val="20"/>
          <w:szCs w:val="20"/>
        </w:rPr>
        <w:t>.</w:t>
      </w:r>
      <w:proofErr w:type="gramEnd"/>
      <w:r w:rsidRPr="00104204">
        <w:rPr>
          <w:sz w:val="20"/>
          <w:szCs w:val="20"/>
        </w:rPr>
        <w:t xml:space="preserve"> </w:t>
      </w:r>
      <w:proofErr w:type="gramStart"/>
      <w:r w:rsidRPr="00104204">
        <w:rPr>
          <w:sz w:val="20"/>
          <w:szCs w:val="20"/>
        </w:rPr>
        <w:t xml:space="preserve">The issue of </w:t>
      </w:r>
      <w:proofErr w:type="spellStart"/>
      <w:r w:rsidRPr="00104204">
        <w:rPr>
          <w:sz w:val="20"/>
          <w:szCs w:val="20"/>
        </w:rPr>
        <w:t>endogeneity</w:t>
      </w:r>
      <w:proofErr w:type="spellEnd"/>
      <w:r w:rsidRPr="00104204">
        <w:rPr>
          <w:sz w:val="20"/>
          <w:szCs w:val="20"/>
        </w:rPr>
        <w:t xml:space="preserve"> within theory-based, quantitative management accounting research</w:t>
      </w:r>
      <w:r w:rsidR="00146125" w:rsidRPr="00104204">
        <w:rPr>
          <w:sz w:val="20"/>
          <w:szCs w:val="20"/>
        </w:rPr>
        <w:t>.</w:t>
      </w:r>
      <w:proofErr w:type="gramEnd"/>
      <w:r w:rsidRPr="00104204">
        <w:rPr>
          <w:sz w:val="20"/>
          <w:szCs w:val="20"/>
        </w:rPr>
        <w:t xml:space="preserve"> </w:t>
      </w:r>
      <w:r w:rsidRPr="00104204">
        <w:rPr>
          <w:i/>
          <w:sz w:val="20"/>
          <w:szCs w:val="20"/>
        </w:rPr>
        <w:t>European Accounting Review</w:t>
      </w:r>
      <w:r w:rsidRPr="00104204">
        <w:rPr>
          <w:sz w:val="20"/>
          <w:szCs w:val="20"/>
        </w:rPr>
        <w:t>, 16(1), 173-195.</w:t>
      </w:r>
    </w:p>
    <w:p w:rsidR="00D735DF" w:rsidRPr="00104204" w:rsidRDefault="00D735DF" w:rsidP="00D735DF">
      <w:pPr>
        <w:spacing w:line="360" w:lineRule="auto"/>
        <w:ind w:left="1440" w:hanging="720"/>
        <w:jc w:val="both"/>
        <w:rPr>
          <w:sz w:val="20"/>
          <w:szCs w:val="20"/>
        </w:rPr>
      </w:pPr>
      <w:proofErr w:type="gramStart"/>
      <w:r w:rsidRPr="00104204">
        <w:rPr>
          <w:sz w:val="20"/>
          <w:szCs w:val="20"/>
        </w:rPr>
        <w:t>Coles, J. L</w:t>
      </w:r>
      <w:r w:rsidR="00146125" w:rsidRPr="00104204">
        <w:rPr>
          <w:sz w:val="20"/>
          <w:szCs w:val="20"/>
        </w:rPr>
        <w:t>.</w:t>
      </w:r>
      <w:r w:rsidRPr="00104204">
        <w:rPr>
          <w:sz w:val="20"/>
          <w:szCs w:val="20"/>
        </w:rPr>
        <w:t>, Daniel</w:t>
      </w:r>
      <w:r w:rsidR="00146125" w:rsidRPr="00104204">
        <w:rPr>
          <w:sz w:val="20"/>
          <w:szCs w:val="20"/>
        </w:rPr>
        <w:t>, N. D., &amp;</w:t>
      </w:r>
      <w:r w:rsidRPr="00104204">
        <w:rPr>
          <w:sz w:val="20"/>
          <w:szCs w:val="20"/>
        </w:rPr>
        <w:t xml:space="preserve"> Naveen</w:t>
      </w:r>
      <w:r w:rsidR="00146125" w:rsidRPr="00104204">
        <w:rPr>
          <w:sz w:val="20"/>
          <w:szCs w:val="20"/>
        </w:rPr>
        <w:t xml:space="preserve">, L. </w:t>
      </w:r>
      <w:r w:rsidRPr="00104204">
        <w:rPr>
          <w:sz w:val="20"/>
          <w:szCs w:val="20"/>
        </w:rPr>
        <w:t>(2008)</w:t>
      </w:r>
      <w:r w:rsidR="00146125" w:rsidRPr="00104204">
        <w:rPr>
          <w:sz w:val="20"/>
          <w:szCs w:val="20"/>
        </w:rPr>
        <w:t>.</w:t>
      </w:r>
      <w:proofErr w:type="gramEnd"/>
      <w:r w:rsidRPr="00104204">
        <w:rPr>
          <w:sz w:val="20"/>
          <w:szCs w:val="20"/>
        </w:rPr>
        <w:t xml:space="preserve"> </w:t>
      </w:r>
      <w:r w:rsidRPr="00104204">
        <w:rPr>
          <w:i/>
          <w:sz w:val="20"/>
          <w:szCs w:val="20"/>
        </w:rPr>
        <w:t>Boards: does one size fit all</w:t>
      </w:r>
      <w:r w:rsidRPr="00104204">
        <w:rPr>
          <w:sz w:val="20"/>
          <w:szCs w:val="20"/>
        </w:rPr>
        <w:t xml:space="preserve">? </w:t>
      </w:r>
      <w:r w:rsidRPr="00104204">
        <w:rPr>
          <w:i/>
          <w:sz w:val="20"/>
          <w:szCs w:val="20"/>
        </w:rPr>
        <w:t>Journal of Financial Economics</w:t>
      </w:r>
      <w:r w:rsidRPr="00104204">
        <w:rPr>
          <w:sz w:val="20"/>
          <w:szCs w:val="20"/>
        </w:rPr>
        <w:t>, 87(2), 329-356.</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Dahya</w:t>
      </w:r>
      <w:proofErr w:type="spellEnd"/>
      <w:r w:rsidRPr="00104204">
        <w:rPr>
          <w:sz w:val="20"/>
          <w:szCs w:val="20"/>
        </w:rPr>
        <w:t>, J.</w:t>
      </w:r>
      <w:r w:rsidR="00146125" w:rsidRPr="00104204">
        <w:rPr>
          <w:sz w:val="20"/>
          <w:szCs w:val="20"/>
        </w:rPr>
        <w:t>,</w:t>
      </w:r>
      <w:r w:rsidRPr="00104204">
        <w:rPr>
          <w:sz w:val="20"/>
          <w:szCs w:val="20"/>
        </w:rPr>
        <w:t xml:space="preserve"> </w:t>
      </w:r>
      <w:r w:rsidR="00146125" w:rsidRPr="00104204">
        <w:rPr>
          <w:sz w:val="20"/>
          <w:szCs w:val="20"/>
        </w:rPr>
        <w:t>&amp;</w:t>
      </w:r>
      <w:r w:rsidRPr="00104204">
        <w:rPr>
          <w:sz w:val="20"/>
          <w:szCs w:val="20"/>
        </w:rPr>
        <w:t xml:space="preserve"> </w:t>
      </w:r>
      <w:proofErr w:type="spellStart"/>
      <w:r w:rsidRPr="00104204">
        <w:rPr>
          <w:sz w:val="20"/>
          <w:szCs w:val="20"/>
        </w:rPr>
        <w:t>Travlos</w:t>
      </w:r>
      <w:proofErr w:type="spellEnd"/>
      <w:r w:rsidR="00146125" w:rsidRPr="00104204">
        <w:rPr>
          <w:sz w:val="20"/>
          <w:szCs w:val="20"/>
        </w:rPr>
        <w:t xml:space="preserve">, N.G. </w:t>
      </w:r>
      <w:r w:rsidRPr="00104204">
        <w:rPr>
          <w:sz w:val="20"/>
          <w:szCs w:val="20"/>
        </w:rPr>
        <w:t>(2000)</w:t>
      </w:r>
      <w:r w:rsidR="008F0063" w:rsidRPr="00104204">
        <w:rPr>
          <w:sz w:val="20"/>
          <w:szCs w:val="20"/>
        </w:rPr>
        <w:t>.</w:t>
      </w:r>
      <w:proofErr w:type="gramEnd"/>
      <w:r w:rsidRPr="00104204">
        <w:rPr>
          <w:sz w:val="20"/>
          <w:szCs w:val="20"/>
        </w:rPr>
        <w:t xml:space="preserve"> Does the one-man-show pay? Theory and evidence on the dual CEO revisited</w:t>
      </w:r>
      <w:r w:rsidR="008F0063" w:rsidRPr="00104204">
        <w:rPr>
          <w:sz w:val="20"/>
          <w:szCs w:val="20"/>
        </w:rPr>
        <w:t>.</w:t>
      </w:r>
      <w:r w:rsidRPr="00104204">
        <w:rPr>
          <w:sz w:val="20"/>
          <w:szCs w:val="20"/>
        </w:rPr>
        <w:t xml:space="preserve"> </w:t>
      </w:r>
      <w:r w:rsidRPr="00104204">
        <w:rPr>
          <w:i/>
          <w:sz w:val="20"/>
          <w:szCs w:val="20"/>
        </w:rPr>
        <w:t>European Financial Management</w:t>
      </w:r>
      <w:r w:rsidRPr="00104204">
        <w:rPr>
          <w:sz w:val="20"/>
          <w:szCs w:val="20"/>
        </w:rPr>
        <w:t>, 6(1), 85-98.</w:t>
      </w:r>
    </w:p>
    <w:p w:rsidR="00D735DF" w:rsidRPr="00104204" w:rsidRDefault="00D735DF" w:rsidP="00D735DF">
      <w:pPr>
        <w:spacing w:line="360" w:lineRule="auto"/>
        <w:ind w:left="1440" w:hanging="720"/>
        <w:jc w:val="both"/>
        <w:rPr>
          <w:sz w:val="20"/>
          <w:szCs w:val="20"/>
        </w:rPr>
      </w:pPr>
      <w:r w:rsidRPr="00104204">
        <w:rPr>
          <w:sz w:val="20"/>
          <w:szCs w:val="20"/>
        </w:rPr>
        <w:t xml:space="preserve">Dalton, D. R., Daily, </w:t>
      </w:r>
      <w:r w:rsidR="008F0063" w:rsidRPr="00104204">
        <w:rPr>
          <w:sz w:val="20"/>
          <w:szCs w:val="20"/>
        </w:rPr>
        <w:t xml:space="preserve">C. M., &amp; </w:t>
      </w:r>
      <w:r w:rsidRPr="00104204">
        <w:rPr>
          <w:sz w:val="20"/>
          <w:szCs w:val="20"/>
        </w:rPr>
        <w:t>Ellstrand</w:t>
      </w:r>
      <w:r w:rsidR="008F0063" w:rsidRPr="00104204">
        <w:rPr>
          <w:sz w:val="20"/>
          <w:szCs w:val="20"/>
        </w:rPr>
        <w:t xml:space="preserve">, A. E., &amp; </w:t>
      </w:r>
      <w:r w:rsidRPr="00104204">
        <w:rPr>
          <w:sz w:val="20"/>
          <w:szCs w:val="20"/>
        </w:rPr>
        <w:t>Johnson</w:t>
      </w:r>
      <w:r w:rsidR="008F0063" w:rsidRPr="00104204">
        <w:rPr>
          <w:sz w:val="20"/>
          <w:szCs w:val="20"/>
        </w:rPr>
        <w:t xml:space="preserve">, J. L. </w:t>
      </w:r>
      <w:r w:rsidRPr="00104204">
        <w:rPr>
          <w:sz w:val="20"/>
          <w:szCs w:val="20"/>
        </w:rPr>
        <w:t>(1998)</w:t>
      </w:r>
      <w:r w:rsidR="008F0063" w:rsidRPr="00104204">
        <w:rPr>
          <w:sz w:val="20"/>
          <w:szCs w:val="20"/>
        </w:rPr>
        <w:t>.</w:t>
      </w:r>
      <w:r w:rsidRPr="00104204">
        <w:rPr>
          <w:sz w:val="20"/>
          <w:szCs w:val="20"/>
        </w:rPr>
        <w:t xml:space="preserve"> </w:t>
      </w:r>
      <w:proofErr w:type="gramStart"/>
      <w:r w:rsidRPr="00104204">
        <w:rPr>
          <w:sz w:val="20"/>
          <w:szCs w:val="20"/>
        </w:rPr>
        <w:t>Meta-analytic reviews of board composition, leadership structure, and financial performance</w:t>
      </w:r>
      <w:r w:rsidR="008F0063" w:rsidRPr="00104204">
        <w:rPr>
          <w:sz w:val="20"/>
          <w:szCs w:val="20"/>
        </w:rPr>
        <w:t>.</w:t>
      </w:r>
      <w:proofErr w:type="gramEnd"/>
      <w:r w:rsidRPr="00104204">
        <w:rPr>
          <w:sz w:val="20"/>
          <w:szCs w:val="20"/>
        </w:rPr>
        <w:t xml:space="preserve"> </w:t>
      </w:r>
      <w:r w:rsidRPr="00104204">
        <w:rPr>
          <w:i/>
          <w:sz w:val="20"/>
          <w:szCs w:val="20"/>
        </w:rPr>
        <w:t>Strategic Management Journal</w:t>
      </w:r>
      <w:r w:rsidRPr="00104204">
        <w:rPr>
          <w:sz w:val="20"/>
          <w:szCs w:val="20"/>
        </w:rPr>
        <w:t>, 19(3), 269-290.</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Darmadi</w:t>
      </w:r>
      <w:proofErr w:type="spellEnd"/>
      <w:r w:rsidRPr="00104204">
        <w:rPr>
          <w:sz w:val="20"/>
          <w:szCs w:val="20"/>
        </w:rPr>
        <w:t>, S. (2013)</w:t>
      </w:r>
      <w:r w:rsidR="008F0063" w:rsidRPr="00104204">
        <w:rPr>
          <w:sz w:val="20"/>
          <w:szCs w:val="20"/>
        </w:rPr>
        <w:t>.</w:t>
      </w:r>
      <w:proofErr w:type="gramEnd"/>
      <w:r w:rsidRPr="00104204">
        <w:rPr>
          <w:sz w:val="20"/>
          <w:szCs w:val="20"/>
        </w:rPr>
        <w:t xml:space="preserve"> Board members' education and firm performance: evidence from a developing economy</w:t>
      </w:r>
      <w:r w:rsidR="008F0063" w:rsidRPr="00104204">
        <w:rPr>
          <w:sz w:val="20"/>
          <w:szCs w:val="20"/>
        </w:rPr>
        <w:t>.</w:t>
      </w:r>
      <w:r w:rsidRPr="00104204">
        <w:rPr>
          <w:sz w:val="20"/>
          <w:szCs w:val="20"/>
        </w:rPr>
        <w:t xml:space="preserve"> </w:t>
      </w:r>
      <w:r w:rsidRPr="00104204">
        <w:rPr>
          <w:i/>
          <w:sz w:val="20"/>
          <w:szCs w:val="20"/>
        </w:rPr>
        <w:t>International Journal of Commerce and Management</w:t>
      </w:r>
      <w:r w:rsidRPr="00104204">
        <w:rPr>
          <w:sz w:val="20"/>
          <w:szCs w:val="20"/>
        </w:rPr>
        <w:t>, 23(2), 113-135.</w:t>
      </w:r>
    </w:p>
    <w:p w:rsidR="00D735DF" w:rsidRPr="00104204" w:rsidRDefault="00D735DF" w:rsidP="00D735DF">
      <w:pPr>
        <w:spacing w:line="360" w:lineRule="auto"/>
        <w:ind w:left="1440" w:hanging="720"/>
        <w:jc w:val="both"/>
        <w:rPr>
          <w:sz w:val="20"/>
          <w:szCs w:val="20"/>
        </w:rPr>
      </w:pPr>
      <w:proofErr w:type="gramStart"/>
      <w:r w:rsidRPr="00104204">
        <w:rPr>
          <w:sz w:val="20"/>
          <w:szCs w:val="20"/>
        </w:rPr>
        <w:t xml:space="preserve">D’Souza, J., </w:t>
      </w:r>
      <w:proofErr w:type="spellStart"/>
      <w:r w:rsidRPr="00104204">
        <w:rPr>
          <w:sz w:val="20"/>
          <w:szCs w:val="20"/>
        </w:rPr>
        <w:t>Megginson</w:t>
      </w:r>
      <w:proofErr w:type="spellEnd"/>
      <w:r w:rsidR="008F0063" w:rsidRPr="00104204">
        <w:rPr>
          <w:sz w:val="20"/>
          <w:szCs w:val="20"/>
        </w:rPr>
        <w:t>, W., &amp;</w:t>
      </w:r>
      <w:r w:rsidRPr="00104204">
        <w:rPr>
          <w:sz w:val="20"/>
          <w:szCs w:val="20"/>
        </w:rPr>
        <w:t xml:space="preserve"> Nash</w:t>
      </w:r>
      <w:r w:rsidR="008F0063" w:rsidRPr="00104204">
        <w:rPr>
          <w:sz w:val="20"/>
          <w:szCs w:val="20"/>
        </w:rPr>
        <w:t>, R. (</w:t>
      </w:r>
      <w:r w:rsidRPr="00104204">
        <w:rPr>
          <w:sz w:val="20"/>
          <w:szCs w:val="20"/>
        </w:rPr>
        <w:t>2005)</w:t>
      </w:r>
      <w:r w:rsidR="008F0063" w:rsidRPr="00104204">
        <w:rPr>
          <w:sz w:val="20"/>
          <w:szCs w:val="20"/>
        </w:rPr>
        <w:t>.</w:t>
      </w:r>
      <w:proofErr w:type="gramEnd"/>
      <w:r w:rsidRPr="00104204">
        <w:rPr>
          <w:sz w:val="20"/>
          <w:szCs w:val="20"/>
        </w:rPr>
        <w:t xml:space="preserve"> Effect of institutional and firm-specific characteristics on post-</w:t>
      </w:r>
      <w:proofErr w:type="spellStart"/>
      <w:r w:rsidRPr="00104204">
        <w:rPr>
          <w:sz w:val="20"/>
          <w:szCs w:val="20"/>
        </w:rPr>
        <w:t>privatisation</w:t>
      </w:r>
      <w:proofErr w:type="spellEnd"/>
      <w:r w:rsidRPr="00104204">
        <w:rPr>
          <w:sz w:val="20"/>
          <w:szCs w:val="20"/>
        </w:rPr>
        <w:t xml:space="preserve"> performance: evidence from developed countries</w:t>
      </w:r>
      <w:r w:rsidR="008F0063" w:rsidRPr="00104204">
        <w:rPr>
          <w:sz w:val="20"/>
          <w:szCs w:val="20"/>
        </w:rPr>
        <w:t>.</w:t>
      </w:r>
      <w:r w:rsidRPr="00104204">
        <w:rPr>
          <w:sz w:val="20"/>
          <w:szCs w:val="20"/>
        </w:rPr>
        <w:t xml:space="preserve"> </w:t>
      </w:r>
      <w:r w:rsidRPr="00104204">
        <w:rPr>
          <w:i/>
          <w:sz w:val="20"/>
          <w:szCs w:val="20"/>
        </w:rPr>
        <w:t xml:space="preserve">Journal of Corporate Finance, </w:t>
      </w:r>
      <w:r w:rsidRPr="00104204">
        <w:rPr>
          <w:sz w:val="20"/>
          <w:szCs w:val="20"/>
        </w:rPr>
        <w:t>11(5), 747-766.</w:t>
      </w:r>
    </w:p>
    <w:p w:rsidR="00D735DF" w:rsidRPr="00104204" w:rsidRDefault="00D735DF" w:rsidP="00D735DF">
      <w:pPr>
        <w:autoSpaceDE w:val="0"/>
        <w:autoSpaceDN w:val="0"/>
        <w:adjustRightInd w:val="0"/>
        <w:spacing w:line="360" w:lineRule="auto"/>
        <w:ind w:left="1440" w:hanging="720"/>
        <w:jc w:val="both"/>
        <w:rPr>
          <w:i/>
          <w:iCs/>
          <w:sz w:val="20"/>
          <w:szCs w:val="20"/>
        </w:rPr>
      </w:pPr>
      <w:proofErr w:type="spellStart"/>
      <w:r w:rsidRPr="00104204">
        <w:rPr>
          <w:sz w:val="20"/>
          <w:szCs w:val="20"/>
        </w:rPr>
        <w:t>Egene</w:t>
      </w:r>
      <w:proofErr w:type="spellEnd"/>
      <w:r w:rsidRPr="00104204">
        <w:rPr>
          <w:sz w:val="20"/>
          <w:szCs w:val="20"/>
        </w:rPr>
        <w:t>, G. (2009)</w:t>
      </w:r>
      <w:r w:rsidR="008F0063" w:rsidRPr="00104204">
        <w:rPr>
          <w:sz w:val="20"/>
          <w:szCs w:val="20"/>
        </w:rPr>
        <w:t>.</w:t>
      </w:r>
      <w:r w:rsidRPr="00104204">
        <w:rPr>
          <w:sz w:val="20"/>
          <w:szCs w:val="20"/>
        </w:rPr>
        <w:t xml:space="preserve"> Nigeria: SEC Probes AP’s Share Manipulation Allegation</w:t>
      </w:r>
      <w:r w:rsidR="008F0063" w:rsidRPr="00104204">
        <w:rPr>
          <w:sz w:val="20"/>
          <w:szCs w:val="20"/>
        </w:rPr>
        <w:t>.</w:t>
      </w:r>
      <w:r w:rsidRPr="00104204">
        <w:rPr>
          <w:sz w:val="20"/>
          <w:szCs w:val="20"/>
        </w:rPr>
        <w:t xml:space="preserve"> </w:t>
      </w:r>
      <w:r w:rsidRPr="00104204">
        <w:rPr>
          <w:i/>
          <w:iCs/>
          <w:sz w:val="20"/>
          <w:szCs w:val="20"/>
        </w:rPr>
        <w:t>THISDAY</w:t>
      </w:r>
      <w:r w:rsidRPr="00104204">
        <w:rPr>
          <w:iCs/>
          <w:sz w:val="20"/>
          <w:szCs w:val="20"/>
        </w:rPr>
        <w:t>, 26 March, p. 10.</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Eklund</w:t>
      </w:r>
      <w:proofErr w:type="spellEnd"/>
      <w:r w:rsidRPr="00104204">
        <w:rPr>
          <w:sz w:val="20"/>
          <w:szCs w:val="20"/>
        </w:rPr>
        <w:t>, J. E</w:t>
      </w:r>
      <w:r w:rsidR="008F0063" w:rsidRPr="00104204">
        <w:rPr>
          <w:sz w:val="20"/>
          <w:szCs w:val="20"/>
        </w:rPr>
        <w:t>.</w:t>
      </w:r>
      <w:r w:rsidRPr="00104204">
        <w:rPr>
          <w:sz w:val="20"/>
          <w:szCs w:val="20"/>
        </w:rPr>
        <w:t xml:space="preserve">, </w:t>
      </w:r>
      <w:proofErr w:type="spellStart"/>
      <w:r w:rsidRPr="00104204">
        <w:rPr>
          <w:sz w:val="20"/>
          <w:szCs w:val="20"/>
        </w:rPr>
        <w:t>Palmberg</w:t>
      </w:r>
      <w:proofErr w:type="spellEnd"/>
      <w:r w:rsidR="008F0063" w:rsidRPr="00104204">
        <w:rPr>
          <w:sz w:val="20"/>
          <w:szCs w:val="20"/>
        </w:rPr>
        <w:t>, J., &amp;</w:t>
      </w:r>
      <w:r w:rsidRPr="00104204">
        <w:rPr>
          <w:sz w:val="20"/>
          <w:szCs w:val="20"/>
        </w:rPr>
        <w:t xml:space="preserve"> </w:t>
      </w:r>
      <w:proofErr w:type="spellStart"/>
      <w:r w:rsidRPr="00104204">
        <w:rPr>
          <w:sz w:val="20"/>
          <w:szCs w:val="20"/>
        </w:rPr>
        <w:t>Wiberg</w:t>
      </w:r>
      <w:proofErr w:type="spellEnd"/>
      <w:r w:rsidR="008F0063" w:rsidRPr="00104204">
        <w:rPr>
          <w:sz w:val="20"/>
          <w:szCs w:val="20"/>
        </w:rPr>
        <w:t xml:space="preserve">, D. </w:t>
      </w:r>
      <w:r w:rsidRPr="00104204">
        <w:rPr>
          <w:sz w:val="20"/>
          <w:szCs w:val="20"/>
        </w:rPr>
        <w:t>(2009)</w:t>
      </w:r>
      <w:r w:rsidR="008F0063" w:rsidRPr="00104204">
        <w:rPr>
          <w:sz w:val="20"/>
          <w:szCs w:val="20"/>
        </w:rPr>
        <w:t>.</w:t>
      </w:r>
      <w:proofErr w:type="gramEnd"/>
      <w:r w:rsidRPr="00104204">
        <w:rPr>
          <w:sz w:val="20"/>
          <w:szCs w:val="20"/>
        </w:rPr>
        <w:t xml:space="preserve"> </w:t>
      </w:r>
      <w:r w:rsidRPr="00104204">
        <w:rPr>
          <w:i/>
          <w:sz w:val="20"/>
          <w:szCs w:val="20"/>
        </w:rPr>
        <w:t>Ownership Structure, Board Composition and Investment</w:t>
      </w:r>
      <w:r w:rsidR="008F0063" w:rsidRPr="00104204">
        <w:rPr>
          <w:i/>
          <w:sz w:val="20"/>
          <w:szCs w:val="20"/>
        </w:rPr>
        <w:t>.</w:t>
      </w:r>
      <w:r w:rsidRPr="00104204">
        <w:rPr>
          <w:sz w:val="20"/>
          <w:szCs w:val="20"/>
        </w:rPr>
        <w:t xml:space="preserve"> Working Paper No. 172, Stockholm: Centre of Excellence for Service and Innovation Studies (CESIS).</w:t>
      </w:r>
    </w:p>
    <w:p w:rsidR="00D735DF" w:rsidRPr="00104204" w:rsidRDefault="00D735DF" w:rsidP="00D735DF">
      <w:pPr>
        <w:spacing w:line="360" w:lineRule="auto"/>
        <w:ind w:left="1440" w:hanging="720"/>
        <w:jc w:val="both"/>
        <w:rPr>
          <w:sz w:val="20"/>
          <w:szCs w:val="20"/>
        </w:rPr>
      </w:pPr>
      <w:proofErr w:type="spellStart"/>
      <w:r w:rsidRPr="00104204">
        <w:rPr>
          <w:sz w:val="20"/>
          <w:szCs w:val="20"/>
        </w:rPr>
        <w:t>Elsayed</w:t>
      </w:r>
      <w:proofErr w:type="spellEnd"/>
      <w:r w:rsidRPr="00104204">
        <w:rPr>
          <w:sz w:val="20"/>
          <w:szCs w:val="20"/>
        </w:rPr>
        <w:t>, K. (2011)</w:t>
      </w:r>
      <w:r w:rsidR="008F0063" w:rsidRPr="00104204">
        <w:rPr>
          <w:sz w:val="20"/>
          <w:szCs w:val="20"/>
        </w:rPr>
        <w:t>.</w:t>
      </w:r>
      <w:r w:rsidRPr="00104204">
        <w:rPr>
          <w:sz w:val="20"/>
          <w:szCs w:val="20"/>
        </w:rPr>
        <w:t xml:space="preserve"> Board size and corporate performance: the missing role of board leadership</w:t>
      </w:r>
      <w:r w:rsidR="008F0063" w:rsidRPr="00104204">
        <w:rPr>
          <w:sz w:val="20"/>
          <w:szCs w:val="20"/>
        </w:rPr>
        <w:t>.</w:t>
      </w:r>
      <w:r w:rsidRPr="00104204">
        <w:rPr>
          <w:sz w:val="20"/>
          <w:szCs w:val="20"/>
        </w:rPr>
        <w:t xml:space="preserve"> </w:t>
      </w:r>
      <w:r w:rsidRPr="00104204">
        <w:rPr>
          <w:i/>
          <w:sz w:val="20"/>
          <w:szCs w:val="20"/>
        </w:rPr>
        <w:t>Journal of Management and Governance</w:t>
      </w:r>
      <w:r w:rsidRPr="00104204">
        <w:rPr>
          <w:sz w:val="20"/>
          <w:szCs w:val="20"/>
        </w:rPr>
        <w:t>, 15(3), 415-446.</w:t>
      </w:r>
    </w:p>
    <w:p w:rsidR="00D735DF" w:rsidRPr="00104204" w:rsidRDefault="00D735DF" w:rsidP="00D735DF">
      <w:pPr>
        <w:spacing w:line="360" w:lineRule="auto"/>
        <w:ind w:left="1440" w:hanging="720"/>
        <w:jc w:val="both"/>
        <w:rPr>
          <w:sz w:val="20"/>
          <w:szCs w:val="20"/>
        </w:rPr>
      </w:pPr>
      <w:proofErr w:type="spellStart"/>
      <w:r w:rsidRPr="00104204">
        <w:rPr>
          <w:sz w:val="20"/>
          <w:szCs w:val="20"/>
        </w:rPr>
        <w:t>Elsayed</w:t>
      </w:r>
      <w:proofErr w:type="spellEnd"/>
      <w:r w:rsidRPr="00104204">
        <w:rPr>
          <w:sz w:val="20"/>
          <w:szCs w:val="20"/>
        </w:rPr>
        <w:t>, K. (2007)</w:t>
      </w:r>
      <w:r w:rsidR="008F0063" w:rsidRPr="00104204">
        <w:rPr>
          <w:sz w:val="20"/>
          <w:szCs w:val="20"/>
        </w:rPr>
        <w:t>.</w:t>
      </w:r>
      <w:r w:rsidRPr="00104204">
        <w:rPr>
          <w:sz w:val="20"/>
          <w:szCs w:val="20"/>
        </w:rPr>
        <w:t xml:space="preserve"> Does CEO duality really affect corporate performance? </w:t>
      </w:r>
      <w:r w:rsidRPr="00104204">
        <w:rPr>
          <w:i/>
          <w:sz w:val="20"/>
          <w:szCs w:val="20"/>
        </w:rPr>
        <w:t>Corporate Governance: An International Review</w:t>
      </w:r>
      <w:r w:rsidRPr="00104204">
        <w:rPr>
          <w:sz w:val="20"/>
          <w:szCs w:val="20"/>
        </w:rPr>
        <w:t>, 15(6), 1203-1214.</w:t>
      </w:r>
    </w:p>
    <w:p w:rsidR="00D735DF" w:rsidRPr="00104204" w:rsidRDefault="00D735DF" w:rsidP="00D735DF">
      <w:pPr>
        <w:spacing w:line="360" w:lineRule="auto"/>
        <w:ind w:left="1440" w:hanging="720"/>
        <w:jc w:val="both"/>
        <w:rPr>
          <w:sz w:val="20"/>
          <w:szCs w:val="20"/>
        </w:rPr>
      </w:pPr>
      <w:r w:rsidRPr="00104204">
        <w:rPr>
          <w:sz w:val="20"/>
          <w:szCs w:val="20"/>
        </w:rPr>
        <w:t xml:space="preserve">El </w:t>
      </w:r>
      <w:proofErr w:type="spellStart"/>
      <w:r w:rsidRPr="00104204">
        <w:rPr>
          <w:sz w:val="20"/>
          <w:szCs w:val="20"/>
        </w:rPr>
        <w:t>Sood</w:t>
      </w:r>
      <w:proofErr w:type="spellEnd"/>
      <w:r w:rsidRPr="00104204">
        <w:rPr>
          <w:sz w:val="20"/>
          <w:szCs w:val="20"/>
        </w:rPr>
        <w:t>, H.S.A. (2008)</w:t>
      </w:r>
      <w:r w:rsidR="008F0063" w:rsidRPr="00104204">
        <w:rPr>
          <w:sz w:val="20"/>
          <w:szCs w:val="20"/>
        </w:rPr>
        <w:t>.</w:t>
      </w:r>
      <w:r w:rsidRPr="00104204">
        <w:rPr>
          <w:sz w:val="20"/>
          <w:szCs w:val="20"/>
        </w:rPr>
        <w:t xml:space="preserve"> The usefulness of accounting information, economic variables and corporate governance measures to predict corporate failure</w:t>
      </w:r>
      <w:r w:rsidR="008F0063" w:rsidRPr="00104204">
        <w:rPr>
          <w:sz w:val="20"/>
          <w:szCs w:val="20"/>
        </w:rPr>
        <w:t>.</w:t>
      </w:r>
      <w:r w:rsidRPr="00104204">
        <w:rPr>
          <w:sz w:val="20"/>
          <w:szCs w:val="20"/>
        </w:rPr>
        <w:t xml:space="preserve"> </w:t>
      </w:r>
      <w:r w:rsidRPr="00104204">
        <w:rPr>
          <w:i/>
          <w:sz w:val="20"/>
          <w:szCs w:val="20"/>
        </w:rPr>
        <w:t>The Journal of Applied Business Research</w:t>
      </w:r>
      <w:r w:rsidRPr="00104204">
        <w:rPr>
          <w:sz w:val="20"/>
          <w:szCs w:val="20"/>
        </w:rPr>
        <w:t>, 24(4), 1-10.</w:t>
      </w:r>
    </w:p>
    <w:p w:rsidR="00D735DF" w:rsidRPr="00104204" w:rsidRDefault="00D735DF" w:rsidP="00D735DF">
      <w:pPr>
        <w:spacing w:line="360" w:lineRule="auto"/>
        <w:ind w:left="1440" w:hanging="720"/>
        <w:jc w:val="both"/>
        <w:rPr>
          <w:sz w:val="20"/>
          <w:szCs w:val="20"/>
        </w:rPr>
      </w:pPr>
      <w:proofErr w:type="gramStart"/>
      <w:r w:rsidRPr="00104204">
        <w:rPr>
          <w:sz w:val="20"/>
          <w:szCs w:val="20"/>
        </w:rPr>
        <w:t>Fairchild, L.</w:t>
      </w:r>
      <w:r w:rsidR="008F0063" w:rsidRPr="00104204">
        <w:rPr>
          <w:sz w:val="20"/>
          <w:szCs w:val="20"/>
        </w:rPr>
        <w:t>, &amp;</w:t>
      </w:r>
      <w:r w:rsidRPr="00104204">
        <w:rPr>
          <w:sz w:val="20"/>
          <w:szCs w:val="20"/>
        </w:rPr>
        <w:t xml:space="preserve"> Li</w:t>
      </w:r>
      <w:r w:rsidR="008F0063" w:rsidRPr="00104204">
        <w:rPr>
          <w:sz w:val="20"/>
          <w:szCs w:val="20"/>
        </w:rPr>
        <w:t xml:space="preserve">, J. </w:t>
      </w:r>
      <w:r w:rsidRPr="00104204">
        <w:rPr>
          <w:sz w:val="20"/>
          <w:szCs w:val="20"/>
        </w:rPr>
        <w:t>(2005)</w:t>
      </w:r>
      <w:r w:rsidR="008F0063" w:rsidRPr="00104204">
        <w:rPr>
          <w:sz w:val="20"/>
          <w:szCs w:val="20"/>
        </w:rPr>
        <w:t>.</w:t>
      </w:r>
      <w:proofErr w:type="gramEnd"/>
      <w:r w:rsidRPr="00104204">
        <w:rPr>
          <w:sz w:val="20"/>
          <w:szCs w:val="20"/>
        </w:rPr>
        <w:t xml:space="preserve"> </w:t>
      </w:r>
      <w:proofErr w:type="gramStart"/>
      <w:r w:rsidRPr="00104204">
        <w:rPr>
          <w:sz w:val="20"/>
          <w:szCs w:val="20"/>
        </w:rPr>
        <w:t>Director quality and firm performance</w:t>
      </w:r>
      <w:r w:rsidR="008F0063" w:rsidRPr="00104204">
        <w:rPr>
          <w:sz w:val="20"/>
          <w:szCs w:val="20"/>
        </w:rPr>
        <w:t>.</w:t>
      </w:r>
      <w:proofErr w:type="gramEnd"/>
      <w:r w:rsidRPr="00104204">
        <w:rPr>
          <w:sz w:val="20"/>
          <w:szCs w:val="20"/>
        </w:rPr>
        <w:t xml:space="preserve"> </w:t>
      </w:r>
      <w:r w:rsidRPr="00104204">
        <w:rPr>
          <w:i/>
          <w:sz w:val="20"/>
          <w:szCs w:val="20"/>
        </w:rPr>
        <w:t>The Financial Review</w:t>
      </w:r>
      <w:r w:rsidRPr="00104204">
        <w:rPr>
          <w:sz w:val="20"/>
          <w:szCs w:val="20"/>
        </w:rPr>
        <w:t>, 40(2), 257-279.</w:t>
      </w:r>
    </w:p>
    <w:p w:rsidR="00D735DF" w:rsidRPr="00104204" w:rsidRDefault="00D735DF" w:rsidP="00D735DF">
      <w:pPr>
        <w:spacing w:line="360" w:lineRule="auto"/>
        <w:ind w:left="1440" w:hanging="720"/>
        <w:jc w:val="both"/>
        <w:rPr>
          <w:sz w:val="20"/>
          <w:szCs w:val="20"/>
        </w:rPr>
      </w:pPr>
      <w:proofErr w:type="spellStart"/>
      <w:r w:rsidRPr="00104204">
        <w:rPr>
          <w:sz w:val="20"/>
          <w:szCs w:val="20"/>
        </w:rPr>
        <w:lastRenderedPageBreak/>
        <w:t>Faleye</w:t>
      </w:r>
      <w:proofErr w:type="spellEnd"/>
      <w:r w:rsidRPr="00104204">
        <w:rPr>
          <w:sz w:val="20"/>
          <w:szCs w:val="20"/>
        </w:rPr>
        <w:t>, O. (2007)</w:t>
      </w:r>
      <w:r w:rsidR="008F0063" w:rsidRPr="00104204">
        <w:rPr>
          <w:sz w:val="20"/>
          <w:szCs w:val="20"/>
        </w:rPr>
        <w:t>.</w:t>
      </w:r>
      <w:r w:rsidRPr="00104204">
        <w:rPr>
          <w:sz w:val="20"/>
          <w:szCs w:val="20"/>
        </w:rPr>
        <w:t xml:space="preserve"> Does one </w:t>
      </w:r>
      <w:proofErr w:type="spellStart"/>
      <w:r w:rsidRPr="00104204">
        <w:rPr>
          <w:sz w:val="20"/>
          <w:szCs w:val="20"/>
        </w:rPr>
        <w:t>hat</w:t>
      </w:r>
      <w:proofErr w:type="spellEnd"/>
      <w:r w:rsidRPr="00104204">
        <w:rPr>
          <w:sz w:val="20"/>
          <w:szCs w:val="20"/>
        </w:rPr>
        <w:t xml:space="preserve"> fit all? </w:t>
      </w:r>
      <w:proofErr w:type="gramStart"/>
      <w:r w:rsidRPr="00104204">
        <w:rPr>
          <w:sz w:val="20"/>
          <w:szCs w:val="20"/>
        </w:rPr>
        <w:t>The case of corporate leadership structure</w:t>
      </w:r>
      <w:r w:rsidR="008F0063" w:rsidRPr="00104204">
        <w:rPr>
          <w:sz w:val="20"/>
          <w:szCs w:val="20"/>
        </w:rPr>
        <w:t>.</w:t>
      </w:r>
      <w:proofErr w:type="gramEnd"/>
      <w:r w:rsidRPr="00104204">
        <w:rPr>
          <w:sz w:val="20"/>
          <w:szCs w:val="20"/>
        </w:rPr>
        <w:t xml:space="preserve"> </w:t>
      </w:r>
      <w:r w:rsidRPr="00104204">
        <w:rPr>
          <w:i/>
          <w:sz w:val="20"/>
          <w:szCs w:val="20"/>
        </w:rPr>
        <w:t>Journal of Management Governance</w:t>
      </w:r>
      <w:r w:rsidRPr="00104204">
        <w:rPr>
          <w:sz w:val="20"/>
          <w:szCs w:val="20"/>
        </w:rPr>
        <w:t>, 11(3), 239-259.</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Finegold</w:t>
      </w:r>
      <w:proofErr w:type="spellEnd"/>
      <w:r w:rsidRPr="00104204">
        <w:rPr>
          <w:sz w:val="20"/>
          <w:szCs w:val="20"/>
        </w:rPr>
        <w:t>, D</w:t>
      </w:r>
      <w:r w:rsidR="008F0063" w:rsidRPr="00104204">
        <w:rPr>
          <w:sz w:val="20"/>
          <w:szCs w:val="20"/>
        </w:rPr>
        <w:t>.</w:t>
      </w:r>
      <w:r w:rsidRPr="00104204">
        <w:rPr>
          <w:sz w:val="20"/>
          <w:szCs w:val="20"/>
        </w:rPr>
        <w:t>, Benson</w:t>
      </w:r>
      <w:r w:rsidR="008F0063" w:rsidRPr="00104204">
        <w:rPr>
          <w:sz w:val="20"/>
          <w:szCs w:val="20"/>
        </w:rPr>
        <w:t>, G. S.</w:t>
      </w:r>
      <w:r w:rsidR="0094403E" w:rsidRPr="00104204">
        <w:rPr>
          <w:sz w:val="20"/>
          <w:szCs w:val="20"/>
        </w:rPr>
        <w:t>,</w:t>
      </w:r>
      <w:r w:rsidR="008F0063" w:rsidRPr="00104204">
        <w:rPr>
          <w:sz w:val="20"/>
          <w:szCs w:val="20"/>
        </w:rPr>
        <w:t xml:space="preserve"> &amp;</w:t>
      </w:r>
      <w:r w:rsidRPr="00104204">
        <w:rPr>
          <w:sz w:val="20"/>
          <w:szCs w:val="20"/>
        </w:rPr>
        <w:t xml:space="preserve"> Hecht</w:t>
      </w:r>
      <w:r w:rsidR="008F0063" w:rsidRPr="00104204">
        <w:rPr>
          <w:sz w:val="20"/>
          <w:szCs w:val="20"/>
        </w:rPr>
        <w:t xml:space="preserve">, D. </w:t>
      </w:r>
      <w:r w:rsidRPr="00104204">
        <w:rPr>
          <w:sz w:val="20"/>
          <w:szCs w:val="20"/>
        </w:rPr>
        <w:t>(2007)</w:t>
      </w:r>
      <w:r w:rsidR="008F0063" w:rsidRPr="00104204">
        <w:rPr>
          <w:sz w:val="20"/>
          <w:szCs w:val="20"/>
        </w:rPr>
        <w:t>.</w:t>
      </w:r>
      <w:proofErr w:type="gramEnd"/>
      <w:r w:rsidRPr="00104204">
        <w:rPr>
          <w:sz w:val="20"/>
          <w:szCs w:val="20"/>
        </w:rPr>
        <w:t xml:space="preserve"> Corporate boards and company performance: review of research in light of recent reforms</w:t>
      </w:r>
      <w:r w:rsidR="008F0063" w:rsidRPr="00104204">
        <w:rPr>
          <w:sz w:val="20"/>
          <w:szCs w:val="20"/>
        </w:rPr>
        <w:t>.</w:t>
      </w:r>
      <w:r w:rsidRPr="00104204">
        <w:rPr>
          <w:sz w:val="20"/>
          <w:szCs w:val="20"/>
        </w:rPr>
        <w:t xml:space="preserve"> </w:t>
      </w:r>
      <w:r w:rsidRPr="00104204">
        <w:rPr>
          <w:i/>
          <w:sz w:val="20"/>
          <w:szCs w:val="20"/>
        </w:rPr>
        <w:t>Corporate Governance: An International Review</w:t>
      </w:r>
      <w:r w:rsidRPr="00104204">
        <w:rPr>
          <w:sz w:val="20"/>
          <w:szCs w:val="20"/>
        </w:rPr>
        <w:t>, 15(5), 865-878.</w:t>
      </w:r>
    </w:p>
    <w:p w:rsidR="00D735DF" w:rsidRPr="00104204" w:rsidRDefault="00D735DF" w:rsidP="00D735DF">
      <w:pPr>
        <w:spacing w:line="360" w:lineRule="auto"/>
        <w:ind w:left="1440" w:hanging="720"/>
        <w:jc w:val="both"/>
        <w:rPr>
          <w:sz w:val="20"/>
          <w:szCs w:val="20"/>
        </w:rPr>
      </w:pPr>
      <w:r w:rsidRPr="00104204">
        <w:rPr>
          <w:sz w:val="20"/>
          <w:szCs w:val="20"/>
        </w:rPr>
        <w:t>Gill, A., Biger</w:t>
      </w:r>
      <w:r w:rsidR="008F0063" w:rsidRPr="00104204">
        <w:rPr>
          <w:sz w:val="20"/>
          <w:szCs w:val="20"/>
        </w:rPr>
        <w:t>,</w:t>
      </w:r>
      <w:r w:rsidRPr="00104204">
        <w:rPr>
          <w:sz w:val="20"/>
          <w:szCs w:val="20"/>
        </w:rPr>
        <w:t xml:space="preserve"> </w:t>
      </w:r>
      <w:r w:rsidR="008F0063" w:rsidRPr="00104204">
        <w:rPr>
          <w:sz w:val="20"/>
          <w:szCs w:val="20"/>
        </w:rPr>
        <w:t>N.</w:t>
      </w:r>
      <w:r w:rsidR="0094403E" w:rsidRPr="00104204">
        <w:rPr>
          <w:sz w:val="20"/>
          <w:szCs w:val="20"/>
        </w:rPr>
        <w:t xml:space="preserve">, &amp; </w:t>
      </w:r>
      <w:r w:rsidRPr="00104204">
        <w:rPr>
          <w:sz w:val="20"/>
          <w:szCs w:val="20"/>
        </w:rPr>
        <w:t>Bhutani</w:t>
      </w:r>
      <w:r w:rsidR="0094403E" w:rsidRPr="00104204">
        <w:rPr>
          <w:sz w:val="20"/>
          <w:szCs w:val="20"/>
        </w:rPr>
        <w:t>, S.</w:t>
      </w:r>
      <w:r w:rsidRPr="00104204">
        <w:rPr>
          <w:sz w:val="20"/>
          <w:szCs w:val="20"/>
        </w:rPr>
        <w:t xml:space="preserve"> (2008)</w:t>
      </w:r>
      <w:r w:rsidR="0094403E" w:rsidRPr="00104204">
        <w:rPr>
          <w:sz w:val="20"/>
          <w:szCs w:val="20"/>
        </w:rPr>
        <w:t>.</w:t>
      </w:r>
      <w:r w:rsidRPr="00104204">
        <w:rPr>
          <w:sz w:val="20"/>
          <w:szCs w:val="20"/>
        </w:rPr>
        <w:t xml:space="preserve"> </w:t>
      </w:r>
      <w:proofErr w:type="gramStart"/>
      <w:r w:rsidRPr="00104204">
        <w:rPr>
          <w:sz w:val="20"/>
          <w:szCs w:val="20"/>
        </w:rPr>
        <w:t>Corporate performance and the chief executive officer’s compensation in the service industry</w:t>
      </w:r>
      <w:r w:rsidR="0094403E" w:rsidRPr="00104204">
        <w:rPr>
          <w:sz w:val="20"/>
          <w:szCs w:val="20"/>
        </w:rPr>
        <w:t>.</w:t>
      </w:r>
      <w:proofErr w:type="gramEnd"/>
      <w:r w:rsidRPr="00104204">
        <w:rPr>
          <w:sz w:val="20"/>
          <w:szCs w:val="20"/>
        </w:rPr>
        <w:t xml:space="preserve"> </w:t>
      </w:r>
      <w:r w:rsidRPr="00104204">
        <w:rPr>
          <w:i/>
          <w:sz w:val="20"/>
          <w:szCs w:val="20"/>
        </w:rPr>
        <w:t xml:space="preserve">The Open Business Journal, </w:t>
      </w:r>
      <w:r w:rsidRPr="00104204">
        <w:rPr>
          <w:sz w:val="20"/>
          <w:szCs w:val="20"/>
        </w:rPr>
        <w:t>1(1), 62-66.</w:t>
      </w:r>
    </w:p>
    <w:p w:rsidR="00D735DF" w:rsidRPr="00104204" w:rsidRDefault="00D735DF" w:rsidP="00D735DF">
      <w:pPr>
        <w:spacing w:line="360" w:lineRule="auto"/>
        <w:ind w:left="1440" w:hanging="720"/>
        <w:jc w:val="both"/>
        <w:rPr>
          <w:sz w:val="20"/>
          <w:szCs w:val="20"/>
        </w:rPr>
      </w:pPr>
      <w:proofErr w:type="gramStart"/>
      <w:r w:rsidRPr="00104204">
        <w:rPr>
          <w:sz w:val="20"/>
          <w:szCs w:val="20"/>
        </w:rPr>
        <w:t>Gomez-Mejia, L</w:t>
      </w:r>
      <w:r w:rsidR="00A77E3F" w:rsidRPr="00104204">
        <w:rPr>
          <w:sz w:val="20"/>
          <w:szCs w:val="20"/>
        </w:rPr>
        <w:t>.</w:t>
      </w:r>
      <w:r w:rsidRPr="00104204">
        <w:rPr>
          <w:sz w:val="20"/>
          <w:szCs w:val="20"/>
        </w:rPr>
        <w:t xml:space="preserve">, </w:t>
      </w:r>
      <w:proofErr w:type="spellStart"/>
      <w:r w:rsidRPr="00104204">
        <w:rPr>
          <w:sz w:val="20"/>
          <w:szCs w:val="20"/>
        </w:rPr>
        <w:t>Balkin</w:t>
      </w:r>
      <w:proofErr w:type="spellEnd"/>
      <w:r w:rsidRPr="00104204">
        <w:rPr>
          <w:sz w:val="20"/>
          <w:szCs w:val="20"/>
        </w:rPr>
        <w:t xml:space="preserve">, </w:t>
      </w:r>
      <w:r w:rsidR="00A77E3F" w:rsidRPr="00104204">
        <w:rPr>
          <w:sz w:val="20"/>
          <w:szCs w:val="20"/>
        </w:rPr>
        <w:t>D. &amp;</w:t>
      </w:r>
      <w:r w:rsidRPr="00104204">
        <w:rPr>
          <w:sz w:val="20"/>
          <w:szCs w:val="20"/>
        </w:rPr>
        <w:t xml:space="preserve"> </w:t>
      </w:r>
      <w:proofErr w:type="spellStart"/>
      <w:r w:rsidRPr="00104204">
        <w:rPr>
          <w:sz w:val="20"/>
          <w:szCs w:val="20"/>
        </w:rPr>
        <w:t>Cardy</w:t>
      </w:r>
      <w:proofErr w:type="spellEnd"/>
      <w:r w:rsidR="00A77E3F" w:rsidRPr="00104204">
        <w:rPr>
          <w:sz w:val="20"/>
          <w:szCs w:val="20"/>
        </w:rPr>
        <w:t xml:space="preserve">, A. R. </w:t>
      </w:r>
      <w:r w:rsidRPr="00104204">
        <w:rPr>
          <w:sz w:val="20"/>
          <w:szCs w:val="20"/>
        </w:rPr>
        <w:t>(2005)</w:t>
      </w:r>
      <w:r w:rsidR="00A77E3F" w:rsidRPr="00104204">
        <w:rPr>
          <w:sz w:val="20"/>
          <w:szCs w:val="20"/>
        </w:rPr>
        <w:t>.</w:t>
      </w:r>
      <w:proofErr w:type="gramEnd"/>
      <w:r w:rsidRPr="00104204">
        <w:rPr>
          <w:sz w:val="20"/>
          <w:szCs w:val="20"/>
        </w:rPr>
        <w:t xml:space="preserve"> </w:t>
      </w:r>
      <w:proofErr w:type="gramStart"/>
      <w:r w:rsidRPr="00104204">
        <w:rPr>
          <w:i/>
          <w:sz w:val="20"/>
          <w:szCs w:val="20"/>
        </w:rPr>
        <w:t>Management</w:t>
      </w:r>
      <w:r w:rsidR="00A77E3F" w:rsidRPr="00104204">
        <w:rPr>
          <w:i/>
          <w:sz w:val="20"/>
          <w:szCs w:val="20"/>
        </w:rPr>
        <w:t>.</w:t>
      </w:r>
      <w:proofErr w:type="gramEnd"/>
      <w:r w:rsidRPr="00104204">
        <w:rPr>
          <w:sz w:val="20"/>
          <w:szCs w:val="20"/>
        </w:rPr>
        <w:t xml:space="preserve"> New York: McGraw-Hill.</w:t>
      </w:r>
    </w:p>
    <w:p w:rsidR="00D735DF" w:rsidRPr="00104204" w:rsidRDefault="00D735DF" w:rsidP="00A77E3F">
      <w:pPr>
        <w:spacing w:line="360" w:lineRule="auto"/>
        <w:ind w:left="1440" w:hanging="720"/>
        <w:jc w:val="both"/>
        <w:rPr>
          <w:sz w:val="20"/>
          <w:szCs w:val="20"/>
        </w:rPr>
      </w:pPr>
      <w:proofErr w:type="gramStart"/>
      <w:r w:rsidRPr="00104204">
        <w:rPr>
          <w:sz w:val="20"/>
          <w:szCs w:val="20"/>
        </w:rPr>
        <w:t>Goodstein, J</w:t>
      </w:r>
      <w:r w:rsidR="00A77E3F" w:rsidRPr="00104204">
        <w:rPr>
          <w:sz w:val="20"/>
          <w:szCs w:val="20"/>
        </w:rPr>
        <w:t>.</w:t>
      </w:r>
      <w:r w:rsidRPr="00104204">
        <w:rPr>
          <w:sz w:val="20"/>
          <w:szCs w:val="20"/>
        </w:rPr>
        <w:t xml:space="preserve">, </w:t>
      </w:r>
      <w:proofErr w:type="spellStart"/>
      <w:r w:rsidRPr="00104204">
        <w:rPr>
          <w:sz w:val="20"/>
          <w:szCs w:val="20"/>
        </w:rPr>
        <w:t>Gautam</w:t>
      </w:r>
      <w:proofErr w:type="spellEnd"/>
      <w:r w:rsidRPr="00104204">
        <w:rPr>
          <w:sz w:val="20"/>
          <w:szCs w:val="20"/>
        </w:rPr>
        <w:t xml:space="preserve">, </w:t>
      </w:r>
      <w:r w:rsidR="00A77E3F" w:rsidRPr="00104204">
        <w:rPr>
          <w:sz w:val="20"/>
          <w:szCs w:val="20"/>
        </w:rPr>
        <w:t>K. &amp;</w:t>
      </w:r>
      <w:r w:rsidRPr="00104204">
        <w:rPr>
          <w:sz w:val="20"/>
          <w:szCs w:val="20"/>
        </w:rPr>
        <w:t xml:space="preserve"> </w:t>
      </w:r>
      <w:proofErr w:type="spellStart"/>
      <w:r w:rsidRPr="00104204">
        <w:rPr>
          <w:sz w:val="20"/>
          <w:szCs w:val="20"/>
        </w:rPr>
        <w:t>Boeker</w:t>
      </w:r>
      <w:proofErr w:type="spellEnd"/>
      <w:r w:rsidR="00A77E3F" w:rsidRPr="00104204">
        <w:rPr>
          <w:sz w:val="20"/>
          <w:szCs w:val="20"/>
        </w:rPr>
        <w:t xml:space="preserve">, W. </w:t>
      </w:r>
      <w:r w:rsidRPr="00104204">
        <w:rPr>
          <w:sz w:val="20"/>
          <w:szCs w:val="20"/>
        </w:rPr>
        <w:t>(1994)</w:t>
      </w:r>
      <w:r w:rsidR="00A77E3F" w:rsidRPr="00104204">
        <w:rPr>
          <w:sz w:val="20"/>
          <w:szCs w:val="20"/>
        </w:rPr>
        <w:t>.</w:t>
      </w:r>
      <w:proofErr w:type="gramEnd"/>
      <w:r w:rsidRPr="00104204">
        <w:rPr>
          <w:sz w:val="20"/>
          <w:szCs w:val="20"/>
        </w:rPr>
        <w:t xml:space="preserve"> </w:t>
      </w:r>
      <w:proofErr w:type="gramStart"/>
      <w:r w:rsidRPr="00104204">
        <w:rPr>
          <w:sz w:val="20"/>
          <w:szCs w:val="20"/>
        </w:rPr>
        <w:t>The effects of board size and diversity on strategic change</w:t>
      </w:r>
      <w:r w:rsidR="00A77E3F" w:rsidRPr="00104204">
        <w:rPr>
          <w:sz w:val="20"/>
          <w:szCs w:val="20"/>
        </w:rPr>
        <w:t>.</w:t>
      </w:r>
      <w:proofErr w:type="gramEnd"/>
      <w:r w:rsidRPr="00104204">
        <w:rPr>
          <w:sz w:val="20"/>
          <w:szCs w:val="20"/>
        </w:rPr>
        <w:t xml:space="preserve"> </w:t>
      </w:r>
      <w:r w:rsidRPr="00104204">
        <w:rPr>
          <w:i/>
          <w:sz w:val="20"/>
          <w:szCs w:val="20"/>
        </w:rPr>
        <w:t>Strategic Management Journal</w:t>
      </w:r>
      <w:r w:rsidRPr="00104204">
        <w:rPr>
          <w:sz w:val="20"/>
          <w:szCs w:val="20"/>
        </w:rPr>
        <w:t>, 15(3), 241-250.</w:t>
      </w:r>
    </w:p>
    <w:p w:rsidR="00D735DF" w:rsidRPr="00104204" w:rsidRDefault="00D735DF" w:rsidP="00D735DF">
      <w:pPr>
        <w:spacing w:line="360" w:lineRule="auto"/>
        <w:ind w:left="1440" w:hanging="720"/>
        <w:jc w:val="both"/>
        <w:rPr>
          <w:sz w:val="20"/>
          <w:szCs w:val="20"/>
        </w:rPr>
      </w:pPr>
      <w:proofErr w:type="gramStart"/>
      <w:r w:rsidRPr="00104204">
        <w:rPr>
          <w:sz w:val="20"/>
          <w:szCs w:val="20"/>
        </w:rPr>
        <w:t>Granger, C. W. J. (1969)</w:t>
      </w:r>
      <w:r w:rsidR="00A77E3F" w:rsidRPr="00104204">
        <w:rPr>
          <w:sz w:val="20"/>
          <w:szCs w:val="20"/>
        </w:rPr>
        <w:t>.</w:t>
      </w:r>
      <w:proofErr w:type="gramEnd"/>
      <w:r w:rsidRPr="00104204">
        <w:rPr>
          <w:sz w:val="20"/>
          <w:szCs w:val="20"/>
        </w:rPr>
        <w:t xml:space="preserve"> </w:t>
      </w:r>
      <w:proofErr w:type="gramStart"/>
      <w:r w:rsidRPr="00104204">
        <w:rPr>
          <w:sz w:val="20"/>
          <w:szCs w:val="20"/>
        </w:rPr>
        <w:t>Investigating causal relations by econometric models and cross-spectral methods</w:t>
      </w:r>
      <w:r w:rsidR="00A77E3F" w:rsidRPr="00104204">
        <w:rPr>
          <w:sz w:val="20"/>
          <w:szCs w:val="20"/>
        </w:rPr>
        <w:t>.</w:t>
      </w:r>
      <w:proofErr w:type="gramEnd"/>
      <w:r w:rsidRPr="00104204">
        <w:rPr>
          <w:sz w:val="20"/>
          <w:szCs w:val="20"/>
        </w:rPr>
        <w:t xml:space="preserve"> </w:t>
      </w:r>
      <w:proofErr w:type="spellStart"/>
      <w:r w:rsidRPr="00104204">
        <w:rPr>
          <w:i/>
          <w:iCs/>
          <w:sz w:val="20"/>
          <w:szCs w:val="20"/>
        </w:rPr>
        <w:t>Econometrica</w:t>
      </w:r>
      <w:proofErr w:type="spellEnd"/>
      <w:r w:rsidRPr="00104204">
        <w:rPr>
          <w:sz w:val="20"/>
          <w:szCs w:val="20"/>
        </w:rPr>
        <w:t>, 37(3), 424-438.</w:t>
      </w:r>
    </w:p>
    <w:p w:rsidR="00D735DF" w:rsidRPr="00104204" w:rsidRDefault="00D735DF" w:rsidP="00D735DF">
      <w:pPr>
        <w:spacing w:line="360" w:lineRule="auto"/>
        <w:ind w:left="1440" w:hanging="720"/>
        <w:jc w:val="both"/>
        <w:rPr>
          <w:sz w:val="20"/>
          <w:szCs w:val="20"/>
        </w:rPr>
      </w:pPr>
      <w:r w:rsidRPr="00104204">
        <w:rPr>
          <w:sz w:val="20"/>
          <w:szCs w:val="20"/>
        </w:rPr>
        <w:t>Guest, P. M. (2009)</w:t>
      </w:r>
      <w:r w:rsidR="00A77E3F" w:rsidRPr="00104204">
        <w:rPr>
          <w:sz w:val="20"/>
          <w:szCs w:val="20"/>
        </w:rPr>
        <w:t>.</w:t>
      </w:r>
      <w:r w:rsidRPr="00104204">
        <w:rPr>
          <w:sz w:val="20"/>
          <w:szCs w:val="20"/>
        </w:rPr>
        <w:t xml:space="preserve"> The impact of board size on firm performance: evidence from the UK</w:t>
      </w:r>
      <w:r w:rsidR="00A77E3F" w:rsidRPr="00104204">
        <w:rPr>
          <w:sz w:val="20"/>
          <w:szCs w:val="20"/>
        </w:rPr>
        <w:t>.</w:t>
      </w:r>
      <w:r w:rsidRPr="00104204">
        <w:rPr>
          <w:sz w:val="20"/>
          <w:szCs w:val="20"/>
        </w:rPr>
        <w:t xml:space="preserve"> </w:t>
      </w:r>
      <w:r w:rsidRPr="00104204">
        <w:rPr>
          <w:i/>
          <w:sz w:val="20"/>
          <w:szCs w:val="20"/>
        </w:rPr>
        <w:t>The European Journal of Finance</w:t>
      </w:r>
      <w:r w:rsidRPr="00104204">
        <w:rPr>
          <w:sz w:val="20"/>
          <w:szCs w:val="20"/>
        </w:rPr>
        <w:t>, 15(4), 385-404.</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Hagendorff</w:t>
      </w:r>
      <w:proofErr w:type="spellEnd"/>
      <w:r w:rsidRPr="00104204">
        <w:rPr>
          <w:sz w:val="20"/>
          <w:szCs w:val="20"/>
        </w:rPr>
        <w:t>, J.</w:t>
      </w:r>
      <w:r w:rsidR="00A77E3F" w:rsidRPr="00104204">
        <w:rPr>
          <w:sz w:val="20"/>
          <w:szCs w:val="20"/>
        </w:rPr>
        <w:t>, &amp;</w:t>
      </w:r>
      <w:r w:rsidRPr="00104204">
        <w:rPr>
          <w:sz w:val="20"/>
          <w:szCs w:val="20"/>
        </w:rPr>
        <w:t xml:space="preserve"> </w:t>
      </w:r>
      <w:proofErr w:type="spellStart"/>
      <w:r w:rsidRPr="00104204">
        <w:rPr>
          <w:sz w:val="20"/>
          <w:szCs w:val="20"/>
        </w:rPr>
        <w:t>Keasey</w:t>
      </w:r>
      <w:proofErr w:type="spellEnd"/>
      <w:r w:rsidR="00A77E3F" w:rsidRPr="00104204">
        <w:rPr>
          <w:sz w:val="20"/>
          <w:szCs w:val="20"/>
        </w:rPr>
        <w:t xml:space="preserve">, K. </w:t>
      </w:r>
      <w:r w:rsidRPr="00104204">
        <w:rPr>
          <w:sz w:val="20"/>
          <w:szCs w:val="20"/>
        </w:rPr>
        <w:t>(2010)</w:t>
      </w:r>
      <w:r w:rsidR="00A77E3F" w:rsidRPr="00104204">
        <w:rPr>
          <w:sz w:val="20"/>
          <w:szCs w:val="20"/>
        </w:rPr>
        <w:t>.</w:t>
      </w:r>
      <w:proofErr w:type="gramEnd"/>
      <w:r w:rsidRPr="00104204">
        <w:rPr>
          <w:sz w:val="20"/>
          <w:szCs w:val="20"/>
        </w:rPr>
        <w:t xml:space="preserve"> The value of board diversity in banking: evidence from the market for corporate control</w:t>
      </w:r>
      <w:r w:rsidR="00A77E3F" w:rsidRPr="00104204">
        <w:rPr>
          <w:sz w:val="20"/>
          <w:szCs w:val="20"/>
        </w:rPr>
        <w:t>.</w:t>
      </w:r>
      <w:r w:rsidRPr="00104204">
        <w:rPr>
          <w:sz w:val="20"/>
          <w:szCs w:val="20"/>
        </w:rPr>
        <w:t xml:space="preserve"> </w:t>
      </w:r>
      <w:r w:rsidRPr="00104204">
        <w:rPr>
          <w:i/>
          <w:sz w:val="20"/>
          <w:szCs w:val="20"/>
        </w:rPr>
        <w:t>The European Journal of Finance</w:t>
      </w:r>
      <w:r w:rsidRPr="00104204">
        <w:rPr>
          <w:sz w:val="20"/>
          <w:szCs w:val="20"/>
        </w:rPr>
        <w:t>, 18(1), 41-58.</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Hermalin</w:t>
      </w:r>
      <w:proofErr w:type="spellEnd"/>
      <w:r w:rsidRPr="00104204">
        <w:rPr>
          <w:sz w:val="20"/>
          <w:szCs w:val="20"/>
        </w:rPr>
        <w:t>, B. E.</w:t>
      </w:r>
      <w:r w:rsidR="00A77E3F" w:rsidRPr="00104204">
        <w:rPr>
          <w:sz w:val="20"/>
          <w:szCs w:val="20"/>
        </w:rPr>
        <w:t>, &amp;</w:t>
      </w:r>
      <w:r w:rsidRPr="00104204">
        <w:rPr>
          <w:sz w:val="20"/>
          <w:szCs w:val="20"/>
        </w:rPr>
        <w:t xml:space="preserve"> </w:t>
      </w:r>
      <w:proofErr w:type="spellStart"/>
      <w:r w:rsidRPr="00104204">
        <w:rPr>
          <w:sz w:val="20"/>
          <w:szCs w:val="20"/>
        </w:rPr>
        <w:t>Weisbach</w:t>
      </w:r>
      <w:proofErr w:type="spellEnd"/>
      <w:r w:rsidR="00A77E3F" w:rsidRPr="00104204">
        <w:rPr>
          <w:sz w:val="20"/>
          <w:szCs w:val="20"/>
        </w:rPr>
        <w:t xml:space="preserve">, M.S. </w:t>
      </w:r>
      <w:r w:rsidRPr="00104204">
        <w:rPr>
          <w:sz w:val="20"/>
          <w:szCs w:val="20"/>
        </w:rPr>
        <w:t>(1988)</w:t>
      </w:r>
      <w:r w:rsidR="00A77E3F" w:rsidRPr="00104204">
        <w:rPr>
          <w:sz w:val="20"/>
          <w:szCs w:val="20"/>
        </w:rPr>
        <w:t>.</w:t>
      </w:r>
      <w:proofErr w:type="gramEnd"/>
      <w:r w:rsidRPr="00104204">
        <w:rPr>
          <w:sz w:val="20"/>
          <w:szCs w:val="20"/>
        </w:rPr>
        <w:t xml:space="preserve"> </w:t>
      </w:r>
      <w:proofErr w:type="gramStart"/>
      <w:r w:rsidRPr="00104204">
        <w:rPr>
          <w:sz w:val="20"/>
          <w:szCs w:val="20"/>
        </w:rPr>
        <w:t>The determinants of board composition</w:t>
      </w:r>
      <w:r w:rsidR="00A77E3F" w:rsidRPr="00104204">
        <w:rPr>
          <w:sz w:val="20"/>
          <w:szCs w:val="20"/>
        </w:rPr>
        <w:t>.</w:t>
      </w:r>
      <w:proofErr w:type="gramEnd"/>
      <w:r w:rsidRPr="00104204">
        <w:rPr>
          <w:sz w:val="20"/>
          <w:szCs w:val="20"/>
        </w:rPr>
        <w:t xml:space="preserve"> </w:t>
      </w:r>
      <w:r w:rsidRPr="00104204">
        <w:rPr>
          <w:i/>
          <w:sz w:val="20"/>
          <w:szCs w:val="20"/>
        </w:rPr>
        <w:t>RAND Journal of Economics</w:t>
      </w:r>
      <w:r w:rsidRPr="00104204">
        <w:rPr>
          <w:sz w:val="20"/>
          <w:szCs w:val="20"/>
        </w:rPr>
        <w:t>, 19(4), 589-606.</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Hermalin</w:t>
      </w:r>
      <w:proofErr w:type="spellEnd"/>
      <w:r w:rsidRPr="00104204">
        <w:rPr>
          <w:sz w:val="20"/>
          <w:szCs w:val="20"/>
        </w:rPr>
        <w:t>, B.</w:t>
      </w:r>
      <w:r w:rsidR="00A77E3F" w:rsidRPr="00104204">
        <w:rPr>
          <w:sz w:val="20"/>
          <w:szCs w:val="20"/>
        </w:rPr>
        <w:t>, &amp;</w:t>
      </w:r>
      <w:r w:rsidRPr="00104204">
        <w:rPr>
          <w:sz w:val="20"/>
          <w:szCs w:val="20"/>
        </w:rPr>
        <w:t xml:space="preserve"> </w:t>
      </w:r>
      <w:proofErr w:type="spellStart"/>
      <w:r w:rsidRPr="00104204">
        <w:rPr>
          <w:sz w:val="20"/>
          <w:szCs w:val="20"/>
        </w:rPr>
        <w:t>Weisbach</w:t>
      </w:r>
      <w:proofErr w:type="spellEnd"/>
      <w:r w:rsidR="00A77E3F" w:rsidRPr="00104204">
        <w:rPr>
          <w:sz w:val="20"/>
          <w:szCs w:val="20"/>
        </w:rPr>
        <w:t xml:space="preserve">, M. </w:t>
      </w:r>
      <w:r w:rsidRPr="00104204">
        <w:rPr>
          <w:sz w:val="20"/>
          <w:szCs w:val="20"/>
        </w:rPr>
        <w:t>(2003)</w:t>
      </w:r>
      <w:r w:rsidR="00A77E3F" w:rsidRPr="00104204">
        <w:rPr>
          <w:sz w:val="20"/>
          <w:szCs w:val="20"/>
        </w:rPr>
        <w:t>.</w:t>
      </w:r>
      <w:proofErr w:type="gramEnd"/>
      <w:r w:rsidRPr="00104204">
        <w:rPr>
          <w:sz w:val="20"/>
          <w:szCs w:val="20"/>
        </w:rPr>
        <w:t xml:space="preserve"> Boards of directors as an endogenously determined institution: a survey of the economic literature</w:t>
      </w:r>
      <w:r w:rsidR="00A77E3F" w:rsidRPr="00104204">
        <w:rPr>
          <w:sz w:val="20"/>
          <w:szCs w:val="20"/>
        </w:rPr>
        <w:t>.</w:t>
      </w:r>
      <w:r w:rsidRPr="00104204">
        <w:rPr>
          <w:sz w:val="20"/>
          <w:szCs w:val="20"/>
        </w:rPr>
        <w:t xml:space="preserve"> </w:t>
      </w:r>
      <w:r w:rsidRPr="00104204">
        <w:rPr>
          <w:i/>
          <w:sz w:val="20"/>
          <w:szCs w:val="20"/>
        </w:rPr>
        <w:t>Federal Reserve Bank of New York Policy Review</w:t>
      </w:r>
      <w:r w:rsidRPr="00104204">
        <w:rPr>
          <w:sz w:val="20"/>
          <w:szCs w:val="20"/>
        </w:rPr>
        <w:t>, 9(1), 7-26.</w:t>
      </w:r>
    </w:p>
    <w:p w:rsidR="00D735DF" w:rsidRPr="00104204" w:rsidRDefault="00D735DF" w:rsidP="00D735DF">
      <w:pPr>
        <w:spacing w:line="360" w:lineRule="auto"/>
        <w:ind w:left="1440" w:hanging="720"/>
        <w:jc w:val="both"/>
        <w:rPr>
          <w:sz w:val="20"/>
          <w:szCs w:val="20"/>
        </w:rPr>
      </w:pPr>
      <w:r w:rsidRPr="00104204">
        <w:rPr>
          <w:sz w:val="20"/>
          <w:szCs w:val="20"/>
        </w:rPr>
        <w:t>Hsu, H.E. (2010)</w:t>
      </w:r>
      <w:r w:rsidR="00A77E3F" w:rsidRPr="00104204">
        <w:rPr>
          <w:sz w:val="20"/>
          <w:szCs w:val="20"/>
        </w:rPr>
        <w:t>.</w:t>
      </w:r>
      <w:r w:rsidRPr="00104204">
        <w:rPr>
          <w:sz w:val="20"/>
          <w:szCs w:val="20"/>
        </w:rPr>
        <w:t xml:space="preserve"> The relationship between board characteristics and financial performance: an empirical study of United States initial public offerings</w:t>
      </w:r>
      <w:r w:rsidR="00A77E3F" w:rsidRPr="00104204">
        <w:rPr>
          <w:sz w:val="20"/>
          <w:szCs w:val="20"/>
        </w:rPr>
        <w:t>.</w:t>
      </w:r>
      <w:r w:rsidRPr="00104204">
        <w:rPr>
          <w:sz w:val="20"/>
          <w:szCs w:val="20"/>
        </w:rPr>
        <w:t xml:space="preserve"> </w:t>
      </w:r>
      <w:r w:rsidRPr="00104204">
        <w:rPr>
          <w:i/>
          <w:sz w:val="20"/>
          <w:szCs w:val="20"/>
        </w:rPr>
        <w:t>International Journal of Management</w:t>
      </w:r>
      <w:r w:rsidRPr="00104204">
        <w:rPr>
          <w:sz w:val="20"/>
          <w:szCs w:val="20"/>
        </w:rPr>
        <w:t>, 27(2), 332-341.</w:t>
      </w:r>
    </w:p>
    <w:p w:rsidR="00D735DF" w:rsidRPr="00104204" w:rsidRDefault="00D735DF" w:rsidP="00D735DF">
      <w:pPr>
        <w:spacing w:line="360" w:lineRule="auto"/>
        <w:ind w:left="1440" w:hanging="720"/>
        <w:jc w:val="both"/>
        <w:rPr>
          <w:sz w:val="20"/>
          <w:szCs w:val="20"/>
        </w:rPr>
      </w:pPr>
      <w:r w:rsidRPr="00104204">
        <w:rPr>
          <w:sz w:val="20"/>
          <w:szCs w:val="20"/>
        </w:rPr>
        <w:t>Jackling, B.</w:t>
      </w:r>
      <w:r w:rsidR="00A77E3F" w:rsidRPr="00104204">
        <w:rPr>
          <w:sz w:val="20"/>
          <w:szCs w:val="20"/>
        </w:rPr>
        <w:t>, &amp;</w:t>
      </w:r>
      <w:r w:rsidRPr="00104204">
        <w:rPr>
          <w:sz w:val="20"/>
          <w:szCs w:val="20"/>
        </w:rPr>
        <w:t xml:space="preserve"> </w:t>
      </w:r>
      <w:proofErr w:type="spellStart"/>
      <w:r w:rsidRPr="00104204">
        <w:rPr>
          <w:sz w:val="20"/>
          <w:szCs w:val="20"/>
        </w:rPr>
        <w:t>Johl</w:t>
      </w:r>
      <w:proofErr w:type="spellEnd"/>
      <w:r w:rsidR="00A77E3F" w:rsidRPr="00104204">
        <w:rPr>
          <w:sz w:val="20"/>
          <w:szCs w:val="20"/>
        </w:rPr>
        <w:t xml:space="preserve">, S. </w:t>
      </w:r>
      <w:r w:rsidRPr="00104204">
        <w:rPr>
          <w:sz w:val="20"/>
          <w:szCs w:val="20"/>
        </w:rPr>
        <w:t>(2009)</w:t>
      </w:r>
      <w:r w:rsidR="00A77E3F" w:rsidRPr="00104204">
        <w:rPr>
          <w:sz w:val="20"/>
          <w:szCs w:val="20"/>
        </w:rPr>
        <w:t>.</w:t>
      </w:r>
      <w:r w:rsidRPr="00104204">
        <w:rPr>
          <w:sz w:val="20"/>
          <w:szCs w:val="20"/>
        </w:rPr>
        <w:t xml:space="preserve"> Board structure and firm performance: evidence from India's top companies</w:t>
      </w:r>
      <w:r w:rsidR="00A77E3F" w:rsidRPr="00104204">
        <w:rPr>
          <w:sz w:val="20"/>
          <w:szCs w:val="20"/>
        </w:rPr>
        <w:t>.</w:t>
      </w:r>
      <w:r w:rsidRPr="00104204">
        <w:rPr>
          <w:sz w:val="20"/>
          <w:szCs w:val="20"/>
        </w:rPr>
        <w:t xml:space="preserve"> </w:t>
      </w:r>
      <w:r w:rsidRPr="00104204">
        <w:rPr>
          <w:i/>
          <w:sz w:val="20"/>
          <w:szCs w:val="20"/>
        </w:rPr>
        <w:t>Corporate Governance: An International Review</w:t>
      </w:r>
      <w:r w:rsidRPr="00104204">
        <w:rPr>
          <w:sz w:val="20"/>
          <w:szCs w:val="20"/>
        </w:rPr>
        <w:t>, 17(4), 492-509.</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Jalbert</w:t>
      </w:r>
      <w:proofErr w:type="spellEnd"/>
      <w:r w:rsidRPr="00104204">
        <w:rPr>
          <w:sz w:val="20"/>
          <w:szCs w:val="20"/>
        </w:rPr>
        <w:t>, T</w:t>
      </w:r>
      <w:r w:rsidR="0096032C" w:rsidRPr="00104204">
        <w:rPr>
          <w:sz w:val="20"/>
          <w:szCs w:val="20"/>
        </w:rPr>
        <w:t>.</w:t>
      </w:r>
      <w:r w:rsidRPr="00104204">
        <w:rPr>
          <w:sz w:val="20"/>
          <w:szCs w:val="20"/>
        </w:rPr>
        <w:t>, Rao</w:t>
      </w:r>
      <w:r w:rsidR="0096032C" w:rsidRPr="00104204">
        <w:rPr>
          <w:sz w:val="20"/>
          <w:szCs w:val="20"/>
        </w:rPr>
        <w:t>, R. &amp;</w:t>
      </w:r>
      <w:r w:rsidRPr="00104204">
        <w:rPr>
          <w:sz w:val="20"/>
          <w:szCs w:val="20"/>
        </w:rPr>
        <w:t xml:space="preserve"> </w:t>
      </w:r>
      <w:proofErr w:type="spellStart"/>
      <w:r w:rsidRPr="00104204">
        <w:rPr>
          <w:sz w:val="20"/>
          <w:szCs w:val="20"/>
        </w:rPr>
        <w:t>Jalbert</w:t>
      </w:r>
      <w:proofErr w:type="spellEnd"/>
      <w:r w:rsidR="0096032C" w:rsidRPr="00104204">
        <w:rPr>
          <w:sz w:val="20"/>
          <w:szCs w:val="20"/>
        </w:rPr>
        <w:t xml:space="preserve">, M. </w:t>
      </w:r>
      <w:r w:rsidRPr="00104204">
        <w:rPr>
          <w:sz w:val="20"/>
          <w:szCs w:val="20"/>
        </w:rPr>
        <w:t>(2002)</w:t>
      </w:r>
      <w:r w:rsidR="0096032C" w:rsidRPr="00104204">
        <w:rPr>
          <w:sz w:val="20"/>
          <w:szCs w:val="20"/>
        </w:rPr>
        <w:t>.</w:t>
      </w:r>
      <w:proofErr w:type="gramEnd"/>
      <w:r w:rsidRPr="00104204">
        <w:rPr>
          <w:sz w:val="20"/>
          <w:szCs w:val="20"/>
        </w:rPr>
        <w:t xml:space="preserve"> Does school matter? </w:t>
      </w:r>
      <w:proofErr w:type="gramStart"/>
      <w:r w:rsidRPr="00104204">
        <w:rPr>
          <w:sz w:val="20"/>
          <w:szCs w:val="20"/>
        </w:rPr>
        <w:t>An empirical analysis of CEO education, compensation, and firm performance</w:t>
      </w:r>
      <w:r w:rsidR="0096032C" w:rsidRPr="00104204">
        <w:rPr>
          <w:sz w:val="20"/>
          <w:szCs w:val="20"/>
        </w:rPr>
        <w:t>.</w:t>
      </w:r>
      <w:proofErr w:type="gramEnd"/>
      <w:r w:rsidRPr="00104204">
        <w:rPr>
          <w:sz w:val="20"/>
          <w:szCs w:val="20"/>
        </w:rPr>
        <w:t xml:space="preserve"> </w:t>
      </w:r>
      <w:r w:rsidRPr="00104204">
        <w:rPr>
          <w:i/>
          <w:sz w:val="20"/>
          <w:szCs w:val="20"/>
        </w:rPr>
        <w:t>International Business and Economics Research Journal,</w:t>
      </w:r>
      <w:r w:rsidRPr="00104204">
        <w:rPr>
          <w:sz w:val="20"/>
          <w:szCs w:val="20"/>
        </w:rPr>
        <w:t xml:space="preserve"> 1(1), 83-98.</w:t>
      </w:r>
    </w:p>
    <w:p w:rsidR="00D735DF" w:rsidRPr="00104204" w:rsidRDefault="00D735DF" w:rsidP="00D735DF">
      <w:pPr>
        <w:spacing w:line="360" w:lineRule="auto"/>
        <w:ind w:left="1440" w:hanging="720"/>
        <w:jc w:val="both"/>
        <w:rPr>
          <w:sz w:val="20"/>
          <w:szCs w:val="20"/>
        </w:rPr>
      </w:pPr>
      <w:proofErr w:type="gramStart"/>
      <w:r w:rsidRPr="00104204">
        <w:rPr>
          <w:sz w:val="20"/>
          <w:szCs w:val="20"/>
        </w:rPr>
        <w:t>John K.</w:t>
      </w:r>
      <w:r w:rsidR="0096032C" w:rsidRPr="00104204">
        <w:rPr>
          <w:sz w:val="20"/>
          <w:szCs w:val="20"/>
        </w:rPr>
        <w:t>, &amp;</w:t>
      </w:r>
      <w:r w:rsidRPr="00104204">
        <w:rPr>
          <w:sz w:val="20"/>
          <w:szCs w:val="20"/>
        </w:rPr>
        <w:t xml:space="preserve"> </w:t>
      </w:r>
      <w:proofErr w:type="spellStart"/>
      <w:r w:rsidRPr="00104204">
        <w:rPr>
          <w:sz w:val="20"/>
          <w:szCs w:val="20"/>
        </w:rPr>
        <w:t>Senbet</w:t>
      </w:r>
      <w:proofErr w:type="spellEnd"/>
      <w:r w:rsidR="0096032C" w:rsidRPr="00104204">
        <w:rPr>
          <w:sz w:val="20"/>
          <w:szCs w:val="20"/>
        </w:rPr>
        <w:t xml:space="preserve">, L.W. </w:t>
      </w:r>
      <w:r w:rsidRPr="00104204">
        <w:rPr>
          <w:sz w:val="20"/>
          <w:szCs w:val="20"/>
        </w:rPr>
        <w:t>(1998)</w:t>
      </w:r>
      <w:r w:rsidR="0096032C" w:rsidRPr="00104204">
        <w:rPr>
          <w:sz w:val="20"/>
          <w:szCs w:val="20"/>
        </w:rPr>
        <w:t>.</w:t>
      </w:r>
      <w:proofErr w:type="gramEnd"/>
      <w:r w:rsidRPr="00104204">
        <w:rPr>
          <w:sz w:val="20"/>
          <w:szCs w:val="20"/>
        </w:rPr>
        <w:t xml:space="preserve"> </w:t>
      </w:r>
      <w:proofErr w:type="gramStart"/>
      <w:r w:rsidRPr="00104204">
        <w:rPr>
          <w:sz w:val="20"/>
          <w:szCs w:val="20"/>
        </w:rPr>
        <w:t>Corporate governance and board effectiveness</w:t>
      </w:r>
      <w:r w:rsidR="0096032C" w:rsidRPr="00104204">
        <w:rPr>
          <w:sz w:val="20"/>
          <w:szCs w:val="20"/>
        </w:rPr>
        <w:t>.</w:t>
      </w:r>
      <w:proofErr w:type="gramEnd"/>
      <w:r w:rsidRPr="00104204">
        <w:rPr>
          <w:sz w:val="20"/>
          <w:szCs w:val="20"/>
        </w:rPr>
        <w:t xml:space="preserve"> </w:t>
      </w:r>
      <w:r w:rsidRPr="00104204">
        <w:rPr>
          <w:i/>
          <w:sz w:val="20"/>
          <w:szCs w:val="20"/>
        </w:rPr>
        <w:t>Journal of Banking and Finance,</w:t>
      </w:r>
      <w:r w:rsidRPr="00104204">
        <w:rPr>
          <w:sz w:val="20"/>
          <w:szCs w:val="20"/>
        </w:rPr>
        <w:t xml:space="preserve"> 22(4), 371- 403.</w:t>
      </w:r>
    </w:p>
    <w:p w:rsidR="00D735DF" w:rsidRPr="00104204" w:rsidRDefault="00D735DF" w:rsidP="00D735DF">
      <w:pPr>
        <w:spacing w:line="360" w:lineRule="auto"/>
        <w:ind w:left="1440" w:hanging="720"/>
        <w:jc w:val="both"/>
        <w:rPr>
          <w:sz w:val="20"/>
          <w:szCs w:val="20"/>
        </w:rPr>
      </w:pPr>
      <w:proofErr w:type="spellStart"/>
      <w:r w:rsidRPr="00104204">
        <w:rPr>
          <w:sz w:val="20"/>
          <w:szCs w:val="20"/>
        </w:rPr>
        <w:t>Kajola</w:t>
      </w:r>
      <w:proofErr w:type="spellEnd"/>
      <w:r w:rsidRPr="00104204">
        <w:rPr>
          <w:sz w:val="20"/>
          <w:szCs w:val="20"/>
        </w:rPr>
        <w:t>, S.O. (2008)</w:t>
      </w:r>
      <w:r w:rsidR="0096032C" w:rsidRPr="00104204">
        <w:rPr>
          <w:sz w:val="20"/>
          <w:szCs w:val="20"/>
        </w:rPr>
        <w:t>.</w:t>
      </w:r>
      <w:r w:rsidRPr="00104204">
        <w:rPr>
          <w:sz w:val="20"/>
          <w:szCs w:val="20"/>
        </w:rPr>
        <w:t xml:space="preserve"> Corporate governance and firm performance: the case of Nigerian listed firms</w:t>
      </w:r>
      <w:r w:rsidR="0096032C" w:rsidRPr="00104204">
        <w:rPr>
          <w:sz w:val="20"/>
          <w:szCs w:val="20"/>
        </w:rPr>
        <w:t>.</w:t>
      </w:r>
      <w:r w:rsidRPr="00104204">
        <w:rPr>
          <w:i/>
          <w:sz w:val="20"/>
          <w:szCs w:val="20"/>
        </w:rPr>
        <w:t xml:space="preserve"> European Journal of Economics, Finance and Administrative Sciences</w:t>
      </w:r>
      <w:r w:rsidRPr="00104204">
        <w:rPr>
          <w:sz w:val="20"/>
          <w:szCs w:val="20"/>
        </w:rPr>
        <w:t>, 14</w:t>
      </w:r>
      <w:r w:rsidR="00705AAB" w:rsidRPr="00104204">
        <w:rPr>
          <w:sz w:val="20"/>
          <w:szCs w:val="20"/>
        </w:rPr>
        <w:t>(4)</w:t>
      </w:r>
      <w:r w:rsidRPr="00104204">
        <w:rPr>
          <w:sz w:val="20"/>
          <w:szCs w:val="20"/>
        </w:rPr>
        <w:t>, 16-28.</w:t>
      </w:r>
    </w:p>
    <w:p w:rsidR="00D735DF" w:rsidRPr="00104204" w:rsidRDefault="00D735DF" w:rsidP="00D735DF">
      <w:pPr>
        <w:spacing w:line="360" w:lineRule="auto"/>
        <w:ind w:left="1440" w:hanging="720"/>
        <w:jc w:val="both"/>
        <w:rPr>
          <w:sz w:val="20"/>
          <w:szCs w:val="20"/>
        </w:rPr>
      </w:pPr>
      <w:proofErr w:type="gramStart"/>
      <w:r w:rsidRPr="00104204">
        <w:rPr>
          <w:sz w:val="20"/>
          <w:szCs w:val="20"/>
        </w:rPr>
        <w:t>Kang, H</w:t>
      </w:r>
      <w:r w:rsidR="0096032C" w:rsidRPr="00104204">
        <w:rPr>
          <w:sz w:val="20"/>
          <w:szCs w:val="20"/>
        </w:rPr>
        <w:t>.</w:t>
      </w:r>
      <w:r w:rsidRPr="00104204">
        <w:rPr>
          <w:sz w:val="20"/>
          <w:szCs w:val="20"/>
        </w:rPr>
        <w:t>, Cheng</w:t>
      </w:r>
      <w:r w:rsidR="0096032C" w:rsidRPr="00104204">
        <w:rPr>
          <w:sz w:val="20"/>
          <w:szCs w:val="20"/>
        </w:rPr>
        <w:t>, M. &amp;</w:t>
      </w:r>
      <w:r w:rsidRPr="00104204">
        <w:rPr>
          <w:sz w:val="20"/>
          <w:szCs w:val="20"/>
        </w:rPr>
        <w:t xml:space="preserve"> Gray</w:t>
      </w:r>
      <w:r w:rsidR="0096032C" w:rsidRPr="00104204">
        <w:rPr>
          <w:sz w:val="20"/>
          <w:szCs w:val="20"/>
        </w:rPr>
        <w:t xml:space="preserve">, S. J. </w:t>
      </w:r>
      <w:r w:rsidRPr="00104204">
        <w:rPr>
          <w:sz w:val="20"/>
          <w:szCs w:val="20"/>
        </w:rPr>
        <w:t>(2007)</w:t>
      </w:r>
      <w:r w:rsidR="0096032C" w:rsidRPr="00104204">
        <w:rPr>
          <w:sz w:val="20"/>
          <w:szCs w:val="20"/>
        </w:rPr>
        <w:t>.</w:t>
      </w:r>
      <w:proofErr w:type="gramEnd"/>
      <w:r w:rsidRPr="00104204">
        <w:rPr>
          <w:sz w:val="20"/>
          <w:szCs w:val="20"/>
        </w:rPr>
        <w:t xml:space="preserve"> Corporate governance and board composition: diversity and independence of Australian boards. </w:t>
      </w:r>
      <w:r w:rsidRPr="00104204">
        <w:rPr>
          <w:i/>
          <w:sz w:val="20"/>
          <w:szCs w:val="20"/>
        </w:rPr>
        <w:t>Corporate Governance: An International Review</w:t>
      </w:r>
      <w:r w:rsidRPr="00104204">
        <w:rPr>
          <w:sz w:val="20"/>
          <w:szCs w:val="20"/>
        </w:rPr>
        <w:t>, 15(2), 194-207.</w:t>
      </w:r>
    </w:p>
    <w:p w:rsidR="00D735DF" w:rsidRPr="00104204" w:rsidRDefault="00D735DF" w:rsidP="00D735DF">
      <w:pPr>
        <w:autoSpaceDE w:val="0"/>
        <w:autoSpaceDN w:val="0"/>
        <w:adjustRightInd w:val="0"/>
        <w:spacing w:line="360" w:lineRule="auto"/>
        <w:ind w:left="1440" w:hanging="720"/>
        <w:jc w:val="both"/>
        <w:rPr>
          <w:iCs/>
          <w:sz w:val="20"/>
          <w:szCs w:val="20"/>
        </w:rPr>
      </w:pPr>
      <w:proofErr w:type="gramStart"/>
      <w:r w:rsidRPr="00104204">
        <w:rPr>
          <w:iCs/>
          <w:sz w:val="20"/>
          <w:szCs w:val="20"/>
        </w:rPr>
        <w:t xml:space="preserve">Kim, H. </w:t>
      </w:r>
      <w:r w:rsidR="0096032C" w:rsidRPr="00104204">
        <w:rPr>
          <w:iCs/>
          <w:sz w:val="20"/>
          <w:szCs w:val="20"/>
        </w:rPr>
        <w:t>&amp;</w:t>
      </w:r>
      <w:r w:rsidRPr="00104204">
        <w:rPr>
          <w:iCs/>
          <w:sz w:val="20"/>
          <w:szCs w:val="20"/>
        </w:rPr>
        <w:t xml:space="preserve"> Lim</w:t>
      </w:r>
      <w:r w:rsidR="0096032C" w:rsidRPr="00104204">
        <w:rPr>
          <w:iCs/>
          <w:sz w:val="20"/>
          <w:szCs w:val="20"/>
        </w:rPr>
        <w:t xml:space="preserve">, C. </w:t>
      </w:r>
      <w:r w:rsidRPr="00104204">
        <w:rPr>
          <w:iCs/>
          <w:sz w:val="20"/>
          <w:szCs w:val="20"/>
        </w:rPr>
        <w:t>(2010)</w:t>
      </w:r>
      <w:r w:rsidR="0096032C" w:rsidRPr="00104204">
        <w:rPr>
          <w:iCs/>
          <w:sz w:val="20"/>
          <w:szCs w:val="20"/>
        </w:rPr>
        <w:t>.</w:t>
      </w:r>
      <w:proofErr w:type="gramEnd"/>
      <w:r w:rsidRPr="00104204">
        <w:rPr>
          <w:iCs/>
          <w:sz w:val="20"/>
          <w:szCs w:val="20"/>
        </w:rPr>
        <w:t xml:space="preserve"> Diversity, outside directors and firm valuation: Korean evidence</w:t>
      </w:r>
      <w:r w:rsidR="0096032C" w:rsidRPr="00104204">
        <w:rPr>
          <w:iCs/>
          <w:sz w:val="20"/>
          <w:szCs w:val="20"/>
        </w:rPr>
        <w:t>.</w:t>
      </w:r>
      <w:r w:rsidRPr="00104204">
        <w:rPr>
          <w:iCs/>
          <w:sz w:val="20"/>
          <w:szCs w:val="20"/>
        </w:rPr>
        <w:t xml:space="preserve"> </w:t>
      </w:r>
      <w:r w:rsidRPr="00104204">
        <w:rPr>
          <w:i/>
          <w:iCs/>
          <w:sz w:val="20"/>
          <w:szCs w:val="20"/>
        </w:rPr>
        <w:t>Journal of Business Research</w:t>
      </w:r>
      <w:r w:rsidRPr="00104204">
        <w:rPr>
          <w:iCs/>
          <w:sz w:val="20"/>
          <w:szCs w:val="20"/>
        </w:rPr>
        <w:t>, 63(3), 284-291.</w:t>
      </w:r>
    </w:p>
    <w:p w:rsidR="00D735DF" w:rsidRPr="00104204" w:rsidRDefault="00D735DF" w:rsidP="0096032C">
      <w:pPr>
        <w:spacing w:line="360" w:lineRule="auto"/>
        <w:ind w:left="1440" w:hanging="720"/>
        <w:jc w:val="both"/>
        <w:rPr>
          <w:sz w:val="20"/>
          <w:szCs w:val="20"/>
        </w:rPr>
      </w:pPr>
      <w:r w:rsidRPr="00104204">
        <w:rPr>
          <w:sz w:val="20"/>
          <w:szCs w:val="20"/>
        </w:rPr>
        <w:t>Kim, Y. (2007)</w:t>
      </w:r>
      <w:r w:rsidR="0096032C" w:rsidRPr="00104204">
        <w:rPr>
          <w:sz w:val="20"/>
          <w:szCs w:val="20"/>
        </w:rPr>
        <w:t>.</w:t>
      </w:r>
      <w:r w:rsidRPr="00104204">
        <w:rPr>
          <w:sz w:val="20"/>
          <w:szCs w:val="20"/>
        </w:rPr>
        <w:t xml:space="preserve"> The proportion and social capital of outside directors and their impacts on firm value: evidence from Korea</w:t>
      </w:r>
      <w:r w:rsidR="0096032C" w:rsidRPr="00104204">
        <w:rPr>
          <w:sz w:val="20"/>
          <w:szCs w:val="20"/>
        </w:rPr>
        <w:t>.</w:t>
      </w:r>
      <w:r w:rsidRPr="00104204">
        <w:rPr>
          <w:i/>
          <w:sz w:val="20"/>
          <w:szCs w:val="20"/>
        </w:rPr>
        <w:t xml:space="preserve"> Corporate Governance: An International Review</w:t>
      </w:r>
      <w:r w:rsidRPr="00104204">
        <w:rPr>
          <w:sz w:val="20"/>
          <w:szCs w:val="20"/>
        </w:rPr>
        <w:t>, 15(6), 1168-1176.</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lastRenderedPageBreak/>
        <w:t>Klapper</w:t>
      </w:r>
      <w:proofErr w:type="spellEnd"/>
      <w:r w:rsidRPr="00104204">
        <w:rPr>
          <w:sz w:val="20"/>
          <w:szCs w:val="20"/>
        </w:rPr>
        <w:t>, L.F.</w:t>
      </w:r>
      <w:r w:rsidR="0096032C" w:rsidRPr="00104204">
        <w:rPr>
          <w:sz w:val="20"/>
          <w:szCs w:val="20"/>
        </w:rPr>
        <w:t>,</w:t>
      </w:r>
      <w:r w:rsidRPr="00104204">
        <w:rPr>
          <w:sz w:val="20"/>
          <w:szCs w:val="20"/>
        </w:rPr>
        <w:t xml:space="preserve"> </w:t>
      </w:r>
      <w:r w:rsidR="0096032C" w:rsidRPr="00104204">
        <w:rPr>
          <w:sz w:val="20"/>
          <w:szCs w:val="20"/>
        </w:rPr>
        <w:t>&amp;</w:t>
      </w:r>
      <w:r w:rsidRPr="00104204">
        <w:rPr>
          <w:sz w:val="20"/>
          <w:szCs w:val="20"/>
        </w:rPr>
        <w:t xml:space="preserve"> Love</w:t>
      </w:r>
      <w:r w:rsidR="0096032C" w:rsidRPr="00104204">
        <w:rPr>
          <w:sz w:val="20"/>
          <w:szCs w:val="20"/>
        </w:rPr>
        <w:t xml:space="preserve">, I. </w:t>
      </w:r>
      <w:r w:rsidRPr="00104204">
        <w:rPr>
          <w:sz w:val="20"/>
          <w:szCs w:val="20"/>
        </w:rPr>
        <w:t>(2004)</w:t>
      </w:r>
      <w:r w:rsidR="0096032C" w:rsidRPr="00104204">
        <w:rPr>
          <w:sz w:val="20"/>
          <w:szCs w:val="20"/>
        </w:rPr>
        <w:t>.</w:t>
      </w:r>
      <w:proofErr w:type="gramEnd"/>
      <w:r w:rsidRPr="00104204">
        <w:rPr>
          <w:sz w:val="20"/>
          <w:szCs w:val="20"/>
        </w:rPr>
        <w:t xml:space="preserve"> </w:t>
      </w:r>
      <w:proofErr w:type="gramStart"/>
      <w:r w:rsidRPr="00104204">
        <w:rPr>
          <w:sz w:val="20"/>
          <w:szCs w:val="20"/>
        </w:rPr>
        <w:t>Corporate governance, investor protection, and performance in emerging markets</w:t>
      </w:r>
      <w:r w:rsidR="0096032C" w:rsidRPr="00104204">
        <w:rPr>
          <w:sz w:val="20"/>
          <w:szCs w:val="20"/>
        </w:rPr>
        <w:t>.</w:t>
      </w:r>
      <w:proofErr w:type="gramEnd"/>
      <w:r w:rsidRPr="00104204">
        <w:rPr>
          <w:sz w:val="20"/>
          <w:szCs w:val="20"/>
        </w:rPr>
        <w:t xml:space="preserve"> </w:t>
      </w:r>
      <w:r w:rsidRPr="00104204">
        <w:rPr>
          <w:i/>
          <w:iCs/>
          <w:sz w:val="20"/>
          <w:szCs w:val="20"/>
        </w:rPr>
        <w:t>Journal of Corporate Finance</w:t>
      </w:r>
      <w:r w:rsidRPr="00104204">
        <w:rPr>
          <w:sz w:val="20"/>
          <w:szCs w:val="20"/>
        </w:rPr>
        <w:t>, 10(5), 703-728.</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Krambia-Kapardis</w:t>
      </w:r>
      <w:proofErr w:type="spellEnd"/>
      <w:r w:rsidRPr="00104204">
        <w:rPr>
          <w:sz w:val="20"/>
          <w:szCs w:val="20"/>
        </w:rPr>
        <w:t>, M.</w:t>
      </w:r>
      <w:r w:rsidR="00C96ABC" w:rsidRPr="00104204">
        <w:rPr>
          <w:sz w:val="20"/>
          <w:szCs w:val="20"/>
        </w:rPr>
        <w:t xml:space="preserve">, &amp; </w:t>
      </w:r>
      <w:proofErr w:type="spellStart"/>
      <w:r w:rsidRPr="00104204">
        <w:rPr>
          <w:sz w:val="20"/>
          <w:szCs w:val="20"/>
        </w:rPr>
        <w:t>Psaros</w:t>
      </w:r>
      <w:proofErr w:type="spellEnd"/>
      <w:r w:rsidR="00C96ABC" w:rsidRPr="00104204">
        <w:rPr>
          <w:sz w:val="20"/>
          <w:szCs w:val="20"/>
        </w:rPr>
        <w:t xml:space="preserve">, J. </w:t>
      </w:r>
      <w:r w:rsidRPr="00104204">
        <w:rPr>
          <w:sz w:val="20"/>
          <w:szCs w:val="20"/>
        </w:rPr>
        <w:t>(2006)</w:t>
      </w:r>
      <w:r w:rsidR="00C96ABC" w:rsidRPr="00104204">
        <w:rPr>
          <w:sz w:val="20"/>
          <w:szCs w:val="20"/>
        </w:rPr>
        <w:t>.</w:t>
      </w:r>
      <w:proofErr w:type="gramEnd"/>
      <w:r w:rsidRPr="00104204">
        <w:rPr>
          <w:sz w:val="20"/>
          <w:szCs w:val="20"/>
        </w:rPr>
        <w:t xml:space="preserve"> The implementation of corporate governance principles in an emerging economy: a critique of the situation in Cyprus</w:t>
      </w:r>
      <w:r w:rsidR="00C96ABC" w:rsidRPr="00104204">
        <w:rPr>
          <w:sz w:val="20"/>
          <w:szCs w:val="20"/>
        </w:rPr>
        <w:t>.</w:t>
      </w:r>
      <w:r w:rsidRPr="00104204">
        <w:rPr>
          <w:sz w:val="20"/>
          <w:szCs w:val="20"/>
        </w:rPr>
        <w:t xml:space="preserve"> </w:t>
      </w:r>
      <w:r w:rsidRPr="00104204">
        <w:rPr>
          <w:i/>
          <w:sz w:val="20"/>
          <w:szCs w:val="20"/>
        </w:rPr>
        <w:t>Corporate Governance: An International Review</w:t>
      </w:r>
      <w:r w:rsidRPr="00104204">
        <w:rPr>
          <w:sz w:val="20"/>
          <w:szCs w:val="20"/>
        </w:rPr>
        <w:t>, 14 (2), 126-139.</w:t>
      </w:r>
    </w:p>
    <w:p w:rsidR="00D735DF" w:rsidRPr="00104204" w:rsidRDefault="00D735DF" w:rsidP="00D735DF">
      <w:pPr>
        <w:spacing w:line="360" w:lineRule="auto"/>
        <w:ind w:left="1440" w:hanging="720"/>
        <w:jc w:val="both"/>
        <w:rPr>
          <w:sz w:val="20"/>
          <w:szCs w:val="20"/>
        </w:rPr>
      </w:pPr>
      <w:proofErr w:type="gramStart"/>
      <w:r w:rsidRPr="00104204">
        <w:rPr>
          <w:sz w:val="20"/>
          <w:szCs w:val="20"/>
        </w:rPr>
        <w:t>Lai, J.</w:t>
      </w:r>
      <w:r w:rsidR="00C96ABC" w:rsidRPr="00104204">
        <w:rPr>
          <w:sz w:val="20"/>
          <w:szCs w:val="20"/>
        </w:rPr>
        <w:t>, &amp;</w:t>
      </w:r>
      <w:r w:rsidRPr="00104204">
        <w:rPr>
          <w:sz w:val="20"/>
          <w:szCs w:val="20"/>
        </w:rPr>
        <w:t xml:space="preserve"> Chen</w:t>
      </w:r>
      <w:r w:rsidR="00C96ABC" w:rsidRPr="00104204">
        <w:rPr>
          <w:sz w:val="20"/>
          <w:szCs w:val="20"/>
        </w:rPr>
        <w:t xml:space="preserve">, L. </w:t>
      </w:r>
      <w:r w:rsidRPr="00104204">
        <w:rPr>
          <w:sz w:val="20"/>
          <w:szCs w:val="20"/>
        </w:rPr>
        <w:t>(2012)</w:t>
      </w:r>
      <w:r w:rsidR="00C96ABC" w:rsidRPr="00104204">
        <w:rPr>
          <w:sz w:val="20"/>
          <w:szCs w:val="20"/>
        </w:rPr>
        <w:t>.</w:t>
      </w:r>
      <w:proofErr w:type="gramEnd"/>
      <w:r w:rsidRPr="00104204">
        <w:rPr>
          <w:sz w:val="20"/>
          <w:szCs w:val="20"/>
        </w:rPr>
        <w:t xml:space="preserve"> Does board experience matter? </w:t>
      </w:r>
      <w:proofErr w:type="gramStart"/>
      <w:r w:rsidRPr="00104204">
        <w:rPr>
          <w:sz w:val="20"/>
          <w:szCs w:val="20"/>
        </w:rPr>
        <w:t>Evidence from foreign direct investment</w:t>
      </w:r>
      <w:r w:rsidR="00C96ABC" w:rsidRPr="00104204">
        <w:rPr>
          <w:sz w:val="20"/>
          <w:szCs w:val="20"/>
        </w:rPr>
        <w:t>.</w:t>
      </w:r>
      <w:proofErr w:type="gramEnd"/>
      <w:r w:rsidRPr="00104204">
        <w:rPr>
          <w:sz w:val="20"/>
          <w:szCs w:val="20"/>
        </w:rPr>
        <w:t xml:space="preserve"> </w:t>
      </w:r>
      <w:r w:rsidRPr="00104204">
        <w:rPr>
          <w:i/>
          <w:sz w:val="20"/>
          <w:szCs w:val="20"/>
        </w:rPr>
        <w:t>Journal of Service Science and Management</w:t>
      </w:r>
      <w:r w:rsidRPr="00104204">
        <w:rPr>
          <w:sz w:val="20"/>
          <w:szCs w:val="20"/>
        </w:rPr>
        <w:t>, 5(2), 140-150.</w:t>
      </w:r>
    </w:p>
    <w:p w:rsidR="00D735DF" w:rsidRPr="00104204" w:rsidRDefault="00D735DF" w:rsidP="00D735DF">
      <w:pPr>
        <w:spacing w:line="360" w:lineRule="auto"/>
        <w:ind w:left="1440" w:hanging="720"/>
        <w:jc w:val="both"/>
        <w:rPr>
          <w:sz w:val="20"/>
          <w:szCs w:val="20"/>
        </w:rPr>
      </w:pPr>
      <w:proofErr w:type="gramStart"/>
      <w:r w:rsidRPr="00104204">
        <w:rPr>
          <w:sz w:val="20"/>
          <w:szCs w:val="20"/>
        </w:rPr>
        <w:t>Laing, D.</w:t>
      </w:r>
      <w:r w:rsidR="00C96ABC" w:rsidRPr="00104204">
        <w:rPr>
          <w:sz w:val="20"/>
          <w:szCs w:val="20"/>
        </w:rPr>
        <w:t>, &amp;</w:t>
      </w:r>
      <w:r w:rsidRPr="00104204">
        <w:rPr>
          <w:sz w:val="20"/>
          <w:szCs w:val="20"/>
        </w:rPr>
        <w:t xml:space="preserve"> Weir</w:t>
      </w:r>
      <w:r w:rsidR="00C96ABC" w:rsidRPr="00104204">
        <w:rPr>
          <w:sz w:val="20"/>
          <w:szCs w:val="20"/>
        </w:rPr>
        <w:t xml:space="preserve">, C. M. </w:t>
      </w:r>
      <w:r w:rsidRPr="00104204">
        <w:rPr>
          <w:sz w:val="20"/>
          <w:szCs w:val="20"/>
        </w:rPr>
        <w:t>(1999)</w:t>
      </w:r>
      <w:r w:rsidR="00C96ABC" w:rsidRPr="00104204">
        <w:rPr>
          <w:sz w:val="20"/>
          <w:szCs w:val="20"/>
        </w:rPr>
        <w:t>.</w:t>
      </w:r>
      <w:proofErr w:type="gramEnd"/>
      <w:r w:rsidRPr="00104204">
        <w:rPr>
          <w:sz w:val="20"/>
          <w:szCs w:val="20"/>
        </w:rPr>
        <w:t xml:space="preserve"> </w:t>
      </w:r>
      <w:proofErr w:type="gramStart"/>
      <w:r w:rsidRPr="00104204">
        <w:rPr>
          <w:sz w:val="20"/>
          <w:szCs w:val="20"/>
        </w:rPr>
        <w:t>Governance structures, size and corporate performance in UK firms</w:t>
      </w:r>
      <w:r w:rsidR="00C96ABC" w:rsidRPr="00104204">
        <w:rPr>
          <w:sz w:val="20"/>
          <w:szCs w:val="20"/>
        </w:rPr>
        <w:t>.</w:t>
      </w:r>
      <w:proofErr w:type="gramEnd"/>
      <w:r w:rsidRPr="00104204">
        <w:rPr>
          <w:sz w:val="20"/>
          <w:szCs w:val="20"/>
        </w:rPr>
        <w:t xml:space="preserve"> </w:t>
      </w:r>
      <w:r w:rsidRPr="00104204">
        <w:rPr>
          <w:i/>
          <w:sz w:val="20"/>
          <w:szCs w:val="20"/>
        </w:rPr>
        <w:t>Management Decision</w:t>
      </w:r>
      <w:r w:rsidRPr="00104204">
        <w:rPr>
          <w:sz w:val="20"/>
          <w:szCs w:val="20"/>
        </w:rPr>
        <w:t>, 37(5), 457-464.</w:t>
      </w:r>
    </w:p>
    <w:p w:rsidR="00D735DF" w:rsidRPr="00104204" w:rsidRDefault="00D735DF" w:rsidP="00D735DF">
      <w:pPr>
        <w:spacing w:line="360" w:lineRule="auto"/>
        <w:ind w:left="1440" w:hanging="720"/>
        <w:jc w:val="both"/>
        <w:rPr>
          <w:sz w:val="20"/>
          <w:szCs w:val="20"/>
        </w:rPr>
      </w:pPr>
      <w:r w:rsidRPr="00104204">
        <w:rPr>
          <w:sz w:val="20"/>
          <w:szCs w:val="20"/>
        </w:rPr>
        <w:t>Lam, T.Y.</w:t>
      </w:r>
      <w:r w:rsidR="00C96ABC" w:rsidRPr="00104204">
        <w:rPr>
          <w:sz w:val="20"/>
          <w:szCs w:val="20"/>
        </w:rPr>
        <w:t xml:space="preserve">, &amp; </w:t>
      </w:r>
      <w:r w:rsidRPr="00104204">
        <w:rPr>
          <w:sz w:val="20"/>
          <w:szCs w:val="20"/>
        </w:rPr>
        <w:t>Lee</w:t>
      </w:r>
      <w:r w:rsidR="00C96ABC" w:rsidRPr="00104204">
        <w:rPr>
          <w:sz w:val="20"/>
          <w:szCs w:val="20"/>
        </w:rPr>
        <w:t xml:space="preserve">, S.K. </w:t>
      </w:r>
      <w:r w:rsidRPr="00104204">
        <w:rPr>
          <w:sz w:val="20"/>
          <w:szCs w:val="20"/>
        </w:rPr>
        <w:t>(2008)</w:t>
      </w:r>
      <w:r w:rsidR="00C96ABC" w:rsidRPr="00104204">
        <w:rPr>
          <w:sz w:val="20"/>
          <w:szCs w:val="20"/>
        </w:rPr>
        <w:t>.</w:t>
      </w:r>
      <w:r w:rsidRPr="00104204">
        <w:rPr>
          <w:sz w:val="20"/>
          <w:szCs w:val="20"/>
        </w:rPr>
        <w:t xml:space="preserve"> CEO duality and firm performance: evidence from Hong Kong</w:t>
      </w:r>
      <w:r w:rsidR="00C96ABC" w:rsidRPr="00104204">
        <w:rPr>
          <w:sz w:val="20"/>
          <w:szCs w:val="20"/>
        </w:rPr>
        <w:t>.</w:t>
      </w:r>
      <w:r w:rsidRPr="00104204">
        <w:rPr>
          <w:i/>
          <w:sz w:val="20"/>
          <w:szCs w:val="20"/>
        </w:rPr>
        <w:t xml:space="preserve"> Corporate Governance</w:t>
      </w:r>
      <w:r w:rsidRPr="00104204">
        <w:rPr>
          <w:sz w:val="20"/>
          <w:szCs w:val="20"/>
        </w:rPr>
        <w:t>, 8(3), 299-316</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Larmou</w:t>
      </w:r>
      <w:proofErr w:type="spellEnd"/>
      <w:r w:rsidRPr="00104204">
        <w:rPr>
          <w:sz w:val="20"/>
          <w:szCs w:val="20"/>
        </w:rPr>
        <w:t>, S.</w:t>
      </w:r>
      <w:r w:rsidR="00C96ABC" w:rsidRPr="00104204">
        <w:rPr>
          <w:sz w:val="20"/>
          <w:szCs w:val="20"/>
        </w:rPr>
        <w:t>, &amp;</w:t>
      </w:r>
      <w:r w:rsidRPr="00104204">
        <w:rPr>
          <w:sz w:val="20"/>
          <w:szCs w:val="20"/>
        </w:rPr>
        <w:t xml:space="preserve"> </w:t>
      </w:r>
      <w:proofErr w:type="spellStart"/>
      <w:r w:rsidRPr="00104204">
        <w:rPr>
          <w:sz w:val="20"/>
          <w:szCs w:val="20"/>
        </w:rPr>
        <w:t>Vafeas</w:t>
      </w:r>
      <w:proofErr w:type="spellEnd"/>
      <w:r w:rsidR="00C96ABC" w:rsidRPr="00104204">
        <w:rPr>
          <w:sz w:val="20"/>
          <w:szCs w:val="20"/>
        </w:rPr>
        <w:t xml:space="preserve">, N. </w:t>
      </w:r>
      <w:r w:rsidRPr="00104204">
        <w:rPr>
          <w:sz w:val="20"/>
          <w:szCs w:val="20"/>
        </w:rPr>
        <w:t>(2010)</w:t>
      </w:r>
      <w:r w:rsidR="00C96ABC" w:rsidRPr="00104204">
        <w:rPr>
          <w:sz w:val="20"/>
          <w:szCs w:val="20"/>
        </w:rPr>
        <w:t>.</w:t>
      </w:r>
      <w:proofErr w:type="gramEnd"/>
      <w:r w:rsidRPr="00104204">
        <w:rPr>
          <w:sz w:val="20"/>
          <w:szCs w:val="20"/>
        </w:rPr>
        <w:t xml:space="preserve"> </w:t>
      </w:r>
      <w:proofErr w:type="gramStart"/>
      <w:r w:rsidRPr="00104204">
        <w:rPr>
          <w:sz w:val="20"/>
          <w:szCs w:val="20"/>
        </w:rPr>
        <w:t>The relation between board size and firm performance in firms with a history of poor operating performance</w:t>
      </w:r>
      <w:r w:rsidR="00C96ABC" w:rsidRPr="00104204">
        <w:rPr>
          <w:sz w:val="20"/>
          <w:szCs w:val="20"/>
        </w:rPr>
        <w:t>.</w:t>
      </w:r>
      <w:proofErr w:type="gramEnd"/>
      <w:r w:rsidRPr="00104204">
        <w:rPr>
          <w:sz w:val="20"/>
          <w:szCs w:val="20"/>
        </w:rPr>
        <w:t xml:space="preserve"> </w:t>
      </w:r>
      <w:r w:rsidRPr="00104204">
        <w:rPr>
          <w:i/>
          <w:sz w:val="20"/>
          <w:szCs w:val="20"/>
        </w:rPr>
        <w:t>Journal of Management and Governance</w:t>
      </w:r>
      <w:r w:rsidRPr="00104204">
        <w:rPr>
          <w:sz w:val="20"/>
          <w:szCs w:val="20"/>
        </w:rPr>
        <w:t>, 14(1), 61-85.</w:t>
      </w:r>
    </w:p>
    <w:p w:rsidR="00D735DF" w:rsidRPr="00104204" w:rsidRDefault="00D735DF" w:rsidP="00D735DF">
      <w:pPr>
        <w:spacing w:line="360" w:lineRule="auto"/>
        <w:ind w:left="1440" w:hanging="720"/>
        <w:jc w:val="both"/>
        <w:rPr>
          <w:sz w:val="20"/>
          <w:szCs w:val="20"/>
        </w:rPr>
      </w:pPr>
      <w:proofErr w:type="gramStart"/>
      <w:r w:rsidRPr="00104204">
        <w:rPr>
          <w:sz w:val="20"/>
          <w:szCs w:val="20"/>
        </w:rPr>
        <w:t>Lawal, B. (2012)</w:t>
      </w:r>
      <w:r w:rsidR="00940843" w:rsidRPr="00104204">
        <w:rPr>
          <w:sz w:val="20"/>
          <w:szCs w:val="20"/>
        </w:rPr>
        <w:t>.</w:t>
      </w:r>
      <w:proofErr w:type="gramEnd"/>
      <w:r w:rsidRPr="00104204">
        <w:rPr>
          <w:sz w:val="20"/>
          <w:szCs w:val="20"/>
        </w:rPr>
        <w:t xml:space="preserve"> Board dynamics and corporate performance: review of literature, and empirical challenges</w:t>
      </w:r>
      <w:r w:rsidR="00940843" w:rsidRPr="00104204">
        <w:rPr>
          <w:sz w:val="20"/>
          <w:szCs w:val="20"/>
        </w:rPr>
        <w:t>.</w:t>
      </w:r>
      <w:r w:rsidRPr="00104204">
        <w:rPr>
          <w:sz w:val="20"/>
          <w:szCs w:val="20"/>
        </w:rPr>
        <w:t xml:space="preserve"> </w:t>
      </w:r>
      <w:r w:rsidRPr="00104204">
        <w:rPr>
          <w:i/>
          <w:sz w:val="20"/>
          <w:szCs w:val="20"/>
        </w:rPr>
        <w:t>International Journal of Economics and Finance</w:t>
      </w:r>
      <w:r w:rsidRPr="00104204">
        <w:rPr>
          <w:sz w:val="20"/>
          <w:szCs w:val="20"/>
        </w:rPr>
        <w:t xml:space="preserve">, 4(1), 22-35. </w:t>
      </w:r>
    </w:p>
    <w:p w:rsidR="00D735DF" w:rsidRPr="00104204" w:rsidRDefault="00D735DF" w:rsidP="00D735DF">
      <w:pPr>
        <w:spacing w:line="360" w:lineRule="auto"/>
        <w:ind w:left="1440" w:hanging="720"/>
        <w:jc w:val="both"/>
        <w:rPr>
          <w:sz w:val="20"/>
          <w:szCs w:val="20"/>
        </w:rPr>
      </w:pPr>
      <w:r w:rsidRPr="00104204">
        <w:rPr>
          <w:sz w:val="20"/>
          <w:szCs w:val="20"/>
        </w:rPr>
        <w:t>Lipton, M.</w:t>
      </w:r>
      <w:r w:rsidR="00940843" w:rsidRPr="00104204">
        <w:rPr>
          <w:sz w:val="20"/>
          <w:szCs w:val="20"/>
        </w:rPr>
        <w:t>, &amp;</w:t>
      </w:r>
      <w:r w:rsidRPr="00104204">
        <w:rPr>
          <w:sz w:val="20"/>
          <w:szCs w:val="20"/>
        </w:rPr>
        <w:t xml:space="preserve"> </w:t>
      </w:r>
      <w:proofErr w:type="spellStart"/>
      <w:r w:rsidRPr="00104204">
        <w:rPr>
          <w:sz w:val="20"/>
          <w:szCs w:val="20"/>
        </w:rPr>
        <w:t>Lorsch</w:t>
      </w:r>
      <w:proofErr w:type="spellEnd"/>
      <w:r w:rsidR="00940843" w:rsidRPr="00104204">
        <w:rPr>
          <w:sz w:val="20"/>
          <w:szCs w:val="20"/>
        </w:rPr>
        <w:t xml:space="preserve">, J. W. </w:t>
      </w:r>
      <w:r w:rsidRPr="00104204">
        <w:rPr>
          <w:sz w:val="20"/>
          <w:szCs w:val="20"/>
        </w:rPr>
        <w:t>(1992)</w:t>
      </w:r>
      <w:r w:rsidR="00940843" w:rsidRPr="00104204">
        <w:rPr>
          <w:sz w:val="20"/>
          <w:szCs w:val="20"/>
        </w:rPr>
        <w:t>.</w:t>
      </w:r>
      <w:r w:rsidRPr="00104204">
        <w:rPr>
          <w:sz w:val="20"/>
          <w:szCs w:val="20"/>
        </w:rPr>
        <w:t xml:space="preserve"> A modest proposal for improved corporate governance</w:t>
      </w:r>
      <w:r w:rsidR="00940843" w:rsidRPr="00104204">
        <w:rPr>
          <w:sz w:val="20"/>
          <w:szCs w:val="20"/>
        </w:rPr>
        <w:t>.</w:t>
      </w:r>
      <w:r w:rsidRPr="00104204">
        <w:rPr>
          <w:sz w:val="20"/>
          <w:szCs w:val="20"/>
        </w:rPr>
        <w:t xml:space="preserve"> </w:t>
      </w:r>
      <w:r w:rsidRPr="00104204">
        <w:rPr>
          <w:i/>
          <w:sz w:val="20"/>
          <w:szCs w:val="20"/>
        </w:rPr>
        <w:t>Business Lawyer</w:t>
      </w:r>
      <w:r w:rsidRPr="00104204">
        <w:rPr>
          <w:sz w:val="20"/>
          <w:szCs w:val="20"/>
        </w:rPr>
        <w:t>, 48(1), 59-77.</w:t>
      </w:r>
    </w:p>
    <w:p w:rsidR="00D735DF" w:rsidRPr="00104204" w:rsidRDefault="00D735DF" w:rsidP="00D735DF">
      <w:pPr>
        <w:spacing w:line="360" w:lineRule="auto"/>
        <w:ind w:left="1440" w:hanging="720"/>
        <w:jc w:val="both"/>
        <w:rPr>
          <w:sz w:val="20"/>
          <w:szCs w:val="20"/>
        </w:rPr>
      </w:pPr>
      <w:proofErr w:type="gramStart"/>
      <w:r w:rsidRPr="00104204">
        <w:rPr>
          <w:sz w:val="20"/>
          <w:szCs w:val="20"/>
        </w:rPr>
        <w:t>Luan, C. J.</w:t>
      </w:r>
      <w:r w:rsidR="00940843" w:rsidRPr="00104204">
        <w:rPr>
          <w:sz w:val="20"/>
          <w:szCs w:val="20"/>
        </w:rPr>
        <w:t xml:space="preserve">, &amp; </w:t>
      </w:r>
      <w:r w:rsidRPr="00104204">
        <w:rPr>
          <w:sz w:val="20"/>
          <w:szCs w:val="20"/>
        </w:rPr>
        <w:t>Tang</w:t>
      </w:r>
      <w:r w:rsidR="00940843" w:rsidRPr="00104204">
        <w:rPr>
          <w:sz w:val="20"/>
          <w:szCs w:val="20"/>
        </w:rPr>
        <w:t xml:space="preserve">, M.J. </w:t>
      </w:r>
      <w:r w:rsidRPr="00104204">
        <w:rPr>
          <w:sz w:val="20"/>
          <w:szCs w:val="20"/>
        </w:rPr>
        <w:t>(2007)</w:t>
      </w:r>
      <w:r w:rsidR="00940843" w:rsidRPr="00104204">
        <w:rPr>
          <w:sz w:val="20"/>
          <w:szCs w:val="20"/>
        </w:rPr>
        <w:t>.</w:t>
      </w:r>
      <w:proofErr w:type="gramEnd"/>
      <w:r w:rsidRPr="00104204">
        <w:rPr>
          <w:sz w:val="20"/>
          <w:szCs w:val="20"/>
        </w:rPr>
        <w:t xml:space="preserve"> Where is independent director efficacy? </w:t>
      </w:r>
      <w:r w:rsidRPr="00104204">
        <w:rPr>
          <w:i/>
          <w:sz w:val="20"/>
          <w:szCs w:val="20"/>
        </w:rPr>
        <w:t>Corporate Governance: An International Review</w:t>
      </w:r>
      <w:r w:rsidRPr="00104204">
        <w:rPr>
          <w:sz w:val="20"/>
          <w:szCs w:val="20"/>
        </w:rPr>
        <w:t>, 15(4), 636-643.</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Lückerath</w:t>
      </w:r>
      <w:proofErr w:type="spellEnd"/>
      <w:r w:rsidRPr="00104204">
        <w:rPr>
          <w:sz w:val="20"/>
          <w:szCs w:val="20"/>
        </w:rPr>
        <w:t>-Rovers, M. (2011)</w:t>
      </w:r>
      <w:r w:rsidR="00940843" w:rsidRPr="00104204">
        <w:rPr>
          <w:sz w:val="20"/>
          <w:szCs w:val="20"/>
        </w:rPr>
        <w:t>.</w:t>
      </w:r>
      <w:proofErr w:type="gramEnd"/>
      <w:r w:rsidRPr="00104204">
        <w:rPr>
          <w:sz w:val="20"/>
          <w:szCs w:val="20"/>
        </w:rPr>
        <w:t xml:space="preserve"> </w:t>
      </w:r>
      <w:proofErr w:type="gramStart"/>
      <w:r w:rsidRPr="00104204">
        <w:rPr>
          <w:sz w:val="20"/>
          <w:szCs w:val="20"/>
        </w:rPr>
        <w:t>Women on boards and firm performance</w:t>
      </w:r>
      <w:r w:rsidR="00940843" w:rsidRPr="00104204">
        <w:rPr>
          <w:sz w:val="20"/>
          <w:szCs w:val="20"/>
        </w:rPr>
        <w:t>.</w:t>
      </w:r>
      <w:proofErr w:type="gramEnd"/>
      <w:r w:rsidRPr="00104204">
        <w:rPr>
          <w:sz w:val="20"/>
          <w:szCs w:val="20"/>
        </w:rPr>
        <w:t xml:space="preserve"> </w:t>
      </w:r>
      <w:r w:rsidRPr="00104204">
        <w:rPr>
          <w:i/>
          <w:sz w:val="20"/>
          <w:szCs w:val="20"/>
        </w:rPr>
        <w:t>Journal of Management and Governance</w:t>
      </w:r>
      <w:r w:rsidRPr="00104204">
        <w:rPr>
          <w:sz w:val="20"/>
          <w:szCs w:val="20"/>
        </w:rPr>
        <w:t>, 17(2), 491-509.</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Mak</w:t>
      </w:r>
      <w:proofErr w:type="spellEnd"/>
      <w:r w:rsidRPr="00104204">
        <w:rPr>
          <w:sz w:val="20"/>
          <w:szCs w:val="20"/>
        </w:rPr>
        <w:t>, Y.</w:t>
      </w:r>
      <w:r w:rsidR="00940843" w:rsidRPr="00104204">
        <w:rPr>
          <w:sz w:val="20"/>
          <w:szCs w:val="20"/>
        </w:rPr>
        <w:t xml:space="preserve">, &amp; </w:t>
      </w:r>
      <w:proofErr w:type="spellStart"/>
      <w:r w:rsidRPr="00104204">
        <w:rPr>
          <w:sz w:val="20"/>
          <w:szCs w:val="20"/>
        </w:rPr>
        <w:t>Kusnadi</w:t>
      </w:r>
      <w:proofErr w:type="spellEnd"/>
      <w:r w:rsidRPr="00104204">
        <w:rPr>
          <w:sz w:val="20"/>
          <w:szCs w:val="20"/>
        </w:rPr>
        <w:t xml:space="preserve">, </w:t>
      </w:r>
      <w:r w:rsidR="00940843" w:rsidRPr="00104204">
        <w:rPr>
          <w:sz w:val="20"/>
          <w:szCs w:val="20"/>
        </w:rPr>
        <w:t xml:space="preserve">Y. </w:t>
      </w:r>
      <w:r w:rsidRPr="00104204">
        <w:rPr>
          <w:sz w:val="20"/>
          <w:szCs w:val="20"/>
        </w:rPr>
        <w:t>(2005)</w:t>
      </w:r>
      <w:r w:rsidR="00940843" w:rsidRPr="00104204">
        <w:rPr>
          <w:sz w:val="20"/>
          <w:szCs w:val="20"/>
        </w:rPr>
        <w:t>.</w:t>
      </w:r>
      <w:proofErr w:type="gramEnd"/>
      <w:r w:rsidRPr="00104204">
        <w:rPr>
          <w:sz w:val="20"/>
          <w:szCs w:val="20"/>
        </w:rPr>
        <w:t xml:space="preserve"> Size really matters: further evidence on the negative relationship between board size and firm value</w:t>
      </w:r>
      <w:r w:rsidR="00940843" w:rsidRPr="00104204">
        <w:rPr>
          <w:sz w:val="20"/>
          <w:szCs w:val="20"/>
        </w:rPr>
        <w:t>.</w:t>
      </w:r>
      <w:r w:rsidRPr="00104204">
        <w:rPr>
          <w:sz w:val="20"/>
          <w:szCs w:val="20"/>
        </w:rPr>
        <w:t xml:space="preserve"> </w:t>
      </w:r>
      <w:r w:rsidRPr="00104204">
        <w:rPr>
          <w:i/>
          <w:sz w:val="20"/>
          <w:szCs w:val="20"/>
        </w:rPr>
        <w:t>Pacific-Basin Finance Journal</w:t>
      </w:r>
      <w:r w:rsidRPr="00104204">
        <w:rPr>
          <w:sz w:val="20"/>
          <w:szCs w:val="20"/>
        </w:rPr>
        <w:t>, 13(3), 301-318.</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Markarian</w:t>
      </w:r>
      <w:proofErr w:type="spellEnd"/>
      <w:r w:rsidRPr="00104204">
        <w:rPr>
          <w:sz w:val="20"/>
          <w:szCs w:val="20"/>
        </w:rPr>
        <w:t>, G.</w:t>
      </w:r>
      <w:r w:rsidR="00940843" w:rsidRPr="00104204">
        <w:rPr>
          <w:sz w:val="20"/>
          <w:szCs w:val="20"/>
        </w:rPr>
        <w:t>, &amp;</w:t>
      </w:r>
      <w:r w:rsidRPr="00104204">
        <w:rPr>
          <w:sz w:val="20"/>
          <w:szCs w:val="20"/>
        </w:rPr>
        <w:t xml:space="preserve"> </w:t>
      </w:r>
      <w:proofErr w:type="spellStart"/>
      <w:r w:rsidRPr="00104204">
        <w:rPr>
          <w:sz w:val="20"/>
          <w:szCs w:val="20"/>
        </w:rPr>
        <w:t>Parbonetti</w:t>
      </w:r>
      <w:proofErr w:type="spellEnd"/>
      <w:r w:rsidR="00940843" w:rsidRPr="00104204">
        <w:rPr>
          <w:sz w:val="20"/>
          <w:szCs w:val="20"/>
        </w:rPr>
        <w:t xml:space="preserve">, A. </w:t>
      </w:r>
      <w:r w:rsidRPr="00104204">
        <w:rPr>
          <w:sz w:val="20"/>
          <w:szCs w:val="20"/>
        </w:rPr>
        <w:t>(2007)</w:t>
      </w:r>
      <w:r w:rsidR="00940843" w:rsidRPr="00104204">
        <w:rPr>
          <w:sz w:val="20"/>
          <w:szCs w:val="20"/>
        </w:rPr>
        <w:t>.</w:t>
      </w:r>
      <w:proofErr w:type="gramEnd"/>
      <w:r w:rsidRPr="00104204">
        <w:rPr>
          <w:sz w:val="20"/>
          <w:szCs w:val="20"/>
        </w:rPr>
        <w:t xml:space="preserve"> </w:t>
      </w:r>
      <w:proofErr w:type="gramStart"/>
      <w:r w:rsidRPr="00104204">
        <w:rPr>
          <w:sz w:val="20"/>
          <w:szCs w:val="20"/>
        </w:rPr>
        <w:t>Firm complexity and board of director composition</w:t>
      </w:r>
      <w:r w:rsidR="00940843" w:rsidRPr="00104204">
        <w:rPr>
          <w:sz w:val="20"/>
          <w:szCs w:val="20"/>
        </w:rPr>
        <w:t>.</w:t>
      </w:r>
      <w:proofErr w:type="gramEnd"/>
      <w:r w:rsidRPr="00104204">
        <w:rPr>
          <w:sz w:val="20"/>
          <w:szCs w:val="20"/>
        </w:rPr>
        <w:t xml:space="preserve"> </w:t>
      </w:r>
      <w:r w:rsidRPr="00104204">
        <w:rPr>
          <w:i/>
          <w:sz w:val="20"/>
          <w:szCs w:val="20"/>
        </w:rPr>
        <w:t>Corporate Governance: An International Review</w:t>
      </w:r>
      <w:r w:rsidRPr="00104204">
        <w:rPr>
          <w:sz w:val="20"/>
          <w:szCs w:val="20"/>
        </w:rPr>
        <w:t>, 15(6), 1224-1243.</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Marmol</w:t>
      </w:r>
      <w:proofErr w:type="spellEnd"/>
      <w:r w:rsidRPr="00104204">
        <w:rPr>
          <w:sz w:val="20"/>
          <w:szCs w:val="20"/>
        </w:rPr>
        <w:t>, F.</w:t>
      </w:r>
      <w:r w:rsidR="00940843" w:rsidRPr="00104204">
        <w:rPr>
          <w:sz w:val="20"/>
          <w:szCs w:val="20"/>
        </w:rPr>
        <w:t>, &amp;</w:t>
      </w:r>
      <w:r w:rsidRPr="00104204">
        <w:rPr>
          <w:sz w:val="20"/>
          <w:szCs w:val="20"/>
        </w:rPr>
        <w:t xml:space="preserve"> Velasco</w:t>
      </w:r>
      <w:r w:rsidR="00940843" w:rsidRPr="00104204">
        <w:rPr>
          <w:sz w:val="20"/>
          <w:szCs w:val="20"/>
        </w:rPr>
        <w:t xml:space="preserve">, C. </w:t>
      </w:r>
      <w:r w:rsidRPr="00104204">
        <w:rPr>
          <w:sz w:val="20"/>
          <w:szCs w:val="20"/>
        </w:rPr>
        <w:t>(2004)</w:t>
      </w:r>
      <w:r w:rsidR="00940843" w:rsidRPr="00104204">
        <w:rPr>
          <w:sz w:val="20"/>
          <w:szCs w:val="20"/>
        </w:rPr>
        <w:t>.</w:t>
      </w:r>
      <w:proofErr w:type="gramEnd"/>
      <w:r w:rsidRPr="00104204">
        <w:rPr>
          <w:sz w:val="20"/>
          <w:szCs w:val="20"/>
        </w:rPr>
        <w:t xml:space="preserve"> </w:t>
      </w:r>
      <w:proofErr w:type="gramStart"/>
      <w:r w:rsidRPr="00104204">
        <w:rPr>
          <w:sz w:val="20"/>
          <w:szCs w:val="20"/>
        </w:rPr>
        <w:t>Consistent testing of co-integrating relationships</w:t>
      </w:r>
      <w:r w:rsidR="00940843" w:rsidRPr="00104204">
        <w:rPr>
          <w:sz w:val="20"/>
          <w:szCs w:val="20"/>
        </w:rPr>
        <w:t>.</w:t>
      </w:r>
      <w:proofErr w:type="gramEnd"/>
      <w:r w:rsidRPr="00104204">
        <w:rPr>
          <w:sz w:val="20"/>
          <w:szCs w:val="20"/>
        </w:rPr>
        <w:t xml:space="preserve"> </w:t>
      </w:r>
      <w:proofErr w:type="spellStart"/>
      <w:r w:rsidRPr="00104204">
        <w:rPr>
          <w:i/>
          <w:sz w:val="20"/>
          <w:szCs w:val="20"/>
        </w:rPr>
        <w:t>Econometrica</w:t>
      </w:r>
      <w:proofErr w:type="spellEnd"/>
      <w:r w:rsidRPr="00104204">
        <w:rPr>
          <w:sz w:val="20"/>
          <w:szCs w:val="20"/>
        </w:rPr>
        <w:t>, 72(6), 1809-1844.</w:t>
      </w:r>
    </w:p>
    <w:p w:rsidR="00D735DF" w:rsidRPr="00104204" w:rsidRDefault="00D735DF" w:rsidP="00D735DF">
      <w:pPr>
        <w:spacing w:line="360" w:lineRule="auto"/>
        <w:ind w:left="1440" w:hanging="720"/>
        <w:jc w:val="both"/>
        <w:rPr>
          <w:sz w:val="20"/>
          <w:szCs w:val="20"/>
        </w:rPr>
      </w:pPr>
      <w:proofErr w:type="gramStart"/>
      <w:r w:rsidRPr="00104204">
        <w:rPr>
          <w:sz w:val="20"/>
          <w:szCs w:val="20"/>
        </w:rPr>
        <w:t>Meyer, M</w:t>
      </w:r>
      <w:r w:rsidR="008E64D6" w:rsidRPr="00104204">
        <w:rPr>
          <w:sz w:val="20"/>
          <w:szCs w:val="20"/>
        </w:rPr>
        <w:t>.</w:t>
      </w:r>
      <w:r w:rsidRPr="00104204">
        <w:rPr>
          <w:sz w:val="20"/>
          <w:szCs w:val="20"/>
        </w:rPr>
        <w:t xml:space="preserve"> (2002)</w:t>
      </w:r>
      <w:r w:rsidR="008E64D6" w:rsidRPr="00104204">
        <w:rPr>
          <w:sz w:val="20"/>
          <w:szCs w:val="20"/>
        </w:rPr>
        <w:t>.</w:t>
      </w:r>
      <w:proofErr w:type="gramEnd"/>
      <w:r w:rsidRPr="00104204">
        <w:rPr>
          <w:sz w:val="20"/>
          <w:szCs w:val="20"/>
        </w:rPr>
        <w:t xml:space="preserve"> </w:t>
      </w:r>
      <w:r w:rsidRPr="00104204">
        <w:rPr>
          <w:i/>
          <w:sz w:val="20"/>
          <w:szCs w:val="20"/>
        </w:rPr>
        <w:t>Rethinking Performance Measurement: Beyond the Balanced Scorecard</w:t>
      </w:r>
      <w:r w:rsidR="008E64D6" w:rsidRPr="00104204">
        <w:rPr>
          <w:sz w:val="20"/>
          <w:szCs w:val="20"/>
        </w:rPr>
        <w:t>.</w:t>
      </w:r>
      <w:r w:rsidRPr="00104204">
        <w:rPr>
          <w:sz w:val="20"/>
          <w:szCs w:val="20"/>
        </w:rPr>
        <w:t xml:space="preserve"> Cambridge: University Press. </w:t>
      </w:r>
    </w:p>
    <w:p w:rsidR="00D735DF" w:rsidRPr="00104204" w:rsidRDefault="00D735DF" w:rsidP="00D735DF">
      <w:pPr>
        <w:spacing w:line="360" w:lineRule="auto"/>
        <w:ind w:left="1440" w:hanging="720"/>
        <w:jc w:val="both"/>
        <w:rPr>
          <w:sz w:val="20"/>
          <w:szCs w:val="20"/>
        </w:rPr>
      </w:pPr>
      <w:r w:rsidRPr="00104204">
        <w:rPr>
          <w:sz w:val="20"/>
          <w:szCs w:val="20"/>
        </w:rPr>
        <w:t>Mura, R. (2007)</w:t>
      </w:r>
      <w:r w:rsidR="008E64D6" w:rsidRPr="00104204">
        <w:rPr>
          <w:sz w:val="20"/>
          <w:szCs w:val="20"/>
        </w:rPr>
        <w:t>.</w:t>
      </w:r>
      <w:r w:rsidRPr="00104204">
        <w:rPr>
          <w:sz w:val="20"/>
          <w:szCs w:val="20"/>
        </w:rPr>
        <w:t xml:space="preserve"> Firm performance: do non-executive directors have minds of their own? </w:t>
      </w:r>
      <w:proofErr w:type="gramStart"/>
      <w:r w:rsidRPr="00104204">
        <w:rPr>
          <w:sz w:val="20"/>
          <w:szCs w:val="20"/>
        </w:rPr>
        <w:t>Evidence from UK panel data</w:t>
      </w:r>
      <w:r w:rsidR="008E64D6" w:rsidRPr="00104204">
        <w:rPr>
          <w:sz w:val="20"/>
          <w:szCs w:val="20"/>
        </w:rPr>
        <w:t>.</w:t>
      </w:r>
      <w:proofErr w:type="gramEnd"/>
      <w:r w:rsidRPr="00104204">
        <w:rPr>
          <w:sz w:val="20"/>
          <w:szCs w:val="20"/>
        </w:rPr>
        <w:t xml:space="preserve"> </w:t>
      </w:r>
      <w:r w:rsidRPr="00104204">
        <w:rPr>
          <w:i/>
          <w:sz w:val="20"/>
          <w:szCs w:val="20"/>
        </w:rPr>
        <w:t>Financial Management</w:t>
      </w:r>
      <w:r w:rsidRPr="00104204">
        <w:rPr>
          <w:sz w:val="20"/>
          <w:szCs w:val="20"/>
        </w:rPr>
        <w:t>, 36(3), 81-112.</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Muth</w:t>
      </w:r>
      <w:proofErr w:type="spellEnd"/>
      <w:r w:rsidRPr="00104204">
        <w:rPr>
          <w:sz w:val="20"/>
          <w:szCs w:val="20"/>
        </w:rPr>
        <w:t>, M. M.</w:t>
      </w:r>
      <w:r w:rsidR="008E64D6" w:rsidRPr="00104204">
        <w:rPr>
          <w:sz w:val="20"/>
          <w:szCs w:val="20"/>
        </w:rPr>
        <w:t>, &amp;</w:t>
      </w:r>
      <w:r w:rsidRPr="00104204">
        <w:rPr>
          <w:sz w:val="20"/>
          <w:szCs w:val="20"/>
        </w:rPr>
        <w:t xml:space="preserve"> Donaldson</w:t>
      </w:r>
      <w:r w:rsidR="008E64D6" w:rsidRPr="00104204">
        <w:rPr>
          <w:sz w:val="20"/>
          <w:szCs w:val="20"/>
        </w:rPr>
        <w:t xml:space="preserve">, L. </w:t>
      </w:r>
      <w:r w:rsidRPr="00104204">
        <w:rPr>
          <w:sz w:val="20"/>
          <w:szCs w:val="20"/>
        </w:rPr>
        <w:t>(1998)</w:t>
      </w:r>
      <w:r w:rsidR="008E64D6" w:rsidRPr="00104204">
        <w:rPr>
          <w:sz w:val="20"/>
          <w:szCs w:val="20"/>
        </w:rPr>
        <w:t>.</w:t>
      </w:r>
      <w:proofErr w:type="gramEnd"/>
      <w:r w:rsidRPr="00104204">
        <w:rPr>
          <w:sz w:val="20"/>
          <w:szCs w:val="20"/>
        </w:rPr>
        <w:t xml:space="preserve"> Stewardship theory and board structure: a contingency approach</w:t>
      </w:r>
      <w:r w:rsidR="008E64D6" w:rsidRPr="00104204">
        <w:rPr>
          <w:sz w:val="20"/>
          <w:szCs w:val="20"/>
        </w:rPr>
        <w:t>.</w:t>
      </w:r>
      <w:r w:rsidRPr="00104204">
        <w:rPr>
          <w:sz w:val="20"/>
          <w:szCs w:val="20"/>
        </w:rPr>
        <w:t xml:space="preserve"> </w:t>
      </w:r>
      <w:r w:rsidRPr="00104204">
        <w:rPr>
          <w:i/>
          <w:sz w:val="20"/>
          <w:szCs w:val="20"/>
        </w:rPr>
        <w:t>Corporate Governance: An International Review</w:t>
      </w:r>
      <w:r w:rsidRPr="00104204">
        <w:rPr>
          <w:sz w:val="20"/>
          <w:szCs w:val="20"/>
        </w:rPr>
        <w:t>, 6(1), 5-28.</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Naceur</w:t>
      </w:r>
      <w:proofErr w:type="spellEnd"/>
      <w:r w:rsidRPr="00104204">
        <w:rPr>
          <w:sz w:val="20"/>
          <w:szCs w:val="20"/>
        </w:rPr>
        <w:t xml:space="preserve">, S.B., </w:t>
      </w:r>
      <w:proofErr w:type="spellStart"/>
      <w:r w:rsidRPr="00104204">
        <w:rPr>
          <w:sz w:val="20"/>
          <w:szCs w:val="20"/>
        </w:rPr>
        <w:t>Ghazouani</w:t>
      </w:r>
      <w:proofErr w:type="spellEnd"/>
      <w:r w:rsidR="008E64D6" w:rsidRPr="00104204">
        <w:rPr>
          <w:sz w:val="20"/>
          <w:szCs w:val="20"/>
        </w:rPr>
        <w:t xml:space="preserve">, S. &amp; </w:t>
      </w:r>
      <w:proofErr w:type="spellStart"/>
      <w:r w:rsidRPr="00104204">
        <w:rPr>
          <w:sz w:val="20"/>
          <w:szCs w:val="20"/>
        </w:rPr>
        <w:t>Omran</w:t>
      </w:r>
      <w:proofErr w:type="spellEnd"/>
      <w:r w:rsidR="008E64D6" w:rsidRPr="00104204">
        <w:rPr>
          <w:sz w:val="20"/>
          <w:szCs w:val="20"/>
        </w:rPr>
        <w:t>, M.</w:t>
      </w:r>
      <w:proofErr w:type="gramEnd"/>
      <w:r w:rsidR="008E64D6" w:rsidRPr="00104204">
        <w:rPr>
          <w:sz w:val="20"/>
          <w:szCs w:val="20"/>
        </w:rPr>
        <w:t xml:space="preserve"> </w:t>
      </w:r>
      <w:r w:rsidRPr="00104204">
        <w:rPr>
          <w:sz w:val="20"/>
          <w:szCs w:val="20"/>
        </w:rPr>
        <w:t xml:space="preserve"> (2007)</w:t>
      </w:r>
      <w:r w:rsidR="008E64D6" w:rsidRPr="00104204">
        <w:rPr>
          <w:sz w:val="20"/>
          <w:szCs w:val="20"/>
        </w:rPr>
        <w:t>.</w:t>
      </w:r>
      <w:r w:rsidRPr="00104204">
        <w:rPr>
          <w:sz w:val="20"/>
          <w:szCs w:val="20"/>
        </w:rPr>
        <w:t xml:space="preserve"> </w:t>
      </w:r>
      <w:proofErr w:type="gramStart"/>
      <w:r w:rsidRPr="00104204">
        <w:rPr>
          <w:sz w:val="20"/>
          <w:szCs w:val="20"/>
        </w:rPr>
        <w:t>The</w:t>
      </w:r>
      <w:proofErr w:type="gramEnd"/>
      <w:r w:rsidRPr="00104204">
        <w:rPr>
          <w:sz w:val="20"/>
          <w:szCs w:val="20"/>
        </w:rPr>
        <w:t xml:space="preserve"> performance of newly </w:t>
      </w:r>
      <w:proofErr w:type="spellStart"/>
      <w:r w:rsidRPr="00104204">
        <w:rPr>
          <w:sz w:val="20"/>
          <w:szCs w:val="20"/>
        </w:rPr>
        <w:t>privatised</w:t>
      </w:r>
      <w:proofErr w:type="spellEnd"/>
      <w:r w:rsidRPr="00104204">
        <w:rPr>
          <w:sz w:val="20"/>
          <w:szCs w:val="20"/>
        </w:rPr>
        <w:t xml:space="preserve"> firms in selected MENA countries: the role of ownership structure, governance and </w:t>
      </w:r>
      <w:proofErr w:type="spellStart"/>
      <w:r w:rsidRPr="00104204">
        <w:rPr>
          <w:sz w:val="20"/>
          <w:szCs w:val="20"/>
        </w:rPr>
        <w:t>liberalisation</w:t>
      </w:r>
      <w:proofErr w:type="spellEnd"/>
      <w:r w:rsidRPr="00104204">
        <w:rPr>
          <w:sz w:val="20"/>
          <w:szCs w:val="20"/>
        </w:rPr>
        <w:t xml:space="preserve"> policies</w:t>
      </w:r>
      <w:r w:rsidR="008E64D6" w:rsidRPr="00104204">
        <w:rPr>
          <w:sz w:val="20"/>
          <w:szCs w:val="20"/>
        </w:rPr>
        <w:t>.</w:t>
      </w:r>
      <w:r w:rsidRPr="00104204">
        <w:rPr>
          <w:sz w:val="20"/>
          <w:szCs w:val="20"/>
        </w:rPr>
        <w:t xml:space="preserve"> </w:t>
      </w:r>
      <w:r w:rsidRPr="00104204">
        <w:rPr>
          <w:i/>
          <w:sz w:val="20"/>
          <w:szCs w:val="20"/>
        </w:rPr>
        <w:t>International Review of Financial Analysis</w:t>
      </w:r>
      <w:r w:rsidRPr="00104204">
        <w:rPr>
          <w:sz w:val="20"/>
          <w:szCs w:val="20"/>
        </w:rPr>
        <w:t>, 16(4), 332-353.</w:t>
      </w:r>
    </w:p>
    <w:p w:rsidR="00D735DF" w:rsidRPr="00104204" w:rsidRDefault="00D735DF" w:rsidP="00D735DF">
      <w:pPr>
        <w:spacing w:line="360" w:lineRule="auto"/>
        <w:ind w:left="1440" w:hanging="720"/>
        <w:jc w:val="both"/>
        <w:rPr>
          <w:sz w:val="20"/>
          <w:szCs w:val="20"/>
        </w:rPr>
      </w:pPr>
      <w:proofErr w:type="gramStart"/>
      <w:r w:rsidRPr="00104204">
        <w:rPr>
          <w:sz w:val="20"/>
          <w:szCs w:val="20"/>
        </w:rPr>
        <w:t>Nicholson, G. J.</w:t>
      </w:r>
      <w:r w:rsidR="008E64D6" w:rsidRPr="00104204">
        <w:rPr>
          <w:sz w:val="20"/>
          <w:szCs w:val="20"/>
        </w:rPr>
        <w:t xml:space="preserve">, &amp; </w:t>
      </w:r>
      <w:r w:rsidRPr="00104204">
        <w:rPr>
          <w:sz w:val="20"/>
          <w:szCs w:val="20"/>
        </w:rPr>
        <w:t>Kiel</w:t>
      </w:r>
      <w:r w:rsidR="008E64D6" w:rsidRPr="00104204">
        <w:rPr>
          <w:sz w:val="20"/>
          <w:szCs w:val="20"/>
        </w:rPr>
        <w:t xml:space="preserve">, G. C. </w:t>
      </w:r>
      <w:r w:rsidRPr="00104204">
        <w:rPr>
          <w:sz w:val="20"/>
          <w:szCs w:val="20"/>
        </w:rPr>
        <w:t>(2007)</w:t>
      </w:r>
      <w:r w:rsidR="008E64D6" w:rsidRPr="00104204">
        <w:rPr>
          <w:sz w:val="20"/>
          <w:szCs w:val="20"/>
        </w:rPr>
        <w:t>.</w:t>
      </w:r>
      <w:proofErr w:type="gramEnd"/>
      <w:r w:rsidRPr="00104204">
        <w:rPr>
          <w:sz w:val="20"/>
          <w:szCs w:val="20"/>
        </w:rPr>
        <w:t xml:space="preserve"> Can directors impact performance? </w:t>
      </w:r>
      <w:proofErr w:type="gramStart"/>
      <w:r w:rsidRPr="00104204">
        <w:rPr>
          <w:sz w:val="20"/>
          <w:szCs w:val="20"/>
        </w:rPr>
        <w:t>A case-based test of three theories of corporate governance</w:t>
      </w:r>
      <w:r w:rsidR="008E64D6" w:rsidRPr="00104204">
        <w:rPr>
          <w:sz w:val="20"/>
          <w:szCs w:val="20"/>
        </w:rPr>
        <w:t>.</w:t>
      </w:r>
      <w:proofErr w:type="gramEnd"/>
      <w:r w:rsidRPr="00104204">
        <w:rPr>
          <w:sz w:val="20"/>
          <w:szCs w:val="20"/>
        </w:rPr>
        <w:t xml:space="preserve"> </w:t>
      </w:r>
      <w:r w:rsidRPr="00104204">
        <w:rPr>
          <w:i/>
          <w:sz w:val="20"/>
          <w:szCs w:val="20"/>
        </w:rPr>
        <w:t>Corporate Governance: An International Review</w:t>
      </w:r>
      <w:r w:rsidRPr="00104204">
        <w:rPr>
          <w:sz w:val="20"/>
          <w:szCs w:val="20"/>
        </w:rPr>
        <w:t>, 15(4), 585-608.</w:t>
      </w:r>
    </w:p>
    <w:p w:rsidR="00D735DF" w:rsidRPr="00104204" w:rsidRDefault="00D735DF" w:rsidP="00D735DF">
      <w:pPr>
        <w:spacing w:line="360" w:lineRule="auto"/>
        <w:ind w:left="1440" w:hanging="720"/>
        <w:jc w:val="both"/>
        <w:rPr>
          <w:sz w:val="20"/>
          <w:szCs w:val="20"/>
        </w:rPr>
      </w:pPr>
      <w:proofErr w:type="gramStart"/>
      <w:r w:rsidRPr="00104204">
        <w:rPr>
          <w:sz w:val="20"/>
          <w:szCs w:val="20"/>
        </w:rPr>
        <w:lastRenderedPageBreak/>
        <w:t>Nielsen, S.</w:t>
      </w:r>
      <w:r w:rsidR="008E64D6" w:rsidRPr="00104204">
        <w:rPr>
          <w:sz w:val="20"/>
          <w:szCs w:val="20"/>
        </w:rPr>
        <w:t xml:space="preserve">, &amp; </w:t>
      </w:r>
      <w:proofErr w:type="spellStart"/>
      <w:r w:rsidRPr="00104204">
        <w:rPr>
          <w:sz w:val="20"/>
          <w:szCs w:val="20"/>
        </w:rPr>
        <w:t>Huse</w:t>
      </w:r>
      <w:proofErr w:type="spellEnd"/>
      <w:r w:rsidR="008E64D6" w:rsidRPr="00104204">
        <w:rPr>
          <w:sz w:val="20"/>
          <w:szCs w:val="20"/>
        </w:rPr>
        <w:t xml:space="preserve">, M. </w:t>
      </w:r>
      <w:r w:rsidRPr="00104204">
        <w:rPr>
          <w:sz w:val="20"/>
          <w:szCs w:val="20"/>
        </w:rPr>
        <w:t>(2010)</w:t>
      </w:r>
      <w:r w:rsidR="008E64D6" w:rsidRPr="00104204">
        <w:rPr>
          <w:sz w:val="20"/>
          <w:szCs w:val="20"/>
        </w:rPr>
        <w:t>.</w:t>
      </w:r>
      <w:proofErr w:type="gramEnd"/>
      <w:r w:rsidRPr="00104204">
        <w:rPr>
          <w:sz w:val="20"/>
          <w:szCs w:val="20"/>
        </w:rPr>
        <w:t xml:space="preserve"> The contribution of women on boards of directors: Going beyond the surface</w:t>
      </w:r>
      <w:r w:rsidR="008E64D6" w:rsidRPr="00104204">
        <w:rPr>
          <w:sz w:val="20"/>
          <w:szCs w:val="20"/>
        </w:rPr>
        <w:t>.</w:t>
      </w:r>
      <w:r w:rsidRPr="00104204">
        <w:rPr>
          <w:sz w:val="20"/>
          <w:szCs w:val="20"/>
        </w:rPr>
        <w:t xml:space="preserve"> </w:t>
      </w:r>
      <w:r w:rsidRPr="00104204">
        <w:rPr>
          <w:i/>
          <w:sz w:val="20"/>
          <w:szCs w:val="20"/>
        </w:rPr>
        <w:t>Corporate Governance: An International Review</w:t>
      </w:r>
      <w:r w:rsidRPr="00104204">
        <w:rPr>
          <w:sz w:val="20"/>
          <w:szCs w:val="20"/>
        </w:rPr>
        <w:t>, 18(2), 136-148.</w:t>
      </w:r>
    </w:p>
    <w:p w:rsidR="00D735DF" w:rsidRPr="00104204" w:rsidRDefault="00D735DF" w:rsidP="00D735DF">
      <w:pPr>
        <w:spacing w:line="360" w:lineRule="auto"/>
        <w:ind w:left="1440" w:hanging="720"/>
        <w:jc w:val="both"/>
        <w:rPr>
          <w:sz w:val="20"/>
          <w:szCs w:val="20"/>
        </w:rPr>
      </w:pPr>
      <w:r w:rsidRPr="00104204">
        <w:rPr>
          <w:sz w:val="20"/>
          <w:szCs w:val="20"/>
        </w:rPr>
        <w:t>Nordberg, D. (2011)</w:t>
      </w:r>
      <w:r w:rsidR="008E64D6" w:rsidRPr="00104204">
        <w:rPr>
          <w:sz w:val="20"/>
          <w:szCs w:val="20"/>
        </w:rPr>
        <w:t>.</w:t>
      </w:r>
      <w:r w:rsidRPr="00104204">
        <w:rPr>
          <w:sz w:val="20"/>
          <w:szCs w:val="20"/>
        </w:rPr>
        <w:t xml:space="preserve"> </w:t>
      </w:r>
      <w:r w:rsidRPr="00104204">
        <w:rPr>
          <w:i/>
          <w:sz w:val="20"/>
          <w:szCs w:val="20"/>
        </w:rPr>
        <w:t>Corporate Governance and the Board</w:t>
      </w:r>
      <w:r w:rsidRPr="00104204">
        <w:rPr>
          <w:sz w:val="20"/>
          <w:szCs w:val="20"/>
        </w:rPr>
        <w:t xml:space="preserve">. </w:t>
      </w:r>
      <w:proofErr w:type="gramStart"/>
      <w:r w:rsidRPr="00104204">
        <w:rPr>
          <w:sz w:val="20"/>
          <w:szCs w:val="20"/>
        </w:rPr>
        <w:t>In S. Idowu</w:t>
      </w:r>
      <w:r w:rsidR="008E64D6" w:rsidRPr="00104204">
        <w:rPr>
          <w:sz w:val="20"/>
          <w:szCs w:val="20"/>
        </w:rPr>
        <w:t>.</w:t>
      </w:r>
      <w:r w:rsidRPr="00104204">
        <w:rPr>
          <w:sz w:val="20"/>
          <w:szCs w:val="20"/>
        </w:rPr>
        <w:t xml:space="preserve">, </w:t>
      </w:r>
      <w:r w:rsidR="008E64D6" w:rsidRPr="00104204">
        <w:rPr>
          <w:sz w:val="20"/>
          <w:szCs w:val="20"/>
        </w:rPr>
        <w:t>&amp;</w:t>
      </w:r>
      <w:r w:rsidRPr="00104204">
        <w:rPr>
          <w:sz w:val="20"/>
          <w:szCs w:val="20"/>
        </w:rPr>
        <w:t xml:space="preserve"> Louche,</w:t>
      </w:r>
      <w:r w:rsidR="008E64D6" w:rsidRPr="00104204">
        <w:rPr>
          <w:sz w:val="20"/>
          <w:szCs w:val="20"/>
        </w:rPr>
        <w:t xml:space="preserve"> C. </w:t>
      </w:r>
      <w:r w:rsidRPr="00104204">
        <w:rPr>
          <w:i/>
          <w:sz w:val="20"/>
          <w:szCs w:val="20"/>
        </w:rPr>
        <w:t>Theory and Practice of Corporate Social Responsibility</w:t>
      </w:r>
      <w:r w:rsidR="008E64D6" w:rsidRPr="00104204">
        <w:rPr>
          <w:i/>
          <w:sz w:val="20"/>
          <w:szCs w:val="20"/>
        </w:rPr>
        <w:t>.</w:t>
      </w:r>
      <w:proofErr w:type="gramEnd"/>
      <w:r w:rsidRPr="00104204">
        <w:rPr>
          <w:i/>
          <w:sz w:val="20"/>
          <w:szCs w:val="20"/>
        </w:rPr>
        <w:t xml:space="preserve"> </w:t>
      </w:r>
      <w:proofErr w:type="spellStart"/>
      <w:r w:rsidRPr="00104204">
        <w:rPr>
          <w:sz w:val="20"/>
          <w:szCs w:val="20"/>
        </w:rPr>
        <w:t>Verlag</w:t>
      </w:r>
      <w:proofErr w:type="spellEnd"/>
      <w:r w:rsidRPr="00104204">
        <w:rPr>
          <w:sz w:val="20"/>
          <w:szCs w:val="20"/>
        </w:rPr>
        <w:t xml:space="preserve"> Berlin Heidelberg: Springer, pp. 39-53.</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Ocran</w:t>
      </w:r>
      <w:proofErr w:type="spellEnd"/>
      <w:r w:rsidRPr="00104204">
        <w:rPr>
          <w:sz w:val="20"/>
          <w:szCs w:val="20"/>
        </w:rPr>
        <w:t>, M.K.</w:t>
      </w:r>
      <w:r w:rsidR="008E64D6" w:rsidRPr="00104204">
        <w:rPr>
          <w:sz w:val="20"/>
          <w:szCs w:val="20"/>
        </w:rPr>
        <w:t xml:space="preserve">, &amp; </w:t>
      </w:r>
      <w:proofErr w:type="spellStart"/>
      <w:r w:rsidRPr="00104204">
        <w:rPr>
          <w:sz w:val="20"/>
          <w:szCs w:val="20"/>
        </w:rPr>
        <w:t>Biekpe</w:t>
      </w:r>
      <w:proofErr w:type="spellEnd"/>
      <w:r w:rsidR="008E64D6" w:rsidRPr="00104204">
        <w:rPr>
          <w:sz w:val="20"/>
          <w:szCs w:val="20"/>
        </w:rPr>
        <w:t xml:space="preserve">, N. </w:t>
      </w:r>
      <w:r w:rsidRPr="00104204">
        <w:rPr>
          <w:sz w:val="20"/>
          <w:szCs w:val="20"/>
        </w:rPr>
        <w:t>(2007)</w:t>
      </w:r>
      <w:r w:rsidR="008E64D6" w:rsidRPr="00104204">
        <w:rPr>
          <w:sz w:val="20"/>
          <w:szCs w:val="20"/>
        </w:rPr>
        <w:t>.</w:t>
      </w:r>
      <w:proofErr w:type="gramEnd"/>
      <w:r w:rsidRPr="00104204">
        <w:rPr>
          <w:sz w:val="20"/>
          <w:szCs w:val="20"/>
        </w:rPr>
        <w:t xml:space="preserve"> </w:t>
      </w:r>
      <w:proofErr w:type="gramStart"/>
      <w:r w:rsidRPr="00104204">
        <w:rPr>
          <w:sz w:val="20"/>
          <w:szCs w:val="20"/>
        </w:rPr>
        <w:t>Forecasting volatility in Sub-Saharan Africa’s commodity markets</w:t>
      </w:r>
      <w:r w:rsidR="008E64D6" w:rsidRPr="00104204">
        <w:rPr>
          <w:sz w:val="20"/>
          <w:szCs w:val="20"/>
        </w:rPr>
        <w:t>.</w:t>
      </w:r>
      <w:proofErr w:type="gramEnd"/>
      <w:r w:rsidRPr="00104204">
        <w:rPr>
          <w:sz w:val="20"/>
          <w:szCs w:val="20"/>
        </w:rPr>
        <w:t xml:space="preserve"> </w:t>
      </w:r>
      <w:r w:rsidRPr="00104204">
        <w:rPr>
          <w:i/>
          <w:sz w:val="20"/>
          <w:szCs w:val="20"/>
        </w:rPr>
        <w:t>Investment Management and Financial Innovations</w:t>
      </w:r>
      <w:r w:rsidRPr="00104204">
        <w:rPr>
          <w:sz w:val="20"/>
          <w:szCs w:val="20"/>
        </w:rPr>
        <w:t>, 4(2), 91-102.</w:t>
      </w:r>
    </w:p>
    <w:p w:rsidR="00D735DF" w:rsidRPr="00104204" w:rsidRDefault="00D735DF" w:rsidP="00D735DF">
      <w:pPr>
        <w:spacing w:line="360" w:lineRule="auto"/>
        <w:ind w:left="1440" w:hanging="720"/>
        <w:jc w:val="both"/>
        <w:rPr>
          <w:sz w:val="20"/>
          <w:szCs w:val="20"/>
        </w:rPr>
      </w:pPr>
      <w:proofErr w:type="gramStart"/>
      <w:r w:rsidRPr="00104204">
        <w:rPr>
          <w:sz w:val="20"/>
          <w:szCs w:val="20"/>
        </w:rPr>
        <w:t>OECD</w:t>
      </w:r>
      <w:r w:rsidR="008E64D6" w:rsidRPr="00104204">
        <w:rPr>
          <w:sz w:val="20"/>
          <w:szCs w:val="20"/>
        </w:rPr>
        <w:t>,</w:t>
      </w:r>
      <w:r w:rsidRPr="00104204">
        <w:rPr>
          <w:sz w:val="20"/>
          <w:szCs w:val="20"/>
        </w:rPr>
        <w:t xml:space="preserve"> (2004)</w:t>
      </w:r>
      <w:r w:rsidR="008E64D6" w:rsidRPr="00104204">
        <w:rPr>
          <w:sz w:val="20"/>
          <w:szCs w:val="20"/>
        </w:rPr>
        <w:t>.</w:t>
      </w:r>
      <w:proofErr w:type="gramEnd"/>
      <w:r w:rsidRPr="00104204">
        <w:rPr>
          <w:sz w:val="20"/>
          <w:szCs w:val="20"/>
        </w:rPr>
        <w:t xml:space="preserve"> </w:t>
      </w:r>
      <w:proofErr w:type="gramStart"/>
      <w:r w:rsidRPr="00104204">
        <w:rPr>
          <w:i/>
          <w:sz w:val="20"/>
          <w:szCs w:val="20"/>
        </w:rPr>
        <w:t>Principle of Corporate Governanc</w:t>
      </w:r>
      <w:r w:rsidRPr="00104204">
        <w:rPr>
          <w:sz w:val="20"/>
          <w:szCs w:val="20"/>
        </w:rPr>
        <w:t>e</w:t>
      </w:r>
      <w:r w:rsidR="008E64D6" w:rsidRPr="00104204">
        <w:rPr>
          <w:sz w:val="20"/>
          <w:szCs w:val="20"/>
        </w:rPr>
        <w:t>.</w:t>
      </w:r>
      <w:proofErr w:type="gramEnd"/>
      <w:r w:rsidRPr="00104204">
        <w:rPr>
          <w:sz w:val="20"/>
          <w:szCs w:val="20"/>
        </w:rPr>
        <w:t xml:space="preserve"> France: OECD.</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Ongore</w:t>
      </w:r>
      <w:proofErr w:type="spellEnd"/>
      <w:r w:rsidRPr="00104204">
        <w:rPr>
          <w:sz w:val="20"/>
          <w:szCs w:val="20"/>
        </w:rPr>
        <w:t>, V. O.</w:t>
      </w:r>
      <w:r w:rsidR="00DE3E58" w:rsidRPr="00104204">
        <w:rPr>
          <w:sz w:val="20"/>
          <w:szCs w:val="20"/>
        </w:rPr>
        <w:t>, &amp;</w:t>
      </w:r>
      <w:r w:rsidRPr="00104204">
        <w:rPr>
          <w:sz w:val="20"/>
          <w:szCs w:val="20"/>
        </w:rPr>
        <w:t xml:space="preserve"> </w:t>
      </w:r>
      <w:proofErr w:type="spellStart"/>
      <w:r w:rsidRPr="00104204">
        <w:rPr>
          <w:sz w:val="20"/>
          <w:szCs w:val="20"/>
        </w:rPr>
        <w:t>K’Obonyo</w:t>
      </w:r>
      <w:proofErr w:type="spellEnd"/>
      <w:r w:rsidR="00DE3E58" w:rsidRPr="00104204">
        <w:rPr>
          <w:sz w:val="20"/>
          <w:szCs w:val="20"/>
        </w:rPr>
        <w:t xml:space="preserve">, P.O. </w:t>
      </w:r>
      <w:r w:rsidRPr="00104204">
        <w:rPr>
          <w:sz w:val="20"/>
          <w:szCs w:val="20"/>
        </w:rPr>
        <w:t>(2011)</w:t>
      </w:r>
      <w:r w:rsidR="00DE3E58" w:rsidRPr="00104204">
        <w:rPr>
          <w:sz w:val="20"/>
          <w:szCs w:val="20"/>
        </w:rPr>
        <w:t>.</w:t>
      </w:r>
      <w:proofErr w:type="gramEnd"/>
      <w:r w:rsidRPr="00104204">
        <w:rPr>
          <w:sz w:val="20"/>
          <w:szCs w:val="20"/>
        </w:rPr>
        <w:t xml:space="preserve"> Effects of selected corporate governance characteristics on firm performance: empirical evidence from Kenya</w:t>
      </w:r>
      <w:r w:rsidR="00DE3E58" w:rsidRPr="00104204">
        <w:rPr>
          <w:sz w:val="20"/>
          <w:szCs w:val="20"/>
        </w:rPr>
        <w:t>.</w:t>
      </w:r>
      <w:r w:rsidRPr="00104204">
        <w:rPr>
          <w:sz w:val="20"/>
          <w:szCs w:val="20"/>
        </w:rPr>
        <w:t xml:space="preserve"> </w:t>
      </w:r>
      <w:r w:rsidRPr="00104204">
        <w:rPr>
          <w:i/>
          <w:sz w:val="20"/>
          <w:szCs w:val="20"/>
        </w:rPr>
        <w:t>International Journal of Economics and Financial Issues,</w:t>
      </w:r>
      <w:r w:rsidRPr="00104204">
        <w:rPr>
          <w:sz w:val="20"/>
          <w:szCs w:val="20"/>
        </w:rPr>
        <w:t xml:space="preserve"> 1(3), 99-122.</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Pacini</w:t>
      </w:r>
      <w:proofErr w:type="spellEnd"/>
      <w:r w:rsidRPr="00104204">
        <w:rPr>
          <w:sz w:val="20"/>
          <w:szCs w:val="20"/>
        </w:rPr>
        <w:t xml:space="preserve">, C., </w:t>
      </w:r>
      <w:proofErr w:type="spellStart"/>
      <w:r w:rsidRPr="00104204">
        <w:rPr>
          <w:sz w:val="20"/>
          <w:szCs w:val="20"/>
        </w:rPr>
        <w:t>Hillison</w:t>
      </w:r>
      <w:proofErr w:type="spellEnd"/>
      <w:r w:rsidR="00DE3E58" w:rsidRPr="00104204">
        <w:rPr>
          <w:sz w:val="20"/>
          <w:szCs w:val="20"/>
        </w:rPr>
        <w:t>, W., &amp;</w:t>
      </w:r>
      <w:r w:rsidRPr="00104204">
        <w:rPr>
          <w:sz w:val="20"/>
          <w:szCs w:val="20"/>
        </w:rPr>
        <w:t xml:space="preserve"> </w:t>
      </w:r>
      <w:proofErr w:type="spellStart"/>
      <w:r w:rsidRPr="00104204">
        <w:rPr>
          <w:sz w:val="20"/>
          <w:szCs w:val="20"/>
        </w:rPr>
        <w:t>Marlett</w:t>
      </w:r>
      <w:proofErr w:type="spellEnd"/>
      <w:r w:rsidR="00DE3E58" w:rsidRPr="00104204">
        <w:rPr>
          <w:sz w:val="20"/>
          <w:szCs w:val="20"/>
        </w:rPr>
        <w:t xml:space="preserve"> D. </w:t>
      </w:r>
      <w:r w:rsidRPr="00104204">
        <w:rPr>
          <w:sz w:val="20"/>
          <w:szCs w:val="20"/>
        </w:rPr>
        <w:t>(2008)</w:t>
      </w:r>
      <w:r w:rsidR="00DE3E58" w:rsidRPr="00104204">
        <w:rPr>
          <w:sz w:val="20"/>
          <w:szCs w:val="20"/>
        </w:rPr>
        <w:t>.</w:t>
      </w:r>
      <w:proofErr w:type="gramEnd"/>
      <w:r w:rsidRPr="00104204">
        <w:rPr>
          <w:sz w:val="20"/>
          <w:szCs w:val="20"/>
        </w:rPr>
        <w:t xml:space="preserve"> </w:t>
      </w:r>
      <w:proofErr w:type="gramStart"/>
      <w:r w:rsidRPr="00104204">
        <w:rPr>
          <w:sz w:val="20"/>
          <w:szCs w:val="20"/>
        </w:rPr>
        <w:t>Board size and firm performance in the property-liability insurance industry</w:t>
      </w:r>
      <w:r w:rsidR="00DE3E58" w:rsidRPr="00104204">
        <w:rPr>
          <w:sz w:val="20"/>
          <w:szCs w:val="20"/>
        </w:rPr>
        <w:t>.</w:t>
      </w:r>
      <w:proofErr w:type="gramEnd"/>
      <w:r w:rsidRPr="00104204">
        <w:rPr>
          <w:sz w:val="20"/>
          <w:szCs w:val="20"/>
        </w:rPr>
        <w:t xml:space="preserve"> </w:t>
      </w:r>
      <w:r w:rsidRPr="00104204">
        <w:rPr>
          <w:i/>
          <w:sz w:val="20"/>
          <w:szCs w:val="20"/>
        </w:rPr>
        <w:t>Research in Finance</w:t>
      </w:r>
      <w:r w:rsidRPr="00104204">
        <w:rPr>
          <w:sz w:val="20"/>
          <w:szCs w:val="20"/>
        </w:rPr>
        <w:t>, 24(1), 249-285.</w:t>
      </w:r>
    </w:p>
    <w:p w:rsidR="00D735DF" w:rsidRPr="00104204" w:rsidRDefault="00D735DF" w:rsidP="00D735DF">
      <w:pPr>
        <w:spacing w:line="360" w:lineRule="auto"/>
        <w:ind w:left="1440" w:hanging="720"/>
        <w:jc w:val="both"/>
        <w:rPr>
          <w:sz w:val="20"/>
          <w:szCs w:val="20"/>
        </w:rPr>
      </w:pPr>
      <w:r w:rsidRPr="00104204">
        <w:rPr>
          <w:sz w:val="20"/>
          <w:szCs w:val="20"/>
        </w:rPr>
        <w:t>Peng, M. W. (2004)</w:t>
      </w:r>
      <w:r w:rsidR="00DE3E58" w:rsidRPr="00104204">
        <w:rPr>
          <w:sz w:val="20"/>
          <w:szCs w:val="20"/>
        </w:rPr>
        <w:t>.</w:t>
      </w:r>
      <w:r w:rsidRPr="00104204">
        <w:rPr>
          <w:sz w:val="20"/>
          <w:szCs w:val="20"/>
        </w:rPr>
        <w:t xml:space="preserve"> </w:t>
      </w:r>
      <w:proofErr w:type="gramStart"/>
      <w:r w:rsidRPr="00104204">
        <w:rPr>
          <w:sz w:val="20"/>
          <w:szCs w:val="20"/>
        </w:rPr>
        <w:t>Outside directors and firm performance during institutional transition</w:t>
      </w:r>
      <w:r w:rsidR="00DE3E58" w:rsidRPr="00104204">
        <w:rPr>
          <w:sz w:val="20"/>
          <w:szCs w:val="20"/>
        </w:rPr>
        <w:t>.</w:t>
      </w:r>
      <w:proofErr w:type="gramEnd"/>
      <w:r w:rsidRPr="00104204">
        <w:rPr>
          <w:sz w:val="20"/>
          <w:szCs w:val="20"/>
        </w:rPr>
        <w:t xml:space="preserve"> </w:t>
      </w:r>
      <w:r w:rsidRPr="00104204">
        <w:rPr>
          <w:i/>
          <w:sz w:val="20"/>
          <w:szCs w:val="20"/>
        </w:rPr>
        <w:t>Strategic Management Journal</w:t>
      </w:r>
      <w:r w:rsidRPr="00104204">
        <w:rPr>
          <w:sz w:val="20"/>
          <w:szCs w:val="20"/>
        </w:rPr>
        <w:t>, 25(5), 453-471.</w:t>
      </w:r>
    </w:p>
    <w:p w:rsidR="00D735DF" w:rsidRPr="00104204" w:rsidRDefault="00D735DF" w:rsidP="00D735DF">
      <w:pPr>
        <w:spacing w:line="360" w:lineRule="auto"/>
        <w:ind w:left="1440" w:hanging="720"/>
        <w:jc w:val="both"/>
        <w:rPr>
          <w:sz w:val="20"/>
          <w:szCs w:val="20"/>
        </w:rPr>
      </w:pPr>
      <w:r w:rsidRPr="00104204">
        <w:rPr>
          <w:sz w:val="20"/>
          <w:szCs w:val="20"/>
        </w:rPr>
        <w:t>Peng, M.W., Zhang</w:t>
      </w:r>
      <w:r w:rsidR="00DE3E58" w:rsidRPr="00104204">
        <w:rPr>
          <w:sz w:val="20"/>
          <w:szCs w:val="20"/>
        </w:rPr>
        <w:t xml:space="preserve">, S., &amp; </w:t>
      </w:r>
      <w:r w:rsidRPr="00104204">
        <w:rPr>
          <w:sz w:val="20"/>
          <w:szCs w:val="20"/>
        </w:rPr>
        <w:t>Li</w:t>
      </w:r>
      <w:r w:rsidR="00DE3E58" w:rsidRPr="00104204">
        <w:rPr>
          <w:sz w:val="20"/>
          <w:szCs w:val="20"/>
        </w:rPr>
        <w:t xml:space="preserve">, X. </w:t>
      </w:r>
      <w:r w:rsidRPr="00104204">
        <w:rPr>
          <w:sz w:val="20"/>
          <w:szCs w:val="20"/>
        </w:rPr>
        <w:t>(2007)</w:t>
      </w:r>
      <w:r w:rsidR="00DE3E58" w:rsidRPr="00104204">
        <w:rPr>
          <w:sz w:val="20"/>
          <w:szCs w:val="20"/>
        </w:rPr>
        <w:t>.</w:t>
      </w:r>
      <w:r w:rsidRPr="00104204">
        <w:rPr>
          <w:sz w:val="20"/>
          <w:szCs w:val="20"/>
        </w:rPr>
        <w:t xml:space="preserve"> </w:t>
      </w:r>
      <w:proofErr w:type="gramStart"/>
      <w:r w:rsidRPr="00104204">
        <w:rPr>
          <w:sz w:val="20"/>
          <w:szCs w:val="20"/>
        </w:rPr>
        <w:t>CEO duality and firm performance during China’s institutional transitions</w:t>
      </w:r>
      <w:r w:rsidR="00DE3E58" w:rsidRPr="00104204">
        <w:rPr>
          <w:sz w:val="20"/>
          <w:szCs w:val="20"/>
        </w:rPr>
        <w:t>.</w:t>
      </w:r>
      <w:proofErr w:type="gramEnd"/>
      <w:r w:rsidRPr="00104204">
        <w:rPr>
          <w:sz w:val="20"/>
          <w:szCs w:val="20"/>
        </w:rPr>
        <w:t xml:space="preserve"> </w:t>
      </w:r>
      <w:r w:rsidRPr="00104204">
        <w:rPr>
          <w:i/>
          <w:sz w:val="20"/>
          <w:szCs w:val="20"/>
        </w:rPr>
        <w:t xml:space="preserve">Management and </w:t>
      </w:r>
      <w:proofErr w:type="spellStart"/>
      <w:r w:rsidRPr="00104204">
        <w:rPr>
          <w:i/>
          <w:sz w:val="20"/>
          <w:szCs w:val="20"/>
        </w:rPr>
        <w:t>Organisation</w:t>
      </w:r>
      <w:proofErr w:type="spellEnd"/>
      <w:r w:rsidRPr="00104204">
        <w:rPr>
          <w:i/>
          <w:sz w:val="20"/>
          <w:szCs w:val="20"/>
        </w:rPr>
        <w:t xml:space="preserve"> Review</w:t>
      </w:r>
      <w:r w:rsidRPr="00104204">
        <w:rPr>
          <w:sz w:val="20"/>
          <w:szCs w:val="20"/>
        </w:rPr>
        <w:t>, 3(2), 205-225.</w:t>
      </w:r>
    </w:p>
    <w:p w:rsidR="00D735DF" w:rsidRPr="00104204" w:rsidRDefault="00D735DF" w:rsidP="00D735DF">
      <w:pPr>
        <w:spacing w:line="360" w:lineRule="auto"/>
        <w:ind w:left="1440" w:hanging="720"/>
        <w:jc w:val="both"/>
        <w:rPr>
          <w:sz w:val="20"/>
          <w:szCs w:val="20"/>
        </w:rPr>
      </w:pPr>
      <w:proofErr w:type="gramStart"/>
      <w:r w:rsidRPr="00104204">
        <w:rPr>
          <w:sz w:val="20"/>
          <w:szCs w:val="20"/>
        </w:rPr>
        <w:t>Perry, T.</w:t>
      </w:r>
      <w:r w:rsidR="00DE3E58" w:rsidRPr="00104204">
        <w:rPr>
          <w:sz w:val="20"/>
          <w:szCs w:val="20"/>
        </w:rPr>
        <w:t>, &amp;</w:t>
      </w:r>
      <w:r w:rsidRPr="00104204">
        <w:rPr>
          <w:sz w:val="20"/>
          <w:szCs w:val="20"/>
        </w:rPr>
        <w:t xml:space="preserve"> </w:t>
      </w:r>
      <w:proofErr w:type="spellStart"/>
      <w:r w:rsidRPr="00104204">
        <w:rPr>
          <w:sz w:val="20"/>
          <w:szCs w:val="20"/>
        </w:rPr>
        <w:t>Shivdasani</w:t>
      </w:r>
      <w:proofErr w:type="spellEnd"/>
      <w:r w:rsidR="00DE3E58" w:rsidRPr="00104204">
        <w:rPr>
          <w:sz w:val="20"/>
          <w:szCs w:val="20"/>
        </w:rPr>
        <w:t xml:space="preserve">, A. </w:t>
      </w:r>
      <w:r w:rsidRPr="00104204">
        <w:rPr>
          <w:sz w:val="20"/>
          <w:szCs w:val="20"/>
        </w:rPr>
        <w:t>(2005)</w:t>
      </w:r>
      <w:r w:rsidR="00DE3E58" w:rsidRPr="00104204">
        <w:rPr>
          <w:sz w:val="20"/>
          <w:szCs w:val="20"/>
        </w:rPr>
        <w:t>.</w:t>
      </w:r>
      <w:proofErr w:type="gramEnd"/>
      <w:r w:rsidRPr="00104204">
        <w:rPr>
          <w:sz w:val="20"/>
          <w:szCs w:val="20"/>
        </w:rPr>
        <w:t xml:space="preserve"> Do boards affect performance? </w:t>
      </w:r>
      <w:proofErr w:type="gramStart"/>
      <w:r w:rsidRPr="00104204">
        <w:rPr>
          <w:sz w:val="20"/>
          <w:szCs w:val="20"/>
        </w:rPr>
        <w:t>Evidence from corporate restructuring</w:t>
      </w:r>
      <w:r w:rsidR="00DE3E58" w:rsidRPr="00104204">
        <w:rPr>
          <w:sz w:val="20"/>
          <w:szCs w:val="20"/>
        </w:rPr>
        <w:t>.</w:t>
      </w:r>
      <w:proofErr w:type="gramEnd"/>
      <w:r w:rsidRPr="00104204">
        <w:rPr>
          <w:sz w:val="20"/>
          <w:szCs w:val="20"/>
        </w:rPr>
        <w:t xml:space="preserve"> </w:t>
      </w:r>
      <w:r w:rsidRPr="00104204">
        <w:rPr>
          <w:i/>
          <w:sz w:val="20"/>
          <w:szCs w:val="20"/>
        </w:rPr>
        <w:t>Journal of Business</w:t>
      </w:r>
      <w:r w:rsidRPr="00104204">
        <w:rPr>
          <w:sz w:val="20"/>
          <w:szCs w:val="20"/>
        </w:rPr>
        <w:t>, 78(4), 1403-1431.</w:t>
      </w:r>
    </w:p>
    <w:p w:rsidR="00D735DF" w:rsidRPr="00104204" w:rsidRDefault="00D735DF" w:rsidP="00D735DF">
      <w:pPr>
        <w:spacing w:line="360" w:lineRule="auto"/>
        <w:ind w:left="1440" w:hanging="720"/>
        <w:jc w:val="both"/>
        <w:rPr>
          <w:sz w:val="20"/>
          <w:szCs w:val="20"/>
        </w:rPr>
      </w:pPr>
      <w:proofErr w:type="spellStart"/>
      <w:r w:rsidRPr="00104204">
        <w:rPr>
          <w:sz w:val="20"/>
          <w:szCs w:val="20"/>
        </w:rPr>
        <w:t>Pfeffer</w:t>
      </w:r>
      <w:proofErr w:type="spellEnd"/>
      <w:r w:rsidRPr="00104204">
        <w:rPr>
          <w:sz w:val="20"/>
          <w:szCs w:val="20"/>
        </w:rPr>
        <w:t>, J. (1994)</w:t>
      </w:r>
      <w:r w:rsidR="00DE3E58" w:rsidRPr="00104204">
        <w:rPr>
          <w:sz w:val="20"/>
          <w:szCs w:val="20"/>
        </w:rPr>
        <w:t>.</w:t>
      </w:r>
      <w:r w:rsidRPr="00104204">
        <w:rPr>
          <w:sz w:val="20"/>
          <w:szCs w:val="20"/>
        </w:rPr>
        <w:t xml:space="preserve"> </w:t>
      </w:r>
      <w:proofErr w:type="gramStart"/>
      <w:r w:rsidRPr="00104204">
        <w:rPr>
          <w:i/>
          <w:sz w:val="20"/>
          <w:szCs w:val="20"/>
        </w:rPr>
        <w:t>Competitive Advantage through People</w:t>
      </w:r>
      <w:r w:rsidR="00DE3E58" w:rsidRPr="00104204">
        <w:rPr>
          <w:i/>
          <w:sz w:val="20"/>
          <w:szCs w:val="20"/>
        </w:rPr>
        <w:t>.</w:t>
      </w:r>
      <w:proofErr w:type="gramEnd"/>
      <w:r w:rsidRPr="00104204">
        <w:rPr>
          <w:sz w:val="20"/>
          <w:szCs w:val="20"/>
        </w:rPr>
        <w:t xml:space="preserve"> Boston: Harvard Business School.</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Pfeffer</w:t>
      </w:r>
      <w:proofErr w:type="spellEnd"/>
      <w:r w:rsidRPr="00104204">
        <w:rPr>
          <w:sz w:val="20"/>
          <w:szCs w:val="20"/>
        </w:rPr>
        <w:t>, J.</w:t>
      </w:r>
      <w:r w:rsidR="00DE3E58" w:rsidRPr="00104204">
        <w:rPr>
          <w:sz w:val="20"/>
          <w:szCs w:val="20"/>
        </w:rPr>
        <w:t xml:space="preserve">, &amp; </w:t>
      </w:r>
      <w:proofErr w:type="spellStart"/>
      <w:r w:rsidRPr="00104204">
        <w:rPr>
          <w:sz w:val="20"/>
          <w:szCs w:val="20"/>
        </w:rPr>
        <w:t>Salancik</w:t>
      </w:r>
      <w:proofErr w:type="spellEnd"/>
      <w:r w:rsidR="00DE3E58" w:rsidRPr="00104204">
        <w:rPr>
          <w:sz w:val="20"/>
          <w:szCs w:val="20"/>
        </w:rPr>
        <w:t xml:space="preserve">, G. </w:t>
      </w:r>
      <w:r w:rsidRPr="00104204">
        <w:rPr>
          <w:sz w:val="20"/>
          <w:szCs w:val="20"/>
        </w:rPr>
        <w:t>(1978)</w:t>
      </w:r>
      <w:r w:rsidR="00DE3E58" w:rsidRPr="00104204">
        <w:rPr>
          <w:sz w:val="20"/>
          <w:szCs w:val="20"/>
        </w:rPr>
        <w:t>.</w:t>
      </w:r>
      <w:proofErr w:type="gramEnd"/>
      <w:r w:rsidRPr="00104204">
        <w:rPr>
          <w:sz w:val="20"/>
          <w:szCs w:val="20"/>
        </w:rPr>
        <w:t xml:space="preserve"> </w:t>
      </w:r>
      <w:r w:rsidRPr="00104204">
        <w:rPr>
          <w:i/>
          <w:sz w:val="20"/>
          <w:szCs w:val="20"/>
        </w:rPr>
        <w:t xml:space="preserve">The External Control of </w:t>
      </w:r>
      <w:proofErr w:type="spellStart"/>
      <w:r w:rsidRPr="00104204">
        <w:rPr>
          <w:i/>
          <w:sz w:val="20"/>
          <w:szCs w:val="20"/>
        </w:rPr>
        <w:t>Organisations</w:t>
      </w:r>
      <w:proofErr w:type="spellEnd"/>
      <w:r w:rsidRPr="00104204">
        <w:rPr>
          <w:i/>
          <w:sz w:val="20"/>
          <w:szCs w:val="20"/>
        </w:rPr>
        <w:t>: A Resource-Dependency Perspective</w:t>
      </w:r>
      <w:r w:rsidR="00DE3E58" w:rsidRPr="00104204">
        <w:rPr>
          <w:i/>
          <w:sz w:val="20"/>
          <w:szCs w:val="20"/>
        </w:rPr>
        <w:t>.</w:t>
      </w:r>
      <w:r w:rsidRPr="00104204">
        <w:rPr>
          <w:sz w:val="20"/>
          <w:szCs w:val="20"/>
        </w:rPr>
        <w:t xml:space="preserve"> New York: Harper and Row.</w:t>
      </w:r>
    </w:p>
    <w:p w:rsidR="00D735DF" w:rsidRPr="00104204" w:rsidRDefault="00D735DF" w:rsidP="00D735DF">
      <w:pPr>
        <w:spacing w:line="360" w:lineRule="auto"/>
        <w:ind w:left="1440" w:hanging="720"/>
        <w:jc w:val="both"/>
        <w:rPr>
          <w:sz w:val="20"/>
          <w:szCs w:val="20"/>
        </w:rPr>
      </w:pPr>
      <w:proofErr w:type="spellStart"/>
      <w:r w:rsidRPr="00104204">
        <w:rPr>
          <w:sz w:val="20"/>
          <w:szCs w:val="20"/>
        </w:rPr>
        <w:t>Quadri</w:t>
      </w:r>
      <w:proofErr w:type="spellEnd"/>
      <w:r w:rsidRPr="00104204">
        <w:rPr>
          <w:sz w:val="20"/>
          <w:szCs w:val="20"/>
        </w:rPr>
        <w:t>, H. (2010)</w:t>
      </w:r>
      <w:r w:rsidR="006A6385" w:rsidRPr="00104204">
        <w:rPr>
          <w:sz w:val="20"/>
          <w:szCs w:val="20"/>
        </w:rPr>
        <w:t>.</w:t>
      </w:r>
      <w:r w:rsidRPr="00104204">
        <w:rPr>
          <w:sz w:val="20"/>
          <w:szCs w:val="20"/>
        </w:rPr>
        <w:t xml:space="preserve"> </w:t>
      </w:r>
      <w:proofErr w:type="gramStart"/>
      <w:r w:rsidRPr="00104204">
        <w:rPr>
          <w:sz w:val="20"/>
          <w:szCs w:val="20"/>
        </w:rPr>
        <w:t>Conceptual framework for corporate governance in Nigeria– Challenges and panaceas</w:t>
      </w:r>
      <w:r w:rsidR="006A6385" w:rsidRPr="00104204">
        <w:rPr>
          <w:sz w:val="20"/>
          <w:szCs w:val="20"/>
        </w:rPr>
        <w:t>.</w:t>
      </w:r>
      <w:proofErr w:type="gramEnd"/>
      <w:r w:rsidRPr="00104204">
        <w:rPr>
          <w:sz w:val="20"/>
          <w:szCs w:val="20"/>
        </w:rPr>
        <w:t xml:space="preserve"> </w:t>
      </w:r>
      <w:r w:rsidRPr="00104204">
        <w:rPr>
          <w:i/>
          <w:iCs/>
          <w:sz w:val="20"/>
          <w:szCs w:val="20"/>
        </w:rPr>
        <w:t xml:space="preserve">PM World Today, </w:t>
      </w:r>
      <w:r w:rsidRPr="00104204">
        <w:rPr>
          <w:iCs/>
          <w:sz w:val="20"/>
          <w:szCs w:val="20"/>
        </w:rPr>
        <w:t>12</w:t>
      </w:r>
      <w:r w:rsidRPr="00104204">
        <w:rPr>
          <w:sz w:val="20"/>
          <w:szCs w:val="20"/>
        </w:rPr>
        <w:t>(9), 1-8.</w:t>
      </w:r>
    </w:p>
    <w:p w:rsidR="00D735DF" w:rsidRPr="00104204" w:rsidRDefault="00D735DF" w:rsidP="00D735DF">
      <w:pPr>
        <w:spacing w:line="360" w:lineRule="auto"/>
        <w:ind w:left="1440" w:hanging="720"/>
        <w:jc w:val="both"/>
        <w:rPr>
          <w:i/>
          <w:sz w:val="20"/>
          <w:szCs w:val="20"/>
        </w:rPr>
      </w:pPr>
      <w:proofErr w:type="spellStart"/>
      <w:proofErr w:type="gramStart"/>
      <w:r w:rsidRPr="00104204">
        <w:rPr>
          <w:sz w:val="20"/>
          <w:szCs w:val="20"/>
        </w:rPr>
        <w:t>Raithatha</w:t>
      </w:r>
      <w:proofErr w:type="spellEnd"/>
      <w:r w:rsidRPr="00104204">
        <w:rPr>
          <w:sz w:val="20"/>
          <w:szCs w:val="20"/>
        </w:rPr>
        <w:t>, M.</w:t>
      </w:r>
      <w:r w:rsidR="0016449B" w:rsidRPr="00104204">
        <w:rPr>
          <w:sz w:val="20"/>
          <w:szCs w:val="20"/>
        </w:rPr>
        <w:t>, &amp;</w:t>
      </w:r>
      <w:r w:rsidRPr="00104204">
        <w:rPr>
          <w:sz w:val="20"/>
          <w:szCs w:val="20"/>
        </w:rPr>
        <w:t xml:space="preserve"> </w:t>
      </w:r>
      <w:proofErr w:type="spellStart"/>
      <w:r w:rsidRPr="00104204">
        <w:rPr>
          <w:sz w:val="20"/>
          <w:szCs w:val="20"/>
        </w:rPr>
        <w:t>Bapat</w:t>
      </w:r>
      <w:proofErr w:type="spellEnd"/>
      <w:r w:rsidR="0016449B" w:rsidRPr="00104204">
        <w:rPr>
          <w:sz w:val="20"/>
          <w:szCs w:val="20"/>
        </w:rPr>
        <w:t xml:space="preserve">, V. </w:t>
      </w:r>
      <w:r w:rsidRPr="00104204">
        <w:rPr>
          <w:sz w:val="20"/>
          <w:szCs w:val="20"/>
        </w:rPr>
        <w:t>(2012)</w:t>
      </w:r>
      <w:r w:rsidR="0016449B" w:rsidRPr="00104204">
        <w:rPr>
          <w:sz w:val="20"/>
          <w:szCs w:val="20"/>
        </w:rPr>
        <w:t>.</w:t>
      </w:r>
      <w:proofErr w:type="gramEnd"/>
      <w:r w:rsidRPr="00104204">
        <w:rPr>
          <w:sz w:val="20"/>
          <w:szCs w:val="20"/>
        </w:rPr>
        <w:t xml:space="preserve"> Corporate governance compliance practices of Indian companies</w:t>
      </w:r>
      <w:r w:rsidR="0016449B" w:rsidRPr="00104204">
        <w:rPr>
          <w:sz w:val="20"/>
          <w:szCs w:val="20"/>
        </w:rPr>
        <w:t>.</w:t>
      </w:r>
      <w:r w:rsidRPr="00104204">
        <w:rPr>
          <w:sz w:val="20"/>
          <w:szCs w:val="20"/>
        </w:rPr>
        <w:t xml:space="preserve"> </w:t>
      </w:r>
      <w:r w:rsidRPr="00104204">
        <w:rPr>
          <w:i/>
          <w:sz w:val="20"/>
          <w:szCs w:val="20"/>
        </w:rPr>
        <w:t>Research Journal of Finance and Accounting</w:t>
      </w:r>
      <w:r w:rsidRPr="00104204">
        <w:rPr>
          <w:sz w:val="20"/>
          <w:szCs w:val="20"/>
        </w:rPr>
        <w:t>, 3(8), 19-26.</w:t>
      </w:r>
      <w:r w:rsidRPr="00104204">
        <w:rPr>
          <w:i/>
          <w:sz w:val="20"/>
          <w:szCs w:val="20"/>
        </w:rPr>
        <w:t xml:space="preserve"> </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Rakhmayil</w:t>
      </w:r>
      <w:proofErr w:type="spellEnd"/>
      <w:r w:rsidRPr="00104204">
        <w:rPr>
          <w:sz w:val="20"/>
          <w:szCs w:val="20"/>
        </w:rPr>
        <w:t>, S.</w:t>
      </w:r>
      <w:r w:rsidR="0016449B" w:rsidRPr="00104204">
        <w:rPr>
          <w:sz w:val="20"/>
          <w:szCs w:val="20"/>
        </w:rPr>
        <w:t>, &amp;</w:t>
      </w:r>
      <w:r w:rsidRPr="00104204">
        <w:rPr>
          <w:sz w:val="20"/>
          <w:szCs w:val="20"/>
        </w:rPr>
        <w:t xml:space="preserve"> </w:t>
      </w:r>
      <w:proofErr w:type="spellStart"/>
      <w:r w:rsidRPr="00104204">
        <w:rPr>
          <w:sz w:val="20"/>
          <w:szCs w:val="20"/>
        </w:rPr>
        <w:t>Yuce</w:t>
      </w:r>
      <w:proofErr w:type="spellEnd"/>
      <w:r w:rsidR="0016449B" w:rsidRPr="00104204">
        <w:rPr>
          <w:sz w:val="20"/>
          <w:szCs w:val="20"/>
        </w:rPr>
        <w:t xml:space="preserve">, A. </w:t>
      </w:r>
      <w:r w:rsidRPr="00104204">
        <w:rPr>
          <w:sz w:val="20"/>
          <w:szCs w:val="20"/>
        </w:rPr>
        <w:t>(2008)</w:t>
      </w:r>
      <w:r w:rsidR="0016449B" w:rsidRPr="00104204">
        <w:rPr>
          <w:sz w:val="20"/>
          <w:szCs w:val="20"/>
        </w:rPr>
        <w:t>.</w:t>
      </w:r>
      <w:proofErr w:type="gramEnd"/>
      <w:r w:rsidRPr="00104204">
        <w:rPr>
          <w:sz w:val="20"/>
          <w:szCs w:val="20"/>
        </w:rPr>
        <w:t xml:space="preserve"> </w:t>
      </w:r>
      <w:proofErr w:type="gramStart"/>
      <w:r w:rsidRPr="00104204">
        <w:rPr>
          <w:sz w:val="20"/>
          <w:szCs w:val="20"/>
        </w:rPr>
        <w:t>Effects of manager qualification on firm value</w:t>
      </w:r>
      <w:r w:rsidR="0016449B" w:rsidRPr="00104204">
        <w:rPr>
          <w:sz w:val="20"/>
          <w:szCs w:val="20"/>
        </w:rPr>
        <w:t>.</w:t>
      </w:r>
      <w:proofErr w:type="gramEnd"/>
      <w:r w:rsidRPr="00104204">
        <w:rPr>
          <w:sz w:val="20"/>
          <w:szCs w:val="20"/>
        </w:rPr>
        <w:t xml:space="preserve"> </w:t>
      </w:r>
      <w:r w:rsidRPr="00104204">
        <w:rPr>
          <w:i/>
          <w:sz w:val="20"/>
          <w:szCs w:val="20"/>
        </w:rPr>
        <w:t>Journal of Business &amp; Economics Research</w:t>
      </w:r>
      <w:r w:rsidRPr="00104204">
        <w:rPr>
          <w:sz w:val="20"/>
          <w:szCs w:val="20"/>
        </w:rPr>
        <w:t>, 6(7), 129-138.</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Randøy</w:t>
      </w:r>
      <w:proofErr w:type="spellEnd"/>
      <w:r w:rsidRPr="00104204">
        <w:rPr>
          <w:sz w:val="20"/>
          <w:szCs w:val="20"/>
        </w:rPr>
        <w:t>, T., Thomsen</w:t>
      </w:r>
      <w:r w:rsidR="0016449B" w:rsidRPr="00104204">
        <w:rPr>
          <w:sz w:val="20"/>
          <w:szCs w:val="20"/>
        </w:rPr>
        <w:t xml:space="preserve">, S., &amp; </w:t>
      </w:r>
      <w:proofErr w:type="spellStart"/>
      <w:r w:rsidRPr="00104204">
        <w:rPr>
          <w:sz w:val="20"/>
          <w:szCs w:val="20"/>
        </w:rPr>
        <w:t>Oxelheim</w:t>
      </w:r>
      <w:proofErr w:type="spellEnd"/>
      <w:r w:rsidR="0016449B" w:rsidRPr="00104204">
        <w:rPr>
          <w:sz w:val="20"/>
          <w:szCs w:val="20"/>
        </w:rPr>
        <w:t xml:space="preserve">, L. </w:t>
      </w:r>
      <w:r w:rsidRPr="00104204">
        <w:rPr>
          <w:sz w:val="20"/>
          <w:szCs w:val="20"/>
        </w:rPr>
        <w:t>(2006)</w:t>
      </w:r>
      <w:r w:rsidR="0016449B" w:rsidRPr="00104204">
        <w:rPr>
          <w:sz w:val="20"/>
          <w:szCs w:val="20"/>
        </w:rPr>
        <w:t>.</w:t>
      </w:r>
      <w:proofErr w:type="gramEnd"/>
      <w:r w:rsidRPr="00104204">
        <w:rPr>
          <w:sz w:val="20"/>
          <w:szCs w:val="20"/>
        </w:rPr>
        <w:t xml:space="preserve"> </w:t>
      </w:r>
      <w:proofErr w:type="gramStart"/>
      <w:r w:rsidRPr="00104204">
        <w:rPr>
          <w:i/>
          <w:sz w:val="20"/>
          <w:szCs w:val="20"/>
        </w:rPr>
        <w:t>A Nordic Perspective on Corporate Board Diversity</w:t>
      </w:r>
      <w:r w:rsidR="0016449B" w:rsidRPr="00104204">
        <w:rPr>
          <w:i/>
          <w:sz w:val="20"/>
          <w:szCs w:val="20"/>
        </w:rPr>
        <w:t>.</w:t>
      </w:r>
      <w:proofErr w:type="gramEnd"/>
      <w:r w:rsidRPr="00104204">
        <w:rPr>
          <w:sz w:val="20"/>
          <w:szCs w:val="20"/>
        </w:rPr>
        <w:t xml:space="preserve"> Oslo: Nordic Innovation Centre.</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Randøy</w:t>
      </w:r>
      <w:proofErr w:type="spellEnd"/>
      <w:r w:rsidRPr="00104204">
        <w:rPr>
          <w:sz w:val="20"/>
          <w:szCs w:val="20"/>
        </w:rPr>
        <w:t>, T.</w:t>
      </w:r>
      <w:r w:rsidR="004246F4" w:rsidRPr="00104204">
        <w:rPr>
          <w:sz w:val="20"/>
          <w:szCs w:val="20"/>
        </w:rPr>
        <w:t>, &amp;</w:t>
      </w:r>
      <w:r w:rsidRPr="00104204">
        <w:rPr>
          <w:sz w:val="20"/>
          <w:szCs w:val="20"/>
        </w:rPr>
        <w:t xml:space="preserve"> </w:t>
      </w:r>
      <w:proofErr w:type="spellStart"/>
      <w:r w:rsidRPr="00104204">
        <w:rPr>
          <w:sz w:val="20"/>
          <w:szCs w:val="20"/>
        </w:rPr>
        <w:t>Jenssen</w:t>
      </w:r>
      <w:proofErr w:type="spellEnd"/>
      <w:r w:rsidR="004246F4" w:rsidRPr="00104204">
        <w:rPr>
          <w:sz w:val="20"/>
          <w:szCs w:val="20"/>
        </w:rPr>
        <w:t xml:space="preserve">, J. I. </w:t>
      </w:r>
      <w:r w:rsidRPr="00104204">
        <w:rPr>
          <w:sz w:val="20"/>
          <w:szCs w:val="20"/>
        </w:rPr>
        <w:t>(2004)</w:t>
      </w:r>
      <w:r w:rsidR="004246F4" w:rsidRPr="00104204">
        <w:rPr>
          <w:sz w:val="20"/>
          <w:szCs w:val="20"/>
        </w:rPr>
        <w:t>.</w:t>
      </w:r>
      <w:proofErr w:type="gramEnd"/>
      <w:r w:rsidRPr="00104204">
        <w:rPr>
          <w:sz w:val="20"/>
          <w:szCs w:val="20"/>
        </w:rPr>
        <w:t xml:space="preserve"> Board independence and product market competition in Swedish Firms</w:t>
      </w:r>
      <w:r w:rsidR="004246F4" w:rsidRPr="00104204">
        <w:rPr>
          <w:sz w:val="20"/>
          <w:szCs w:val="20"/>
        </w:rPr>
        <w:t>.</w:t>
      </w:r>
      <w:r w:rsidRPr="00104204">
        <w:rPr>
          <w:sz w:val="20"/>
          <w:szCs w:val="20"/>
        </w:rPr>
        <w:t xml:space="preserve"> </w:t>
      </w:r>
      <w:r w:rsidRPr="00104204">
        <w:rPr>
          <w:i/>
          <w:sz w:val="20"/>
          <w:szCs w:val="20"/>
        </w:rPr>
        <w:t>Corporate Governance: An International Review</w:t>
      </w:r>
      <w:r w:rsidRPr="00104204">
        <w:rPr>
          <w:sz w:val="20"/>
          <w:szCs w:val="20"/>
        </w:rPr>
        <w:t>, 12(3), 281-289.</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Razali</w:t>
      </w:r>
      <w:proofErr w:type="spellEnd"/>
      <w:r w:rsidRPr="00104204">
        <w:rPr>
          <w:sz w:val="20"/>
          <w:szCs w:val="20"/>
        </w:rPr>
        <w:t>, N.M.</w:t>
      </w:r>
      <w:r w:rsidR="004246F4" w:rsidRPr="00104204">
        <w:rPr>
          <w:sz w:val="20"/>
          <w:szCs w:val="20"/>
        </w:rPr>
        <w:t xml:space="preserve">, &amp; </w:t>
      </w:r>
      <w:proofErr w:type="spellStart"/>
      <w:r w:rsidRPr="00104204">
        <w:rPr>
          <w:sz w:val="20"/>
          <w:szCs w:val="20"/>
        </w:rPr>
        <w:t>Wah</w:t>
      </w:r>
      <w:proofErr w:type="spellEnd"/>
      <w:r w:rsidR="004246F4" w:rsidRPr="00104204">
        <w:rPr>
          <w:sz w:val="20"/>
          <w:szCs w:val="20"/>
        </w:rPr>
        <w:t xml:space="preserve">, Y.B. </w:t>
      </w:r>
      <w:r w:rsidRPr="00104204">
        <w:rPr>
          <w:sz w:val="20"/>
          <w:szCs w:val="20"/>
        </w:rPr>
        <w:t>(2011)</w:t>
      </w:r>
      <w:r w:rsidR="004246F4" w:rsidRPr="00104204">
        <w:rPr>
          <w:sz w:val="20"/>
          <w:szCs w:val="20"/>
        </w:rPr>
        <w:t>.</w:t>
      </w:r>
      <w:proofErr w:type="gramEnd"/>
      <w:r w:rsidRPr="00104204">
        <w:rPr>
          <w:sz w:val="20"/>
          <w:szCs w:val="20"/>
        </w:rPr>
        <w:t xml:space="preserve"> </w:t>
      </w:r>
      <w:proofErr w:type="gramStart"/>
      <w:r w:rsidRPr="00104204">
        <w:rPr>
          <w:sz w:val="20"/>
          <w:szCs w:val="20"/>
        </w:rPr>
        <w:t>Power comparisons of Shapiro-Wilk, Kolmogorov-Smirnov, Lilliefors and Anderson-Darling tests</w:t>
      </w:r>
      <w:r w:rsidR="004246F4" w:rsidRPr="00104204">
        <w:rPr>
          <w:sz w:val="20"/>
          <w:szCs w:val="20"/>
        </w:rPr>
        <w:t>.</w:t>
      </w:r>
      <w:proofErr w:type="gramEnd"/>
      <w:r w:rsidRPr="00104204">
        <w:rPr>
          <w:sz w:val="20"/>
          <w:szCs w:val="20"/>
        </w:rPr>
        <w:t xml:space="preserve"> </w:t>
      </w:r>
      <w:r w:rsidRPr="00104204">
        <w:rPr>
          <w:i/>
          <w:sz w:val="20"/>
          <w:szCs w:val="20"/>
        </w:rPr>
        <w:t>Journal of Statistical Modeling and Analytics,</w:t>
      </w:r>
      <w:r w:rsidRPr="00104204">
        <w:rPr>
          <w:sz w:val="20"/>
          <w:szCs w:val="20"/>
        </w:rPr>
        <w:t xml:space="preserve"> 2(1), 21-33.</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Rechner</w:t>
      </w:r>
      <w:proofErr w:type="spellEnd"/>
      <w:r w:rsidRPr="00104204">
        <w:rPr>
          <w:sz w:val="20"/>
          <w:szCs w:val="20"/>
        </w:rPr>
        <w:t>, P. L.</w:t>
      </w:r>
      <w:r w:rsidR="004246F4" w:rsidRPr="00104204">
        <w:rPr>
          <w:sz w:val="20"/>
          <w:szCs w:val="20"/>
        </w:rPr>
        <w:t>,</w:t>
      </w:r>
      <w:r w:rsidRPr="00104204">
        <w:rPr>
          <w:sz w:val="20"/>
          <w:szCs w:val="20"/>
        </w:rPr>
        <w:t xml:space="preserve"> </w:t>
      </w:r>
      <w:r w:rsidR="004246F4" w:rsidRPr="00104204">
        <w:rPr>
          <w:sz w:val="20"/>
          <w:szCs w:val="20"/>
        </w:rPr>
        <w:t>&amp;</w:t>
      </w:r>
      <w:r w:rsidRPr="00104204">
        <w:rPr>
          <w:sz w:val="20"/>
          <w:szCs w:val="20"/>
        </w:rPr>
        <w:t xml:space="preserve"> Dalton</w:t>
      </w:r>
      <w:r w:rsidR="004246F4" w:rsidRPr="00104204">
        <w:rPr>
          <w:sz w:val="20"/>
          <w:szCs w:val="20"/>
        </w:rPr>
        <w:t xml:space="preserve">, D. R. </w:t>
      </w:r>
      <w:r w:rsidRPr="00104204">
        <w:rPr>
          <w:sz w:val="20"/>
          <w:szCs w:val="20"/>
        </w:rPr>
        <w:t>(1991)</w:t>
      </w:r>
      <w:r w:rsidR="004246F4" w:rsidRPr="00104204">
        <w:rPr>
          <w:sz w:val="20"/>
          <w:szCs w:val="20"/>
        </w:rPr>
        <w:t>.</w:t>
      </w:r>
      <w:proofErr w:type="gramEnd"/>
      <w:r w:rsidRPr="00104204">
        <w:rPr>
          <w:sz w:val="20"/>
          <w:szCs w:val="20"/>
        </w:rPr>
        <w:t xml:space="preserve"> CEO duality and </w:t>
      </w:r>
      <w:proofErr w:type="spellStart"/>
      <w:r w:rsidRPr="00104204">
        <w:rPr>
          <w:sz w:val="20"/>
          <w:szCs w:val="20"/>
        </w:rPr>
        <w:t>organisational</w:t>
      </w:r>
      <w:proofErr w:type="spellEnd"/>
      <w:r w:rsidRPr="00104204">
        <w:rPr>
          <w:sz w:val="20"/>
          <w:szCs w:val="20"/>
        </w:rPr>
        <w:t xml:space="preserve"> performance: a longitudinal analysis</w:t>
      </w:r>
      <w:r w:rsidR="004246F4" w:rsidRPr="00104204">
        <w:rPr>
          <w:sz w:val="20"/>
          <w:szCs w:val="20"/>
        </w:rPr>
        <w:t>.</w:t>
      </w:r>
      <w:r w:rsidRPr="00104204">
        <w:rPr>
          <w:sz w:val="20"/>
          <w:szCs w:val="20"/>
        </w:rPr>
        <w:t xml:space="preserve"> </w:t>
      </w:r>
      <w:r w:rsidRPr="00104204">
        <w:rPr>
          <w:i/>
          <w:sz w:val="20"/>
          <w:szCs w:val="20"/>
        </w:rPr>
        <w:t>Strategic Management Journal</w:t>
      </w:r>
      <w:r w:rsidRPr="00104204">
        <w:rPr>
          <w:sz w:val="20"/>
          <w:szCs w:val="20"/>
        </w:rPr>
        <w:t>, 12(2), 155-160.</w:t>
      </w:r>
    </w:p>
    <w:p w:rsidR="00D735DF" w:rsidRPr="00104204" w:rsidRDefault="00D735DF" w:rsidP="00D735DF">
      <w:pPr>
        <w:spacing w:line="360" w:lineRule="auto"/>
        <w:ind w:left="1440" w:hanging="720"/>
        <w:jc w:val="both"/>
        <w:rPr>
          <w:sz w:val="20"/>
          <w:szCs w:val="20"/>
        </w:rPr>
      </w:pPr>
      <w:r w:rsidRPr="00104204">
        <w:rPr>
          <w:sz w:val="20"/>
          <w:szCs w:val="20"/>
        </w:rPr>
        <w:t xml:space="preserve">Rhoades, D. L., </w:t>
      </w:r>
      <w:proofErr w:type="spellStart"/>
      <w:r w:rsidRPr="00104204">
        <w:rPr>
          <w:sz w:val="20"/>
          <w:szCs w:val="20"/>
        </w:rPr>
        <w:t>Rechner</w:t>
      </w:r>
      <w:proofErr w:type="spellEnd"/>
      <w:r w:rsidR="004246F4" w:rsidRPr="00104204">
        <w:rPr>
          <w:sz w:val="20"/>
          <w:szCs w:val="20"/>
        </w:rPr>
        <w:t>, P. L., &amp;</w:t>
      </w:r>
      <w:r w:rsidRPr="00104204">
        <w:rPr>
          <w:sz w:val="20"/>
          <w:szCs w:val="20"/>
        </w:rPr>
        <w:t xml:space="preserve"> </w:t>
      </w:r>
      <w:proofErr w:type="spellStart"/>
      <w:r w:rsidRPr="00104204">
        <w:rPr>
          <w:sz w:val="20"/>
          <w:szCs w:val="20"/>
        </w:rPr>
        <w:t>Sundaramurthy</w:t>
      </w:r>
      <w:proofErr w:type="spellEnd"/>
      <w:r w:rsidR="004246F4" w:rsidRPr="00104204">
        <w:rPr>
          <w:sz w:val="20"/>
          <w:szCs w:val="20"/>
        </w:rPr>
        <w:t xml:space="preserve">, C. </w:t>
      </w:r>
      <w:r w:rsidRPr="00104204">
        <w:rPr>
          <w:sz w:val="20"/>
          <w:szCs w:val="20"/>
        </w:rPr>
        <w:t>(2000)</w:t>
      </w:r>
      <w:r w:rsidR="004246F4" w:rsidRPr="00104204">
        <w:rPr>
          <w:sz w:val="20"/>
          <w:szCs w:val="20"/>
        </w:rPr>
        <w:t>.</w:t>
      </w:r>
      <w:r w:rsidRPr="00104204">
        <w:rPr>
          <w:sz w:val="20"/>
          <w:szCs w:val="20"/>
        </w:rPr>
        <w:t xml:space="preserve"> Board composition and financial performance: a meta-analysis of the influence of outside directors</w:t>
      </w:r>
      <w:r w:rsidR="004246F4" w:rsidRPr="00104204">
        <w:rPr>
          <w:sz w:val="20"/>
          <w:szCs w:val="20"/>
        </w:rPr>
        <w:t>.</w:t>
      </w:r>
      <w:r w:rsidRPr="00104204">
        <w:rPr>
          <w:sz w:val="20"/>
          <w:szCs w:val="20"/>
        </w:rPr>
        <w:t xml:space="preserve"> </w:t>
      </w:r>
      <w:r w:rsidRPr="00104204">
        <w:rPr>
          <w:i/>
          <w:sz w:val="20"/>
          <w:szCs w:val="20"/>
        </w:rPr>
        <w:t>Journal of Managerial Issues</w:t>
      </w:r>
      <w:r w:rsidRPr="00104204">
        <w:rPr>
          <w:sz w:val="20"/>
          <w:szCs w:val="20"/>
        </w:rPr>
        <w:t>, 12(1), 76-91.</w:t>
      </w:r>
    </w:p>
    <w:p w:rsidR="00D735DF" w:rsidRPr="00104204" w:rsidRDefault="00D735DF" w:rsidP="00D735DF">
      <w:pPr>
        <w:spacing w:line="360" w:lineRule="auto"/>
        <w:ind w:left="1440" w:hanging="720"/>
        <w:jc w:val="both"/>
        <w:rPr>
          <w:sz w:val="20"/>
          <w:szCs w:val="20"/>
        </w:rPr>
      </w:pPr>
      <w:proofErr w:type="gramStart"/>
      <w:r w:rsidRPr="00104204">
        <w:rPr>
          <w:sz w:val="20"/>
          <w:szCs w:val="20"/>
        </w:rPr>
        <w:lastRenderedPageBreak/>
        <w:t>Rogers, P., Ribeiro</w:t>
      </w:r>
      <w:r w:rsidR="00292006" w:rsidRPr="00104204">
        <w:rPr>
          <w:sz w:val="20"/>
          <w:szCs w:val="20"/>
        </w:rPr>
        <w:t xml:space="preserve">, K.C.S., &amp; </w:t>
      </w:r>
      <w:proofErr w:type="spellStart"/>
      <w:r w:rsidRPr="00104204">
        <w:rPr>
          <w:sz w:val="20"/>
          <w:szCs w:val="20"/>
        </w:rPr>
        <w:t>Securato</w:t>
      </w:r>
      <w:proofErr w:type="spellEnd"/>
      <w:r w:rsidR="00292006" w:rsidRPr="00104204">
        <w:rPr>
          <w:sz w:val="20"/>
          <w:szCs w:val="20"/>
        </w:rPr>
        <w:t xml:space="preserve">, J.R. </w:t>
      </w:r>
      <w:r w:rsidRPr="00104204">
        <w:rPr>
          <w:sz w:val="20"/>
          <w:szCs w:val="20"/>
        </w:rPr>
        <w:t>(2008)</w:t>
      </w:r>
      <w:r w:rsidR="00292006" w:rsidRPr="00104204">
        <w:rPr>
          <w:sz w:val="20"/>
          <w:szCs w:val="20"/>
        </w:rPr>
        <w:t>.</w:t>
      </w:r>
      <w:proofErr w:type="gramEnd"/>
      <w:r w:rsidRPr="00104204">
        <w:rPr>
          <w:sz w:val="20"/>
          <w:szCs w:val="20"/>
        </w:rPr>
        <w:t xml:space="preserve"> </w:t>
      </w:r>
      <w:proofErr w:type="gramStart"/>
      <w:r w:rsidRPr="00104204">
        <w:rPr>
          <w:sz w:val="20"/>
          <w:szCs w:val="20"/>
        </w:rPr>
        <w:t>Corporate governance, stock market and economic growth in Brazil</w:t>
      </w:r>
      <w:r w:rsidR="00292006" w:rsidRPr="00104204">
        <w:rPr>
          <w:sz w:val="20"/>
          <w:szCs w:val="20"/>
        </w:rPr>
        <w:t>.</w:t>
      </w:r>
      <w:proofErr w:type="gramEnd"/>
      <w:r w:rsidRPr="00104204">
        <w:rPr>
          <w:i/>
          <w:sz w:val="20"/>
          <w:szCs w:val="20"/>
        </w:rPr>
        <w:t xml:space="preserve"> Corporate Ownership and Control</w:t>
      </w:r>
      <w:r w:rsidRPr="00104204">
        <w:rPr>
          <w:sz w:val="20"/>
          <w:szCs w:val="20"/>
        </w:rPr>
        <w:t>, 6(2), 222-237.</w:t>
      </w:r>
    </w:p>
    <w:p w:rsidR="00D735DF" w:rsidRPr="00104204" w:rsidRDefault="00D735DF" w:rsidP="00D735DF">
      <w:pPr>
        <w:spacing w:line="360" w:lineRule="auto"/>
        <w:ind w:left="1440" w:hanging="720"/>
        <w:jc w:val="both"/>
        <w:rPr>
          <w:sz w:val="20"/>
          <w:szCs w:val="20"/>
        </w:rPr>
      </w:pPr>
      <w:proofErr w:type="spellStart"/>
      <w:r w:rsidRPr="00104204">
        <w:rPr>
          <w:sz w:val="20"/>
          <w:szCs w:val="20"/>
        </w:rPr>
        <w:t>Rwegasira</w:t>
      </w:r>
      <w:proofErr w:type="spellEnd"/>
      <w:r w:rsidRPr="00104204">
        <w:rPr>
          <w:sz w:val="20"/>
          <w:szCs w:val="20"/>
        </w:rPr>
        <w:t>, K. (2000)</w:t>
      </w:r>
      <w:r w:rsidR="00292006" w:rsidRPr="00104204">
        <w:rPr>
          <w:sz w:val="20"/>
          <w:szCs w:val="20"/>
        </w:rPr>
        <w:t>.</w:t>
      </w:r>
      <w:r w:rsidRPr="00104204">
        <w:rPr>
          <w:sz w:val="20"/>
          <w:szCs w:val="20"/>
        </w:rPr>
        <w:t xml:space="preserve"> Corporate governance in emerging capital markets: whiter Africa? </w:t>
      </w:r>
      <w:r w:rsidRPr="00104204">
        <w:rPr>
          <w:i/>
          <w:sz w:val="20"/>
          <w:szCs w:val="20"/>
        </w:rPr>
        <w:t>Corporate Governance: An International Review</w:t>
      </w:r>
      <w:r w:rsidRPr="00104204">
        <w:rPr>
          <w:sz w:val="20"/>
          <w:szCs w:val="20"/>
        </w:rPr>
        <w:t>, 8(3), 258-267.</w:t>
      </w:r>
    </w:p>
    <w:p w:rsidR="00D735DF" w:rsidRPr="00104204" w:rsidRDefault="00D735DF" w:rsidP="00D735DF">
      <w:pPr>
        <w:spacing w:line="360" w:lineRule="auto"/>
        <w:ind w:left="1440" w:hanging="720"/>
        <w:jc w:val="both"/>
        <w:rPr>
          <w:sz w:val="20"/>
          <w:szCs w:val="20"/>
        </w:rPr>
      </w:pPr>
      <w:proofErr w:type="gramStart"/>
      <w:r w:rsidRPr="00104204">
        <w:rPr>
          <w:sz w:val="20"/>
          <w:szCs w:val="20"/>
        </w:rPr>
        <w:t>SEC</w:t>
      </w:r>
      <w:r w:rsidR="00292006" w:rsidRPr="00104204">
        <w:rPr>
          <w:sz w:val="20"/>
          <w:szCs w:val="20"/>
        </w:rPr>
        <w:t>,</w:t>
      </w:r>
      <w:r w:rsidRPr="00104204">
        <w:rPr>
          <w:sz w:val="20"/>
          <w:szCs w:val="20"/>
        </w:rPr>
        <w:t xml:space="preserve"> (2009)</w:t>
      </w:r>
      <w:r w:rsidR="00292006" w:rsidRPr="00104204">
        <w:rPr>
          <w:sz w:val="20"/>
          <w:szCs w:val="20"/>
        </w:rPr>
        <w:t>.</w:t>
      </w:r>
      <w:proofErr w:type="gramEnd"/>
      <w:r w:rsidRPr="00104204">
        <w:rPr>
          <w:sz w:val="20"/>
          <w:szCs w:val="20"/>
        </w:rPr>
        <w:t xml:space="preserve"> </w:t>
      </w:r>
      <w:proofErr w:type="gramStart"/>
      <w:r w:rsidRPr="00104204">
        <w:rPr>
          <w:i/>
          <w:sz w:val="20"/>
          <w:szCs w:val="20"/>
        </w:rPr>
        <w:t>Code of Corporate Governance</w:t>
      </w:r>
      <w:r w:rsidR="00292006" w:rsidRPr="00104204">
        <w:rPr>
          <w:i/>
          <w:sz w:val="20"/>
          <w:szCs w:val="20"/>
        </w:rPr>
        <w:t>.</w:t>
      </w:r>
      <w:proofErr w:type="gramEnd"/>
      <w:r w:rsidRPr="00104204">
        <w:rPr>
          <w:sz w:val="20"/>
          <w:szCs w:val="20"/>
        </w:rPr>
        <w:t xml:space="preserve"> Abuja: Nigeria Securities and Exchange Commission. </w:t>
      </w:r>
    </w:p>
    <w:p w:rsidR="00D735DF" w:rsidRPr="00104204" w:rsidRDefault="00D735DF" w:rsidP="00D735DF">
      <w:pPr>
        <w:spacing w:line="360" w:lineRule="auto"/>
        <w:ind w:left="1440" w:hanging="720"/>
        <w:jc w:val="both"/>
        <w:rPr>
          <w:sz w:val="20"/>
          <w:szCs w:val="20"/>
        </w:rPr>
      </w:pPr>
      <w:proofErr w:type="gramStart"/>
      <w:r w:rsidRPr="00104204">
        <w:rPr>
          <w:sz w:val="20"/>
          <w:szCs w:val="20"/>
        </w:rPr>
        <w:t>SEC</w:t>
      </w:r>
      <w:r w:rsidR="00292006" w:rsidRPr="00104204">
        <w:rPr>
          <w:sz w:val="20"/>
          <w:szCs w:val="20"/>
        </w:rPr>
        <w:t>,</w:t>
      </w:r>
      <w:r w:rsidRPr="00104204">
        <w:rPr>
          <w:sz w:val="20"/>
          <w:szCs w:val="20"/>
        </w:rPr>
        <w:t xml:space="preserve"> (2003)</w:t>
      </w:r>
      <w:r w:rsidR="00292006" w:rsidRPr="00104204">
        <w:rPr>
          <w:sz w:val="20"/>
          <w:szCs w:val="20"/>
        </w:rPr>
        <w:t>.</w:t>
      </w:r>
      <w:proofErr w:type="gramEnd"/>
      <w:r w:rsidRPr="00104204">
        <w:rPr>
          <w:sz w:val="20"/>
          <w:szCs w:val="20"/>
        </w:rPr>
        <w:t xml:space="preserve"> </w:t>
      </w:r>
      <w:proofErr w:type="gramStart"/>
      <w:r w:rsidRPr="00104204">
        <w:rPr>
          <w:i/>
          <w:iCs/>
          <w:sz w:val="20"/>
          <w:szCs w:val="20"/>
        </w:rPr>
        <w:t>Code of Corporate Governance</w:t>
      </w:r>
      <w:r w:rsidR="00292006" w:rsidRPr="00104204">
        <w:rPr>
          <w:i/>
          <w:iCs/>
          <w:sz w:val="20"/>
          <w:szCs w:val="20"/>
        </w:rPr>
        <w:t>.</w:t>
      </w:r>
      <w:proofErr w:type="gramEnd"/>
      <w:r w:rsidRPr="00104204">
        <w:rPr>
          <w:sz w:val="20"/>
          <w:szCs w:val="20"/>
        </w:rPr>
        <w:t xml:space="preserve"> Abuja: Nigeria Securities and Exchange Commission.</w:t>
      </w:r>
    </w:p>
    <w:p w:rsidR="00D735DF" w:rsidRPr="00104204" w:rsidRDefault="00D735DF" w:rsidP="00D735DF">
      <w:pPr>
        <w:spacing w:line="360" w:lineRule="auto"/>
        <w:ind w:left="1440" w:hanging="720"/>
        <w:jc w:val="both"/>
        <w:rPr>
          <w:sz w:val="20"/>
          <w:szCs w:val="20"/>
        </w:rPr>
      </w:pPr>
      <w:proofErr w:type="gramStart"/>
      <w:r w:rsidRPr="00104204">
        <w:rPr>
          <w:sz w:val="20"/>
          <w:szCs w:val="20"/>
        </w:rPr>
        <w:t>Shan, Y. G.</w:t>
      </w:r>
      <w:r w:rsidR="00292006" w:rsidRPr="00104204">
        <w:rPr>
          <w:sz w:val="20"/>
          <w:szCs w:val="20"/>
        </w:rPr>
        <w:t xml:space="preserve">, &amp; </w:t>
      </w:r>
      <w:r w:rsidRPr="00104204">
        <w:rPr>
          <w:sz w:val="20"/>
          <w:szCs w:val="20"/>
        </w:rPr>
        <w:t>McIver</w:t>
      </w:r>
      <w:r w:rsidR="00292006" w:rsidRPr="00104204">
        <w:rPr>
          <w:sz w:val="20"/>
          <w:szCs w:val="20"/>
        </w:rPr>
        <w:t xml:space="preserve">, R. P. </w:t>
      </w:r>
      <w:r w:rsidRPr="00104204">
        <w:rPr>
          <w:sz w:val="20"/>
          <w:szCs w:val="20"/>
        </w:rPr>
        <w:t>(2011)</w:t>
      </w:r>
      <w:r w:rsidR="00292006" w:rsidRPr="00104204">
        <w:rPr>
          <w:sz w:val="20"/>
          <w:szCs w:val="20"/>
        </w:rPr>
        <w:t>.</w:t>
      </w:r>
      <w:proofErr w:type="gramEnd"/>
      <w:r w:rsidRPr="00104204">
        <w:rPr>
          <w:sz w:val="20"/>
          <w:szCs w:val="20"/>
        </w:rPr>
        <w:t xml:space="preserve"> Corporate governance in China: panel data evidence on listed non-financial companies</w:t>
      </w:r>
      <w:r w:rsidR="00292006" w:rsidRPr="00104204">
        <w:rPr>
          <w:sz w:val="20"/>
          <w:szCs w:val="20"/>
        </w:rPr>
        <w:t>.</w:t>
      </w:r>
      <w:r w:rsidRPr="00104204">
        <w:rPr>
          <w:sz w:val="20"/>
          <w:szCs w:val="20"/>
        </w:rPr>
        <w:t xml:space="preserve"> </w:t>
      </w:r>
      <w:r w:rsidRPr="00104204">
        <w:rPr>
          <w:i/>
          <w:sz w:val="20"/>
          <w:szCs w:val="20"/>
        </w:rPr>
        <w:t>Asia Pacific Business Review</w:t>
      </w:r>
      <w:r w:rsidRPr="00104204">
        <w:rPr>
          <w:sz w:val="20"/>
          <w:szCs w:val="20"/>
        </w:rPr>
        <w:t>, 17(3), 301-324.</w:t>
      </w:r>
    </w:p>
    <w:p w:rsidR="00D735DF" w:rsidRPr="00104204" w:rsidRDefault="00D735DF" w:rsidP="00D735DF">
      <w:pPr>
        <w:spacing w:line="360" w:lineRule="auto"/>
        <w:ind w:left="1440" w:hanging="720"/>
        <w:jc w:val="both"/>
        <w:rPr>
          <w:sz w:val="20"/>
          <w:szCs w:val="20"/>
        </w:rPr>
      </w:pPr>
      <w:proofErr w:type="spellStart"/>
      <w:r w:rsidRPr="00104204">
        <w:rPr>
          <w:sz w:val="20"/>
          <w:szCs w:val="20"/>
        </w:rPr>
        <w:t>Symeou</w:t>
      </w:r>
      <w:proofErr w:type="spellEnd"/>
      <w:r w:rsidRPr="00104204">
        <w:rPr>
          <w:sz w:val="20"/>
          <w:szCs w:val="20"/>
        </w:rPr>
        <w:t>, P. (2009)</w:t>
      </w:r>
      <w:r w:rsidR="00292006" w:rsidRPr="00104204">
        <w:rPr>
          <w:sz w:val="20"/>
          <w:szCs w:val="20"/>
        </w:rPr>
        <w:t>.</w:t>
      </w:r>
      <w:r w:rsidRPr="00104204">
        <w:rPr>
          <w:sz w:val="20"/>
          <w:szCs w:val="20"/>
        </w:rPr>
        <w:t xml:space="preserve"> </w:t>
      </w:r>
      <w:r w:rsidRPr="00104204">
        <w:rPr>
          <w:i/>
          <w:sz w:val="20"/>
          <w:szCs w:val="20"/>
        </w:rPr>
        <w:t>The Effects of Economy Size on Firm Performance: Evidence from the Telecommunications Sector</w:t>
      </w:r>
      <w:r w:rsidR="00292006" w:rsidRPr="00104204">
        <w:rPr>
          <w:i/>
          <w:sz w:val="20"/>
          <w:szCs w:val="20"/>
        </w:rPr>
        <w:t>.</w:t>
      </w:r>
      <w:r w:rsidRPr="00104204">
        <w:rPr>
          <w:sz w:val="20"/>
          <w:szCs w:val="20"/>
        </w:rPr>
        <w:t xml:space="preserve"> Munich: Institute for Communication Economics.</w:t>
      </w:r>
    </w:p>
    <w:p w:rsidR="00D735DF" w:rsidRPr="00104204" w:rsidRDefault="00D735DF" w:rsidP="00D735DF">
      <w:pPr>
        <w:spacing w:line="360" w:lineRule="auto"/>
        <w:ind w:left="1440" w:hanging="720"/>
        <w:jc w:val="both"/>
        <w:rPr>
          <w:sz w:val="20"/>
          <w:szCs w:val="20"/>
        </w:rPr>
      </w:pPr>
      <w:proofErr w:type="spellStart"/>
      <w:r w:rsidRPr="00104204">
        <w:rPr>
          <w:sz w:val="20"/>
          <w:szCs w:val="20"/>
        </w:rPr>
        <w:t>Şener</w:t>
      </w:r>
      <w:proofErr w:type="spellEnd"/>
      <w:r w:rsidRPr="00104204">
        <w:rPr>
          <w:sz w:val="20"/>
          <w:szCs w:val="20"/>
        </w:rPr>
        <w:t xml:space="preserve">, İ., </w:t>
      </w:r>
      <w:proofErr w:type="spellStart"/>
      <w:r w:rsidRPr="00104204">
        <w:rPr>
          <w:sz w:val="20"/>
          <w:szCs w:val="20"/>
        </w:rPr>
        <w:t>Varoğlu</w:t>
      </w:r>
      <w:proofErr w:type="spellEnd"/>
      <w:r w:rsidR="00292006" w:rsidRPr="00104204">
        <w:rPr>
          <w:sz w:val="20"/>
          <w:szCs w:val="20"/>
        </w:rPr>
        <w:t>, A., &amp;</w:t>
      </w:r>
      <w:r w:rsidRPr="00104204">
        <w:rPr>
          <w:sz w:val="20"/>
          <w:szCs w:val="20"/>
        </w:rPr>
        <w:t xml:space="preserve"> </w:t>
      </w:r>
      <w:proofErr w:type="spellStart"/>
      <w:r w:rsidRPr="00104204">
        <w:rPr>
          <w:sz w:val="20"/>
          <w:szCs w:val="20"/>
        </w:rPr>
        <w:t>Aren</w:t>
      </w:r>
      <w:proofErr w:type="spellEnd"/>
      <w:r w:rsidR="00292006" w:rsidRPr="00104204">
        <w:rPr>
          <w:sz w:val="20"/>
          <w:szCs w:val="20"/>
        </w:rPr>
        <w:t xml:space="preserve">, S. </w:t>
      </w:r>
      <w:r w:rsidRPr="00104204">
        <w:rPr>
          <w:sz w:val="20"/>
          <w:szCs w:val="20"/>
        </w:rPr>
        <w:t>(2011)</w:t>
      </w:r>
      <w:r w:rsidR="00292006" w:rsidRPr="00104204">
        <w:rPr>
          <w:sz w:val="20"/>
          <w:szCs w:val="20"/>
        </w:rPr>
        <w:t>.</w:t>
      </w:r>
      <w:r w:rsidRPr="00104204">
        <w:rPr>
          <w:sz w:val="20"/>
          <w:szCs w:val="20"/>
        </w:rPr>
        <w:t xml:space="preserve"> Board composition and </w:t>
      </w:r>
      <w:proofErr w:type="spellStart"/>
      <w:r w:rsidRPr="00104204">
        <w:rPr>
          <w:sz w:val="20"/>
          <w:szCs w:val="20"/>
        </w:rPr>
        <w:t>organisational</w:t>
      </w:r>
      <w:proofErr w:type="spellEnd"/>
      <w:r w:rsidRPr="00104204">
        <w:rPr>
          <w:sz w:val="20"/>
          <w:szCs w:val="20"/>
        </w:rPr>
        <w:t xml:space="preserve"> performance: Environmental characteristics matter</w:t>
      </w:r>
      <w:r w:rsidR="00292006" w:rsidRPr="00104204">
        <w:rPr>
          <w:sz w:val="20"/>
          <w:szCs w:val="20"/>
        </w:rPr>
        <w:t>.</w:t>
      </w:r>
      <w:r w:rsidRPr="00104204">
        <w:rPr>
          <w:sz w:val="20"/>
          <w:szCs w:val="20"/>
        </w:rPr>
        <w:t xml:space="preserve"> </w:t>
      </w:r>
      <w:r w:rsidRPr="00104204">
        <w:rPr>
          <w:i/>
          <w:sz w:val="20"/>
          <w:szCs w:val="20"/>
        </w:rPr>
        <w:t xml:space="preserve">Procedia Social and </w:t>
      </w:r>
      <w:proofErr w:type="spellStart"/>
      <w:r w:rsidRPr="00104204">
        <w:rPr>
          <w:i/>
          <w:sz w:val="20"/>
          <w:szCs w:val="20"/>
        </w:rPr>
        <w:t>Behavioural</w:t>
      </w:r>
      <w:proofErr w:type="spellEnd"/>
      <w:r w:rsidRPr="00104204">
        <w:rPr>
          <w:i/>
          <w:sz w:val="20"/>
          <w:szCs w:val="20"/>
        </w:rPr>
        <w:t xml:space="preserve"> Sciences</w:t>
      </w:r>
      <w:r w:rsidRPr="00104204">
        <w:rPr>
          <w:sz w:val="20"/>
          <w:szCs w:val="20"/>
        </w:rPr>
        <w:t>, 24(1), 1481-1493.</w:t>
      </w:r>
    </w:p>
    <w:p w:rsidR="00D735DF" w:rsidRPr="00104204" w:rsidRDefault="00D735DF" w:rsidP="00D735DF">
      <w:pPr>
        <w:spacing w:line="360" w:lineRule="auto"/>
        <w:ind w:left="1440" w:hanging="720"/>
        <w:jc w:val="both"/>
        <w:rPr>
          <w:sz w:val="20"/>
          <w:szCs w:val="20"/>
        </w:rPr>
      </w:pPr>
      <w:proofErr w:type="spellStart"/>
      <w:r w:rsidRPr="00104204">
        <w:rPr>
          <w:sz w:val="20"/>
          <w:szCs w:val="20"/>
        </w:rPr>
        <w:t>Tanna</w:t>
      </w:r>
      <w:proofErr w:type="spellEnd"/>
      <w:r w:rsidRPr="00104204">
        <w:rPr>
          <w:sz w:val="20"/>
          <w:szCs w:val="20"/>
        </w:rPr>
        <w:t xml:space="preserve">, S., </w:t>
      </w:r>
      <w:proofErr w:type="spellStart"/>
      <w:r w:rsidRPr="00104204">
        <w:rPr>
          <w:sz w:val="20"/>
          <w:szCs w:val="20"/>
        </w:rPr>
        <w:t>Pasiouras</w:t>
      </w:r>
      <w:proofErr w:type="spellEnd"/>
      <w:r w:rsidR="00292006" w:rsidRPr="00104204">
        <w:rPr>
          <w:sz w:val="20"/>
          <w:szCs w:val="20"/>
        </w:rPr>
        <w:t>, F., &amp;</w:t>
      </w:r>
      <w:r w:rsidRPr="00104204">
        <w:rPr>
          <w:sz w:val="20"/>
          <w:szCs w:val="20"/>
        </w:rPr>
        <w:t xml:space="preserve"> </w:t>
      </w:r>
      <w:proofErr w:type="spellStart"/>
      <w:r w:rsidRPr="00104204">
        <w:rPr>
          <w:sz w:val="20"/>
          <w:szCs w:val="20"/>
        </w:rPr>
        <w:t>Nnadi</w:t>
      </w:r>
      <w:proofErr w:type="spellEnd"/>
      <w:r w:rsidR="00292006" w:rsidRPr="00104204">
        <w:rPr>
          <w:sz w:val="20"/>
          <w:szCs w:val="20"/>
        </w:rPr>
        <w:t xml:space="preserve">, M. </w:t>
      </w:r>
      <w:r w:rsidRPr="00104204">
        <w:rPr>
          <w:sz w:val="20"/>
          <w:szCs w:val="20"/>
        </w:rPr>
        <w:t>(2011)</w:t>
      </w:r>
      <w:r w:rsidR="00292006" w:rsidRPr="00104204">
        <w:rPr>
          <w:sz w:val="20"/>
          <w:szCs w:val="20"/>
        </w:rPr>
        <w:t>.</w:t>
      </w:r>
      <w:r w:rsidRPr="00104204">
        <w:rPr>
          <w:sz w:val="20"/>
          <w:szCs w:val="20"/>
        </w:rPr>
        <w:t xml:space="preserve"> </w:t>
      </w:r>
      <w:proofErr w:type="gramStart"/>
      <w:r w:rsidRPr="00104204">
        <w:rPr>
          <w:sz w:val="20"/>
          <w:szCs w:val="20"/>
        </w:rPr>
        <w:t>The effect of board size and composition on the efficiency of UK banks</w:t>
      </w:r>
      <w:r w:rsidR="00292006" w:rsidRPr="00104204">
        <w:rPr>
          <w:sz w:val="20"/>
          <w:szCs w:val="20"/>
        </w:rPr>
        <w:t>.</w:t>
      </w:r>
      <w:proofErr w:type="gramEnd"/>
      <w:r w:rsidRPr="00104204">
        <w:rPr>
          <w:sz w:val="20"/>
          <w:szCs w:val="20"/>
        </w:rPr>
        <w:t xml:space="preserve"> </w:t>
      </w:r>
      <w:r w:rsidRPr="00104204">
        <w:rPr>
          <w:i/>
          <w:sz w:val="20"/>
          <w:szCs w:val="20"/>
        </w:rPr>
        <w:t>International Journal of the Economics of Business</w:t>
      </w:r>
      <w:r w:rsidRPr="00104204">
        <w:rPr>
          <w:sz w:val="20"/>
          <w:szCs w:val="20"/>
        </w:rPr>
        <w:t>, 18(3), 441-462.</w:t>
      </w:r>
    </w:p>
    <w:p w:rsidR="00D735DF" w:rsidRPr="00104204" w:rsidRDefault="00D735DF" w:rsidP="00D735DF">
      <w:pPr>
        <w:spacing w:line="360" w:lineRule="auto"/>
        <w:ind w:left="1440" w:hanging="720"/>
        <w:jc w:val="both"/>
        <w:rPr>
          <w:sz w:val="20"/>
          <w:szCs w:val="20"/>
        </w:rPr>
      </w:pPr>
      <w:r w:rsidRPr="00104204">
        <w:rPr>
          <w:sz w:val="20"/>
          <w:szCs w:val="20"/>
        </w:rPr>
        <w:t>Theil, H. (1966)</w:t>
      </w:r>
      <w:r w:rsidR="00292006" w:rsidRPr="00104204">
        <w:rPr>
          <w:sz w:val="20"/>
          <w:szCs w:val="20"/>
        </w:rPr>
        <w:t>.</w:t>
      </w:r>
      <w:r w:rsidRPr="00104204">
        <w:rPr>
          <w:sz w:val="20"/>
          <w:szCs w:val="20"/>
        </w:rPr>
        <w:t xml:space="preserve"> </w:t>
      </w:r>
      <w:proofErr w:type="gramStart"/>
      <w:r w:rsidRPr="00104204">
        <w:rPr>
          <w:i/>
          <w:sz w:val="20"/>
          <w:szCs w:val="20"/>
        </w:rPr>
        <w:t>Applied Economic Forecasting</w:t>
      </w:r>
      <w:r w:rsidR="00292006" w:rsidRPr="00104204">
        <w:rPr>
          <w:i/>
          <w:sz w:val="20"/>
          <w:szCs w:val="20"/>
        </w:rPr>
        <w:t>.</w:t>
      </w:r>
      <w:proofErr w:type="gramEnd"/>
      <w:r w:rsidRPr="00104204">
        <w:rPr>
          <w:sz w:val="20"/>
          <w:szCs w:val="20"/>
        </w:rPr>
        <w:t xml:space="preserve"> Amsterdam: North-Holland Publishing Co.</w:t>
      </w:r>
    </w:p>
    <w:p w:rsidR="00D735DF" w:rsidRPr="00104204" w:rsidRDefault="00D735DF" w:rsidP="00D735DF">
      <w:pPr>
        <w:spacing w:line="360" w:lineRule="auto"/>
        <w:ind w:left="1440" w:hanging="720"/>
        <w:jc w:val="both"/>
        <w:rPr>
          <w:sz w:val="20"/>
          <w:szCs w:val="20"/>
        </w:rPr>
      </w:pPr>
      <w:proofErr w:type="gramStart"/>
      <w:r w:rsidRPr="00104204">
        <w:rPr>
          <w:sz w:val="20"/>
          <w:szCs w:val="20"/>
        </w:rPr>
        <w:t>Tian, J. J.</w:t>
      </w:r>
      <w:r w:rsidR="00292006" w:rsidRPr="00104204">
        <w:rPr>
          <w:sz w:val="20"/>
          <w:szCs w:val="20"/>
        </w:rPr>
        <w:t>, &amp;</w:t>
      </w:r>
      <w:r w:rsidRPr="00104204">
        <w:rPr>
          <w:sz w:val="20"/>
          <w:szCs w:val="20"/>
        </w:rPr>
        <w:t xml:space="preserve"> Lau</w:t>
      </w:r>
      <w:r w:rsidR="00292006" w:rsidRPr="00104204">
        <w:rPr>
          <w:sz w:val="20"/>
          <w:szCs w:val="20"/>
        </w:rPr>
        <w:t xml:space="preserve">, C.M. </w:t>
      </w:r>
      <w:r w:rsidRPr="00104204">
        <w:rPr>
          <w:sz w:val="20"/>
          <w:szCs w:val="20"/>
        </w:rPr>
        <w:t>(2001)</w:t>
      </w:r>
      <w:r w:rsidR="00292006" w:rsidRPr="00104204">
        <w:rPr>
          <w:sz w:val="20"/>
          <w:szCs w:val="20"/>
        </w:rPr>
        <w:t>.</w:t>
      </w:r>
      <w:proofErr w:type="gramEnd"/>
      <w:r w:rsidRPr="00104204">
        <w:rPr>
          <w:sz w:val="20"/>
          <w:szCs w:val="20"/>
        </w:rPr>
        <w:t xml:space="preserve"> </w:t>
      </w:r>
      <w:proofErr w:type="gramStart"/>
      <w:r w:rsidRPr="00104204">
        <w:rPr>
          <w:sz w:val="20"/>
          <w:szCs w:val="20"/>
        </w:rPr>
        <w:t>Board composition, leadership structure and performance in Chinese shareholding companies</w:t>
      </w:r>
      <w:r w:rsidR="00292006" w:rsidRPr="00104204">
        <w:rPr>
          <w:sz w:val="20"/>
          <w:szCs w:val="20"/>
        </w:rPr>
        <w:t>.</w:t>
      </w:r>
      <w:proofErr w:type="gramEnd"/>
      <w:r w:rsidRPr="00104204">
        <w:rPr>
          <w:sz w:val="20"/>
          <w:szCs w:val="20"/>
        </w:rPr>
        <w:t xml:space="preserve"> </w:t>
      </w:r>
      <w:r w:rsidRPr="00104204">
        <w:rPr>
          <w:i/>
          <w:sz w:val="20"/>
          <w:szCs w:val="20"/>
        </w:rPr>
        <w:t>Asia Pacific Journal of Management</w:t>
      </w:r>
      <w:r w:rsidRPr="00104204">
        <w:rPr>
          <w:sz w:val="20"/>
          <w:szCs w:val="20"/>
        </w:rPr>
        <w:t>, 18(2), 245-263.</w:t>
      </w:r>
    </w:p>
    <w:p w:rsidR="00D735DF" w:rsidRPr="00104204" w:rsidRDefault="00D735DF" w:rsidP="00D735DF">
      <w:pPr>
        <w:spacing w:line="360" w:lineRule="auto"/>
        <w:ind w:left="1440" w:hanging="720"/>
        <w:jc w:val="both"/>
        <w:rPr>
          <w:sz w:val="20"/>
          <w:szCs w:val="20"/>
        </w:rPr>
      </w:pPr>
      <w:proofErr w:type="spellStart"/>
      <w:r w:rsidRPr="00104204">
        <w:rPr>
          <w:sz w:val="20"/>
          <w:szCs w:val="20"/>
        </w:rPr>
        <w:t>Uadiale</w:t>
      </w:r>
      <w:proofErr w:type="spellEnd"/>
      <w:r w:rsidRPr="00104204">
        <w:rPr>
          <w:sz w:val="20"/>
          <w:szCs w:val="20"/>
        </w:rPr>
        <w:t>, O. M. (2010)</w:t>
      </w:r>
      <w:r w:rsidR="00292006" w:rsidRPr="00104204">
        <w:rPr>
          <w:sz w:val="20"/>
          <w:szCs w:val="20"/>
        </w:rPr>
        <w:t>.</w:t>
      </w:r>
      <w:r w:rsidRPr="00104204">
        <w:rPr>
          <w:sz w:val="20"/>
          <w:szCs w:val="20"/>
        </w:rPr>
        <w:t xml:space="preserve"> </w:t>
      </w:r>
      <w:proofErr w:type="gramStart"/>
      <w:r w:rsidRPr="00104204">
        <w:rPr>
          <w:sz w:val="20"/>
          <w:szCs w:val="20"/>
        </w:rPr>
        <w:t>The impact of board structure on corporate financial performance in Nigeria</w:t>
      </w:r>
      <w:r w:rsidR="00292006" w:rsidRPr="00104204">
        <w:rPr>
          <w:sz w:val="20"/>
          <w:szCs w:val="20"/>
        </w:rPr>
        <w:t>.</w:t>
      </w:r>
      <w:proofErr w:type="gramEnd"/>
      <w:r w:rsidRPr="00104204">
        <w:rPr>
          <w:sz w:val="20"/>
          <w:szCs w:val="20"/>
        </w:rPr>
        <w:t xml:space="preserve"> </w:t>
      </w:r>
      <w:r w:rsidRPr="00104204">
        <w:rPr>
          <w:i/>
          <w:sz w:val="20"/>
          <w:szCs w:val="20"/>
        </w:rPr>
        <w:t>International Journal of Business and Management</w:t>
      </w:r>
      <w:r w:rsidRPr="00104204">
        <w:rPr>
          <w:sz w:val="20"/>
          <w:szCs w:val="20"/>
        </w:rPr>
        <w:t>, 5(10), 155-166.</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Ugur</w:t>
      </w:r>
      <w:proofErr w:type="spellEnd"/>
      <w:r w:rsidRPr="00104204">
        <w:rPr>
          <w:sz w:val="20"/>
          <w:szCs w:val="20"/>
        </w:rPr>
        <w:t>, M.</w:t>
      </w:r>
      <w:r w:rsidR="002046A5" w:rsidRPr="00104204">
        <w:rPr>
          <w:sz w:val="20"/>
          <w:szCs w:val="20"/>
        </w:rPr>
        <w:t xml:space="preserve">, &amp; </w:t>
      </w:r>
      <w:r w:rsidRPr="00104204">
        <w:rPr>
          <w:sz w:val="20"/>
          <w:szCs w:val="20"/>
        </w:rPr>
        <w:t>Ararat</w:t>
      </w:r>
      <w:r w:rsidR="002046A5" w:rsidRPr="00104204">
        <w:rPr>
          <w:sz w:val="20"/>
          <w:szCs w:val="20"/>
        </w:rPr>
        <w:t xml:space="preserve">, M. </w:t>
      </w:r>
      <w:r w:rsidRPr="00104204">
        <w:rPr>
          <w:sz w:val="20"/>
          <w:szCs w:val="20"/>
        </w:rPr>
        <w:t>(2006)</w:t>
      </w:r>
      <w:r w:rsidR="002046A5" w:rsidRPr="00104204">
        <w:rPr>
          <w:sz w:val="20"/>
          <w:szCs w:val="20"/>
        </w:rPr>
        <w:t>.</w:t>
      </w:r>
      <w:proofErr w:type="gramEnd"/>
      <w:r w:rsidRPr="00104204">
        <w:rPr>
          <w:sz w:val="20"/>
          <w:szCs w:val="20"/>
        </w:rPr>
        <w:t xml:space="preserve"> Does macroeconomic performance affect corporate governance? </w:t>
      </w:r>
      <w:proofErr w:type="gramStart"/>
      <w:r w:rsidRPr="00104204">
        <w:rPr>
          <w:sz w:val="20"/>
          <w:szCs w:val="20"/>
        </w:rPr>
        <w:t>Evidence from Turkey</w:t>
      </w:r>
      <w:r w:rsidR="002046A5" w:rsidRPr="00104204">
        <w:rPr>
          <w:sz w:val="20"/>
          <w:szCs w:val="20"/>
        </w:rPr>
        <w:t>.</w:t>
      </w:r>
      <w:proofErr w:type="gramEnd"/>
      <w:r w:rsidRPr="00104204">
        <w:rPr>
          <w:sz w:val="20"/>
          <w:szCs w:val="20"/>
        </w:rPr>
        <w:t xml:space="preserve"> </w:t>
      </w:r>
      <w:r w:rsidRPr="00104204">
        <w:rPr>
          <w:i/>
          <w:sz w:val="20"/>
          <w:szCs w:val="20"/>
        </w:rPr>
        <w:t>Corporate Governance: An International Review</w:t>
      </w:r>
      <w:r w:rsidRPr="00104204">
        <w:rPr>
          <w:sz w:val="20"/>
          <w:szCs w:val="20"/>
        </w:rPr>
        <w:t>, 14(4), 325-348.</w:t>
      </w:r>
    </w:p>
    <w:p w:rsidR="00D735DF" w:rsidRPr="00104204" w:rsidRDefault="00D735DF" w:rsidP="00D735DF">
      <w:pPr>
        <w:spacing w:line="360" w:lineRule="auto"/>
        <w:ind w:left="1440" w:hanging="720"/>
        <w:jc w:val="both"/>
        <w:rPr>
          <w:sz w:val="20"/>
          <w:szCs w:val="20"/>
        </w:rPr>
      </w:pPr>
      <w:proofErr w:type="gramStart"/>
      <w:r w:rsidRPr="00104204">
        <w:rPr>
          <w:sz w:val="20"/>
          <w:szCs w:val="20"/>
        </w:rPr>
        <w:t>Walt, N. v.</w:t>
      </w:r>
      <w:r w:rsidR="002046A5" w:rsidRPr="00104204">
        <w:rPr>
          <w:sz w:val="20"/>
          <w:szCs w:val="20"/>
        </w:rPr>
        <w:t>, &amp;</w:t>
      </w:r>
      <w:r w:rsidRPr="00104204">
        <w:rPr>
          <w:sz w:val="20"/>
          <w:szCs w:val="20"/>
        </w:rPr>
        <w:t xml:space="preserve"> </w:t>
      </w:r>
      <w:proofErr w:type="spellStart"/>
      <w:r w:rsidRPr="00104204">
        <w:rPr>
          <w:sz w:val="20"/>
          <w:szCs w:val="20"/>
        </w:rPr>
        <w:t>Ingley</w:t>
      </w:r>
      <w:proofErr w:type="spellEnd"/>
      <w:r w:rsidR="002046A5" w:rsidRPr="00104204">
        <w:rPr>
          <w:sz w:val="20"/>
          <w:szCs w:val="20"/>
        </w:rPr>
        <w:t>,</w:t>
      </w:r>
      <w:r w:rsidRPr="00104204">
        <w:rPr>
          <w:sz w:val="20"/>
          <w:szCs w:val="20"/>
        </w:rPr>
        <w:t xml:space="preserve"> </w:t>
      </w:r>
      <w:r w:rsidR="002046A5" w:rsidRPr="00104204">
        <w:rPr>
          <w:sz w:val="20"/>
          <w:szCs w:val="20"/>
        </w:rPr>
        <w:t xml:space="preserve">C. </w:t>
      </w:r>
      <w:r w:rsidRPr="00104204">
        <w:rPr>
          <w:sz w:val="20"/>
          <w:szCs w:val="20"/>
        </w:rPr>
        <w:t>(2003)</w:t>
      </w:r>
      <w:r w:rsidR="002046A5" w:rsidRPr="00104204">
        <w:rPr>
          <w:sz w:val="20"/>
          <w:szCs w:val="20"/>
        </w:rPr>
        <w:t>.</w:t>
      </w:r>
      <w:proofErr w:type="gramEnd"/>
      <w:r w:rsidRPr="00104204">
        <w:rPr>
          <w:sz w:val="20"/>
          <w:szCs w:val="20"/>
        </w:rPr>
        <w:t xml:space="preserve"> </w:t>
      </w:r>
      <w:proofErr w:type="gramStart"/>
      <w:r w:rsidRPr="00104204">
        <w:rPr>
          <w:sz w:val="20"/>
          <w:szCs w:val="20"/>
        </w:rPr>
        <w:t>Board dynamics and the influence of professional background, gender and ethnic diversity of directors</w:t>
      </w:r>
      <w:r w:rsidR="002046A5" w:rsidRPr="00104204">
        <w:rPr>
          <w:sz w:val="20"/>
          <w:szCs w:val="20"/>
        </w:rPr>
        <w:t>.</w:t>
      </w:r>
      <w:proofErr w:type="gramEnd"/>
      <w:r w:rsidRPr="00104204">
        <w:rPr>
          <w:sz w:val="20"/>
          <w:szCs w:val="20"/>
        </w:rPr>
        <w:t xml:space="preserve"> </w:t>
      </w:r>
      <w:r w:rsidRPr="00104204">
        <w:rPr>
          <w:i/>
          <w:sz w:val="20"/>
          <w:szCs w:val="20"/>
        </w:rPr>
        <w:t>Corporate Governance: An International Review</w:t>
      </w:r>
      <w:r w:rsidRPr="00104204">
        <w:rPr>
          <w:sz w:val="20"/>
          <w:szCs w:val="20"/>
        </w:rPr>
        <w:t>, 11(3), 218-234.</w:t>
      </w:r>
    </w:p>
    <w:p w:rsidR="00D735DF" w:rsidRPr="00104204" w:rsidRDefault="00D735DF" w:rsidP="00D735DF">
      <w:pPr>
        <w:spacing w:line="360" w:lineRule="auto"/>
        <w:ind w:left="1440" w:hanging="720"/>
        <w:jc w:val="both"/>
        <w:rPr>
          <w:sz w:val="20"/>
          <w:szCs w:val="20"/>
        </w:rPr>
      </w:pPr>
      <w:r w:rsidRPr="00104204">
        <w:rPr>
          <w:sz w:val="20"/>
          <w:szCs w:val="20"/>
        </w:rPr>
        <w:t>Wan, D.</w:t>
      </w:r>
      <w:r w:rsidR="002046A5" w:rsidRPr="00104204">
        <w:rPr>
          <w:sz w:val="20"/>
          <w:szCs w:val="20"/>
        </w:rPr>
        <w:t>, &amp;</w:t>
      </w:r>
      <w:r w:rsidRPr="00104204">
        <w:rPr>
          <w:sz w:val="20"/>
          <w:szCs w:val="20"/>
        </w:rPr>
        <w:t xml:space="preserve"> Ong</w:t>
      </w:r>
      <w:r w:rsidR="002046A5" w:rsidRPr="00104204">
        <w:rPr>
          <w:sz w:val="20"/>
          <w:szCs w:val="20"/>
        </w:rPr>
        <w:t xml:space="preserve">, C. </w:t>
      </w:r>
      <w:r w:rsidRPr="00104204">
        <w:rPr>
          <w:sz w:val="20"/>
          <w:szCs w:val="20"/>
        </w:rPr>
        <w:t>(2005)</w:t>
      </w:r>
      <w:r w:rsidR="002046A5" w:rsidRPr="00104204">
        <w:rPr>
          <w:sz w:val="20"/>
          <w:szCs w:val="20"/>
        </w:rPr>
        <w:t>.</w:t>
      </w:r>
      <w:r w:rsidRPr="00104204">
        <w:rPr>
          <w:sz w:val="20"/>
          <w:szCs w:val="20"/>
        </w:rPr>
        <w:t xml:space="preserve"> Board structure, process and performance: evidence from public-listed companies in Singapore</w:t>
      </w:r>
      <w:r w:rsidR="002046A5" w:rsidRPr="00104204">
        <w:rPr>
          <w:sz w:val="20"/>
          <w:szCs w:val="20"/>
        </w:rPr>
        <w:t>.</w:t>
      </w:r>
      <w:r w:rsidRPr="00104204">
        <w:rPr>
          <w:sz w:val="20"/>
          <w:szCs w:val="20"/>
        </w:rPr>
        <w:t xml:space="preserve"> </w:t>
      </w:r>
      <w:r w:rsidRPr="00104204">
        <w:rPr>
          <w:i/>
          <w:sz w:val="20"/>
          <w:szCs w:val="20"/>
        </w:rPr>
        <w:t>Corporate Governance: An International Review</w:t>
      </w:r>
      <w:r w:rsidRPr="00104204">
        <w:rPr>
          <w:sz w:val="20"/>
          <w:szCs w:val="20"/>
        </w:rPr>
        <w:t>, 13(2), 277-290.</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Wanyama</w:t>
      </w:r>
      <w:proofErr w:type="spellEnd"/>
      <w:r w:rsidRPr="00104204">
        <w:rPr>
          <w:sz w:val="20"/>
          <w:szCs w:val="20"/>
        </w:rPr>
        <w:t>, S., Burton</w:t>
      </w:r>
      <w:r w:rsidR="002046A5" w:rsidRPr="00104204">
        <w:rPr>
          <w:sz w:val="20"/>
          <w:szCs w:val="20"/>
        </w:rPr>
        <w:t>, B., &amp;</w:t>
      </w:r>
      <w:r w:rsidRPr="00104204">
        <w:rPr>
          <w:sz w:val="20"/>
          <w:szCs w:val="20"/>
        </w:rPr>
        <w:t xml:space="preserve"> </w:t>
      </w:r>
      <w:proofErr w:type="spellStart"/>
      <w:r w:rsidRPr="00104204">
        <w:rPr>
          <w:sz w:val="20"/>
          <w:szCs w:val="20"/>
        </w:rPr>
        <w:t>Helliar</w:t>
      </w:r>
      <w:proofErr w:type="spellEnd"/>
      <w:r w:rsidR="002046A5" w:rsidRPr="00104204">
        <w:rPr>
          <w:sz w:val="20"/>
          <w:szCs w:val="20"/>
        </w:rPr>
        <w:t xml:space="preserve">, C. </w:t>
      </w:r>
      <w:r w:rsidRPr="00104204">
        <w:rPr>
          <w:sz w:val="20"/>
          <w:szCs w:val="20"/>
        </w:rPr>
        <w:t>(2009)</w:t>
      </w:r>
      <w:r w:rsidR="002046A5" w:rsidRPr="00104204">
        <w:rPr>
          <w:sz w:val="20"/>
          <w:szCs w:val="20"/>
        </w:rPr>
        <w:t>.</w:t>
      </w:r>
      <w:proofErr w:type="gramEnd"/>
      <w:r w:rsidRPr="00104204">
        <w:rPr>
          <w:sz w:val="20"/>
          <w:szCs w:val="20"/>
        </w:rPr>
        <w:t xml:space="preserve"> Frameworks underpinning corporate governance: evidence on Ugandan perceptions</w:t>
      </w:r>
      <w:r w:rsidR="002046A5" w:rsidRPr="00104204">
        <w:rPr>
          <w:sz w:val="20"/>
          <w:szCs w:val="20"/>
        </w:rPr>
        <w:t>.</w:t>
      </w:r>
      <w:r w:rsidRPr="00104204">
        <w:rPr>
          <w:sz w:val="20"/>
          <w:szCs w:val="20"/>
        </w:rPr>
        <w:t xml:space="preserve"> </w:t>
      </w:r>
      <w:r w:rsidRPr="00104204">
        <w:rPr>
          <w:i/>
          <w:sz w:val="20"/>
          <w:szCs w:val="20"/>
        </w:rPr>
        <w:t>Corporate Governance: An International Review</w:t>
      </w:r>
      <w:r w:rsidRPr="00104204">
        <w:rPr>
          <w:sz w:val="20"/>
          <w:szCs w:val="20"/>
        </w:rPr>
        <w:t>, 17(2), 159-175.</w:t>
      </w:r>
    </w:p>
    <w:p w:rsidR="00D735DF" w:rsidRPr="00104204" w:rsidRDefault="00D735DF" w:rsidP="00D735DF">
      <w:pPr>
        <w:spacing w:line="360" w:lineRule="auto"/>
        <w:ind w:left="1440" w:hanging="720"/>
        <w:jc w:val="both"/>
        <w:rPr>
          <w:sz w:val="20"/>
          <w:szCs w:val="20"/>
        </w:rPr>
      </w:pPr>
      <w:proofErr w:type="gramStart"/>
      <w:r w:rsidRPr="00104204">
        <w:rPr>
          <w:sz w:val="20"/>
          <w:szCs w:val="20"/>
        </w:rPr>
        <w:t xml:space="preserve">Weir, C., Laing, </w:t>
      </w:r>
      <w:r w:rsidR="002046A5" w:rsidRPr="00104204">
        <w:rPr>
          <w:sz w:val="20"/>
          <w:szCs w:val="20"/>
        </w:rPr>
        <w:t xml:space="preserve">D., &amp; </w:t>
      </w:r>
      <w:r w:rsidRPr="00104204">
        <w:rPr>
          <w:sz w:val="20"/>
          <w:szCs w:val="20"/>
        </w:rPr>
        <w:t>McKnight</w:t>
      </w:r>
      <w:r w:rsidR="002046A5" w:rsidRPr="00104204">
        <w:rPr>
          <w:sz w:val="20"/>
          <w:szCs w:val="20"/>
        </w:rPr>
        <w:t xml:space="preserve">, P. J. </w:t>
      </w:r>
      <w:r w:rsidRPr="00104204">
        <w:rPr>
          <w:sz w:val="20"/>
          <w:szCs w:val="20"/>
        </w:rPr>
        <w:t>(2002)</w:t>
      </w:r>
      <w:r w:rsidR="002046A5" w:rsidRPr="00104204">
        <w:rPr>
          <w:sz w:val="20"/>
          <w:szCs w:val="20"/>
        </w:rPr>
        <w:t>.</w:t>
      </w:r>
      <w:proofErr w:type="gramEnd"/>
      <w:r w:rsidRPr="00104204">
        <w:rPr>
          <w:sz w:val="20"/>
          <w:szCs w:val="20"/>
        </w:rPr>
        <w:t xml:space="preserve"> Internal and external governance mechanisms: their impact on the performance of large UK public companies</w:t>
      </w:r>
      <w:r w:rsidR="002046A5" w:rsidRPr="00104204">
        <w:rPr>
          <w:sz w:val="20"/>
          <w:szCs w:val="20"/>
        </w:rPr>
        <w:t>.</w:t>
      </w:r>
      <w:r w:rsidRPr="00104204">
        <w:rPr>
          <w:sz w:val="20"/>
          <w:szCs w:val="20"/>
        </w:rPr>
        <w:t xml:space="preserve"> </w:t>
      </w:r>
      <w:r w:rsidRPr="00104204">
        <w:rPr>
          <w:i/>
          <w:sz w:val="20"/>
          <w:szCs w:val="20"/>
        </w:rPr>
        <w:t>Journal of Business Finance &amp; Accounting</w:t>
      </w:r>
      <w:r w:rsidRPr="00104204">
        <w:rPr>
          <w:sz w:val="20"/>
          <w:szCs w:val="20"/>
        </w:rPr>
        <w:t>, 29(5 and 6), 579-611.</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Wintoki</w:t>
      </w:r>
      <w:proofErr w:type="spellEnd"/>
      <w:r w:rsidRPr="00104204">
        <w:rPr>
          <w:sz w:val="20"/>
          <w:szCs w:val="20"/>
        </w:rPr>
        <w:t xml:space="preserve">, M. B., </w:t>
      </w:r>
      <w:proofErr w:type="spellStart"/>
      <w:r w:rsidRPr="00104204">
        <w:rPr>
          <w:sz w:val="20"/>
          <w:szCs w:val="20"/>
        </w:rPr>
        <w:t>Linck</w:t>
      </w:r>
      <w:proofErr w:type="spellEnd"/>
      <w:r w:rsidR="002046A5" w:rsidRPr="00104204">
        <w:rPr>
          <w:sz w:val="20"/>
          <w:szCs w:val="20"/>
        </w:rPr>
        <w:t>, J.S. &amp;</w:t>
      </w:r>
      <w:r w:rsidRPr="00104204">
        <w:rPr>
          <w:sz w:val="20"/>
          <w:szCs w:val="20"/>
        </w:rPr>
        <w:t xml:space="preserve"> Netter</w:t>
      </w:r>
      <w:r w:rsidR="002046A5" w:rsidRPr="00104204">
        <w:rPr>
          <w:sz w:val="20"/>
          <w:szCs w:val="20"/>
        </w:rPr>
        <w:t xml:space="preserve">, J. M. </w:t>
      </w:r>
      <w:r w:rsidRPr="00104204">
        <w:rPr>
          <w:sz w:val="20"/>
          <w:szCs w:val="20"/>
        </w:rPr>
        <w:t>(2012)</w:t>
      </w:r>
      <w:r w:rsidR="002046A5" w:rsidRPr="00104204">
        <w:rPr>
          <w:sz w:val="20"/>
          <w:szCs w:val="20"/>
        </w:rPr>
        <w:t>.</w:t>
      </w:r>
      <w:proofErr w:type="gramEnd"/>
      <w:r w:rsidRPr="00104204">
        <w:rPr>
          <w:sz w:val="20"/>
          <w:szCs w:val="20"/>
        </w:rPr>
        <w:t xml:space="preserve"> </w:t>
      </w:r>
      <w:proofErr w:type="spellStart"/>
      <w:proofErr w:type="gramStart"/>
      <w:r w:rsidRPr="00104204">
        <w:rPr>
          <w:sz w:val="20"/>
          <w:szCs w:val="20"/>
        </w:rPr>
        <w:t>Endogeneity</w:t>
      </w:r>
      <w:proofErr w:type="spellEnd"/>
      <w:r w:rsidRPr="00104204">
        <w:rPr>
          <w:sz w:val="20"/>
          <w:szCs w:val="20"/>
        </w:rPr>
        <w:t xml:space="preserve"> and the dynamics of internal corporate governance</w:t>
      </w:r>
      <w:r w:rsidR="002046A5" w:rsidRPr="00104204">
        <w:rPr>
          <w:sz w:val="20"/>
          <w:szCs w:val="20"/>
        </w:rPr>
        <w:t>.</w:t>
      </w:r>
      <w:proofErr w:type="gramEnd"/>
      <w:r w:rsidRPr="00104204">
        <w:rPr>
          <w:sz w:val="20"/>
          <w:szCs w:val="20"/>
        </w:rPr>
        <w:t xml:space="preserve"> </w:t>
      </w:r>
      <w:r w:rsidRPr="00104204">
        <w:rPr>
          <w:i/>
          <w:sz w:val="20"/>
          <w:szCs w:val="20"/>
        </w:rPr>
        <w:t>Journal of Financial Economics</w:t>
      </w:r>
      <w:r w:rsidRPr="00104204">
        <w:rPr>
          <w:sz w:val="20"/>
          <w:szCs w:val="20"/>
        </w:rPr>
        <w:t>, 105(3), 581-606.</w:t>
      </w:r>
    </w:p>
    <w:p w:rsidR="00D735DF" w:rsidRPr="00104204" w:rsidRDefault="00D735DF" w:rsidP="00D735DF">
      <w:pPr>
        <w:spacing w:line="360" w:lineRule="auto"/>
        <w:ind w:left="1440" w:hanging="720"/>
        <w:jc w:val="both"/>
        <w:rPr>
          <w:sz w:val="20"/>
          <w:szCs w:val="20"/>
        </w:rPr>
      </w:pPr>
      <w:proofErr w:type="spellStart"/>
      <w:proofErr w:type="gramStart"/>
      <w:r w:rsidRPr="00104204">
        <w:rPr>
          <w:sz w:val="20"/>
          <w:szCs w:val="20"/>
        </w:rPr>
        <w:t>Yammeesri</w:t>
      </w:r>
      <w:proofErr w:type="spellEnd"/>
      <w:r w:rsidRPr="00104204">
        <w:rPr>
          <w:sz w:val="20"/>
          <w:szCs w:val="20"/>
        </w:rPr>
        <w:t>, J.</w:t>
      </w:r>
      <w:r w:rsidR="002046A5" w:rsidRPr="00104204">
        <w:rPr>
          <w:sz w:val="20"/>
          <w:szCs w:val="20"/>
        </w:rPr>
        <w:t>, &amp;</w:t>
      </w:r>
      <w:r w:rsidRPr="00104204">
        <w:rPr>
          <w:sz w:val="20"/>
          <w:szCs w:val="20"/>
        </w:rPr>
        <w:t xml:space="preserve"> </w:t>
      </w:r>
      <w:proofErr w:type="spellStart"/>
      <w:r w:rsidRPr="00104204">
        <w:rPr>
          <w:sz w:val="20"/>
          <w:szCs w:val="20"/>
        </w:rPr>
        <w:t>Herath</w:t>
      </w:r>
      <w:proofErr w:type="spellEnd"/>
      <w:r w:rsidR="002046A5" w:rsidRPr="00104204">
        <w:rPr>
          <w:sz w:val="20"/>
          <w:szCs w:val="20"/>
        </w:rPr>
        <w:t xml:space="preserve">, S. K. </w:t>
      </w:r>
      <w:r w:rsidRPr="00104204">
        <w:rPr>
          <w:sz w:val="20"/>
          <w:szCs w:val="20"/>
        </w:rPr>
        <w:t>(2010)</w:t>
      </w:r>
      <w:r w:rsidR="002046A5" w:rsidRPr="00104204">
        <w:rPr>
          <w:sz w:val="20"/>
          <w:szCs w:val="20"/>
        </w:rPr>
        <w:t>.</w:t>
      </w:r>
      <w:proofErr w:type="gramEnd"/>
      <w:r w:rsidRPr="00104204">
        <w:rPr>
          <w:sz w:val="20"/>
          <w:szCs w:val="20"/>
        </w:rPr>
        <w:t xml:space="preserve"> Board characteristics and corporate value: evidence from Thailand</w:t>
      </w:r>
      <w:r w:rsidR="002046A5" w:rsidRPr="00104204">
        <w:rPr>
          <w:sz w:val="20"/>
          <w:szCs w:val="20"/>
        </w:rPr>
        <w:t>.</w:t>
      </w:r>
      <w:r w:rsidRPr="00104204">
        <w:rPr>
          <w:sz w:val="20"/>
          <w:szCs w:val="20"/>
        </w:rPr>
        <w:t xml:space="preserve"> </w:t>
      </w:r>
      <w:r w:rsidRPr="00104204">
        <w:rPr>
          <w:i/>
          <w:sz w:val="20"/>
          <w:szCs w:val="20"/>
        </w:rPr>
        <w:t>Corporate Governance</w:t>
      </w:r>
      <w:r w:rsidRPr="00104204">
        <w:rPr>
          <w:sz w:val="20"/>
          <w:szCs w:val="20"/>
        </w:rPr>
        <w:t>, 10(3), 279-292.</w:t>
      </w:r>
    </w:p>
    <w:p w:rsidR="00D735DF" w:rsidRPr="00104204" w:rsidRDefault="00D735DF" w:rsidP="00D735DF">
      <w:pPr>
        <w:spacing w:line="360" w:lineRule="auto"/>
        <w:ind w:left="1440" w:hanging="720"/>
        <w:jc w:val="both"/>
        <w:rPr>
          <w:sz w:val="20"/>
          <w:szCs w:val="20"/>
        </w:rPr>
      </w:pPr>
      <w:proofErr w:type="spellStart"/>
      <w:r w:rsidRPr="00104204">
        <w:rPr>
          <w:sz w:val="20"/>
          <w:szCs w:val="20"/>
        </w:rPr>
        <w:t>Yawson</w:t>
      </w:r>
      <w:proofErr w:type="spellEnd"/>
      <w:r w:rsidRPr="00104204">
        <w:rPr>
          <w:sz w:val="20"/>
          <w:szCs w:val="20"/>
        </w:rPr>
        <w:t>, A. (2006)</w:t>
      </w:r>
      <w:r w:rsidR="001C40CA" w:rsidRPr="00104204">
        <w:rPr>
          <w:sz w:val="20"/>
          <w:szCs w:val="20"/>
        </w:rPr>
        <w:t>.</w:t>
      </w:r>
      <w:r w:rsidRPr="00104204">
        <w:rPr>
          <w:sz w:val="20"/>
          <w:szCs w:val="20"/>
        </w:rPr>
        <w:t xml:space="preserve"> Evaluating the characteristics of corporate boards associated with layoff decision</w:t>
      </w:r>
      <w:r w:rsidR="001C40CA" w:rsidRPr="00104204">
        <w:rPr>
          <w:sz w:val="20"/>
          <w:szCs w:val="20"/>
        </w:rPr>
        <w:t>.</w:t>
      </w:r>
      <w:r w:rsidRPr="00104204">
        <w:rPr>
          <w:sz w:val="20"/>
          <w:szCs w:val="20"/>
        </w:rPr>
        <w:t xml:space="preserve"> </w:t>
      </w:r>
      <w:r w:rsidRPr="00104204">
        <w:rPr>
          <w:i/>
          <w:sz w:val="20"/>
          <w:szCs w:val="20"/>
        </w:rPr>
        <w:t>Corporate Governance: An International Review</w:t>
      </w:r>
      <w:r w:rsidRPr="00104204">
        <w:rPr>
          <w:sz w:val="20"/>
          <w:szCs w:val="20"/>
        </w:rPr>
        <w:t>, 14(2), 75-84.</w:t>
      </w:r>
    </w:p>
    <w:p w:rsidR="00D735DF" w:rsidRPr="009353FF" w:rsidRDefault="00D735DF" w:rsidP="00D735DF">
      <w:pPr>
        <w:spacing w:line="360" w:lineRule="auto"/>
        <w:ind w:left="1440" w:hanging="720"/>
        <w:jc w:val="both"/>
        <w:rPr>
          <w:sz w:val="20"/>
          <w:szCs w:val="20"/>
        </w:rPr>
      </w:pPr>
      <w:proofErr w:type="spellStart"/>
      <w:r w:rsidRPr="00104204">
        <w:rPr>
          <w:sz w:val="20"/>
          <w:szCs w:val="20"/>
        </w:rPr>
        <w:lastRenderedPageBreak/>
        <w:t>Yermack</w:t>
      </w:r>
      <w:proofErr w:type="spellEnd"/>
      <w:r w:rsidRPr="00104204">
        <w:rPr>
          <w:sz w:val="20"/>
          <w:szCs w:val="20"/>
        </w:rPr>
        <w:t>, D. (1996)</w:t>
      </w:r>
      <w:r w:rsidR="001C40CA" w:rsidRPr="00104204">
        <w:rPr>
          <w:sz w:val="20"/>
          <w:szCs w:val="20"/>
        </w:rPr>
        <w:t>.</w:t>
      </w:r>
      <w:r w:rsidRPr="00104204">
        <w:rPr>
          <w:sz w:val="20"/>
          <w:szCs w:val="20"/>
        </w:rPr>
        <w:t xml:space="preserve"> Higher market valuation of companies with a small board of directors</w:t>
      </w:r>
      <w:r w:rsidR="001C40CA" w:rsidRPr="00104204">
        <w:rPr>
          <w:sz w:val="20"/>
          <w:szCs w:val="20"/>
        </w:rPr>
        <w:t>.</w:t>
      </w:r>
      <w:r w:rsidRPr="00104204">
        <w:rPr>
          <w:sz w:val="20"/>
          <w:szCs w:val="20"/>
        </w:rPr>
        <w:t xml:space="preserve"> </w:t>
      </w:r>
      <w:r w:rsidRPr="00104204">
        <w:rPr>
          <w:i/>
          <w:sz w:val="20"/>
          <w:szCs w:val="20"/>
        </w:rPr>
        <w:t>Journal of Financial Economics</w:t>
      </w:r>
      <w:r w:rsidRPr="00104204">
        <w:rPr>
          <w:sz w:val="20"/>
          <w:szCs w:val="20"/>
        </w:rPr>
        <w:t>, 40(2), 185-211.</w:t>
      </w:r>
    </w:p>
    <w:p w:rsidR="00BC09ED" w:rsidRPr="00596143" w:rsidRDefault="00BC09ED" w:rsidP="00BC09ED">
      <w:pPr>
        <w:autoSpaceDE w:val="0"/>
        <w:autoSpaceDN w:val="0"/>
        <w:adjustRightInd w:val="0"/>
        <w:spacing w:line="360" w:lineRule="auto"/>
        <w:jc w:val="both"/>
        <w:rPr>
          <w:rFonts w:eastAsia="Calibri"/>
        </w:rPr>
      </w:pPr>
    </w:p>
    <w:p w:rsidR="00B70311" w:rsidRDefault="00B70311" w:rsidP="00B70311">
      <w:pPr>
        <w:spacing w:after="200" w:line="276" w:lineRule="auto"/>
        <w:jc w:val="center"/>
        <w:rPr>
          <w:b/>
          <w:sz w:val="20"/>
          <w:szCs w:val="20"/>
        </w:rPr>
      </w:pPr>
    </w:p>
    <w:p w:rsidR="00B70311" w:rsidRDefault="00B70311" w:rsidP="00B70311">
      <w:pPr>
        <w:spacing w:after="200" w:line="276" w:lineRule="auto"/>
        <w:jc w:val="center"/>
        <w:rPr>
          <w:b/>
          <w:sz w:val="20"/>
          <w:szCs w:val="20"/>
        </w:rPr>
      </w:pPr>
    </w:p>
    <w:p w:rsidR="00B70311" w:rsidRDefault="00B70311" w:rsidP="00B70311">
      <w:pPr>
        <w:spacing w:after="200" w:line="276" w:lineRule="auto"/>
        <w:jc w:val="center"/>
        <w:rPr>
          <w:b/>
          <w:sz w:val="20"/>
          <w:szCs w:val="20"/>
        </w:rPr>
      </w:pPr>
    </w:p>
    <w:p w:rsidR="007E1643" w:rsidRDefault="007E1643" w:rsidP="00B70311">
      <w:pPr>
        <w:spacing w:after="200" w:line="276" w:lineRule="auto"/>
        <w:jc w:val="center"/>
        <w:rPr>
          <w:b/>
          <w:sz w:val="20"/>
          <w:szCs w:val="20"/>
        </w:rPr>
      </w:pPr>
    </w:p>
    <w:p w:rsidR="007E1643" w:rsidRDefault="007E1643" w:rsidP="00B70311">
      <w:pPr>
        <w:spacing w:after="200" w:line="276" w:lineRule="auto"/>
        <w:jc w:val="center"/>
        <w:rPr>
          <w:b/>
          <w:sz w:val="20"/>
          <w:szCs w:val="20"/>
        </w:rPr>
      </w:pPr>
    </w:p>
    <w:p w:rsidR="007E1643" w:rsidRDefault="007E1643" w:rsidP="00B70311">
      <w:pPr>
        <w:spacing w:after="200" w:line="276" w:lineRule="auto"/>
        <w:jc w:val="center"/>
        <w:rPr>
          <w:b/>
          <w:sz w:val="20"/>
          <w:szCs w:val="20"/>
        </w:rPr>
      </w:pPr>
    </w:p>
    <w:p w:rsidR="007E1643" w:rsidRDefault="007E1643" w:rsidP="00B70311">
      <w:pPr>
        <w:spacing w:after="200" w:line="276" w:lineRule="auto"/>
        <w:jc w:val="center"/>
        <w:rPr>
          <w:b/>
          <w:sz w:val="20"/>
          <w:szCs w:val="20"/>
        </w:rPr>
      </w:pPr>
    </w:p>
    <w:p w:rsidR="007E1643" w:rsidRDefault="007E1643" w:rsidP="00B70311">
      <w:pPr>
        <w:spacing w:after="200" w:line="276" w:lineRule="auto"/>
        <w:jc w:val="center"/>
        <w:rPr>
          <w:b/>
          <w:sz w:val="20"/>
          <w:szCs w:val="20"/>
        </w:rPr>
      </w:pPr>
    </w:p>
    <w:p w:rsidR="007E1643" w:rsidRDefault="007E1643" w:rsidP="00B70311">
      <w:pPr>
        <w:spacing w:after="200" w:line="276" w:lineRule="auto"/>
        <w:jc w:val="center"/>
        <w:rPr>
          <w:b/>
          <w:sz w:val="20"/>
          <w:szCs w:val="20"/>
        </w:rPr>
      </w:pPr>
    </w:p>
    <w:p w:rsidR="007E1643" w:rsidRDefault="007E1643" w:rsidP="00B70311">
      <w:pPr>
        <w:spacing w:after="200" w:line="276" w:lineRule="auto"/>
        <w:jc w:val="center"/>
        <w:rPr>
          <w:b/>
          <w:sz w:val="20"/>
          <w:szCs w:val="20"/>
        </w:rPr>
      </w:pPr>
    </w:p>
    <w:p w:rsidR="007E1643" w:rsidRDefault="007E1643" w:rsidP="00B70311">
      <w:pPr>
        <w:spacing w:after="200" w:line="276" w:lineRule="auto"/>
        <w:jc w:val="center"/>
        <w:rPr>
          <w:b/>
          <w:sz w:val="20"/>
          <w:szCs w:val="20"/>
        </w:rPr>
      </w:pPr>
    </w:p>
    <w:p w:rsidR="007E1643" w:rsidRDefault="007E1643" w:rsidP="00B70311">
      <w:pPr>
        <w:spacing w:after="200" w:line="276" w:lineRule="auto"/>
        <w:jc w:val="center"/>
        <w:rPr>
          <w:b/>
          <w:sz w:val="20"/>
          <w:szCs w:val="20"/>
        </w:rPr>
      </w:pPr>
    </w:p>
    <w:p w:rsidR="007E1643" w:rsidRDefault="007E1643" w:rsidP="00B70311">
      <w:pPr>
        <w:spacing w:after="200" w:line="276" w:lineRule="auto"/>
        <w:jc w:val="center"/>
        <w:rPr>
          <w:b/>
          <w:sz w:val="20"/>
          <w:szCs w:val="20"/>
        </w:rPr>
      </w:pPr>
    </w:p>
    <w:p w:rsidR="007E1643" w:rsidRDefault="007E1643" w:rsidP="00B70311">
      <w:pPr>
        <w:spacing w:after="200" w:line="276" w:lineRule="auto"/>
        <w:jc w:val="center"/>
        <w:rPr>
          <w:b/>
          <w:sz w:val="20"/>
          <w:szCs w:val="20"/>
        </w:rPr>
      </w:pPr>
    </w:p>
    <w:p w:rsidR="007E1643" w:rsidRDefault="007E1643" w:rsidP="00B70311">
      <w:pPr>
        <w:spacing w:after="200" w:line="276" w:lineRule="auto"/>
        <w:jc w:val="center"/>
        <w:rPr>
          <w:b/>
          <w:sz w:val="20"/>
          <w:szCs w:val="20"/>
        </w:rPr>
      </w:pPr>
    </w:p>
    <w:p w:rsidR="007E1643" w:rsidRDefault="007E1643" w:rsidP="00B70311">
      <w:pPr>
        <w:spacing w:after="200" w:line="276" w:lineRule="auto"/>
        <w:jc w:val="center"/>
        <w:rPr>
          <w:b/>
          <w:sz w:val="20"/>
          <w:szCs w:val="20"/>
        </w:rPr>
      </w:pPr>
    </w:p>
    <w:p w:rsidR="00693A2E" w:rsidRDefault="00693A2E" w:rsidP="00B70311">
      <w:pPr>
        <w:spacing w:after="200" w:line="276" w:lineRule="auto"/>
        <w:jc w:val="center"/>
        <w:rPr>
          <w:b/>
          <w:sz w:val="20"/>
          <w:szCs w:val="20"/>
        </w:rPr>
      </w:pPr>
    </w:p>
    <w:p w:rsidR="00693A2E" w:rsidRDefault="00693A2E" w:rsidP="00B70311">
      <w:pPr>
        <w:spacing w:after="200" w:line="276" w:lineRule="auto"/>
        <w:jc w:val="center"/>
        <w:rPr>
          <w:b/>
          <w:sz w:val="20"/>
          <w:szCs w:val="20"/>
        </w:rPr>
      </w:pPr>
    </w:p>
    <w:p w:rsidR="00693A2E" w:rsidRDefault="00693A2E" w:rsidP="00B70311">
      <w:pPr>
        <w:spacing w:after="200" w:line="276" w:lineRule="auto"/>
        <w:jc w:val="center"/>
        <w:rPr>
          <w:b/>
          <w:sz w:val="20"/>
          <w:szCs w:val="20"/>
        </w:rPr>
      </w:pPr>
    </w:p>
    <w:p w:rsidR="00693A2E" w:rsidRDefault="00693A2E" w:rsidP="00B70311">
      <w:pPr>
        <w:spacing w:after="200" w:line="276" w:lineRule="auto"/>
        <w:jc w:val="center"/>
        <w:rPr>
          <w:b/>
          <w:sz w:val="20"/>
          <w:szCs w:val="20"/>
        </w:rPr>
      </w:pPr>
    </w:p>
    <w:p w:rsidR="00693A2E" w:rsidRDefault="00693A2E" w:rsidP="00B70311">
      <w:pPr>
        <w:spacing w:after="200" w:line="276" w:lineRule="auto"/>
        <w:jc w:val="center"/>
        <w:rPr>
          <w:b/>
          <w:sz w:val="20"/>
          <w:szCs w:val="20"/>
        </w:rPr>
      </w:pPr>
    </w:p>
    <w:p w:rsidR="00693A2E" w:rsidRDefault="00693A2E" w:rsidP="00B70311">
      <w:pPr>
        <w:spacing w:after="200" w:line="276" w:lineRule="auto"/>
        <w:jc w:val="center"/>
        <w:rPr>
          <w:b/>
          <w:sz w:val="20"/>
          <w:szCs w:val="20"/>
        </w:rPr>
      </w:pPr>
    </w:p>
    <w:p w:rsidR="00693A2E" w:rsidRDefault="00693A2E" w:rsidP="00B70311">
      <w:pPr>
        <w:spacing w:after="200" w:line="276" w:lineRule="auto"/>
        <w:jc w:val="center"/>
        <w:rPr>
          <w:b/>
          <w:sz w:val="20"/>
          <w:szCs w:val="20"/>
        </w:rPr>
      </w:pPr>
    </w:p>
    <w:p w:rsidR="00693A2E" w:rsidRDefault="00693A2E" w:rsidP="00B70311">
      <w:pPr>
        <w:spacing w:after="200" w:line="276" w:lineRule="auto"/>
        <w:jc w:val="center"/>
        <w:rPr>
          <w:b/>
          <w:sz w:val="20"/>
          <w:szCs w:val="20"/>
        </w:rPr>
      </w:pPr>
      <w:bookmarkStart w:id="0" w:name="_GoBack"/>
      <w:bookmarkEnd w:id="0"/>
    </w:p>
    <w:p w:rsidR="007E1643" w:rsidRDefault="007E1643" w:rsidP="00B70311">
      <w:pPr>
        <w:spacing w:after="200" w:line="276" w:lineRule="auto"/>
        <w:jc w:val="center"/>
        <w:rPr>
          <w:b/>
          <w:sz w:val="20"/>
          <w:szCs w:val="20"/>
        </w:rPr>
      </w:pPr>
    </w:p>
    <w:p w:rsidR="007E1643" w:rsidRDefault="007E1643" w:rsidP="00B70311">
      <w:pPr>
        <w:spacing w:after="200" w:line="276" w:lineRule="auto"/>
        <w:jc w:val="center"/>
        <w:rPr>
          <w:b/>
          <w:sz w:val="20"/>
          <w:szCs w:val="20"/>
        </w:rPr>
      </w:pPr>
    </w:p>
    <w:p w:rsidR="007E1643" w:rsidRDefault="007E1643" w:rsidP="00B70311">
      <w:pPr>
        <w:spacing w:after="200" w:line="276" w:lineRule="auto"/>
        <w:jc w:val="center"/>
        <w:rPr>
          <w:b/>
          <w:sz w:val="20"/>
          <w:szCs w:val="20"/>
        </w:rPr>
      </w:pPr>
    </w:p>
    <w:p w:rsidR="007E1643" w:rsidRDefault="007E1643" w:rsidP="00B70311">
      <w:pPr>
        <w:spacing w:after="200" w:line="276" w:lineRule="auto"/>
        <w:jc w:val="center"/>
        <w:rPr>
          <w:b/>
          <w:sz w:val="20"/>
          <w:szCs w:val="20"/>
        </w:rPr>
      </w:pPr>
    </w:p>
    <w:p w:rsidR="00B70311" w:rsidRPr="005D076A" w:rsidRDefault="00B70311" w:rsidP="00B70311">
      <w:pPr>
        <w:spacing w:after="200" w:line="276" w:lineRule="auto"/>
        <w:jc w:val="center"/>
        <w:rPr>
          <w:b/>
          <w:sz w:val="20"/>
          <w:szCs w:val="20"/>
        </w:rPr>
      </w:pPr>
      <w:r w:rsidRPr="005D076A">
        <w:rPr>
          <w:b/>
          <w:sz w:val="20"/>
          <w:szCs w:val="20"/>
        </w:rPr>
        <w:lastRenderedPageBreak/>
        <w:t>APPENDICES</w:t>
      </w:r>
    </w:p>
    <w:p w:rsidR="00B70311" w:rsidRPr="005D076A" w:rsidRDefault="00B70311" w:rsidP="00B70311">
      <w:pPr>
        <w:tabs>
          <w:tab w:val="left" w:pos="6390"/>
        </w:tabs>
        <w:autoSpaceDE w:val="0"/>
        <w:autoSpaceDN w:val="0"/>
        <w:adjustRightInd w:val="0"/>
        <w:jc w:val="both"/>
        <w:rPr>
          <w:sz w:val="20"/>
          <w:szCs w:val="20"/>
        </w:rPr>
      </w:pPr>
      <w:r w:rsidRPr="005D076A">
        <w:rPr>
          <w:sz w:val="20"/>
          <w:szCs w:val="20"/>
        </w:rPr>
        <w:tab/>
      </w:r>
    </w:p>
    <w:p w:rsidR="00B70311" w:rsidRPr="005D076A" w:rsidRDefault="00B70311" w:rsidP="00B70311">
      <w:pPr>
        <w:autoSpaceDE w:val="0"/>
        <w:autoSpaceDN w:val="0"/>
        <w:adjustRightInd w:val="0"/>
        <w:ind w:firstLine="720"/>
        <w:rPr>
          <w:b/>
          <w:sz w:val="20"/>
          <w:szCs w:val="20"/>
        </w:rPr>
      </w:pPr>
      <w:r w:rsidRPr="005D076A">
        <w:rPr>
          <w:b/>
          <w:sz w:val="20"/>
          <w:szCs w:val="20"/>
        </w:rPr>
        <w:t xml:space="preserve">Appendix 1: </w:t>
      </w:r>
      <w:r>
        <w:rPr>
          <w:b/>
          <w:sz w:val="20"/>
          <w:szCs w:val="20"/>
        </w:rPr>
        <w:t xml:space="preserve">Leadership Structure and Ethnic Diversity </w:t>
      </w:r>
    </w:p>
    <w:p w:rsidR="00B70311" w:rsidRPr="005370D5" w:rsidRDefault="00B70311" w:rsidP="00B70311">
      <w:pPr>
        <w:autoSpaceDE w:val="0"/>
        <w:autoSpaceDN w:val="0"/>
        <w:adjustRightInd w:val="0"/>
        <w:jc w:val="center"/>
        <w:rPr>
          <w:b/>
        </w:rPr>
      </w:pPr>
    </w:p>
    <w:p w:rsidR="00B70311" w:rsidRDefault="00B70311" w:rsidP="00B70311">
      <w:pPr>
        <w:autoSpaceDE w:val="0"/>
        <w:autoSpaceDN w:val="0"/>
        <w:adjustRightInd w:val="0"/>
        <w:jc w:val="center"/>
        <w:rPr>
          <w:b/>
          <w:sz w:val="20"/>
          <w:szCs w:val="20"/>
        </w:rPr>
      </w:pPr>
      <w:r w:rsidRPr="005D076A">
        <w:rPr>
          <w:noProof/>
          <w:sz w:val="20"/>
          <w:szCs w:val="20"/>
          <w:lang w:val="en-GB" w:eastAsia="en-GB"/>
        </w:rPr>
        <w:drawing>
          <wp:inline distT="0" distB="0" distL="0" distR="0" wp14:anchorId="6D5D3ABF" wp14:editId="2CA3A288">
            <wp:extent cx="4533900" cy="14001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3900" cy="1400175"/>
                    </a:xfrm>
                    <a:prstGeom prst="rect">
                      <a:avLst/>
                    </a:prstGeom>
                    <a:noFill/>
                    <a:ln>
                      <a:noFill/>
                    </a:ln>
                  </pic:spPr>
                </pic:pic>
              </a:graphicData>
            </a:graphic>
          </wp:inline>
        </w:drawing>
      </w:r>
    </w:p>
    <w:p w:rsidR="00B70311" w:rsidRDefault="00B70311" w:rsidP="00B70311">
      <w:pPr>
        <w:autoSpaceDE w:val="0"/>
        <w:autoSpaceDN w:val="0"/>
        <w:adjustRightInd w:val="0"/>
        <w:jc w:val="center"/>
        <w:rPr>
          <w:b/>
          <w:sz w:val="20"/>
          <w:szCs w:val="20"/>
        </w:rPr>
      </w:pPr>
    </w:p>
    <w:p w:rsidR="00B70311" w:rsidRDefault="00B70311" w:rsidP="00B70311">
      <w:pPr>
        <w:autoSpaceDE w:val="0"/>
        <w:autoSpaceDN w:val="0"/>
        <w:adjustRightInd w:val="0"/>
        <w:jc w:val="center"/>
        <w:rPr>
          <w:b/>
          <w:sz w:val="20"/>
          <w:szCs w:val="20"/>
        </w:rPr>
      </w:pPr>
    </w:p>
    <w:p w:rsidR="00B70311" w:rsidRPr="005D076A" w:rsidRDefault="00B70311" w:rsidP="00B70311">
      <w:pPr>
        <w:autoSpaceDE w:val="0"/>
        <w:autoSpaceDN w:val="0"/>
        <w:adjustRightInd w:val="0"/>
        <w:ind w:firstLine="709"/>
        <w:rPr>
          <w:b/>
          <w:sz w:val="20"/>
          <w:szCs w:val="20"/>
        </w:rPr>
      </w:pPr>
      <w:r w:rsidRPr="005D076A">
        <w:rPr>
          <w:b/>
          <w:sz w:val="20"/>
          <w:szCs w:val="20"/>
        </w:rPr>
        <w:t>Appendix 2: Chow Breakpoint Stability Test of Board Dynamics (Pre and Post SEC Code)</w:t>
      </w:r>
    </w:p>
    <w:p w:rsidR="00B70311" w:rsidRPr="005D076A" w:rsidRDefault="00B70311" w:rsidP="00B70311">
      <w:pPr>
        <w:autoSpaceDE w:val="0"/>
        <w:autoSpaceDN w:val="0"/>
        <w:adjustRightInd w:val="0"/>
        <w:jc w:val="center"/>
        <w:rPr>
          <w:b/>
          <w:sz w:val="20"/>
          <w:szCs w:val="20"/>
        </w:rPr>
      </w:pPr>
    </w:p>
    <w:p w:rsidR="00B70311" w:rsidRPr="003E31CC" w:rsidRDefault="00B70311" w:rsidP="00B70311">
      <w:pPr>
        <w:tabs>
          <w:tab w:val="left" w:pos="1129"/>
        </w:tabs>
        <w:autoSpaceDE w:val="0"/>
        <w:autoSpaceDN w:val="0"/>
        <w:adjustRightInd w:val="0"/>
        <w:jc w:val="both"/>
        <w:rPr>
          <w:b/>
          <w:sz w:val="20"/>
          <w:szCs w:val="20"/>
        </w:rPr>
      </w:pPr>
      <w:r>
        <w:rPr>
          <w:b/>
          <w:sz w:val="20"/>
          <w:szCs w:val="20"/>
        </w:rPr>
        <w:tab/>
      </w:r>
      <w:r w:rsidRPr="005D076A">
        <w:rPr>
          <w:noProof/>
          <w:sz w:val="20"/>
          <w:szCs w:val="20"/>
          <w:lang w:val="en-GB" w:eastAsia="en-GB"/>
        </w:rPr>
        <w:drawing>
          <wp:inline distT="0" distB="0" distL="0" distR="0" wp14:anchorId="1C9EF986" wp14:editId="19D75369">
            <wp:extent cx="4805083" cy="176305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3211" cy="1762372"/>
                    </a:xfrm>
                    <a:prstGeom prst="rect">
                      <a:avLst/>
                    </a:prstGeom>
                    <a:noFill/>
                    <a:ln>
                      <a:noFill/>
                    </a:ln>
                  </pic:spPr>
                </pic:pic>
              </a:graphicData>
            </a:graphic>
          </wp:inline>
        </w:drawing>
      </w:r>
    </w:p>
    <w:p w:rsidR="00B70311" w:rsidRPr="005D076A" w:rsidRDefault="00B70311" w:rsidP="00B70311">
      <w:pPr>
        <w:autoSpaceDE w:val="0"/>
        <w:autoSpaceDN w:val="0"/>
        <w:adjustRightInd w:val="0"/>
        <w:ind w:left="720"/>
        <w:jc w:val="both"/>
        <w:rPr>
          <w:b/>
          <w:sz w:val="20"/>
          <w:szCs w:val="20"/>
        </w:rPr>
      </w:pPr>
      <w:r w:rsidRPr="005D076A">
        <w:rPr>
          <w:b/>
          <w:sz w:val="20"/>
          <w:szCs w:val="20"/>
        </w:rPr>
        <w:t>Appendix 3: Cumulative Sum of Squares Residual (CUSUM) Test on Break Point Shock Results (</w:t>
      </w:r>
      <w:r w:rsidRPr="005D076A">
        <w:rPr>
          <w:b/>
          <w:i/>
          <w:sz w:val="20"/>
          <w:szCs w:val="20"/>
        </w:rPr>
        <w:t>Year 2004</w:t>
      </w:r>
      <w:r w:rsidRPr="005D076A">
        <w:rPr>
          <w:b/>
          <w:sz w:val="20"/>
          <w:szCs w:val="20"/>
        </w:rPr>
        <w:t>)</w:t>
      </w:r>
    </w:p>
    <w:p w:rsidR="00B70311" w:rsidRPr="003E31CC" w:rsidRDefault="00B70311" w:rsidP="00B70311">
      <w:pPr>
        <w:autoSpaceDE w:val="0"/>
        <w:autoSpaceDN w:val="0"/>
        <w:adjustRightInd w:val="0"/>
        <w:ind w:left="360"/>
        <w:jc w:val="both"/>
        <w:rPr>
          <w:sz w:val="20"/>
          <w:szCs w:val="20"/>
        </w:rPr>
      </w:pPr>
    </w:p>
    <w:p w:rsidR="00B70311" w:rsidRPr="003E31CC" w:rsidRDefault="00B70311" w:rsidP="00B70311">
      <w:pPr>
        <w:autoSpaceDE w:val="0"/>
        <w:autoSpaceDN w:val="0"/>
        <w:adjustRightInd w:val="0"/>
        <w:ind w:left="709"/>
        <w:jc w:val="both"/>
        <w:rPr>
          <w:sz w:val="20"/>
          <w:szCs w:val="20"/>
        </w:rPr>
      </w:pPr>
      <w:r w:rsidRPr="005D076A">
        <w:rPr>
          <w:noProof/>
          <w:sz w:val="20"/>
          <w:szCs w:val="20"/>
          <w:lang w:val="en-GB" w:eastAsia="en-GB"/>
        </w:rPr>
        <w:drawing>
          <wp:inline distT="0" distB="0" distL="0" distR="0" wp14:anchorId="74A7B2CA" wp14:editId="6082F2CE">
            <wp:extent cx="5486400" cy="2276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2276475"/>
                    </a:xfrm>
                    <a:prstGeom prst="rect">
                      <a:avLst/>
                    </a:prstGeom>
                    <a:noFill/>
                    <a:ln>
                      <a:noFill/>
                    </a:ln>
                  </pic:spPr>
                </pic:pic>
              </a:graphicData>
            </a:graphic>
          </wp:inline>
        </w:drawing>
      </w:r>
    </w:p>
    <w:p w:rsidR="00B70311" w:rsidRPr="003E31CC" w:rsidRDefault="00B70311" w:rsidP="00B70311">
      <w:pPr>
        <w:autoSpaceDE w:val="0"/>
        <w:autoSpaceDN w:val="0"/>
        <w:adjustRightInd w:val="0"/>
        <w:ind w:left="360"/>
        <w:jc w:val="both"/>
        <w:rPr>
          <w:sz w:val="20"/>
          <w:szCs w:val="20"/>
        </w:rPr>
      </w:pPr>
    </w:p>
    <w:p w:rsidR="00B70311" w:rsidRPr="003E31CC" w:rsidRDefault="00B70311" w:rsidP="00B70311">
      <w:pPr>
        <w:autoSpaceDE w:val="0"/>
        <w:autoSpaceDN w:val="0"/>
        <w:adjustRightInd w:val="0"/>
        <w:ind w:left="720" w:hanging="720"/>
        <w:jc w:val="both"/>
        <w:rPr>
          <w:b/>
          <w:sz w:val="20"/>
          <w:szCs w:val="20"/>
        </w:rPr>
      </w:pPr>
    </w:p>
    <w:p w:rsidR="00B70311" w:rsidRPr="003E31CC" w:rsidRDefault="00B70311" w:rsidP="00B70311">
      <w:pPr>
        <w:autoSpaceDE w:val="0"/>
        <w:autoSpaceDN w:val="0"/>
        <w:adjustRightInd w:val="0"/>
        <w:ind w:left="720" w:hanging="720"/>
        <w:jc w:val="both"/>
        <w:rPr>
          <w:b/>
          <w:sz w:val="20"/>
          <w:szCs w:val="20"/>
        </w:rPr>
      </w:pPr>
    </w:p>
    <w:p w:rsidR="00B70311" w:rsidRDefault="00B70311" w:rsidP="00B70311">
      <w:pPr>
        <w:autoSpaceDE w:val="0"/>
        <w:autoSpaceDN w:val="0"/>
        <w:adjustRightInd w:val="0"/>
        <w:ind w:left="720" w:hanging="720"/>
        <w:jc w:val="both"/>
        <w:rPr>
          <w:b/>
          <w:sz w:val="20"/>
          <w:szCs w:val="20"/>
        </w:rPr>
      </w:pPr>
    </w:p>
    <w:p w:rsidR="00B70311" w:rsidRDefault="00B70311" w:rsidP="00B70311">
      <w:pPr>
        <w:autoSpaceDE w:val="0"/>
        <w:autoSpaceDN w:val="0"/>
        <w:adjustRightInd w:val="0"/>
        <w:ind w:left="720" w:hanging="720"/>
        <w:jc w:val="both"/>
        <w:rPr>
          <w:b/>
          <w:sz w:val="20"/>
          <w:szCs w:val="20"/>
        </w:rPr>
      </w:pPr>
    </w:p>
    <w:p w:rsidR="00B70311" w:rsidRDefault="00B70311" w:rsidP="00B70311">
      <w:pPr>
        <w:autoSpaceDE w:val="0"/>
        <w:autoSpaceDN w:val="0"/>
        <w:adjustRightInd w:val="0"/>
        <w:ind w:left="720" w:hanging="720"/>
        <w:jc w:val="both"/>
        <w:rPr>
          <w:b/>
          <w:sz w:val="20"/>
          <w:szCs w:val="20"/>
        </w:rPr>
      </w:pPr>
    </w:p>
    <w:p w:rsidR="00B70311" w:rsidRDefault="00B70311" w:rsidP="00B70311">
      <w:pPr>
        <w:autoSpaceDE w:val="0"/>
        <w:autoSpaceDN w:val="0"/>
        <w:adjustRightInd w:val="0"/>
        <w:ind w:left="720" w:hanging="720"/>
        <w:jc w:val="both"/>
        <w:rPr>
          <w:b/>
          <w:sz w:val="20"/>
          <w:szCs w:val="20"/>
        </w:rPr>
      </w:pPr>
    </w:p>
    <w:p w:rsidR="00B70311" w:rsidRDefault="00B70311" w:rsidP="00B70311">
      <w:pPr>
        <w:autoSpaceDE w:val="0"/>
        <w:autoSpaceDN w:val="0"/>
        <w:adjustRightInd w:val="0"/>
        <w:ind w:left="720" w:hanging="720"/>
        <w:jc w:val="both"/>
        <w:rPr>
          <w:b/>
          <w:sz w:val="20"/>
          <w:szCs w:val="20"/>
        </w:rPr>
      </w:pPr>
    </w:p>
    <w:p w:rsidR="00B70311" w:rsidRDefault="00B70311" w:rsidP="00B70311">
      <w:pPr>
        <w:autoSpaceDE w:val="0"/>
        <w:autoSpaceDN w:val="0"/>
        <w:adjustRightInd w:val="0"/>
        <w:ind w:left="720" w:hanging="720"/>
        <w:jc w:val="both"/>
        <w:rPr>
          <w:b/>
          <w:sz w:val="20"/>
          <w:szCs w:val="20"/>
        </w:rPr>
      </w:pPr>
    </w:p>
    <w:p w:rsidR="00B70311" w:rsidRDefault="00B70311" w:rsidP="00B70311">
      <w:pPr>
        <w:autoSpaceDE w:val="0"/>
        <w:autoSpaceDN w:val="0"/>
        <w:adjustRightInd w:val="0"/>
        <w:ind w:left="720" w:hanging="720"/>
        <w:jc w:val="both"/>
        <w:rPr>
          <w:b/>
          <w:sz w:val="20"/>
          <w:szCs w:val="20"/>
        </w:rPr>
      </w:pPr>
    </w:p>
    <w:p w:rsidR="00B70311" w:rsidRDefault="00B70311" w:rsidP="00B70311">
      <w:pPr>
        <w:autoSpaceDE w:val="0"/>
        <w:autoSpaceDN w:val="0"/>
        <w:adjustRightInd w:val="0"/>
        <w:ind w:left="720" w:hanging="720"/>
        <w:jc w:val="both"/>
        <w:rPr>
          <w:b/>
          <w:sz w:val="20"/>
          <w:szCs w:val="20"/>
        </w:rPr>
      </w:pPr>
    </w:p>
    <w:p w:rsidR="00B70311" w:rsidRPr="00CF107A" w:rsidRDefault="00B70311" w:rsidP="00B70311">
      <w:pPr>
        <w:autoSpaceDE w:val="0"/>
        <w:autoSpaceDN w:val="0"/>
        <w:adjustRightInd w:val="0"/>
        <w:ind w:left="720" w:hanging="11"/>
        <w:rPr>
          <w:b/>
          <w:sz w:val="20"/>
          <w:szCs w:val="20"/>
        </w:rPr>
      </w:pPr>
      <w:r w:rsidRPr="00CF107A">
        <w:rPr>
          <w:b/>
          <w:sz w:val="20"/>
          <w:szCs w:val="20"/>
        </w:rPr>
        <w:lastRenderedPageBreak/>
        <w:t>Appendix 4: Normality Test of the Board Variables (</w:t>
      </w:r>
      <w:r w:rsidRPr="00CF107A">
        <w:rPr>
          <w:b/>
          <w:i/>
          <w:sz w:val="20"/>
          <w:szCs w:val="20"/>
        </w:rPr>
        <w:t>Z-standardized Values</w:t>
      </w:r>
      <w:r w:rsidRPr="00CF107A">
        <w:rPr>
          <w:b/>
          <w:sz w:val="20"/>
          <w:szCs w:val="20"/>
        </w:rPr>
        <w:t>)</w:t>
      </w:r>
    </w:p>
    <w:p w:rsidR="00B70311" w:rsidRPr="00CF107A" w:rsidRDefault="00B70311" w:rsidP="00B70311">
      <w:pPr>
        <w:autoSpaceDE w:val="0"/>
        <w:autoSpaceDN w:val="0"/>
        <w:adjustRightInd w:val="0"/>
        <w:ind w:left="720" w:hanging="720"/>
        <w:jc w:val="center"/>
        <w:rPr>
          <w:b/>
          <w:sz w:val="20"/>
          <w:szCs w:val="20"/>
        </w:rPr>
      </w:pPr>
    </w:p>
    <w:tbl>
      <w:tblPr>
        <w:tblpPr w:leftFromText="180" w:rightFromText="180" w:vertAnchor="text" w:horzAnchor="page" w:tblpX="2420" w:tblpY="98"/>
        <w:tblW w:w="8578" w:type="dxa"/>
        <w:tblLayout w:type="fixed"/>
        <w:tblCellMar>
          <w:left w:w="0" w:type="dxa"/>
          <w:right w:w="0" w:type="dxa"/>
        </w:tblCellMar>
        <w:tblLook w:val="0000" w:firstRow="0" w:lastRow="0" w:firstColumn="0" w:lastColumn="0" w:noHBand="0" w:noVBand="0"/>
      </w:tblPr>
      <w:tblGrid>
        <w:gridCol w:w="1366"/>
        <w:gridCol w:w="1202"/>
        <w:gridCol w:w="1202"/>
        <w:gridCol w:w="1202"/>
        <w:gridCol w:w="1202"/>
        <w:gridCol w:w="1202"/>
        <w:gridCol w:w="1202"/>
      </w:tblGrid>
      <w:tr w:rsidR="00B70311" w:rsidRPr="00A9493C" w:rsidTr="00282843">
        <w:trPr>
          <w:trHeight w:val="182"/>
        </w:trPr>
        <w:tc>
          <w:tcPr>
            <w:tcW w:w="1366"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b/>
                <w:color w:val="000000"/>
                <w:sz w:val="20"/>
                <w:szCs w:val="20"/>
              </w:rPr>
            </w:pPr>
            <w:r w:rsidRPr="00A9493C">
              <w:rPr>
                <w:b/>
                <w:color w:val="000000"/>
                <w:sz w:val="20"/>
                <w:szCs w:val="20"/>
              </w:rPr>
              <w:t>BS</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b/>
                <w:color w:val="000000"/>
                <w:sz w:val="20"/>
                <w:szCs w:val="20"/>
              </w:rPr>
            </w:pPr>
            <w:r w:rsidRPr="00A9493C">
              <w:rPr>
                <w:b/>
                <w:color w:val="000000"/>
                <w:sz w:val="20"/>
                <w:szCs w:val="20"/>
              </w:rPr>
              <w:t>BI</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b/>
                <w:color w:val="000000"/>
                <w:sz w:val="20"/>
                <w:szCs w:val="20"/>
              </w:rPr>
            </w:pPr>
            <w:r w:rsidRPr="00A9493C">
              <w:rPr>
                <w:b/>
                <w:color w:val="000000"/>
                <w:sz w:val="20"/>
                <w:szCs w:val="20"/>
              </w:rPr>
              <w:t>CEOD</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b/>
                <w:color w:val="000000"/>
                <w:sz w:val="20"/>
                <w:szCs w:val="20"/>
              </w:rPr>
            </w:pPr>
            <w:r w:rsidRPr="00A9493C">
              <w:rPr>
                <w:b/>
                <w:color w:val="000000"/>
                <w:sz w:val="20"/>
                <w:szCs w:val="20"/>
              </w:rPr>
              <w:t>ER</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b/>
                <w:color w:val="000000"/>
                <w:sz w:val="20"/>
                <w:szCs w:val="20"/>
              </w:rPr>
            </w:pPr>
            <w:r w:rsidRPr="00A9493C">
              <w:rPr>
                <w:b/>
                <w:color w:val="000000"/>
                <w:sz w:val="20"/>
                <w:szCs w:val="20"/>
              </w:rPr>
              <w:t>AVGEXP</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b/>
                <w:color w:val="000000"/>
                <w:sz w:val="20"/>
                <w:szCs w:val="20"/>
              </w:rPr>
            </w:pPr>
            <w:r w:rsidRPr="00A9493C">
              <w:rPr>
                <w:b/>
                <w:color w:val="000000"/>
                <w:sz w:val="20"/>
                <w:szCs w:val="20"/>
              </w:rPr>
              <w:t>DMBA</w:t>
            </w:r>
          </w:p>
        </w:tc>
      </w:tr>
      <w:tr w:rsidR="00B70311" w:rsidRPr="00A9493C" w:rsidTr="00282843">
        <w:trPr>
          <w:trHeight w:val="196"/>
        </w:trPr>
        <w:tc>
          <w:tcPr>
            <w:tcW w:w="1366" w:type="dxa"/>
            <w:tcBorders>
              <w:top w:val="nil"/>
              <w:left w:val="nil"/>
              <w:bottom w:val="nil"/>
              <w:right w:val="nil"/>
            </w:tcBorders>
            <w:vAlign w:val="bottom"/>
          </w:tcPr>
          <w:p w:rsidR="00B70311" w:rsidRPr="00A9493C" w:rsidRDefault="00B70311" w:rsidP="00282843">
            <w:pPr>
              <w:autoSpaceDE w:val="0"/>
              <w:autoSpaceDN w:val="0"/>
              <w:adjustRightInd w:val="0"/>
              <w:rPr>
                <w:color w:val="000000"/>
                <w:sz w:val="20"/>
                <w:szCs w:val="20"/>
              </w:rPr>
            </w:pPr>
            <w:r w:rsidRPr="00A9493C">
              <w:rPr>
                <w:color w:val="000000"/>
                <w:sz w:val="20"/>
                <w:szCs w:val="20"/>
              </w:rPr>
              <w:t> Mean</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-0.005</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-0.000</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-0.001</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-0.004</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-0.003</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-0.002</w:t>
            </w:r>
          </w:p>
        </w:tc>
      </w:tr>
      <w:tr w:rsidR="00B70311" w:rsidRPr="00A9493C" w:rsidTr="00282843">
        <w:trPr>
          <w:trHeight w:val="207"/>
        </w:trPr>
        <w:tc>
          <w:tcPr>
            <w:tcW w:w="1366" w:type="dxa"/>
            <w:tcBorders>
              <w:top w:val="nil"/>
              <w:left w:val="nil"/>
              <w:bottom w:val="nil"/>
              <w:right w:val="nil"/>
            </w:tcBorders>
            <w:vAlign w:val="bottom"/>
          </w:tcPr>
          <w:p w:rsidR="00B70311" w:rsidRPr="00A9493C" w:rsidRDefault="00B70311" w:rsidP="00282843">
            <w:pPr>
              <w:autoSpaceDE w:val="0"/>
              <w:autoSpaceDN w:val="0"/>
              <w:adjustRightInd w:val="0"/>
              <w:rPr>
                <w:color w:val="000000"/>
                <w:sz w:val="20"/>
                <w:szCs w:val="20"/>
              </w:rPr>
            </w:pPr>
            <w:r w:rsidRPr="00A9493C">
              <w:rPr>
                <w:color w:val="000000"/>
                <w:sz w:val="20"/>
                <w:szCs w:val="20"/>
              </w:rPr>
              <w:t> Std. Dev.</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0.997</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0.998</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0.998</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0.999</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0.999</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0.999</w:t>
            </w:r>
          </w:p>
        </w:tc>
      </w:tr>
      <w:tr w:rsidR="00B70311" w:rsidRPr="00A9493C" w:rsidTr="00282843">
        <w:trPr>
          <w:trHeight w:val="207"/>
        </w:trPr>
        <w:tc>
          <w:tcPr>
            <w:tcW w:w="1366" w:type="dxa"/>
            <w:tcBorders>
              <w:top w:val="nil"/>
              <w:left w:val="nil"/>
              <w:bottom w:val="nil"/>
              <w:right w:val="nil"/>
            </w:tcBorders>
            <w:vAlign w:val="bottom"/>
          </w:tcPr>
          <w:p w:rsidR="00B70311" w:rsidRPr="00A9493C" w:rsidRDefault="00B70311" w:rsidP="00282843">
            <w:pPr>
              <w:autoSpaceDE w:val="0"/>
              <w:autoSpaceDN w:val="0"/>
              <w:adjustRightInd w:val="0"/>
              <w:rPr>
                <w:color w:val="000000"/>
                <w:sz w:val="20"/>
                <w:szCs w:val="20"/>
              </w:rPr>
            </w:pPr>
            <w:r w:rsidRPr="00A9493C">
              <w:rPr>
                <w:color w:val="000000"/>
                <w:sz w:val="20"/>
                <w:szCs w:val="20"/>
              </w:rPr>
              <w:t> Skewness</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0.952</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0.684</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-3.994</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1.005</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0.075</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1.485</w:t>
            </w:r>
          </w:p>
        </w:tc>
      </w:tr>
      <w:tr w:rsidR="00B70311" w:rsidRPr="00A9493C" w:rsidTr="00282843">
        <w:trPr>
          <w:trHeight w:val="115"/>
        </w:trPr>
        <w:tc>
          <w:tcPr>
            <w:tcW w:w="1366" w:type="dxa"/>
            <w:tcBorders>
              <w:top w:val="nil"/>
              <w:left w:val="nil"/>
              <w:bottom w:val="nil"/>
              <w:right w:val="nil"/>
            </w:tcBorders>
            <w:vAlign w:val="bottom"/>
          </w:tcPr>
          <w:p w:rsidR="00B70311" w:rsidRPr="00A9493C" w:rsidRDefault="00B70311" w:rsidP="00282843">
            <w:pPr>
              <w:autoSpaceDE w:val="0"/>
              <w:autoSpaceDN w:val="0"/>
              <w:adjustRightInd w:val="0"/>
              <w:rPr>
                <w:color w:val="000000"/>
                <w:sz w:val="20"/>
                <w:szCs w:val="20"/>
              </w:rPr>
            </w:pPr>
            <w:r w:rsidRPr="00A9493C">
              <w:rPr>
                <w:color w:val="000000"/>
                <w:sz w:val="20"/>
                <w:szCs w:val="20"/>
              </w:rPr>
              <w:t> Kurtosis</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4.200</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3.284</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18.835</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3.166</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2.694</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5.528</w:t>
            </w:r>
          </w:p>
        </w:tc>
      </w:tr>
      <w:tr w:rsidR="00B70311" w:rsidRPr="00A9493C" w:rsidTr="00282843">
        <w:trPr>
          <w:trHeight w:val="196"/>
        </w:trPr>
        <w:tc>
          <w:tcPr>
            <w:tcW w:w="1366"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p>
        </w:tc>
      </w:tr>
      <w:tr w:rsidR="00B70311" w:rsidRPr="00A9493C" w:rsidTr="00282843">
        <w:trPr>
          <w:trHeight w:val="102"/>
        </w:trPr>
        <w:tc>
          <w:tcPr>
            <w:tcW w:w="1366" w:type="dxa"/>
            <w:tcBorders>
              <w:top w:val="nil"/>
              <w:left w:val="nil"/>
              <w:bottom w:val="nil"/>
              <w:right w:val="nil"/>
            </w:tcBorders>
            <w:vAlign w:val="bottom"/>
          </w:tcPr>
          <w:p w:rsidR="00B70311" w:rsidRPr="00A9493C" w:rsidRDefault="00B70311" w:rsidP="00282843">
            <w:pPr>
              <w:autoSpaceDE w:val="0"/>
              <w:autoSpaceDN w:val="0"/>
              <w:adjustRightInd w:val="0"/>
              <w:rPr>
                <w:color w:val="000000"/>
                <w:sz w:val="20"/>
                <w:szCs w:val="20"/>
              </w:rPr>
            </w:pPr>
            <w:r w:rsidRPr="00A9493C">
              <w:rPr>
                <w:color w:val="000000"/>
                <w:sz w:val="20"/>
                <w:szCs w:val="20"/>
              </w:rPr>
              <w:t> </w:t>
            </w:r>
            <w:proofErr w:type="spellStart"/>
            <w:r w:rsidRPr="00A9493C">
              <w:rPr>
                <w:color w:val="000000"/>
                <w:sz w:val="20"/>
                <w:szCs w:val="20"/>
              </w:rPr>
              <w:t>Jarque-Bera</w:t>
            </w:r>
            <w:proofErr w:type="spellEnd"/>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53.592</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20.669</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3329.218</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43.079</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0.585</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67.833</w:t>
            </w:r>
          </w:p>
        </w:tc>
      </w:tr>
      <w:tr w:rsidR="00B70311" w:rsidRPr="00A9493C" w:rsidTr="00282843">
        <w:trPr>
          <w:trHeight w:val="231"/>
        </w:trPr>
        <w:tc>
          <w:tcPr>
            <w:tcW w:w="1366" w:type="dxa"/>
            <w:tcBorders>
              <w:top w:val="nil"/>
              <w:left w:val="nil"/>
              <w:bottom w:val="nil"/>
              <w:right w:val="nil"/>
            </w:tcBorders>
            <w:vAlign w:val="bottom"/>
          </w:tcPr>
          <w:p w:rsidR="00B70311" w:rsidRPr="00A9493C" w:rsidRDefault="00B70311" w:rsidP="00282843">
            <w:pPr>
              <w:autoSpaceDE w:val="0"/>
              <w:autoSpaceDN w:val="0"/>
              <w:adjustRightInd w:val="0"/>
              <w:rPr>
                <w:color w:val="000000"/>
                <w:sz w:val="20"/>
                <w:szCs w:val="20"/>
              </w:rPr>
            </w:pPr>
            <w:r w:rsidRPr="00A9493C">
              <w:rPr>
                <w:color w:val="000000"/>
                <w:sz w:val="20"/>
                <w:szCs w:val="20"/>
              </w:rPr>
              <w:t> Probability</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0.000</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0.000</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0.000</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0.000</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0.746</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0.000</w:t>
            </w:r>
          </w:p>
        </w:tc>
      </w:tr>
      <w:tr w:rsidR="00B70311" w:rsidRPr="00A9493C" w:rsidTr="00282843">
        <w:trPr>
          <w:trHeight w:val="149"/>
        </w:trPr>
        <w:tc>
          <w:tcPr>
            <w:tcW w:w="1366" w:type="dxa"/>
            <w:tcBorders>
              <w:top w:val="nil"/>
              <w:left w:val="nil"/>
              <w:bottom w:val="nil"/>
              <w:right w:val="nil"/>
            </w:tcBorders>
            <w:vAlign w:val="bottom"/>
          </w:tcPr>
          <w:p w:rsidR="00B70311" w:rsidRPr="00A9493C" w:rsidRDefault="00B70311" w:rsidP="00282843">
            <w:pPr>
              <w:autoSpaceDE w:val="0"/>
              <w:autoSpaceDN w:val="0"/>
              <w:adjustRightInd w:val="0"/>
              <w:rPr>
                <w:color w:val="000000"/>
                <w:sz w:val="20"/>
                <w:szCs w:val="20"/>
              </w:rPr>
            </w:pPr>
            <w:r w:rsidRPr="00A9493C">
              <w:rPr>
                <w:color w:val="000000"/>
                <w:sz w:val="20"/>
                <w:szCs w:val="20"/>
              </w:rPr>
              <w:t> Sum</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-1.269</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-0.056</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-0.157</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-1.010</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-0.387</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-0.247</w:t>
            </w:r>
          </w:p>
        </w:tc>
      </w:tr>
      <w:tr w:rsidR="00B70311" w:rsidRPr="00A9493C" w:rsidTr="00282843">
        <w:trPr>
          <w:trHeight w:val="115"/>
        </w:trPr>
        <w:tc>
          <w:tcPr>
            <w:tcW w:w="1366" w:type="dxa"/>
            <w:tcBorders>
              <w:top w:val="nil"/>
              <w:left w:val="nil"/>
              <w:bottom w:val="nil"/>
              <w:right w:val="nil"/>
            </w:tcBorders>
            <w:vAlign w:val="bottom"/>
          </w:tcPr>
          <w:p w:rsidR="00B70311" w:rsidRPr="00A9493C" w:rsidRDefault="00B70311" w:rsidP="00282843">
            <w:pPr>
              <w:autoSpaceDE w:val="0"/>
              <w:autoSpaceDN w:val="0"/>
              <w:adjustRightInd w:val="0"/>
              <w:rPr>
                <w:color w:val="000000"/>
                <w:sz w:val="20"/>
                <w:szCs w:val="20"/>
              </w:rPr>
            </w:pPr>
            <w:r w:rsidRPr="00A9493C">
              <w:rPr>
                <w:color w:val="000000"/>
                <w:sz w:val="20"/>
                <w:szCs w:val="20"/>
              </w:rPr>
              <w:t> Sum Sq. Dev.</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251.686</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252.045</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251.919</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252.644</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119.849</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105.938</w:t>
            </w:r>
          </w:p>
        </w:tc>
      </w:tr>
      <w:tr w:rsidR="00B70311" w:rsidRPr="00A9493C" w:rsidTr="00282843">
        <w:trPr>
          <w:trHeight w:val="196"/>
        </w:trPr>
        <w:tc>
          <w:tcPr>
            <w:tcW w:w="1366"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p>
        </w:tc>
      </w:tr>
      <w:tr w:rsidR="00B70311" w:rsidRPr="00A9493C" w:rsidTr="00282843">
        <w:trPr>
          <w:trHeight w:val="104"/>
        </w:trPr>
        <w:tc>
          <w:tcPr>
            <w:tcW w:w="1366" w:type="dxa"/>
            <w:tcBorders>
              <w:top w:val="nil"/>
              <w:left w:val="nil"/>
              <w:bottom w:val="nil"/>
              <w:right w:val="nil"/>
            </w:tcBorders>
            <w:vAlign w:val="bottom"/>
          </w:tcPr>
          <w:p w:rsidR="00B70311" w:rsidRPr="00A9493C" w:rsidRDefault="00B70311" w:rsidP="00282843">
            <w:pPr>
              <w:autoSpaceDE w:val="0"/>
              <w:autoSpaceDN w:val="0"/>
              <w:adjustRightInd w:val="0"/>
              <w:rPr>
                <w:color w:val="000000"/>
                <w:sz w:val="20"/>
                <w:szCs w:val="20"/>
              </w:rPr>
            </w:pPr>
            <w:r w:rsidRPr="00A9493C">
              <w:rPr>
                <w:color w:val="000000"/>
                <w:sz w:val="20"/>
                <w:szCs w:val="20"/>
              </w:rPr>
              <w:t> Observations</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254</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254</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254</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254</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121</w:t>
            </w:r>
          </w:p>
        </w:tc>
        <w:tc>
          <w:tcPr>
            <w:tcW w:w="1202" w:type="dxa"/>
            <w:tcBorders>
              <w:top w:val="nil"/>
              <w:left w:val="nil"/>
              <w:bottom w:val="nil"/>
              <w:right w:val="nil"/>
            </w:tcBorders>
            <w:vAlign w:val="bottom"/>
          </w:tcPr>
          <w:p w:rsidR="00B70311" w:rsidRPr="00A9493C" w:rsidRDefault="00B70311" w:rsidP="00282843">
            <w:pPr>
              <w:autoSpaceDE w:val="0"/>
              <w:autoSpaceDN w:val="0"/>
              <w:adjustRightInd w:val="0"/>
              <w:jc w:val="center"/>
              <w:rPr>
                <w:color w:val="000000"/>
                <w:sz w:val="20"/>
                <w:szCs w:val="20"/>
              </w:rPr>
            </w:pPr>
            <w:r w:rsidRPr="00A9493C">
              <w:rPr>
                <w:color w:val="000000"/>
                <w:sz w:val="20"/>
                <w:szCs w:val="20"/>
              </w:rPr>
              <w:t> 107</w:t>
            </w:r>
          </w:p>
        </w:tc>
      </w:tr>
    </w:tbl>
    <w:p w:rsidR="00B70311" w:rsidRPr="003E31CC" w:rsidRDefault="00B70311" w:rsidP="00B70311">
      <w:pPr>
        <w:autoSpaceDE w:val="0"/>
        <w:autoSpaceDN w:val="0"/>
        <w:adjustRightInd w:val="0"/>
        <w:rPr>
          <w:sz w:val="20"/>
          <w:szCs w:val="20"/>
        </w:rPr>
      </w:pPr>
    </w:p>
    <w:p w:rsidR="00B70311" w:rsidRPr="003E31CC" w:rsidRDefault="00B70311" w:rsidP="00B70311">
      <w:pPr>
        <w:autoSpaceDE w:val="0"/>
        <w:autoSpaceDN w:val="0"/>
        <w:adjustRightInd w:val="0"/>
        <w:ind w:left="360"/>
        <w:jc w:val="both"/>
        <w:rPr>
          <w:b/>
          <w:sz w:val="20"/>
          <w:szCs w:val="20"/>
        </w:rPr>
      </w:pPr>
    </w:p>
    <w:p w:rsidR="00B70311" w:rsidRPr="003E31CC" w:rsidRDefault="00B70311" w:rsidP="00B70311">
      <w:pPr>
        <w:autoSpaceDE w:val="0"/>
        <w:autoSpaceDN w:val="0"/>
        <w:adjustRightInd w:val="0"/>
        <w:ind w:left="360"/>
        <w:jc w:val="both"/>
        <w:rPr>
          <w:b/>
          <w:sz w:val="20"/>
          <w:szCs w:val="20"/>
        </w:rPr>
      </w:pPr>
    </w:p>
    <w:p w:rsidR="00B70311" w:rsidRPr="003E31CC" w:rsidRDefault="00B70311" w:rsidP="00B70311">
      <w:pPr>
        <w:autoSpaceDE w:val="0"/>
        <w:autoSpaceDN w:val="0"/>
        <w:adjustRightInd w:val="0"/>
        <w:ind w:left="360"/>
        <w:jc w:val="both"/>
        <w:rPr>
          <w:b/>
          <w:sz w:val="20"/>
          <w:szCs w:val="20"/>
        </w:rPr>
      </w:pPr>
    </w:p>
    <w:p w:rsidR="00B70311" w:rsidRPr="003E31CC" w:rsidRDefault="00B70311" w:rsidP="00B70311">
      <w:pPr>
        <w:autoSpaceDE w:val="0"/>
        <w:autoSpaceDN w:val="0"/>
        <w:adjustRightInd w:val="0"/>
        <w:ind w:left="360"/>
        <w:jc w:val="both"/>
        <w:rPr>
          <w:b/>
          <w:sz w:val="20"/>
          <w:szCs w:val="20"/>
        </w:rPr>
      </w:pPr>
    </w:p>
    <w:p w:rsidR="00B70311" w:rsidRPr="003E31CC" w:rsidRDefault="00B70311" w:rsidP="00B70311">
      <w:pPr>
        <w:autoSpaceDE w:val="0"/>
        <w:autoSpaceDN w:val="0"/>
        <w:adjustRightInd w:val="0"/>
        <w:ind w:left="360"/>
        <w:jc w:val="both"/>
        <w:rPr>
          <w:b/>
          <w:sz w:val="20"/>
          <w:szCs w:val="20"/>
        </w:rPr>
      </w:pPr>
    </w:p>
    <w:p w:rsidR="00B70311" w:rsidRDefault="00B70311" w:rsidP="00B70311">
      <w:pPr>
        <w:jc w:val="center"/>
        <w:rPr>
          <w:b/>
          <w:sz w:val="22"/>
          <w:szCs w:val="22"/>
        </w:rPr>
      </w:pPr>
    </w:p>
    <w:p w:rsidR="00B70311" w:rsidRDefault="00B70311" w:rsidP="00B70311">
      <w:pPr>
        <w:jc w:val="center"/>
        <w:rPr>
          <w:b/>
          <w:sz w:val="22"/>
          <w:szCs w:val="22"/>
        </w:rPr>
      </w:pPr>
    </w:p>
    <w:p w:rsidR="00B70311" w:rsidRDefault="00B70311" w:rsidP="00B70311">
      <w:pPr>
        <w:jc w:val="center"/>
        <w:rPr>
          <w:b/>
          <w:sz w:val="22"/>
          <w:szCs w:val="22"/>
        </w:rPr>
      </w:pPr>
    </w:p>
    <w:p w:rsidR="00B70311" w:rsidRDefault="00B70311" w:rsidP="00B70311">
      <w:pPr>
        <w:jc w:val="center"/>
        <w:rPr>
          <w:b/>
          <w:sz w:val="22"/>
          <w:szCs w:val="22"/>
        </w:rPr>
      </w:pPr>
    </w:p>
    <w:p w:rsidR="00B70311" w:rsidRDefault="00B70311" w:rsidP="00B70311">
      <w:pPr>
        <w:jc w:val="center"/>
        <w:rPr>
          <w:b/>
          <w:sz w:val="22"/>
          <w:szCs w:val="22"/>
        </w:rPr>
      </w:pPr>
    </w:p>
    <w:p w:rsidR="00B70311" w:rsidRDefault="00B70311" w:rsidP="00B70311">
      <w:pPr>
        <w:jc w:val="center"/>
        <w:rPr>
          <w:b/>
          <w:sz w:val="22"/>
          <w:szCs w:val="22"/>
        </w:rPr>
      </w:pPr>
    </w:p>
    <w:p w:rsidR="00B70311" w:rsidRDefault="00B70311" w:rsidP="00B70311">
      <w:pPr>
        <w:jc w:val="center"/>
        <w:rPr>
          <w:b/>
          <w:sz w:val="22"/>
          <w:szCs w:val="22"/>
        </w:rPr>
      </w:pPr>
    </w:p>
    <w:p w:rsidR="00B70311" w:rsidRPr="00541F96" w:rsidRDefault="00B70311" w:rsidP="00B70311">
      <w:pPr>
        <w:autoSpaceDE w:val="0"/>
        <w:autoSpaceDN w:val="0"/>
        <w:adjustRightInd w:val="0"/>
        <w:ind w:left="709"/>
        <w:rPr>
          <w:b/>
          <w:sz w:val="20"/>
          <w:szCs w:val="20"/>
        </w:rPr>
      </w:pPr>
      <w:r>
        <w:rPr>
          <w:b/>
          <w:sz w:val="20"/>
          <w:szCs w:val="20"/>
        </w:rPr>
        <w:t>Appendix 5</w:t>
      </w:r>
      <w:r w:rsidRPr="00541F96">
        <w:rPr>
          <w:b/>
          <w:sz w:val="20"/>
          <w:szCs w:val="20"/>
        </w:rPr>
        <w:t>: Summary of Stationarity (Unit Root) Test Results</w:t>
      </w:r>
    </w:p>
    <w:p w:rsidR="00B70311" w:rsidRPr="003E31CC" w:rsidRDefault="00B70311" w:rsidP="00B70311">
      <w:pPr>
        <w:autoSpaceDE w:val="0"/>
        <w:autoSpaceDN w:val="0"/>
        <w:adjustRightInd w:val="0"/>
        <w:ind w:left="993" w:firstLine="284"/>
        <w:jc w:val="both"/>
        <w:rPr>
          <w:b/>
          <w:sz w:val="20"/>
          <w:szCs w:val="20"/>
        </w:rPr>
      </w:pPr>
      <w:r>
        <w:rPr>
          <w:b/>
          <w:sz w:val="20"/>
          <w:szCs w:val="20"/>
        </w:rPr>
        <w:tab/>
      </w:r>
      <w:r w:rsidRPr="00E45F7D">
        <w:rPr>
          <w:noProof/>
          <w:lang w:val="en-GB" w:eastAsia="en-GB"/>
        </w:rPr>
        <w:drawing>
          <wp:inline distT="0" distB="0" distL="0" distR="0" wp14:anchorId="1AA9B99B" wp14:editId="7C4230F1">
            <wp:extent cx="5576047" cy="5827059"/>
            <wp:effectExtent l="0" t="0" r="571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1940" cy="5833217"/>
                    </a:xfrm>
                    <a:prstGeom prst="rect">
                      <a:avLst/>
                    </a:prstGeom>
                    <a:noFill/>
                    <a:ln>
                      <a:noFill/>
                    </a:ln>
                  </pic:spPr>
                </pic:pic>
              </a:graphicData>
            </a:graphic>
          </wp:inline>
        </w:drawing>
      </w:r>
    </w:p>
    <w:p w:rsidR="00B70311" w:rsidRPr="003E31CC" w:rsidRDefault="00B70311" w:rsidP="00B70311">
      <w:pPr>
        <w:rPr>
          <w:sz w:val="20"/>
          <w:szCs w:val="20"/>
        </w:rPr>
      </w:pPr>
    </w:p>
    <w:p w:rsidR="00B70311" w:rsidRPr="00541F96" w:rsidRDefault="00B70311" w:rsidP="00B70311">
      <w:pPr>
        <w:pStyle w:val="BodyTextIndent"/>
        <w:tabs>
          <w:tab w:val="left" w:pos="5205"/>
        </w:tabs>
        <w:spacing w:after="0" w:line="276" w:lineRule="auto"/>
        <w:ind w:left="993"/>
        <w:jc w:val="both"/>
        <w:rPr>
          <w:i/>
          <w:sz w:val="16"/>
          <w:szCs w:val="16"/>
        </w:rPr>
      </w:pPr>
      <w:r w:rsidRPr="00541F96">
        <w:rPr>
          <w:b/>
          <w:i/>
          <w:sz w:val="16"/>
          <w:szCs w:val="16"/>
        </w:rPr>
        <w:t xml:space="preserve">Note: </w:t>
      </w:r>
      <w:r w:rsidRPr="00541F96">
        <w:rPr>
          <w:i/>
          <w:sz w:val="16"/>
          <w:szCs w:val="16"/>
        </w:rPr>
        <w:t xml:space="preserve">p values for Fisher tests are based on the Asymptotic Chi-square Distribution, hence others assume asymptotic normality.   </w:t>
      </w:r>
      <w:proofErr w:type="gramStart"/>
      <w:r w:rsidRPr="00541F96">
        <w:rPr>
          <w:i/>
          <w:sz w:val="16"/>
          <w:szCs w:val="16"/>
        </w:rPr>
        <w:t xml:space="preserve">*significant </w:t>
      </w:r>
      <w:r>
        <w:rPr>
          <w:i/>
          <w:sz w:val="16"/>
          <w:szCs w:val="16"/>
        </w:rPr>
        <w:t xml:space="preserve">at </w:t>
      </w:r>
      <w:r w:rsidRPr="00541F96">
        <w:rPr>
          <w:i/>
          <w:sz w:val="16"/>
          <w:szCs w:val="16"/>
        </w:rPr>
        <w:t>5</w:t>
      </w:r>
      <w:r>
        <w:rPr>
          <w:i/>
          <w:sz w:val="16"/>
          <w:szCs w:val="16"/>
        </w:rPr>
        <w:t>%</w:t>
      </w:r>
      <w:r w:rsidRPr="00541F96">
        <w:rPr>
          <w:i/>
          <w:sz w:val="16"/>
          <w:szCs w:val="16"/>
        </w:rPr>
        <w:t xml:space="preserve"> </w:t>
      </w:r>
      <w:r>
        <w:rPr>
          <w:i/>
          <w:sz w:val="16"/>
          <w:szCs w:val="16"/>
        </w:rPr>
        <w:t>level</w:t>
      </w:r>
      <w:r w:rsidRPr="00541F96">
        <w:rPr>
          <w:i/>
          <w:sz w:val="16"/>
          <w:szCs w:val="16"/>
        </w:rPr>
        <w:t>.</w:t>
      </w:r>
      <w:proofErr w:type="gramEnd"/>
    </w:p>
    <w:p w:rsidR="00B70311" w:rsidRPr="00A02F3A" w:rsidRDefault="00B70311" w:rsidP="00B70311">
      <w:pPr>
        <w:ind w:left="709"/>
        <w:jc w:val="center"/>
        <w:rPr>
          <w:i/>
          <w:sz w:val="20"/>
          <w:szCs w:val="20"/>
        </w:rPr>
      </w:pPr>
      <w:r w:rsidRPr="00A02F3A">
        <w:rPr>
          <w:b/>
          <w:sz w:val="20"/>
          <w:szCs w:val="20"/>
        </w:rPr>
        <w:lastRenderedPageBreak/>
        <w:t xml:space="preserve">Appendix </w:t>
      </w:r>
      <w:r>
        <w:rPr>
          <w:b/>
          <w:sz w:val="20"/>
          <w:szCs w:val="20"/>
        </w:rPr>
        <w:t>6</w:t>
      </w:r>
      <w:r w:rsidRPr="00A02F3A">
        <w:rPr>
          <w:b/>
          <w:sz w:val="20"/>
          <w:szCs w:val="20"/>
        </w:rPr>
        <w:t>: Co-integration Test of the Estimated Regression Equation-</w:t>
      </w:r>
      <w:r w:rsidRPr="00A02F3A">
        <w:rPr>
          <w:i/>
          <w:sz w:val="20"/>
          <w:szCs w:val="20"/>
        </w:rPr>
        <w:t>Test Serial Correlation of the Residuals</w:t>
      </w:r>
    </w:p>
    <w:p w:rsidR="00B70311" w:rsidRPr="003E31CC" w:rsidRDefault="00B70311" w:rsidP="00B70311">
      <w:pPr>
        <w:autoSpaceDE w:val="0"/>
        <w:autoSpaceDN w:val="0"/>
        <w:adjustRightInd w:val="0"/>
        <w:rPr>
          <w:sz w:val="20"/>
          <w:szCs w:val="20"/>
        </w:rPr>
      </w:pPr>
    </w:p>
    <w:tbl>
      <w:tblPr>
        <w:tblW w:w="0" w:type="auto"/>
        <w:tblInd w:w="1065" w:type="dxa"/>
        <w:tblLayout w:type="fixed"/>
        <w:tblCellMar>
          <w:left w:w="0" w:type="dxa"/>
          <w:right w:w="0" w:type="dxa"/>
        </w:tblCellMar>
        <w:tblLook w:val="0000" w:firstRow="0" w:lastRow="0" w:firstColumn="0" w:lastColumn="0" w:noHBand="0" w:noVBand="0"/>
      </w:tblPr>
      <w:tblGrid>
        <w:gridCol w:w="2252"/>
        <w:gridCol w:w="1231"/>
        <w:gridCol w:w="1348"/>
        <w:gridCol w:w="1349"/>
        <w:gridCol w:w="1113"/>
      </w:tblGrid>
      <w:tr w:rsidR="00B70311" w:rsidRPr="00A02F3A" w:rsidTr="00282843">
        <w:trPr>
          <w:trHeight w:hRule="exact" w:val="138"/>
        </w:trPr>
        <w:tc>
          <w:tcPr>
            <w:tcW w:w="2252"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231"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8"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9"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113"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r>
      <w:tr w:rsidR="00B70311" w:rsidRPr="00A02F3A" w:rsidTr="00282843">
        <w:trPr>
          <w:trHeight w:hRule="exact" w:val="208"/>
        </w:trPr>
        <w:tc>
          <w:tcPr>
            <w:tcW w:w="2252"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231"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8"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9"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113"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r>
      <w:tr w:rsidR="00B70311" w:rsidRPr="00A02F3A" w:rsidTr="00282843">
        <w:trPr>
          <w:trHeight w:val="346"/>
        </w:trPr>
        <w:tc>
          <w:tcPr>
            <w:tcW w:w="2252"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r w:rsidRPr="00A02F3A">
              <w:rPr>
                <w:color w:val="000000"/>
                <w:sz w:val="20"/>
                <w:szCs w:val="20"/>
              </w:rPr>
              <w:t>Variable</w:t>
            </w:r>
          </w:p>
        </w:tc>
        <w:tc>
          <w:tcPr>
            <w:tcW w:w="1231"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Coefficient</w:t>
            </w:r>
          </w:p>
        </w:tc>
        <w:tc>
          <w:tcPr>
            <w:tcW w:w="1348"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Std. Error</w:t>
            </w:r>
          </w:p>
        </w:tc>
        <w:tc>
          <w:tcPr>
            <w:tcW w:w="1349"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t-Statistic</w:t>
            </w:r>
          </w:p>
        </w:tc>
        <w:tc>
          <w:tcPr>
            <w:tcW w:w="1113"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Prob.</w:t>
            </w:r>
          </w:p>
        </w:tc>
      </w:tr>
      <w:tr w:rsidR="00B70311" w:rsidRPr="00A02F3A" w:rsidTr="00282843">
        <w:trPr>
          <w:trHeight w:hRule="exact" w:val="138"/>
        </w:trPr>
        <w:tc>
          <w:tcPr>
            <w:tcW w:w="2252"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231"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8"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9"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113"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r>
      <w:tr w:rsidR="00B70311" w:rsidRPr="00A02F3A" w:rsidTr="00282843">
        <w:trPr>
          <w:trHeight w:hRule="exact" w:val="208"/>
        </w:trPr>
        <w:tc>
          <w:tcPr>
            <w:tcW w:w="2252"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231"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8"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9"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113"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r>
      <w:tr w:rsidR="00B70311" w:rsidRPr="00A02F3A" w:rsidTr="00282843">
        <w:trPr>
          <w:trHeight w:val="346"/>
        </w:trPr>
        <w:tc>
          <w:tcPr>
            <w:tcW w:w="2252"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r w:rsidRPr="00A02F3A">
              <w:rPr>
                <w:color w:val="000000"/>
                <w:sz w:val="20"/>
                <w:szCs w:val="20"/>
              </w:rPr>
              <w:t>C</w:t>
            </w:r>
          </w:p>
        </w:tc>
        <w:tc>
          <w:tcPr>
            <w:tcW w:w="1231"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10.666</w:t>
            </w:r>
          </w:p>
        </w:tc>
        <w:tc>
          <w:tcPr>
            <w:tcW w:w="1348"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1.204</w:t>
            </w:r>
          </w:p>
        </w:tc>
        <w:tc>
          <w:tcPr>
            <w:tcW w:w="1349"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8.857</w:t>
            </w:r>
          </w:p>
        </w:tc>
        <w:tc>
          <w:tcPr>
            <w:tcW w:w="1113"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0.000</w:t>
            </w:r>
          </w:p>
        </w:tc>
      </w:tr>
      <w:tr w:rsidR="00B70311" w:rsidRPr="00A02F3A" w:rsidTr="00282843">
        <w:trPr>
          <w:trHeight w:val="346"/>
        </w:trPr>
        <w:tc>
          <w:tcPr>
            <w:tcW w:w="2252"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r w:rsidRPr="00A02F3A">
              <w:rPr>
                <w:color w:val="000000"/>
                <w:sz w:val="20"/>
                <w:szCs w:val="20"/>
              </w:rPr>
              <w:t>RESID01(-1)</w:t>
            </w:r>
          </w:p>
        </w:tc>
        <w:tc>
          <w:tcPr>
            <w:tcW w:w="1231"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0.018</w:t>
            </w:r>
          </w:p>
        </w:tc>
        <w:tc>
          <w:tcPr>
            <w:tcW w:w="1348"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0.011</w:t>
            </w:r>
          </w:p>
        </w:tc>
        <w:tc>
          <w:tcPr>
            <w:tcW w:w="1349"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1.595</w:t>
            </w:r>
          </w:p>
        </w:tc>
        <w:tc>
          <w:tcPr>
            <w:tcW w:w="1113"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0.011</w:t>
            </w:r>
          </w:p>
        </w:tc>
      </w:tr>
      <w:tr w:rsidR="00B70311" w:rsidRPr="00A02F3A" w:rsidTr="00282843">
        <w:trPr>
          <w:trHeight w:hRule="exact" w:val="138"/>
        </w:trPr>
        <w:tc>
          <w:tcPr>
            <w:tcW w:w="2252"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231"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8"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9"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113"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r>
      <w:tr w:rsidR="00B70311" w:rsidRPr="00A02F3A" w:rsidTr="00282843">
        <w:trPr>
          <w:trHeight w:hRule="exact" w:val="208"/>
        </w:trPr>
        <w:tc>
          <w:tcPr>
            <w:tcW w:w="2252"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231"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8"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9"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113"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r>
      <w:tr w:rsidR="00B70311" w:rsidRPr="00A02F3A" w:rsidTr="00282843">
        <w:trPr>
          <w:trHeight w:val="346"/>
        </w:trPr>
        <w:tc>
          <w:tcPr>
            <w:tcW w:w="2252"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2579" w:type="dxa"/>
            <w:gridSpan w:val="2"/>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r w:rsidRPr="00A02F3A">
              <w:rPr>
                <w:color w:val="000000"/>
                <w:sz w:val="20"/>
                <w:szCs w:val="20"/>
              </w:rPr>
              <w:t>Effects Specification</w:t>
            </w:r>
          </w:p>
        </w:tc>
        <w:tc>
          <w:tcPr>
            <w:tcW w:w="1349"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113"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r>
      <w:tr w:rsidR="00B70311" w:rsidRPr="00A02F3A" w:rsidTr="00282843">
        <w:trPr>
          <w:trHeight w:hRule="exact" w:val="138"/>
        </w:trPr>
        <w:tc>
          <w:tcPr>
            <w:tcW w:w="2252"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231"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8"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9"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113"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r>
      <w:tr w:rsidR="00B70311" w:rsidRPr="00A02F3A" w:rsidTr="00282843">
        <w:trPr>
          <w:trHeight w:hRule="exact" w:val="208"/>
        </w:trPr>
        <w:tc>
          <w:tcPr>
            <w:tcW w:w="2252"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231"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8"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9"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113"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r>
      <w:tr w:rsidR="00B70311" w:rsidRPr="00A02F3A" w:rsidTr="00282843">
        <w:trPr>
          <w:trHeight w:val="346"/>
        </w:trPr>
        <w:tc>
          <w:tcPr>
            <w:tcW w:w="6180" w:type="dxa"/>
            <w:gridSpan w:val="4"/>
            <w:tcBorders>
              <w:top w:val="nil"/>
              <w:left w:val="nil"/>
              <w:bottom w:val="nil"/>
              <w:right w:val="nil"/>
            </w:tcBorders>
            <w:vAlign w:val="bottom"/>
          </w:tcPr>
          <w:p w:rsidR="00B70311" w:rsidRPr="00A02F3A" w:rsidRDefault="00B70311" w:rsidP="00282843">
            <w:pPr>
              <w:autoSpaceDE w:val="0"/>
              <w:autoSpaceDN w:val="0"/>
              <w:adjustRightInd w:val="0"/>
              <w:rPr>
                <w:color w:val="000000"/>
                <w:sz w:val="20"/>
                <w:szCs w:val="20"/>
              </w:rPr>
            </w:pPr>
            <w:r w:rsidRPr="00A02F3A">
              <w:rPr>
                <w:color w:val="000000"/>
                <w:sz w:val="20"/>
                <w:szCs w:val="20"/>
              </w:rPr>
              <w:t>Cross-section fixed (dummy variables)</w:t>
            </w:r>
          </w:p>
        </w:tc>
        <w:tc>
          <w:tcPr>
            <w:tcW w:w="1113"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r>
      <w:tr w:rsidR="00B70311" w:rsidRPr="00A02F3A" w:rsidTr="00282843">
        <w:trPr>
          <w:trHeight w:hRule="exact" w:val="138"/>
        </w:trPr>
        <w:tc>
          <w:tcPr>
            <w:tcW w:w="2252"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231"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8"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9"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113"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r>
      <w:tr w:rsidR="00B70311" w:rsidRPr="00A02F3A" w:rsidTr="00282843">
        <w:trPr>
          <w:trHeight w:hRule="exact" w:val="208"/>
        </w:trPr>
        <w:tc>
          <w:tcPr>
            <w:tcW w:w="2252"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231"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8"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9"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113"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r>
      <w:tr w:rsidR="00B70311" w:rsidRPr="00A02F3A" w:rsidTr="00282843">
        <w:trPr>
          <w:trHeight w:val="346"/>
        </w:trPr>
        <w:tc>
          <w:tcPr>
            <w:tcW w:w="2252"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2579" w:type="dxa"/>
            <w:gridSpan w:val="2"/>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r w:rsidRPr="00A02F3A">
              <w:rPr>
                <w:color w:val="000000"/>
                <w:sz w:val="20"/>
                <w:szCs w:val="20"/>
              </w:rPr>
              <w:t>Weighted Statistics</w:t>
            </w:r>
          </w:p>
        </w:tc>
        <w:tc>
          <w:tcPr>
            <w:tcW w:w="1349"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113"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r>
      <w:tr w:rsidR="00B70311" w:rsidRPr="00A02F3A" w:rsidTr="00282843">
        <w:trPr>
          <w:trHeight w:hRule="exact" w:val="138"/>
        </w:trPr>
        <w:tc>
          <w:tcPr>
            <w:tcW w:w="2252"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231"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8"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9"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113"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r>
      <w:tr w:rsidR="00B70311" w:rsidRPr="00A02F3A" w:rsidTr="00282843">
        <w:trPr>
          <w:trHeight w:hRule="exact" w:val="208"/>
        </w:trPr>
        <w:tc>
          <w:tcPr>
            <w:tcW w:w="2252"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231"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8"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9"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113"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r>
      <w:tr w:rsidR="00B70311" w:rsidRPr="00A02F3A" w:rsidTr="00282843">
        <w:trPr>
          <w:trHeight w:val="346"/>
        </w:trPr>
        <w:tc>
          <w:tcPr>
            <w:tcW w:w="2252" w:type="dxa"/>
            <w:tcBorders>
              <w:top w:val="nil"/>
              <w:left w:val="nil"/>
              <w:bottom w:val="nil"/>
              <w:right w:val="nil"/>
            </w:tcBorders>
            <w:vAlign w:val="bottom"/>
          </w:tcPr>
          <w:p w:rsidR="00B70311" w:rsidRPr="00A02F3A" w:rsidRDefault="00B70311" w:rsidP="00282843">
            <w:pPr>
              <w:autoSpaceDE w:val="0"/>
              <w:autoSpaceDN w:val="0"/>
              <w:adjustRightInd w:val="0"/>
              <w:rPr>
                <w:color w:val="000000"/>
                <w:sz w:val="20"/>
                <w:szCs w:val="20"/>
              </w:rPr>
            </w:pPr>
            <w:r w:rsidRPr="00A02F3A">
              <w:rPr>
                <w:color w:val="000000"/>
                <w:sz w:val="20"/>
                <w:szCs w:val="20"/>
              </w:rPr>
              <w:t>R-squared</w:t>
            </w:r>
          </w:p>
        </w:tc>
        <w:tc>
          <w:tcPr>
            <w:tcW w:w="1231"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0.734</w:t>
            </w:r>
          </w:p>
        </w:tc>
        <w:tc>
          <w:tcPr>
            <w:tcW w:w="2697" w:type="dxa"/>
            <w:gridSpan w:val="2"/>
            <w:tcBorders>
              <w:top w:val="nil"/>
              <w:left w:val="nil"/>
              <w:bottom w:val="nil"/>
              <w:right w:val="nil"/>
            </w:tcBorders>
            <w:vAlign w:val="bottom"/>
          </w:tcPr>
          <w:p w:rsidR="00B70311" w:rsidRPr="00A02F3A" w:rsidRDefault="00B70311" w:rsidP="00282843">
            <w:pPr>
              <w:autoSpaceDE w:val="0"/>
              <w:autoSpaceDN w:val="0"/>
              <w:adjustRightInd w:val="0"/>
              <w:ind w:right="10"/>
              <w:rPr>
                <w:color w:val="000000"/>
                <w:sz w:val="20"/>
                <w:szCs w:val="20"/>
              </w:rPr>
            </w:pPr>
            <w:r w:rsidRPr="00A02F3A">
              <w:rPr>
                <w:color w:val="000000"/>
                <w:sz w:val="20"/>
                <w:szCs w:val="20"/>
              </w:rPr>
              <w:t>    Mean dependent var</w:t>
            </w:r>
            <w:r w:rsidR="00A200BF">
              <w:rPr>
                <w:color w:val="000000"/>
                <w:sz w:val="20"/>
                <w:szCs w:val="20"/>
              </w:rPr>
              <w:t>.</w:t>
            </w:r>
          </w:p>
        </w:tc>
        <w:tc>
          <w:tcPr>
            <w:tcW w:w="1113"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43.792</w:t>
            </w:r>
          </w:p>
        </w:tc>
      </w:tr>
      <w:tr w:rsidR="00B70311" w:rsidRPr="00A02F3A" w:rsidTr="00282843">
        <w:trPr>
          <w:trHeight w:val="346"/>
        </w:trPr>
        <w:tc>
          <w:tcPr>
            <w:tcW w:w="2252" w:type="dxa"/>
            <w:tcBorders>
              <w:top w:val="nil"/>
              <w:left w:val="nil"/>
              <w:bottom w:val="nil"/>
              <w:right w:val="nil"/>
            </w:tcBorders>
            <w:vAlign w:val="bottom"/>
          </w:tcPr>
          <w:p w:rsidR="00B70311" w:rsidRPr="00A02F3A" w:rsidRDefault="00B70311" w:rsidP="00282843">
            <w:pPr>
              <w:autoSpaceDE w:val="0"/>
              <w:autoSpaceDN w:val="0"/>
              <w:adjustRightInd w:val="0"/>
              <w:rPr>
                <w:color w:val="000000"/>
                <w:sz w:val="20"/>
                <w:szCs w:val="20"/>
              </w:rPr>
            </w:pPr>
            <w:r w:rsidRPr="00A02F3A">
              <w:rPr>
                <w:color w:val="000000"/>
                <w:sz w:val="20"/>
                <w:szCs w:val="20"/>
              </w:rPr>
              <w:t>Adjusted R-squared</w:t>
            </w:r>
          </w:p>
        </w:tc>
        <w:tc>
          <w:tcPr>
            <w:tcW w:w="1231"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0.706</w:t>
            </w:r>
          </w:p>
        </w:tc>
        <w:tc>
          <w:tcPr>
            <w:tcW w:w="2697" w:type="dxa"/>
            <w:gridSpan w:val="2"/>
            <w:tcBorders>
              <w:top w:val="nil"/>
              <w:left w:val="nil"/>
              <w:bottom w:val="nil"/>
              <w:right w:val="nil"/>
            </w:tcBorders>
            <w:vAlign w:val="bottom"/>
          </w:tcPr>
          <w:p w:rsidR="00B70311" w:rsidRPr="00A02F3A" w:rsidRDefault="00B70311" w:rsidP="00282843">
            <w:pPr>
              <w:autoSpaceDE w:val="0"/>
              <w:autoSpaceDN w:val="0"/>
              <w:adjustRightInd w:val="0"/>
              <w:ind w:right="10"/>
              <w:rPr>
                <w:color w:val="000000"/>
                <w:sz w:val="20"/>
                <w:szCs w:val="20"/>
              </w:rPr>
            </w:pPr>
            <w:r w:rsidRPr="00A02F3A">
              <w:rPr>
                <w:color w:val="000000"/>
                <w:sz w:val="20"/>
                <w:szCs w:val="20"/>
              </w:rPr>
              <w:t>    S.D. dependent var</w:t>
            </w:r>
            <w:r w:rsidR="00A200BF">
              <w:rPr>
                <w:color w:val="000000"/>
                <w:sz w:val="20"/>
                <w:szCs w:val="20"/>
              </w:rPr>
              <w:t>.</w:t>
            </w:r>
          </w:p>
        </w:tc>
        <w:tc>
          <w:tcPr>
            <w:tcW w:w="1113"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241.061</w:t>
            </w:r>
          </w:p>
        </w:tc>
      </w:tr>
      <w:tr w:rsidR="00B70311" w:rsidRPr="00A02F3A" w:rsidTr="00282843">
        <w:trPr>
          <w:trHeight w:val="346"/>
        </w:trPr>
        <w:tc>
          <w:tcPr>
            <w:tcW w:w="2252" w:type="dxa"/>
            <w:tcBorders>
              <w:top w:val="nil"/>
              <w:left w:val="nil"/>
              <w:bottom w:val="nil"/>
              <w:right w:val="nil"/>
            </w:tcBorders>
            <w:vAlign w:val="bottom"/>
          </w:tcPr>
          <w:p w:rsidR="00B70311" w:rsidRPr="00A02F3A" w:rsidRDefault="00B70311" w:rsidP="00282843">
            <w:pPr>
              <w:autoSpaceDE w:val="0"/>
              <w:autoSpaceDN w:val="0"/>
              <w:adjustRightInd w:val="0"/>
              <w:rPr>
                <w:color w:val="000000"/>
                <w:sz w:val="20"/>
                <w:szCs w:val="20"/>
              </w:rPr>
            </w:pPr>
            <w:r w:rsidRPr="00A02F3A">
              <w:rPr>
                <w:color w:val="000000"/>
                <w:sz w:val="20"/>
                <w:szCs w:val="20"/>
              </w:rPr>
              <w:t>S.E. of regression</w:t>
            </w:r>
          </w:p>
        </w:tc>
        <w:tc>
          <w:tcPr>
            <w:tcW w:w="1231"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132.191</w:t>
            </w:r>
          </w:p>
        </w:tc>
        <w:tc>
          <w:tcPr>
            <w:tcW w:w="2697" w:type="dxa"/>
            <w:gridSpan w:val="2"/>
            <w:tcBorders>
              <w:top w:val="nil"/>
              <w:left w:val="nil"/>
              <w:bottom w:val="nil"/>
              <w:right w:val="nil"/>
            </w:tcBorders>
            <w:vAlign w:val="bottom"/>
          </w:tcPr>
          <w:p w:rsidR="00B70311" w:rsidRPr="00A02F3A" w:rsidRDefault="00B70311" w:rsidP="00282843">
            <w:pPr>
              <w:autoSpaceDE w:val="0"/>
              <w:autoSpaceDN w:val="0"/>
              <w:adjustRightInd w:val="0"/>
              <w:ind w:right="10"/>
              <w:rPr>
                <w:color w:val="000000"/>
                <w:sz w:val="20"/>
                <w:szCs w:val="20"/>
              </w:rPr>
            </w:pPr>
            <w:r w:rsidRPr="00A02F3A">
              <w:rPr>
                <w:color w:val="000000"/>
                <w:sz w:val="20"/>
                <w:szCs w:val="20"/>
              </w:rPr>
              <w:t>    Sum squared resid</w:t>
            </w:r>
            <w:r w:rsidR="00A200BF">
              <w:rPr>
                <w:color w:val="000000"/>
                <w:sz w:val="20"/>
                <w:szCs w:val="20"/>
              </w:rPr>
              <w:t>.</w:t>
            </w:r>
          </w:p>
        </w:tc>
        <w:tc>
          <w:tcPr>
            <w:tcW w:w="1113"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4019107.</w:t>
            </w:r>
          </w:p>
        </w:tc>
      </w:tr>
      <w:tr w:rsidR="00B70311" w:rsidRPr="00A02F3A" w:rsidTr="00282843">
        <w:trPr>
          <w:trHeight w:val="346"/>
        </w:trPr>
        <w:tc>
          <w:tcPr>
            <w:tcW w:w="2252" w:type="dxa"/>
            <w:tcBorders>
              <w:top w:val="nil"/>
              <w:left w:val="nil"/>
              <w:bottom w:val="nil"/>
              <w:right w:val="nil"/>
            </w:tcBorders>
            <w:vAlign w:val="bottom"/>
          </w:tcPr>
          <w:p w:rsidR="00B70311" w:rsidRPr="00A02F3A" w:rsidRDefault="00B70311" w:rsidP="00282843">
            <w:pPr>
              <w:autoSpaceDE w:val="0"/>
              <w:autoSpaceDN w:val="0"/>
              <w:adjustRightInd w:val="0"/>
              <w:rPr>
                <w:color w:val="000000"/>
                <w:sz w:val="20"/>
                <w:szCs w:val="20"/>
              </w:rPr>
            </w:pPr>
            <w:r w:rsidRPr="00A02F3A">
              <w:rPr>
                <w:color w:val="000000"/>
                <w:sz w:val="20"/>
                <w:szCs w:val="20"/>
              </w:rPr>
              <w:t>F-statistic</w:t>
            </w:r>
          </w:p>
        </w:tc>
        <w:tc>
          <w:tcPr>
            <w:tcW w:w="1231"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26.432</w:t>
            </w:r>
          </w:p>
        </w:tc>
        <w:tc>
          <w:tcPr>
            <w:tcW w:w="2697" w:type="dxa"/>
            <w:gridSpan w:val="2"/>
            <w:tcBorders>
              <w:top w:val="nil"/>
              <w:left w:val="nil"/>
              <w:bottom w:val="nil"/>
              <w:right w:val="nil"/>
            </w:tcBorders>
            <w:vAlign w:val="bottom"/>
          </w:tcPr>
          <w:p w:rsidR="00B70311" w:rsidRPr="00A02F3A" w:rsidRDefault="00B70311" w:rsidP="00282843">
            <w:pPr>
              <w:autoSpaceDE w:val="0"/>
              <w:autoSpaceDN w:val="0"/>
              <w:adjustRightInd w:val="0"/>
              <w:ind w:right="10"/>
              <w:rPr>
                <w:color w:val="000000"/>
                <w:sz w:val="20"/>
                <w:szCs w:val="20"/>
              </w:rPr>
            </w:pPr>
            <w:r w:rsidRPr="00A02F3A">
              <w:rPr>
                <w:color w:val="000000"/>
                <w:sz w:val="20"/>
                <w:szCs w:val="20"/>
              </w:rPr>
              <w:t>    Durbin-Watson stat</w:t>
            </w:r>
          </w:p>
        </w:tc>
        <w:tc>
          <w:tcPr>
            <w:tcW w:w="1113"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1.477</w:t>
            </w:r>
          </w:p>
        </w:tc>
      </w:tr>
      <w:tr w:rsidR="00B70311" w:rsidRPr="00A02F3A" w:rsidTr="00282843">
        <w:trPr>
          <w:trHeight w:val="346"/>
        </w:trPr>
        <w:tc>
          <w:tcPr>
            <w:tcW w:w="2252" w:type="dxa"/>
            <w:tcBorders>
              <w:top w:val="nil"/>
              <w:left w:val="nil"/>
              <w:bottom w:val="nil"/>
              <w:right w:val="nil"/>
            </w:tcBorders>
            <w:vAlign w:val="bottom"/>
          </w:tcPr>
          <w:p w:rsidR="00B70311" w:rsidRPr="00A02F3A" w:rsidRDefault="00B70311" w:rsidP="00282843">
            <w:pPr>
              <w:autoSpaceDE w:val="0"/>
              <w:autoSpaceDN w:val="0"/>
              <w:adjustRightInd w:val="0"/>
              <w:rPr>
                <w:color w:val="000000"/>
                <w:sz w:val="20"/>
                <w:szCs w:val="20"/>
              </w:rPr>
            </w:pPr>
            <w:r w:rsidRPr="00A02F3A">
              <w:rPr>
                <w:color w:val="000000"/>
                <w:sz w:val="20"/>
                <w:szCs w:val="20"/>
              </w:rPr>
              <w:t>Prob</w:t>
            </w:r>
            <w:r w:rsidR="00A200BF">
              <w:rPr>
                <w:color w:val="000000"/>
                <w:sz w:val="20"/>
                <w:szCs w:val="20"/>
              </w:rPr>
              <w:t>.</w:t>
            </w:r>
            <w:r w:rsidRPr="00A02F3A">
              <w:rPr>
                <w:color w:val="000000"/>
                <w:sz w:val="20"/>
                <w:szCs w:val="20"/>
              </w:rPr>
              <w:t>(F-statistic)</w:t>
            </w:r>
          </w:p>
        </w:tc>
        <w:tc>
          <w:tcPr>
            <w:tcW w:w="1231"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0.000</w:t>
            </w:r>
          </w:p>
        </w:tc>
        <w:tc>
          <w:tcPr>
            <w:tcW w:w="1348"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p>
        </w:tc>
        <w:tc>
          <w:tcPr>
            <w:tcW w:w="1349"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p>
        </w:tc>
        <w:tc>
          <w:tcPr>
            <w:tcW w:w="1113"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p>
        </w:tc>
      </w:tr>
      <w:tr w:rsidR="00B70311" w:rsidRPr="00A02F3A" w:rsidTr="00282843">
        <w:trPr>
          <w:trHeight w:hRule="exact" w:val="138"/>
        </w:trPr>
        <w:tc>
          <w:tcPr>
            <w:tcW w:w="2252"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231"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8"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9"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113"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r>
      <w:tr w:rsidR="00B70311" w:rsidRPr="00A02F3A" w:rsidTr="00282843">
        <w:trPr>
          <w:trHeight w:hRule="exact" w:val="208"/>
        </w:trPr>
        <w:tc>
          <w:tcPr>
            <w:tcW w:w="2252"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231"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8"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9"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113"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r>
      <w:tr w:rsidR="00B70311" w:rsidRPr="00A02F3A" w:rsidTr="00282843">
        <w:trPr>
          <w:trHeight w:val="346"/>
        </w:trPr>
        <w:tc>
          <w:tcPr>
            <w:tcW w:w="2252"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2579" w:type="dxa"/>
            <w:gridSpan w:val="2"/>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r w:rsidRPr="00A02F3A">
              <w:rPr>
                <w:color w:val="000000"/>
                <w:sz w:val="20"/>
                <w:szCs w:val="20"/>
              </w:rPr>
              <w:t>Unweighted Statistics</w:t>
            </w:r>
          </w:p>
        </w:tc>
        <w:tc>
          <w:tcPr>
            <w:tcW w:w="1349"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113"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r>
      <w:tr w:rsidR="00B70311" w:rsidRPr="00A02F3A" w:rsidTr="00282843">
        <w:trPr>
          <w:trHeight w:hRule="exact" w:val="138"/>
        </w:trPr>
        <w:tc>
          <w:tcPr>
            <w:tcW w:w="2252"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231"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8"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9"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113" w:type="dxa"/>
            <w:tcBorders>
              <w:top w:val="nil"/>
              <w:left w:val="nil"/>
              <w:bottom w:val="double" w:sz="6" w:space="2"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r>
      <w:tr w:rsidR="00B70311" w:rsidRPr="00A02F3A" w:rsidTr="00282843">
        <w:trPr>
          <w:trHeight w:hRule="exact" w:val="208"/>
        </w:trPr>
        <w:tc>
          <w:tcPr>
            <w:tcW w:w="2252"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231"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8"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9"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113"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r>
      <w:tr w:rsidR="00B70311" w:rsidRPr="00A02F3A" w:rsidTr="00282843">
        <w:trPr>
          <w:trHeight w:val="346"/>
        </w:trPr>
        <w:tc>
          <w:tcPr>
            <w:tcW w:w="2252" w:type="dxa"/>
            <w:tcBorders>
              <w:top w:val="nil"/>
              <w:left w:val="nil"/>
              <w:bottom w:val="nil"/>
              <w:right w:val="nil"/>
            </w:tcBorders>
            <w:vAlign w:val="bottom"/>
          </w:tcPr>
          <w:p w:rsidR="00B70311" w:rsidRPr="00A02F3A" w:rsidRDefault="00B70311" w:rsidP="00282843">
            <w:pPr>
              <w:autoSpaceDE w:val="0"/>
              <w:autoSpaceDN w:val="0"/>
              <w:adjustRightInd w:val="0"/>
              <w:rPr>
                <w:color w:val="000000"/>
                <w:sz w:val="20"/>
                <w:szCs w:val="20"/>
              </w:rPr>
            </w:pPr>
            <w:r w:rsidRPr="00A02F3A">
              <w:rPr>
                <w:color w:val="000000"/>
                <w:sz w:val="20"/>
                <w:szCs w:val="20"/>
              </w:rPr>
              <w:t>R-squared</w:t>
            </w:r>
          </w:p>
        </w:tc>
        <w:tc>
          <w:tcPr>
            <w:tcW w:w="1231"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0.456</w:t>
            </w:r>
          </w:p>
        </w:tc>
        <w:tc>
          <w:tcPr>
            <w:tcW w:w="2697" w:type="dxa"/>
            <w:gridSpan w:val="2"/>
            <w:tcBorders>
              <w:top w:val="nil"/>
              <w:left w:val="nil"/>
              <w:bottom w:val="nil"/>
              <w:right w:val="nil"/>
            </w:tcBorders>
            <w:vAlign w:val="bottom"/>
          </w:tcPr>
          <w:p w:rsidR="00B70311" w:rsidRPr="00A02F3A" w:rsidRDefault="00B70311" w:rsidP="00282843">
            <w:pPr>
              <w:autoSpaceDE w:val="0"/>
              <w:autoSpaceDN w:val="0"/>
              <w:adjustRightInd w:val="0"/>
              <w:ind w:right="10"/>
              <w:rPr>
                <w:color w:val="000000"/>
                <w:sz w:val="20"/>
                <w:szCs w:val="20"/>
              </w:rPr>
            </w:pPr>
            <w:r w:rsidRPr="00A02F3A">
              <w:rPr>
                <w:color w:val="000000"/>
                <w:sz w:val="20"/>
                <w:szCs w:val="20"/>
              </w:rPr>
              <w:t>    Mean dependent var</w:t>
            </w:r>
            <w:r w:rsidR="00A200BF">
              <w:rPr>
                <w:color w:val="000000"/>
                <w:sz w:val="20"/>
                <w:szCs w:val="20"/>
              </w:rPr>
              <w:t>.</w:t>
            </w:r>
          </w:p>
        </w:tc>
        <w:tc>
          <w:tcPr>
            <w:tcW w:w="1113"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10.699</w:t>
            </w:r>
          </w:p>
        </w:tc>
      </w:tr>
      <w:tr w:rsidR="00B70311" w:rsidRPr="00A02F3A" w:rsidTr="00282843">
        <w:trPr>
          <w:trHeight w:val="346"/>
        </w:trPr>
        <w:tc>
          <w:tcPr>
            <w:tcW w:w="2252" w:type="dxa"/>
            <w:tcBorders>
              <w:top w:val="nil"/>
              <w:left w:val="nil"/>
              <w:bottom w:val="nil"/>
              <w:right w:val="nil"/>
            </w:tcBorders>
            <w:vAlign w:val="bottom"/>
          </w:tcPr>
          <w:p w:rsidR="00B70311" w:rsidRPr="00A02F3A" w:rsidRDefault="00B70311" w:rsidP="00282843">
            <w:pPr>
              <w:autoSpaceDE w:val="0"/>
              <w:autoSpaceDN w:val="0"/>
              <w:adjustRightInd w:val="0"/>
              <w:rPr>
                <w:color w:val="000000"/>
                <w:sz w:val="20"/>
                <w:szCs w:val="20"/>
              </w:rPr>
            </w:pPr>
            <w:r w:rsidRPr="00A02F3A">
              <w:rPr>
                <w:color w:val="000000"/>
                <w:sz w:val="20"/>
                <w:szCs w:val="20"/>
              </w:rPr>
              <w:t>Sum squared resid</w:t>
            </w:r>
            <w:r w:rsidR="00A200BF">
              <w:rPr>
                <w:color w:val="000000"/>
                <w:sz w:val="20"/>
                <w:szCs w:val="20"/>
              </w:rPr>
              <w:t>.</w:t>
            </w:r>
          </w:p>
        </w:tc>
        <w:tc>
          <w:tcPr>
            <w:tcW w:w="1231"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4023361.</w:t>
            </w:r>
          </w:p>
        </w:tc>
        <w:tc>
          <w:tcPr>
            <w:tcW w:w="2697" w:type="dxa"/>
            <w:gridSpan w:val="2"/>
            <w:tcBorders>
              <w:top w:val="nil"/>
              <w:left w:val="nil"/>
              <w:bottom w:val="nil"/>
              <w:right w:val="nil"/>
            </w:tcBorders>
            <w:vAlign w:val="bottom"/>
          </w:tcPr>
          <w:p w:rsidR="00B70311" w:rsidRPr="00A02F3A" w:rsidRDefault="00B70311" w:rsidP="00282843">
            <w:pPr>
              <w:autoSpaceDE w:val="0"/>
              <w:autoSpaceDN w:val="0"/>
              <w:adjustRightInd w:val="0"/>
              <w:ind w:right="10"/>
              <w:rPr>
                <w:color w:val="000000"/>
                <w:sz w:val="20"/>
                <w:szCs w:val="20"/>
              </w:rPr>
            </w:pPr>
            <w:r w:rsidRPr="00A02F3A">
              <w:rPr>
                <w:color w:val="000000"/>
                <w:sz w:val="20"/>
                <w:szCs w:val="20"/>
              </w:rPr>
              <w:t>    Durbin-Watson stat</w:t>
            </w:r>
          </w:p>
        </w:tc>
        <w:tc>
          <w:tcPr>
            <w:tcW w:w="1113" w:type="dxa"/>
            <w:tcBorders>
              <w:top w:val="nil"/>
              <w:left w:val="nil"/>
              <w:bottom w:val="nil"/>
              <w:right w:val="nil"/>
            </w:tcBorders>
            <w:vAlign w:val="bottom"/>
          </w:tcPr>
          <w:p w:rsidR="00B70311" w:rsidRPr="00A02F3A" w:rsidRDefault="00B70311" w:rsidP="00282843">
            <w:pPr>
              <w:autoSpaceDE w:val="0"/>
              <w:autoSpaceDN w:val="0"/>
              <w:adjustRightInd w:val="0"/>
              <w:ind w:right="10"/>
              <w:jc w:val="center"/>
              <w:rPr>
                <w:color w:val="000000"/>
                <w:sz w:val="20"/>
                <w:szCs w:val="20"/>
              </w:rPr>
            </w:pPr>
            <w:r w:rsidRPr="00A02F3A">
              <w:rPr>
                <w:color w:val="000000"/>
                <w:sz w:val="20"/>
                <w:szCs w:val="20"/>
              </w:rPr>
              <w:t>1.632</w:t>
            </w:r>
          </w:p>
        </w:tc>
      </w:tr>
      <w:tr w:rsidR="00B70311" w:rsidRPr="00A02F3A" w:rsidTr="00282843">
        <w:trPr>
          <w:trHeight w:hRule="exact" w:val="138"/>
        </w:trPr>
        <w:tc>
          <w:tcPr>
            <w:tcW w:w="2252" w:type="dxa"/>
            <w:tcBorders>
              <w:top w:val="nil"/>
              <w:left w:val="nil"/>
              <w:bottom w:val="double" w:sz="6" w:space="0"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231" w:type="dxa"/>
            <w:tcBorders>
              <w:top w:val="nil"/>
              <w:left w:val="nil"/>
              <w:bottom w:val="double" w:sz="6" w:space="0"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8" w:type="dxa"/>
            <w:tcBorders>
              <w:top w:val="nil"/>
              <w:left w:val="nil"/>
              <w:bottom w:val="double" w:sz="6" w:space="0"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9" w:type="dxa"/>
            <w:tcBorders>
              <w:top w:val="nil"/>
              <w:left w:val="nil"/>
              <w:bottom w:val="double" w:sz="6" w:space="0"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113" w:type="dxa"/>
            <w:tcBorders>
              <w:top w:val="nil"/>
              <w:left w:val="nil"/>
              <w:bottom w:val="double" w:sz="6" w:space="0" w:color="auto"/>
              <w:right w:val="nil"/>
            </w:tcBorders>
            <w:vAlign w:val="bottom"/>
          </w:tcPr>
          <w:p w:rsidR="00B70311" w:rsidRPr="00A02F3A" w:rsidRDefault="00B70311" w:rsidP="00282843">
            <w:pPr>
              <w:autoSpaceDE w:val="0"/>
              <w:autoSpaceDN w:val="0"/>
              <w:adjustRightInd w:val="0"/>
              <w:jc w:val="center"/>
              <w:rPr>
                <w:color w:val="000000"/>
                <w:sz w:val="20"/>
                <w:szCs w:val="20"/>
              </w:rPr>
            </w:pPr>
          </w:p>
        </w:tc>
      </w:tr>
      <w:tr w:rsidR="00B70311" w:rsidRPr="00A02F3A" w:rsidTr="00282843">
        <w:trPr>
          <w:trHeight w:hRule="exact" w:val="208"/>
        </w:trPr>
        <w:tc>
          <w:tcPr>
            <w:tcW w:w="2252"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231"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8"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349"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c>
          <w:tcPr>
            <w:tcW w:w="1113" w:type="dxa"/>
            <w:tcBorders>
              <w:top w:val="nil"/>
              <w:left w:val="nil"/>
              <w:bottom w:val="nil"/>
              <w:right w:val="nil"/>
            </w:tcBorders>
            <w:vAlign w:val="bottom"/>
          </w:tcPr>
          <w:p w:rsidR="00B70311" w:rsidRPr="00A02F3A" w:rsidRDefault="00B70311" w:rsidP="00282843">
            <w:pPr>
              <w:autoSpaceDE w:val="0"/>
              <w:autoSpaceDN w:val="0"/>
              <w:adjustRightInd w:val="0"/>
              <w:jc w:val="center"/>
              <w:rPr>
                <w:color w:val="000000"/>
                <w:sz w:val="20"/>
                <w:szCs w:val="20"/>
              </w:rPr>
            </w:pPr>
          </w:p>
        </w:tc>
      </w:tr>
    </w:tbl>
    <w:p w:rsidR="00B70311" w:rsidRPr="003E31CC" w:rsidRDefault="00B70311" w:rsidP="00B70311">
      <w:pPr>
        <w:jc w:val="center"/>
        <w:rPr>
          <w:b/>
          <w:sz w:val="20"/>
          <w:szCs w:val="20"/>
        </w:rPr>
      </w:pPr>
      <w:r w:rsidRPr="003E31CC">
        <w:rPr>
          <w:sz w:val="20"/>
          <w:szCs w:val="20"/>
        </w:rPr>
        <w:br/>
      </w:r>
    </w:p>
    <w:p w:rsidR="00303BFA" w:rsidRPr="003D2BA2" w:rsidRDefault="00303BFA" w:rsidP="003D2BA2">
      <w:pPr>
        <w:pStyle w:val="ListParagraph"/>
        <w:spacing w:line="360" w:lineRule="auto"/>
        <w:jc w:val="both"/>
        <w:rPr>
          <w:sz w:val="20"/>
          <w:szCs w:val="20"/>
        </w:rPr>
      </w:pPr>
    </w:p>
    <w:sectPr w:rsidR="00303BFA" w:rsidRPr="003D2BA2" w:rsidSect="0097055F">
      <w:footerReference w:type="default" r:id="rId17"/>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C5D" w:rsidRDefault="00646C5D" w:rsidP="00B318FC">
      <w:r>
        <w:separator/>
      </w:r>
    </w:p>
  </w:endnote>
  <w:endnote w:type="continuationSeparator" w:id="0">
    <w:p w:rsidR="00646C5D" w:rsidRDefault="00646C5D" w:rsidP="00B3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159312"/>
      <w:docPartObj>
        <w:docPartGallery w:val="Page Numbers (Bottom of Page)"/>
        <w:docPartUnique/>
      </w:docPartObj>
    </w:sdtPr>
    <w:sdtEndPr>
      <w:rPr>
        <w:noProof/>
      </w:rPr>
    </w:sdtEndPr>
    <w:sdtContent>
      <w:p w:rsidR="00646C5D" w:rsidRDefault="00646C5D">
        <w:pPr>
          <w:pStyle w:val="Footer"/>
          <w:jc w:val="center"/>
        </w:pPr>
        <w:r>
          <w:fldChar w:fldCharType="begin"/>
        </w:r>
        <w:r>
          <w:instrText xml:space="preserve"> PAGE   \* MERGEFORMAT </w:instrText>
        </w:r>
        <w:r>
          <w:fldChar w:fldCharType="separate"/>
        </w:r>
        <w:r w:rsidR="00693A2E">
          <w:rPr>
            <w:noProof/>
          </w:rPr>
          <w:t>37</w:t>
        </w:r>
        <w:r>
          <w:rPr>
            <w:noProof/>
          </w:rPr>
          <w:fldChar w:fldCharType="end"/>
        </w:r>
      </w:p>
    </w:sdtContent>
  </w:sdt>
  <w:p w:rsidR="00646C5D" w:rsidRDefault="00646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C5D" w:rsidRDefault="00646C5D" w:rsidP="00B318FC">
      <w:r>
        <w:separator/>
      </w:r>
    </w:p>
  </w:footnote>
  <w:footnote w:type="continuationSeparator" w:id="0">
    <w:p w:rsidR="00646C5D" w:rsidRDefault="00646C5D" w:rsidP="00B31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940"/>
    <w:multiLevelType w:val="hybridMultilevel"/>
    <w:tmpl w:val="E3D02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23170C"/>
    <w:multiLevelType w:val="hybridMultilevel"/>
    <w:tmpl w:val="C40E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A4470"/>
    <w:multiLevelType w:val="multilevel"/>
    <w:tmpl w:val="737A6F9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257F7F"/>
    <w:multiLevelType w:val="hybridMultilevel"/>
    <w:tmpl w:val="F3C0C20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24D3A82"/>
    <w:multiLevelType w:val="multilevel"/>
    <w:tmpl w:val="98047A8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4A5316A"/>
    <w:multiLevelType w:val="multilevel"/>
    <w:tmpl w:val="BFDA8F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493C46"/>
    <w:multiLevelType w:val="multilevel"/>
    <w:tmpl w:val="2A544B20"/>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9546CD7"/>
    <w:multiLevelType w:val="hybridMultilevel"/>
    <w:tmpl w:val="776C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E29EB"/>
    <w:multiLevelType w:val="multilevel"/>
    <w:tmpl w:val="A9F6D97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CC32C66"/>
    <w:multiLevelType w:val="multilevel"/>
    <w:tmpl w:val="FF224E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A20AF3"/>
    <w:multiLevelType w:val="hybridMultilevel"/>
    <w:tmpl w:val="61A20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A965BC"/>
    <w:multiLevelType w:val="multilevel"/>
    <w:tmpl w:val="41D6F9E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6CF00F3"/>
    <w:multiLevelType w:val="multilevel"/>
    <w:tmpl w:val="535EB980"/>
    <w:lvl w:ilvl="0">
      <w:start w:val="1"/>
      <w:numFmt w:val="decimal"/>
      <w:lvlText w:val="%1."/>
      <w:lvlJc w:val="left"/>
      <w:pPr>
        <w:tabs>
          <w:tab w:val="num" w:pos="1080"/>
        </w:tabs>
        <w:ind w:left="1080" w:hanging="360"/>
      </w:pPr>
    </w:lvl>
    <w:lvl w:ilvl="1">
      <w:start w:val="56"/>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7314D48"/>
    <w:multiLevelType w:val="multilevel"/>
    <w:tmpl w:val="ED927A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400F0D"/>
    <w:multiLevelType w:val="multilevel"/>
    <w:tmpl w:val="23BC581A"/>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9821194"/>
    <w:multiLevelType w:val="multilevel"/>
    <w:tmpl w:val="14C667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9B078E0"/>
    <w:multiLevelType w:val="hybridMultilevel"/>
    <w:tmpl w:val="18304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114099"/>
    <w:multiLevelType w:val="multilevel"/>
    <w:tmpl w:val="CA8A84C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D06082E"/>
    <w:multiLevelType w:val="hybridMultilevel"/>
    <w:tmpl w:val="0D2E1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D315CB4"/>
    <w:multiLevelType w:val="hybridMultilevel"/>
    <w:tmpl w:val="4EA437BC"/>
    <w:lvl w:ilvl="0" w:tplc="95486558">
      <w:start w:val="1"/>
      <w:numFmt w:val="decimal"/>
      <w:lvlText w:val="%1."/>
      <w:lvlJc w:val="left"/>
      <w:pPr>
        <w:tabs>
          <w:tab w:val="num" w:pos="1080"/>
        </w:tabs>
        <w:ind w:left="1080" w:hanging="360"/>
      </w:pPr>
      <w:rPr>
        <w:rFonts w:hint="default"/>
        <w:i/>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F970126"/>
    <w:multiLevelType w:val="multilevel"/>
    <w:tmpl w:val="96E0738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116558D"/>
    <w:multiLevelType w:val="multilevel"/>
    <w:tmpl w:val="B6F8DC4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77647E"/>
    <w:multiLevelType w:val="multilevel"/>
    <w:tmpl w:val="EE46717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3B96C23"/>
    <w:multiLevelType w:val="multilevel"/>
    <w:tmpl w:val="B04C047C"/>
    <w:lvl w:ilvl="0">
      <w:start w:val="3"/>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7FE4709"/>
    <w:multiLevelType w:val="multilevel"/>
    <w:tmpl w:val="8160ADF6"/>
    <w:lvl w:ilvl="0">
      <w:start w:val="3"/>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2"/>
      <w:numFmt w:val="decimal"/>
      <w:lvlText w:val="%1.%2.%3"/>
      <w:lvlJc w:val="left"/>
      <w:pPr>
        <w:tabs>
          <w:tab w:val="num" w:pos="862"/>
        </w:tabs>
        <w:ind w:left="862" w:hanging="720"/>
      </w:pPr>
      <w:rPr>
        <w:rFonts w:hint="default"/>
        <w:b/>
      </w:rPr>
    </w:lvl>
    <w:lvl w:ilvl="3">
      <w:start w:val="3"/>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8566AC7"/>
    <w:multiLevelType w:val="multilevel"/>
    <w:tmpl w:val="269A34D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2208DE"/>
    <w:multiLevelType w:val="multilevel"/>
    <w:tmpl w:val="C936CA34"/>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0E83B05"/>
    <w:multiLevelType w:val="multilevel"/>
    <w:tmpl w:val="FAC4CC3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48F5ED8"/>
    <w:multiLevelType w:val="multilevel"/>
    <w:tmpl w:val="B77E065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7793F8B"/>
    <w:multiLevelType w:val="hybridMultilevel"/>
    <w:tmpl w:val="FAC4EA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8800C84"/>
    <w:multiLevelType w:val="hybridMultilevel"/>
    <w:tmpl w:val="C5B0A176"/>
    <w:lvl w:ilvl="0" w:tplc="3424ACDA">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8C270C9"/>
    <w:multiLevelType w:val="hybridMultilevel"/>
    <w:tmpl w:val="85B02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9620A64"/>
    <w:multiLevelType w:val="hybridMultilevel"/>
    <w:tmpl w:val="62968B4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8ED4A2F"/>
    <w:multiLevelType w:val="multilevel"/>
    <w:tmpl w:val="5BE8323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D8E4DCC"/>
    <w:multiLevelType w:val="multilevel"/>
    <w:tmpl w:val="969E907A"/>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44C7595"/>
    <w:multiLevelType w:val="multilevel"/>
    <w:tmpl w:val="60BA51E2"/>
    <w:lvl w:ilvl="0">
      <w:start w:val="2"/>
      <w:numFmt w:val="decimal"/>
      <w:lvlText w:val="%1"/>
      <w:lvlJc w:val="left"/>
      <w:pPr>
        <w:tabs>
          <w:tab w:val="num" w:pos="405"/>
        </w:tabs>
        <w:ind w:left="405" w:hanging="405"/>
      </w:pPr>
      <w:rPr>
        <w:rFonts w:hint="default"/>
      </w:rPr>
    </w:lvl>
    <w:lvl w:ilvl="1">
      <w:start w:val="4"/>
      <w:numFmt w:val="decimal"/>
      <w:lvlText w:val="%1.%2"/>
      <w:lvlJc w:val="left"/>
      <w:pPr>
        <w:tabs>
          <w:tab w:val="num" w:pos="405"/>
        </w:tabs>
        <w:ind w:left="405" w:hanging="4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7C96866"/>
    <w:multiLevelType w:val="multilevel"/>
    <w:tmpl w:val="D2709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E71390"/>
    <w:multiLevelType w:val="multilevel"/>
    <w:tmpl w:val="4E1634A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B963055"/>
    <w:multiLevelType w:val="hybridMultilevel"/>
    <w:tmpl w:val="120A57AC"/>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6C6663EB"/>
    <w:multiLevelType w:val="multilevel"/>
    <w:tmpl w:val="E00E169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6E754CC3"/>
    <w:multiLevelType w:val="hybridMultilevel"/>
    <w:tmpl w:val="23D639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6F751FC6"/>
    <w:multiLevelType w:val="multilevel"/>
    <w:tmpl w:val="2A46280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25D18DC"/>
    <w:multiLevelType w:val="multilevel"/>
    <w:tmpl w:val="ECDEC8C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2E74572"/>
    <w:multiLevelType w:val="hybridMultilevel"/>
    <w:tmpl w:val="A1F23CAA"/>
    <w:lvl w:ilvl="0" w:tplc="BDA4C024">
      <w:start w:val="1"/>
      <w:numFmt w:val="decimal"/>
      <w:lvlText w:val="%1."/>
      <w:lvlJc w:val="left"/>
      <w:pPr>
        <w:tabs>
          <w:tab w:val="num" w:pos="1080"/>
        </w:tabs>
        <w:ind w:left="1080" w:hanging="360"/>
      </w:pPr>
    </w:lvl>
    <w:lvl w:ilvl="1" w:tplc="BA48E704">
      <w:numFmt w:val="none"/>
      <w:lvlText w:val=""/>
      <w:lvlJc w:val="left"/>
      <w:pPr>
        <w:tabs>
          <w:tab w:val="num" w:pos="360"/>
        </w:tabs>
      </w:pPr>
    </w:lvl>
    <w:lvl w:ilvl="2" w:tplc="13F059A2">
      <w:numFmt w:val="none"/>
      <w:lvlText w:val=""/>
      <w:lvlJc w:val="left"/>
      <w:pPr>
        <w:tabs>
          <w:tab w:val="num" w:pos="360"/>
        </w:tabs>
      </w:pPr>
    </w:lvl>
    <w:lvl w:ilvl="3" w:tplc="06F2E07E">
      <w:numFmt w:val="none"/>
      <w:lvlText w:val=""/>
      <w:lvlJc w:val="left"/>
      <w:pPr>
        <w:tabs>
          <w:tab w:val="num" w:pos="360"/>
        </w:tabs>
      </w:pPr>
    </w:lvl>
    <w:lvl w:ilvl="4" w:tplc="01487466">
      <w:numFmt w:val="none"/>
      <w:lvlText w:val=""/>
      <w:lvlJc w:val="left"/>
      <w:pPr>
        <w:tabs>
          <w:tab w:val="num" w:pos="360"/>
        </w:tabs>
      </w:pPr>
    </w:lvl>
    <w:lvl w:ilvl="5" w:tplc="E9224AF2">
      <w:numFmt w:val="none"/>
      <w:lvlText w:val=""/>
      <w:lvlJc w:val="left"/>
      <w:pPr>
        <w:tabs>
          <w:tab w:val="num" w:pos="360"/>
        </w:tabs>
      </w:pPr>
    </w:lvl>
    <w:lvl w:ilvl="6" w:tplc="AE6E584A">
      <w:numFmt w:val="none"/>
      <w:lvlText w:val=""/>
      <w:lvlJc w:val="left"/>
      <w:pPr>
        <w:tabs>
          <w:tab w:val="num" w:pos="360"/>
        </w:tabs>
      </w:pPr>
    </w:lvl>
    <w:lvl w:ilvl="7" w:tplc="7038B16E">
      <w:numFmt w:val="none"/>
      <w:lvlText w:val=""/>
      <w:lvlJc w:val="left"/>
      <w:pPr>
        <w:tabs>
          <w:tab w:val="num" w:pos="360"/>
        </w:tabs>
      </w:pPr>
    </w:lvl>
    <w:lvl w:ilvl="8" w:tplc="698C7E04">
      <w:numFmt w:val="none"/>
      <w:lvlText w:val=""/>
      <w:lvlJc w:val="left"/>
      <w:pPr>
        <w:tabs>
          <w:tab w:val="num" w:pos="360"/>
        </w:tabs>
      </w:pPr>
    </w:lvl>
  </w:abstractNum>
  <w:abstractNum w:abstractNumId="44">
    <w:nsid w:val="7A5679B5"/>
    <w:multiLevelType w:val="hybridMultilevel"/>
    <w:tmpl w:val="F40888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5"/>
  </w:num>
  <w:num w:numId="3">
    <w:abstractNumId w:val="0"/>
  </w:num>
  <w:num w:numId="4">
    <w:abstractNumId w:val="15"/>
  </w:num>
  <w:num w:numId="5">
    <w:abstractNumId w:val="43"/>
  </w:num>
  <w:num w:numId="6">
    <w:abstractNumId w:val="21"/>
  </w:num>
  <w:num w:numId="7">
    <w:abstractNumId w:val="12"/>
  </w:num>
  <w:num w:numId="8">
    <w:abstractNumId w:val="39"/>
  </w:num>
  <w:num w:numId="9">
    <w:abstractNumId w:val="42"/>
  </w:num>
  <w:num w:numId="10">
    <w:abstractNumId w:val="37"/>
  </w:num>
  <w:num w:numId="11">
    <w:abstractNumId w:val="26"/>
  </w:num>
  <w:num w:numId="12">
    <w:abstractNumId w:val="17"/>
  </w:num>
  <w:num w:numId="13">
    <w:abstractNumId w:val="22"/>
  </w:num>
  <w:num w:numId="14">
    <w:abstractNumId w:val="29"/>
  </w:num>
  <w:num w:numId="15">
    <w:abstractNumId w:val="14"/>
  </w:num>
  <w:num w:numId="16">
    <w:abstractNumId w:val="4"/>
  </w:num>
  <w:num w:numId="17">
    <w:abstractNumId w:val="41"/>
  </w:num>
  <w:num w:numId="18">
    <w:abstractNumId w:val="40"/>
  </w:num>
  <w:num w:numId="19">
    <w:abstractNumId w:val="44"/>
  </w:num>
  <w:num w:numId="20">
    <w:abstractNumId w:val="38"/>
  </w:num>
  <w:num w:numId="21">
    <w:abstractNumId w:val="23"/>
  </w:num>
  <w:num w:numId="22">
    <w:abstractNumId w:val="24"/>
  </w:num>
  <w:num w:numId="23">
    <w:abstractNumId w:val="28"/>
  </w:num>
  <w:num w:numId="24">
    <w:abstractNumId w:val="32"/>
  </w:num>
  <w:num w:numId="25">
    <w:abstractNumId w:val="3"/>
  </w:num>
  <w:num w:numId="26">
    <w:abstractNumId w:val="8"/>
  </w:num>
  <w:num w:numId="27">
    <w:abstractNumId w:val="34"/>
  </w:num>
  <w:num w:numId="28">
    <w:abstractNumId w:val="19"/>
  </w:num>
  <w:num w:numId="29">
    <w:abstractNumId w:val="31"/>
  </w:num>
  <w:num w:numId="30">
    <w:abstractNumId w:val="1"/>
  </w:num>
  <w:num w:numId="31">
    <w:abstractNumId w:val="6"/>
  </w:num>
  <w:num w:numId="32">
    <w:abstractNumId w:val="36"/>
  </w:num>
  <w:num w:numId="33">
    <w:abstractNumId w:val="18"/>
  </w:num>
  <w:num w:numId="34">
    <w:abstractNumId w:val="7"/>
  </w:num>
  <w:num w:numId="35">
    <w:abstractNumId w:val="9"/>
  </w:num>
  <w:num w:numId="36">
    <w:abstractNumId w:val="16"/>
  </w:num>
  <w:num w:numId="37">
    <w:abstractNumId w:val="13"/>
  </w:num>
  <w:num w:numId="38">
    <w:abstractNumId w:val="20"/>
  </w:num>
  <w:num w:numId="39">
    <w:abstractNumId w:val="27"/>
  </w:num>
  <w:num w:numId="40">
    <w:abstractNumId w:val="11"/>
  </w:num>
  <w:num w:numId="41">
    <w:abstractNumId w:val="33"/>
  </w:num>
  <w:num w:numId="42">
    <w:abstractNumId w:val="2"/>
  </w:num>
  <w:num w:numId="43">
    <w:abstractNumId w:val="25"/>
  </w:num>
  <w:num w:numId="44">
    <w:abstractNumId w:val="5"/>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9A"/>
    <w:rsid w:val="000066AC"/>
    <w:rsid w:val="00007E25"/>
    <w:rsid w:val="0001218E"/>
    <w:rsid w:val="0001322A"/>
    <w:rsid w:val="00023174"/>
    <w:rsid w:val="00023F36"/>
    <w:rsid w:val="00026D71"/>
    <w:rsid w:val="0003650A"/>
    <w:rsid w:val="00037771"/>
    <w:rsid w:val="000402CA"/>
    <w:rsid w:val="00040CB9"/>
    <w:rsid w:val="000429FF"/>
    <w:rsid w:val="00045108"/>
    <w:rsid w:val="0006703D"/>
    <w:rsid w:val="00071A4A"/>
    <w:rsid w:val="0007268F"/>
    <w:rsid w:val="000823E9"/>
    <w:rsid w:val="00083B90"/>
    <w:rsid w:val="00084334"/>
    <w:rsid w:val="0008467D"/>
    <w:rsid w:val="000851FB"/>
    <w:rsid w:val="00090E17"/>
    <w:rsid w:val="000938C7"/>
    <w:rsid w:val="00094D7A"/>
    <w:rsid w:val="0009767F"/>
    <w:rsid w:val="000A0DD2"/>
    <w:rsid w:val="000A3989"/>
    <w:rsid w:val="000A5532"/>
    <w:rsid w:val="000A57D6"/>
    <w:rsid w:val="000B4B0D"/>
    <w:rsid w:val="000B7EF5"/>
    <w:rsid w:val="000C1956"/>
    <w:rsid w:val="000C2A21"/>
    <w:rsid w:val="000C5856"/>
    <w:rsid w:val="000C5DD1"/>
    <w:rsid w:val="000D19EC"/>
    <w:rsid w:val="000D3EEB"/>
    <w:rsid w:val="000D498D"/>
    <w:rsid w:val="000D6E0D"/>
    <w:rsid w:val="00104204"/>
    <w:rsid w:val="00105F7D"/>
    <w:rsid w:val="00121408"/>
    <w:rsid w:val="00132245"/>
    <w:rsid w:val="00136160"/>
    <w:rsid w:val="0014296F"/>
    <w:rsid w:val="00143706"/>
    <w:rsid w:val="00146125"/>
    <w:rsid w:val="00157181"/>
    <w:rsid w:val="00157FA7"/>
    <w:rsid w:val="0016237D"/>
    <w:rsid w:val="0016449B"/>
    <w:rsid w:val="00175DD5"/>
    <w:rsid w:val="00180DCC"/>
    <w:rsid w:val="001830DF"/>
    <w:rsid w:val="00185F41"/>
    <w:rsid w:val="00186E0C"/>
    <w:rsid w:val="00187252"/>
    <w:rsid w:val="00191D0C"/>
    <w:rsid w:val="00195A60"/>
    <w:rsid w:val="00195EB3"/>
    <w:rsid w:val="001A34E9"/>
    <w:rsid w:val="001A4912"/>
    <w:rsid w:val="001B048B"/>
    <w:rsid w:val="001B074B"/>
    <w:rsid w:val="001B1B1B"/>
    <w:rsid w:val="001C40CA"/>
    <w:rsid w:val="001D6BF4"/>
    <w:rsid w:val="001D7207"/>
    <w:rsid w:val="001E30FE"/>
    <w:rsid w:val="001F0713"/>
    <w:rsid w:val="002018AE"/>
    <w:rsid w:val="00201B40"/>
    <w:rsid w:val="0020270B"/>
    <w:rsid w:val="002046A5"/>
    <w:rsid w:val="0021545B"/>
    <w:rsid w:val="002161A3"/>
    <w:rsid w:val="00217D58"/>
    <w:rsid w:val="0023008F"/>
    <w:rsid w:val="00230492"/>
    <w:rsid w:val="002327BF"/>
    <w:rsid w:val="002358E8"/>
    <w:rsid w:val="00244707"/>
    <w:rsid w:val="00261D63"/>
    <w:rsid w:val="002624B1"/>
    <w:rsid w:val="0027582A"/>
    <w:rsid w:val="00276982"/>
    <w:rsid w:val="00282843"/>
    <w:rsid w:val="00283111"/>
    <w:rsid w:val="00286A24"/>
    <w:rsid w:val="00290463"/>
    <w:rsid w:val="00291386"/>
    <w:rsid w:val="00292006"/>
    <w:rsid w:val="002924C6"/>
    <w:rsid w:val="002951EC"/>
    <w:rsid w:val="002A047E"/>
    <w:rsid w:val="002A0C9A"/>
    <w:rsid w:val="002B3757"/>
    <w:rsid w:val="002B7543"/>
    <w:rsid w:val="002C044D"/>
    <w:rsid w:val="002C0CAC"/>
    <w:rsid w:val="002C3840"/>
    <w:rsid w:val="002C5360"/>
    <w:rsid w:val="002D3834"/>
    <w:rsid w:val="002D716A"/>
    <w:rsid w:val="002E71F8"/>
    <w:rsid w:val="002F1CC6"/>
    <w:rsid w:val="002F7BBF"/>
    <w:rsid w:val="0030303F"/>
    <w:rsid w:val="00303BFA"/>
    <w:rsid w:val="00306870"/>
    <w:rsid w:val="00310C95"/>
    <w:rsid w:val="00312BEB"/>
    <w:rsid w:val="00314B81"/>
    <w:rsid w:val="0031756E"/>
    <w:rsid w:val="00332318"/>
    <w:rsid w:val="00334B6E"/>
    <w:rsid w:val="00336039"/>
    <w:rsid w:val="00340792"/>
    <w:rsid w:val="003417A0"/>
    <w:rsid w:val="00344D9E"/>
    <w:rsid w:val="00367ED8"/>
    <w:rsid w:val="00370DDA"/>
    <w:rsid w:val="00371334"/>
    <w:rsid w:val="00372899"/>
    <w:rsid w:val="00377447"/>
    <w:rsid w:val="00381F4F"/>
    <w:rsid w:val="00382348"/>
    <w:rsid w:val="003839E0"/>
    <w:rsid w:val="003874CD"/>
    <w:rsid w:val="00391E85"/>
    <w:rsid w:val="0039470C"/>
    <w:rsid w:val="003A2223"/>
    <w:rsid w:val="003A32D7"/>
    <w:rsid w:val="003B05AB"/>
    <w:rsid w:val="003B11D6"/>
    <w:rsid w:val="003B4359"/>
    <w:rsid w:val="003B4EC7"/>
    <w:rsid w:val="003B67A9"/>
    <w:rsid w:val="003B7806"/>
    <w:rsid w:val="003C12D9"/>
    <w:rsid w:val="003C1A9E"/>
    <w:rsid w:val="003D0539"/>
    <w:rsid w:val="003D0844"/>
    <w:rsid w:val="003D157C"/>
    <w:rsid w:val="003D1D15"/>
    <w:rsid w:val="003D2BA2"/>
    <w:rsid w:val="003E2228"/>
    <w:rsid w:val="003E426C"/>
    <w:rsid w:val="003E7530"/>
    <w:rsid w:val="00400193"/>
    <w:rsid w:val="0041594F"/>
    <w:rsid w:val="00416FAA"/>
    <w:rsid w:val="00423C1A"/>
    <w:rsid w:val="004246F4"/>
    <w:rsid w:val="00433F59"/>
    <w:rsid w:val="0043657A"/>
    <w:rsid w:val="004415CE"/>
    <w:rsid w:val="00452151"/>
    <w:rsid w:val="004531A4"/>
    <w:rsid w:val="00453919"/>
    <w:rsid w:val="00464C14"/>
    <w:rsid w:val="00472159"/>
    <w:rsid w:val="00480A31"/>
    <w:rsid w:val="00486238"/>
    <w:rsid w:val="00491F5B"/>
    <w:rsid w:val="004A1739"/>
    <w:rsid w:val="004B0F9E"/>
    <w:rsid w:val="004B123C"/>
    <w:rsid w:val="004B277C"/>
    <w:rsid w:val="004B41E3"/>
    <w:rsid w:val="004C1F2B"/>
    <w:rsid w:val="004D0740"/>
    <w:rsid w:val="004D1B8A"/>
    <w:rsid w:val="004E1ECE"/>
    <w:rsid w:val="004E5982"/>
    <w:rsid w:val="004E59D9"/>
    <w:rsid w:val="004F1A01"/>
    <w:rsid w:val="004F3BF1"/>
    <w:rsid w:val="005000DB"/>
    <w:rsid w:val="00505349"/>
    <w:rsid w:val="00511E46"/>
    <w:rsid w:val="00513B7E"/>
    <w:rsid w:val="00521D6B"/>
    <w:rsid w:val="0052310A"/>
    <w:rsid w:val="005253AD"/>
    <w:rsid w:val="005264CC"/>
    <w:rsid w:val="00532404"/>
    <w:rsid w:val="005363F1"/>
    <w:rsid w:val="00537044"/>
    <w:rsid w:val="005445E8"/>
    <w:rsid w:val="00547F6B"/>
    <w:rsid w:val="00565566"/>
    <w:rsid w:val="00567CCB"/>
    <w:rsid w:val="00576CC3"/>
    <w:rsid w:val="00580E55"/>
    <w:rsid w:val="00581BC1"/>
    <w:rsid w:val="00583226"/>
    <w:rsid w:val="00584370"/>
    <w:rsid w:val="0058495C"/>
    <w:rsid w:val="00587A37"/>
    <w:rsid w:val="0059310F"/>
    <w:rsid w:val="005962A0"/>
    <w:rsid w:val="005A6EF2"/>
    <w:rsid w:val="005A7519"/>
    <w:rsid w:val="005B202F"/>
    <w:rsid w:val="005C1104"/>
    <w:rsid w:val="005C18A6"/>
    <w:rsid w:val="005C2CEB"/>
    <w:rsid w:val="005C3FF6"/>
    <w:rsid w:val="005D38C8"/>
    <w:rsid w:val="005D714E"/>
    <w:rsid w:val="005E2703"/>
    <w:rsid w:val="005E6206"/>
    <w:rsid w:val="005F1F6F"/>
    <w:rsid w:val="005F3C40"/>
    <w:rsid w:val="005F4B40"/>
    <w:rsid w:val="005F5557"/>
    <w:rsid w:val="005F7E96"/>
    <w:rsid w:val="00600CEF"/>
    <w:rsid w:val="00601521"/>
    <w:rsid w:val="0060182A"/>
    <w:rsid w:val="00605F80"/>
    <w:rsid w:val="00607306"/>
    <w:rsid w:val="00613E06"/>
    <w:rsid w:val="00615031"/>
    <w:rsid w:val="00621A8A"/>
    <w:rsid w:val="00623AD5"/>
    <w:rsid w:val="006241EA"/>
    <w:rsid w:val="006278AA"/>
    <w:rsid w:val="006310D5"/>
    <w:rsid w:val="00631A0C"/>
    <w:rsid w:val="00646C5D"/>
    <w:rsid w:val="006501B0"/>
    <w:rsid w:val="00650AD1"/>
    <w:rsid w:val="00651340"/>
    <w:rsid w:val="00671756"/>
    <w:rsid w:val="00677E3E"/>
    <w:rsid w:val="0068287B"/>
    <w:rsid w:val="00684ED6"/>
    <w:rsid w:val="00686729"/>
    <w:rsid w:val="006876F7"/>
    <w:rsid w:val="00692EE5"/>
    <w:rsid w:val="00693A2E"/>
    <w:rsid w:val="006A1E3C"/>
    <w:rsid w:val="006A46BF"/>
    <w:rsid w:val="006A6385"/>
    <w:rsid w:val="006A689A"/>
    <w:rsid w:val="006B1B4D"/>
    <w:rsid w:val="006C097F"/>
    <w:rsid w:val="006C1714"/>
    <w:rsid w:val="006C5753"/>
    <w:rsid w:val="006C7C7E"/>
    <w:rsid w:val="006D06EF"/>
    <w:rsid w:val="006D092C"/>
    <w:rsid w:val="006D7554"/>
    <w:rsid w:val="006E317E"/>
    <w:rsid w:val="006E4780"/>
    <w:rsid w:val="006E7C77"/>
    <w:rsid w:val="006F0B98"/>
    <w:rsid w:val="006F6317"/>
    <w:rsid w:val="00705AAB"/>
    <w:rsid w:val="00710EE4"/>
    <w:rsid w:val="00720393"/>
    <w:rsid w:val="00733041"/>
    <w:rsid w:val="00734F2A"/>
    <w:rsid w:val="00743150"/>
    <w:rsid w:val="007433CB"/>
    <w:rsid w:val="00750DD9"/>
    <w:rsid w:val="00754612"/>
    <w:rsid w:val="00755E7C"/>
    <w:rsid w:val="00756800"/>
    <w:rsid w:val="00762D1B"/>
    <w:rsid w:val="007632DD"/>
    <w:rsid w:val="0077017C"/>
    <w:rsid w:val="0077603D"/>
    <w:rsid w:val="0077649D"/>
    <w:rsid w:val="00780081"/>
    <w:rsid w:val="00787DF0"/>
    <w:rsid w:val="00790128"/>
    <w:rsid w:val="00795A57"/>
    <w:rsid w:val="007A0DD3"/>
    <w:rsid w:val="007B0A4B"/>
    <w:rsid w:val="007C08F0"/>
    <w:rsid w:val="007C2AD1"/>
    <w:rsid w:val="007C7005"/>
    <w:rsid w:val="007D683B"/>
    <w:rsid w:val="007D74C9"/>
    <w:rsid w:val="007D77C4"/>
    <w:rsid w:val="007D7E39"/>
    <w:rsid w:val="007E0A84"/>
    <w:rsid w:val="007E1643"/>
    <w:rsid w:val="007E1FA1"/>
    <w:rsid w:val="008074B9"/>
    <w:rsid w:val="00816D3F"/>
    <w:rsid w:val="00821683"/>
    <w:rsid w:val="00845E65"/>
    <w:rsid w:val="008518BC"/>
    <w:rsid w:val="008617E2"/>
    <w:rsid w:val="00866252"/>
    <w:rsid w:val="00870824"/>
    <w:rsid w:val="00874B7A"/>
    <w:rsid w:val="008813E6"/>
    <w:rsid w:val="00883FC6"/>
    <w:rsid w:val="00886076"/>
    <w:rsid w:val="00886E96"/>
    <w:rsid w:val="00891AD4"/>
    <w:rsid w:val="00892198"/>
    <w:rsid w:val="008921F1"/>
    <w:rsid w:val="00892B6C"/>
    <w:rsid w:val="008A0ED2"/>
    <w:rsid w:val="008A2C48"/>
    <w:rsid w:val="008B3205"/>
    <w:rsid w:val="008B5AAB"/>
    <w:rsid w:val="008B7B5A"/>
    <w:rsid w:val="008C2EAA"/>
    <w:rsid w:val="008C7A05"/>
    <w:rsid w:val="008D0735"/>
    <w:rsid w:val="008D4DF1"/>
    <w:rsid w:val="008D6E55"/>
    <w:rsid w:val="008E4D65"/>
    <w:rsid w:val="008E64D6"/>
    <w:rsid w:val="008F0063"/>
    <w:rsid w:val="008F135A"/>
    <w:rsid w:val="008F3AD5"/>
    <w:rsid w:val="009033DA"/>
    <w:rsid w:val="009048D4"/>
    <w:rsid w:val="0092541F"/>
    <w:rsid w:val="009274F2"/>
    <w:rsid w:val="0093114E"/>
    <w:rsid w:val="00936FF0"/>
    <w:rsid w:val="00940843"/>
    <w:rsid w:val="0094403E"/>
    <w:rsid w:val="009474FA"/>
    <w:rsid w:val="00957297"/>
    <w:rsid w:val="00960189"/>
    <w:rsid w:val="0096032C"/>
    <w:rsid w:val="00960442"/>
    <w:rsid w:val="00964983"/>
    <w:rsid w:val="00964A29"/>
    <w:rsid w:val="0097055F"/>
    <w:rsid w:val="009713A4"/>
    <w:rsid w:val="00977B5E"/>
    <w:rsid w:val="00984ACB"/>
    <w:rsid w:val="00992852"/>
    <w:rsid w:val="00995B18"/>
    <w:rsid w:val="00996D36"/>
    <w:rsid w:val="009A6E64"/>
    <w:rsid w:val="009B1D34"/>
    <w:rsid w:val="009B5CE2"/>
    <w:rsid w:val="009B6268"/>
    <w:rsid w:val="009B6970"/>
    <w:rsid w:val="009D1313"/>
    <w:rsid w:val="009D2D7F"/>
    <w:rsid w:val="009D7ED8"/>
    <w:rsid w:val="009E17AD"/>
    <w:rsid w:val="009E4781"/>
    <w:rsid w:val="009F05E2"/>
    <w:rsid w:val="009F7A52"/>
    <w:rsid w:val="00A0668C"/>
    <w:rsid w:val="00A10A4F"/>
    <w:rsid w:val="00A10CAB"/>
    <w:rsid w:val="00A14127"/>
    <w:rsid w:val="00A200BF"/>
    <w:rsid w:val="00A20716"/>
    <w:rsid w:val="00A3364E"/>
    <w:rsid w:val="00A3638C"/>
    <w:rsid w:val="00A372DF"/>
    <w:rsid w:val="00A37F3F"/>
    <w:rsid w:val="00A4075A"/>
    <w:rsid w:val="00A418BB"/>
    <w:rsid w:val="00A47CB2"/>
    <w:rsid w:val="00A50BEA"/>
    <w:rsid w:val="00A544F4"/>
    <w:rsid w:val="00A56041"/>
    <w:rsid w:val="00A64961"/>
    <w:rsid w:val="00A74728"/>
    <w:rsid w:val="00A77E3F"/>
    <w:rsid w:val="00A82867"/>
    <w:rsid w:val="00A838EB"/>
    <w:rsid w:val="00A85ACC"/>
    <w:rsid w:val="00A93A8C"/>
    <w:rsid w:val="00A96B33"/>
    <w:rsid w:val="00AA0633"/>
    <w:rsid w:val="00AA21DB"/>
    <w:rsid w:val="00AB4617"/>
    <w:rsid w:val="00AB6F80"/>
    <w:rsid w:val="00AC7C70"/>
    <w:rsid w:val="00AD42F0"/>
    <w:rsid w:val="00AD45E4"/>
    <w:rsid w:val="00AD5A69"/>
    <w:rsid w:val="00AF58B6"/>
    <w:rsid w:val="00AF7C13"/>
    <w:rsid w:val="00B0269C"/>
    <w:rsid w:val="00B1518C"/>
    <w:rsid w:val="00B238AC"/>
    <w:rsid w:val="00B3007F"/>
    <w:rsid w:val="00B318FC"/>
    <w:rsid w:val="00B412A4"/>
    <w:rsid w:val="00B44DB8"/>
    <w:rsid w:val="00B578A2"/>
    <w:rsid w:val="00B63E2D"/>
    <w:rsid w:val="00B65A7B"/>
    <w:rsid w:val="00B67D22"/>
    <w:rsid w:val="00B70311"/>
    <w:rsid w:val="00B7586D"/>
    <w:rsid w:val="00B75E65"/>
    <w:rsid w:val="00B90119"/>
    <w:rsid w:val="00B90907"/>
    <w:rsid w:val="00B91CCB"/>
    <w:rsid w:val="00B92E0B"/>
    <w:rsid w:val="00BA06FC"/>
    <w:rsid w:val="00BA0E3A"/>
    <w:rsid w:val="00BA24CE"/>
    <w:rsid w:val="00BA74B4"/>
    <w:rsid w:val="00BB3ED5"/>
    <w:rsid w:val="00BB496F"/>
    <w:rsid w:val="00BB695B"/>
    <w:rsid w:val="00BC09ED"/>
    <w:rsid w:val="00BC470E"/>
    <w:rsid w:val="00BC70D5"/>
    <w:rsid w:val="00BD393D"/>
    <w:rsid w:val="00BD52DF"/>
    <w:rsid w:val="00BD6AE4"/>
    <w:rsid w:val="00BE15B8"/>
    <w:rsid w:val="00BE3F39"/>
    <w:rsid w:val="00BF5F64"/>
    <w:rsid w:val="00C052EC"/>
    <w:rsid w:val="00C053C9"/>
    <w:rsid w:val="00C07AEB"/>
    <w:rsid w:val="00C11A25"/>
    <w:rsid w:val="00C151DD"/>
    <w:rsid w:val="00C23A25"/>
    <w:rsid w:val="00C27655"/>
    <w:rsid w:val="00C27EDD"/>
    <w:rsid w:val="00C308CC"/>
    <w:rsid w:val="00C42996"/>
    <w:rsid w:val="00C60A1D"/>
    <w:rsid w:val="00C61161"/>
    <w:rsid w:val="00C65999"/>
    <w:rsid w:val="00C660A3"/>
    <w:rsid w:val="00C70CEA"/>
    <w:rsid w:val="00C74171"/>
    <w:rsid w:val="00C953F7"/>
    <w:rsid w:val="00C96ABC"/>
    <w:rsid w:val="00CA05B7"/>
    <w:rsid w:val="00CA0E03"/>
    <w:rsid w:val="00CA3809"/>
    <w:rsid w:val="00CA4C77"/>
    <w:rsid w:val="00CB1D2B"/>
    <w:rsid w:val="00CB2FB8"/>
    <w:rsid w:val="00CB3866"/>
    <w:rsid w:val="00CB3F4A"/>
    <w:rsid w:val="00CB4211"/>
    <w:rsid w:val="00CB49C6"/>
    <w:rsid w:val="00CC0594"/>
    <w:rsid w:val="00CC2E7F"/>
    <w:rsid w:val="00CC4902"/>
    <w:rsid w:val="00CC7F53"/>
    <w:rsid w:val="00CD5968"/>
    <w:rsid w:val="00CE4D99"/>
    <w:rsid w:val="00CE5DAD"/>
    <w:rsid w:val="00CE6F58"/>
    <w:rsid w:val="00CF14A0"/>
    <w:rsid w:val="00CF3F91"/>
    <w:rsid w:val="00CF7017"/>
    <w:rsid w:val="00D0132B"/>
    <w:rsid w:val="00D06697"/>
    <w:rsid w:val="00D13F64"/>
    <w:rsid w:val="00D16B2B"/>
    <w:rsid w:val="00D208B5"/>
    <w:rsid w:val="00D20987"/>
    <w:rsid w:val="00D27F37"/>
    <w:rsid w:val="00D3388C"/>
    <w:rsid w:val="00D33DFD"/>
    <w:rsid w:val="00D34967"/>
    <w:rsid w:val="00D36675"/>
    <w:rsid w:val="00D37575"/>
    <w:rsid w:val="00D438C0"/>
    <w:rsid w:val="00D51626"/>
    <w:rsid w:val="00D53809"/>
    <w:rsid w:val="00D53974"/>
    <w:rsid w:val="00D53EA7"/>
    <w:rsid w:val="00D553ED"/>
    <w:rsid w:val="00D5760D"/>
    <w:rsid w:val="00D6272A"/>
    <w:rsid w:val="00D63BB4"/>
    <w:rsid w:val="00D64F6F"/>
    <w:rsid w:val="00D678D3"/>
    <w:rsid w:val="00D714E7"/>
    <w:rsid w:val="00D735DF"/>
    <w:rsid w:val="00D94039"/>
    <w:rsid w:val="00DA202E"/>
    <w:rsid w:val="00DA2530"/>
    <w:rsid w:val="00DB13EC"/>
    <w:rsid w:val="00DB224F"/>
    <w:rsid w:val="00DB659E"/>
    <w:rsid w:val="00DC5F20"/>
    <w:rsid w:val="00DD6628"/>
    <w:rsid w:val="00DD67E4"/>
    <w:rsid w:val="00DE168A"/>
    <w:rsid w:val="00DE2745"/>
    <w:rsid w:val="00DE2864"/>
    <w:rsid w:val="00DE3E58"/>
    <w:rsid w:val="00DE6224"/>
    <w:rsid w:val="00DF20C5"/>
    <w:rsid w:val="00E043D2"/>
    <w:rsid w:val="00E05168"/>
    <w:rsid w:val="00E11D42"/>
    <w:rsid w:val="00E27CD3"/>
    <w:rsid w:val="00E31F5B"/>
    <w:rsid w:val="00E37076"/>
    <w:rsid w:val="00E41C68"/>
    <w:rsid w:val="00E5691E"/>
    <w:rsid w:val="00E56C0A"/>
    <w:rsid w:val="00E615AB"/>
    <w:rsid w:val="00E6174C"/>
    <w:rsid w:val="00E61A2C"/>
    <w:rsid w:val="00E62BEF"/>
    <w:rsid w:val="00E706C3"/>
    <w:rsid w:val="00E721AA"/>
    <w:rsid w:val="00E77795"/>
    <w:rsid w:val="00E9208E"/>
    <w:rsid w:val="00E920A4"/>
    <w:rsid w:val="00EA2A76"/>
    <w:rsid w:val="00EA3C20"/>
    <w:rsid w:val="00EA6E58"/>
    <w:rsid w:val="00EA7782"/>
    <w:rsid w:val="00EB131E"/>
    <w:rsid w:val="00EC50C5"/>
    <w:rsid w:val="00ED08A1"/>
    <w:rsid w:val="00ED329C"/>
    <w:rsid w:val="00ED5F35"/>
    <w:rsid w:val="00EE50DA"/>
    <w:rsid w:val="00EF4463"/>
    <w:rsid w:val="00EF5FF8"/>
    <w:rsid w:val="00F155AC"/>
    <w:rsid w:val="00F21C05"/>
    <w:rsid w:val="00F223E6"/>
    <w:rsid w:val="00F2276F"/>
    <w:rsid w:val="00F2530C"/>
    <w:rsid w:val="00F25E18"/>
    <w:rsid w:val="00F306DE"/>
    <w:rsid w:val="00F321A2"/>
    <w:rsid w:val="00F35829"/>
    <w:rsid w:val="00F3660E"/>
    <w:rsid w:val="00F3710F"/>
    <w:rsid w:val="00F37D55"/>
    <w:rsid w:val="00F40383"/>
    <w:rsid w:val="00F42CEF"/>
    <w:rsid w:val="00F46597"/>
    <w:rsid w:val="00F47794"/>
    <w:rsid w:val="00F478A4"/>
    <w:rsid w:val="00F555D7"/>
    <w:rsid w:val="00F613B1"/>
    <w:rsid w:val="00F722C0"/>
    <w:rsid w:val="00F82CEB"/>
    <w:rsid w:val="00F86D6A"/>
    <w:rsid w:val="00F87113"/>
    <w:rsid w:val="00F96B95"/>
    <w:rsid w:val="00FA0FAE"/>
    <w:rsid w:val="00FA232F"/>
    <w:rsid w:val="00FA6AEA"/>
    <w:rsid w:val="00FB1FFA"/>
    <w:rsid w:val="00FB27DE"/>
    <w:rsid w:val="00FB2AC8"/>
    <w:rsid w:val="00FB55C1"/>
    <w:rsid w:val="00FD2B03"/>
    <w:rsid w:val="00FE046B"/>
    <w:rsid w:val="00FE2B89"/>
    <w:rsid w:val="00FE4BFE"/>
    <w:rsid w:val="00FE6DFF"/>
    <w:rsid w:val="00FF7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2A0C9A"/>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750DD9"/>
    <w:pPr>
      <w:keepNext/>
      <w:keepLines/>
      <w:spacing w:before="480" w:line="276" w:lineRule="auto"/>
      <w:outlineLvl w:val="0"/>
    </w:pPr>
    <w:rPr>
      <w:rFonts w:ascii="Cambria" w:eastAsia="Times New Roman" w:hAnsi="Cambria"/>
      <w:b/>
      <w:bCs/>
      <w:color w:val="365F91"/>
      <w:sz w:val="28"/>
      <w:szCs w:val="28"/>
      <w:lang w:eastAsia="en-US"/>
    </w:rPr>
  </w:style>
  <w:style w:type="paragraph" w:styleId="Heading2">
    <w:name w:val="heading 2"/>
    <w:basedOn w:val="Normal"/>
    <w:next w:val="Normal"/>
    <w:link w:val="Heading2Char"/>
    <w:qFormat/>
    <w:rsid w:val="00750DD9"/>
    <w:pPr>
      <w:keepNext/>
      <w:spacing w:before="240" w:after="60"/>
      <w:outlineLvl w:val="1"/>
    </w:pPr>
    <w:rPr>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0C9A"/>
    <w:pPr>
      <w:ind w:left="720"/>
      <w:contextualSpacing/>
    </w:pPr>
    <w:rPr>
      <w:rFonts w:eastAsia="Times New Roman"/>
      <w:lang w:val="en-GB" w:eastAsia="en-US"/>
    </w:rPr>
  </w:style>
  <w:style w:type="character" w:styleId="Hyperlink">
    <w:name w:val="Hyperlink"/>
    <w:rsid w:val="002A0C9A"/>
    <w:rPr>
      <w:color w:val="0000FF"/>
      <w:u w:val="single"/>
    </w:rPr>
  </w:style>
  <w:style w:type="paragraph" w:styleId="BalloonText">
    <w:name w:val="Balloon Text"/>
    <w:basedOn w:val="Normal"/>
    <w:link w:val="BalloonTextChar"/>
    <w:unhideWhenUsed/>
    <w:rsid w:val="00710EE4"/>
    <w:rPr>
      <w:rFonts w:ascii="Tahoma" w:hAnsi="Tahoma" w:cs="Tahoma"/>
      <w:sz w:val="16"/>
      <w:szCs w:val="16"/>
    </w:rPr>
  </w:style>
  <w:style w:type="character" w:customStyle="1" w:styleId="BalloonTextChar">
    <w:name w:val="Balloon Text Char"/>
    <w:basedOn w:val="DefaultParagraphFont"/>
    <w:link w:val="BalloonText"/>
    <w:rsid w:val="00710EE4"/>
    <w:rPr>
      <w:rFonts w:ascii="Tahoma" w:eastAsia="SimSun" w:hAnsi="Tahoma" w:cs="Tahoma"/>
      <w:sz w:val="16"/>
      <w:szCs w:val="16"/>
      <w:lang w:val="en-US" w:eastAsia="zh-CN"/>
    </w:rPr>
  </w:style>
  <w:style w:type="paragraph" w:customStyle="1" w:styleId="Default">
    <w:name w:val="Default"/>
    <w:rsid w:val="005F3C4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rsid w:val="00750DD9"/>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rsid w:val="00750DD9"/>
    <w:rPr>
      <w:rFonts w:ascii="Times New Roman" w:eastAsia="SimSun" w:hAnsi="Times New Roman" w:cs="Times New Roman"/>
      <w:sz w:val="20"/>
      <w:szCs w:val="20"/>
      <w:lang w:val="x-none" w:eastAsia="zh-CN"/>
    </w:rPr>
  </w:style>
  <w:style w:type="paragraph" w:styleId="Footer">
    <w:name w:val="footer"/>
    <w:basedOn w:val="Normal"/>
    <w:link w:val="FooterChar"/>
    <w:uiPriority w:val="99"/>
    <w:unhideWhenUsed/>
    <w:rsid w:val="00750DD9"/>
    <w:pPr>
      <w:tabs>
        <w:tab w:val="center" w:pos="4680"/>
        <w:tab w:val="right" w:pos="9360"/>
      </w:tabs>
    </w:pPr>
    <w:rPr>
      <w:rFonts w:eastAsia="Times New Roman"/>
      <w:lang w:val="en-GB" w:eastAsia="en-US"/>
    </w:rPr>
  </w:style>
  <w:style w:type="character" w:customStyle="1" w:styleId="FooterChar">
    <w:name w:val="Footer Char"/>
    <w:basedOn w:val="DefaultParagraphFont"/>
    <w:link w:val="Footer"/>
    <w:uiPriority w:val="99"/>
    <w:rsid w:val="00750DD9"/>
    <w:rPr>
      <w:rFonts w:ascii="Times New Roman" w:eastAsia="Times New Roman" w:hAnsi="Times New Roman" w:cs="Times New Roman"/>
      <w:sz w:val="24"/>
      <w:szCs w:val="24"/>
    </w:rPr>
  </w:style>
  <w:style w:type="paragraph" w:styleId="CommentText">
    <w:name w:val="annotation text"/>
    <w:basedOn w:val="Normal"/>
    <w:link w:val="CommentTextChar"/>
    <w:semiHidden/>
    <w:rsid w:val="00750DD9"/>
    <w:pPr>
      <w:spacing w:after="200"/>
    </w:pPr>
    <w:rPr>
      <w:rFonts w:ascii="Calibri" w:eastAsia="Times New Roman" w:hAnsi="Calibri" w:cs="Cordia New"/>
      <w:sz w:val="20"/>
      <w:szCs w:val="20"/>
      <w:lang w:val="en-GB" w:eastAsia="en-US"/>
    </w:rPr>
  </w:style>
  <w:style w:type="character" w:customStyle="1" w:styleId="CommentTextChar">
    <w:name w:val="Comment Text Char"/>
    <w:basedOn w:val="DefaultParagraphFont"/>
    <w:link w:val="CommentText"/>
    <w:semiHidden/>
    <w:rsid w:val="00750DD9"/>
    <w:rPr>
      <w:rFonts w:ascii="Calibri" w:eastAsia="Times New Roman" w:hAnsi="Calibri" w:cs="Cordia New"/>
      <w:sz w:val="20"/>
      <w:szCs w:val="20"/>
    </w:rPr>
  </w:style>
  <w:style w:type="paragraph" w:styleId="NoSpacing">
    <w:name w:val="No Spacing"/>
    <w:qFormat/>
    <w:rsid w:val="00750DD9"/>
    <w:pPr>
      <w:spacing w:after="0" w:line="240" w:lineRule="auto"/>
    </w:pPr>
    <w:rPr>
      <w:rFonts w:ascii="Calibri" w:eastAsia="Times New Roman" w:hAnsi="Calibri" w:cs="Cordia New"/>
      <w:lang w:val="en-US"/>
    </w:rPr>
  </w:style>
  <w:style w:type="paragraph" w:styleId="NormalWeb">
    <w:name w:val="Normal (Web)"/>
    <w:basedOn w:val="Normal"/>
    <w:rsid w:val="00750DD9"/>
    <w:pPr>
      <w:spacing w:before="100" w:beforeAutospacing="1" w:after="100" w:afterAutospacing="1"/>
    </w:pPr>
    <w:rPr>
      <w:rFonts w:eastAsia="Calibri"/>
      <w:lang w:val="en-GB" w:eastAsia="en-US"/>
    </w:rPr>
  </w:style>
  <w:style w:type="paragraph" w:styleId="Bibliography">
    <w:name w:val="Bibliography"/>
    <w:basedOn w:val="Normal"/>
    <w:next w:val="Normal"/>
    <w:rsid w:val="00750DD9"/>
    <w:rPr>
      <w:lang w:val="en-GB"/>
    </w:rPr>
  </w:style>
  <w:style w:type="paragraph" w:styleId="Header">
    <w:name w:val="header"/>
    <w:basedOn w:val="Normal"/>
    <w:link w:val="HeaderChar"/>
    <w:rsid w:val="00750DD9"/>
    <w:pPr>
      <w:tabs>
        <w:tab w:val="center" w:pos="4320"/>
        <w:tab w:val="right" w:pos="8640"/>
      </w:tabs>
      <w:spacing w:after="200" w:line="276" w:lineRule="auto"/>
    </w:pPr>
    <w:rPr>
      <w:rFonts w:ascii="Calibri" w:eastAsia="Times New Roman" w:hAnsi="Calibri" w:cs="Cordia New"/>
      <w:sz w:val="22"/>
      <w:szCs w:val="22"/>
      <w:lang w:val="en-GB" w:eastAsia="en-US"/>
    </w:rPr>
  </w:style>
  <w:style w:type="character" w:customStyle="1" w:styleId="HeaderChar">
    <w:name w:val="Header Char"/>
    <w:basedOn w:val="DefaultParagraphFont"/>
    <w:link w:val="Header"/>
    <w:rsid w:val="00750DD9"/>
    <w:rPr>
      <w:rFonts w:ascii="Calibri" w:eastAsia="Times New Roman" w:hAnsi="Calibri" w:cs="Cordia New"/>
    </w:rPr>
  </w:style>
  <w:style w:type="character" w:styleId="PageNumber">
    <w:name w:val="page number"/>
    <w:basedOn w:val="DefaultParagraphFont"/>
    <w:rsid w:val="00750DD9"/>
  </w:style>
  <w:style w:type="paragraph" w:styleId="BodyTextIndent">
    <w:name w:val="Body Text Indent"/>
    <w:basedOn w:val="Normal"/>
    <w:link w:val="BodyTextIndentChar"/>
    <w:unhideWhenUsed/>
    <w:rsid w:val="00750DD9"/>
    <w:pPr>
      <w:spacing w:after="120"/>
      <w:ind w:left="360"/>
    </w:pPr>
    <w:rPr>
      <w:rFonts w:eastAsia="Times New Roman"/>
      <w:lang w:val="en-GB" w:eastAsia="en-GB"/>
    </w:rPr>
  </w:style>
  <w:style w:type="character" w:customStyle="1" w:styleId="BodyTextIndentChar">
    <w:name w:val="Body Text Indent Char"/>
    <w:basedOn w:val="DefaultParagraphFont"/>
    <w:link w:val="BodyTextIndent"/>
    <w:rsid w:val="00750DD9"/>
    <w:rPr>
      <w:rFonts w:ascii="Times New Roman" w:eastAsia="Times New Roman" w:hAnsi="Times New Roman" w:cs="Times New Roman"/>
      <w:sz w:val="24"/>
      <w:szCs w:val="24"/>
      <w:lang w:eastAsia="en-GB"/>
    </w:rPr>
  </w:style>
  <w:style w:type="character" w:customStyle="1" w:styleId="issuetocvolume">
    <w:name w:val="issuetocvolume"/>
    <w:basedOn w:val="DefaultParagraphFont"/>
    <w:rsid w:val="00750DD9"/>
  </w:style>
  <w:style w:type="character" w:customStyle="1" w:styleId="issuetocissue">
    <w:name w:val="issuetocissue"/>
    <w:basedOn w:val="DefaultParagraphFont"/>
    <w:rsid w:val="00750DD9"/>
  </w:style>
  <w:style w:type="character" w:styleId="HTMLCite">
    <w:name w:val="HTML Cite"/>
    <w:rsid w:val="00750DD9"/>
    <w:rPr>
      <w:i/>
      <w:iCs/>
    </w:rPr>
  </w:style>
  <w:style w:type="character" w:styleId="CommentReference">
    <w:name w:val="annotation reference"/>
    <w:rsid w:val="00750DD9"/>
    <w:rPr>
      <w:sz w:val="16"/>
      <w:szCs w:val="16"/>
    </w:rPr>
  </w:style>
  <w:style w:type="paragraph" w:styleId="CommentSubject">
    <w:name w:val="annotation subject"/>
    <w:basedOn w:val="CommentText"/>
    <w:next w:val="CommentText"/>
    <w:link w:val="CommentSubjectChar"/>
    <w:rsid w:val="00750DD9"/>
    <w:pPr>
      <w:spacing w:after="0"/>
    </w:pPr>
    <w:rPr>
      <w:rFonts w:ascii="Times New Roman" w:eastAsia="SimSun" w:hAnsi="Times New Roman" w:cs="Times New Roman"/>
      <w:b/>
      <w:bCs/>
      <w:lang w:eastAsia="zh-CN"/>
    </w:rPr>
  </w:style>
  <w:style w:type="character" w:customStyle="1" w:styleId="CommentSubjectChar">
    <w:name w:val="Comment Subject Char"/>
    <w:basedOn w:val="CommentTextChar"/>
    <w:link w:val="CommentSubject"/>
    <w:rsid w:val="00750DD9"/>
    <w:rPr>
      <w:rFonts w:ascii="Times New Roman" w:eastAsia="SimSun" w:hAnsi="Times New Roman" w:cs="Times New Roman"/>
      <w:b/>
      <w:bCs/>
      <w:sz w:val="20"/>
      <w:szCs w:val="20"/>
      <w:lang w:eastAsia="zh-CN"/>
    </w:rPr>
  </w:style>
  <w:style w:type="character" w:customStyle="1" w:styleId="searchword">
    <w:name w:val="searchword"/>
    <w:rsid w:val="00750DD9"/>
    <w:rPr>
      <w:shd w:val="clear" w:color="auto" w:fill="FFFF00"/>
    </w:rPr>
  </w:style>
  <w:style w:type="character" w:customStyle="1" w:styleId="st1">
    <w:name w:val="st1"/>
    <w:basedOn w:val="DefaultParagraphFont"/>
    <w:rsid w:val="00750DD9"/>
  </w:style>
  <w:style w:type="character" w:customStyle="1" w:styleId="maintitle">
    <w:name w:val="maintitle"/>
    <w:basedOn w:val="DefaultParagraphFont"/>
    <w:rsid w:val="00750DD9"/>
  </w:style>
  <w:style w:type="character" w:customStyle="1" w:styleId="EndnoteTextChar">
    <w:name w:val="Endnote Text Char"/>
    <w:basedOn w:val="DefaultParagraphFont"/>
    <w:link w:val="EndnoteText"/>
    <w:uiPriority w:val="99"/>
    <w:semiHidden/>
    <w:rsid w:val="00750DD9"/>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750DD9"/>
    <w:rPr>
      <w:rFonts w:eastAsia="Times New Roman"/>
      <w:sz w:val="20"/>
      <w:szCs w:val="20"/>
      <w:lang w:val="en-GB" w:eastAsia="en-US"/>
    </w:rPr>
  </w:style>
  <w:style w:type="character" w:customStyle="1" w:styleId="EndnoteTextChar1">
    <w:name w:val="Endnote Text Char1"/>
    <w:basedOn w:val="DefaultParagraphFont"/>
    <w:uiPriority w:val="99"/>
    <w:semiHidden/>
    <w:rsid w:val="00750DD9"/>
    <w:rPr>
      <w:rFonts w:ascii="Times New Roman" w:eastAsia="SimSun" w:hAnsi="Times New Roman" w:cs="Times New Roman"/>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2A0C9A"/>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750DD9"/>
    <w:pPr>
      <w:keepNext/>
      <w:keepLines/>
      <w:spacing w:before="480" w:line="276" w:lineRule="auto"/>
      <w:outlineLvl w:val="0"/>
    </w:pPr>
    <w:rPr>
      <w:rFonts w:ascii="Cambria" w:eastAsia="Times New Roman" w:hAnsi="Cambria"/>
      <w:b/>
      <w:bCs/>
      <w:color w:val="365F91"/>
      <w:sz w:val="28"/>
      <w:szCs w:val="28"/>
      <w:lang w:eastAsia="en-US"/>
    </w:rPr>
  </w:style>
  <w:style w:type="paragraph" w:styleId="Heading2">
    <w:name w:val="heading 2"/>
    <w:basedOn w:val="Normal"/>
    <w:next w:val="Normal"/>
    <w:link w:val="Heading2Char"/>
    <w:qFormat/>
    <w:rsid w:val="00750DD9"/>
    <w:pPr>
      <w:keepNext/>
      <w:spacing w:before="240" w:after="60"/>
      <w:outlineLvl w:val="1"/>
    </w:pPr>
    <w:rPr>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0C9A"/>
    <w:pPr>
      <w:ind w:left="720"/>
      <w:contextualSpacing/>
    </w:pPr>
    <w:rPr>
      <w:rFonts w:eastAsia="Times New Roman"/>
      <w:lang w:val="en-GB" w:eastAsia="en-US"/>
    </w:rPr>
  </w:style>
  <w:style w:type="character" w:styleId="Hyperlink">
    <w:name w:val="Hyperlink"/>
    <w:rsid w:val="002A0C9A"/>
    <w:rPr>
      <w:color w:val="0000FF"/>
      <w:u w:val="single"/>
    </w:rPr>
  </w:style>
  <w:style w:type="paragraph" w:styleId="BalloonText">
    <w:name w:val="Balloon Text"/>
    <w:basedOn w:val="Normal"/>
    <w:link w:val="BalloonTextChar"/>
    <w:unhideWhenUsed/>
    <w:rsid w:val="00710EE4"/>
    <w:rPr>
      <w:rFonts w:ascii="Tahoma" w:hAnsi="Tahoma" w:cs="Tahoma"/>
      <w:sz w:val="16"/>
      <w:szCs w:val="16"/>
    </w:rPr>
  </w:style>
  <w:style w:type="character" w:customStyle="1" w:styleId="BalloonTextChar">
    <w:name w:val="Balloon Text Char"/>
    <w:basedOn w:val="DefaultParagraphFont"/>
    <w:link w:val="BalloonText"/>
    <w:rsid w:val="00710EE4"/>
    <w:rPr>
      <w:rFonts w:ascii="Tahoma" w:eastAsia="SimSun" w:hAnsi="Tahoma" w:cs="Tahoma"/>
      <w:sz w:val="16"/>
      <w:szCs w:val="16"/>
      <w:lang w:val="en-US" w:eastAsia="zh-CN"/>
    </w:rPr>
  </w:style>
  <w:style w:type="paragraph" w:customStyle="1" w:styleId="Default">
    <w:name w:val="Default"/>
    <w:rsid w:val="005F3C4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rsid w:val="00750DD9"/>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rsid w:val="00750DD9"/>
    <w:rPr>
      <w:rFonts w:ascii="Times New Roman" w:eastAsia="SimSun" w:hAnsi="Times New Roman" w:cs="Times New Roman"/>
      <w:sz w:val="20"/>
      <w:szCs w:val="20"/>
      <w:lang w:val="x-none" w:eastAsia="zh-CN"/>
    </w:rPr>
  </w:style>
  <w:style w:type="paragraph" w:styleId="Footer">
    <w:name w:val="footer"/>
    <w:basedOn w:val="Normal"/>
    <w:link w:val="FooterChar"/>
    <w:uiPriority w:val="99"/>
    <w:unhideWhenUsed/>
    <w:rsid w:val="00750DD9"/>
    <w:pPr>
      <w:tabs>
        <w:tab w:val="center" w:pos="4680"/>
        <w:tab w:val="right" w:pos="9360"/>
      </w:tabs>
    </w:pPr>
    <w:rPr>
      <w:rFonts w:eastAsia="Times New Roman"/>
      <w:lang w:val="en-GB" w:eastAsia="en-US"/>
    </w:rPr>
  </w:style>
  <w:style w:type="character" w:customStyle="1" w:styleId="FooterChar">
    <w:name w:val="Footer Char"/>
    <w:basedOn w:val="DefaultParagraphFont"/>
    <w:link w:val="Footer"/>
    <w:uiPriority w:val="99"/>
    <w:rsid w:val="00750DD9"/>
    <w:rPr>
      <w:rFonts w:ascii="Times New Roman" w:eastAsia="Times New Roman" w:hAnsi="Times New Roman" w:cs="Times New Roman"/>
      <w:sz w:val="24"/>
      <w:szCs w:val="24"/>
    </w:rPr>
  </w:style>
  <w:style w:type="paragraph" w:styleId="CommentText">
    <w:name w:val="annotation text"/>
    <w:basedOn w:val="Normal"/>
    <w:link w:val="CommentTextChar"/>
    <w:semiHidden/>
    <w:rsid w:val="00750DD9"/>
    <w:pPr>
      <w:spacing w:after="200"/>
    </w:pPr>
    <w:rPr>
      <w:rFonts w:ascii="Calibri" w:eastAsia="Times New Roman" w:hAnsi="Calibri" w:cs="Cordia New"/>
      <w:sz w:val="20"/>
      <w:szCs w:val="20"/>
      <w:lang w:val="en-GB" w:eastAsia="en-US"/>
    </w:rPr>
  </w:style>
  <w:style w:type="character" w:customStyle="1" w:styleId="CommentTextChar">
    <w:name w:val="Comment Text Char"/>
    <w:basedOn w:val="DefaultParagraphFont"/>
    <w:link w:val="CommentText"/>
    <w:semiHidden/>
    <w:rsid w:val="00750DD9"/>
    <w:rPr>
      <w:rFonts w:ascii="Calibri" w:eastAsia="Times New Roman" w:hAnsi="Calibri" w:cs="Cordia New"/>
      <w:sz w:val="20"/>
      <w:szCs w:val="20"/>
    </w:rPr>
  </w:style>
  <w:style w:type="paragraph" w:styleId="NoSpacing">
    <w:name w:val="No Spacing"/>
    <w:qFormat/>
    <w:rsid w:val="00750DD9"/>
    <w:pPr>
      <w:spacing w:after="0" w:line="240" w:lineRule="auto"/>
    </w:pPr>
    <w:rPr>
      <w:rFonts w:ascii="Calibri" w:eastAsia="Times New Roman" w:hAnsi="Calibri" w:cs="Cordia New"/>
      <w:lang w:val="en-US"/>
    </w:rPr>
  </w:style>
  <w:style w:type="paragraph" w:styleId="NormalWeb">
    <w:name w:val="Normal (Web)"/>
    <w:basedOn w:val="Normal"/>
    <w:rsid w:val="00750DD9"/>
    <w:pPr>
      <w:spacing w:before="100" w:beforeAutospacing="1" w:after="100" w:afterAutospacing="1"/>
    </w:pPr>
    <w:rPr>
      <w:rFonts w:eastAsia="Calibri"/>
      <w:lang w:val="en-GB" w:eastAsia="en-US"/>
    </w:rPr>
  </w:style>
  <w:style w:type="paragraph" w:styleId="Bibliography">
    <w:name w:val="Bibliography"/>
    <w:basedOn w:val="Normal"/>
    <w:next w:val="Normal"/>
    <w:rsid w:val="00750DD9"/>
    <w:rPr>
      <w:lang w:val="en-GB"/>
    </w:rPr>
  </w:style>
  <w:style w:type="paragraph" w:styleId="Header">
    <w:name w:val="header"/>
    <w:basedOn w:val="Normal"/>
    <w:link w:val="HeaderChar"/>
    <w:rsid w:val="00750DD9"/>
    <w:pPr>
      <w:tabs>
        <w:tab w:val="center" w:pos="4320"/>
        <w:tab w:val="right" w:pos="8640"/>
      </w:tabs>
      <w:spacing w:after="200" w:line="276" w:lineRule="auto"/>
    </w:pPr>
    <w:rPr>
      <w:rFonts w:ascii="Calibri" w:eastAsia="Times New Roman" w:hAnsi="Calibri" w:cs="Cordia New"/>
      <w:sz w:val="22"/>
      <w:szCs w:val="22"/>
      <w:lang w:val="en-GB" w:eastAsia="en-US"/>
    </w:rPr>
  </w:style>
  <w:style w:type="character" w:customStyle="1" w:styleId="HeaderChar">
    <w:name w:val="Header Char"/>
    <w:basedOn w:val="DefaultParagraphFont"/>
    <w:link w:val="Header"/>
    <w:rsid w:val="00750DD9"/>
    <w:rPr>
      <w:rFonts w:ascii="Calibri" w:eastAsia="Times New Roman" w:hAnsi="Calibri" w:cs="Cordia New"/>
    </w:rPr>
  </w:style>
  <w:style w:type="character" w:styleId="PageNumber">
    <w:name w:val="page number"/>
    <w:basedOn w:val="DefaultParagraphFont"/>
    <w:rsid w:val="00750DD9"/>
  </w:style>
  <w:style w:type="paragraph" w:styleId="BodyTextIndent">
    <w:name w:val="Body Text Indent"/>
    <w:basedOn w:val="Normal"/>
    <w:link w:val="BodyTextIndentChar"/>
    <w:unhideWhenUsed/>
    <w:rsid w:val="00750DD9"/>
    <w:pPr>
      <w:spacing w:after="120"/>
      <w:ind w:left="360"/>
    </w:pPr>
    <w:rPr>
      <w:rFonts w:eastAsia="Times New Roman"/>
      <w:lang w:val="en-GB" w:eastAsia="en-GB"/>
    </w:rPr>
  </w:style>
  <w:style w:type="character" w:customStyle="1" w:styleId="BodyTextIndentChar">
    <w:name w:val="Body Text Indent Char"/>
    <w:basedOn w:val="DefaultParagraphFont"/>
    <w:link w:val="BodyTextIndent"/>
    <w:rsid w:val="00750DD9"/>
    <w:rPr>
      <w:rFonts w:ascii="Times New Roman" w:eastAsia="Times New Roman" w:hAnsi="Times New Roman" w:cs="Times New Roman"/>
      <w:sz w:val="24"/>
      <w:szCs w:val="24"/>
      <w:lang w:eastAsia="en-GB"/>
    </w:rPr>
  </w:style>
  <w:style w:type="character" w:customStyle="1" w:styleId="issuetocvolume">
    <w:name w:val="issuetocvolume"/>
    <w:basedOn w:val="DefaultParagraphFont"/>
    <w:rsid w:val="00750DD9"/>
  </w:style>
  <w:style w:type="character" w:customStyle="1" w:styleId="issuetocissue">
    <w:name w:val="issuetocissue"/>
    <w:basedOn w:val="DefaultParagraphFont"/>
    <w:rsid w:val="00750DD9"/>
  </w:style>
  <w:style w:type="character" w:styleId="HTMLCite">
    <w:name w:val="HTML Cite"/>
    <w:rsid w:val="00750DD9"/>
    <w:rPr>
      <w:i/>
      <w:iCs/>
    </w:rPr>
  </w:style>
  <w:style w:type="character" w:styleId="CommentReference">
    <w:name w:val="annotation reference"/>
    <w:rsid w:val="00750DD9"/>
    <w:rPr>
      <w:sz w:val="16"/>
      <w:szCs w:val="16"/>
    </w:rPr>
  </w:style>
  <w:style w:type="paragraph" w:styleId="CommentSubject">
    <w:name w:val="annotation subject"/>
    <w:basedOn w:val="CommentText"/>
    <w:next w:val="CommentText"/>
    <w:link w:val="CommentSubjectChar"/>
    <w:rsid w:val="00750DD9"/>
    <w:pPr>
      <w:spacing w:after="0"/>
    </w:pPr>
    <w:rPr>
      <w:rFonts w:ascii="Times New Roman" w:eastAsia="SimSun" w:hAnsi="Times New Roman" w:cs="Times New Roman"/>
      <w:b/>
      <w:bCs/>
      <w:lang w:eastAsia="zh-CN"/>
    </w:rPr>
  </w:style>
  <w:style w:type="character" w:customStyle="1" w:styleId="CommentSubjectChar">
    <w:name w:val="Comment Subject Char"/>
    <w:basedOn w:val="CommentTextChar"/>
    <w:link w:val="CommentSubject"/>
    <w:rsid w:val="00750DD9"/>
    <w:rPr>
      <w:rFonts w:ascii="Times New Roman" w:eastAsia="SimSun" w:hAnsi="Times New Roman" w:cs="Times New Roman"/>
      <w:b/>
      <w:bCs/>
      <w:sz w:val="20"/>
      <w:szCs w:val="20"/>
      <w:lang w:eastAsia="zh-CN"/>
    </w:rPr>
  </w:style>
  <w:style w:type="character" w:customStyle="1" w:styleId="searchword">
    <w:name w:val="searchword"/>
    <w:rsid w:val="00750DD9"/>
    <w:rPr>
      <w:shd w:val="clear" w:color="auto" w:fill="FFFF00"/>
    </w:rPr>
  </w:style>
  <w:style w:type="character" w:customStyle="1" w:styleId="st1">
    <w:name w:val="st1"/>
    <w:basedOn w:val="DefaultParagraphFont"/>
    <w:rsid w:val="00750DD9"/>
  </w:style>
  <w:style w:type="character" w:customStyle="1" w:styleId="maintitle">
    <w:name w:val="maintitle"/>
    <w:basedOn w:val="DefaultParagraphFont"/>
    <w:rsid w:val="00750DD9"/>
  </w:style>
  <w:style w:type="character" w:customStyle="1" w:styleId="EndnoteTextChar">
    <w:name w:val="Endnote Text Char"/>
    <w:basedOn w:val="DefaultParagraphFont"/>
    <w:link w:val="EndnoteText"/>
    <w:uiPriority w:val="99"/>
    <w:semiHidden/>
    <w:rsid w:val="00750DD9"/>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750DD9"/>
    <w:rPr>
      <w:rFonts w:eastAsia="Times New Roman"/>
      <w:sz w:val="20"/>
      <w:szCs w:val="20"/>
      <w:lang w:val="en-GB" w:eastAsia="en-US"/>
    </w:rPr>
  </w:style>
  <w:style w:type="character" w:customStyle="1" w:styleId="EndnoteTextChar1">
    <w:name w:val="Endnote Text Char1"/>
    <w:basedOn w:val="DefaultParagraphFont"/>
    <w:uiPriority w:val="99"/>
    <w:semiHidden/>
    <w:rsid w:val="00750DD9"/>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25169">
      <w:bodyDiv w:val="1"/>
      <w:marLeft w:val="0"/>
      <w:marRight w:val="0"/>
      <w:marTop w:val="0"/>
      <w:marBottom w:val="0"/>
      <w:divBdr>
        <w:top w:val="none" w:sz="0" w:space="0" w:color="auto"/>
        <w:left w:val="none" w:sz="0" w:space="0" w:color="auto"/>
        <w:bottom w:val="none" w:sz="0" w:space="0" w:color="auto"/>
        <w:right w:val="none" w:sz="0" w:space="0" w:color="auto"/>
      </w:divBdr>
    </w:div>
    <w:div w:id="483201715">
      <w:bodyDiv w:val="1"/>
      <w:marLeft w:val="0"/>
      <w:marRight w:val="0"/>
      <w:marTop w:val="0"/>
      <w:marBottom w:val="0"/>
      <w:divBdr>
        <w:top w:val="none" w:sz="0" w:space="0" w:color="auto"/>
        <w:left w:val="none" w:sz="0" w:space="0" w:color="auto"/>
        <w:bottom w:val="none" w:sz="0" w:space="0" w:color="auto"/>
        <w:right w:val="none" w:sz="0" w:space="0" w:color="auto"/>
      </w:divBdr>
    </w:div>
    <w:div w:id="676269934">
      <w:bodyDiv w:val="1"/>
      <w:marLeft w:val="0"/>
      <w:marRight w:val="0"/>
      <w:marTop w:val="0"/>
      <w:marBottom w:val="0"/>
      <w:divBdr>
        <w:top w:val="none" w:sz="0" w:space="0" w:color="auto"/>
        <w:left w:val="none" w:sz="0" w:space="0" w:color="auto"/>
        <w:bottom w:val="none" w:sz="0" w:space="0" w:color="auto"/>
        <w:right w:val="none" w:sz="0" w:space="0" w:color="auto"/>
      </w:divBdr>
    </w:div>
    <w:div w:id="846021578">
      <w:bodyDiv w:val="1"/>
      <w:marLeft w:val="0"/>
      <w:marRight w:val="0"/>
      <w:marTop w:val="0"/>
      <w:marBottom w:val="0"/>
      <w:divBdr>
        <w:top w:val="none" w:sz="0" w:space="0" w:color="auto"/>
        <w:left w:val="none" w:sz="0" w:space="0" w:color="auto"/>
        <w:bottom w:val="none" w:sz="0" w:space="0" w:color="auto"/>
        <w:right w:val="none" w:sz="0" w:space="0" w:color="auto"/>
      </w:divBdr>
      <w:divsChild>
        <w:div w:id="76362613">
          <w:marLeft w:val="0"/>
          <w:marRight w:val="0"/>
          <w:marTop w:val="0"/>
          <w:marBottom w:val="0"/>
          <w:divBdr>
            <w:top w:val="none" w:sz="0" w:space="0" w:color="auto"/>
            <w:left w:val="none" w:sz="0" w:space="0" w:color="auto"/>
            <w:bottom w:val="none" w:sz="0" w:space="0" w:color="auto"/>
            <w:right w:val="none" w:sz="0" w:space="0" w:color="auto"/>
          </w:divBdr>
          <w:divsChild>
            <w:div w:id="729117274">
              <w:marLeft w:val="0"/>
              <w:marRight w:val="0"/>
              <w:marTop w:val="0"/>
              <w:marBottom w:val="0"/>
              <w:divBdr>
                <w:top w:val="none" w:sz="0" w:space="0" w:color="auto"/>
                <w:left w:val="none" w:sz="0" w:space="0" w:color="auto"/>
                <w:bottom w:val="none" w:sz="0" w:space="0" w:color="auto"/>
                <w:right w:val="none" w:sz="0" w:space="0" w:color="auto"/>
              </w:divBdr>
              <w:divsChild>
                <w:div w:id="2040280416">
                  <w:marLeft w:val="0"/>
                  <w:marRight w:val="0"/>
                  <w:marTop w:val="0"/>
                  <w:marBottom w:val="0"/>
                  <w:divBdr>
                    <w:top w:val="none" w:sz="0" w:space="0" w:color="auto"/>
                    <w:left w:val="none" w:sz="0" w:space="0" w:color="auto"/>
                    <w:bottom w:val="none" w:sz="0" w:space="0" w:color="auto"/>
                    <w:right w:val="none" w:sz="0" w:space="0" w:color="auto"/>
                  </w:divBdr>
                  <w:divsChild>
                    <w:div w:id="176893148">
                      <w:marLeft w:val="0"/>
                      <w:marRight w:val="0"/>
                      <w:marTop w:val="0"/>
                      <w:marBottom w:val="0"/>
                      <w:divBdr>
                        <w:top w:val="none" w:sz="0" w:space="0" w:color="auto"/>
                        <w:left w:val="none" w:sz="0" w:space="0" w:color="auto"/>
                        <w:bottom w:val="none" w:sz="0" w:space="0" w:color="auto"/>
                        <w:right w:val="none" w:sz="0" w:space="0" w:color="auto"/>
                      </w:divBdr>
                      <w:divsChild>
                        <w:div w:id="992031518">
                          <w:marLeft w:val="0"/>
                          <w:marRight w:val="0"/>
                          <w:marTop w:val="0"/>
                          <w:marBottom w:val="0"/>
                          <w:divBdr>
                            <w:top w:val="none" w:sz="0" w:space="0" w:color="auto"/>
                            <w:left w:val="none" w:sz="0" w:space="0" w:color="auto"/>
                            <w:bottom w:val="none" w:sz="0" w:space="0" w:color="auto"/>
                            <w:right w:val="none" w:sz="0" w:space="0" w:color="auto"/>
                          </w:divBdr>
                          <w:divsChild>
                            <w:div w:id="513424937">
                              <w:marLeft w:val="0"/>
                              <w:marRight w:val="0"/>
                              <w:marTop w:val="0"/>
                              <w:marBottom w:val="0"/>
                              <w:divBdr>
                                <w:top w:val="none" w:sz="0" w:space="0" w:color="auto"/>
                                <w:left w:val="none" w:sz="0" w:space="0" w:color="auto"/>
                                <w:bottom w:val="none" w:sz="0" w:space="0" w:color="auto"/>
                                <w:right w:val="none" w:sz="0" w:space="0" w:color="auto"/>
                              </w:divBdr>
                              <w:divsChild>
                                <w:div w:id="13213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774130">
      <w:bodyDiv w:val="1"/>
      <w:marLeft w:val="0"/>
      <w:marRight w:val="0"/>
      <w:marTop w:val="0"/>
      <w:marBottom w:val="0"/>
      <w:divBdr>
        <w:top w:val="none" w:sz="0" w:space="0" w:color="auto"/>
        <w:left w:val="none" w:sz="0" w:space="0" w:color="auto"/>
        <w:bottom w:val="none" w:sz="0" w:space="0" w:color="auto"/>
        <w:right w:val="none" w:sz="0" w:space="0" w:color="auto"/>
      </w:divBdr>
    </w:div>
    <w:div w:id="1032341870">
      <w:bodyDiv w:val="1"/>
      <w:marLeft w:val="0"/>
      <w:marRight w:val="0"/>
      <w:marTop w:val="0"/>
      <w:marBottom w:val="0"/>
      <w:divBdr>
        <w:top w:val="none" w:sz="0" w:space="0" w:color="auto"/>
        <w:left w:val="none" w:sz="0" w:space="0" w:color="auto"/>
        <w:bottom w:val="none" w:sz="0" w:space="0" w:color="auto"/>
        <w:right w:val="none" w:sz="0" w:space="0" w:color="auto"/>
      </w:divBdr>
    </w:div>
    <w:div w:id="17421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lobalresearch.ca/index.php?context=va&amp;aid=1228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pers.ssrn.com/sol3/papers.cfm?abstract_id=1670219" TargetMode="Externa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49118-335B-42C1-9C78-609B3AE2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14693</Words>
  <Characters>83756</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Nigeria LNG Limited</Company>
  <LinksUpToDate>false</LinksUpToDate>
  <CharactersWithSpaces>98253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 NG</dc:creator>
  <cp:lastModifiedBy>Unite NG</cp:lastModifiedBy>
  <cp:revision>4</cp:revision>
  <cp:lastPrinted>2015-08-02T17:38:00Z</cp:lastPrinted>
  <dcterms:created xsi:type="dcterms:W3CDTF">2015-08-03T08:23:00Z</dcterms:created>
  <dcterms:modified xsi:type="dcterms:W3CDTF">2015-08-03T08:24:00Z</dcterms:modified>
</cp:coreProperties>
</file>