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67" w:rsidRPr="00161B6C" w:rsidRDefault="00127D67" w:rsidP="00AB476B">
      <w:pPr>
        <w:spacing w:after="0" w:line="240" w:lineRule="auto"/>
        <w:jc w:val="center"/>
        <w:rPr>
          <w:rFonts w:ascii="Times New Roman" w:hAnsi="Times New Roman" w:cs="Times New Roman"/>
          <w:color w:val="000000" w:themeColor="text1"/>
          <w:sz w:val="30"/>
          <w:szCs w:val="30"/>
        </w:rPr>
      </w:pPr>
      <w:r w:rsidRPr="00161B6C">
        <w:rPr>
          <w:rFonts w:ascii="Times New Roman" w:hAnsi="Times New Roman" w:cs="Times New Roman"/>
          <w:color w:val="000000" w:themeColor="text1"/>
          <w:sz w:val="30"/>
          <w:szCs w:val="30"/>
        </w:rPr>
        <w:t>School banking, its trend and nexus with profitability in Bangladesh.</w:t>
      </w:r>
    </w:p>
    <w:p w:rsidR="00127D67" w:rsidRPr="00161B6C" w:rsidRDefault="00654772" w:rsidP="00581AA9">
      <w:pPr>
        <w:spacing w:after="0" w:line="240" w:lineRule="auto"/>
        <w:jc w:val="center"/>
        <w:rPr>
          <w:rFonts w:ascii="Times New Roman" w:hAnsi="Times New Roman" w:cs="Times New Roman"/>
          <w:color w:val="000000" w:themeColor="text1"/>
          <w:sz w:val="24"/>
          <w:szCs w:val="30"/>
        </w:rPr>
      </w:pPr>
      <w:r w:rsidRPr="00161B6C">
        <w:rPr>
          <w:rFonts w:ascii="Times New Roman" w:hAnsi="Times New Roman" w:cs="Times New Roman"/>
          <w:color w:val="000000" w:themeColor="text1"/>
          <w:sz w:val="24"/>
          <w:szCs w:val="30"/>
        </w:rPr>
        <w:t>Dr. Md. Abdullah Al Mamun</w:t>
      </w:r>
    </w:p>
    <w:p w:rsidR="00654772" w:rsidRPr="00161B6C" w:rsidRDefault="00654772" w:rsidP="00581AA9">
      <w:pPr>
        <w:spacing w:after="0" w:line="240" w:lineRule="auto"/>
        <w:jc w:val="center"/>
        <w:rPr>
          <w:rFonts w:ascii="Times New Roman" w:hAnsi="Times New Roman" w:cs="Times New Roman"/>
          <w:color w:val="000000" w:themeColor="text1"/>
          <w:sz w:val="24"/>
          <w:szCs w:val="30"/>
        </w:rPr>
      </w:pPr>
      <w:r w:rsidRPr="00161B6C">
        <w:rPr>
          <w:rFonts w:ascii="Times New Roman" w:hAnsi="Times New Roman" w:cs="Times New Roman"/>
          <w:color w:val="000000" w:themeColor="text1"/>
          <w:sz w:val="24"/>
          <w:szCs w:val="30"/>
        </w:rPr>
        <w:t>Associate professor</w:t>
      </w:r>
    </w:p>
    <w:p w:rsidR="00654772" w:rsidRPr="00161B6C" w:rsidRDefault="00654772" w:rsidP="00581AA9">
      <w:pPr>
        <w:spacing w:after="0" w:line="240" w:lineRule="auto"/>
        <w:jc w:val="center"/>
        <w:rPr>
          <w:rFonts w:ascii="Times New Roman" w:hAnsi="Times New Roman" w:cs="Times New Roman"/>
          <w:color w:val="000000" w:themeColor="text1"/>
          <w:sz w:val="24"/>
          <w:szCs w:val="30"/>
        </w:rPr>
      </w:pPr>
      <w:r w:rsidRPr="00161B6C">
        <w:rPr>
          <w:rFonts w:ascii="Times New Roman" w:hAnsi="Times New Roman" w:cs="Times New Roman"/>
          <w:color w:val="000000" w:themeColor="text1"/>
          <w:sz w:val="24"/>
          <w:szCs w:val="30"/>
        </w:rPr>
        <w:t>Department of Business Administration,</w:t>
      </w:r>
    </w:p>
    <w:p w:rsidR="00654772" w:rsidRPr="00161B6C" w:rsidRDefault="00654772" w:rsidP="00581AA9">
      <w:pPr>
        <w:spacing w:after="0" w:line="240" w:lineRule="auto"/>
        <w:jc w:val="center"/>
        <w:rPr>
          <w:rFonts w:ascii="Times New Roman" w:hAnsi="Times New Roman" w:cs="Times New Roman"/>
          <w:color w:val="000000" w:themeColor="text1"/>
          <w:sz w:val="24"/>
          <w:szCs w:val="30"/>
        </w:rPr>
      </w:pPr>
      <w:r w:rsidRPr="00161B6C">
        <w:rPr>
          <w:rFonts w:ascii="Times New Roman" w:hAnsi="Times New Roman" w:cs="Times New Roman"/>
          <w:color w:val="000000" w:themeColor="text1"/>
          <w:sz w:val="24"/>
          <w:szCs w:val="30"/>
        </w:rPr>
        <w:t>Pabna University of Science and Technology</w:t>
      </w:r>
    </w:p>
    <w:p w:rsidR="00654772" w:rsidRPr="00161B6C" w:rsidRDefault="00654772" w:rsidP="00581AA9">
      <w:pPr>
        <w:spacing w:after="0" w:line="240" w:lineRule="auto"/>
        <w:jc w:val="center"/>
        <w:rPr>
          <w:rFonts w:ascii="Times New Roman" w:hAnsi="Times New Roman" w:cs="Times New Roman"/>
          <w:color w:val="000000" w:themeColor="text1"/>
          <w:sz w:val="24"/>
          <w:szCs w:val="30"/>
        </w:rPr>
      </w:pPr>
      <w:r w:rsidRPr="00161B6C">
        <w:rPr>
          <w:rFonts w:ascii="Times New Roman" w:hAnsi="Times New Roman" w:cs="Times New Roman"/>
          <w:color w:val="000000" w:themeColor="text1"/>
          <w:sz w:val="24"/>
          <w:szCs w:val="30"/>
        </w:rPr>
        <w:t>Pabna, Bangladesh.</w:t>
      </w:r>
    </w:p>
    <w:p w:rsidR="00127D67" w:rsidRPr="00161B6C" w:rsidRDefault="00654772" w:rsidP="00581AA9">
      <w:pPr>
        <w:spacing w:after="0" w:line="240" w:lineRule="auto"/>
        <w:jc w:val="center"/>
        <w:rPr>
          <w:rFonts w:ascii="Times New Roman" w:hAnsi="Times New Roman" w:cs="Times New Roman"/>
          <w:color w:val="000000" w:themeColor="text1"/>
        </w:rPr>
      </w:pPr>
      <w:r w:rsidRPr="00161B6C">
        <w:rPr>
          <w:rFonts w:ascii="Times New Roman" w:hAnsi="Times New Roman" w:cs="Times New Roman"/>
          <w:color w:val="000000" w:themeColor="text1"/>
        </w:rPr>
        <w:t>Email</w:t>
      </w:r>
      <w:r w:rsidRPr="00161B6C">
        <w:rPr>
          <w:rFonts w:ascii="Calibri" w:hAnsi="Calibri" w:cs="Calibri"/>
          <w:color w:val="000000" w:themeColor="text1"/>
        </w:rPr>
        <w:t>:</w:t>
      </w:r>
      <w:r w:rsidRPr="00161B6C">
        <w:rPr>
          <w:rFonts w:ascii="Times New Roman" w:hAnsi="Times New Roman" w:cs="Times New Roman"/>
          <w:color w:val="000000" w:themeColor="text1"/>
        </w:rPr>
        <w:t>mamunfin38@gmail.com</w:t>
      </w:r>
    </w:p>
    <w:p w:rsidR="00127D67" w:rsidRPr="00161B6C" w:rsidRDefault="00127D67" w:rsidP="00581AA9">
      <w:pPr>
        <w:spacing w:after="0" w:line="240" w:lineRule="auto"/>
        <w:jc w:val="center"/>
        <w:rPr>
          <w:rFonts w:ascii="Times New Roman" w:hAnsi="Times New Roman" w:cs="Times New Roman"/>
          <w:color w:val="000000" w:themeColor="text1"/>
        </w:rPr>
      </w:pPr>
    </w:p>
    <w:p w:rsidR="002E6224" w:rsidRPr="00AB476B" w:rsidRDefault="002E6224" w:rsidP="00067537">
      <w:pPr>
        <w:spacing w:after="0" w:line="240" w:lineRule="auto"/>
        <w:jc w:val="both"/>
        <w:rPr>
          <w:rFonts w:ascii="Times New Roman" w:hAnsi="Times New Roman" w:cs="Times New Roman"/>
          <w:b/>
          <w:color w:val="000000" w:themeColor="text1"/>
        </w:rPr>
      </w:pPr>
      <w:r w:rsidRPr="00AB476B">
        <w:rPr>
          <w:rFonts w:ascii="Times New Roman" w:hAnsi="Times New Roman" w:cs="Times New Roman"/>
          <w:b/>
          <w:color w:val="000000" w:themeColor="text1"/>
        </w:rPr>
        <w:t xml:space="preserve">Abstract </w:t>
      </w:r>
    </w:p>
    <w:p w:rsidR="002E6224" w:rsidRPr="00161B6C" w:rsidRDefault="00300193" w:rsidP="00067537">
      <w:pPr>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This work attempts to observe the current state of school banking, its trend and its association with profitability.</w:t>
      </w:r>
      <w:r w:rsidR="00E2203B">
        <w:rPr>
          <w:rFonts w:ascii="Times New Roman" w:hAnsi="Times New Roman" w:cs="Times New Roman"/>
          <w:color w:val="000000" w:themeColor="text1"/>
          <w:sz w:val="24"/>
          <w:szCs w:val="24"/>
        </w:rPr>
        <w:t xml:space="preserve"> </w:t>
      </w:r>
      <w:r w:rsidR="00DA3458" w:rsidRPr="00161B6C">
        <w:rPr>
          <w:rFonts w:ascii="Times New Roman" w:hAnsi="Times New Roman" w:cs="Times New Roman"/>
          <w:color w:val="000000" w:themeColor="text1"/>
          <w:sz w:val="24"/>
          <w:szCs w:val="24"/>
        </w:rPr>
        <w:t xml:space="preserve">Data from secondary sources have been collected for the </w:t>
      </w:r>
      <w:r w:rsidR="00A33497" w:rsidRPr="00161B6C">
        <w:rPr>
          <w:rFonts w:ascii="Times New Roman" w:hAnsi="Times New Roman" w:cs="Times New Roman"/>
          <w:color w:val="000000" w:themeColor="text1"/>
          <w:sz w:val="24"/>
          <w:szCs w:val="24"/>
        </w:rPr>
        <w:t xml:space="preserve">period of </w:t>
      </w:r>
      <w:r w:rsidR="00DA3458" w:rsidRPr="00161B6C">
        <w:rPr>
          <w:rFonts w:ascii="Times New Roman" w:hAnsi="Times New Roman" w:cs="Times New Roman"/>
          <w:color w:val="000000" w:themeColor="text1"/>
          <w:sz w:val="24"/>
          <w:szCs w:val="24"/>
        </w:rPr>
        <w:t>10-year</w:t>
      </w:r>
      <w:r w:rsidR="00A33497" w:rsidRPr="00161B6C">
        <w:rPr>
          <w:rFonts w:ascii="Times New Roman" w:hAnsi="Times New Roman" w:cs="Times New Roman"/>
          <w:color w:val="000000" w:themeColor="text1"/>
          <w:sz w:val="24"/>
          <w:szCs w:val="24"/>
        </w:rPr>
        <w:t>s from</w:t>
      </w:r>
      <w:r w:rsidR="00DA3458" w:rsidRPr="00161B6C">
        <w:rPr>
          <w:rFonts w:ascii="Times New Roman" w:hAnsi="Times New Roman" w:cs="Times New Roman"/>
          <w:color w:val="000000" w:themeColor="text1"/>
          <w:sz w:val="24"/>
          <w:szCs w:val="24"/>
        </w:rPr>
        <w:t xml:space="preserve"> 2011</w:t>
      </w:r>
      <w:r w:rsidR="00A33497" w:rsidRPr="00161B6C">
        <w:rPr>
          <w:rFonts w:ascii="Times New Roman" w:hAnsi="Times New Roman" w:cs="Times New Roman"/>
          <w:color w:val="000000" w:themeColor="text1"/>
          <w:sz w:val="24"/>
          <w:szCs w:val="24"/>
        </w:rPr>
        <w:t xml:space="preserve"> to </w:t>
      </w:r>
      <w:r w:rsidR="00DA3458" w:rsidRPr="00161B6C">
        <w:rPr>
          <w:rFonts w:ascii="Times New Roman" w:hAnsi="Times New Roman" w:cs="Times New Roman"/>
          <w:color w:val="000000" w:themeColor="text1"/>
          <w:sz w:val="24"/>
          <w:szCs w:val="24"/>
        </w:rPr>
        <w:t xml:space="preserve">2020 to achieve the goals. </w:t>
      </w:r>
      <w:r w:rsidR="00DD3FA5" w:rsidRPr="00161B6C">
        <w:rPr>
          <w:rFonts w:ascii="Times New Roman" w:hAnsi="Times New Roman" w:cs="Times New Roman"/>
          <w:color w:val="000000" w:themeColor="text1"/>
          <w:sz w:val="24"/>
          <w:szCs w:val="24"/>
        </w:rPr>
        <w:t>The data have been collected, t</w:t>
      </w:r>
      <w:r w:rsidR="00DA3458" w:rsidRPr="00161B6C">
        <w:rPr>
          <w:rFonts w:ascii="Times New Roman" w:hAnsi="Times New Roman" w:cs="Times New Roman"/>
          <w:color w:val="000000" w:themeColor="text1"/>
          <w:sz w:val="24"/>
          <w:szCs w:val="24"/>
        </w:rPr>
        <w:t xml:space="preserve">abulated, categorized, coordinated and performed the relevant calculation of to fulfill the purpose. With the assistance of MS Office Excel and IBM SPSS-21, tabular presentation, graphical analysis, percentage, correlation, and </w:t>
      </w:r>
      <w:r w:rsidR="00DD3FA5" w:rsidRPr="00161B6C">
        <w:rPr>
          <w:rFonts w:ascii="Times New Roman" w:hAnsi="Times New Roman" w:cs="Times New Roman"/>
          <w:color w:val="000000" w:themeColor="text1"/>
          <w:sz w:val="24"/>
          <w:szCs w:val="24"/>
        </w:rPr>
        <w:t xml:space="preserve">simple </w:t>
      </w:r>
      <w:r w:rsidR="00DA3458" w:rsidRPr="00161B6C">
        <w:rPr>
          <w:rFonts w:ascii="Times New Roman" w:hAnsi="Times New Roman" w:cs="Times New Roman"/>
          <w:color w:val="000000" w:themeColor="text1"/>
          <w:sz w:val="24"/>
          <w:szCs w:val="24"/>
        </w:rPr>
        <w:t xml:space="preserve">linear regressions have been used to analyze data. Independent variables are known to be the volume of deposits in the </w:t>
      </w:r>
      <w:r w:rsidR="00DD3FA5" w:rsidRPr="00161B6C">
        <w:rPr>
          <w:rFonts w:ascii="Times New Roman" w:hAnsi="Times New Roman" w:cs="Times New Roman"/>
          <w:color w:val="000000" w:themeColor="text1"/>
          <w:sz w:val="24"/>
          <w:szCs w:val="24"/>
        </w:rPr>
        <w:t>school bank account. Return on assets (ROA) and return on e</w:t>
      </w:r>
      <w:r w:rsidR="00DA3458" w:rsidRPr="00161B6C">
        <w:rPr>
          <w:rFonts w:ascii="Times New Roman" w:hAnsi="Times New Roman" w:cs="Times New Roman"/>
          <w:color w:val="000000" w:themeColor="text1"/>
          <w:sz w:val="24"/>
          <w:szCs w:val="24"/>
        </w:rPr>
        <w:t xml:space="preserve">quity (ROE) are chosen as profitability yardstick and used as a dependent variable for regression </w:t>
      </w:r>
      <w:r w:rsidR="00E2203B" w:rsidRPr="00161B6C">
        <w:rPr>
          <w:rFonts w:ascii="Times New Roman" w:hAnsi="Times New Roman" w:cs="Times New Roman"/>
          <w:color w:val="000000" w:themeColor="text1"/>
          <w:sz w:val="24"/>
          <w:szCs w:val="24"/>
        </w:rPr>
        <w:t>analysis. The</w:t>
      </w:r>
      <w:r w:rsidR="00DA3458" w:rsidRPr="00161B6C">
        <w:rPr>
          <w:rFonts w:ascii="Times New Roman" w:hAnsi="Times New Roman" w:cs="Times New Roman"/>
          <w:color w:val="000000" w:themeColor="text1"/>
          <w:sz w:val="24"/>
          <w:szCs w:val="24"/>
        </w:rPr>
        <w:t xml:space="preserve"> results of the research have shown </w:t>
      </w:r>
      <w:r w:rsidR="00DD3FA5" w:rsidRPr="00161B6C">
        <w:rPr>
          <w:rFonts w:ascii="Times New Roman" w:hAnsi="Times New Roman" w:cs="Times New Roman"/>
          <w:color w:val="000000" w:themeColor="text1"/>
          <w:sz w:val="24"/>
          <w:szCs w:val="24"/>
        </w:rPr>
        <w:t>an increasing</w:t>
      </w:r>
      <w:r w:rsidR="00DA3458" w:rsidRPr="00161B6C">
        <w:rPr>
          <w:rFonts w:ascii="Times New Roman" w:hAnsi="Times New Roman" w:cs="Times New Roman"/>
          <w:color w:val="000000" w:themeColor="text1"/>
          <w:sz w:val="24"/>
          <w:szCs w:val="24"/>
        </w:rPr>
        <w:t xml:space="preserve"> trend of </w:t>
      </w:r>
      <w:r w:rsidR="00DD3FA5" w:rsidRPr="00161B6C">
        <w:rPr>
          <w:rFonts w:ascii="Times New Roman" w:hAnsi="Times New Roman" w:cs="Times New Roman"/>
          <w:color w:val="000000" w:themeColor="text1"/>
          <w:sz w:val="24"/>
          <w:szCs w:val="24"/>
        </w:rPr>
        <w:t xml:space="preserve">account </w:t>
      </w:r>
      <w:r w:rsidR="00DA3458" w:rsidRPr="00161B6C">
        <w:rPr>
          <w:rFonts w:ascii="Times New Roman" w:hAnsi="Times New Roman" w:cs="Times New Roman"/>
          <w:color w:val="000000" w:themeColor="text1"/>
          <w:sz w:val="24"/>
          <w:szCs w:val="24"/>
        </w:rPr>
        <w:t xml:space="preserve">opening during the time and collection of deposits from these accounts. Between 2011 </w:t>
      </w:r>
      <w:r w:rsidR="00DD3FA5" w:rsidRPr="00161B6C">
        <w:rPr>
          <w:rFonts w:ascii="Times New Roman" w:hAnsi="Times New Roman" w:cs="Times New Roman"/>
          <w:color w:val="000000" w:themeColor="text1"/>
          <w:sz w:val="24"/>
          <w:szCs w:val="24"/>
        </w:rPr>
        <w:t>to</w:t>
      </w:r>
      <w:r w:rsidR="00DA3458" w:rsidRPr="00161B6C">
        <w:rPr>
          <w:rFonts w:ascii="Times New Roman" w:hAnsi="Times New Roman" w:cs="Times New Roman"/>
          <w:color w:val="000000" w:themeColor="text1"/>
          <w:sz w:val="24"/>
          <w:szCs w:val="24"/>
        </w:rPr>
        <w:t xml:space="preserve"> 2020, the amount of school bank deposits compared to banks' overall deposits also increased from 0.01 percent to 0.16 percent. The assessment of the correlation showed that there was a strong</w:t>
      </w:r>
      <w:r w:rsidR="00DD3FA5" w:rsidRPr="00161B6C">
        <w:rPr>
          <w:rFonts w:ascii="Times New Roman" w:hAnsi="Times New Roman" w:cs="Times New Roman"/>
          <w:color w:val="000000" w:themeColor="text1"/>
          <w:sz w:val="24"/>
          <w:szCs w:val="24"/>
        </w:rPr>
        <w:t xml:space="preserve"> positive</w:t>
      </w:r>
      <w:r w:rsidR="00DA3458" w:rsidRPr="00161B6C">
        <w:rPr>
          <w:rFonts w:ascii="Times New Roman" w:hAnsi="Times New Roman" w:cs="Times New Roman"/>
          <w:color w:val="000000" w:themeColor="text1"/>
          <w:sz w:val="24"/>
          <w:szCs w:val="24"/>
        </w:rPr>
        <w:t xml:space="preserve"> association between the number of accounts opened and the </w:t>
      </w:r>
      <w:r w:rsidR="00DD3FA5" w:rsidRPr="00161B6C">
        <w:rPr>
          <w:rFonts w:ascii="Times New Roman" w:hAnsi="Times New Roman" w:cs="Times New Roman"/>
          <w:color w:val="000000" w:themeColor="text1"/>
          <w:sz w:val="24"/>
          <w:szCs w:val="24"/>
        </w:rPr>
        <w:t xml:space="preserve">sum </w:t>
      </w:r>
      <w:r w:rsidR="00DA3458" w:rsidRPr="00161B6C">
        <w:rPr>
          <w:rFonts w:ascii="Times New Roman" w:hAnsi="Times New Roman" w:cs="Times New Roman"/>
          <w:color w:val="000000" w:themeColor="text1"/>
          <w:sz w:val="24"/>
          <w:szCs w:val="24"/>
        </w:rPr>
        <w:t>deposit</w:t>
      </w:r>
      <w:r w:rsidR="00DD3FA5" w:rsidRPr="00161B6C">
        <w:rPr>
          <w:rFonts w:ascii="Times New Roman" w:hAnsi="Times New Roman" w:cs="Times New Roman"/>
          <w:color w:val="000000" w:themeColor="text1"/>
          <w:sz w:val="24"/>
          <w:szCs w:val="24"/>
        </w:rPr>
        <w:t>s</w:t>
      </w:r>
      <w:r w:rsidR="00DA3458" w:rsidRPr="00161B6C">
        <w:rPr>
          <w:rFonts w:ascii="Times New Roman" w:hAnsi="Times New Roman" w:cs="Times New Roman"/>
          <w:color w:val="000000" w:themeColor="text1"/>
          <w:sz w:val="24"/>
          <w:szCs w:val="24"/>
        </w:rPr>
        <w:t xml:space="preserve"> in those accounts. It also found that there was a relatively high negative relationship between the volume of deposits in school bank accounts and the return on equity and the return on assets. The output of the regression also clearly shows that school banking (amount of deposits) has a negative relationship with return on equity and return on total asset.</w:t>
      </w:r>
      <w:r w:rsidR="00E2203B">
        <w:rPr>
          <w:rFonts w:ascii="Times New Roman" w:hAnsi="Times New Roman" w:cs="Times New Roman"/>
          <w:color w:val="000000" w:themeColor="text1"/>
          <w:sz w:val="24"/>
          <w:szCs w:val="24"/>
        </w:rPr>
        <w:t xml:space="preserve"> </w:t>
      </w:r>
      <w:r w:rsidR="00DA3458" w:rsidRPr="00161B6C">
        <w:rPr>
          <w:rFonts w:ascii="Times New Roman" w:hAnsi="Times New Roman" w:cs="Times New Roman"/>
          <w:color w:val="000000" w:themeColor="text1"/>
          <w:sz w:val="24"/>
          <w:szCs w:val="24"/>
        </w:rPr>
        <w:t>The analysis is carried out on the basis of secondary data. However it is not possible to judge validity and reliability.</w:t>
      </w:r>
    </w:p>
    <w:p w:rsidR="002E6224" w:rsidRPr="00161B6C" w:rsidRDefault="002E6224" w:rsidP="00067537">
      <w:pPr>
        <w:spacing w:after="0" w:line="240" w:lineRule="auto"/>
        <w:jc w:val="both"/>
        <w:rPr>
          <w:rFonts w:ascii="Times New Roman" w:hAnsi="Times New Roman" w:cs="Times New Roman"/>
          <w:color w:val="000000" w:themeColor="text1"/>
          <w:sz w:val="24"/>
          <w:szCs w:val="24"/>
        </w:rPr>
      </w:pPr>
      <w:r w:rsidRPr="00E2203B">
        <w:rPr>
          <w:rFonts w:ascii="Times New Roman" w:hAnsi="Times New Roman" w:cs="Times New Roman"/>
          <w:b/>
          <w:color w:val="000000" w:themeColor="text1"/>
          <w:sz w:val="24"/>
          <w:szCs w:val="24"/>
        </w:rPr>
        <w:t>Key words:</w:t>
      </w:r>
      <w:r w:rsidRPr="00161B6C">
        <w:rPr>
          <w:rFonts w:ascii="Times New Roman" w:hAnsi="Times New Roman" w:cs="Times New Roman"/>
          <w:color w:val="000000" w:themeColor="text1"/>
          <w:sz w:val="24"/>
          <w:szCs w:val="24"/>
        </w:rPr>
        <w:t xml:space="preserve"> </w:t>
      </w:r>
      <w:r w:rsidR="000B28F5" w:rsidRPr="00161B6C">
        <w:rPr>
          <w:rFonts w:ascii="Times New Roman" w:hAnsi="Times New Roman" w:cs="Times New Roman"/>
          <w:color w:val="000000" w:themeColor="text1"/>
          <w:sz w:val="24"/>
          <w:szCs w:val="24"/>
        </w:rPr>
        <w:t>School, Banking, Accounts, Deposits and P</w:t>
      </w:r>
      <w:r w:rsidR="00127D67" w:rsidRPr="00161B6C">
        <w:rPr>
          <w:rFonts w:ascii="Times New Roman" w:hAnsi="Times New Roman" w:cs="Times New Roman"/>
          <w:color w:val="000000" w:themeColor="text1"/>
          <w:sz w:val="24"/>
          <w:szCs w:val="24"/>
        </w:rPr>
        <w:t xml:space="preserve">rofitability. </w:t>
      </w:r>
    </w:p>
    <w:p w:rsidR="002E6224" w:rsidRPr="00161B6C" w:rsidRDefault="002E6224" w:rsidP="00067537">
      <w:pPr>
        <w:spacing w:after="0" w:line="240" w:lineRule="auto"/>
        <w:jc w:val="both"/>
        <w:rPr>
          <w:rFonts w:ascii="Times New Roman" w:hAnsi="Times New Roman" w:cs="Times New Roman"/>
          <w:color w:val="000000" w:themeColor="text1"/>
          <w:sz w:val="24"/>
          <w:szCs w:val="24"/>
        </w:rPr>
      </w:pPr>
      <w:r w:rsidRPr="00E2203B">
        <w:rPr>
          <w:rFonts w:ascii="Times New Roman" w:hAnsi="Times New Roman" w:cs="Times New Roman"/>
          <w:b/>
          <w:color w:val="000000" w:themeColor="text1"/>
          <w:sz w:val="24"/>
          <w:szCs w:val="24"/>
        </w:rPr>
        <w:t>JEL classification</w:t>
      </w:r>
      <w:r w:rsidRPr="00161B6C">
        <w:rPr>
          <w:rFonts w:ascii="Times New Roman" w:hAnsi="Times New Roman" w:cs="Times New Roman"/>
          <w:color w:val="000000" w:themeColor="text1"/>
          <w:sz w:val="24"/>
          <w:szCs w:val="24"/>
        </w:rPr>
        <w:t>:</w:t>
      </w:r>
      <w:r w:rsidR="008C0C5A">
        <w:rPr>
          <w:rFonts w:ascii="Times New Roman" w:hAnsi="Times New Roman" w:cs="Times New Roman"/>
          <w:color w:val="000000" w:themeColor="text1"/>
          <w:sz w:val="24"/>
          <w:szCs w:val="24"/>
          <w:shd w:val="clear" w:color="auto" w:fill="FFFFFF"/>
        </w:rPr>
        <w:t xml:space="preserve"> G</w:t>
      </w:r>
      <w:r w:rsidR="008C0C5A" w:rsidRPr="00161B6C">
        <w:rPr>
          <w:rFonts w:ascii="Times New Roman" w:hAnsi="Times New Roman" w:cs="Times New Roman"/>
          <w:color w:val="000000" w:themeColor="text1"/>
          <w:sz w:val="24"/>
          <w:szCs w:val="24"/>
          <w:shd w:val="clear" w:color="auto" w:fill="FFFFFF"/>
        </w:rPr>
        <w:t>21</w:t>
      </w:r>
      <w:r w:rsidR="00E2203B">
        <w:rPr>
          <w:rFonts w:ascii="Times New Roman" w:hAnsi="Times New Roman" w:cs="Times New Roman"/>
          <w:color w:val="000000" w:themeColor="text1"/>
          <w:sz w:val="24"/>
          <w:szCs w:val="24"/>
          <w:shd w:val="clear" w:color="auto" w:fill="FFFFFF"/>
        </w:rPr>
        <w:t>, G40</w:t>
      </w:r>
      <w:r w:rsidRPr="00161B6C">
        <w:rPr>
          <w:rFonts w:ascii="Times New Roman" w:hAnsi="Times New Roman" w:cs="Times New Roman"/>
          <w:color w:val="000000" w:themeColor="text1"/>
          <w:sz w:val="24"/>
          <w:szCs w:val="24"/>
          <w:shd w:val="clear" w:color="auto" w:fill="FFFFFF"/>
        </w:rPr>
        <w:t xml:space="preserve">, G41, </w:t>
      </w:r>
    </w:p>
    <w:p w:rsidR="002E6224" w:rsidRPr="00161B6C" w:rsidRDefault="002E6224" w:rsidP="00067537">
      <w:pPr>
        <w:spacing w:after="0" w:line="240" w:lineRule="auto"/>
        <w:jc w:val="both"/>
        <w:rPr>
          <w:rFonts w:ascii="Times New Roman" w:hAnsi="Times New Roman" w:cs="Times New Roman"/>
          <w:color w:val="000000" w:themeColor="text1"/>
          <w:sz w:val="24"/>
        </w:rPr>
      </w:pPr>
    </w:p>
    <w:p w:rsidR="008D0310" w:rsidRPr="00AB476B" w:rsidRDefault="008D0310" w:rsidP="00B71BCE">
      <w:pPr>
        <w:pStyle w:val="ListParagraph"/>
        <w:numPr>
          <w:ilvl w:val="0"/>
          <w:numId w:val="4"/>
        </w:numPr>
        <w:spacing w:after="0" w:line="240" w:lineRule="auto"/>
        <w:jc w:val="both"/>
        <w:rPr>
          <w:rFonts w:ascii="Times New Roman" w:hAnsi="Times New Roman" w:cs="Times New Roman"/>
          <w:b/>
          <w:color w:val="000000" w:themeColor="text1"/>
          <w:sz w:val="24"/>
        </w:rPr>
      </w:pPr>
      <w:r w:rsidRPr="00AB476B">
        <w:rPr>
          <w:rFonts w:ascii="Times New Roman" w:hAnsi="Times New Roman" w:cs="Times New Roman"/>
          <w:b/>
          <w:color w:val="000000" w:themeColor="text1"/>
          <w:sz w:val="24"/>
        </w:rPr>
        <w:t xml:space="preserve">Introduction </w:t>
      </w:r>
    </w:p>
    <w:p w:rsidR="008536B7" w:rsidRPr="00161B6C" w:rsidRDefault="00E67BE9" w:rsidP="00067537">
      <w:pPr>
        <w:spacing w:after="0" w:line="240" w:lineRule="auto"/>
        <w:jc w:val="both"/>
        <w:rPr>
          <w:rFonts w:ascii="Times New Roman" w:hAnsi="Times New Roman" w:cs="Times New Roman"/>
          <w:bCs/>
          <w:color w:val="000000" w:themeColor="text1"/>
          <w:sz w:val="24"/>
        </w:rPr>
      </w:pPr>
      <w:r w:rsidRPr="00161B6C">
        <w:rPr>
          <w:rFonts w:ascii="Times New Roman" w:hAnsi="Times New Roman" w:cs="Times New Roman"/>
          <w:color w:val="000000" w:themeColor="text1"/>
          <w:sz w:val="24"/>
        </w:rPr>
        <w:t xml:space="preserve">Banks' key functions are mainly categorized into two parts, i.e. the collection of deposits from the surplus unit and the provision to the deficit unit of the collected funds through the disbursement of </w:t>
      </w:r>
      <w:r w:rsidR="009B4C89" w:rsidRPr="00161B6C">
        <w:rPr>
          <w:rFonts w:ascii="Times New Roman" w:hAnsi="Times New Roman" w:cs="Times New Roman"/>
          <w:color w:val="000000" w:themeColor="text1"/>
          <w:sz w:val="24"/>
        </w:rPr>
        <w:t>loans (</w:t>
      </w:r>
      <w:r w:rsidR="002520EF" w:rsidRPr="00161B6C">
        <w:rPr>
          <w:rFonts w:ascii="Times New Roman" w:hAnsi="Times New Roman" w:cs="Times New Roman"/>
          <w:color w:val="000000" w:themeColor="text1"/>
          <w:sz w:val="24"/>
        </w:rPr>
        <w:t>Kamruzzaman</w:t>
      </w:r>
      <w:r w:rsidR="00172390" w:rsidRPr="00161B6C">
        <w:rPr>
          <w:rFonts w:ascii="Times New Roman" w:hAnsi="Times New Roman" w:cs="Times New Roman"/>
          <w:color w:val="000000" w:themeColor="text1"/>
          <w:sz w:val="24"/>
        </w:rPr>
        <w:t>, 2018</w:t>
      </w:r>
      <w:r w:rsidR="009B4C89" w:rsidRPr="00161B6C">
        <w:rPr>
          <w:rFonts w:ascii="Times New Roman" w:hAnsi="Times New Roman" w:cs="Times New Roman"/>
          <w:color w:val="000000" w:themeColor="text1"/>
          <w:sz w:val="24"/>
        </w:rPr>
        <w:t>)</w:t>
      </w:r>
      <w:r w:rsidRPr="00161B6C">
        <w:rPr>
          <w:rFonts w:ascii="Times New Roman" w:hAnsi="Times New Roman" w:cs="Times New Roman"/>
          <w:color w:val="000000" w:themeColor="text1"/>
          <w:sz w:val="24"/>
        </w:rPr>
        <w:t xml:space="preserve">. </w:t>
      </w:r>
      <w:r w:rsidR="00F9363F" w:rsidRPr="00161B6C">
        <w:rPr>
          <w:rFonts w:ascii="Times New Roman" w:hAnsi="Times New Roman" w:cs="Times New Roman"/>
          <w:color w:val="000000" w:themeColor="text1"/>
          <w:sz w:val="24"/>
        </w:rPr>
        <w:t xml:space="preserve">Usually, banks obtain deposits from the mass population of the country through financial inclusion, irrespective of age, class, social status, religion, </w:t>
      </w:r>
      <w:r w:rsidR="00D65873" w:rsidRPr="00161B6C">
        <w:rPr>
          <w:rFonts w:ascii="Times New Roman" w:hAnsi="Times New Roman" w:cs="Times New Roman"/>
          <w:color w:val="000000" w:themeColor="text1"/>
          <w:sz w:val="24"/>
        </w:rPr>
        <w:t>etc.</w:t>
      </w:r>
      <w:r w:rsidR="00F71307" w:rsidRPr="00161B6C">
        <w:rPr>
          <w:rFonts w:ascii="Times New Roman" w:eastAsia="Times New Roman" w:hAnsi="Times New Roman" w:cs="Times New Roman"/>
          <w:bCs/>
          <w:color w:val="000000" w:themeColor="text1"/>
          <w:sz w:val="24"/>
          <w:szCs w:val="24"/>
        </w:rPr>
        <w:t xml:space="preserve"> (Chowdhury,</w:t>
      </w:r>
      <w:r w:rsidR="00F71307" w:rsidRPr="00161B6C">
        <w:rPr>
          <w:rFonts w:ascii="Times New Roman" w:hAnsi="Times New Roman" w:cs="Times New Roman"/>
          <w:color w:val="000000" w:themeColor="text1"/>
          <w:sz w:val="24"/>
          <w:szCs w:val="24"/>
        </w:rPr>
        <w:t xml:space="preserve"> 2019)</w:t>
      </w:r>
      <w:r w:rsidRPr="00161B6C">
        <w:rPr>
          <w:rFonts w:ascii="Times New Roman" w:hAnsi="Times New Roman" w:cs="Times New Roman"/>
          <w:color w:val="000000" w:themeColor="text1"/>
          <w:sz w:val="24"/>
        </w:rPr>
        <w:t xml:space="preserve">. </w:t>
      </w:r>
      <w:r w:rsidR="002D72AB" w:rsidRPr="00161B6C">
        <w:rPr>
          <w:rFonts w:ascii="Times New Roman" w:hAnsi="Times New Roman" w:cs="Times New Roman"/>
          <w:color w:val="000000" w:themeColor="text1"/>
          <w:sz w:val="24"/>
        </w:rPr>
        <w:t xml:space="preserve">The bank is a profit hunting </w:t>
      </w:r>
      <w:r w:rsidR="00172390" w:rsidRPr="00161B6C">
        <w:rPr>
          <w:rFonts w:ascii="Times New Roman" w:hAnsi="Times New Roman" w:cs="Times New Roman"/>
          <w:color w:val="000000" w:themeColor="text1"/>
          <w:sz w:val="24"/>
          <w:szCs w:val="24"/>
        </w:rPr>
        <w:t>institution</w:t>
      </w:r>
      <w:r w:rsidR="00F9363F" w:rsidRPr="00161B6C">
        <w:rPr>
          <w:rFonts w:ascii="Times New Roman" w:hAnsi="Times New Roman" w:cs="Times New Roman"/>
          <w:color w:val="000000" w:themeColor="text1"/>
          <w:sz w:val="24"/>
          <w:szCs w:val="24"/>
        </w:rPr>
        <w:t>.</w:t>
      </w:r>
      <w:r w:rsidR="00172390" w:rsidRPr="00161B6C">
        <w:rPr>
          <w:rFonts w:ascii="Times New Roman" w:hAnsi="Times New Roman" w:cs="Times New Roman"/>
          <w:color w:val="000000" w:themeColor="text1"/>
          <w:sz w:val="24"/>
          <w:szCs w:val="24"/>
        </w:rPr>
        <w:t xml:space="preserve"> </w:t>
      </w:r>
      <w:r w:rsidR="002D72AB" w:rsidRPr="00161B6C">
        <w:rPr>
          <w:rFonts w:ascii="Times New Roman" w:hAnsi="Times New Roman" w:cs="Times New Roman"/>
          <w:color w:val="000000" w:themeColor="text1"/>
          <w:sz w:val="24"/>
        </w:rPr>
        <w:t xml:space="preserve">The profitability of the banks are relies on their lending and investing. The health of banking industry typically depends on amount deposit available for </w:t>
      </w:r>
      <w:r w:rsidR="00F9363F" w:rsidRPr="00161B6C">
        <w:rPr>
          <w:rFonts w:ascii="Times New Roman" w:hAnsi="Times New Roman" w:cs="Times New Roman"/>
          <w:color w:val="000000" w:themeColor="text1"/>
          <w:sz w:val="24"/>
        </w:rPr>
        <w:t>them</w:t>
      </w:r>
      <w:r w:rsidR="00F9363F" w:rsidRPr="00161B6C">
        <w:rPr>
          <w:rFonts w:ascii="Times New Roman" w:hAnsi="Times New Roman" w:cs="Times New Roman"/>
          <w:color w:val="000000" w:themeColor="text1"/>
          <w:sz w:val="24"/>
          <w:szCs w:val="24"/>
        </w:rPr>
        <w:t xml:space="preserve"> (Maheswari </w:t>
      </w:r>
      <w:r w:rsidR="00F9363F" w:rsidRPr="00161B6C">
        <w:rPr>
          <w:rFonts w:ascii="Times New Roman" w:hAnsi="Times New Roman" w:cs="Times New Roman"/>
          <w:color w:val="000000" w:themeColor="text1"/>
          <w:sz w:val="24"/>
          <w:szCs w:val="24"/>
          <w:shd w:val="clear" w:color="auto" w:fill="FFFFFF"/>
        </w:rPr>
        <w:t>&amp;</w:t>
      </w:r>
      <w:r w:rsidR="00F9363F" w:rsidRPr="00161B6C">
        <w:rPr>
          <w:rFonts w:ascii="Times New Roman" w:hAnsi="Times New Roman" w:cs="Times New Roman"/>
          <w:color w:val="000000" w:themeColor="text1"/>
          <w:sz w:val="24"/>
          <w:szCs w:val="24"/>
        </w:rPr>
        <w:t xml:space="preserve"> Maheswari, 2002)</w:t>
      </w:r>
      <w:r w:rsidR="002D72AB" w:rsidRPr="00161B6C">
        <w:rPr>
          <w:rFonts w:ascii="Times New Roman" w:hAnsi="Times New Roman" w:cs="Times New Roman"/>
          <w:color w:val="000000" w:themeColor="text1"/>
          <w:sz w:val="24"/>
        </w:rPr>
        <w:t xml:space="preserve">. Saving is the portion of disposable income that is sacrificed from the present consumption.  The disposable income is after-tax income available for spending. </w:t>
      </w:r>
      <w:r w:rsidR="00F9363F" w:rsidRPr="00161B6C">
        <w:rPr>
          <w:rFonts w:ascii="Times New Roman" w:hAnsi="Times New Roman" w:cs="Times New Roman"/>
          <w:color w:val="000000" w:themeColor="text1"/>
          <w:sz w:val="24"/>
        </w:rPr>
        <w:t>Generally t</w:t>
      </w:r>
      <w:r w:rsidR="002D72AB" w:rsidRPr="00161B6C">
        <w:rPr>
          <w:rFonts w:ascii="Times New Roman" w:hAnsi="Times New Roman" w:cs="Times New Roman"/>
          <w:color w:val="000000" w:themeColor="text1"/>
          <w:sz w:val="24"/>
        </w:rPr>
        <w:t xml:space="preserve">he </w:t>
      </w:r>
      <w:r w:rsidR="00F9363F" w:rsidRPr="00161B6C">
        <w:rPr>
          <w:rFonts w:ascii="Times New Roman" w:hAnsi="Times New Roman" w:cs="Times New Roman"/>
          <w:color w:val="000000" w:themeColor="text1"/>
          <w:sz w:val="24"/>
        </w:rPr>
        <w:t>higher</w:t>
      </w:r>
      <w:r w:rsidR="002D72AB" w:rsidRPr="00161B6C">
        <w:rPr>
          <w:rFonts w:ascii="Times New Roman" w:hAnsi="Times New Roman" w:cs="Times New Roman"/>
          <w:color w:val="000000" w:themeColor="text1"/>
          <w:sz w:val="24"/>
        </w:rPr>
        <w:t xml:space="preserve"> the income</w:t>
      </w:r>
      <w:r w:rsidR="00F9363F" w:rsidRPr="00161B6C">
        <w:rPr>
          <w:rFonts w:ascii="Times New Roman" w:hAnsi="Times New Roman" w:cs="Times New Roman"/>
          <w:color w:val="000000" w:themeColor="text1"/>
          <w:sz w:val="24"/>
        </w:rPr>
        <w:t>,</w:t>
      </w:r>
      <w:r w:rsidR="002D72AB" w:rsidRPr="00161B6C">
        <w:rPr>
          <w:rFonts w:ascii="Times New Roman" w:hAnsi="Times New Roman" w:cs="Times New Roman"/>
          <w:color w:val="000000" w:themeColor="text1"/>
          <w:sz w:val="24"/>
        </w:rPr>
        <w:t xml:space="preserve"> the more the saving’s. </w:t>
      </w:r>
      <w:r w:rsidR="00172993" w:rsidRPr="00161B6C">
        <w:rPr>
          <w:rFonts w:ascii="Times New Roman" w:hAnsi="Times New Roman" w:cs="Times New Roman"/>
          <w:color w:val="000000" w:themeColor="text1"/>
          <w:sz w:val="24"/>
        </w:rPr>
        <w:t xml:space="preserve">The lending and investment activities </w:t>
      </w:r>
      <w:r w:rsidR="002D72AB" w:rsidRPr="00161B6C">
        <w:rPr>
          <w:rFonts w:ascii="Times New Roman" w:hAnsi="Times New Roman" w:cs="Times New Roman"/>
          <w:color w:val="000000" w:themeColor="text1"/>
          <w:sz w:val="24"/>
        </w:rPr>
        <w:t>are heavily depends</w:t>
      </w:r>
      <w:r w:rsidR="00172993" w:rsidRPr="00161B6C">
        <w:rPr>
          <w:rFonts w:ascii="Times New Roman" w:hAnsi="Times New Roman" w:cs="Times New Roman"/>
          <w:color w:val="000000" w:themeColor="text1"/>
          <w:sz w:val="24"/>
        </w:rPr>
        <w:t xml:space="preserve"> on </w:t>
      </w:r>
      <w:r w:rsidR="002D72AB" w:rsidRPr="00161B6C">
        <w:rPr>
          <w:rFonts w:ascii="Times New Roman" w:hAnsi="Times New Roman" w:cs="Times New Roman"/>
          <w:color w:val="000000" w:themeColor="text1"/>
          <w:sz w:val="24"/>
        </w:rPr>
        <w:t>availability</w:t>
      </w:r>
      <w:r w:rsidR="00172993" w:rsidRPr="00161B6C">
        <w:rPr>
          <w:rFonts w:ascii="Times New Roman" w:hAnsi="Times New Roman" w:cs="Times New Roman"/>
          <w:color w:val="000000" w:themeColor="text1"/>
          <w:sz w:val="24"/>
        </w:rPr>
        <w:t xml:space="preserve"> of funds. </w:t>
      </w:r>
      <w:r w:rsidR="00983CAD" w:rsidRPr="00161B6C">
        <w:rPr>
          <w:rFonts w:ascii="Times New Roman" w:hAnsi="Times New Roman" w:cs="Times New Roman"/>
          <w:color w:val="000000" w:themeColor="text1"/>
          <w:sz w:val="24"/>
        </w:rPr>
        <w:t xml:space="preserve">The deposit is main sources for fund for banking business. </w:t>
      </w:r>
      <w:r w:rsidR="00172993" w:rsidRPr="00161B6C">
        <w:rPr>
          <w:rFonts w:ascii="Times New Roman" w:hAnsi="Times New Roman" w:cs="Times New Roman"/>
          <w:color w:val="000000" w:themeColor="text1"/>
          <w:sz w:val="24"/>
        </w:rPr>
        <w:t xml:space="preserve">There are different types of deposits accounts. </w:t>
      </w:r>
      <w:r w:rsidR="002D72AB" w:rsidRPr="00161B6C">
        <w:rPr>
          <w:rFonts w:ascii="Times New Roman" w:hAnsi="Times New Roman" w:cs="Times New Roman"/>
          <w:color w:val="000000" w:themeColor="text1"/>
          <w:sz w:val="24"/>
        </w:rPr>
        <w:t xml:space="preserve">The </w:t>
      </w:r>
      <w:r w:rsidR="00172993" w:rsidRPr="00161B6C">
        <w:rPr>
          <w:rFonts w:ascii="Times New Roman" w:hAnsi="Times New Roman" w:cs="Times New Roman"/>
          <w:color w:val="000000" w:themeColor="text1"/>
          <w:sz w:val="24"/>
        </w:rPr>
        <w:t xml:space="preserve">saving account, current account and term deposit account by which banks are </w:t>
      </w:r>
      <w:r w:rsidR="002D72AB" w:rsidRPr="00161B6C">
        <w:rPr>
          <w:rFonts w:ascii="Times New Roman" w:hAnsi="Times New Roman" w:cs="Times New Roman"/>
          <w:color w:val="000000" w:themeColor="text1"/>
          <w:sz w:val="24"/>
        </w:rPr>
        <w:t>collecting deposits</w:t>
      </w:r>
      <w:r w:rsidR="00172993" w:rsidRPr="00161B6C">
        <w:rPr>
          <w:rFonts w:ascii="Times New Roman" w:hAnsi="Times New Roman" w:cs="Times New Roman"/>
          <w:color w:val="000000" w:themeColor="text1"/>
          <w:sz w:val="24"/>
        </w:rPr>
        <w:t xml:space="preserve">. </w:t>
      </w:r>
      <w:r w:rsidR="008536B7" w:rsidRPr="00161B6C">
        <w:rPr>
          <w:rFonts w:ascii="Times New Roman" w:hAnsi="Times New Roman" w:cs="Times New Roman"/>
          <w:color w:val="000000" w:themeColor="text1"/>
          <w:sz w:val="24"/>
        </w:rPr>
        <w:t xml:space="preserve">Due age restriction age below 18 year </w:t>
      </w:r>
      <w:r w:rsidR="00AC3D23" w:rsidRPr="00161B6C">
        <w:rPr>
          <w:rFonts w:ascii="Times New Roman" w:hAnsi="Times New Roman" w:cs="Times New Roman"/>
          <w:color w:val="000000" w:themeColor="text1"/>
          <w:sz w:val="24"/>
        </w:rPr>
        <w:t xml:space="preserve">cannot </w:t>
      </w:r>
      <w:r w:rsidR="008536B7" w:rsidRPr="00161B6C">
        <w:rPr>
          <w:rFonts w:ascii="Times New Roman" w:hAnsi="Times New Roman" w:cs="Times New Roman"/>
          <w:color w:val="000000" w:themeColor="text1"/>
          <w:sz w:val="24"/>
        </w:rPr>
        <w:t>open a bank account in Bangladesh</w:t>
      </w:r>
      <w:r w:rsidR="00F9363F" w:rsidRPr="00161B6C">
        <w:rPr>
          <w:rFonts w:ascii="Times New Roman" w:hAnsi="Times New Roman" w:cs="Times New Roman"/>
          <w:color w:val="000000" w:themeColor="text1"/>
          <w:sz w:val="24"/>
        </w:rPr>
        <w:t xml:space="preserve"> independently</w:t>
      </w:r>
      <w:r w:rsidR="007F0F44" w:rsidRPr="00161B6C">
        <w:rPr>
          <w:rFonts w:ascii="Times New Roman" w:hAnsi="Times New Roman" w:cs="Times New Roman"/>
          <w:color w:val="000000" w:themeColor="text1"/>
          <w:sz w:val="24"/>
        </w:rPr>
        <w:t xml:space="preserve"> (Uddin, 2020). </w:t>
      </w:r>
      <w:r w:rsidR="008536B7" w:rsidRPr="00161B6C">
        <w:rPr>
          <w:rFonts w:ascii="Times New Roman" w:hAnsi="Times New Roman" w:cs="Times New Roman"/>
          <w:color w:val="000000" w:themeColor="text1"/>
          <w:sz w:val="24"/>
        </w:rPr>
        <w:t>. The people age below 18 are defined as minor</w:t>
      </w:r>
      <w:r w:rsidR="00F9363F" w:rsidRPr="00161B6C">
        <w:rPr>
          <w:rFonts w:ascii="Times New Roman" w:hAnsi="Times New Roman" w:cs="Times New Roman"/>
          <w:color w:val="000000" w:themeColor="text1"/>
          <w:sz w:val="24"/>
        </w:rPr>
        <w:t xml:space="preserve"> by law</w:t>
      </w:r>
      <w:r w:rsidR="008536B7" w:rsidRPr="00161B6C">
        <w:rPr>
          <w:rFonts w:ascii="Times New Roman" w:hAnsi="Times New Roman" w:cs="Times New Roman"/>
          <w:color w:val="000000" w:themeColor="text1"/>
          <w:sz w:val="24"/>
        </w:rPr>
        <w:t>. Of the minors some a lion portion</w:t>
      </w:r>
      <w:r w:rsidR="00F9363F" w:rsidRPr="00161B6C">
        <w:rPr>
          <w:rFonts w:ascii="Times New Roman" w:hAnsi="Times New Roman" w:cs="Times New Roman"/>
          <w:color w:val="000000" w:themeColor="text1"/>
          <w:sz w:val="24"/>
        </w:rPr>
        <w:t>s</w:t>
      </w:r>
      <w:r w:rsidR="008536B7" w:rsidRPr="00161B6C">
        <w:rPr>
          <w:rFonts w:ascii="Times New Roman" w:hAnsi="Times New Roman" w:cs="Times New Roman"/>
          <w:color w:val="000000" w:themeColor="text1"/>
          <w:sz w:val="24"/>
        </w:rPr>
        <w:t xml:space="preserve"> of them are students. The students are the future citizen of the country. They are out of the main </w:t>
      </w:r>
      <w:r w:rsidR="00F9363F" w:rsidRPr="00161B6C">
        <w:rPr>
          <w:rFonts w:ascii="Times New Roman" w:hAnsi="Times New Roman" w:cs="Times New Roman"/>
          <w:color w:val="000000" w:themeColor="text1"/>
          <w:sz w:val="24"/>
        </w:rPr>
        <w:lastRenderedPageBreak/>
        <w:t xml:space="preserve">flow of the </w:t>
      </w:r>
      <w:r w:rsidR="008536B7" w:rsidRPr="00161B6C">
        <w:rPr>
          <w:rFonts w:ascii="Times New Roman" w:hAnsi="Times New Roman" w:cs="Times New Roman"/>
          <w:color w:val="000000" w:themeColor="text1"/>
          <w:sz w:val="24"/>
        </w:rPr>
        <w:t>financial</w:t>
      </w:r>
      <w:r w:rsidR="00F9363F" w:rsidRPr="00161B6C">
        <w:rPr>
          <w:rFonts w:ascii="Times New Roman" w:hAnsi="Times New Roman" w:cs="Times New Roman"/>
          <w:color w:val="000000" w:themeColor="text1"/>
          <w:sz w:val="24"/>
        </w:rPr>
        <w:t xml:space="preserve"> system</w:t>
      </w:r>
      <w:r w:rsidR="008536B7" w:rsidRPr="00161B6C">
        <w:rPr>
          <w:rFonts w:ascii="Times New Roman" w:hAnsi="Times New Roman" w:cs="Times New Roman"/>
          <w:color w:val="000000" w:themeColor="text1"/>
          <w:sz w:val="24"/>
        </w:rPr>
        <w:t xml:space="preserve">. </w:t>
      </w:r>
      <w:r w:rsidR="002D72AB" w:rsidRPr="00161B6C">
        <w:rPr>
          <w:rFonts w:ascii="Times New Roman" w:hAnsi="Times New Roman" w:cs="Times New Roman"/>
          <w:color w:val="000000" w:themeColor="text1"/>
          <w:sz w:val="24"/>
        </w:rPr>
        <w:t>In order to include them in the financial flow and development of saving habits in the early age</w:t>
      </w:r>
      <w:r w:rsidR="006B22D8" w:rsidRPr="00161B6C">
        <w:rPr>
          <w:rFonts w:ascii="Times New Roman" w:hAnsi="Times New Roman" w:cs="Times New Roman"/>
          <w:color w:val="000000" w:themeColor="text1"/>
          <w:sz w:val="24"/>
        </w:rPr>
        <w:t>, Bangladesh bank introduces new banking idea for the student is called as school banking.</w:t>
      </w:r>
      <w:r w:rsidR="00F9363F" w:rsidRPr="00161B6C">
        <w:rPr>
          <w:rFonts w:ascii="Times New Roman" w:hAnsi="Times New Roman" w:cs="Times New Roman"/>
          <w:color w:val="000000" w:themeColor="text1"/>
          <w:sz w:val="24"/>
        </w:rPr>
        <w:t xml:space="preserve"> School banking account is a student-named savings deposit account to be jointly managed in conjunction with the signature of the guardian</w:t>
      </w:r>
      <w:r w:rsidR="003E052A" w:rsidRPr="00161B6C">
        <w:rPr>
          <w:rFonts w:ascii="Times New Roman" w:hAnsi="Times New Roman" w:cs="Times New Roman"/>
          <w:color w:val="000000" w:themeColor="text1"/>
          <w:sz w:val="24"/>
        </w:rPr>
        <w:t xml:space="preserve"> who may be the account nominee (</w:t>
      </w:r>
      <w:r w:rsidR="00377A51" w:rsidRPr="00161B6C">
        <w:rPr>
          <w:rFonts w:ascii="Times New Roman" w:hAnsi="Times New Roman" w:cs="Times New Roman"/>
          <w:color w:val="000000" w:themeColor="text1"/>
          <w:sz w:val="24"/>
        </w:rPr>
        <w:t>n.d.</w:t>
      </w:r>
      <w:r w:rsidR="00F9363F" w:rsidRPr="00161B6C">
        <w:rPr>
          <w:rFonts w:ascii="Times New Roman" w:hAnsi="Times New Roman" w:cs="Times New Roman"/>
          <w:color w:val="000000" w:themeColor="text1"/>
          <w:sz w:val="24"/>
        </w:rPr>
        <w:t>).</w:t>
      </w:r>
      <w:r w:rsidR="00AC3D23" w:rsidRPr="00161B6C">
        <w:rPr>
          <w:rFonts w:ascii="Times New Roman" w:hAnsi="Times New Roman" w:cs="Times New Roman"/>
          <w:color w:val="000000" w:themeColor="text1"/>
          <w:sz w:val="24"/>
        </w:rPr>
        <w:t xml:space="preserve"> </w:t>
      </w:r>
      <w:r w:rsidR="001F1083" w:rsidRPr="00161B6C">
        <w:rPr>
          <w:rFonts w:ascii="Times New Roman" w:hAnsi="Times New Roman" w:cs="Times New Roman"/>
          <w:color w:val="000000" w:themeColor="text1"/>
          <w:sz w:val="24"/>
        </w:rPr>
        <w:t>Although, like other deposit schemes, it did not fulfill its expectations because of the lack of publicity school banking scheme.</w:t>
      </w:r>
      <w:r w:rsidR="00F9363F" w:rsidRPr="00161B6C">
        <w:rPr>
          <w:rFonts w:ascii="Times New Roman" w:hAnsi="Times New Roman" w:cs="Times New Roman"/>
          <w:color w:val="000000" w:themeColor="text1"/>
          <w:sz w:val="24"/>
        </w:rPr>
        <w:t xml:space="preserve"> The service for students began to be launched slowly but gradually by many banks. For many school children, parents, and teachers, the concept of school banking was very new. But all over the country, the program was already gaining popularity. At the time, it was possible to open a school banking account for students aged 11 to under 18 years old.</w:t>
      </w:r>
      <w:r w:rsidR="001F1083" w:rsidRPr="00161B6C">
        <w:rPr>
          <w:rFonts w:ascii="Times New Roman" w:hAnsi="Times New Roman" w:cs="Times New Roman"/>
          <w:color w:val="000000" w:themeColor="text1"/>
          <w:sz w:val="24"/>
        </w:rPr>
        <w:t xml:space="preserve"> Thus</w:t>
      </w:r>
      <w:r w:rsidR="00AC3D23" w:rsidRPr="00161B6C">
        <w:rPr>
          <w:rFonts w:ascii="Times New Roman" w:hAnsi="Times New Roman" w:cs="Times New Roman"/>
          <w:color w:val="000000" w:themeColor="text1"/>
          <w:sz w:val="24"/>
        </w:rPr>
        <w:t xml:space="preserve">, the campaign of school banking has to be emphasized by Bangladesh Bank and other commercial banks. Bangladesh Bank, Bangladesh's central bank, directed all scheduled banks on 2 November 2010 to implement a student financial inclusion policy </w:t>
      </w:r>
      <w:r w:rsidR="00250DC6" w:rsidRPr="00161B6C">
        <w:rPr>
          <w:rFonts w:ascii="Times New Roman" w:hAnsi="Times New Roman" w:cs="Times New Roman"/>
          <w:color w:val="000000" w:themeColor="text1"/>
          <w:sz w:val="24"/>
        </w:rPr>
        <w:t>circular no. 12 under the name of School Banking by BRPD (Banking Regulation and Policy Department).</w:t>
      </w:r>
      <w:r w:rsidR="00AC3D23" w:rsidRPr="00161B6C">
        <w:rPr>
          <w:rFonts w:ascii="Times New Roman" w:hAnsi="Times New Roman" w:cs="Times New Roman"/>
          <w:color w:val="000000" w:themeColor="text1"/>
          <w:sz w:val="24"/>
        </w:rPr>
        <w:t xml:space="preserve"> </w:t>
      </w:r>
      <w:r w:rsidR="00EB10F0" w:rsidRPr="00161B6C">
        <w:rPr>
          <w:rFonts w:ascii="Times New Roman" w:hAnsi="Times New Roman" w:cs="Times New Roman"/>
          <w:color w:val="000000" w:themeColor="text1"/>
          <w:sz w:val="24"/>
        </w:rPr>
        <w:t>Hossen (2012) also represented that banks have introduced clients to strike up their deposit with various types of products in order to improve bank business and encourage clients to be introduced to build up their capital to protect the imminent destruction miseries. The School Banking Scheme is a distinct product, but it is becoming more popular in aimed at encouraging savings and create a savings mindset for school-going students with an enticing interest rate</w:t>
      </w:r>
      <w:r w:rsidR="005E1539" w:rsidRPr="00161B6C">
        <w:rPr>
          <w:rFonts w:ascii="Times New Roman" w:hAnsi="Times New Roman" w:cs="Times New Roman"/>
          <w:color w:val="000000" w:themeColor="text1"/>
          <w:sz w:val="24"/>
        </w:rPr>
        <w:t xml:space="preserve"> (Hasan, 2020)</w:t>
      </w:r>
      <w:r w:rsidR="00EB10F0" w:rsidRPr="00161B6C">
        <w:rPr>
          <w:rFonts w:ascii="Times New Roman" w:hAnsi="Times New Roman" w:cs="Times New Roman"/>
          <w:color w:val="000000" w:themeColor="text1"/>
          <w:sz w:val="24"/>
        </w:rPr>
        <w:t>. Through this scheme, most students can raise capital for their future, and this bank not only utilizes recurring deposits, but also plays a social role in the country.</w:t>
      </w:r>
      <w:r w:rsidR="00EB10F0" w:rsidRPr="00161B6C">
        <w:rPr>
          <w:rFonts w:ascii="Times New Roman" w:hAnsi="Times New Roman" w:cs="Times New Roman"/>
          <w:bCs/>
          <w:color w:val="000000" w:themeColor="text1"/>
          <w:sz w:val="24"/>
        </w:rPr>
        <w:t xml:space="preserve"> Alom (2015) clarified that school banking offers banking services to students so that they can initiate savings, engage in banking activities, participate and contribute to economic activities by savings. He also focused on historical evidence on the amount of accounts and money deposited in several banks under the school banking scheme (rural and urban areas). He also strongly believed that school banking would very soon have to be an integral part of everyday banking services. </w:t>
      </w:r>
      <w:r w:rsidR="00727A91" w:rsidRPr="00161B6C">
        <w:rPr>
          <w:rFonts w:ascii="Times New Roman" w:hAnsi="Times New Roman" w:cs="Times New Roman"/>
          <w:bCs/>
          <w:color w:val="000000" w:themeColor="text1"/>
          <w:sz w:val="24"/>
        </w:rPr>
        <w:t xml:space="preserve">From the literature, if we compare the account savings of the urban area with the rural area, then we see that the school banking program performs better in urban than rural </w:t>
      </w:r>
      <w:r w:rsidR="005E1539" w:rsidRPr="00161B6C">
        <w:rPr>
          <w:rFonts w:ascii="Times New Roman" w:hAnsi="Times New Roman" w:cs="Times New Roman"/>
          <w:bCs/>
          <w:color w:val="000000" w:themeColor="text1"/>
          <w:sz w:val="24"/>
        </w:rPr>
        <w:t>areas (</w:t>
      </w:r>
      <w:r w:rsidR="005E1539" w:rsidRPr="00161B6C">
        <w:rPr>
          <w:rFonts w:ascii="Times New Roman" w:eastAsia="Times New Roman" w:hAnsi="Times New Roman" w:cs="Times New Roman"/>
          <w:bCs/>
          <w:color w:val="000000" w:themeColor="text1"/>
          <w:sz w:val="24"/>
          <w:szCs w:val="24"/>
        </w:rPr>
        <w:t>Chowdhury, 2019</w:t>
      </w:r>
      <w:r w:rsidR="005E1539" w:rsidRPr="00161B6C">
        <w:rPr>
          <w:rFonts w:ascii="Times New Roman" w:hAnsi="Times New Roman" w:cs="Times New Roman"/>
          <w:color w:val="000000" w:themeColor="text1"/>
          <w:sz w:val="24"/>
          <w:szCs w:val="24"/>
        </w:rPr>
        <w:t>)</w:t>
      </w:r>
      <w:r w:rsidR="00727A91" w:rsidRPr="00161B6C">
        <w:rPr>
          <w:rFonts w:ascii="Times New Roman" w:hAnsi="Times New Roman" w:cs="Times New Roman"/>
          <w:bCs/>
          <w:color w:val="000000" w:themeColor="text1"/>
          <w:sz w:val="24"/>
        </w:rPr>
        <w:t>.</w:t>
      </w:r>
      <w:r w:rsidR="00727A91" w:rsidRPr="00161B6C">
        <w:rPr>
          <w:rFonts w:ascii="Times New Roman" w:hAnsi="Times New Roman" w:cs="Times New Roman"/>
          <w:color w:val="000000" w:themeColor="text1"/>
          <w:sz w:val="24"/>
        </w:rPr>
        <w:t xml:space="preserve"> </w:t>
      </w:r>
      <w:r w:rsidR="00727A91" w:rsidRPr="00161B6C">
        <w:rPr>
          <w:rFonts w:ascii="Times New Roman" w:hAnsi="Times New Roman" w:cs="Times New Roman"/>
          <w:bCs/>
          <w:color w:val="000000" w:themeColor="text1"/>
          <w:sz w:val="24"/>
        </w:rPr>
        <w:t>For this reason, in urban and rural areas, we can get an idea of financial literacy among children. We may also conclude that children are becoming more financially educated in urban areas than in rural areas. Bangladesh, however, is a rural-based nation. Without the growth of rural areas, economic development will not be feasible</w:t>
      </w:r>
      <w:r w:rsidR="00046E51" w:rsidRPr="00161B6C">
        <w:rPr>
          <w:rFonts w:ascii="Times New Roman" w:hAnsi="Times New Roman" w:cs="Times New Roman"/>
          <w:color w:val="000000" w:themeColor="text1"/>
          <w:sz w:val="24"/>
        </w:rPr>
        <w:t xml:space="preserve"> (Chowdhury</w:t>
      </w:r>
      <w:r w:rsidR="007E3F8D" w:rsidRPr="00161B6C">
        <w:rPr>
          <w:rFonts w:ascii="Times New Roman" w:hAnsi="Times New Roman" w:cs="Times New Roman"/>
          <w:color w:val="000000" w:themeColor="text1"/>
          <w:sz w:val="24"/>
        </w:rPr>
        <w:t>, 2019</w:t>
      </w:r>
      <w:r w:rsidR="00046E51" w:rsidRPr="00161B6C">
        <w:rPr>
          <w:rFonts w:ascii="Times New Roman" w:hAnsi="Times New Roman" w:cs="Times New Roman"/>
          <w:color w:val="000000" w:themeColor="text1"/>
          <w:sz w:val="24"/>
        </w:rPr>
        <w:t>)</w:t>
      </w:r>
      <w:r w:rsidR="00727A91" w:rsidRPr="00161B6C">
        <w:rPr>
          <w:rFonts w:ascii="Times New Roman" w:hAnsi="Times New Roman" w:cs="Times New Roman"/>
          <w:bCs/>
          <w:color w:val="000000" w:themeColor="text1"/>
          <w:sz w:val="24"/>
        </w:rPr>
        <w:t>. Governments, the Bangladesh Bank, and other banks should therefore work more on the rural school banking program.</w:t>
      </w:r>
    </w:p>
    <w:p w:rsidR="00727A91" w:rsidRPr="00161B6C" w:rsidRDefault="00727A91" w:rsidP="00067537">
      <w:pPr>
        <w:spacing w:after="0" w:line="240" w:lineRule="auto"/>
        <w:jc w:val="both"/>
        <w:rPr>
          <w:rFonts w:ascii="Times New Roman" w:hAnsi="Times New Roman" w:cs="Times New Roman"/>
          <w:color w:val="000000" w:themeColor="text1"/>
          <w:sz w:val="24"/>
        </w:rPr>
      </w:pPr>
    </w:p>
    <w:p w:rsidR="002B72EE" w:rsidRPr="00161B6C" w:rsidRDefault="00BE60DE" w:rsidP="00727A91">
      <w:pPr>
        <w:pStyle w:val="ListParagraph"/>
        <w:numPr>
          <w:ilvl w:val="0"/>
          <w:numId w:val="4"/>
        </w:numPr>
        <w:spacing w:after="0" w:line="240" w:lineRule="auto"/>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Literature R</w:t>
      </w:r>
      <w:r w:rsidR="008D0310" w:rsidRPr="00161B6C">
        <w:rPr>
          <w:rFonts w:ascii="Times New Roman" w:hAnsi="Times New Roman" w:cs="Times New Roman"/>
          <w:b/>
          <w:color w:val="000000" w:themeColor="text1"/>
          <w:sz w:val="24"/>
        </w:rPr>
        <w:t xml:space="preserve">eview </w:t>
      </w:r>
    </w:p>
    <w:p w:rsidR="006D7D13" w:rsidRPr="00161B6C" w:rsidRDefault="005865EA" w:rsidP="006D7D13">
      <w:pPr>
        <w:autoSpaceDE w:val="0"/>
        <w:autoSpaceDN w:val="0"/>
        <w:adjustRightInd w:val="0"/>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bCs/>
          <w:color w:val="000000" w:themeColor="text1"/>
          <w:sz w:val="24"/>
        </w:rPr>
        <w:t xml:space="preserve">     </w:t>
      </w:r>
      <w:r w:rsidR="006D7D13" w:rsidRPr="00161B6C">
        <w:rPr>
          <w:rFonts w:ascii="Times New Roman" w:hAnsi="Times New Roman" w:cs="Times New Roman"/>
          <w:color w:val="000000" w:themeColor="text1"/>
          <w:sz w:val="24"/>
          <w:szCs w:val="24"/>
        </w:rPr>
        <w:t xml:space="preserve"> A research on School Banking in Bangladesh was completed by Ahmed and Maksuda (2014): A Study on Sustainability. The aim of the study was to understand the student's financial knowledge, attitude and socialization, and the guardian's financial knowledge for school banking sustainability. To achieve the objective data of 50 schools, of which 1,515 students and 1,137 parents gathered by questionnaire from primary, junior high school and high school. They discovered that students learn more from school and parents about money, with a focus on saving. Parents believe that it is necessary for children to save and use structured financial institutions, although students and their parents or guardians are likely to have different ideas about what saving entails. Around half the students talk about money to their parents or guardians at least some of the time, while the other half talk about it very rarely or never.</w:t>
      </w:r>
    </w:p>
    <w:p w:rsidR="002B72EE" w:rsidRPr="00161B6C" w:rsidRDefault="00727A91" w:rsidP="00727A91">
      <w:pPr>
        <w:autoSpaceDE w:val="0"/>
        <w:autoSpaceDN w:val="0"/>
        <w:adjustRightInd w:val="0"/>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0"/>
          <w:shd w:val="clear" w:color="auto" w:fill="FFFFFF"/>
        </w:rPr>
        <w:t xml:space="preserve">       </w:t>
      </w:r>
      <w:r w:rsidR="00422D2B" w:rsidRPr="00161B6C">
        <w:rPr>
          <w:rFonts w:ascii="Times New Roman" w:hAnsi="Times New Roman" w:cs="Times New Roman"/>
          <w:color w:val="000000" w:themeColor="text1"/>
          <w:sz w:val="24"/>
          <w:szCs w:val="20"/>
          <w:shd w:val="clear" w:color="auto" w:fill="FFFFFF"/>
        </w:rPr>
        <w:t xml:space="preserve"> </w:t>
      </w:r>
      <w:r w:rsidR="00B917C9" w:rsidRPr="00161B6C">
        <w:rPr>
          <w:rFonts w:ascii="Times New Roman" w:hAnsi="Times New Roman" w:cs="Times New Roman"/>
          <w:color w:val="000000" w:themeColor="text1"/>
          <w:sz w:val="24"/>
          <w:szCs w:val="20"/>
          <w:shd w:val="clear" w:color="auto" w:fill="FFFFFF"/>
        </w:rPr>
        <w:t xml:space="preserve">The title of an article on the overview of the school banking program was published in Islam, Rabbany and Sadia (2015): its difficulties, opportunities and acceptability. The aims of the study </w:t>
      </w:r>
      <w:r w:rsidR="00B917C9" w:rsidRPr="00161B6C">
        <w:rPr>
          <w:rFonts w:ascii="Times New Roman" w:hAnsi="Times New Roman" w:cs="Times New Roman"/>
          <w:color w:val="000000" w:themeColor="text1"/>
          <w:sz w:val="24"/>
          <w:szCs w:val="20"/>
          <w:shd w:val="clear" w:color="auto" w:fill="FFFFFF"/>
        </w:rPr>
        <w:lastRenderedPageBreak/>
        <w:t xml:space="preserve">were to evaluate Bangladesh's level of understanding of the concept of school banking, roles, barriers, acceptance of customers and potential prospects. To attain the targets, data were collected from both primary and secondary sources. A systematic questionnaire for bankers, depositors and non-depositors was used to collect the primary data. </w:t>
      </w:r>
      <w:r w:rsidR="00B917C9" w:rsidRPr="00161B6C">
        <w:rPr>
          <w:rFonts w:ascii="Times New Roman" w:hAnsi="Times New Roman" w:cs="Times New Roman"/>
          <w:color w:val="000000" w:themeColor="text1"/>
          <w:sz w:val="24"/>
          <w:szCs w:val="24"/>
        </w:rPr>
        <w:t>From published journals, directories and newspapers, secondary data were also obtained. The collected data was analyzed with the assistance of tabular analysis, graphical presentation, percentage and pattern of account opening. Most of the students were unaware of the school's banking activities and the benefits and were unable to open an account.</w:t>
      </w:r>
      <w:r w:rsidR="006D7D13" w:rsidRPr="00161B6C">
        <w:rPr>
          <w:color w:val="000000" w:themeColor="text1"/>
        </w:rPr>
        <w:t xml:space="preserve"> </w:t>
      </w:r>
      <w:r w:rsidR="009257A3" w:rsidRPr="00161B6C">
        <w:rPr>
          <w:rFonts w:ascii="Times New Roman" w:hAnsi="Times New Roman" w:cs="Times New Roman"/>
          <w:color w:val="000000" w:themeColor="text1"/>
          <w:sz w:val="24"/>
          <w:szCs w:val="24"/>
        </w:rPr>
        <w:t xml:space="preserve">Most of the guardian </w:t>
      </w:r>
      <w:r w:rsidR="00B917C9" w:rsidRPr="00161B6C">
        <w:rPr>
          <w:rFonts w:ascii="Times New Roman" w:hAnsi="Times New Roman" w:cs="Times New Roman"/>
          <w:color w:val="000000" w:themeColor="text1"/>
          <w:sz w:val="24"/>
          <w:szCs w:val="24"/>
        </w:rPr>
        <w:t xml:space="preserve">also </w:t>
      </w:r>
      <w:r w:rsidR="009257A3" w:rsidRPr="00161B6C">
        <w:rPr>
          <w:rFonts w:ascii="Times New Roman" w:hAnsi="Times New Roman" w:cs="Times New Roman"/>
          <w:color w:val="000000" w:themeColor="text1"/>
          <w:sz w:val="24"/>
          <w:szCs w:val="24"/>
        </w:rPr>
        <w:t xml:space="preserve">were unaware of school banking and benefits </w:t>
      </w:r>
      <w:r w:rsidR="007F7D18" w:rsidRPr="00161B6C">
        <w:rPr>
          <w:rFonts w:ascii="Times New Roman" w:hAnsi="Times New Roman" w:cs="Times New Roman"/>
          <w:color w:val="000000" w:themeColor="text1"/>
          <w:sz w:val="24"/>
          <w:szCs w:val="24"/>
        </w:rPr>
        <w:t xml:space="preserve">and reluctant to open account. </w:t>
      </w:r>
      <w:r w:rsidR="009257A3" w:rsidRPr="00161B6C">
        <w:rPr>
          <w:rFonts w:ascii="Times New Roman" w:hAnsi="Times New Roman" w:cs="Times New Roman"/>
          <w:color w:val="000000" w:themeColor="text1"/>
          <w:sz w:val="24"/>
          <w:szCs w:val="24"/>
        </w:rPr>
        <w:t xml:space="preserve"> </w:t>
      </w:r>
    </w:p>
    <w:p w:rsidR="006D7D13" w:rsidRPr="00161B6C" w:rsidRDefault="00CC383E" w:rsidP="00422D2B">
      <w:pPr>
        <w:spacing w:after="0" w:line="240" w:lineRule="auto"/>
        <w:jc w:val="both"/>
        <w:rPr>
          <w:rFonts w:ascii="Times New Roman" w:hAnsi="Times New Roman" w:cs="Times New Roman"/>
          <w:color w:val="000000" w:themeColor="text1"/>
          <w:sz w:val="24"/>
        </w:rPr>
      </w:pPr>
      <w:r w:rsidRPr="00161B6C">
        <w:rPr>
          <w:rFonts w:ascii="Times New Roman" w:hAnsi="Times New Roman" w:cs="Times New Roman"/>
          <w:color w:val="000000" w:themeColor="text1"/>
          <w:sz w:val="24"/>
        </w:rPr>
        <w:t xml:space="preserve">Mondol, Khan and Hossain (2015) conducted a study titled School Banking: A New Phenomenon of Banking Operation in Bangladesh. </w:t>
      </w:r>
      <w:r w:rsidR="00925611" w:rsidRPr="00161B6C">
        <w:rPr>
          <w:rFonts w:ascii="Times New Roman" w:hAnsi="Times New Roman" w:cs="Times New Roman"/>
          <w:color w:val="000000" w:themeColor="text1"/>
          <w:sz w:val="24"/>
        </w:rPr>
        <w:t xml:space="preserve">The goal of the research was to examine school banking practices in Bangladesh. The data from various </w:t>
      </w:r>
      <w:r w:rsidR="00481231" w:rsidRPr="00161B6C">
        <w:rPr>
          <w:rFonts w:ascii="Times New Roman" w:hAnsi="Times New Roman" w:cs="Times New Roman"/>
          <w:color w:val="000000" w:themeColor="text1"/>
          <w:sz w:val="24"/>
        </w:rPr>
        <w:t xml:space="preserve">secondary </w:t>
      </w:r>
      <w:r w:rsidR="00925611" w:rsidRPr="00161B6C">
        <w:rPr>
          <w:rFonts w:ascii="Times New Roman" w:hAnsi="Times New Roman" w:cs="Times New Roman"/>
          <w:color w:val="000000" w:themeColor="text1"/>
          <w:sz w:val="24"/>
        </w:rPr>
        <w:t xml:space="preserve">sources accumulated by them </w:t>
      </w:r>
      <w:r w:rsidR="00481231" w:rsidRPr="00161B6C">
        <w:rPr>
          <w:rFonts w:ascii="Times New Roman" w:hAnsi="Times New Roman" w:cs="Times New Roman"/>
          <w:color w:val="000000" w:themeColor="text1"/>
          <w:sz w:val="24"/>
        </w:rPr>
        <w:t>were</w:t>
      </w:r>
      <w:r w:rsidR="00925611" w:rsidRPr="00161B6C">
        <w:rPr>
          <w:rFonts w:ascii="Times New Roman" w:hAnsi="Times New Roman" w:cs="Times New Roman"/>
          <w:color w:val="000000" w:themeColor="text1"/>
          <w:sz w:val="24"/>
        </w:rPr>
        <w:t xml:space="preserve"> used to achieve the object</w:t>
      </w:r>
      <w:r w:rsidR="00481231" w:rsidRPr="00161B6C">
        <w:rPr>
          <w:rFonts w:ascii="Times New Roman" w:hAnsi="Times New Roman" w:cs="Times New Roman"/>
          <w:color w:val="000000" w:themeColor="text1"/>
          <w:sz w:val="24"/>
        </w:rPr>
        <w:t>ives</w:t>
      </w:r>
      <w:r w:rsidR="00925611" w:rsidRPr="00161B6C">
        <w:rPr>
          <w:rFonts w:ascii="Times New Roman" w:hAnsi="Times New Roman" w:cs="Times New Roman"/>
          <w:color w:val="000000" w:themeColor="text1"/>
          <w:sz w:val="24"/>
        </w:rPr>
        <w:t xml:space="preserve">. To accomplish the objectives, </w:t>
      </w:r>
      <w:r w:rsidR="00481231" w:rsidRPr="00161B6C">
        <w:rPr>
          <w:rFonts w:ascii="Times New Roman" w:hAnsi="Times New Roman" w:cs="Times New Roman"/>
          <w:color w:val="000000" w:themeColor="text1"/>
          <w:sz w:val="24"/>
        </w:rPr>
        <w:t>they applied content analysis b</w:t>
      </w:r>
      <w:r w:rsidR="00925611" w:rsidRPr="00161B6C">
        <w:rPr>
          <w:rFonts w:ascii="Times New Roman" w:hAnsi="Times New Roman" w:cs="Times New Roman"/>
          <w:color w:val="000000" w:themeColor="text1"/>
          <w:sz w:val="24"/>
        </w:rPr>
        <w:t xml:space="preserve">y tabular presentation, graphical presentation, and percentage and pattern of the relevant </w:t>
      </w:r>
      <w:r w:rsidR="00481231" w:rsidRPr="00161B6C">
        <w:rPr>
          <w:rFonts w:ascii="Times New Roman" w:hAnsi="Times New Roman" w:cs="Times New Roman"/>
          <w:color w:val="000000" w:themeColor="text1"/>
          <w:sz w:val="24"/>
        </w:rPr>
        <w:t>variables. They</w:t>
      </w:r>
      <w:r w:rsidR="00925611" w:rsidRPr="00161B6C">
        <w:rPr>
          <w:rFonts w:ascii="Times New Roman" w:hAnsi="Times New Roman" w:cs="Times New Roman"/>
          <w:color w:val="000000" w:themeColor="text1"/>
          <w:sz w:val="24"/>
        </w:rPr>
        <w:t xml:space="preserve"> discovered that school banking was gaining popularity at an early age and showed a rising trend in terms of account opening and account deposits.</w:t>
      </w:r>
    </w:p>
    <w:p w:rsidR="005737D5" w:rsidRPr="00161B6C" w:rsidRDefault="009D1D6C" w:rsidP="00B71BCE">
      <w:pPr>
        <w:autoSpaceDE w:val="0"/>
        <w:autoSpaceDN w:val="0"/>
        <w:adjustRightInd w:val="0"/>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A report on contemporary financial services was published in Bangladesh by Sarker &amp; Foysal (2018): a case study of school banking. The purpose of the study was to assess the efficacy of Bangladeshi school banking. Data from primary and secondary sources was gathered to achieve the target. Using a formal questionnaire, primary data were obtained. From published journals, websites and newspapers, secondary data were also obtained. The collected data was analyzed using tabular analysis, graphical presentation, percentage, deposit trend, and account opening</w:t>
      </w:r>
      <w:r w:rsidR="005B4C20" w:rsidRPr="00161B6C">
        <w:rPr>
          <w:rFonts w:ascii="Times New Roman" w:hAnsi="Times New Roman" w:cs="Times New Roman"/>
          <w:color w:val="000000" w:themeColor="text1"/>
          <w:sz w:val="24"/>
          <w:szCs w:val="24"/>
        </w:rPr>
        <w:t>.</w:t>
      </w:r>
      <w:r w:rsidR="00255DBF" w:rsidRPr="00161B6C">
        <w:rPr>
          <w:color w:val="000000" w:themeColor="text1"/>
        </w:rPr>
        <w:t xml:space="preserve"> </w:t>
      </w:r>
      <w:r w:rsidRPr="00161B6C">
        <w:rPr>
          <w:rFonts w:ascii="Times New Roman" w:hAnsi="Times New Roman" w:cs="Times New Roman"/>
          <w:color w:val="000000" w:themeColor="text1"/>
          <w:sz w:val="24"/>
          <w:szCs w:val="24"/>
        </w:rPr>
        <w:t>The trend in school banking has increased rapidly during the time since its inception because of lucrative opportunities and benefits. Both the number of accounts and the amount of deposits grew during the study period.</w:t>
      </w:r>
    </w:p>
    <w:p w:rsidR="00C83256" w:rsidRPr="00161B6C" w:rsidRDefault="00727A91" w:rsidP="008B23B7">
      <w:pPr>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shd w:val="clear" w:color="auto" w:fill="FFFFFF"/>
        </w:rPr>
        <w:t xml:space="preserve">        </w:t>
      </w:r>
      <w:r w:rsidR="00360725" w:rsidRPr="00161B6C">
        <w:rPr>
          <w:rFonts w:ascii="Times New Roman" w:hAnsi="Times New Roman" w:cs="Times New Roman"/>
          <w:color w:val="000000" w:themeColor="text1"/>
          <w:sz w:val="24"/>
          <w:szCs w:val="24"/>
          <w:shd w:val="clear" w:color="auto" w:fill="FFFFFF"/>
        </w:rPr>
        <w:t>Mahmud (2018) has been completed a</w:t>
      </w:r>
      <w:r w:rsidR="00E710DF" w:rsidRPr="00161B6C">
        <w:rPr>
          <w:rFonts w:ascii="Times New Roman" w:hAnsi="Times New Roman" w:cs="Times New Roman"/>
          <w:color w:val="000000" w:themeColor="text1"/>
          <w:sz w:val="24"/>
          <w:szCs w:val="24"/>
          <w:shd w:val="clear" w:color="auto" w:fill="FFFFFF"/>
        </w:rPr>
        <w:t xml:space="preserve"> project on the Financial Literacy Scope through School Banking: The Bangladesh Case. The primary objective of the project was to identify the scope of financial literacy from a possible point of view as part of financial inclusion through school banking. He obtained data from both the main and secondary sources in order to achieve the goal. The primary information was obtained from a questionnaire. Accumulated secondary data from the annual report of the Bangladesh bank, quarterly report, financial inclusion department report, official records and websites. Using SPSS-22, he analyzed the data. He discovered that financial literacy and school banking had a relationship</w:t>
      </w:r>
      <w:r w:rsidR="00E710DF" w:rsidRPr="00161B6C">
        <w:rPr>
          <w:rFonts w:ascii="Times New Roman" w:hAnsi="Times New Roman" w:cs="Times New Roman"/>
          <w:color w:val="000000" w:themeColor="text1"/>
          <w:sz w:val="24"/>
          <w:szCs w:val="24"/>
        </w:rPr>
        <w:t xml:space="preserve">. By giving them some special benefits, school banking attracts school-going children and makes sense of the importance of saving, money management, banking activities that are involved in inclusive childhood </w:t>
      </w:r>
      <w:r w:rsidR="008B23B7" w:rsidRPr="00161B6C">
        <w:rPr>
          <w:rFonts w:ascii="Times New Roman" w:hAnsi="Times New Roman" w:cs="Times New Roman"/>
          <w:color w:val="000000" w:themeColor="text1"/>
          <w:sz w:val="24"/>
          <w:szCs w:val="24"/>
        </w:rPr>
        <w:t>finance, which does have a significant impact on the economy.</w:t>
      </w:r>
    </w:p>
    <w:p w:rsidR="00E31CFB" w:rsidRPr="00161B6C" w:rsidRDefault="00D26156" w:rsidP="008B23B7">
      <w:pPr>
        <w:spacing w:after="0" w:line="240" w:lineRule="auto"/>
        <w:jc w:val="both"/>
        <w:rPr>
          <w:rFonts w:ascii="Times New Roman" w:hAnsi="Times New Roman" w:cs="Times New Roman"/>
          <w:b/>
          <w:color w:val="000000" w:themeColor="text1"/>
          <w:sz w:val="24"/>
          <w:szCs w:val="24"/>
        </w:rPr>
      </w:pPr>
      <w:r w:rsidRPr="00161B6C">
        <w:rPr>
          <w:rFonts w:ascii="Times New Roman" w:hAnsi="Times New Roman" w:cs="Times New Roman"/>
          <w:b/>
          <w:color w:val="000000" w:themeColor="text1"/>
          <w:sz w:val="24"/>
          <w:szCs w:val="24"/>
        </w:rPr>
        <w:t xml:space="preserve">      </w:t>
      </w:r>
      <w:r w:rsidR="008B23B7" w:rsidRPr="00161B6C">
        <w:rPr>
          <w:rFonts w:ascii="Times New Roman" w:hAnsi="Times New Roman" w:cs="Times New Roman"/>
          <w:b/>
          <w:color w:val="000000" w:themeColor="text1"/>
          <w:sz w:val="24"/>
          <w:szCs w:val="24"/>
        </w:rPr>
        <w:t xml:space="preserve">  2.1 </w:t>
      </w:r>
      <w:r w:rsidR="00C83256" w:rsidRPr="00161B6C">
        <w:rPr>
          <w:rFonts w:ascii="Times New Roman" w:hAnsi="Times New Roman" w:cs="Times New Roman"/>
          <w:b/>
          <w:color w:val="000000" w:themeColor="text1"/>
          <w:sz w:val="24"/>
          <w:szCs w:val="24"/>
        </w:rPr>
        <w:t>The Research Goals</w:t>
      </w:r>
    </w:p>
    <w:p w:rsidR="00C83256" w:rsidRPr="00161B6C" w:rsidRDefault="00F362E2" w:rsidP="00C83256">
      <w:pPr>
        <w:spacing w:after="0" w:line="240" w:lineRule="auto"/>
        <w:rPr>
          <w:rFonts w:ascii="Calibri" w:hAnsi="Calibri" w:cs="Calibri"/>
          <w:color w:val="000000" w:themeColor="text1"/>
          <w:sz w:val="24"/>
          <w:szCs w:val="24"/>
        </w:rPr>
      </w:pPr>
      <w:r w:rsidRPr="00161B6C">
        <w:rPr>
          <w:rFonts w:ascii="Times New Roman" w:hAnsi="Times New Roman" w:cs="Times New Roman"/>
          <w:color w:val="000000" w:themeColor="text1"/>
          <w:sz w:val="24"/>
          <w:szCs w:val="24"/>
        </w:rPr>
        <w:t xml:space="preserve">  </w:t>
      </w:r>
      <w:r w:rsidR="00C83256" w:rsidRPr="00161B6C">
        <w:rPr>
          <w:rFonts w:ascii="Times New Roman" w:hAnsi="Times New Roman" w:cs="Times New Roman"/>
          <w:color w:val="000000" w:themeColor="text1"/>
          <w:sz w:val="24"/>
          <w:szCs w:val="24"/>
        </w:rPr>
        <w:t>The main objective of the research is to examine the current situation, pattern of school banking and the nexus with profitability. The objectives are</w:t>
      </w:r>
      <w:r w:rsidR="00C83256" w:rsidRPr="00161B6C">
        <w:rPr>
          <w:rFonts w:ascii="Calibri" w:hAnsi="Calibri" w:cs="Calibri"/>
          <w:color w:val="000000" w:themeColor="text1"/>
          <w:sz w:val="24"/>
          <w:szCs w:val="24"/>
        </w:rPr>
        <w:t>:</w:t>
      </w:r>
    </w:p>
    <w:p w:rsidR="00C83256" w:rsidRPr="00161B6C" w:rsidRDefault="00C83256" w:rsidP="00C83256">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Analyze the present state and pattern of school banking.</w:t>
      </w:r>
    </w:p>
    <w:p w:rsidR="00C83256" w:rsidRPr="00161B6C" w:rsidRDefault="00C83256" w:rsidP="00C83256">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Identify the relationship between school banking and Bangladeshi banks' profitability.</w:t>
      </w:r>
    </w:p>
    <w:p w:rsidR="00C83256" w:rsidRPr="00161B6C" w:rsidRDefault="00C83256" w:rsidP="00C83256">
      <w:pPr>
        <w:spacing w:after="0" w:line="240" w:lineRule="auto"/>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 xml:space="preserve">    </w:t>
      </w:r>
    </w:p>
    <w:p w:rsidR="00E31CFB" w:rsidRPr="004F7361" w:rsidRDefault="00C83256" w:rsidP="00C83256">
      <w:pPr>
        <w:spacing w:after="0" w:line="240" w:lineRule="auto"/>
        <w:rPr>
          <w:rFonts w:ascii="Times New Roman" w:hAnsi="Times New Roman" w:cs="Times New Roman"/>
          <w:b/>
          <w:color w:val="000000" w:themeColor="text1"/>
          <w:sz w:val="24"/>
          <w:szCs w:val="24"/>
        </w:rPr>
      </w:pPr>
      <w:r w:rsidRPr="004F7361">
        <w:rPr>
          <w:rFonts w:ascii="Times New Roman" w:hAnsi="Times New Roman" w:cs="Times New Roman"/>
          <w:b/>
          <w:color w:val="000000" w:themeColor="text1"/>
          <w:sz w:val="24"/>
          <w:szCs w:val="24"/>
        </w:rPr>
        <w:t xml:space="preserve">   </w:t>
      </w:r>
      <w:r w:rsidR="00D26156" w:rsidRPr="004F7361">
        <w:rPr>
          <w:rFonts w:ascii="Times New Roman" w:hAnsi="Times New Roman" w:cs="Times New Roman"/>
          <w:b/>
          <w:color w:val="000000" w:themeColor="text1"/>
          <w:sz w:val="24"/>
          <w:szCs w:val="24"/>
        </w:rPr>
        <w:t xml:space="preserve">       </w:t>
      </w:r>
      <w:r w:rsidRPr="004F7361">
        <w:rPr>
          <w:rFonts w:ascii="Times New Roman" w:hAnsi="Times New Roman" w:cs="Times New Roman"/>
          <w:b/>
          <w:color w:val="000000" w:themeColor="text1"/>
          <w:sz w:val="24"/>
          <w:szCs w:val="24"/>
        </w:rPr>
        <w:t xml:space="preserve">2.2 </w:t>
      </w:r>
      <w:r w:rsidR="00E31CFB" w:rsidRPr="004F7361">
        <w:rPr>
          <w:rFonts w:ascii="Times New Roman" w:hAnsi="Times New Roman" w:cs="Times New Roman"/>
          <w:b/>
          <w:color w:val="000000" w:themeColor="text1"/>
          <w:sz w:val="24"/>
          <w:szCs w:val="24"/>
        </w:rPr>
        <w:t xml:space="preserve">Hypothesis of the study </w:t>
      </w:r>
    </w:p>
    <w:p w:rsidR="00E31CFB" w:rsidRPr="00161B6C" w:rsidRDefault="00E31CFB" w:rsidP="00067537">
      <w:pPr>
        <w:spacing w:after="0" w:line="240" w:lineRule="auto"/>
        <w:rPr>
          <w:rFonts w:ascii="Times New Roman" w:hAnsi="Times New Roman" w:cs="Times New Roman"/>
          <w:color w:val="000000" w:themeColor="text1"/>
          <w:sz w:val="24"/>
        </w:rPr>
      </w:pPr>
      <w:r w:rsidRPr="00161B6C">
        <w:rPr>
          <w:rFonts w:ascii="Times New Roman" w:hAnsi="Times New Roman" w:cs="Times New Roman"/>
          <w:color w:val="000000" w:themeColor="text1"/>
          <w:sz w:val="24"/>
        </w:rPr>
        <w:t>Hypothesis the current research are drawn on the basis of previous studies and specific objectives are as follows</w:t>
      </w:r>
    </w:p>
    <w:p w:rsidR="00821FD5" w:rsidRPr="00161B6C" w:rsidRDefault="00E31CFB" w:rsidP="00067537">
      <w:pPr>
        <w:pStyle w:val="ListParagraph"/>
        <w:numPr>
          <w:ilvl w:val="0"/>
          <w:numId w:val="2"/>
        </w:numPr>
        <w:spacing w:after="0" w:line="240" w:lineRule="auto"/>
        <w:rPr>
          <w:rFonts w:ascii="Times New Roman" w:hAnsi="Times New Roman" w:cs="Times New Roman"/>
          <w:color w:val="000000" w:themeColor="text1"/>
          <w:sz w:val="24"/>
        </w:rPr>
      </w:pPr>
      <w:r w:rsidRPr="00161B6C">
        <w:rPr>
          <w:rFonts w:ascii="Times New Roman" w:hAnsi="Times New Roman" w:cs="Times New Roman"/>
          <w:color w:val="000000" w:themeColor="text1"/>
          <w:sz w:val="24"/>
        </w:rPr>
        <w:t>H</w:t>
      </w:r>
      <w:r w:rsidRPr="00161B6C">
        <w:rPr>
          <w:rFonts w:ascii="Times New Roman" w:hAnsi="Times New Roman" w:cs="Times New Roman"/>
          <w:color w:val="000000" w:themeColor="text1"/>
          <w:sz w:val="24"/>
          <w:vertAlign w:val="subscript"/>
        </w:rPr>
        <w:t>0</w:t>
      </w:r>
      <w:r w:rsidRPr="00161B6C">
        <w:rPr>
          <w:rFonts w:ascii="Times New Roman" w:hAnsi="Times New Roman" w:cs="Times New Roman"/>
          <w:color w:val="000000" w:themeColor="text1"/>
          <w:sz w:val="24"/>
        </w:rPr>
        <w:t xml:space="preserve"> : There is no relationship </w:t>
      </w:r>
      <w:r w:rsidR="006D071F" w:rsidRPr="00161B6C">
        <w:rPr>
          <w:rFonts w:ascii="Times New Roman" w:hAnsi="Times New Roman" w:cs="Times New Roman"/>
          <w:color w:val="000000" w:themeColor="text1"/>
          <w:sz w:val="24"/>
        </w:rPr>
        <w:t>between</w:t>
      </w:r>
      <w:r w:rsidRPr="00161B6C">
        <w:rPr>
          <w:rFonts w:ascii="Times New Roman" w:hAnsi="Times New Roman" w:cs="Times New Roman"/>
          <w:color w:val="000000" w:themeColor="text1"/>
          <w:sz w:val="24"/>
        </w:rPr>
        <w:t xml:space="preserve"> </w:t>
      </w:r>
      <w:r w:rsidR="00CD4F1E" w:rsidRPr="00161B6C">
        <w:rPr>
          <w:rFonts w:ascii="Times New Roman" w:hAnsi="Times New Roman" w:cs="Times New Roman"/>
          <w:color w:val="000000" w:themeColor="text1"/>
          <w:sz w:val="24"/>
        </w:rPr>
        <w:t>school banking</w:t>
      </w:r>
      <w:r w:rsidRPr="00161B6C">
        <w:rPr>
          <w:rFonts w:ascii="Times New Roman" w:hAnsi="Times New Roman" w:cs="Times New Roman"/>
          <w:color w:val="000000" w:themeColor="text1"/>
          <w:sz w:val="24"/>
        </w:rPr>
        <w:t xml:space="preserve"> and profitability</w:t>
      </w:r>
    </w:p>
    <w:p w:rsidR="00E31CFB" w:rsidRPr="00161B6C" w:rsidRDefault="00821FD5" w:rsidP="00067537">
      <w:pPr>
        <w:pStyle w:val="ListParagraph"/>
        <w:numPr>
          <w:ilvl w:val="0"/>
          <w:numId w:val="2"/>
        </w:numPr>
        <w:spacing w:after="0" w:line="240" w:lineRule="auto"/>
        <w:rPr>
          <w:rFonts w:ascii="Times New Roman" w:hAnsi="Times New Roman" w:cs="Times New Roman"/>
          <w:color w:val="000000" w:themeColor="text1"/>
          <w:sz w:val="24"/>
        </w:rPr>
      </w:pPr>
      <w:r w:rsidRPr="00161B6C">
        <w:rPr>
          <w:rFonts w:ascii="Times New Roman" w:hAnsi="Times New Roman" w:cs="Times New Roman"/>
          <w:color w:val="000000" w:themeColor="text1"/>
          <w:sz w:val="24"/>
        </w:rPr>
        <w:lastRenderedPageBreak/>
        <w:t>H</w:t>
      </w:r>
      <w:r w:rsidRPr="00161B6C">
        <w:rPr>
          <w:rFonts w:ascii="Times New Roman" w:hAnsi="Times New Roman" w:cs="Times New Roman"/>
          <w:color w:val="000000" w:themeColor="text1"/>
          <w:sz w:val="24"/>
          <w:vertAlign w:val="subscript"/>
        </w:rPr>
        <w:t>a:</w:t>
      </w:r>
      <w:r w:rsidR="00E31CFB" w:rsidRPr="00161B6C">
        <w:rPr>
          <w:rFonts w:ascii="Times New Roman" w:hAnsi="Times New Roman" w:cs="Times New Roman"/>
          <w:color w:val="000000" w:themeColor="text1"/>
          <w:sz w:val="24"/>
        </w:rPr>
        <w:t xml:space="preserve"> There is </w:t>
      </w:r>
      <w:r w:rsidRPr="00161B6C">
        <w:rPr>
          <w:rFonts w:ascii="Times New Roman" w:hAnsi="Times New Roman" w:cs="Times New Roman"/>
          <w:color w:val="000000" w:themeColor="text1"/>
          <w:sz w:val="24"/>
        </w:rPr>
        <w:t>a relationship between</w:t>
      </w:r>
      <w:r w:rsidR="00E31CFB" w:rsidRPr="00161B6C">
        <w:rPr>
          <w:rFonts w:ascii="Times New Roman" w:hAnsi="Times New Roman" w:cs="Times New Roman"/>
          <w:color w:val="000000" w:themeColor="text1"/>
          <w:sz w:val="24"/>
        </w:rPr>
        <w:t xml:space="preserve"> </w:t>
      </w:r>
      <w:r w:rsidR="00CD4F1E" w:rsidRPr="00161B6C">
        <w:rPr>
          <w:rFonts w:ascii="Times New Roman" w:hAnsi="Times New Roman" w:cs="Times New Roman"/>
          <w:color w:val="000000" w:themeColor="text1"/>
          <w:sz w:val="24"/>
        </w:rPr>
        <w:t xml:space="preserve">school banking </w:t>
      </w:r>
      <w:r w:rsidR="00E31CFB" w:rsidRPr="00161B6C">
        <w:rPr>
          <w:rFonts w:ascii="Times New Roman" w:hAnsi="Times New Roman" w:cs="Times New Roman"/>
          <w:color w:val="000000" w:themeColor="text1"/>
          <w:sz w:val="24"/>
        </w:rPr>
        <w:t>and profitability</w:t>
      </w:r>
    </w:p>
    <w:p w:rsidR="00821FD5" w:rsidRPr="00161B6C" w:rsidRDefault="00821FD5" w:rsidP="00067537">
      <w:pPr>
        <w:spacing w:after="0" w:line="240" w:lineRule="auto"/>
        <w:ind w:left="360"/>
        <w:rPr>
          <w:rFonts w:ascii="Times New Roman" w:hAnsi="Times New Roman" w:cs="Times New Roman"/>
          <w:color w:val="000000" w:themeColor="text1"/>
          <w:sz w:val="24"/>
        </w:rPr>
      </w:pPr>
    </w:p>
    <w:p w:rsidR="008D0310" w:rsidRPr="00161B6C" w:rsidRDefault="00D26156" w:rsidP="00D26156">
      <w:pPr>
        <w:spacing w:after="0" w:line="240" w:lineRule="auto"/>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        3. </w:t>
      </w:r>
      <w:r w:rsidR="008D0310" w:rsidRPr="00161B6C">
        <w:rPr>
          <w:rFonts w:ascii="Times New Roman" w:hAnsi="Times New Roman" w:cs="Times New Roman"/>
          <w:b/>
          <w:color w:val="000000" w:themeColor="text1"/>
          <w:sz w:val="24"/>
        </w:rPr>
        <w:t>Methodology</w:t>
      </w:r>
    </w:p>
    <w:p w:rsidR="00084B59" w:rsidRPr="00161B6C" w:rsidRDefault="006D5C6F" w:rsidP="00067537">
      <w:pPr>
        <w:spacing w:after="0" w:line="240" w:lineRule="auto"/>
        <w:jc w:val="both"/>
        <w:rPr>
          <w:rFonts w:ascii="Times New Roman" w:eastAsia="Calibri" w:hAnsi="Times New Roman" w:cs="Times New Roman"/>
          <w:color w:val="000000" w:themeColor="text1"/>
          <w:sz w:val="24"/>
          <w:szCs w:val="24"/>
        </w:rPr>
      </w:pPr>
      <w:r w:rsidRPr="00161B6C">
        <w:rPr>
          <w:rFonts w:ascii="Times New Roman" w:hAnsi="Times New Roman" w:cs="Times New Roman"/>
          <w:color w:val="000000" w:themeColor="text1"/>
          <w:sz w:val="24"/>
          <w:szCs w:val="24"/>
        </w:rPr>
        <w:t>The objective</w:t>
      </w:r>
      <w:r w:rsidR="006D071F" w:rsidRPr="00161B6C">
        <w:rPr>
          <w:rFonts w:ascii="Times New Roman" w:hAnsi="Times New Roman" w:cs="Times New Roman"/>
          <w:color w:val="000000" w:themeColor="text1"/>
          <w:sz w:val="24"/>
          <w:szCs w:val="24"/>
        </w:rPr>
        <w:t>s</w:t>
      </w:r>
      <w:r w:rsidRPr="00161B6C">
        <w:rPr>
          <w:rFonts w:ascii="Times New Roman" w:hAnsi="Times New Roman" w:cs="Times New Roman"/>
          <w:color w:val="000000" w:themeColor="text1"/>
          <w:sz w:val="24"/>
          <w:szCs w:val="24"/>
        </w:rPr>
        <w:t xml:space="preserve"> of research </w:t>
      </w:r>
      <w:r w:rsidR="006D071F" w:rsidRPr="00161B6C">
        <w:rPr>
          <w:rFonts w:ascii="Times New Roman" w:hAnsi="Times New Roman" w:cs="Times New Roman"/>
          <w:color w:val="000000" w:themeColor="text1"/>
          <w:sz w:val="24"/>
          <w:szCs w:val="24"/>
        </w:rPr>
        <w:t>are</w:t>
      </w:r>
      <w:r w:rsidRPr="00161B6C">
        <w:rPr>
          <w:rFonts w:ascii="Times New Roman" w:hAnsi="Times New Roman" w:cs="Times New Roman"/>
          <w:color w:val="000000" w:themeColor="text1"/>
          <w:sz w:val="24"/>
          <w:szCs w:val="24"/>
        </w:rPr>
        <w:t xml:space="preserve"> to analyze current status of school banking, its trend and relationship with profitability. To attain the objectives the data of school banking of all the commercial banks have been accumulated for the period of 10 years from 2011 to 2020. The secondary data are collected from annual reports of all the commercial banks, </w:t>
      </w:r>
      <w:r w:rsidR="00783F0D" w:rsidRPr="00161B6C">
        <w:rPr>
          <w:rFonts w:ascii="Times New Roman" w:hAnsi="Times New Roman" w:cs="Times New Roman"/>
          <w:color w:val="000000" w:themeColor="text1"/>
          <w:sz w:val="24"/>
          <w:szCs w:val="24"/>
        </w:rPr>
        <w:t>Bangladesh bank quarterly financial inclusion report, quarterly report, half yearly report, annual report, newspapers, websites</w:t>
      </w:r>
      <w:r w:rsidR="006D071F" w:rsidRPr="00161B6C">
        <w:rPr>
          <w:rFonts w:ascii="Times New Roman" w:hAnsi="Times New Roman" w:cs="Times New Roman"/>
          <w:color w:val="000000" w:themeColor="text1"/>
          <w:sz w:val="24"/>
          <w:szCs w:val="24"/>
        </w:rPr>
        <w:t>,</w:t>
      </w:r>
      <w:r w:rsidR="00783F0D" w:rsidRPr="00161B6C">
        <w:rPr>
          <w:rFonts w:ascii="Times New Roman" w:hAnsi="Times New Roman" w:cs="Times New Roman"/>
          <w:color w:val="000000" w:themeColor="text1"/>
          <w:sz w:val="24"/>
          <w:szCs w:val="24"/>
        </w:rPr>
        <w:t xml:space="preserve"> </w:t>
      </w:r>
      <w:r w:rsidRPr="00161B6C">
        <w:rPr>
          <w:rFonts w:ascii="Times New Roman" w:hAnsi="Times New Roman" w:cs="Times New Roman"/>
          <w:color w:val="000000" w:themeColor="text1"/>
          <w:sz w:val="24"/>
          <w:szCs w:val="24"/>
        </w:rPr>
        <w:t>articles and research papers</w:t>
      </w:r>
      <w:r w:rsidR="00783F0D" w:rsidRPr="00161B6C">
        <w:rPr>
          <w:rFonts w:ascii="Times New Roman" w:hAnsi="Times New Roman" w:cs="Times New Roman"/>
          <w:color w:val="000000" w:themeColor="text1"/>
          <w:sz w:val="24"/>
          <w:szCs w:val="24"/>
        </w:rPr>
        <w:t xml:space="preserve"> etc. </w:t>
      </w:r>
      <w:r w:rsidR="007160FA" w:rsidRPr="00161B6C">
        <w:rPr>
          <w:rFonts w:ascii="Times New Roman" w:hAnsi="Times New Roman" w:cs="Times New Roman"/>
          <w:color w:val="000000" w:themeColor="text1"/>
          <w:sz w:val="24"/>
          <w:szCs w:val="24"/>
        </w:rPr>
        <w:t xml:space="preserve">The first objective of this study is to be achieved through </w:t>
      </w:r>
      <w:r w:rsidR="00783F0D" w:rsidRPr="00161B6C">
        <w:rPr>
          <w:rFonts w:ascii="Times New Roman" w:hAnsi="Times New Roman" w:cs="Times New Roman"/>
          <w:color w:val="000000" w:themeColor="text1"/>
          <w:sz w:val="24"/>
          <w:szCs w:val="24"/>
        </w:rPr>
        <w:t xml:space="preserve">percentage, tabular </w:t>
      </w:r>
      <w:r w:rsidR="006D071F" w:rsidRPr="00161B6C">
        <w:rPr>
          <w:rFonts w:ascii="Times New Roman" w:hAnsi="Times New Roman" w:cs="Times New Roman"/>
          <w:color w:val="000000" w:themeColor="text1"/>
          <w:sz w:val="24"/>
          <w:szCs w:val="24"/>
        </w:rPr>
        <w:t>presentation, graphical analysis</w:t>
      </w:r>
      <w:r w:rsidR="00783F0D" w:rsidRPr="00161B6C">
        <w:rPr>
          <w:rFonts w:ascii="Times New Roman" w:hAnsi="Times New Roman" w:cs="Times New Roman"/>
          <w:color w:val="000000" w:themeColor="text1"/>
          <w:sz w:val="24"/>
          <w:szCs w:val="24"/>
        </w:rPr>
        <w:t xml:space="preserve"> and discussion. </w:t>
      </w:r>
      <w:r w:rsidR="007160FA" w:rsidRPr="00161B6C">
        <w:rPr>
          <w:rFonts w:ascii="Times New Roman" w:hAnsi="Times New Roman" w:cs="Times New Roman"/>
          <w:color w:val="000000" w:themeColor="text1"/>
          <w:sz w:val="24"/>
          <w:szCs w:val="24"/>
        </w:rPr>
        <w:t xml:space="preserve">The second objective of the study is to be attained by the help </w:t>
      </w:r>
      <w:r w:rsidR="004303D7" w:rsidRPr="00161B6C">
        <w:rPr>
          <w:rFonts w:ascii="Times New Roman" w:eastAsia="Calibri" w:hAnsi="Times New Roman" w:cs="Times New Roman"/>
          <w:color w:val="000000" w:themeColor="text1"/>
          <w:sz w:val="24"/>
          <w:szCs w:val="24"/>
        </w:rPr>
        <w:t>statistical tools correlation and simple</w:t>
      </w:r>
      <w:r w:rsidR="006D071F" w:rsidRPr="00161B6C">
        <w:rPr>
          <w:rFonts w:ascii="Times New Roman" w:eastAsia="Calibri" w:hAnsi="Times New Roman" w:cs="Times New Roman"/>
          <w:color w:val="000000" w:themeColor="text1"/>
          <w:sz w:val="24"/>
          <w:szCs w:val="24"/>
        </w:rPr>
        <w:t xml:space="preserve"> linear</w:t>
      </w:r>
      <w:r w:rsidR="004303D7" w:rsidRPr="00161B6C">
        <w:rPr>
          <w:rFonts w:ascii="Times New Roman" w:eastAsia="Calibri" w:hAnsi="Times New Roman" w:cs="Times New Roman"/>
          <w:color w:val="000000" w:themeColor="text1"/>
          <w:sz w:val="24"/>
          <w:szCs w:val="24"/>
        </w:rPr>
        <w:t xml:space="preserve"> regression. In regression model the return on assets</w:t>
      </w:r>
      <w:r w:rsidR="00BF0F5A" w:rsidRPr="00161B6C">
        <w:rPr>
          <w:rFonts w:ascii="Times New Roman" w:eastAsia="Calibri" w:hAnsi="Times New Roman" w:cs="Times New Roman"/>
          <w:color w:val="000000" w:themeColor="text1"/>
          <w:sz w:val="24"/>
          <w:szCs w:val="24"/>
        </w:rPr>
        <w:t xml:space="preserve"> and return on equity</w:t>
      </w:r>
      <w:r w:rsidR="006D071F" w:rsidRPr="00161B6C">
        <w:rPr>
          <w:rFonts w:ascii="Times New Roman" w:eastAsia="Calibri" w:hAnsi="Times New Roman" w:cs="Times New Roman"/>
          <w:color w:val="000000" w:themeColor="text1"/>
          <w:sz w:val="24"/>
          <w:szCs w:val="24"/>
        </w:rPr>
        <w:t xml:space="preserve"> have</w:t>
      </w:r>
      <w:r w:rsidR="004303D7" w:rsidRPr="00161B6C">
        <w:rPr>
          <w:rFonts w:ascii="Times New Roman" w:eastAsia="Calibri" w:hAnsi="Times New Roman" w:cs="Times New Roman"/>
          <w:color w:val="000000" w:themeColor="text1"/>
          <w:sz w:val="24"/>
          <w:szCs w:val="24"/>
        </w:rPr>
        <w:t xml:space="preserve"> been selected dependent variable and amount of </w:t>
      </w:r>
      <w:r w:rsidR="00672DE1" w:rsidRPr="00161B6C">
        <w:rPr>
          <w:rFonts w:ascii="Times New Roman" w:eastAsia="Calibri" w:hAnsi="Times New Roman" w:cs="Times New Roman"/>
          <w:color w:val="000000" w:themeColor="text1"/>
          <w:sz w:val="24"/>
          <w:szCs w:val="24"/>
        </w:rPr>
        <w:t>deposi</w:t>
      </w:r>
      <w:r w:rsidR="006D071F" w:rsidRPr="00161B6C">
        <w:rPr>
          <w:rFonts w:ascii="Times New Roman" w:eastAsia="Calibri" w:hAnsi="Times New Roman" w:cs="Times New Roman"/>
          <w:color w:val="000000" w:themeColor="text1"/>
          <w:sz w:val="24"/>
          <w:szCs w:val="24"/>
        </w:rPr>
        <w:t xml:space="preserve">t in school banking account </w:t>
      </w:r>
      <w:r w:rsidR="004303D7" w:rsidRPr="00161B6C">
        <w:rPr>
          <w:rFonts w:ascii="Times New Roman" w:eastAsia="Calibri" w:hAnsi="Times New Roman" w:cs="Times New Roman"/>
          <w:color w:val="000000" w:themeColor="text1"/>
          <w:sz w:val="24"/>
          <w:szCs w:val="24"/>
        </w:rPr>
        <w:t>taken as independent variable.</w:t>
      </w:r>
      <w:r w:rsidR="00783F0D" w:rsidRPr="00161B6C">
        <w:rPr>
          <w:rFonts w:ascii="Times New Roman" w:eastAsia="Calibri" w:hAnsi="Times New Roman" w:cs="Times New Roman"/>
          <w:color w:val="000000" w:themeColor="text1"/>
          <w:sz w:val="24"/>
          <w:szCs w:val="24"/>
        </w:rPr>
        <w:t xml:space="preserve"> Return on assets and return equity of banking industry is used as profitability yardstick and amount of deposits in school banking account treated as school banking. </w:t>
      </w:r>
      <w:r w:rsidR="004303D7" w:rsidRPr="00161B6C">
        <w:rPr>
          <w:rFonts w:ascii="Times New Roman" w:eastAsia="Calibri" w:hAnsi="Times New Roman" w:cs="Times New Roman"/>
          <w:color w:val="000000" w:themeColor="text1"/>
          <w:sz w:val="24"/>
          <w:szCs w:val="24"/>
        </w:rPr>
        <w:t>Regression</w:t>
      </w:r>
      <w:r w:rsidR="00783F0D" w:rsidRPr="00161B6C">
        <w:rPr>
          <w:rFonts w:ascii="Times New Roman" w:eastAsia="Calibri" w:hAnsi="Times New Roman" w:cs="Times New Roman"/>
          <w:color w:val="000000" w:themeColor="text1"/>
          <w:sz w:val="24"/>
          <w:szCs w:val="24"/>
        </w:rPr>
        <w:t xml:space="preserve"> and correlation analysis have</w:t>
      </w:r>
      <w:r w:rsidR="004303D7" w:rsidRPr="00161B6C">
        <w:rPr>
          <w:rFonts w:ascii="Times New Roman" w:eastAsia="Calibri" w:hAnsi="Times New Roman" w:cs="Times New Roman"/>
          <w:color w:val="000000" w:themeColor="text1"/>
          <w:sz w:val="24"/>
          <w:szCs w:val="24"/>
        </w:rPr>
        <w:t xml:space="preserve"> been applied to identify </w:t>
      </w:r>
      <w:r w:rsidR="00672DE1" w:rsidRPr="00161B6C">
        <w:rPr>
          <w:rFonts w:ascii="Times New Roman" w:eastAsia="Calibri" w:hAnsi="Times New Roman" w:cs="Times New Roman"/>
          <w:color w:val="000000" w:themeColor="text1"/>
          <w:sz w:val="24"/>
          <w:szCs w:val="24"/>
        </w:rPr>
        <w:t>the relationship between school banking and profitability</w:t>
      </w:r>
      <w:r w:rsidR="00084B59" w:rsidRPr="00161B6C">
        <w:rPr>
          <w:rFonts w:ascii="Times New Roman" w:eastAsia="Calibri" w:hAnsi="Times New Roman" w:cs="Times New Roman"/>
          <w:color w:val="000000" w:themeColor="text1"/>
          <w:sz w:val="24"/>
          <w:szCs w:val="24"/>
        </w:rPr>
        <w:t>.</w:t>
      </w:r>
    </w:p>
    <w:p w:rsidR="00084B59" w:rsidRPr="00161B6C" w:rsidRDefault="00084B59" w:rsidP="00067537">
      <w:pPr>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 xml:space="preserve">  Regression model are</w:t>
      </w:r>
    </w:p>
    <w:p w:rsidR="00084B59" w:rsidRPr="00161B6C" w:rsidRDefault="00893DE0" w:rsidP="00067537">
      <w:pPr>
        <w:spacing w:after="0" w:line="240" w:lineRule="auto"/>
        <w:jc w:val="center"/>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ROA</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DP</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 xml:space="preserve">it                     </m:t>
            </m:r>
          </m:sub>
        </m:sSub>
        <m:r>
          <w:rPr>
            <w:rFonts w:ascii="Cambria Math" w:hAnsi="Cambria Math" w:cs="Times New Roman"/>
            <w:color w:val="000000" w:themeColor="text1"/>
            <w:sz w:val="24"/>
            <w:szCs w:val="24"/>
          </w:rPr>
          <m:t xml:space="preserve">                             (</m:t>
        </m:r>
      </m:oMath>
      <w:r w:rsidR="00084B59" w:rsidRPr="00161B6C">
        <w:rPr>
          <w:rFonts w:ascii="Times New Roman" w:hAnsi="Times New Roman" w:cs="Times New Roman"/>
          <w:color w:val="000000" w:themeColor="text1"/>
          <w:sz w:val="24"/>
          <w:szCs w:val="24"/>
        </w:rPr>
        <w:t>1)</w:t>
      </w:r>
    </w:p>
    <w:p w:rsidR="00084B59" w:rsidRPr="00161B6C" w:rsidRDefault="00893DE0" w:rsidP="00B14FAC">
      <w:pPr>
        <w:spacing w:after="0" w:line="240" w:lineRule="auto"/>
        <w:jc w:val="center"/>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ROE</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DP</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 xml:space="preserve">it                     </m:t>
            </m:r>
          </m:sub>
        </m:sSub>
        <m:r>
          <w:rPr>
            <w:rFonts w:ascii="Cambria Math" w:hAnsi="Cambria Math" w:cs="Times New Roman"/>
            <w:color w:val="000000" w:themeColor="text1"/>
            <w:sz w:val="24"/>
            <w:szCs w:val="24"/>
          </w:rPr>
          <m:t xml:space="preserve">                             (</m:t>
        </m:r>
      </m:oMath>
      <w:r w:rsidR="00CD4F1E" w:rsidRPr="00161B6C">
        <w:rPr>
          <w:rFonts w:ascii="Times New Roman" w:hAnsi="Times New Roman" w:cs="Times New Roman"/>
          <w:color w:val="000000" w:themeColor="text1"/>
          <w:sz w:val="24"/>
          <w:szCs w:val="24"/>
        </w:rPr>
        <w:t>2</w:t>
      </w:r>
      <w:r w:rsidR="00084B59" w:rsidRPr="00161B6C">
        <w:rPr>
          <w:rFonts w:ascii="Times New Roman" w:hAnsi="Times New Roman" w:cs="Times New Roman"/>
          <w:color w:val="000000" w:themeColor="text1"/>
          <w:sz w:val="24"/>
          <w:szCs w:val="24"/>
        </w:rPr>
        <w:t>)</w:t>
      </w:r>
    </w:p>
    <w:p w:rsidR="00084B59" w:rsidRPr="00161B6C" w:rsidRDefault="00084B59" w:rsidP="00067537">
      <w:pPr>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 xml:space="preserve">  </w:t>
      </w:r>
      <w:r w:rsidR="006D071F" w:rsidRPr="00161B6C">
        <w:rPr>
          <w:rFonts w:ascii="Times New Roman" w:hAnsi="Times New Roman" w:cs="Times New Roman"/>
          <w:color w:val="000000" w:themeColor="text1"/>
          <w:sz w:val="24"/>
          <w:szCs w:val="24"/>
        </w:rPr>
        <w:t xml:space="preserve">                      </w:t>
      </w:r>
      <w:r w:rsidRPr="00161B6C">
        <w:rPr>
          <w:rFonts w:ascii="Times New Roman" w:hAnsi="Times New Roman" w:cs="Times New Roman"/>
          <w:color w:val="000000" w:themeColor="text1"/>
          <w:sz w:val="24"/>
          <w:szCs w:val="24"/>
        </w:rPr>
        <w:t xml:space="preserve"> Where </w:t>
      </w:r>
    </w:p>
    <w:p w:rsidR="00084B59" w:rsidRPr="00161B6C" w:rsidRDefault="00084B59" w:rsidP="00067537">
      <w:pPr>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 xml:space="preserve">        </w:t>
      </w:r>
      <w:r w:rsidR="006D071F" w:rsidRPr="00161B6C">
        <w:rPr>
          <w:rFonts w:ascii="Times New Roman" w:hAnsi="Times New Roman" w:cs="Times New Roman"/>
          <w:color w:val="000000" w:themeColor="text1"/>
          <w:sz w:val="24"/>
          <w:szCs w:val="24"/>
        </w:rPr>
        <w:t xml:space="preserve">       </w:t>
      </w:r>
      <w:r w:rsidRPr="00161B6C">
        <w:rPr>
          <w:rFonts w:ascii="Times New Roman" w:hAnsi="Times New Roman" w:cs="Times New Roman"/>
          <w:color w:val="000000" w:themeColor="text1"/>
          <w:sz w:val="24"/>
          <w:szCs w:val="24"/>
        </w:rPr>
        <w:t>ROA= Return on assets</w:t>
      </w:r>
    </w:p>
    <w:p w:rsidR="00084B59" w:rsidRPr="00161B6C" w:rsidRDefault="006D071F" w:rsidP="00067537">
      <w:pPr>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 xml:space="preserve">               </w:t>
      </w:r>
      <w:r w:rsidR="00084B59" w:rsidRPr="00161B6C">
        <w:rPr>
          <w:rFonts w:ascii="Times New Roman" w:hAnsi="Times New Roman" w:cs="Times New Roman"/>
          <w:color w:val="000000" w:themeColor="text1"/>
          <w:sz w:val="24"/>
          <w:szCs w:val="24"/>
        </w:rPr>
        <w:t>ROE= Return on equity</w:t>
      </w:r>
    </w:p>
    <w:p w:rsidR="00084B59" w:rsidRPr="00161B6C" w:rsidRDefault="006D071F" w:rsidP="00067537">
      <w:pPr>
        <w:tabs>
          <w:tab w:val="left" w:pos="937"/>
        </w:tabs>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 xml:space="preserve">              </w:t>
      </w:r>
      <w:r w:rsidR="00084B59" w:rsidRPr="00161B6C">
        <w:rPr>
          <w:rFonts w:ascii="Times New Roman" w:hAnsi="Times New Roman" w:cs="Times New Roman"/>
          <w:color w:val="000000" w:themeColor="text1"/>
          <w:sz w:val="24"/>
          <w:szCs w:val="24"/>
        </w:rPr>
        <w:t xml:space="preserve"> DP =Amount of deposit in school banking accounts for </w:t>
      </w:r>
      <w:proofErr w:type="spellStart"/>
      <w:r w:rsidR="00084B59" w:rsidRPr="00161B6C">
        <w:rPr>
          <w:rFonts w:ascii="Times New Roman" w:hAnsi="Times New Roman" w:cs="Times New Roman"/>
          <w:color w:val="000000" w:themeColor="text1"/>
          <w:sz w:val="24"/>
          <w:szCs w:val="24"/>
        </w:rPr>
        <w:t>i</w:t>
      </w:r>
      <w:proofErr w:type="spellEnd"/>
      <w:r w:rsidR="00084B59" w:rsidRPr="00161B6C">
        <w:rPr>
          <w:rFonts w:ascii="Times New Roman" w:hAnsi="Times New Roman" w:cs="Times New Roman"/>
          <w:color w:val="000000" w:themeColor="text1"/>
          <w:sz w:val="24"/>
          <w:szCs w:val="24"/>
        </w:rPr>
        <w:t xml:space="preserve"> firm in time </w:t>
      </w:r>
      <w:r w:rsidRPr="00161B6C">
        <w:rPr>
          <w:rFonts w:ascii="Times New Roman" w:hAnsi="Times New Roman" w:cs="Times New Roman"/>
          <w:color w:val="000000" w:themeColor="text1"/>
          <w:sz w:val="24"/>
          <w:szCs w:val="24"/>
        </w:rPr>
        <w:t>t (school banking)</w:t>
      </w:r>
    </w:p>
    <w:p w:rsidR="00084B59" w:rsidRPr="00161B6C" w:rsidRDefault="00084B59" w:rsidP="00067537">
      <w:pPr>
        <w:tabs>
          <w:tab w:val="left" w:pos="937"/>
        </w:tabs>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 xml:space="preserve">  </w:t>
      </w:r>
      <w:r w:rsidR="006D071F" w:rsidRPr="00161B6C">
        <w:rPr>
          <w:rFonts w:ascii="Times New Roman" w:hAnsi="Times New Roman" w:cs="Times New Roman"/>
          <w:color w:val="000000" w:themeColor="text1"/>
          <w:sz w:val="24"/>
          <w:szCs w:val="24"/>
        </w:rPr>
        <w:t xml:space="preserve">               </w:t>
      </w:r>
      <w:r w:rsidRPr="00161B6C">
        <w:rPr>
          <w:rFonts w:ascii="Times New Roman" w:hAnsi="Times New Roman" w:cs="Times New Roman"/>
          <w:color w:val="000000" w:themeColor="text1"/>
          <w:sz w:val="24"/>
          <w:szCs w:val="24"/>
        </w:rPr>
        <w:t xml:space="preserve">  </w:t>
      </w:r>
      <w:proofErr w:type="gramStart"/>
      <w:r w:rsidRPr="00161B6C">
        <w:rPr>
          <w:rFonts w:ascii="Times New Roman" w:hAnsi="Times New Roman" w:cs="Times New Roman"/>
          <w:color w:val="000000" w:themeColor="text1"/>
          <w:sz w:val="24"/>
          <w:szCs w:val="24"/>
        </w:rPr>
        <w:t>e</w:t>
      </w:r>
      <w:r w:rsidRPr="00161B6C">
        <w:rPr>
          <w:rFonts w:ascii="Times New Roman" w:hAnsi="Times New Roman" w:cs="Times New Roman"/>
          <w:color w:val="000000" w:themeColor="text1"/>
          <w:sz w:val="24"/>
          <w:szCs w:val="24"/>
          <w:vertAlign w:val="subscript"/>
        </w:rPr>
        <w:t>it</w:t>
      </w:r>
      <w:proofErr w:type="gramEnd"/>
      <w:r w:rsidRPr="00161B6C">
        <w:rPr>
          <w:rFonts w:ascii="Times New Roman" w:hAnsi="Times New Roman" w:cs="Times New Roman"/>
          <w:color w:val="000000" w:themeColor="text1"/>
          <w:sz w:val="24"/>
          <w:szCs w:val="24"/>
          <w:vertAlign w:val="subscript"/>
        </w:rPr>
        <w:t xml:space="preserve"> = </w:t>
      </w:r>
      <w:r w:rsidRPr="00161B6C">
        <w:rPr>
          <w:rFonts w:ascii="Times New Roman" w:hAnsi="Times New Roman" w:cs="Times New Roman"/>
          <w:color w:val="000000" w:themeColor="text1"/>
          <w:sz w:val="24"/>
          <w:szCs w:val="24"/>
        </w:rPr>
        <w:t>error term</w:t>
      </w:r>
    </w:p>
    <w:p w:rsidR="004303D7" w:rsidRPr="00161B6C" w:rsidRDefault="004303D7" w:rsidP="00067537">
      <w:pPr>
        <w:spacing w:after="0" w:line="240" w:lineRule="auto"/>
        <w:jc w:val="both"/>
        <w:rPr>
          <w:rFonts w:ascii="Times New Roman" w:hAnsi="Times New Roman" w:cs="Times New Roman"/>
          <w:color w:val="000000" w:themeColor="text1"/>
          <w:sz w:val="24"/>
        </w:rPr>
      </w:pPr>
    </w:p>
    <w:p w:rsidR="008D0310" w:rsidRPr="00161B6C" w:rsidRDefault="00D26156" w:rsidP="00D26156">
      <w:pPr>
        <w:pStyle w:val="ListParagraph"/>
        <w:spacing w:after="0" w:line="240" w:lineRule="auto"/>
        <w:ind w:left="360"/>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4. </w:t>
      </w:r>
      <w:r w:rsidR="00031819" w:rsidRPr="00161B6C">
        <w:rPr>
          <w:rFonts w:ascii="Times New Roman" w:hAnsi="Times New Roman" w:cs="Times New Roman"/>
          <w:b/>
          <w:color w:val="000000" w:themeColor="text1"/>
          <w:sz w:val="24"/>
        </w:rPr>
        <w:t>Results and discussion</w:t>
      </w:r>
      <w:r w:rsidR="00B14FAC" w:rsidRPr="00161B6C">
        <w:rPr>
          <w:rFonts w:ascii="Times New Roman" w:hAnsi="Times New Roman" w:cs="Times New Roman"/>
          <w:b/>
          <w:color w:val="000000" w:themeColor="text1"/>
          <w:sz w:val="24"/>
        </w:rPr>
        <w:t>s</w:t>
      </w:r>
      <w:r w:rsidR="00031819" w:rsidRPr="00161B6C">
        <w:rPr>
          <w:rFonts w:ascii="Times New Roman" w:hAnsi="Times New Roman" w:cs="Times New Roman"/>
          <w:b/>
          <w:color w:val="000000" w:themeColor="text1"/>
          <w:sz w:val="24"/>
        </w:rPr>
        <w:t xml:space="preserve"> </w:t>
      </w:r>
    </w:p>
    <w:p w:rsidR="003E702E" w:rsidRPr="00161B6C" w:rsidRDefault="00D26156" w:rsidP="00067537">
      <w:pPr>
        <w:spacing w:after="0" w:line="240" w:lineRule="auto"/>
        <w:jc w:val="both"/>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     </w:t>
      </w:r>
      <w:r w:rsidR="00C83570" w:rsidRPr="00161B6C">
        <w:rPr>
          <w:rFonts w:ascii="Times New Roman" w:hAnsi="Times New Roman" w:cs="Times New Roman"/>
          <w:b/>
          <w:color w:val="000000" w:themeColor="text1"/>
          <w:sz w:val="24"/>
        </w:rPr>
        <w:t xml:space="preserve">4.1 </w:t>
      </w:r>
      <w:r w:rsidR="005704C6" w:rsidRPr="00161B6C">
        <w:rPr>
          <w:rFonts w:ascii="Times New Roman" w:hAnsi="Times New Roman" w:cs="Times New Roman"/>
          <w:b/>
          <w:color w:val="000000" w:themeColor="text1"/>
          <w:sz w:val="24"/>
        </w:rPr>
        <w:t xml:space="preserve">Status of school banking </w:t>
      </w:r>
    </w:p>
    <w:p w:rsidR="00214EF9" w:rsidRPr="00161B6C" w:rsidRDefault="00214EF9" w:rsidP="00067537">
      <w:pPr>
        <w:spacing w:after="0" w:line="240" w:lineRule="auto"/>
        <w:jc w:val="both"/>
        <w:rPr>
          <w:rFonts w:ascii="Times New Roman" w:hAnsi="Times New Roman" w:cs="Times New Roman"/>
          <w:color w:val="000000" w:themeColor="text1"/>
          <w:sz w:val="24"/>
        </w:rPr>
      </w:pPr>
      <w:r w:rsidRPr="00161B6C">
        <w:rPr>
          <w:rFonts w:ascii="Times New Roman" w:hAnsi="Times New Roman" w:cs="Times New Roman"/>
          <w:color w:val="000000" w:themeColor="text1"/>
          <w:sz w:val="24"/>
        </w:rPr>
        <w:t xml:space="preserve">From December 2011 to June 2020, the comparative status of school banking in Bangladesh is shown in the following </w:t>
      </w:r>
      <w:r w:rsidR="00B14FAC" w:rsidRPr="00161B6C">
        <w:rPr>
          <w:rFonts w:ascii="Times New Roman" w:hAnsi="Times New Roman" w:cs="Times New Roman"/>
          <w:color w:val="000000" w:themeColor="text1"/>
          <w:sz w:val="24"/>
        </w:rPr>
        <w:t>table (Table-1)</w:t>
      </w:r>
      <w:r w:rsidRPr="00161B6C">
        <w:rPr>
          <w:rFonts w:ascii="Times New Roman" w:hAnsi="Times New Roman" w:cs="Times New Roman"/>
          <w:color w:val="000000" w:themeColor="text1"/>
          <w:sz w:val="24"/>
        </w:rPr>
        <w:t xml:space="preserve">. Till to December 2011, the total number </w:t>
      </w:r>
      <w:r w:rsidR="00B14FAC" w:rsidRPr="00161B6C">
        <w:rPr>
          <w:rFonts w:ascii="Times New Roman" w:hAnsi="Times New Roman" w:cs="Times New Roman"/>
          <w:color w:val="000000" w:themeColor="text1"/>
          <w:sz w:val="24"/>
        </w:rPr>
        <w:t>of 29080</w:t>
      </w:r>
      <w:r w:rsidRPr="00161B6C">
        <w:rPr>
          <w:rFonts w:ascii="Times New Roman" w:hAnsi="Times New Roman" w:cs="Times New Roman"/>
          <w:color w:val="000000" w:themeColor="text1"/>
          <w:sz w:val="24"/>
        </w:rPr>
        <w:t xml:space="preserve"> accounts were opened by different type of banks. </w:t>
      </w:r>
      <w:r w:rsidR="001D2D14" w:rsidRPr="00161B6C">
        <w:rPr>
          <w:rFonts w:ascii="Times New Roman" w:hAnsi="Times New Roman" w:cs="Times New Roman"/>
          <w:color w:val="000000" w:themeColor="text1"/>
          <w:sz w:val="24"/>
        </w:rPr>
        <w:t xml:space="preserve">Of which </w:t>
      </w:r>
      <w:r w:rsidRPr="00161B6C">
        <w:rPr>
          <w:rFonts w:ascii="Times New Roman" w:hAnsi="Times New Roman" w:cs="Times New Roman"/>
          <w:color w:val="000000" w:themeColor="text1"/>
          <w:sz w:val="24"/>
        </w:rPr>
        <w:t xml:space="preserve">354 </w:t>
      </w:r>
      <w:r w:rsidR="001D2D14" w:rsidRPr="00161B6C">
        <w:rPr>
          <w:rFonts w:ascii="Times New Roman" w:hAnsi="Times New Roman" w:cs="Times New Roman"/>
          <w:color w:val="000000" w:themeColor="text1"/>
          <w:sz w:val="24"/>
        </w:rPr>
        <w:t xml:space="preserve">accounts </w:t>
      </w:r>
      <w:r w:rsidRPr="00161B6C">
        <w:rPr>
          <w:rFonts w:ascii="Times New Roman" w:hAnsi="Times New Roman" w:cs="Times New Roman"/>
          <w:color w:val="000000" w:themeColor="text1"/>
          <w:sz w:val="24"/>
        </w:rPr>
        <w:t xml:space="preserve">were opened by state-owned commercial </w:t>
      </w:r>
      <w:r w:rsidR="00B14FAC" w:rsidRPr="00161B6C">
        <w:rPr>
          <w:rFonts w:ascii="Times New Roman" w:hAnsi="Times New Roman" w:cs="Times New Roman"/>
          <w:color w:val="000000" w:themeColor="text1"/>
          <w:sz w:val="24"/>
        </w:rPr>
        <w:t>banks (SCB)</w:t>
      </w:r>
      <w:r w:rsidRPr="00161B6C">
        <w:rPr>
          <w:rFonts w:ascii="Times New Roman" w:hAnsi="Times New Roman" w:cs="Times New Roman"/>
          <w:color w:val="000000" w:themeColor="text1"/>
          <w:sz w:val="24"/>
        </w:rPr>
        <w:t>, 637</w:t>
      </w:r>
      <w:r w:rsidR="001D2D14" w:rsidRPr="00161B6C">
        <w:rPr>
          <w:rFonts w:ascii="Times New Roman" w:hAnsi="Times New Roman" w:cs="Times New Roman"/>
          <w:color w:val="000000" w:themeColor="text1"/>
          <w:sz w:val="24"/>
        </w:rPr>
        <w:t xml:space="preserve"> accounts by</w:t>
      </w:r>
      <w:r w:rsidRPr="00161B6C">
        <w:rPr>
          <w:rFonts w:ascii="Times New Roman" w:hAnsi="Times New Roman" w:cs="Times New Roman"/>
          <w:color w:val="000000" w:themeColor="text1"/>
          <w:sz w:val="24"/>
        </w:rPr>
        <w:t xml:space="preserve"> specialized </w:t>
      </w:r>
      <w:r w:rsidR="00B14FAC" w:rsidRPr="00161B6C">
        <w:rPr>
          <w:rFonts w:ascii="Times New Roman" w:hAnsi="Times New Roman" w:cs="Times New Roman"/>
          <w:color w:val="000000" w:themeColor="text1"/>
          <w:sz w:val="24"/>
        </w:rPr>
        <w:t>banks (SB)</w:t>
      </w:r>
      <w:r w:rsidRPr="00161B6C">
        <w:rPr>
          <w:rFonts w:ascii="Times New Roman" w:hAnsi="Times New Roman" w:cs="Times New Roman"/>
          <w:color w:val="000000" w:themeColor="text1"/>
          <w:sz w:val="24"/>
        </w:rPr>
        <w:t>, 27830</w:t>
      </w:r>
      <w:r w:rsidR="001D2D14" w:rsidRPr="00161B6C">
        <w:rPr>
          <w:rFonts w:ascii="Times New Roman" w:hAnsi="Times New Roman" w:cs="Times New Roman"/>
          <w:color w:val="000000" w:themeColor="text1"/>
          <w:sz w:val="24"/>
        </w:rPr>
        <w:t xml:space="preserve"> accounts by</w:t>
      </w:r>
      <w:r w:rsidRPr="00161B6C">
        <w:rPr>
          <w:rFonts w:ascii="Times New Roman" w:hAnsi="Times New Roman" w:cs="Times New Roman"/>
          <w:color w:val="000000" w:themeColor="text1"/>
          <w:sz w:val="24"/>
        </w:rPr>
        <w:t xml:space="preserve"> private commercial </w:t>
      </w:r>
      <w:r w:rsidR="00B14FAC" w:rsidRPr="00161B6C">
        <w:rPr>
          <w:rFonts w:ascii="Times New Roman" w:hAnsi="Times New Roman" w:cs="Times New Roman"/>
          <w:color w:val="000000" w:themeColor="text1"/>
          <w:sz w:val="24"/>
        </w:rPr>
        <w:t>banks (PCB)</w:t>
      </w:r>
      <w:r w:rsidRPr="00161B6C">
        <w:rPr>
          <w:rFonts w:ascii="Times New Roman" w:hAnsi="Times New Roman" w:cs="Times New Roman"/>
          <w:color w:val="000000" w:themeColor="text1"/>
          <w:sz w:val="24"/>
        </w:rPr>
        <w:t xml:space="preserve">, and 259 by foreign commercial </w:t>
      </w:r>
      <w:r w:rsidR="00B14FAC" w:rsidRPr="00161B6C">
        <w:rPr>
          <w:rFonts w:ascii="Times New Roman" w:hAnsi="Times New Roman" w:cs="Times New Roman"/>
          <w:color w:val="000000" w:themeColor="text1"/>
          <w:sz w:val="24"/>
        </w:rPr>
        <w:t>banks (FCB)</w:t>
      </w:r>
      <w:r w:rsidR="003E702E" w:rsidRPr="00161B6C">
        <w:rPr>
          <w:rFonts w:ascii="Times New Roman" w:hAnsi="Times New Roman" w:cs="Times New Roman"/>
          <w:color w:val="000000" w:themeColor="text1"/>
          <w:sz w:val="24"/>
        </w:rPr>
        <w:t xml:space="preserve"> (table-1)</w:t>
      </w:r>
      <w:r w:rsidRPr="00161B6C">
        <w:rPr>
          <w:rFonts w:ascii="Times New Roman" w:hAnsi="Times New Roman" w:cs="Times New Roman"/>
          <w:color w:val="000000" w:themeColor="text1"/>
          <w:sz w:val="24"/>
        </w:rPr>
        <w:t xml:space="preserve">. The following pie </w:t>
      </w:r>
      <w:r w:rsidR="00B14FAC" w:rsidRPr="00161B6C">
        <w:rPr>
          <w:rFonts w:ascii="Times New Roman" w:hAnsi="Times New Roman" w:cs="Times New Roman"/>
          <w:color w:val="000000" w:themeColor="text1"/>
          <w:sz w:val="24"/>
        </w:rPr>
        <w:t>chart (Figure-1.1)</w:t>
      </w:r>
      <w:r w:rsidRPr="00161B6C">
        <w:rPr>
          <w:rFonts w:ascii="Times New Roman" w:hAnsi="Times New Roman" w:cs="Times New Roman"/>
          <w:color w:val="000000" w:themeColor="text1"/>
          <w:sz w:val="24"/>
        </w:rPr>
        <w:t xml:space="preserve"> presents the status of school </w:t>
      </w:r>
      <w:r w:rsidR="001D2D14" w:rsidRPr="00161B6C">
        <w:rPr>
          <w:rFonts w:ascii="Times New Roman" w:hAnsi="Times New Roman" w:cs="Times New Roman"/>
          <w:color w:val="000000" w:themeColor="text1"/>
          <w:sz w:val="24"/>
        </w:rPr>
        <w:t xml:space="preserve">banking in Bangladesh. </w:t>
      </w:r>
      <w:r w:rsidR="00B14FAC" w:rsidRPr="00161B6C">
        <w:rPr>
          <w:rFonts w:ascii="Times New Roman" w:hAnsi="Times New Roman" w:cs="Times New Roman"/>
          <w:color w:val="000000" w:themeColor="text1"/>
          <w:sz w:val="24"/>
        </w:rPr>
        <w:t>In 2011,</w:t>
      </w:r>
      <w:r w:rsidR="001D2D14" w:rsidRPr="00161B6C">
        <w:rPr>
          <w:rFonts w:ascii="Times New Roman" w:hAnsi="Times New Roman" w:cs="Times New Roman"/>
          <w:color w:val="000000" w:themeColor="text1"/>
          <w:sz w:val="24"/>
        </w:rPr>
        <w:t xml:space="preserve"> 95.70 percent</w:t>
      </w:r>
      <w:r w:rsidRPr="00161B6C">
        <w:rPr>
          <w:rFonts w:ascii="Times New Roman" w:hAnsi="Times New Roman" w:cs="Times New Roman"/>
          <w:color w:val="000000" w:themeColor="text1"/>
          <w:sz w:val="24"/>
        </w:rPr>
        <w:t xml:space="preserve"> of accounts were opened by </w:t>
      </w:r>
      <w:r w:rsidR="001D2D14" w:rsidRPr="00161B6C">
        <w:rPr>
          <w:rFonts w:ascii="Times New Roman" w:hAnsi="Times New Roman" w:cs="Times New Roman"/>
          <w:color w:val="000000" w:themeColor="text1"/>
          <w:sz w:val="24"/>
        </w:rPr>
        <w:t xml:space="preserve">the </w:t>
      </w:r>
      <w:r w:rsidRPr="00161B6C">
        <w:rPr>
          <w:rFonts w:ascii="Times New Roman" w:hAnsi="Times New Roman" w:cs="Times New Roman"/>
          <w:color w:val="000000" w:themeColor="text1"/>
          <w:sz w:val="24"/>
        </w:rPr>
        <w:t xml:space="preserve">private commercial </w:t>
      </w:r>
      <w:r w:rsidR="00B14FAC" w:rsidRPr="00161B6C">
        <w:rPr>
          <w:rFonts w:ascii="Times New Roman" w:hAnsi="Times New Roman" w:cs="Times New Roman"/>
          <w:color w:val="000000" w:themeColor="text1"/>
          <w:sz w:val="24"/>
        </w:rPr>
        <w:t>banks (PCB)</w:t>
      </w:r>
      <w:r w:rsidRPr="00161B6C">
        <w:rPr>
          <w:rFonts w:ascii="Times New Roman" w:hAnsi="Times New Roman" w:cs="Times New Roman"/>
          <w:color w:val="000000" w:themeColor="text1"/>
          <w:sz w:val="24"/>
        </w:rPr>
        <w:t>, 1.22</w:t>
      </w:r>
      <w:r w:rsidR="00B14FAC" w:rsidRPr="00161B6C">
        <w:rPr>
          <w:rFonts w:ascii="Times New Roman" w:hAnsi="Times New Roman" w:cs="Times New Roman"/>
          <w:color w:val="000000" w:themeColor="text1"/>
          <w:sz w:val="24"/>
        </w:rPr>
        <w:t xml:space="preserve"> percent</w:t>
      </w:r>
      <w:r w:rsidRPr="00161B6C">
        <w:rPr>
          <w:rFonts w:ascii="Times New Roman" w:hAnsi="Times New Roman" w:cs="Times New Roman"/>
          <w:color w:val="000000" w:themeColor="text1"/>
          <w:sz w:val="24"/>
        </w:rPr>
        <w:t xml:space="preserve"> by state</w:t>
      </w:r>
      <w:r w:rsidR="001D2D14" w:rsidRPr="00161B6C">
        <w:rPr>
          <w:rFonts w:ascii="Times New Roman" w:hAnsi="Times New Roman" w:cs="Times New Roman"/>
          <w:color w:val="000000" w:themeColor="text1"/>
          <w:sz w:val="24"/>
        </w:rPr>
        <w:t xml:space="preserve"> owned</w:t>
      </w:r>
      <w:r w:rsidRPr="00161B6C">
        <w:rPr>
          <w:rFonts w:ascii="Times New Roman" w:hAnsi="Times New Roman" w:cs="Times New Roman"/>
          <w:color w:val="000000" w:themeColor="text1"/>
          <w:sz w:val="24"/>
        </w:rPr>
        <w:t xml:space="preserve"> commercial banks</w:t>
      </w:r>
      <w:r w:rsidR="00B14FAC" w:rsidRPr="00161B6C">
        <w:rPr>
          <w:rFonts w:ascii="Times New Roman" w:hAnsi="Times New Roman" w:cs="Times New Roman"/>
          <w:color w:val="000000" w:themeColor="text1"/>
          <w:sz w:val="24"/>
        </w:rPr>
        <w:t xml:space="preserve"> (S</w:t>
      </w:r>
      <w:r w:rsidR="005E2CBB" w:rsidRPr="00161B6C">
        <w:rPr>
          <w:rFonts w:ascii="Times New Roman" w:hAnsi="Times New Roman" w:cs="Times New Roman"/>
          <w:color w:val="000000" w:themeColor="text1"/>
          <w:sz w:val="24"/>
        </w:rPr>
        <w:t>C</w:t>
      </w:r>
      <w:r w:rsidR="00B14FAC" w:rsidRPr="00161B6C">
        <w:rPr>
          <w:rFonts w:ascii="Times New Roman" w:hAnsi="Times New Roman" w:cs="Times New Roman"/>
          <w:color w:val="000000" w:themeColor="text1"/>
          <w:sz w:val="24"/>
        </w:rPr>
        <w:t>B)</w:t>
      </w:r>
      <w:r w:rsidRPr="00161B6C">
        <w:rPr>
          <w:rFonts w:ascii="Times New Roman" w:hAnsi="Times New Roman" w:cs="Times New Roman"/>
          <w:color w:val="000000" w:themeColor="text1"/>
          <w:sz w:val="24"/>
        </w:rPr>
        <w:t>, 2.19</w:t>
      </w:r>
      <w:r w:rsidR="00B14FAC" w:rsidRPr="00161B6C">
        <w:rPr>
          <w:rFonts w:ascii="Times New Roman" w:hAnsi="Times New Roman" w:cs="Times New Roman"/>
          <w:color w:val="000000" w:themeColor="text1"/>
          <w:sz w:val="24"/>
        </w:rPr>
        <w:t xml:space="preserve"> percent</w:t>
      </w:r>
      <w:r w:rsidRPr="00161B6C">
        <w:rPr>
          <w:rFonts w:ascii="Times New Roman" w:hAnsi="Times New Roman" w:cs="Times New Roman"/>
          <w:color w:val="000000" w:themeColor="text1"/>
          <w:sz w:val="24"/>
        </w:rPr>
        <w:t xml:space="preserve"> by specialized </w:t>
      </w:r>
      <w:r w:rsidR="00E25282" w:rsidRPr="00161B6C">
        <w:rPr>
          <w:rFonts w:ascii="Times New Roman" w:hAnsi="Times New Roman" w:cs="Times New Roman"/>
          <w:color w:val="000000" w:themeColor="text1"/>
          <w:sz w:val="24"/>
        </w:rPr>
        <w:t>banks (</w:t>
      </w:r>
      <w:r w:rsidR="00B14FAC" w:rsidRPr="00161B6C">
        <w:rPr>
          <w:rFonts w:ascii="Times New Roman" w:hAnsi="Times New Roman" w:cs="Times New Roman"/>
          <w:color w:val="000000" w:themeColor="text1"/>
          <w:sz w:val="24"/>
        </w:rPr>
        <w:t>SB)</w:t>
      </w:r>
      <w:r w:rsidRPr="00161B6C">
        <w:rPr>
          <w:rFonts w:ascii="Times New Roman" w:hAnsi="Times New Roman" w:cs="Times New Roman"/>
          <w:color w:val="000000" w:themeColor="text1"/>
          <w:sz w:val="24"/>
        </w:rPr>
        <w:t xml:space="preserve">, and 0.89 percent by foreign commercial </w:t>
      </w:r>
      <w:r w:rsidR="00E25282" w:rsidRPr="00161B6C">
        <w:rPr>
          <w:rFonts w:ascii="Times New Roman" w:hAnsi="Times New Roman" w:cs="Times New Roman"/>
          <w:color w:val="000000" w:themeColor="text1"/>
          <w:sz w:val="24"/>
        </w:rPr>
        <w:t>banks (FCB) (</w:t>
      </w:r>
      <w:r w:rsidR="003E702E" w:rsidRPr="00161B6C">
        <w:rPr>
          <w:rFonts w:ascii="Times New Roman" w:hAnsi="Times New Roman" w:cs="Times New Roman"/>
          <w:color w:val="000000" w:themeColor="text1"/>
          <w:sz w:val="24"/>
        </w:rPr>
        <w:t>Figure 1</w:t>
      </w:r>
      <w:r w:rsidR="00B9075F" w:rsidRPr="00161B6C">
        <w:rPr>
          <w:rFonts w:ascii="Times New Roman" w:hAnsi="Times New Roman" w:cs="Times New Roman"/>
          <w:color w:val="000000" w:themeColor="text1"/>
          <w:sz w:val="24"/>
        </w:rPr>
        <w:t>.1</w:t>
      </w:r>
      <w:r w:rsidR="003E702E" w:rsidRPr="00161B6C">
        <w:rPr>
          <w:rFonts w:ascii="Times New Roman" w:hAnsi="Times New Roman" w:cs="Times New Roman"/>
          <w:color w:val="000000" w:themeColor="text1"/>
          <w:sz w:val="24"/>
        </w:rPr>
        <w:t>)</w:t>
      </w:r>
      <w:r w:rsidRPr="00161B6C">
        <w:rPr>
          <w:rFonts w:ascii="Times New Roman" w:hAnsi="Times New Roman" w:cs="Times New Roman"/>
          <w:color w:val="000000" w:themeColor="text1"/>
          <w:sz w:val="24"/>
        </w:rPr>
        <w:t>.</w:t>
      </w:r>
      <w:r w:rsidRPr="00161B6C">
        <w:rPr>
          <w:color w:val="000000" w:themeColor="text1"/>
        </w:rPr>
        <w:t xml:space="preserve"> </w:t>
      </w:r>
      <w:r w:rsidRPr="00161B6C">
        <w:rPr>
          <w:rFonts w:ascii="Times New Roman" w:hAnsi="Times New Roman" w:cs="Times New Roman"/>
          <w:color w:val="000000" w:themeColor="text1"/>
          <w:sz w:val="24"/>
        </w:rPr>
        <w:t>The total number of school bank accounts up to June 2</w:t>
      </w:r>
      <w:r w:rsidR="005E2CBB" w:rsidRPr="00161B6C">
        <w:rPr>
          <w:rFonts w:ascii="Times New Roman" w:hAnsi="Times New Roman" w:cs="Times New Roman"/>
          <w:color w:val="000000" w:themeColor="text1"/>
          <w:sz w:val="24"/>
        </w:rPr>
        <w:t>020 stood at 2431602. Till to June 2020,</w:t>
      </w:r>
      <w:r w:rsidRPr="00161B6C">
        <w:rPr>
          <w:rFonts w:ascii="Times New Roman" w:hAnsi="Times New Roman" w:cs="Times New Roman"/>
          <w:color w:val="000000" w:themeColor="text1"/>
          <w:sz w:val="24"/>
        </w:rPr>
        <w:t xml:space="preserve"> </w:t>
      </w:r>
      <w:r w:rsidR="005E2CBB" w:rsidRPr="00161B6C">
        <w:rPr>
          <w:rFonts w:ascii="Times New Roman" w:hAnsi="Times New Roman" w:cs="Times New Roman"/>
          <w:color w:val="000000" w:themeColor="text1"/>
          <w:sz w:val="24"/>
        </w:rPr>
        <w:t>o</w:t>
      </w:r>
      <w:r w:rsidRPr="00161B6C">
        <w:rPr>
          <w:rFonts w:ascii="Times New Roman" w:hAnsi="Times New Roman" w:cs="Times New Roman"/>
          <w:color w:val="000000" w:themeColor="text1"/>
          <w:sz w:val="24"/>
        </w:rPr>
        <w:t>f which</w:t>
      </w:r>
      <w:r w:rsidR="005E2CBB" w:rsidRPr="00161B6C">
        <w:rPr>
          <w:rFonts w:ascii="Times New Roman" w:hAnsi="Times New Roman" w:cs="Times New Roman"/>
          <w:color w:val="000000" w:themeColor="text1"/>
          <w:sz w:val="24"/>
        </w:rPr>
        <w:t xml:space="preserve"> 608133 accounts</w:t>
      </w:r>
      <w:r w:rsidRPr="00161B6C">
        <w:rPr>
          <w:rFonts w:ascii="Times New Roman" w:hAnsi="Times New Roman" w:cs="Times New Roman"/>
          <w:color w:val="000000" w:themeColor="text1"/>
          <w:sz w:val="24"/>
        </w:rPr>
        <w:t xml:space="preserve"> were opened</w:t>
      </w:r>
      <w:r w:rsidR="00E25282" w:rsidRPr="00161B6C">
        <w:rPr>
          <w:rFonts w:ascii="Times New Roman" w:hAnsi="Times New Roman" w:cs="Times New Roman"/>
          <w:color w:val="000000" w:themeColor="text1"/>
          <w:sz w:val="24"/>
        </w:rPr>
        <w:t xml:space="preserve"> by state-owned commercial </w:t>
      </w:r>
      <w:r w:rsidR="005E2CBB" w:rsidRPr="00161B6C">
        <w:rPr>
          <w:rFonts w:ascii="Times New Roman" w:hAnsi="Times New Roman" w:cs="Times New Roman"/>
          <w:color w:val="000000" w:themeColor="text1"/>
          <w:sz w:val="24"/>
        </w:rPr>
        <w:t>bank (</w:t>
      </w:r>
      <w:r w:rsidR="00E25282" w:rsidRPr="00161B6C">
        <w:rPr>
          <w:rFonts w:ascii="Times New Roman" w:hAnsi="Times New Roman" w:cs="Times New Roman"/>
          <w:color w:val="000000" w:themeColor="text1"/>
          <w:sz w:val="24"/>
        </w:rPr>
        <w:t>SCB)</w:t>
      </w:r>
      <w:r w:rsidRPr="00161B6C">
        <w:rPr>
          <w:rFonts w:ascii="Times New Roman" w:hAnsi="Times New Roman" w:cs="Times New Roman"/>
          <w:color w:val="000000" w:themeColor="text1"/>
          <w:sz w:val="24"/>
        </w:rPr>
        <w:t xml:space="preserve">, 141855 by specialized </w:t>
      </w:r>
      <w:r w:rsidR="005E2CBB" w:rsidRPr="00161B6C">
        <w:rPr>
          <w:rFonts w:ascii="Times New Roman" w:hAnsi="Times New Roman" w:cs="Times New Roman"/>
          <w:color w:val="000000" w:themeColor="text1"/>
          <w:sz w:val="24"/>
        </w:rPr>
        <w:t>banks (</w:t>
      </w:r>
      <w:r w:rsidR="00E25282" w:rsidRPr="00161B6C">
        <w:rPr>
          <w:rFonts w:ascii="Times New Roman" w:hAnsi="Times New Roman" w:cs="Times New Roman"/>
          <w:color w:val="000000" w:themeColor="text1"/>
          <w:sz w:val="24"/>
        </w:rPr>
        <w:t>SB)</w:t>
      </w:r>
      <w:r w:rsidRPr="00161B6C">
        <w:rPr>
          <w:rFonts w:ascii="Times New Roman" w:hAnsi="Times New Roman" w:cs="Times New Roman"/>
          <w:color w:val="000000" w:themeColor="text1"/>
          <w:sz w:val="24"/>
        </w:rPr>
        <w:t xml:space="preserve">, 1678889 by private commercial </w:t>
      </w:r>
      <w:r w:rsidR="005E2CBB" w:rsidRPr="00161B6C">
        <w:rPr>
          <w:rFonts w:ascii="Times New Roman" w:hAnsi="Times New Roman" w:cs="Times New Roman"/>
          <w:color w:val="000000" w:themeColor="text1"/>
          <w:sz w:val="24"/>
        </w:rPr>
        <w:t>banks (</w:t>
      </w:r>
      <w:r w:rsidR="00E25282" w:rsidRPr="00161B6C">
        <w:rPr>
          <w:rFonts w:ascii="Times New Roman" w:hAnsi="Times New Roman" w:cs="Times New Roman"/>
          <w:color w:val="000000" w:themeColor="text1"/>
          <w:sz w:val="24"/>
        </w:rPr>
        <w:t>PCB)</w:t>
      </w:r>
      <w:r w:rsidRPr="00161B6C">
        <w:rPr>
          <w:rFonts w:ascii="Times New Roman" w:hAnsi="Times New Roman" w:cs="Times New Roman"/>
          <w:color w:val="000000" w:themeColor="text1"/>
          <w:sz w:val="24"/>
        </w:rPr>
        <w:t xml:space="preserve"> and 2725 by </w:t>
      </w:r>
      <w:r w:rsidR="005E2CBB" w:rsidRPr="00161B6C">
        <w:rPr>
          <w:rFonts w:ascii="Times New Roman" w:hAnsi="Times New Roman" w:cs="Times New Roman"/>
          <w:color w:val="000000" w:themeColor="text1"/>
          <w:sz w:val="24"/>
        </w:rPr>
        <w:t>foreign</w:t>
      </w:r>
      <w:r w:rsidRPr="00161B6C">
        <w:rPr>
          <w:rFonts w:ascii="Times New Roman" w:hAnsi="Times New Roman" w:cs="Times New Roman"/>
          <w:color w:val="000000" w:themeColor="text1"/>
          <w:sz w:val="24"/>
        </w:rPr>
        <w:t xml:space="preserve"> commercial </w:t>
      </w:r>
      <w:r w:rsidR="005E2CBB" w:rsidRPr="00161B6C">
        <w:rPr>
          <w:rFonts w:ascii="Times New Roman" w:hAnsi="Times New Roman" w:cs="Times New Roman"/>
          <w:color w:val="000000" w:themeColor="text1"/>
          <w:sz w:val="24"/>
        </w:rPr>
        <w:t>banks (</w:t>
      </w:r>
      <w:r w:rsidR="00E25282" w:rsidRPr="00161B6C">
        <w:rPr>
          <w:rFonts w:ascii="Times New Roman" w:hAnsi="Times New Roman" w:cs="Times New Roman"/>
          <w:color w:val="000000" w:themeColor="text1"/>
          <w:sz w:val="24"/>
        </w:rPr>
        <w:t>FCB</w:t>
      </w:r>
      <w:r w:rsidR="005E2CBB" w:rsidRPr="00161B6C">
        <w:rPr>
          <w:rFonts w:ascii="Times New Roman" w:hAnsi="Times New Roman" w:cs="Times New Roman"/>
          <w:color w:val="000000" w:themeColor="text1"/>
          <w:sz w:val="24"/>
        </w:rPr>
        <w:t>) (</w:t>
      </w:r>
      <w:r w:rsidR="00E25282" w:rsidRPr="00161B6C">
        <w:rPr>
          <w:rFonts w:ascii="Times New Roman" w:hAnsi="Times New Roman" w:cs="Times New Roman"/>
          <w:color w:val="000000" w:themeColor="text1"/>
          <w:sz w:val="24"/>
        </w:rPr>
        <w:t>Table-1)</w:t>
      </w:r>
      <w:r w:rsidRPr="00161B6C">
        <w:rPr>
          <w:rFonts w:ascii="Times New Roman" w:hAnsi="Times New Roman" w:cs="Times New Roman"/>
          <w:color w:val="000000" w:themeColor="text1"/>
          <w:sz w:val="24"/>
        </w:rPr>
        <w:t>. Approximately 69.04</w:t>
      </w:r>
      <w:r w:rsidR="00E25282" w:rsidRPr="00161B6C">
        <w:rPr>
          <w:rFonts w:ascii="Times New Roman" w:hAnsi="Times New Roman" w:cs="Times New Roman"/>
          <w:color w:val="000000" w:themeColor="text1"/>
          <w:sz w:val="24"/>
        </w:rPr>
        <w:t xml:space="preserve"> percent</w:t>
      </w:r>
      <w:r w:rsidRPr="00161B6C">
        <w:rPr>
          <w:rFonts w:ascii="Times New Roman" w:hAnsi="Times New Roman" w:cs="Times New Roman"/>
          <w:color w:val="000000" w:themeColor="text1"/>
          <w:sz w:val="24"/>
        </w:rPr>
        <w:t xml:space="preserve"> of accounts </w:t>
      </w:r>
      <w:r w:rsidR="00E25282" w:rsidRPr="00161B6C">
        <w:rPr>
          <w:rFonts w:ascii="Times New Roman" w:hAnsi="Times New Roman" w:cs="Times New Roman"/>
          <w:color w:val="000000" w:themeColor="text1"/>
          <w:sz w:val="24"/>
        </w:rPr>
        <w:t>were</w:t>
      </w:r>
      <w:r w:rsidRPr="00161B6C">
        <w:rPr>
          <w:rFonts w:ascii="Times New Roman" w:hAnsi="Times New Roman" w:cs="Times New Roman"/>
          <w:color w:val="000000" w:themeColor="text1"/>
          <w:sz w:val="24"/>
        </w:rPr>
        <w:t xml:space="preserve"> opened by private commercial </w:t>
      </w:r>
      <w:r w:rsidR="00E25282" w:rsidRPr="00161B6C">
        <w:rPr>
          <w:rFonts w:ascii="Times New Roman" w:hAnsi="Times New Roman" w:cs="Times New Roman"/>
          <w:color w:val="000000" w:themeColor="text1"/>
          <w:sz w:val="24"/>
        </w:rPr>
        <w:t>banks (PCB)</w:t>
      </w:r>
      <w:r w:rsidRPr="00161B6C">
        <w:rPr>
          <w:rFonts w:ascii="Times New Roman" w:hAnsi="Times New Roman" w:cs="Times New Roman"/>
          <w:color w:val="000000" w:themeColor="text1"/>
          <w:sz w:val="24"/>
        </w:rPr>
        <w:t>, 25.01</w:t>
      </w:r>
      <w:r w:rsidR="00E25282" w:rsidRPr="00161B6C">
        <w:rPr>
          <w:rFonts w:ascii="Times New Roman" w:hAnsi="Times New Roman" w:cs="Times New Roman"/>
          <w:color w:val="000000" w:themeColor="text1"/>
          <w:sz w:val="24"/>
        </w:rPr>
        <w:t xml:space="preserve"> percent</w:t>
      </w:r>
      <w:r w:rsidRPr="00161B6C">
        <w:rPr>
          <w:rFonts w:ascii="Times New Roman" w:hAnsi="Times New Roman" w:cs="Times New Roman"/>
          <w:color w:val="000000" w:themeColor="text1"/>
          <w:sz w:val="24"/>
        </w:rPr>
        <w:t xml:space="preserve"> by state-owned commercial </w:t>
      </w:r>
      <w:r w:rsidR="00E25282" w:rsidRPr="00161B6C">
        <w:rPr>
          <w:rFonts w:ascii="Times New Roman" w:hAnsi="Times New Roman" w:cs="Times New Roman"/>
          <w:color w:val="000000" w:themeColor="text1"/>
          <w:sz w:val="24"/>
        </w:rPr>
        <w:t>banks (SCB)</w:t>
      </w:r>
      <w:r w:rsidRPr="00161B6C">
        <w:rPr>
          <w:rFonts w:ascii="Times New Roman" w:hAnsi="Times New Roman" w:cs="Times New Roman"/>
          <w:color w:val="000000" w:themeColor="text1"/>
          <w:sz w:val="24"/>
        </w:rPr>
        <w:t>, and 5.83</w:t>
      </w:r>
      <w:r w:rsidR="00E25282" w:rsidRPr="00161B6C">
        <w:rPr>
          <w:rFonts w:ascii="Times New Roman" w:hAnsi="Times New Roman" w:cs="Times New Roman"/>
          <w:color w:val="000000" w:themeColor="text1"/>
          <w:sz w:val="24"/>
        </w:rPr>
        <w:t xml:space="preserve"> percent</w:t>
      </w:r>
      <w:r w:rsidRPr="00161B6C">
        <w:rPr>
          <w:rFonts w:ascii="Times New Roman" w:hAnsi="Times New Roman" w:cs="Times New Roman"/>
          <w:color w:val="000000" w:themeColor="text1"/>
          <w:sz w:val="24"/>
        </w:rPr>
        <w:t xml:space="preserve"> by specialized </w:t>
      </w:r>
      <w:r w:rsidR="00E25282" w:rsidRPr="00161B6C">
        <w:rPr>
          <w:rFonts w:ascii="Times New Roman" w:hAnsi="Times New Roman" w:cs="Times New Roman"/>
          <w:color w:val="000000" w:themeColor="text1"/>
          <w:sz w:val="24"/>
        </w:rPr>
        <w:t>banks (SB)</w:t>
      </w:r>
      <w:r w:rsidRPr="00161B6C">
        <w:rPr>
          <w:rFonts w:ascii="Times New Roman" w:hAnsi="Times New Roman" w:cs="Times New Roman"/>
          <w:color w:val="000000" w:themeColor="text1"/>
          <w:sz w:val="24"/>
        </w:rPr>
        <w:t xml:space="preserve">, and 0.11percent by </w:t>
      </w:r>
      <w:r w:rsidR="00AA6B2E" w:rsidRPr="00161B6C">
        <w:rPr>
          <w:rFonts w:ascii="Times New Roman" w:hAnsi="Times New Roman" w:cs="Times New Roman"/>
          <w:color w:val="000000" w:themeColor="text1"/>
          <w:sz w:val="24"/>
        </w:rPr>
        <w:t xml:space="preserve">foreign commercial </w:t>
      </w:r>
      <w:r w:rsidR="00E25282" w:rsidRPr="00161B6C">
        <w:rPr>
          <w:rFonts w:ascii="Times New Roman" w:hAnsi="Times New Roman" w:cs="Times New Roman"/>
          <w:color w:val="000000" w:themeColor="text1"/>
          <w:sz w:val="24"/>
        </w:rPr>
        <w:t>banks (FCB</w:t>
      </w:r>
      <w:r w:rsidR="005E2CBB" w:rsidRPr="00161B6C">
        <w:rPr>
          <w:rFonts w:ascii="Times New Roman" w:hAnsi="Times New Roman" w:cs="Times New Roman"/>
          <w:color w:val="000000" w:themeColor="text1"/>
          <w:sz w:val="24"/>
        </w:rPr>
        <w:t>) (</w:t>
      </w:r>
      <w:r w:rsidR="00E25282" w:rsidRPr="00161B6C">
        <w:rPr>
          <w:rFonts w:ascii="Times New Roman" w:hAnsi="Times New Roman" w:cs="Times New Roman"/>
          <w:color w:val="000000" w:themeColor="text1"/>
          <w:sz w:val="24"/>
        </w:rPr>
        <w:t>Figure1.2)</w:t>
      </w:r>
      <w:r w:rsidRPr="00161B6C">
        <w:rPr>
          <w:rFonts w:ascii="Times New Roman" w:hAnsi="Times New Roman" w:cs="Times New Roman"/>
          <w:color w:val="000000" w:themeColor="text1"/>
          <w:sz w:val="24"/>
        </w:rPr>
        <w:t>.</w:t>
      </w:r>
      <w:r w:rsidR="00AA6B2E" w:rsidRPr="00161B6C">
        <w:rPr>
          <w:rFonts w:ascii="Times New Roman" w:hAnsi="Times New Roman" w:cs="Times New Roman"/>
          <w:color w:val="000000" w:themeColor="text1"/>
          <w:sz w:val="24"/>
        </w:rPr>
        <w:t xml:space="preserve"> Though the percent of account opening reduced from 2011 to 2020 for private commercial bank and foreign commer</w:t>
      </w:r>
      <w:r w:rsidR="00E25282" w:rsidRPr="00161B6C">
        <w:rPr>
          <w:rFonts w:ascii="Times New Roman" w:hAnsi="Times New Roman" w:cs="Times New Roman"/>
          <w:color w:val="000000" w:themeColor="text1"/>
          <w:sz w:val="24"/>
        </w:rPr>
        <w:t>cial total number of account had</w:t>
      </w:r>
      <w:r w:rsidR="00AA6B2E" w:rsidRPr="00161B6C">
        <w:rPr>
          <w:rFonts w:ascii="Times New Roman" w:hAnsi="Times New Roman" w:cs="Times New Roman"/>
          <w:color w:val="000000" w:themeColor="text1"/>
          <w:sz w:val="24"/>
        </w:rPr>
        <w:t xml:space="preserve"> also</w:t>
      </w:r>
      <w:r w:rsidR="00E25282" w:rsidRPr="00161B6C">
        <w:rPr>
          <w:rFonts w:ascii="Times New Roman" w:hAnsi="Times New Roman" w:cs="Times New Roman"/>
          <w:color w:val="000000" w:themeColor="text1"/>
          <w:sz w:val="24"/>
        </w:rPr>
        <w:t xml:space="preserve"> been</w:t>
      </w:r>
      <w:r w:rsidR="00AA6B2E" w:rsidRPr="00161B6C">
        <w:rPr>
          <w:rFonts w:ascii="Times New Roman" w:hAnsi="Times New Roman" w:cs="Times New Roman"/>
          <w:color w:val="000000" w:themeColor="text1"/>
          <w:sz w:val="24"/>
        </w:rPr>
        <w:t xml:space="preserve"> increased.  Percent of account opened by </w:t>
      </w:r>
      <w:r w:rsidR="0052668C" w:rsidRPr="00161B6C">
        <w:rPr>
          <w:rFonts w:ascii="Times New Roman" w:hAnsi="Times New Roman" w:cs="Times New Roman"/>
          <w:color w:val="000000" w:themeColor="text1"/>
          <w:sz w:val="24"/>
        </w:rPr>
        <w:t>state owned commercial</w:t>
      </w:r>
      <w:r w:rsidR="00E25282" w:rsidRPr="00161B6C">
        <w:rPr>
          <w:rFonts w:ascii="Times New Roman" w:hAnsi="Times New Roman" w:cs="Times New Roman"/>
          <w:color w:val="000000" w:themeColor="text1"/>
          <w:sz w:val="24"/>
        </w:rPr>
        <w:t xml:space="preserve"> bank and specialized banks had</w:t>
      </w:r>
      <w:r w:rsidR="0052668C" w:rsidRPr="00161B6C">
        <w:rPr>
          <w:rFonts w:ascii="Times New Roman" w:hAnsi="Times New Roman" w:cs="Times New Roman"/>
          <w:color w:val="000000" w:themeColor="text1"/>
          <w:sz w:val="24"/>
        </w:rPr>
        <w:t xml:space="preserve"> increased from 1.22 to 25.01 percent, 2.19 to 5.83 percent </w:t>
      </w:r>
      <w:r w:rsidR="003E702E" w:rsidRPr="00161B6C">
        <w:rPr>
          <w:rFonts w:ascii="Times New Roman" w:hAnsi="Times New Roman" w:cs="Times New Roman"/>
          <w:color w:val="000000" w:themeColor="text1"/>
          <w:sz w:val="24"/>
        </w:rPr>
        <w:t>respectively (Figure 1</w:t>
      </w:r>
      <w:r w:rsidR="00B9075F" w:rsidRPr="00161B6C">
        <w:rPr>
          <w:rFonts w:ascii="Times New Roman" w:hAnsi="Times New Roman" w:cs="Times New Roman"/>
          <w:color w:val="000000" w:themeColor="text1"/>
          <w:sz w:val="24"/>
        </w:rPr>
        <w:t>.2</w:t>
      </w:r>
      <w:r w:rsidR="003E702E" w:rsidRPr="00161B6C">
        <w:rPr>
          <w:rFonts w:ascii="Times New Roman" w:hAnsi="Times New Roman" w:cs="Times New Roman"/>
          <w:color w:val="000000" w:themeColor="text1"/>
          <w:sz w:val="24"/>
        </w:rPr>
        <w:t>)</w:t>
      </w:r>
      <w:r w:rsidR="0052668C" w:rsidRPr="00161B6C">
        <w:rPr>
          <w:rFonts w:ascii="Times New Roman" w:hAnsi="Times New Roman" w:cs="Times New Roman"/>
          <w:color w:val="000000" w:themeColor="text1"/>
          <w:sz w:val="24"/>
        </w:rPr>
        <w:t xml:space="preserve">.  These indicate that state owned commercial bank and specialized banks has enhanced their promotional </w:t>
      </w:r>
      <w:r w:rsidR="0052668C" w:rsidRPr="00161B6C">
        <w:rPr>
          <w:rFonts w:ascii="Times New Roman" w:hAnsi="Times New Roman" w:cs="Times New Roman"/>
          <w:color w:val="000000" w:themeColor="text1"/>
          <w:sz w:val="24"/>
        </w:rPr>
        <w:lastRenderedPageBreak/>
        <w:t>activity. The total number of account increased from</w:t>
      </w:r>
      <w:r w:rsidR="00E25282" w:rsidRPr="00161B6C">
        <w:rPr>
          <w:rFonts w:ascii="Times New Roman" w:hAnsi="Times New Roman" w:cs="Times New Roman"/>
          <w:color w:val="000000" w:themeColor="text1"/>
          <w:sz w:val="24"/>
        </w:rPr>
        <w:t xml:space="preserve"> </w:t>
      </w:r>
      <w:r w:rsidR="0052668C" w:rsidRPr="00161B6C">
        <w:rPr>
          <w:rFonts w:ascii="Times New Roman" w:hAnsi="Times New Roman" w:cs="Times New Roman"/>
          <w:color w:val="000000" w:themeColor="text1"/>
          <w:sz w:val="24"/>
        </w:rPr>
        <w:t>29080 in 2011 to 2431602 in 2020. This shows that all the bank given tremendous effort in school banking</w:t>
      </w:r>
      <w:r w:rsidR="005E2CBB" w:rsidRPr="00161B6C">
        <w:rPr>
          <w:rFonts w:ascii="Times New Roman" w:hAnsi="Times New Roman" w:cs="Times New Roman"/>
          <w:color w:val="000000" w:themeColor="text1"/>
          <w:sz w:val="24"/>
        </w:rPr>
        <w:t xml:space="preserve"> and achieved admirable results. </w:t>
      </w:r>
    </w:p>
    <w:p w:rsidR="00224719" w:rsidRPr="00161B6C" w:rsidRDefault="00224719" w:rsidP="00B32D89">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Table</w:t>
      </w:r>
      <w:r w:rsidR="00B32D89" w:rsidRPr="00161B6C">
        <w:rPr>
          <w:rFonts w:ascii="Times New Roman" w:hAnsi="Times New Roman" w:cs="Times New Roman"/>
          <w:b/>
          <w:color w:val="000000" w:themeColor="text1"/>
          <w:sz w:val="24"/>
        </w:rPr>
        <w:t>: 1</w:t>
      </w:r>
      <w:r w:rsidRPr="00161B6C">
        <w:rPr>
          <w:rFonts w:ascii="Times New Roman" w:hAnsi="Times New Roman" w:cs="Times New Roman"/>
          <w:b/>
          <w:color w:val="000000" w:themeColor="text1"/>
          <w:sz w:val="24"/>
        </w:rPr>
        <w:t>. Number of school banking accounts for 2011 and 2020.</w:t>
      </w:r>
    </w:p>
    <w:tbl>
      <w:tblPr>
        <w:tblStyle w:val="TableGrid"/>
        <w:tblW w:w="0" w:type="auto"/>
        <w:tblLayout w:type="fixed"/>
        <w:tblLook w:val="04A0" w:firstRow="1" w:lastRow="0" w:firstColumn="1" w:lastColumn="0" w:noHBand="0" w:noVBand="1"/>
      </w:tblPr>
      <w:tblGrid>
        <w:gridCol w:w="805"/>
        <w:gridCol w:w="1802"/>
        <w:gridCol w:w="1977"/>
        <w:gridCol w:w="1726"/>
        <w:gridCol w:w="1712"/>
        <w:gridCol w:w="1328"/>
      </w:tblGrid>
      <w:tr w:rsidR="00DD3FA5" w:rsidRPr="00161B6C" w:rsidTr="00C6533D">
        <w:trPr>
          <w:trHeight w:val="800"/>
        </w:trPr>
        <w:tc>
          <w:tcPr>
            <w:tcW w:w="805" w:type="dxa"/>
            <w:noWrap/>
            <w:hideMark/>
          </w:tcPr>
          <w:p w:rsidR="00C6533D" w:rsidRPr="00161B6C" w:rsidRDefault="00C6533D" w:rsidP="00067537">
            <w:pPr>
              <w:jc w:val="center"/>
              <w:rPr>
                <w:rFonts w:ascii="Times New Roman" w:eastAsia="Times New Roman" w:hAnsi="Times New Roman" w:cs="Times New Roman"/>
                <w:color w:val="000000" w:themeColor="text1"/>
                <w:sz w:val="24"/>
                <w:szCs w:val="24"/>
              </w:rPr>
            </w:pPr>
            <w:r w:rsidRPr="00161B6C">
              <w:rPr>
                <w:rFonts w:ascii="Calibri" w:eastAsia="Times New Roman" w:hAnsi="Calibri" w:cs="Calibri"/>
                <w:color w:val="000000" w:themeColor="text1"/>
              </w:rPr>
              <w:t>Bank type</w:t>
            </w:r>
          </w:p>
        </w:tc>
        <w:tc>
          <w:tcPr>
            <w:tcW w:w="1802" w:type="dxa"/>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number of accounts</w:t>
            </w:r>
            <w:r w:rsidRPr="00161B6C">
              <w:rPr>
                <w:rFonts w:ascii="Times New Roman" w:eastAsia="Times New Roman" w:hAnsi="Times New Roman" w:cs="Times New Roman"/>
                <w:color w:val="000000" w:themeColor="text1"/>
                <w:sz w:val="20"/>
                <w:szCs w:val="20"/>
              </w:rPr>
              <w:t xml:space="preserve"> </w:t>
            </w:r>
            <w:r w:rsidRPr="00161B6C">
              <w:rPr>
                <w:rFonts w:ascii="Calibri" w:eastAsia="Times New Roman" w:hAnsi="Calibri" w:cs="Calibri"/>
                <w:color w:val="000000" w:themeColor="text1"/>
              </w:rPr>
              <w:t>up to   December, 2011</w:t>
            </w:r>
          </w:p>
        </w:tc>
        <w:tc>
          <w:tcPr>
            <w:tcW w:w="1977" w:type="dxa"/>
            <w:noWrap/>
            <w:hideMark/>
          </w:tcPr>
          <w:p w:rsidR="00C6533D" w:rsidRPr="00161B6C" w:rsidRDefault="00C858FF" w:rsidP="00067537">
            <w:pPr>
              <w:jc w:val="center"/>
              <w:rPr>
                <w:rFonts w:ascii="Times New Roman" w:eastAsia="Times New Roman" w:hAnsi="Times New Roman" w:cs="Times New Roman"/>
                <w:color w:val="000000" w:themeColor="text1"/>
                <w:sz w:val="20"/>
                <w:szCs w:val="20"/>
              </w:rPr>
            </w:pPr>
            <w:r w:rsidRPr="00161B6C">
              <w:rPr>
                <w:rFonts w:ascii="Calibri" w:eastAsia="Times New Roman" w:hAnsi="Calibri" w:cs="Calibri"/>
                <w:color w:val="000000" w:themeColor="text1"/>
              </w:rPr>
              <w:t>Percentage of account</w:t>
            </w:r>
            <w:r w:rsidR="00C6533D" w:rsidRPr="00161B6C">
              <w:rPr>
                <w:rFonts w:ascii="Calibri" w:eastAsia="Times New Roman" w:hAnsi="Calibri" w:cs="Calibri"/>
                <w:color w:val="000000" w:themeColor="text1"/>
              </w:rPr>
              <w:t xml:space="preserve"> up to   December, 2011</w:t>
            </w:r>
          </w:p>
        </w:tc>
        <w:tc>
          <w:tcPr>
            <w:tcW w:w="1726" w:type="dxa"/>
            <w:noWrap/>
            <w:hideMark/>
          </w:tcPr>
          <w:p w:rsidR="00C6533D" w:rsidRPr="00161B6C" w:rsidRDefault="00C6533D" w:rsidP="00067537">
            <w:pPr>
              <w:jc w:val="center"/>
              <w:rPr>
                <w:rFonts w:ascii="Times New Roman" w:eastAsia="Times New Roman" w:hAnsi="Times New Roman" w:cs="Times New Roman"/>
                <w:color w:val="000000" w:themeColor="text1"/>
                <w:sz w:val="20"/>
                <w:szCs w:val="20"/>
              </w:rPr>
            </w:pPr>
            <w:r w:rsidRPr="00161B6C">
              <w:rPr>
                <w:rFonts w:ascii="Calibri" w:eastAsia="Times New Roman" w:hAnsi="Calibri" w:cs="Calibri"/>
                <w:color w:val="000000" w:themeColor="text1"/>
              </w:rPr>
              <w:t>number of accounts</w:t>
            </w:r>
            <w:r w:rsidRPr="00161B6C">
              <w:rPr>
                <w:rFonts w:ascii="Times New Roman" w:eastAsia="Times New Roman" w:hAnsi="Times New Roman" w:cs="Times New Roman"/>
                <w:color w:val="000000" w:themeColor="text1"/>
                <w:sz w:val="20"/>
                <w:szCs w:val="20"/>
              </w:rPr>
              <w:t xml:space="preserve"> </w:t>
            </w:r>
            <w:r w:rsidRPr="00161B6C">
              <w:rPr>
                <w:rFonts w:ascii="Calibri" w:eastAsia="Times New Roman" w:hAnsi="Calibri" w:cs="Calibri"/>
                <w:color w:val="000000" w:themeColor="text1"/>
              </w:rPr>
              <w:t>up to June, 2020</w:t>
            </w:r>
          </w:p>
        </w:tc>
        <w:tc>
          <w:tcPr>
            <w:tcW w:w="1712" w:type="dxa"/>
            <w:noWrap/>
            <w:hideMark/>
          </w:tcPr>
          <w:p w:rsidR="00C6533D" w:rsidRPr="00161B6C" w:rsidRDefault="00C858FF" w:rsidP="00067537">
            <w:pPr>
              <w:jc w:val="center"/>
              <w:rPr>
                <w:rFonts w:ascii="Times New Roman" w:eastAsia="Times New Roman" w:hAnsi="Times New Roman" w:cs="Times New Roman"/>
                <w:color w:val="000000" w:themeColor="text1"/>
                <w:sz w:val="20"/>
                <w:szCs w:val="20"/>
              </w:rPr>
            </w:pPr>
            <w:r w:rsidRPr="00161B6C">
              <w:rPr>
                <w:rFonts w:ascii="Calibri" w:eastAsia="Times New Roman" w:hAnsi="Calibri" w:cs="Calibri"/>
                <w:color w:val="000000" w:themeColor="text1"/>
              </w:rPr>
              <w:t xml:space="preserve">Percentage of account up to   </w:t>
            </w:r>
            <w:r w:rsidR="00C6533D" w:rsidRPr="00161B6C">
              <w:rPr>
                <w:rFonts w:ascii="Calibri" w:eastAsia="Times New Roman" w:hAnsi="Calibri" w:cs="Calibri"/>
                <w:color w:val="000000" w:themeColor="text1"/>
              </w:rPr>
              <w:t>June, 2020</w:t>
            </w:r>
          </w:p>
        </w:tc>
        <w:tc>
          <w:tcPr>
            <w:tcW w:w="1328" w:type="dxa"/>
            <w:noWrap/>
            <w:hideMark/>
          </w:tcPr>
          <w:p w:rsidR="00C6533D" w:rsidRPr="00161B6C" w:rsidRDefault="00C6533D" w:rsidP="00067537">
            <w:pPr>
              <w:jc w:val="center"/>
              <w:rPr>
                <w:rFonts w:ascii="Times New Roman" w:eastAsia="Times New Roman" w:hAnsi="Times New Roman" w:cs="Times New Roman"/>
                <w:color w:val="000000" w:themeColor="text1"/>
                <w:sz w:val="20"/>
                <w:szCs w:val="20"/>
              </w:rPr>
            </w:pPr>
            <w:r w:rsidRPr="00161B6C">
              <w:rPr>
                <w:rFonts w:ascii="Calibri" w:eastAsia="Times New Roman" w:hAnsi="Calibri" w:cs="Calibri"/>
                <w:color w:val="000000" w:themeColor="text1"/>
              </w:rPr>
              <w:t>changes in account number</w:t>
            </w:r>
          </w:p>
        </w:tc>
      </w:tr>
      <w:tr w:rsidR="00DD3FA5" w:rsidRPr="00161B6C" w:rsidTr="00C6533D">
        <w:trPr>
          <w:trHeight w:val="255"/>
        </w:trPr>
        <w:tc>
          <w:tcPr>
            <w:tcW w:w="805" w:type="dxa"/>
            <w:hideMark/>
          </w:tcPr>
          <w:p w:rsidR="001237D6" w:rsidRPr="00161B6C" w:rsidRDefault="001237D6" w:rsidP="00067537">
            <w:pPr>
              <w:rPr>
                <w:rFonts w:ascii="Calibri" w:eastAsia="Times New Roman" w:hAnsi="Calibri" w:cs="Calibri"/>
                <w:color w:val="000000" w:themeColor="text1"/>
              </w:rPr>
            </w:pPr>
            <w:r w:rsidRPr="00161B6C">
              <w:rPr>
                <w:rFonts w:ascii="Calibri" w:eastAsia="Times New Roman" w:hAnsi="Calibri" w:cs="Calibri"/>
                <w:color w:val="000000" w:themeColor="text1"/>
              </w:rPr>
              <w:t xml:space="preserve"> (SCB)</w:t>
            </w:r>
          </w:p>
        </w:tc>
        <w:tc>
          <w:tcPr>
            <w:tcW w:w="1802" w:type="dxa"/>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354</w:t>
            </w:r>
          </w:p>
        </w:tc>
        <w:tc>
          <w:tcPr>
            <w:tcW w:w="1977" w:type="dxa"/>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1.22</w:t>
            </w:r>
          </w:p>
        </w:tc>
        <w:tc>
          <w:tcPr>
            <w:tcW w:w="1726"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608133</w:t>
            </w:r>
          </w:p>
        </w:tc>
        <w:tc>
          <w:tcPr>
            <w:tcW w:w="1712"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25.01</w:t>
            </w:r>
          </w:p>
        </w:tc>
        <w:tc>
          <w:tcPr>
            <w:tcW w:w="1328" w:type="dxa"/>
            <w:noWrap/>
            <w:hideMark/>
          </w:tcPr>
          <w:p w:rsidR="001237D6"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607779</w:t>
            </w:r>
          </w:p>
        </w:tc>
      </w:tr>
      <w:tr w:rsidR="00DD3FA5" w:rsidRPr="00161B6C" w:rsidTr="00C6533D">
        <w:trPr>
          <w:trHeight w:val="300"/>
        </w:trPr>
        <w:tc>
          <w:tcPr>
            <w:tcW w:w="805" w:type="dxa"/>
            <w:noWrap/>
            <w:hideMark/>
          </w:tcPr>
          <w:p w:rsidR="001237D6" w:rsidRPr="00161B6C" w:rsidRDefault="001237D6" w:rsidP="00067537">
            <w:pPr>
              <w:rPr>
                <w:rFonts w:ascii="Calibri" w:eastAsia="Times New Roman" w:hAnsi="Calibri" w:cs="Calibri"/>
                <w:color w:val="000000" w:themeColor="text1"/>
              </w:rPr>
            </w:pPr>
            <w:r w:rsidRPr="00161B6C">
              <w:rPr>
                <w:rFonts w:ascii="Calibri" w:eastAsia="Times New Roman" w:hAnsi="Calibri" w:cs="Calibri"/>
                <w:color w:val="000000" w:themeColor="text1"/>
              </w:rPr>
              <w:t>(SB)</w:t>
            </w:r>
          </w:p>
        </w:tc>
        <w:tc>
          <w:tcPr>
            <w:tcW w:w="1802"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637</w:t>
            </w:r>
          </w:p>
        </w:tc>
        <w:tc>
          <w:tcPr>
            <w:tcW w:w="1977" w:type="dxa"/>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2.19</w:t>
            </w:r>
          </w:p>
        </w:tc>
        <w:tc>
          <w:tcPr>
            <w:tcW w:w="1726"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141855</w:t>
            </w:r>
          </w:p>
        </w:tc>
        <w:tc>
          <w:tcPr>
            <w:tcW w:w="1712"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5.83</w:t>
            </w:r>
          </w:p>
        </w:tc>
        <w:tc>
          <w:tcPr>
            <w:tcW w:w="1328" w:type="dxa"/>
            <w:noWrap/>
            <w:hideMark/>
          </w:tcPr>
          <w:p w:rsidR="001237D6"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141218</w:t>
            </w:r>
          </w:p>
        </w:tc>
      </w:tr>
      <w:tr w:rsidR="00DD3FA5" w:rsidRPr="00161B6C" w:rsidTr="00C6533D">
        <w:trPr>
          <w:trHeight w:val="300"/>
        </w:trPr>
        <w:tc>
          <w:tcPr>
            <w:tcW w:w="805" w:type="dxa"/>
            <w:noWrap/>
            <w:hideMark/>
          </w:tcPr>
          <w:p w:rsidR="001237D6" w:rsidRPr="00161B6C" w:rsidRDefault="001237D6" w:rsidP="00067537">
            <w:pPr>
              <w:rPr>
                <w:rFonts w:ascii="Calibri" w:eastAsia="Times New Roman" w:hAnsi="Calibri" w:cs="Calibri"/>
                <w:color w:val="000000" w:themeColor="text1"/>
              </w:rPr>
            </w:pPr>
            <w:r w:rsidRPr="00161B6C">
              <w:rPr>
                <w:rFonts w:ascii="Calibri" w:eastAsia="Times New Roman" w:hAnsi="Calibri" w:cs="Calibri"/>
                <w:color w:val="000000" w:themeColor="text1"/>
              </w:rPr>
              <w:t>(PCB)</w:t>
            </w:r>
          </w:p>
        </w:tc>
        <w:tc>
          <w:tcPr>
            <w:tcW w:w="1802"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27,830</w:t>
            </w:r>
          </w:p>
        </w:tc>
        <w:tc>
          <w:tcPr>
            <w:tcW w:w="1977" w:type="dxa"/>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95.70</w:t>
            </w:r>
          </w:p>
        </w:tc>
        <w:tc>
          <w:tcPr>
            <w:tcW w:w="1726"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1678889</w:t>
            </w:r>
          </w:p>
        </w:tc>
        <w:tc>
          <w:tcPr>
            <w:tcW w:w="1712"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69.04</w:t>
            </w:r>
          </w:p>
        </w:tc>
        <w:tc>
          <w:tcPr>
            <w:tcW w:w="1328" w:type="dxa"/>
            <w:noWrap/>
            <w:hideMark/>
          </w:tcPr>
          <w:p w:rsidR="001237D6"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1651059</w:t>
            </w:r>
          </w:p>
        </w:tc>
      </w:tr>
      <w:tr w:rsidR="00DD3FA5" w:rsidRPr="00161B6C" w:rsidTr="00C6533D">
        <w:trPr>
          <w:trHeight w:val="300"/>
        </w:trPr>
        <w:tc>
          <w:tcPr>
            <w:tcW w:w="805" w:type="dxa"/>
            <w:noWrap/>
            <w:hideMark/>
          </w:tcPr>
          <w:p w:rsidR="001237D6" w:rsidRPr="00161B6C" w:rsidRDefault="001237D6" w:rsidP="00067537">
            <w:pPr>
              <w:rPr>
                <w:rFonts w:ascii="Calibri" w:eastAsia="Times New Roman" w:hAnsi="Calibri" w:cs="Calibri"/>
                <w:color w:val="000000" w:themeColor="text1"/>
              </w:rPr>
            </w:pPr>
            <w:r w:rsidRPr="00161B6C">
              <w:rPr>
                <w:rFonts w:ascii="Calibri" w:eastAsia="Times New Roman" w:hAnsi="Calibri" w:cs="Calibri"/>
                <w:color w:val="000000" w:themeColor="text1"/>
              </w:rPr>
              <w:t>(FCB)</w:t>
            </w:r>
          </w:p>
        </w:tc>
        <w:tc>
          <w:tcPr>
            <w:tcW w:w="1802"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259</w:t>
            </w:r>
          </w:p>
        </w:tc>
        <w:tc>
          <w:tcPr>
            <w:tcW w:w="1977" w:type="dxa"/>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0.89</w:t>
            </w:r>
          </w:p>
        </w:tc>
        <w:tc>
          <w:tcPr>
            <w:tcW w:w="1726"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2725</w:t>
            </w:r>
          </w:p>
        </w:tc>
        <w:tc>
          <w:tcPr>
            <w:tcW w:w="1712"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0.11</w:t>
            </w:r>
          </w:p>
        </w:tc>
        <w:tc>
          <w:tcPr>
            <w:tcW w:w="1328" w:type="dxa"/>
            <w:noWrap/>
            <w:hideMark/>
          </w:tcPr>
          <w:p w:rsidR="001237D6"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2466</w:t>
            </w:r>
          </w:p>
        </w:tc>
      </w:tr>
      <w:tr w:rsidR="00DD3FA5" w:rsidRPr="00161B6C" w:rsidTr="00C6533D">
        <w:trPr>
          <w:trHeight w:val="300"/>
        </w:trPr>
        <w:tc>
          <w:tcPr>
            <w:tcW w:w="805" w:type="dxa"/>
            <w:noWrap/>
            <w:hideMark/>
          </w:tcPr>
          <w:p w:rsidR="001237D6" w:rsidRPr="00161B6C" w:rsidRDefault="001237D6" w:rsidP="00067537">
            <w:pPr>
              <w:rPr>
                <w:rFonts w:ascii="Calibri" w:eastAsia="Times New Roman" w:hAnsi="Calibri" w:cs="Calibri"/>
                <w:color w:val="000000" w:themeColor="text1"/>
              </w:rPr>
            </w:pPr>
            <w:r w:rsidRPr="00161B6C">
              <w:rPr>
                <w:rFonts w:ascii="Calibri" w:eastAsia="Times New Roman" w:hAnsi="Calibri" w:cs="Calibri"/>
                <w:color w:val="000000" w:themeColor="text1"/>
              </w:rPr>
              <w:t xml:space="preserve">Total </w:t>
            </w:r>
          </w:p>
        </w:tc>
        <w:tc>
          <w:tcPr>
            <w:tcW w:w="1802"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29080</w:t>
            </w:r>
          </w:p>
        </w:tc>
        <w:tc>
          <w:tcPr>
            <w:tcW w:w="1977" w:type="dxa"/>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100.00</w:t>
            </w:r>
          </w:p>
        </w:tc>
        <w:tc>
          <w:tcPr>
            <w:tcW w:w="1726"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2431602</w:t>
            </w:r>
          </w:p>
        </w:tc>
        <w:tc>
          <w:tcPr>
            <w:tcW w:w="1712" w:type="dxa"/>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100.00</w:t>
            </w:r>
          </w:p>
        </w:tc>
        <w:tc>
          <w:tcPr>
            <w:tcW w:w="1328" w:type="dxa"/>
            <w:noWrap/>
            <w:hideMark/>
          </w:tcPr>
          <w:p w:rsidR="001237D6"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2402522</w:t>
            </w:r>
          </w:p>
        </w:tc>
      </w:tr>
    </w:tbl>
    <w:p w:rsidR="00311756" w:rsidRPr="00161B6C" w:rsidRDefault="00AA6B2E" w:rsidP="00B32D89">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Source: Bangladesh bank quarterly report of financial inclusion from 2011 to 2020.</w:t>
      </w:r>
    </w:p>
    <w:p w:rsidR="001D614A" w:rsidRPr="00161B6C" w:rsidRDefault="001D614A" w:rsidP="00067537">
      <w:pPr>
        <w:spacing w:after="0" w:line="240" w:lineRule="auto"/>
        <w:rPr>
          <w:rFonts w:ascii="Times New Roman" w:hAnsi="Times New Roman" w:cs="Times New Roman"/>
          <w:b/>
          <w:color w:val="000000" w:themeColor="text1"/>
          <w:sz w:val="24"/>
        </w:rPr>
      </w:pPr>
    </w:p>
    <w:p w:rsidR="00311756" w:rsidRPr="00161B6C" w:rsidRDefault="000138E5" w:rsidP="00B32D89">
      <w:pPr>
        <w:spacing w:after="0" w:line="240" w:lineRule="auto"/>
        <w:jc w:val="center"/>
        <w:rPr>
          <w:rFonts w:ascii="Times New Roman" w:hAnsi="Times New Roman" w:cs="Times New Roman"/>
          <w:color w:val="000000" w:themeColor="text1"/>
          <w:sz w:val="24"/>
        </w:rPr>
      </w:pPr>
      <w:r w:rsidRPr="00161B6C">
        <w:rPr>
          <w:rFonts w:ascii="Times New Roman" w:hAnsi="Times New Roman" w:cs="Times New Roman"/>
          <w:color w:val="000000" w:themeColor="text1"/>
          <w:sz w:val="24"/>
        </w:rPr>
        <w:t>Figure</w:t>
      </w:r>
      <w:r w:rsidR="003E702E" w:rsidRPr="00161B6C">
        <w:rPr>
          <w:rFonts w:ascii="Times New Roman" w:hAnsi="Times New Roman" w:cs="Times New Roman"/>
          <w:color w:val="000000" w:themeColor="text1"/>
          <w:sz w:val="24"/>
        </w:rPr>
        <w:t xml:space="preserve"> 1</w:t>
      </w:r>
      <w:r w:rsidRPr="00161B6C">
        <w:rPr>
          <w:rFonts w:ascii="Times New Roman" w:hAnsi="Times New Roman" w:cs="Times New Roman"/>
          <w:color w:val="000000" w:themeColor="text1"/>
          <w:sz w:val="24"/>
        </w:rPr>
        <w:t>: Pie chart of comparative position of school banking 2011 to 2020.</w:t>
      </w:r>
    </w:p>
    <w:tbl>
      <w:tblPr>
        <w:tblStyle w:val="TableGrid"/>
        <w:tblW w:w="0" w:type="auto"/>
        <w:tblLook w:val="04A0" w:firstRow="1" w:lastRow="0" w:firstColumn="1" w:lastColumn="0" w:noHBand="0" w:noVBand="1"/>
      </w:tblPr>
      <w:tblGrid>
        <w:gridCol w:w="4846"/>
        <w:gridCol w:w="4504"/>
      </w:tblGrid>
      <w:tr w:rsidR="00161B6C" w:rsidRPr="00161B6C" w:rsidTr="00C440AB">
        <w:trPr>
          <w:trHeight w:val="5525"/>
        </w:trPr>
        <w:tc>
          <w:tcPr>
            <w:tcW w:w="4731" w:type="dxa"/>
          </w:tcPr>
          <w:p w:rsidR="0052668C" w:rsidRPr="00161B6C" w:rsidRDefault="00F405FE" w:rsidP="00067537">
            <w:pPr>
              <w:rPr>
                <w:rFonts w:ascii="Times New Roman" w:hAnsi="Times New Roman" w:cs="Times New Roman"/>
                <w:color w:val="000000" w:themeColor="text1"/>
                <w:sz w:val="24"/>
              </w:rPr>
            </w:pPr>
            <w:r w:rsidRPr="00161B6C">
              <w:rPr>
                <w:noProof/>
                <w:color w:val="000000" w:themeColor="text1"/>
              </w:rPr>
              <w:drawing>
                <wp:anchor distT="0" distB="0" distL="114300" distR="114300" simplePos="0" relativeHeight="251658240" behindDoc="0" locked="0" layoutInCell="1" allowOverlap="1">
                  <wp:simplePos x="0" y="0"/>
                  <wp:positionH relativeFrom="column">
                    <wp:posOffset>-65405</wp:posOffset>
                  </wp:positionH>
                  <wp:positionV relativeFrom="paragraph">
                    <wp:posOffset>0</wp:posOffset>
                  </wp:positionV>
                  <wp:extent cx="3086100" cy="3486150"/>
                  <wp:effectExtent l="0" t="0" r="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tc>
        <w:tc>
          <w:tcPr>
            <w:tcW w:w="4619" w:type="dxa"/>
          </w:tcPr>
          <w:p w:rsidR="0052668C" w:rsidRPr="00161B6C" w:rsidRDefault="0052668C" w:rsidP="00067537">
            <w:pPr>
              <w:rPr>
                <w:rFonts w:ascii="Times New Roman" w:hAnsi="Times New Roman" w:cs="Times New Roman"/>
                <w:color w:val="000000" w:themeColor="text1"/>
                <w:sz w:val="24"/>
              </w:rPr>
            </w:pPr>
            <w:r w:rsidRPr="00161B6C">
              <w:rPr>
                <w:noProof/>
                <w:color w:val="000000" w:themeColor="text1"/>
              </w:rPr>
              <w:drawing>
                <wp:inline distT="0" distB="0" distL="0" distR="0" wp14:anchorId="3793A0A9" wp14:editId="35873927">
                  <wp:extent cx="2857500" cy="34575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0311BF" w:rsidRPr="00161B6C" w:rsidRDefault="00C440AB" w:rsidP="00B32D89">
      <w:pPr>
        <w:spacing w:after="0" w:line="240" w:lineRule="auto"/>
        <w:jc w:val="center"/>
        <w:rPr>
          <w:rFonts w:ascii="Times New Roman" w:hAnsi="Times New Roman" w:cs="Times New Roman"/>
          <w:color w:val="000000" w:themeColor="text1"/>
          <w:sz w:val="24"/>
        </w:rPr>
      </w:pPr>
      <w:r w:rsidRPr="00161B6C">
        <w:rPr>
          <w:rFonts w:ascii="Times New Roman" w:hAnsi="Times New Roman" w:cs="Times New Roman"/>
          <w:color w:val="000000" w:themeColor="text1"/>
          <w:sz w:val="24"/>
        </w:rPr>
        <w:t>Source: Bangladesh bank quarterly report of financial inclusion from 2011 to 2020.</w:t>
      </w:r>
    </w:p>
    <w:p w:rsidR="0083379F" w:rsidRPr="00161B6C" w:rsidRDefault="0055720B" w:rsidP="00067537">
      <w:pPr>
        <w:spacing w:after="0" w:line="240" w:lineRule="auto"/>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     </w:t>
      </w:r>
      <w:r w:rsidR="00C83570" w:rsidRPr="00161B6C">
        <w:rPr>
          <w:rFonts w:ascii="Times New Roman" w:hAnsi="Times New Roman" w:cs="Times New Roman"/>
          <w:b/>
          <w:color w:val="000000" w:themeColor="text1"/>
          <w:sz w:val="24"/>
        </w:rPr>
        <w:t xml:space="preserve">4.2 </w:t>
      </w:r>
      <w:r w:rsidR="005704C6" w:rsidRPr="00161B6C">
        <w:rPr>
          <w:rFonts w:ascii="Times New Roman" w:hAnsi="Times New Roman" w:cs="Times New Roman"/>
          <w:b/>
          <w:color w:val="000000" w:themeColor="text1"/>
          <w:sz w:val="24"/>
        </w:rPr>
        <w:t>Deposit mobilization</w:t>
      </w:r>
      <w:r w:rsidR="003E702E" w:rsidRPr="00161B6C">
        <w:rPr>
          <w:rFonts w:ascii="Times New Roman" w:hAnsi="Times New Roman" w:cs="Times New Roman"/>
          <w:b/>
          <w:color w:val="000000" w:themeColor="text1"/>
          <w:sz w:val="24"/>
        </w:rPr>
        <w:t xml:space="preserve"> </w:t>
      </w:r>
    </w:p>
    <w:p w:rsidR="00B07A05" w:rsidRPr="00161B6C" w:rsidRDefault="005B5C19" w:rsidP="00067537">
      <w:pPr>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 xml:space="preserve">The launch </w:t>
      </w:r>
      <w:r w:rsidR="00EE10F5" w:rsidRPr="00161B6C">
        <w:rPr>
          <w:rFonts w:ascii="Times New Roman" w:hAnsi="Times New Roman" w:cs="Times New Roman"/>
          <w:color w:val="000000" w:themeColor="text1"/>
          <w:sz w:val="24"/>
          <w:szCs w:val="24"/>
        </w:rPr>
        <w:t xml:space="preserve">of the school banking program with the goal of promoting </w:t>
      </w:r>
      <w:r w:rsidRPr="00161B6C">
        <w:rPr>
          <w:rFonts w:ascii="Times New Roman" w:hAnsi="Times New Roman" w:cs="Times New Roman"/>
          <w:color w:val="000000" w:themeColor="text1"/>
          <w:sz w:val="24"/>
          <w:szCs w:val="24"/>
        </w:rPr>
        <w:t>the habit of saving at an early age is one of the most important milestones in the financial inclusion initiatives of the Bangladesh Bank. The initiative exposes students under the age of 18 to banking facilities and new banking technologies. In November 2010, the Bangladesh Bank released a directive for banks to implement school banking.</w:t>
      </w:r>
      <w:r w:rsidR="00EE10F5" w:rsidRPr="00161B6C">
        <w:rPr>
          <w:rFonts w:ascii="Times New Roman" w:hAnsi="Times New Roman" w:cs="Times New Roman"/>
          <w:color w:val="000000" w:themeColor="text1"/>
          <w:sz w:val="24"/>
          <w:szCs w:val="24"/>
        </w:rPr>
        <w:t xml:space="preserve"> </w:t>
      </w:r>
      <w:r w:rsidR="00CD06C1" w:rsidRPr="00161B6C">
        <w:rPr>
          <w:rFonts w:ascii="Times New Roman" w:hAnsi="Times New Roman" w:cs="Times New Roman"/>
          <w:color w:val="000000" w:themeColor="text1"/>
          <w:sz w:val="24"/>
          <w:szCs w:val="24"/>
        </w:rPr>
        <w:t>Initially 46 banks in Bangladesh had started its journey to the school banking. At the end of December 2011, accumulated deposits in the school banking accounts stood at Tk. 30.79 crores. Of</w:t>
      </w:r>
      <w:r w:rsidR="00A62D30" w:rsidRPr="00161B6C">
        <w:rPr>
          <w:rFonts w:ascii="Times New Roman" w:hAnsi="Times New Roman" w:cs="Times New Roman"/>
          <w:color w:val="000000" w:themeColor="text1"/>
          <w:sz w:val="24"/>
          <w:szCs w:val="24"/>
        </w:rPr>
        <w:t xml:space="preserve"> that deposit</w:t>
      </w:r>
      <w:r w:rsidR="001B7959" w:rsidRPr="00161B6C">
        <w:rPr>
          <w:rFonts w:ascii="Times New Roman" w:hAnsi="Times New Roman" w:cs="Times New Roman"/>
          <w:color w:val="000000" w:themeColor="text1"/>
          <w:sz w:val="24"/>
          <w:szCs w:val="24"/>
        </w:rPr>
        <w:t>s</w:t>
      </w:r>
      <w:r w:rsidR="00592847" w:rsidRPr="00161B6C">
        <w:rPr>
          <w:rFonts w:ascii="Times New Roman" w:hAnsi="Times New Roman" w:cs="Times New Roman"/>
          <w:color w:val="000000" w:themeColor="text1"/>
          <w:sz w:val="24"/>
          <w:szCs w:val="24"/>
        </w:rPr>
        <w:t>,</w:t>
      </w:r>
      <w:r w:rsidR="00A62D30" w:rsidRPr="00161B6C">
        <w:rPr>
          <w:rFonts w:ascii="Times New Roman" w:hAnsi="Times New Roman" w:cs="Times New Roman"/>
          <w:color w:val="000000" w:themeColor="text1"/>
          <w:sz w:val="24"/>
          <w:szCs w:val="24"/>
        </w:rPr>
        <w:t xml:space="preserve"> </w:t>
      </w:r>
      <w:r w:rsidR="001B7959" w:rsidRPr="00161B6C">
        <w:rPr>
          <w:rFonts w:ascii="Times New Roman" w:hAnsi="Times New Roman" w:cs="Times New Roman"/>
          <w:color w:val="000000" w:themeColor="text1"/>
          <w:sz w:val="24"/>
          <w:szCs w:val="24"/>
        </w:rPr>
        <w:t xml:space="preserve">a </w:t>
      </w:r>
      <w:r w:rsidR="00A62D30" w:rsidRPr="00161B6C">
        <w:rPr>
          <w:rFonts w:ascii="Times New Roman" w:hAnsi="Times New Roman" w:cs="Times New Roman"/>
          <w:color w:val="000000" w:themeColor="text1"/>
          <w:sz w:val="24"/>
          <w:szCs w:val="24"/>
        </w:rPr>
        <w:t>lion portion Tk</w:t>
      </w:r>
      <w:r w:rsidR="00CD06C1" w:rsidRPr="00161B6C">
        <w:rPr>
          <w:rFonts w:ascii="Times New Roman" w:hAnsi="Times New Roman" w:cs="Times New Roman"/>
          <w:color w:val="000000" w:themeColor="text1"/>
          <w:sz w:val="24"/>
          <w:szCs w:val="24"/>
        </w:rPr>
        <w:t>. 29.04 crores (</w:t>
      </w:r>
      <w:r w:rsidR="00A62D30" w:rsidRPr="00161B6C">
        <w:rPr>
          <w:rFonts w:ascii="Times New Roman" w:hAnsi="Times New Roman" w:cs="Times New Roman"/>
          <w:color w:val="000000" w:themeColor="text1"/>
          <w:sz w:val="24"/>
          <w:szCs w:val="24"/>
        </w:rPr>
        <w:t xml:space="preserve">in </w:t>
      </w:r>
      <w:r w:rsidR="00CD06C1" w:rsidRPr="00161B6C">
        <w:rPr>
          <w:rFonts w:ascii="Times New Roman" w:hAnsi="Times New Roman" w:cs="Times New Roman"/>
          <w:color w:val="000000" w:themeColor="text1"/>
          <w:sz w:val="24"/>
          <w:szCs w:val="24"/>
        </w:rPr>
        <w:t xml:space="preserve">94.32 </w:t>
      </w:r>
      <w:r w:rsidR="00E76FBF" w:rsidRPr="00161B6C">
        <w:rPr>
          <w:rFonts w:ascii="Times New Roman" w:hAnsi="Times New Roman" w:cs="Times New Roman"/>
          <w:color w:val="000000" w:themeColor="text1"/>
          <w:sz w:val="24"/>
          <w:szCs w:val="24"/>
        </w:rPr>
        <w:t>percent) had</w:t>
      </w:r>
      <w:r w:rsidR="00CD06C1" w:rsidRPr="00161B6C">
        <w:rPr>
          <w:rFonts w:ascii="Times New Roman" w:hAnsi="Times New Roman" w:cs="Times New Roman"/>
          <w:color w:val="000000" w:themeColor="text1"/>
          <w:sz w:val="24"/>
          <w:szCs w:val="24"/>
        </w:rPr>
        <w:t xml:space="preserve"> </w:t>
      </w:r>
      <w:r w:rsidR="00A8377B" w:rsidRPr="00161B6C">
        <w:rPr>
          <w:rFonts w:ascii="Times New Roman" w:hAnsi="Times New Roman" w:cs="Times New Roman"/>
          <w:color w:val="000000" w:themeColor="text1"/>
          <w:sz w:val="24"/>
          <w:szCs w:val="24"/>
        </w:rPr>
        <w:t xml:space="preserve">been </w:t>
      </w:r>
      <w:r w:rsidR="00CD06C1" w:rsidRPr="00161B6C">
        <w:rPr>
          <w:rFonts w:ascii="Times New Roman" w:hAnsi="Times New Roman" w:cs="Times New Roman"/>
          <w:color w:val="000000" w:themeColor="text1"/>
          <w:sz w:val="24"/>
          <w:szCs w:val="24"/>
        </w:rPr>
        <w:t xml:space="preserve">collected by the private commercial </w:t>
      </w:r>
      <w:r w:rsidR="00E76FBF" w:rsidRPr="00161B6C">
        <w:rPr>
          <w:rFonts w:ascii="Times New Roman" w:hAnsi="Times New Roman" w:cs="Times New Roman"/>
          <w:color w:val="000000" w:themeColor="text1"/>
          <w:sz w:val="24"/>
          <w:szCs w:val="24"/>
        </w:rPr>
        <w:t>bank (</w:t>
      </w:r>
      <w:r w:rsidR="00CD06C1" w:rsidRPr="00161B6C">
        <w:rPr>
          <w:rFonts w:ascii="Times New Roman" w:hAnsi="Times New Roman" w:cs="Times New Roman"/>
          <w:color w:val="000000" w:themeColor="text1"/>
          <w:sz w:val="24"/>
          <w:szCs w:val="24"/>
        </w:rPr>
        <w:t>PCB).</w:t>
      </w:r>
      <w:r w:rsidR="00E76FBF" w:rsidRPr="00161B6C">
        <w:rPr>
          <w:rFonts w:ascii="Times New Roman" w:hAnsi="Times New Roman" w:cs="Times New Roman"/>
          <w:color w:val="000000" w:themeColor="text1"/>
          <w:sz w:val="24"/>
          <w:szCs w:val="24"/>
        </w:rPr>
        <w:t xml:space="preserve"> The state-owned commercial banks (SCB), specialized bank (SB), foreign commercial bank (FCB) had also co</w:t>
      </w:r>
      <w:r w:rsidR="00A62D30" w:rsidRPr="00161B6C">
        <w:rPr>
          <w:rFonts w:ascii="Times New Roman" w:hAnsi="Times New Roman" w:cs="Times New Roman"/>
          <w:color w:val="000000" w:themeColor="text1"/>
          <w:sz w:val="24"/>
          <w:szCs w:val="24"/>
        </w:rPr>
        <w:t xml:space="preserve">ntributed in amassing deposits </w:t>
      </w:r>
      <w:r w:rsidR="00A62D30" w:rsidRPr="00161B6C">
        <w:rPr>
          <w:rFonts w:ascii="Times New Roman" w:hAnsi="Times New Roman" w:cs="Times New Roman"/>
          <w:color w:val="000000" w:themeColor="text1"/>
          <w:sz w:val="24"/>
          <w:szCs w:val="24"/>
        </w:rPr>
        <w:lastRenderedPageBreak/>
        <w:t>T</w:t>
      </w:r>
      <w:r w:rsidR="00E76FBF" w:rsidRPr="00161B6C">
        <w:rPr>
          <w:rFonts w:ascii="Times New Roman" w:hAnsi="Times New Roman" w:cs="Times New Roman"/>
          <w:color w:val="000000" w:themeColor="text1"/>
          <w:sz w:val="24"/>
          <w:szCs w:val="24"/>
        </w:rPr>
        <w:t>k. 1.16 crores</w:t>
      </w:r>
      <w:r w:rsidR="00A62D30" w:rsidRPr="00161B6C">
        <w:rPr>
          <w:rFonts w:ascii="Times New Roman" w:hAnsi="Times New Roman" w:cs="Times New Roman"/>
          <w:color w:val="000000" w:themeColor="text1"/>
          <w:sz w:val="24"/>
          <w:szCs w:val="24"/>
        </w:rPr>
        <w:t xml:space="preserve"> (in 3.77 percent), Tk.0.17 crores (in 0.55 percent)</w:t>
      </w:r>
      <w:r w:rsidR="00E76FBF" w:rsidRPr="00161B6C">
        <w:rPr>
          <w:rFonts w:ascii="Times New Roman" w:hAnsi="Times New Roman" w:cs="Times New Roman"/>
          <w:color w:val="000000" w:themeColor="text1"/>
          <w:sz w:val="24"/>
          <w:szCs w:val="24"/>
        </w:rPr>
        <w:t xml:space="preserve">, 0.42 </w:t>
      </w:r>
      <w:r w:rsidR="00A62D30" w:rsidRPr="00161B6C">
        <w:rPr>
          <w:rFonts w:ascii="Times New Roman" w:hAnsi="Times New Roman" w:cs="Times New Roman"/>
          <w:color w:val="000000" w:themeColor="text1"/>
          <w:sz w:val="24"/>
          <w:szCs w:val="24"/>
        </w:rPr>
        <w:t>crores (in 1.36 percent)</w:t>
      </w:r>
      <w:r w:rsidR="00E76FBF" w:rsidRPr="00161B6C">
        <w:rPr>
          <w:rFonts w:ascii="Times New Roman" w:hAnsi="Times New Roman" w:cs="Times New Roman"/>
          <w:color w:val="000000" w:themeColor="text1"/>
          <w:sz w:val="24"/>
          <w:szCs w:val="24"/>
        </w:rPr>
        <w:t xml:space="preserve"> </w:t>
      </w:r>
      <w:r w:rsidR="00A255A0" w:rsidRPr="00161B6C">
        <w:rPr>
          <w:rFonts w:ascii="Times New Roman" w:hAnsi="Times New Roman" w:cs="Times New Roman"/>
          <w:color w:val="000000" w:themeColor="text1"/>
          <w:sz w:val="24"/>
          <w:szCs w:val="24"/>
        </w:rPr>
        <w:t>respectively (</w:t>
      </w:r>
      <w:r w:rsidR="00A255A0" w:rsidRPr="00161B6C">
        <w:rPr>
          <w:rFonts w:ascii="Times New Roman" w:hAnsi="Times New Roman" w:cs="Times New Roman"/>
          <w:color w:val="000000" w:themeColor="text1"/>
          <w:sz w:val="24"/>
        </w:rPr>
        <w:t>Table 2</w:t>
      </w:r>
      <w:r w:rsidR="00A255A0" w:rsidRPr="00161B6C">
        <w:rPr>
          <w:rFonts w:ascii="Times New Roman" w:hAnsi="Times New Roman" w:cs="Times New Roman"/>
          <w:color w:val="000000" w:themeColor="text1"/>
          <w:sz w:val="24"/>
          <w:szCs w:val="24"/>
        </w:rPr>
        <w:t>)</w:t>
      </w:r>
      <w:r w:rsidR="00E76FBF" w:rsidRPr="00161B6C">
        <w:rPr>
          <w:rFonts w:ascii="Times New Roman" w:hAnsi="Times New Roman" w:cs="Times New Roman"/>
          <w:color w:val="000000" w:themeColor="text1"/>
          <w:sz w:val="24"/>
          <w:szCs w:val="24"/>
        </w:rPr>
        <w:t>.</w:t>
      </w:r>
      <w:r w:rsidR="00592847" w:rsidRPr="00161B6C">
        <w:rPr>
          <w:rFonts w:ascii="Times New Roman" w:hAnsi="Times New Roman" w:cs="Times New Roman"/>
          <w:color w:val="000000" w:themeColor="text1"/>
          <w:sz w:val="24"/>
          <w:szCs w:val="24"/>
        </w:rPr>
        <w:t xml:space="preserve"> In 2011 the private commercial bank had given massive effort to financial inclusion.    But now, of the 60 banks operating in Bangladesh so far, as many as 55 serve school banking services. The deposit of private commercial banks have reached</w:t>
      </w:r>
      <w:r w:rsidR="00E76FBF" w:rsidRPr="00161B6C">
        <w:rPr>
          <w:rFonts w:ascii="Times New Roman" w:hAnsi="Times New Roman" w:cs="Times New Roman"/>
          <w:color w:val="000000" w:themeColor="text1"/>
          <w:sz w:val="24"/>
          <w:szCs w:val="24"/>
        </w:rPr>
        <w:t xml:space="preserve"> </w:t>
      </w:r>
      <w:r w:rsidR="00592847" w:rsidRPr="00161B6C">
        <w:rPr>
          <w:rFonts w:ascii="Times New Roman" w:hAnsi="Times New Roman" w:cs="Times New Roman"/>
          <w:color w:val="000000" w:themeColor="text1"/>
          <w:sz w:val="24"/>
          <w:szCs w:val="24"/>
        </w:rPr>
        <w:t>from Tk. 29.04 crores (in 94.32 percent) to</w:t>
      </w:r>
      <w:r w:rsidR="00E76FBF" w:rsidRPr="00161B6C">
        <w:rPr>
          <w:rFonts w:ascii="Times New Roman" w:hAnsi="Times New Roman" w:cs="Times New Roman"/>
          <w:color w:val="000000" w:themeColor="text1"/>
          <w:sz w:val="24"/>
          <w:szCs w:val="24"/>
        </w:rPr>
        <w:t xml:space="preserve"> 1466.12 </w:t>
      </w:r>
      <w:r w:rsidR="00592847" w:rsidRPr="00161B6C">
        <w:rPr>
          <w:rFonts w:ascii="Times New Roman" w:hAnsi="Times New Roman" w:cs="Times New Roman"/>
          <w:color w:val="000000" w:themeColor="text1"/>
          <w:sz w:val="24"/>
          <w:szCs w:val="24"/>
        </w:rPr>
        <w:t>cores (</w:t>
      </w:r>
      <w:r w:rsidR="00B07A05" w:rsidRPr="00161B6C">
        <w:rPr>
          <w:rFonts w:ascii="Times New Roman" w:hAnsi="Times New Roman" w:cs="Times New Roman"/>
          <w:color w:val="000000" w:themeColor="text1"/>
          <w:sz w:val="24"/>
          <w:szCs w:val="24"/>
        </w:rPr>
        <w:t xml:space="preserve">in </w:t>
      </w:r>
      <w:r w:rsidR="00E76FBF" w:rsidRPr="00161B6C">
        <w:rPr>
          <w:rFonts w:ascii="Times New Roman" w:hAnsi="Times New Roman" w:cs="Times New Roman"/>
          <w:color w:val="000000" w:themeColor="text1"/>
          <w:sz w:val="24"/>
          <w:szCs w:val="24"/>
        </w:rPr>
        <w:t xml:space="preserve">83.17 percent) in </w:t>
      </w:r>
      <w:r w:rsidR="00B07A05" w:rsidRPr="00161B6C">
        <w:rPr>
          <w:rFonts w:ascii="Times New Roman" w:hAnsi="Times New Roman" w:cs="Times New Roman"/>
          <w:color w:val="000000" w:themeColor="text1"/>
          <w:sz w:val="24"/>
          <w:szCs w:val="24"/>
        </w:rPr>
        <w:t>June</w:t>
      </w:r>
      <w:r w:rsidR="00E76FBF" w:rsidRPr="00161B6C">
        <w:rPr>
          <w:rFonts w:ascii="Times New Roman" w:hAnsi="Times New Roman" w:cs="Times New Roman"/>
          <w:color w:val="000000" w:themeColor="text1"/>
          <w:sz w:val="24"/>
          <w:szCs w:val="24"/>
        </w:rPr>
        <w:t xml:space="preserve"> 2020</w:t>
      </w:r>
      <w:r w:rsidR="00592847" w:rsidRPr="00161B6C">
        <w:rPr>
          <w:rFonts w:ascii="Times New Roman" w:hAnsi="Times New Roman" w:cs="Times New Roman"/>
          <w:color w:val="000000" w:themeColor="text1"/>
          <w:sz w:val="24"/>
          <w:szCs w:val="24"/>
        </w:rPr>
        <w:t xml:space="preserve">. The contribution of </w:t>
      </w:r>
      <w:r w:rsidR="00B07A05" w:rsidRPr="00161B6C">
        <w:rPr>
          <w:rFonts w:ascii="Times New Roman" w:hAnsi="Times New Roman" w:cs="Times New Roman"/>
          <w:color w:val="000000" w:themeColor="text1"/>
          <w:sz w:val="24"/>
          <w:szCs w:val="24"/>
        </w:rPr>
        <w:t>deposits by state-owned commercial banks (SCB) Tk.229.4 crores (in 13.01percent), specialized bank (SB) Tk. 41.26 crores (in 2.34percent), foreign commercial bank (FCB) tk. 26.04 crores (in 1.48 percent)</w:t>
      </w:r>
      <w:r w:rsidR="00A255A0" w:rsidRPr="00161B6C">
        <w:rPr>
          <w:rFonts w:ascii="Times New Roman" w:hAnsi="Times New Roman" w:cs="Times New Roman"/>
          <w:color w:val="000000" w:themeColor="text1"/>
          <w:sz w:val="24"/>
          <w:szCs w:val="24"/>
        </w:rPr>
        <w:t xml:space="preserve"> (</w:t>
      </w:r>
      <w:r w:rsidR="00A255A0" w:rsidRPr="00161B6C">
        <w:rPr>
          <w:rFonts w:ascii="Times New Roman" w:hAnsi="Times New Roman" w:cs="Times New Roman"/>
          <w:color w:val="000000" w:themeColor="text1"/>
          <w:sz w:val="24"/>
        </w:rPr>
        <w:t>Table 2</w:t>
      </w:r>
      <w:r w:rsidR="00A255A0" w:rsidRPr="00161B6C">
        <w:rPr>
          <w:rFonts w:ascii="Times New Roman" w:hAnsi="Times New Roman" w:cs="Times New Roman"/>
          <w:color w:val="000000" w:themeColor="text1"/>
          <w:sz w:val="24"/>
          <w:szCs w:val="24"/>
        </w:rPr>
        <w:t>)</w:t>
      </w:r>
      <w:r w:rsidR="00B07A05" w:rsidRPr="00161B6C">
        <w:rPr>
          <w:rFonts w:ascii="Times New Roman" w:hAnsi="Times New Roman" w:cs="Times New Roman"/>
          <w:color w:val="000000" w:themeColor="text1"/>
          <w:sz w:val="24"/>
          <w:szCs w:val="24"/>
        </w:rPr>
        <w:t>. The deposit of state-owned commercial banks (SCB), specialized bank (SB), and foreign commercial bank (FCB) have increased</w:t>
      </w:r>
      <w:r w:rsidR="00A8377B" w:rsidRPr="00161B6C">
        <w:rPr>
          <w:rFonts w:ascii="Times New Roman" w:hAnsi="Times New Roman" w:cs="Times New Roman"/>
          <w:color w:val="000000" w:themeColor="text1"/>
          <w:sz w:val="24"/>
          <w:szCs w:val="24"/>
        </w:rPr>
        <w:t xml:space="preserve"> the both</w:t>
      </w:r>
      <w:r w:rsidR="00B07A05" w:rsidRPr="00161B6C">
        <w:rPr>
          <w:rFonts w:ascii="Times New Roman" w:hAnsi="Times New Roman" w:cs="Times New Roman"/>
          <w:color w:val="000000" w:themeColor="text1"/>
          <w:sz w:val="24"/>
          <w:szCs w:val="24"/>
        </w:rPr>
        <w:t xml:space="preserve"> in amount and percent from 2011 to 2020.  So it can be concluded that </w:t>
      </w:r>
      <w:r w:rsidR="001B7959" w:rsidRPr="00161B6C">
        <w:rPr>
          <w:rFonts w:ascii="Times New Roman" w:hAnsi="Times New Roman" w:cs="Times New Roman"/>
          <w:color w:val="000000" w:themeColor="text1"/>
          <w:sz w:val="24"/>
          <w:szCs w:val="24"/>
        </w:rPr>
        <w:t xml:space="preserve">deposit of the school bank has increased in absolute figure and in percent, demonstrate that school banking heading to towards the goal. </w:t>
      </w:r>
    </w:p>
    <w:p w:rsidR="0083379F" w:rsidRPr="00161B6C" w:rsidRDefault="00C858FF" w:rsidP="00EF5D0F">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Table 2. Position of school bank</w:t>
      </w:r>
      <w:r w:rsidR="003E702E" w:rsidRPr="00161B6C">
        <w:rPr>
          <w:rFonts w:ascii="Times New Roman" w:hAnsi="Times New Roman" w:cs="Times New Roman"/>
          <w:b/>
          <w:color w:val="000000" w:themeColor="text1"/>
          <w:sz w:val="24"/>
        </w:rPr>
        <w:t>ing deposits for 2011 and 2020.</w:t>
      </w:r>
    </w:p>
    <w:tbl>
      <w:tblPr>
        <w:tblStyle w:val="TableGrid"/>
        <w:tblW w:w="5000" w:type="pct"/>
        <w:tblLayout w:type="fixed"/>
        <w:tblLook w:val="04A0" w:firstRow="1" w:lastRow="0" w:firstColumn="1" w:lastColumn="0" w:noHBand="0" w:noVBand="1"/>
      </w:tblPr>
      <w:tblGrid>
        <w:gridCol w:w="898"/>
        <w:gridCol w:w="1483"/>
        <w:gridCol w:w="1666"/>
        <w:gridCol w:w="1709"/>
        <w:gridCol w:w="2070"/>
        <w:gridCol w:w="1524"/>
      </w:tblGrid>
      <w:tr w:rsidR="00DD3FA5" w:rsidRPr="00161B6C" w:rsidTr="00C440AB">
        <w:trPr>
          <w:trHeight w:val="1656"/>
        </w:trPr>
        <w:tc>
          <w:tcPr>
            <w:tcW w:w="480" w:type="pct"/>
            <w:noWrap/>
            <w:hideMark/>
          </w:tcPr>
          <w:p w:rsidR="00E2556C" w:rsidRPr="00161B6C" w:rsidRDefault="00E2556C" w:rsidP="00067537">
            <w:pPr>
              <w:jc w:val="center"/>
              <w:rPr>
                <w:rFonts w:ascii="Times New Roman" w:eastAsia="Times New Roman" w:hAnsi="Times New Roman" w:cs="Times New Roman"/>
                <w:color w:val="000000" w:themeColor="text1"/>
                <w:sz w:val="24"/>
                <w:szCs w:val="24"/>
              </w:rPr>
            </w:pPr>
            <w:r w:rsidRPr="00161B6C">
              <w:rPr>
                <w:rFonts w:ascii="Times New Roman" w:eastAsia="Times New Roman" w:hAnsi="Times New Roman" w:cs="Times New Roman"/>
                <w:color w:val="000000" w:themeColor="text1"/>
                <w:sz w:val="24"/>
                <w:szCs w:val="24"/>
              </w:rPr>
              <w:t>Bank type</w:t>
            </w:r>
          </w:p>
        </w:tc>
        <w:tc>
          <w:tcPr>
            <w:tcW w:w="793" w:type="pct"/>
            <w:noWrap/>
            <w:hideMark/>
          </w:tcPr>
          <w:p w:rsidR="00E2556C" w:rsidRPr="00161B6C" w:rsidRDefault="00E2556C" w:rsidP="00067537">
            <w:pPr>
              <w:jc w:val="center"/>
              <w:rPr>
                <w:rFonts w:ascii="Times New Roman" w:eastAsia="Times New Roman" w:hAnsi="Times New Roman" w:cs="Times New Roman"/>
                <w:color w:val="000000" w:themeColor="text1"/>
                <w:sz w:val="24"/>
                <w:szCs w:val="24"/>
              </w:rPr>
            </w:pPr>
            <w:r w:rsidRPr="00161B6C">
              <w:rPr>
                <w:rFonts w:ascii="Times New Roman" w:eastAsia="Times New Roman" w:hAnsi="Times New Roman" w:cs="Times New Roman"/>
                <w:color w:val="000000" w:themeColor="text1"/>
                <w:sz w:val="24"/>
                <w:szCs w:val="24"/>
              </w:rPr>
              <w:t>Amount of deposit (In Crore Tk.)Up to   December, 2011</w:t>
            </w:r>
          </w:p>
        </w:tc>
        <w:tc>
          <w:tcPr>
            <w:tcW w:w="891" w:type="pct"/>
            <w:noWrap/>
            <w:hideMark/>
          </w:tcPr>
          <w:p w:rsidR="00E2556C" w:rsidRPr="00161B6C" w:rsidRDefault="00E2556C" w:rsidP="00067537">
            <w:pPr>
              <w:jc w:val="center"/>
              <w:rPr>
                <w:rFonts w:ascii="Times New Roman" w:eastAsia="Times New Roman" w:hAnsi="Times New Roman" w:cs="Times New Roman"/>
                <w:color w:val="000000" w:themeColor="text1"/>
                <w:sz w:val="24"/>
                <w:szCs w:val="24"/>
              </w:rPr>
            </w:pPr>
            <w:r w:rsidRPr="00161B6C">
              <w:rPr>
                <w:rFonts w:ascii="Times New Roman" w:eastAsia="Times New Roman" w:hAnsi="Times New Roman" w:cs="Times New Roman"/>
                <w:color w:val="000000" w:themeColor="text1"/>
                <w:sz w:val="24"/>
                <w:szCs w:val="24"/>
              </w:rPr>
              <w:t>Percentage of deposit share by categories banks Up to December, 2011</w:t>
            </w:r>
          </w:p>
        </w:tc>
        <w:tc>
          <w:tcPr>
            <w:tcW w:w="914" w:type="pct"/>
            <w:noWrap/>
            <w:hideMark/>
          </w:tcPr>
          <w:p w:rsidR="00E2556C" w:rsidRPr="00161B6C" w:rsidRDefault="00E2556C" w:rsidP="00067537">
            <w:pPr>
              <w:jc w:val="center"/>
              <w:rPr>
                <w:rFonts w:ascii="Times New Roman" w:eastAsia="Times New Roman" w:hAnsi="Times New Roman" w:cs="Times New Roman"/>
                <w:color w:val="000000" w:themeColor="text1"/>
                <w:sz w:val="24"/>
                <w:szCs w:val="24"/>
              </w:rPr>
            </w:pPr>
            <w:r w:rsidRPr="00161B6C">
              <w:rPr>
                <w:rFonts w:ascii="Times New Roman" w:eastAsia="Times New Roman" w:hAnsi="Times New Roman" w:cs="Times New Roman"/>
                <w:color w:val="000000" w:themeColor="text1"/>
                <w:sz w:val="24"/>
                <w:szCs w:val="24"/>
              </w:rPr>
              <w:t>Amount of deposit (In Crore Tk.)Up to   up to June, 2020</w:t>
            </w:r>
          </w:p>
        </w:tc>
        <w:tc>
          <w:tcPr>
            <w:tcW w:w="1107" w:type="pct"/>
            <w:noWrap/>
            <w:hideMark/>
          </w:tcPr>
          <w:p w:rsidR="00E2556C" w:rsidRPr="00161B6C" w:rsidRDefault="00E2556C" w:rsidP="00067537">
            <w:pPr>
              <w:jc w:val="center"/>
              <w:rPr>
                <w:rFonts w:ascii="Times New Roman" w:eastAsia="Times New Roman" w:hAnsi="Times New Roman" w:cs="Times New Roman"/>
                <w:color w:val="000000" w:themeColor="text1"/>
                <w:sz w:val="24"/>
                <w:szCs w:val="24"/>
              </w:rPr>
            </w:pPr>
            <w:r w:rsidRPr="00161B6C">
              <w:rPr>
                <w:rFonts w:ascii="Times New Roman" w:eastAsia="Times New Roman" w:hAnsi="Times New Roman" w:cs="Times New Roman"/>
                <w:color w:val="000000" w:themeColor="text1"/>
                <w:sz w:val="24"/>
                <w:szCs w:val="24"/>
              </w:rPr>
              <w:t>Percentage of deposit share by categories banks Up to June, 2020</w:t>
            </w:r>
          </w:p>
        </w:tc>
        <w:tc>
          <w:tcPr>
            <w:tcW w:w="815" w:type="pct"/>
            <w:noWrap/>
            <w:hideMark/>
          </w:tcPr>
          <w:p w:rsidR="00E2556C" w:rsidRPr="00161B6C" w:rsidRDefault="00E2556C" w:rsidP="00067537">
            <w:pPr>
              <w:jc w:val="center"/>
              <w:rPr>
                <w:rFonts w:ascii="Times New Roman" w:eastAsia="Times New Roman" w:hAnsi="Times New Roman" w:cs="Times New Roman"/>
                <w:color w:val="000000" w:themeColor="text1"/>
                <w:sz w:val="24"/>
                <w:szCs w:val="24"/>
              </w:rPr>
            </w:pPr>
            <w:r w:rsidRPr="00161B6C">
              <w:rPr>
                <w:rFonts w:ascii="Times New Roman" w:eastAsia="Times New Roman" w:hAnsi="Times New Roman" w:cs="Times New Roman"/>
                <w:color w:val="000000" w:themeColor="text1"/>
                <w:sz w:val="24"/>
                <w:szCs w:val="24"/>
              </w:rPr>
              <w:t>Increase in deposit</w:t>
            </w:r>
          </w:p>
        </w:tc>
      </w:tr>
      <w:tr w:rsidR="00DD3FA5" w:rsidRPr="00161B6C" w:rsidTr="00C440AB">
        <w:trPr>
          <w:trHeight w:val="255"/>
        </w:trPr>
        <w:tc>
          <w:tcPr>
            <w:tcW w:w="480" w:type="pct"/>
            <w:hideMark/>
          </w:tcPr>
          <w:p w:rsidR="001237D6" w:rsidRPr="00161B6C" w:rsidRDefault="0083379F"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SCB</w:t>
            </w:r>
          </w:p>
        </w:tc>
        <w:tc>
          <w:tcPr>
            <w:tcW w:w="793" w:type="pct"/>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1.16</w:t>
            </w:r>
          </w:p>
        </w:tc>
        <w:tc>
          <w:tcPr>
            <w:tcW w:w="891" w:type="pct"/>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3.77</w:t>
            </w:r>
          </w:p>
        </w:tc>
        <w:tc>
          <w:tcPr>
            <w:tcW w:w="914"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229.4</w:t>
            </w:r>
          </w:p>
        </w:tc>
        <w:tc>
          <w:tcPr>
            <w:tcW w:w="1107"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13.01</w:t>
            </w:r>
          </w:p>
        </w:tc>
        <w:tc>
          <w:tcPr>
            <w:tcW w:w="815"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228.24</w:t>
            </w:r>
          </w:p>
        </w:tc>
      </w:tr>
      <w:tr w:rsidR="00DD3FA5" w:rsidRPr="00161B6C" w:rsidTr="00C440AB">
        <w:trPr>
          <w:trHeight w:val="300"/>
        </w:trPr>
        <w:tc>
          <w:tcPr>
            <w:tcW w:w="480" w:type="pct"/>
            <w:noWrap/>
            <w:hideMark/>
          </w:tcPr>
          <w:p w:rsidR="001237D6" w:rsidRPr="00161B6C" w:rsidRDefault="0083379F"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SB</w:t>
            </w:r>
          </w:p>
        </w:tc>
        <w:tc>
          <w:tcPr>
            <w:tcW w:w="793"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0.17</w:t>
            </w:r>
          </w:p>
        </w:tc>
        <w:tc>
          <w:tcPr>
            <w:tcW w:w="891" w:type="pct"/>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0.55</w:t>
            </w:r>
          </w:p>
        </w:tc>
        <w:tc>
          <w:tcPr>
            <w:tcW w:w="914"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41.26</w:t>
            </w:r>
          </w:p>
        </w:tc>
        <w:tc>
          <w:tcPr>
            <w:tcW w:w="1107"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2.34</w:t>
            </w:r>
          </w:p>
        </w:tc>
        <w:tc>
          <w:tcPr>
            <w:tcW w:w="815"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41.09</w:t>
            </w:r>
          </w:p>
        </w:tc>
      </w:tr>
      <w:tr w:rsidR="00DD3FA5" w:rsidRPr="00161B6C" w:rsidTr="00C440AB">
        <w:trPr>
          <w:trHeight w:val="300"/>
        </w:trPr>
        <w:tc>
          <w:tcPr>
            <w:tcW w:w="480" w:type="pct"/>
            <w:noWrap/>
            <w:hideMark/>
          </w:tcPr>
          <w:p w:rsidR="001237D6" w:rsidRPr="00161B6C" w:rsidRDefault="0083379F"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PCB</w:t>
            </w:r>
          </w:p>
        </w:tc>
        <w:tc>
          <w:tcPr>
            <w:tcW w:w="793"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29.04</w:t>
            </w:r>
          </w:p>
        </w:tc>
        <w:tc>
          <w:tcPr>
            <w:tcW w:w="891" w:type="pct"/>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94.32</w:t>
            </w:r>
          </w:p>
        </w:tc>
        <w:tc>
          <w:tcPr>
            <w:tcW w:w="914"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1466.12</w:t>
            </w:r>
          </w:p>
        </w:tc>
        <w:tc>
          <w:tcPr>
            <w:tcW w:w="1107"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83.17</w:t>
            </w:r>
          </w:p>
        </w:tc>
        <w:tc>
          <w:tcPr>
            <w:tcW w:w="815"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1437.08</w:t>
            </w:r>
          </w:p>
        </w:tc>
      </w:tr>
      <w:tr w:rsidR="00DD3FA5" w:rsidRPr="00161B6C" w:rsidTr="00C440AB">
        <w:trPr>
          <w:trHeight w:val="300"/>
        </w:trPr>
        <w:tc>
          <w:tcPr>
            <w:tcW w:w="480" w:type="pct"/>
            <w:noWrap/>
            <w:hideMark/>
          </w:tcPr>
          <w:p w:rsidR="001237D6" w:rsidRPr="00161B6C" w:rsidRDefault="0083379F"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FCB</w:t>
            </w:r>
          </w:p>
        </w:tc>
        <w:tc>
          <w:tcPr>
            <w:tcW w:w="793"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0.42</w:t>
            </w:r>
          </w:p>
        </w:tc>
        <w:tc>
          <w:tcPr>
            <w:tcW w:w="891" w:type="pct"/>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1.36</w:t>
            </w:r>
          </w:p>
        </w:tc>
        <w:tc>
          <w:tcPr>
            <w:tcW w:w="914"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26.04</w:t>
            </w:r>
          </w:p>
        </w:tc>
        <w:tc>
          <w:tcPr>
            <w:tcW w:w="1107"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1.48</w:t>
            </w:r>
          </w:p>
        </w:tc>
        <w:tc>
          <w:tcPr>
            <w:tcW w:w="815"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25.62</w:t>
            </w:r>
          </w:p>
        </w:tc>
      </w:tr>
      <w:tr w:rsidR="00DD3FA5" w:rsidRPr="00161B6C" w:rsidTr="00C440AB">
        <w:trPr>
          <w:trHeight w:val="300"/>
        </w:trPr>
        <w:tc>
          <w:tcPr>
            <w:tcW w:w="480" w:type="pct"/>
            <w:noWrap/>
            <w:hideMark/>
          </w:tcPr>
          <w:p w:rsidR="001237D6" w:rsidRPr="00161B6C" w:rsidRDefault="0083379F"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Total</w:t>
            </w:r>
          </w:p>
        </w:tc>
        <w:tc>
          <w:tcPr>
            <w:tcW w:w="793"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30.79</w:t>
            </w:r>
          </w:p>
        </w:tc>
        <w:tc>
          <w:tcPr>
            <w:tcW w:w="891" w:type="pct"/>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100.00</w:t>
            </w:r>
          </w:p>
        </w:tc>
        <w:tc>
          <w:tcPr>
            <w:tcW w:w="914"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1762.82</w:t>
            </w:r>
          </w:p>
        </w:tc>
        <w:tc>
          <w:tcPr>
            <w:tcW w:w="1107"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100.00</w:t>
            </w:r>
          </w:p>
        </w:tc>
        <w:tc>
          <w:tcPr>
            <w:tcW w:w="815" w:type="pct"/>
            <w:noWrap/>
            <w:hideMark/>
          </w:tcPr>
          <w:p w:rsidR="001237D6" w:rsidRPr="00161B6C" w:rsidRDefault="001237D6"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1732.03</w:t>
            </w:r>
          </w:p>
        </w:tc>
      </w:tr>
    </w:tbl>
    <w:p w:rsidR="00311756" w:rsidRPr="00161B6C" w:rsidRDefault="00C440AB" w:rsidP="00EF5D0F">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Source: Bangladesh bank quarterly report of financial inclusion from 2011 to 2020.</w:t>
      </w:r>
    </w:p>
    <w:p w:rsidR="00C440AB" w:rsidRPr="00161B6C" w:rsidRDefault="0055720B" w:rsidP="00067537">
      <w:pPr>
        <w:spacing w:after="0" w:line="240" w:lineRule="auto"/>
        <w:rPr>
          <w:rFonts w:ascii="Times New Roman" w:hAnsi="Times New Roman" w:cs="Times New Roman"/>
          <w:b/>
          <w:color w:val="000000" w:themeColor="text1"/>
          <w:sz w:val="24"/>
        </w:rPr>
      </w:pPr>
      <w:r w:rsidRPr="00161B6C">
        <w:rPr>
          <w:rFonts w:ascii="Times New Roman" w:hAnsi="Times New Roman" w:cs="Times New Roman"/>
          <w:color w:val="000000" w:themeColor="text1"/>
          <w:sz w:val="24"/>
        </w:rPr>
        <w:t xml:space="preserve">        </w:t>
      </w:r>
      <w:r w:rsidRPr="00161B6C">
        <w:rPr>
          <w:rFonts w:ascii="Times New Roman" w:hAnsi="Times New Roman" w:cs="Times New Roman"/>
          <w:b/>
          <w:color w:val="000000" w:themeColor="text1"/>
          <w:sz w:val="24"/>
        </w:rPr>
        <w:t xml:space="preserve">4.3 </w:t>
      </w:r>
      <w:r w:rsidR="00C440AB" w:rsidRPr="00161B6C">
        <w:rPr>
          <w:rFonts w:ascii="Times New Roman" w:hAnsi="Times New Roman" w:cs="Times New Roman"/>
          <w:b/>
          <w:color w:val="000000" w:themeColor="text1"/>
          <w:sz w:val="24"/>
        </w:rPr>
        <w:t>Contribution of deposit mobilization through school banking</w:t>
      </w:r>
    </w:p>
    <w:p w:rsidR="00EE10F5" w:rsidRPr="00161B6C" w:rsidRDefault="00C440AB" w:rsidP="00067537">
      <w:pPr>
        <w:spacing w:after="0" w:line="240" w:lineRule="auto"/>
        <w:jc w:val="both"/>
        <w:rPr>
          <w:rFonts w:ascii="Times New Roman" w:hAnsi="Times New Roman" w:cs="Times New Roman"/>
          <w:color w:val="000000" w:themeColor="text1"/>
          <w:sz w:val="24"/>
        </w:rPr>
      </w:pPr>
      <w:r w:rsidRPr="00161B6C">
        <w:rPr>
          <w:rFonts w:ascii="Times New Roman" w:hAnsi="Times New Roman" w:cs="Times New Roman"/>
          <w:color w:val="000000" w:themeColor="text1"/>
          <w:sz w:val="24"/>
        </w:rPr>
        <w:t xml:space="preserve">The following </w:t>
      </w:r>
      <w:r w:rsidR="009A2C24" w:rsidRPr="00161B6C">
        <w:rPr>
          <w:rFonts w:ascii="Times New Roman" w:hAnsi="Times New Roman" w:cs="Times New Roman"/>
          <w:color w:val="000000" w:themeColor="text1"/>
          <w:sz w:val="24"/>
        </w:rPr>
        <w:t xml:space="preserve">table (table 3) </w:t>
      </w:r>
      <w:r w:rsidRPr="00161B6C">
        <w:rPr>
          <w:rFonts w:ascii="Times New Roman" w:hAnsi="Times New Roman" w:cs="Times New Roman"/>
          <w:color w:val="000000" w:themeColor="text1"/>
          <w:sz w:val="24"/>
        </w:rPr>
        <w:t>shows dep</w:t>
      </w:r>
      <w:r w:rsidR="009A2C24" w:rsidRPr="00161B6C">
        <w:rPr>
          <w:rFonts w:ascii="Times New Roman" w:hAnsi="Times New Roman" w:cs="Times New Roman"/>
          <w:color w:val="000000" w:themeColor="text1"/>
          <w:sz w:val="24"/>
        </w:rPr>
        <w:t>o</w:t>
      </w:r>
      <w:r w:rsidRPr="00161B6C">
        <w:rPr>
          <w:rFonts w:ascii="Times New Roman" w:hAnsi="Times New Roman" w:cs="Times New Roman"/>
          <w:color w:val="000000" w:themeColor="text1"/>
          <w:sz w:val="24"/>
        </w:rPr>
        <w:t>s</w:t>
      </w:r>
      <w:r w:rsidR="009A2C24" w:rsidRPr="00161B6C">
        <w:rPr>
          <w:rFonts w:ascii="Times New Roman" w:hAnsi="Times New Roman" w:cs="Times New Roman"/>
          <w:color w:val="000000" w:themeColor="text1"/>
          <w:sz w:val="24"/>
        </w:rPr>
        <w:t xml:space="preserve">its mobilization through school banking. </w:t>
      </w:r>
      <w:r w:rsidR="00E235A4" w:rsidRPr="00161B6C">
        <w:rPr>
          <w:rFonts w:ascii="Times New Roman" w:hAnsi="Times New Roman" w:cs="Times New Roman"/>
          <w:color w:val="000000" w:themeColor="text1"/>
          <w:sz w:val="24"/>
        </w:rPr>
        <w:t>The table</w:t>
      </w:r>
      <w:r w:rsidR="009A2C24" w:rsidRPr="00161B6C">
        <w:rPr>
          <w:rFonts w:ascii="Times New Roman" w:hAnsi="Times New Roman" w:cs="Times New Roman"/>
          <w:color w:val="000000" w:themeColor="text1"/>
          <w:sz w:val="24"/>
        </w:rPr>
        <w:t xml:space="preserve"> exhibits, total banking deposits, deposits of school banking accounts and percentage school banking deposit to total banking industry deposits.   Though the school banking started its journey 2011, it has already crossed ten years. In 2011 contribution of school banking deposit to the banking was 0.01 percent, after ten year it </w:t>
      </w:r>
      <w:r w:rsidR="00E235A4" w:rsidRPr="00161B6C">
        <w:rPr>
          <w:rFonts w:ascii="Times New Roman" w:hAnsi="Times New Roman" w:cs="Times New Roman"/>
          <w:color w:val="000000" w:themeColor="text1"/>
          <w:sz w:val="24"/>
        </w:rPr>
        <w:t>has reached</w:t>
      </w:r>
      <w:r w:rsidR="009A2C24" w:rsidRPr="00161B6C">
        <w:rPr>
          <w:rFonts w:ascii="Times New Roman" w:hAnsi="Times New Roman" w:cs="Times New Roman"/>
          <w:color w:val="000000" w:themeColor="text1"/>
          <w:sz w:val="24"/>
        </w:rPr>
        <w:t xml:space="preserve"> to 0.16 percent. It seems at very little in amount but it is gradually increasing over the period. This is a good sign that implies a good habit intr</w:t>
      </w:r>
      <w:r w:rsidR="00E235A4" w:rsidRPr="00161B6C">
        <w:rPr>
          <w:rFonts w:ascii="Times New Roman" w:hAnsi="Times New Roman" w:cs="Times New Roman"/>
          <w:color w:val="000000" w:themeColor="text1"/>
          <w:sz w:val="24"/>
        </w:rPr>
        <w:t>oduce to the young generation.</w:t>
      </w:r>
      <w:r w:rsidR="00EA4E18" w:rsidRPr="00161B6C">
        <w:rPr>
          <w:rFonts w:ascii="Times New Roman" w:hAnsi="Times New Roman" w:cs="Times New Roman"/>
          <w:color w:val="000000" w:themeColor="text1"/>
          <w:sz w:val="24"/>
        </w:rPr>
        <w:t xml:space="preserve"> It can be concluded that deposits in school banking has been increasing from 2011 to 2020. </w:t>
      </w:r>
    </w:p>
    <w:p w:rsidR="00EE10F5" w:rsidRPr="00161B6C" w:rsidRDefault="0029567C" w:rsidP="00EF5D0F">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Table 3</w:t>
      </w:r>
      <w:r w:rsidR="00111D2C" w:rsidRPr="00161B6C">
        <w:rPr>
          <w:rFonts w:ascii="Times New Roman" w:hAnsi="Times New Roman" w:cs="Times New Roman"/>
          <w:b/>
          <w:color w:val="000000" w:themeColor="text1"/>
          <w:sz w:val="24"/>
        </w:rPr>
        <w:t xml:space="preserve">.  Percent of school banking deposits to total deposits from 2011 and </w:t>
      </w:r>
      <w:r w:rsidRPr="00161B6C">
        <w:rPr>
          <w:rFonts w:ascii="Times New Roman" w:hAnsi="Times New Roman" w:cs="Times New Roman"/>
          <w:b/>
          <w:color w:val="000000" w:themeColor="text1"/>
          <w:sz w:val="24"/>
        </w:rPr>
        <w:t>2020</w:t>
      </w:r>
    </w:p>
    <w:tbl>
      <w:tblPr>
        <w:tblStyle w:val="TableGrid"/>
        <w:tblW w:w="5000" w:type="pct"/>
        <w:tblLayout w:type="fixed"/>
        <w:tblLook w:val="04A0" w:firstRow="1" w:lastRow="0" w:firstColumn="1" w:lastColumn="0" w:noHBand="0" w:noVBand="1"/>
      </w:tblPr>
      <w:tblGrid>
        <w:gridCol w:w="896"/>
        <w:gridCol w:w="1169"/>
        <w:gridCol w:w="2523"/>
        <w:gridCol w:w="1619"/>
        <w:gridCol w:w="3143"/>
      </w:tblGrid>
      <w:tr w:rsidR="00DD3FA5" w:rsidRPr="00161B6C" w:rsidTr="00C6533D">
        <w:trPr>
          <w:trHeight w:val="620"/>
        </w:trPr>
        <w:tc>
          <w:tcPr>
            <w:tcW w:w="479" w:type="pct"/>
            <w:noWrap/>
            <w:hideMark/>
          </w:tcPr>
          <w:p w:rsidR="00C6533D" w:rsidRPr="00161B6C" w:rsidRDefault="00C6533D" w:rsidP="00067537">
            <w:pPr>
              <w:jc w:val="center"/>
              <w:rPr>
                <w:rFonts w:ascii="Times New Roman" w:eastAsia="Times New Roman" w:hAnsi="Times New Roman" w:cs="Times New Roman"/>
                <w:color w:val="000000" w:themeColor="text1"/>
                <w:sz w:val="24"/>
              </w:rPr>
            </w:pPr>
            <w:r w:rsidRPr="00161B6C">
              <w:rPr>
                <w:rFonts w:ascii="Times New Roman" w:eastAsia="Times New Roman" w:hAnsi="Times New Roman" w:cs="Times New Roman"/>
                <w:color w:val="000000" w:themeColor="text1"/>
                <w:sz w:val="24"/>
              </w:rPr>
              <w:t>Year</w:t>
            </w:r>
          </w:p>
        </w:tc>
        <w:tc>
          <w:tcPr>
            <w:tcW w:w="625" w:type="pct"/>
            <w:noWrap/>
            <w:hideMark/>
          </w:tcPr>
          <w:p w:rsidR="00C6533D" w:rsidRPr="00161B6C" w:rsidRDefault="00C6533D" w:rsidP="00067537">
            <w:pPr>
              <w:jc w:val="center"/>
              <w:rPr>
                <w:rFonts w:ascii="Times New Roman" w:eastAsia="Times New Roman" w:hAnsi="Times New Roman" w:cs="Times New Roman"/>
                <w:color w:val="000000" w:themeColor="text1"/>
                <w:sz w:val="24"/>
              </w:rPr>
            </w:pPr>
            <w:r w:rsidRPr="00161B6C">
              <w:rPr>
                <w:rFonts w:ascii="Times New Roman" w:eastAsia="Times New Roman" w:hAnsi="Times New Roman" w:cs="Times New Roman"/>
                <w:color w:val="000000" w:themeColor="text1"/>
                <w:sz w:val="24"/>
              </w:rPr>
              <w:t>No. of account</w:t>
            </w:r>
          </w:p>
        </w:tc>
        <w:tc>
          <w:tcPr>
            <w:tcW w:w="1349" w:type="pct"/>
            <w:noWrap/>
            <w:hideMark/>
          </w:tcPr>
          <w:p w:rsidR="00C6533D" w:rsidRPr="00161B6C" w:rsidRDefault="00C6533D" w:rsidP="00067537">
            <w:pPr>
              <w:jc w:val="center"/>
              <w:rPr>
                <w:rFonts w:ascii="Times New Roman" w:eastAsia="Times New Roman" w:hAnsi="Times New Roman" w:cs="Times New Roman"/>
                <w:color w:val="000000" w:themeColor="text1"/>
                <w:sz w:val="24"/>
              </w:rPr>
            </w:pPr>
            <w:r w:rsidRPr="00161B6C">
              <w:rPr>
                <w:rFonts w:ascii="Times New Roman" w:eastAsia="Times New Roman" w:hAnsi="Times New Roman" w:cs="Times New Roman"/>
                <w:color w:val="000000" w:themeColor="text1"/>
                <w:sz w:val="24"/>
              </w:rPr>
              <w:t>School Banking deposit</w:t>
            </w:r>
          </w:p>
          <w:p w:rsidR="00C6533D" w:rsidRPr="00161B6C" w:rsidRDefault="00C6533D" w:rsidP="00067537">
            <w:pPr>
              <w:jc w:val="center"/>
              <w:rPr>
                <w:rFonts w:ascii="Times New Roman" w:eastAsia="Times New Roman" w:hAnsi="Times New Roman" w:cs="Times New Roman"/>
                <w:color w:val="000000" w:themeColor="text1"/>
                <w:sz w:val="24"/>
              </w:rPr>
            </w:pPr>
            <w:r w:rsidRPr="00161B6C">
              <w:rPr>
                <w:rFonts w:ascii="Times New Roman" w:eastAsia="Times New Roman" w:hAnsi="Times New Roman" w:cs="Times New Roman"/>
                <w:color w:val="000000" w:themeColor="text1"/>
                <w:sz w:val="24"/>
              </w:rPr>
              <w:t>in billion Tk.</w:t>
            </w:r>
          </w:p>
        </w:tc>
        <w:tc>
          <w:tcPr>
            <w:tcW w:w="866" w:type="pct"/>
            <w:noWrap/>
            <w:hideMark/>
          </w:tcPr>
          <w:p w:rsidR="00C6533D" w:rsidRPr="00161B6C" w:rsidRDefault="00C6533D" w:rsidP="00067537">
            <w:pPr>
              <w:jc w:val="center"/>
              <w:rPr>
                <w:rFonts w:ascii="Times New Roman" w:eastAsia="Times New Roman" w:hAnsi="Times New Roman" w:cs="Times New Roman"/>
                <w:color w:val="000000" w:themeColor="text1"/>
                <w:sz w:val="24"/>
              </w:rPr>
            </w:pPr>
            <w:r w:rsidRPr="00161B6C">
              <w:rPr>
                <w:rFonts w:ascii="Times New Roman" w:eastAsia="Times New Roman" w:hAnsi="Times New Roman" w:cs="Times New Roman"/>
                <w:color w:val="000000" w:themeColor="text1"/>
                <w:sz w:val="24"/>
              </w:rPr>
              <w:t>Total deposit</w:t>
            </w:r>
          </w:p>
          <w:p w:rsidR="00C6533D" w:rsidRPr="00161B6C" w:rsidRDefault="00C6533D" w:rsidP="00067537">
            <w:pPr>
              <w:jc w:val="center"/>
              <w:rPr>
                <w:rFonts w:ascii="Times New Roman" w:eastAsia="Times New Roman" w:hAnsi="Times New Roman" w:cs="Times New Roman"/>
                <w:color w:val="000000" w:themeColor="text1"/>
                <w:sz w:val="24"/>
              </w:rPr>
            </w:pPr>
            <w:r w:rsidRPr="00161B6C">
              <w:rPr>
                <w:rFonts w:ascii="Times New Roman" w:eastAsia="Times New Roman" w:hAnsi="Times New Roman" w:cs="Times New Roman"/>
                <w:color w:val="000000" w:themeColor="text1"/>
                <w:sz w:val="24"/>
              </w:rPr>
              <w:t>in billion Tk.</w:t>
            </w:r>
          </w:p>
        </w:tc>
        <w:tc>
          <w:tcPr>
            <w:tcW w:w="1681" w:type="pct"/>
            <w:noWrap/>
            <w:hideMark/>
          </w:tcPr>
          <w:p w:rsidR="00C6533D" w:rsidRPr="00161B6C" w:rsidRDefault="00C6533D" w:rsidP="00067537">
            <w:pPr>
              <w:jc w:val="center"/>
              <w:rPr>
                <w:rFonts w:ascii="Times New Roman" w:eastAsia="Times New Roman" w:hAnsi="Times New Roman" w:cs="Times New Roman"/>
                <w:color w:val="000000" w:themeColor="text1"/>
                <w:sz w:val="24"/>
              </w:rPr>
            </w:pPr>
            <w:r w:rsidRPr="00161B6C">
              <w:rPr>
                <w:rFonts w:ascii="Times New Roman" w:eastAsia="Times New Roman" w:hAnsi="Times New Roman" w:cs="Times New Roman"/>
                <w:color w:val="000000" w:themeColor="text1"/>
                <w:sz w:val="24"/>
              </w:rPr>
              <w:t>Percentage of School Banking deposit to total deposit</w:t>
            </w:r>
          </w:p>
        </w:tc>
      </w:tr>
      <w:tr w:rsidR="00DD3FA5" w:rsidRPr="00161B6C" w:rsidTr="00C6533D">
        <w:trPr>
          <w:trHeight w:val="300"/>
        </w:trPr>
        <w:tc>
          <w:tcPr>
            <w:tcW w:w="47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2011</w:t>
            </w:r>
          </w:p>
        </w:tc>
        <w:tc>
          <w:tcPr>
            <w:tcW w:w="625"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10590</w:t>
            </w:r>
          </w:p>
        </w:tc>
        <w:tc>
          <w:tcPr>
            <w:tcW w:w="134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0.3079</w:t>
            </w:r>
          </w:p>
        </w:tc>
        <w:tc>
          <w:tcPr>
            <w:tcW w:w="866"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4115.9</w:t>
            </w:r>
          </w:p>
        </w:tc>
        <w:tc>
          <w:tcPr>
            <w:tcW w:w="1681"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0.01</w:t>
            </w:r>
          </w:p>
        </w:tc>
      </w:tr>
      <w:tr w:rsidR="00DD3FA5" w:rsidRPr="00161B6C" w:rsidTr="00C6533D">
        <w:trPr>
          <w:trHeight w:val="300"/>
        </w:trPr>
        <w:tc>
          <w:tcPr>
            <w:tcW w:w="47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2012</w:t>
            </w:r>
          </w:p>
        </w:tc>
        <w:tc>
          <w:tcPr>
            <w:tcW w:w="625"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67220</w:t>
            </w:r>
          </w:p>
        </w:tc>
        <w:tc>
          <w:tcPr>
            <w:tcW w:w="134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0.5318</w:t>
            </w:r>
          </w:p>
        </w:tc>
        <w:tc>
          <w:tcPr>
            <w:tcW w:w="866"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4864.1</w:t>
            </w:r>
          </w:p>
        </w:tc>
        <w:tc>
          <w:tcPr>
            <w:tcW w:w="1681"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0.01</w:t>
            </w:r>
          </w:p>
        </w:tc>
      </w:tr>
      <w:tr w:rsidR="00DD3FA5" w:rsidRPr="00161B6C" w:rsidTr="00C6533D">
        <w:trPr>
          <w:trHeight w:val="300"/>
        </w:trPr>
        <w:tc>
          <w:tcPr>
            <w:tcW w:w="47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2013</w:t>
            </w:r>
          </w:p>
        </w:tc>
        <w:tc>
          <w:tcPr>
            <w:tcW w:w="625"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224719</w:t>
            </w:r>
          </w:p>
        </w:tc>
        <w:tc>
          <w:tcPr>
            <w:tcW w:w="134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1.2847</w:t>
            </w:r>
          </w:p>
        </w:tc>
        <w:tc>
          <w:tcPr>
            <w:tcW w:w="866"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6105.3</w:t>
            </w:r>
          </w:p>
        </w:tc>
        <w:tc>
          <w:tcPr>
            <w:tcW w:w="1681"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0.02</w:t>
            </w:r>
          </w:p>
        </w:tc>
      </w:tr>
      <w:tr w:rsidR="00DD3FA5" w:rsidRPr="00161B6C" w:rsidTr="00C6533D">
        <w:trPr>
          <w:trHeight w:val="300"/>
        </w:trPr>
        <w:tc>
          <w:tcPr>
            <w:tcW w:w="47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2014</w:t>
            </w:r>
          </w:p>
        </w:tc>
        <w:tc>
          <w:tcPr>
            <w:tcW w:w="625"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639465</w:t>
            </w:r>
          </w:p>
        </w:tc>
        <w:tc>
          <w:tcPr>
            <w:tcW w:w="134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4.0729</w:t>
            </w:r>
          </w:p>
        </w:tc>
        <w:tc>
          <w:tcPr>
            <w:tcW w:w="866"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6931.1</w:t>
            </w:r>
          </w:p>
        </w:tc>
        <w:tc>
          <w:tcPr>
            <w:tcW w:w="1681"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0.06</w:t>
            </w:r>
          </w:p>
        </w:tc>
      </w:tr>
      <w:tr w:rsidR="00DD3FA5" w:rsidRPr="00161B6C" w:rsidTr="00C6533D">
        <w:trPr>
          <w:trHeight w:val="300"/>
        </w:trPr>
        <w:tc>
          <w:tcPr>
            <w:tcW w:w="47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2015</w:t>
            </w:r>
          </w:p>
        </w:tc>
        <w:tc>
          <w:tcPr>
            <w:tcW w:w="625"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904652</w:t>
            </w:r>
          </w:p>
        </w:tc>
        <w:tc>
          <w:tcPr>
            <w:tcW w:w="134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6.8799</w:t>
            </w:r>
          </w:p>
        </w:tc>
        <w:tc>
          <w:tcPr>
            <w:tcW w:w="866"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7939.8</w:t>
            </w:r>
          </w:p>
        </w:tc>
        <w:tc>
          <w:tcPr>
            <w:tcW w:w="1681"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0.09</w:t>
            </w:r>
          </w:p>
        </w:tc>
      </w:tr>
      <w:tr w:rsidR="00DD3FA5" w:rsidRPr="00161B6C" w:rsidTr="00C6533D">
        <w:trPr>
          <w:trHeight w:val="300"/>
        </w:trPr>
        <w:tc>
          <w:tcPr>
            <w:tcW w:w="47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2016</w:t>
            </w:r>
          </w:p>
        </w:tc>
        <w:tc>
          <w:tcPr>
            <w:tcW w:w="625"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1182179</w:t>
            </w:r>
          </w:p>
        </w:tc>
        <w:tc>
          <w:tcPr>
            <w:tcW w:w="134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8.8041</w:t>
            </w:r>
          </w:p>
        </w:tc>
        <w:tc>
          <w:tcPr>
            <w:tcW w:w="866"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8994.1</w:t>
            </w:r>
          </w:p>
        </w:tc>
        <w:tc>
          <w:tcPr>
            <w:tcW w:w="1681"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0.10</w:t>
            </w:r>
          </w:p>
        </w:tc>
      </w:tr>
      <w:tr w:rsidR="00DD3FA5" w:rsidRPr="00161B6C" w:rsidTr="00C6533D">
        <w:trPr>
          <w:trHeight w:val="300"/>
        </w:trPr>
        <w:tc>
          <w:tcPr>
            <w:tcW w:w="47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2017</w:t>
            </w:r>
          </w:p>
        </w:tc>
        <w:tc>
          <w:tcPr>
            <w:tcW w:w="625"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1334338</w:t>
            </w:r>
          </w:p>
        </w:tc>
        <w:tc>
          <w:tcPr>
            <w:tcW w:w="134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11.28</w:t>
            </w:r>
          </w:p>
        </w:tc>
        <w:tc>
          <w:tcPr>
            <w:tcW w:w="866"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9865.7</w:t>
            </w:r>
          </w:p>
        </w:tc>
        <w:tc>
          <w:tcPr>
            <w:tcW w:w="1681"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0.11</w:t>
            </w:r>
          </w:p>
        </w:tc>
      </w:tr>
      <w:tr w:rsidR="00DD3FA5" w:rsidRPr="00161B6C" w:rsidTr="00C6533D">
        <w:trPr>
          <w:trHeight w:val="300"/>
        </w:trPr>
        <w:tc>
          <w:tcPr>
            <w:tcW w:w="47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2018</w:t>
            </w:r>
          </w:p>
        </w:tc>
        <w:tc>
          <w:tcPr>
            <w:tcW w:w="625"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1539836</w:t>
            </w:r>
          </w:p>
        </w:tc>
        <w:tc>
          <w:tcPr>
            <w:tcW w:w="134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14.19</w:t>
            </w:r>
          </w:p>
        </w:tc>
        <w:tc>
          <w:tcPr>
            <w:tcW w:w="866"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10815.4</w:t>
            </w:r>
          </w:p>
        </w:tc>
        <w:tc>
          <w:tcPr>
            <w:tcW w:w="1681"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0.13</w:t>
            </w:r>
          </w:p>
        </w:tc>
      </w:tr>
      <w:tr w:rsidR="00DD3FA5" w:rsidRPr="00161B6C" w:rsidTr="00C6533D">
        <w:trPr>
          <w:trHeight w:val="300"/>
        </w:trPr>
        <w:tc>
          <w:tcPr>
            <w:tcW w:w="47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lastRenderedPageBreak/>
              <w:t>2019</w:t>
            </w:r>
          </w:p>
        </w:tc>
        <w:tc>
          <w:tcPr>
            <w:tcW w:w="625"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1744651</w:t>
            </w:r>
          </w:p>
        </w:tc>
        <w:tc>
          <w:tcPr>
            <w:tcW w:w="134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15.166</w:t>
            </w:r>
          </w:p>
        </w:tc>
        <w:tc>
          <w:tcPr>
            <w:tcW w:w="866"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11398.3</w:t>
            </w:r>
          </w:p>
        </w:tc>
        <w:tc>
          <w:tcPr>
            <w:tcW w:w="1681"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0.13</w:t>
            </w:r>
          </w:p>
        </w:tc>
      </w:tr>
      <w:tr w:rsidR="00DD3FA5" w:rsidRPr="00161B6C" w:rsidTr="00C6533D">
        <w:trPr>
          <w:trHeight w:val="300"/>
        </w:trPr>
        <w:tc>
          <w:tcPr>
            <w:tcW w:w="47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2020</w:t>
            </w:r>
          </w:p>
        </w:tc>
        <w:tc>
          <w:tcPr>
            <w:tcW w:w="625"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2431602</w:t>
            </w:r>
          </w:p>
        </w:tc>
        <w:tc>
          <w:tcPr>
            <w:tcW w:w="1349"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17.6282</w:t>
            </w:r>
          </w:p>
        </w:tc>
        <w:tc>
          <w:tcPr>
            <w:tcW w:w="866"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10798.7</w:t>
            </w:r>
          </w:p>
        </w:tc>
        <w:tc>
          <w:tcPr>
            <w:tcW w:w="1681" w:type="pct"/>
            <w:noWrap/>
            <w:hideMark/>
          </w:tcPr>
          <w:p w:rsidR="00C6533D" w:rsidRPr="00161B6C" w:rsidRDefault="00C6533D" w:rsidP="00067537">
            <w:pPr>
              <w:jc w:val="center"/>
              <w:rPr>
                <w:rFonts w:ascii="Calibri" w:eastAsia="Times New Roman" w:hAnsi="Calibri" w:cs="Calibri"/>
                <w:color w:val="000000" w:themeColor="text1"/>
              </w:rPr>
            </w:pPr>
            <w:r w:rsidRPr="00161B6C">
              <w:rPr>
                <w:rFonts w:ascii="Calibri" w:eastAsia="Times New Roman" w:hAnsi="Calibri" w:cs="Calibri"/>
                <w:color w:val="000000" w:themeColor="text1"/>
              </w:rPr>
              <w:t>0.16</w:t>
            </w:r>
          </w:p>
        </w:tc>
      </w:tr>
    </w:tbl>
    <w:p w:rsidR="00311756" w:rsidRPr="00161B6C" w:rsidRDefault="009A2C24" w:rsidP="00EF5D0F">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Source: Bangladesh bank </w:t>
      </w:r>
      <w:r w:rsidR="00264909" w:rsidRPr="00161B6C">
        <w:rPr>
          <w:rFonts w:ascii="Times New Roman" w:hAnsi="Times New Roman" w:cs="Times New Roman"/>
          <w:b/>
          <w:color w:val="000000" w:themeColor="text1"/>
          <w:sz w:val="24"/>
        </w:rPr>
        <w:t xml:space="preserve">half yearly and annual </w:t>
      </w:r>
      <w:r w:rsidRPr="00161B6C">
        <w:rPr>
          <w:rFonts w:ascii="Times New Roman" w:hAnsi="Times New Roman" w:cs="Times New Roman"/>
          <w:b/>
          <w:color w:val="000000" w:themeColor="text1"/>
          <w:sz w:val="24"/>
        </w:rPr>
        <w:t>report</w:t>
      </w:r>
      <w:r w:rsidR="00264909" w:rsidRPr="00161B6C">
        <w:rPr>
          <w:rFonts w:ascii="Times New Roman" w:hAnsi="Times New Roman" w:cs="Times New Roman"/>
          <w:b/>
          <w:color w:val="000000" w:themeColor="text1"/>
          <w:sz w:val="24"/>
        </w:rPr>
        <w:t>s</w:t>
      </w:r>
      <w:r w:rsidRPr="00161B6C">
        <w:rPr>
          <w:rFonts w:ascii="Times New Roman" w:hAnsi="Times New Roman" w:cs="Times New Roman"/>
          <w:b/>
          <w:color w:val="000000" w:themeColor="text1"/>
          <w:sz w:val="24"/>
        </w:rPr>
        <w:t xml:space="preserve"> from 2011 to 2020.</w:t>
      </w:r>
    </w:p>
    <w:p w:rsidR="00396753" w:rsidRPr="00161B6C" w:rsidRDefault="00E242BD" w:rsidP="00067537">
      <w:pPr>
        <w:spacing w:after="0" w:line="240" w:lineRule="auto"/>
        <w:rPr>
          <w:rFonts w:ascii="Times New Roman" w:hAnsi="Times New Roman" w:cs="Times New Roman"/>
          <w:b/>
          <w:color w:val="000000" w:themeColor="text1"/>
          <w:sz w:val="24"/>
        </w:rPr>
      </w:pPr>
      <w:r w:rsidRPr="00161B6C">
        <w:rPr>
          <w:rFonts w:ascii="Times New Roman" w:hAnsi="Times New Roman" w:cs="Times New Roman"/>
          <w:color w:val="000000" w:themeColor="text1"/>
          <w:sz w:val="24"/>
        </w:rPr>
        <w:t xml:space="preserve">      </w:t>
      </w:r>
      <w:r w:rsidR="00573C23" w:rsidRPr="00161B6C">
        <w:rPr>
          <w:rFonts w:ascii="Times New Roman" w:hAnsi="Times New Roman" w:cs="Times New Roman"/>
          <w:b/>
          <w:color w:val="000000" w:themeColor="text1"/>
          <w:sz w:val="24"/>
        </w:rPr>
        <w:t>4.4</w:t>
      </w:r>
      <w:r w:rsidRPr="00161B6C">
        <w:rPr>
          <w:rFonts w:ascii="Times New Roman" w:hAnsi="Times New Roman" w:cs="Times New Roman"/>
          <w:b/>
          <w:color w:val="000000" w:themeColor="text1"/>
          <w:sz w:val="24"/>
        </w:rPr>
        <w:t xml:space="preserve"> </w:t>
      </w:r>
      <w:r w:rsidR="00396753" w:rsidRPr="00161B6C">
        <w:rPr>
          <w:rFonts w:ascii="Times New Roman" w:hAnsi="Times New Roman" w:cs="Times New Roman"/>
          <w:b/>
          <w:color w:val="000000" w:themeColor="text1"/>
          <w:sz w:val="24"/>
        </w:rPr>
        <w:t xml:space="preserve">Trend of </w:t>
      </w:r>
      <w:r w:rsidR="00984726" w:rsidRPr="00161B6C">
        <w:rPr>
          <w:rFonts w:ascii="Times New Roman" w:hAnsi="Times New Roman" w:cs="Times New Roman"/>
          <w:b/>
          <w:color w:val="000000" w:themeColor="text1"/>
          <w:sz w:val="24"/>
        </w:rPr>
        <w:t xml:space="preserve">number of </w:t>
      </w:r>
      <w:r w:rsidR="00396753" w:rsidRPr="00161B6C">
        <w:rPr>
          <w:rFonts w:ascii="Times New Roman" w:hAnsi="Times New Roman" w:cs="Times New Roman"/>
          <w:b/>
          <w:color w:val="000000" w:themeColor="text1"/>
          <w:sz w:val="24"/>
        </w:rPr>
        <w:t>school banking account</w:t>
      </w:r>
      <w:r w:rsidR="002715D1" w:rsidRPr="00161B6C">
        <w:rPr>
          <w:rFonts w:ascii="Times New Roman" w:hAnsi="Times New Roman" w:cs="Times New Roman"/>
          <w:b/>
          <w:color w:val="000000" w:themeColor="text1"/>
          <w:sz w:val="24"/>
        </w:rPr>
        <w:t>s and deposits</w:t>
      </w:r>
      <w:r w:rsidR="00984726" w:rsidRPr="00161B6C">
        <w:rPr>
          <w:rFonts w:ascii="Times New Roman" w:hAnsi="Times New Roman" w:cs="Times New Roman"/>
          <w:b/>
          <w:color w:val="000000" w:themeColor="text1"/>
          <w:sz w:val="24"/>
        </w:rPr>
        <w:t>:</w:t>
      </w:r>
    </w:p>
    <w:p w:rsidR="001A0A5F" w:rsidRPr="00161B6C" w:rsidRDefault="00984726" w:rsidP="00067537">
      <w:pPr>
        <w:spacing w:after="0" w:line="240" w:lineRule="auto"/>
        <w:jc w:val="both"/>
        <w:rPr>
          <w:rFonts w:ascii="Times New Roman" w:hAnsi="Times New Roman" w:cs="Times New Roman"/>
          <w:color w:val="000000" w:themeColor="text1"/>
          <w:sz w:val="24"/>
        </w:rPr>
      </w:pPr>
      <w:r w:rsidRPr="00161B6C">
        <w:rPr>
          <w:rFonts w:ascii="Times New Roman" w:hAnsi="Times New Roman" w:cs="Times New Roman"/>
          <w:color w:val="000000" w:themeColor="text1"/>
          <w:sz w:val="24"/>
        </w:rPr>
        <w:t>The following figure</w:t>
      </w:r>
      <w:r w:rsidR="00705DBE" w:rsidRPr="00161B6C">
        <w:rPr>
          <w:rFonts w:ascii="Times New Roman" w:hAnsi="Times New Roman" w:cs="Times New Roman"/>
          <w:color w:val="000000" w:themeColor="text1"/>
          <w:sz w:val="24"/>
        </w:rPr>
        <w:t>-</w:t>
      </w:r>
      <w:r w:rsidR="00754A97" w:rsidRPr="00161B6C">
        <w:rPr>
          <w:rFonts w:ascii="Times New Roman" w:hAnsi="Times New Roman" w:cs="Times New Roman"/>
          <w:color w:val="000000" w:themeColor="text1"/>
          <w:sz w:val="24"/>
        </w:rPr>
        <w:t>2</w:t>
      </w:r>
      <w:r w:rsidRPr="00161B6C">
        <w:rPr>
          <w:rFonts w:ascii="Times New Roman" w:hAnsi="Times New Roman" w:cs="Times New Roman"/>
          <w:color w:val="000000" w:themeColor="text1"/>
          <w:sz w:val="24"/>
        </w:rPr>
        <w:t xml:space="preserve"> shows the number of accounts and its trend over the period. </w:t>
      </w:r>
      <w:r w:rsidR="00754A97" w:rsidRPr="00161B6C">
        <w:rPr>
          <w:rFonts w:ascii="Times New Roman" w:hAnsi="Times New Roman" w:cs="Times New Roman"/>
          <w:color w:val="000000" w:themeColor="text1"/>
          <w:sz w:val="24"/>
        </w:rPr>
        <w:t xml:space="preserve">From figure2, it is observed that total number of accounts in school bank increase over the period from January to March 2014 to April to June 2020 with slight variation. The dashed line also exhibits the trend of accumulated accounts in school banking initiatives. The trend line shows upward over the period.  With increase in account opening banking deposits increases. </w:t>
      </w:r>
      <w:r w:rsidRPr="00161B6C">
        <w:rPr>
          <w:rFonts w:ascii="Times New Roman" w:hAnsi="Times New Roman" w:cs="Times New Roman"/>
          <w:color w:val="000000" w:themeColor="text1"/>
          <w:sz w:val="24"/>
        </w:rPr>
        <w:t>The following figure</w:t>
      </w:r>
      <w:r w:rsidR="00754A97" w:rsidRPr="00161B6C">
        <w:rPr>
          <w:rFonts w:ascii="Times New Roman" w:hAnsi="Times New Roman" w:cs="Times New Roman"/>
          <w:color w:val="000000" w:themeColor="text1"/>
          <w:sz w:val="24"/>
        </w:rPr>
        <w:t>-3</w:t>
      </w:r>
      <w:r w:rsidRPr="00161B6C">
        <w:rPr>
          <w:rFonts w:ascii="Times New Roman" w:hAnsi="Times New Roman" w:cs="Times New Roman"/>
          <w:color w:val="000000" w:themeColor="text1"/>
          <w:sz w:val="24"/>
        </w:rPr>
        <w:t xml:space="preserve"> </w:t>
      </w:r>
      <w:r w:rsidR="001E153B" w:rsidRPr="00161B6C">
        <w:rPr>
          <w:rFonts w:ascii="Times New Roman" w:hAnsi="Times New Roman" w:cs="Times New Roman"/>
          <w:color w:val="000000" w:themeColor="text1"/>
          <w:sz w:val="24"/>
        </w:rPr>
        <w:t>exhibits the</w:t>
      </w:r>
      <w:r w:rsidR="00DD73B3" w:rsidRPr="00161B6C">
        <w:rPr>
          <w:rFonts w:ascii="Times New Roman" w:hAnsi="Times New Roman" w:cs="Times New Roman"/>
          <w:color w:val="000000" w:themeColor="text1"/>
          <w:sz w:val="24"/>
        </w:rPr>
        <w:t xml:space="preserve"> amount</w:t>
      </w:r>
      <w:r w:rsidRPr="00161B6C">
        <w:rPr>
          <w:rFonts w:ascii="Times New Roman" w:hAnsi="Times New Roman" w:cs="Times New Roman"/>
          <w:color w:val="000000" w:themeColor="text1"/>
          <w:sz w:val="24"/>
        </w:rPr>
        <w:t xml:space="preserve"> of deposit and its trend over the period</w:t>
      </w:r>
      <w:r w:rsidR="00264909" w:rsidRPr="00161B6C">
        <w:rPr>
          <w:rFonts w:ascii="Times New Roman" w:hAnsi="Times New Roman" w:cs="Times New Roman"/>
          <w:color w:val="000000" w:themeColor="text1"/>
          <w:sz w:val="24"/>
        </w:rPr>
        <w:t xml:space="preserve"> from </w:t>
      </w:r>
      <w:r w:rsidR="00754A97" w:rsidRPr="00161B6C">
        <w:rPr>
          <w:rFonts w:ascii="Times New Roman" w:hAnsi="Times New Roman" w:cs="Times New Roman"/>
          <w:color w:val="000000" w:themeColor="text1"/>
          <w:sz w:val="24"/>
        </w:rPr>
        <w:t>January to March 2014 to April to June 2020. With the increase of accounts in school bank</w:t>
      </w:r>
      <w:r w:rsidR="00705DBE" w:rsidRPr="00161B6C">
        <w:rPr>
          <w:rFonts w:ascii="Times New Roman" w:hAnsi="Times New Roman" w:cs="Times New Roman"/>
          <w:color w:val="000000" w:themeColor="text1"/>
          <w:sz w:val="24"/>
        </w:rPr>
        <w:t>, deposits increase</w:t>
      </w:r>
      <w:r w:rsidR="00754A97" w:rsidRPr="00161B6C">
        <w:rPr>
          <w:rFonts w:ascii="Times New Roman" w:hAnsi="Times New Roman" w:cs="Times New Roman"/>
          <w:color w:val="000000" w:themeColor="text1"/>
          <w:sz w:val="24"/>
        </w:rPr>
        <w:t xml:space="preserve"> over the period from January to March 2014 to April to June 2020 with </w:t>
      </w:r>
      <w:r w:rsidR="00DD73B3" w:rsidRPr="00161B6C">
        <w:rPr>
          <w:rFonts w:ascii="Times New Roman" w:hAnsi="Times New Roman" w:cs="Times New Roman"/>
          <w:color w:val="000000" w:themeColor="text1"/>
          <w:sz w:val="24"/>
        </w:rPr>
        <w:t>little fluctuation</w:t>
      </w:r>
      <w:r w:rsidR="00754A97" w:rsidRPr="00161B6C">
        <w:rPr>
          <w:rFonts w:ascii="Times New Roman" w:hAnsi="Times New Roman" w:cs="Times New Roman"/>
          <w:color w:val="000000" w:themeColor="text1"/>
          <w:sz w:val="24"/>
        </w:rPr>
        <w:t>.</w:t>
      </w:r>
      <w:r w:rsidR="00705DBE" w:rsidRPr="00161B6C">
        <w:rPr>
          <w:rFonts w:ascii="Times New Roman" w:hAnsi="Times New Roman" w:cs="Times New Roman"/>
          <w:color w:val="000000" w:themeColor="text1"/>
          <w:sz w:val="24"/>
        </w:rPr>
        <w:t xml:space="preserve"> The trend line also shows increasing trend.  Thus the figures indicate that increase in number of accounts also increase the amount of deposits. </w:t>
      </w:r>
      <w:r w:rsidR="00DD73B3" w:rsidRPr="00161B6C">
        <w:rPr>
          <w:rFonts w:ascii="Times New Roman" w:hAnsi="Times New Roman" w:cs="Times New Roman"/>
          <w:color w:val="000000" w:themeColor="text1"/>
          <w:sz w:val="24"/>
        </w:rPr>
        <w:t xml:space="preserve"> So, there is an association between school banking account opening and amount of deposits in those accounts.</w:t>
      </w:r>
    </w:p>
    <w:p w:rsidR="000123EE" w:rsidRPr="00161B6C" w:rsidRDefault="00C86B12" w:rsidP="00067537">
      <w:pPr>
        <w:spacing w:after="0" w:line="240" w:lineRule="auto"/>
        <w:rPr>
          <w:rFonts w:ascii="Times New Roman" w:hAnsi="Times New Roman" w:cs="Times New Roman"/>
          <w:color w:val="000000" w:themeColor="text1"/>
          <w:sz w:val="24"/>
        </w:rPr>
      </w:pPr>
      <w:r w:rsidRPr="00161B6C">
        <w:rPr>
          <w:noProof/>
          <w:color w:val="000000" w:themeColor="text1"/>
        </w:rPr>
        <w:drawing>
          <wp:inline distT="0" distB="0" distL="0" distR="0" wp14:anchorId="71C159D3" wp14:editId="2F1CA949">
            <wp:extent cx="5943600" cy="39528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075F" w:rsidRPr="00161B6C" w:rsidRDefault="00B9075F" w:rsidP="00067537">
      <w:pPr>
        <w:spacing w:after="0" w:line="240" w:lineRule="auto"/>
        <w:rPr>
          <w:rFonts w:ascii="Times New Roman" w:hAnsi="Times New Roman" w:cs="Times New Roman"/>
          <w:color w:val="000000" w:themeColor="text1"/>
          <w:sz w:val="24"/>
        </w:rPr>
      </w:pPr>
      <w:bookmarkStart w:id="0" w:name="_GoBack"/>
      <w:r w:rsidRPr="00161B6C">
        <w:rPr>
          <w:noProof/>
          <w:color w:val="000000" w:themeColor="text1"/>
        </w:rPr>
        <w:lastRenderedPageBreak/>
        <w:drawing>
          <wp:inline distT="0" distB="0" distL="0" distR="0" wp14:anchorId="0FA2FA96" wp14:editId="7A740D3A">
            <wp:extent cx="5943600" cy="3460830"/>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573C23" w:rsidRPr="00161B6C" w:rsidRDefault="00573C23" w:rsidP="00067537">
      <w:pPr>
        <w:spacing w:after="0" w:line="240" w:lineRule="auto"/>
        <w:rPr>
          <w:rFonts w:ascii="Times New Roman" w:hAnsi="Times New Roman" w:cs="Times New Roman"/>
          <w:color w:val="000000" w:themeColor="text1"/>
          <w:sz w:val="24"/>
        </w:rPr>
      </w:pPr>
    </w:p>
    <w:p w:rsidR="008253CC" w:rsidRPr="00161B6C" w:rsidRDefault="00573C23" w:rsidP="00573C23">
      <w:pPr>
        <w:spacing w:after="0" w:line="240" w:lineRule="auto"/>
        <w:rPr>
          <w:rFonts w:ascii="Times New Roman" w:hAnsi="Times New Roman" w:cs="Times New Roman"/>
          <w:b/>
          <w:color w:val="000000" w:themeColor="text1"/>
          <w:sz w:val="24"/>
        </w:rPr>
      </w:pPr>
      <w:r w:rsidRPr="00161B6C">
        <w:rPr>
          <w:rFonts w:ascii="Times New Roman" w:hAnsi="Times New Roman" w:cs="Times New Roman"/>
          <w:color w:val="000000" w:themeColor="text1"/>
          <w:sz w:val="24"/>
        </w:rPr>
        <w:t xml:space="preserve">       </w:t>
      </w:r>
      <w:r w:rsidRPr="00161B6C">
        <w:rPr>
          <w:rFonts w:ascii="Times New Roman" w:hAnsi="Times New Roman" w:cs="Times New Roman"/>
          <w:b/>
          <w:color w:val="000000" w:themeColor="text1"/>
          <w:sz w:val="24"/>
        </w:rPr>
        <w:t>4.5</w:t>
      </w:r>
      <w:r w:rsidR="00246C97" w:rsidRPr="00161B6C">
        <w:rPr>
          <w:rFonts w:ascii="Times New Roman" w:hAnsi="Times New Roman" w:cs="Times New Roman"/>
          <w:b/>
          <w:color w:val="000000" w:themeColor="text1"/>
          <w:sz w:val="24"/>
        </w:rPr>
        <w:t xml:space="preserve"> </w:t>
      </w:r>
      <w:r w:rsidR="008538AD" w:rsidRPr="00161B6C">
        <w:rPr>
          <w:rFonts w:ascii="Times New Roman" w:hAnsi="Times New Roman" w:cs="Times New Roman"/>
          <w:b/>
          <w:color w:val="000000" w:themeColor="text1"/>
          <w:sz w:val="24"/>
        </w:rPr>
        <w:t>Correlation</w:t>
      </w:r>
      <w:r w:rsidR="00246C97" w:rsidRPr="00161B6C">
        <w:rPr>
          <w:rFonts w:ascii="Times New Roman" w:hAnsi="Times New Roman" w:cs="Times New Roman"/>
          <w:b/>
          <w:color w:val="000000" w:themeColor="text1"/>
          <w:sz w:val="24"/>
        </w:rPr>
        <w:t>s</w:t>
      </w:r>
      <w:r w:rsidR="008538AD" w:rsidRPr="00161B6C">
        <w:rPr>
          <w:rFonts w:ascii="Times New Roman" w:hAnsi="Times New Roman" w:cs="Times New Roman"/>
          <w:b/>
          <w:color w:val="000000" w:themeColor="text1"/>
          <w:sz w:val="24"/>
        </w:rPr>
        <w:t xml:space="preserve"> </w:t>
      </w:r>
    </w:p>
    <w:p w:rsidR="008554FD" w:rsidRPr="00161B6C" w:rsidRDefault="008257A9" w:rsidP="008554FD">
      <w:pPr>
        <w:spacing w:after="0" w:line="240" w:lineRule="auto"/>
        <w:jc w:val="both"/>
        <w:rPr>
          <w:rFonts w:ascii="Times New Roman" w:hAnsi="Times New Roman" w:cs="Times New Roman"/>
          <w:color w:val="000000" w:themeColor="text1"/>
          <w:sz w:val="24"/>
        </w:rPr>
      </w:pPr>
      <w:r w:rsidRPr="00161B6C">
        <w:rPr>
          <w:rFonts w:ascii="Times New Roman" w:hAnsi="Times New Roman" w:cs="Times New Roman"/>
          <w:color w:val="000000" w:themeColor="text1"/>
          <w:sz w:val="24"/>
        </w:rPr>
        <w:t>The following table: 4</w:t>
      </w:r>
      <w:r w:rsidR="004224AF" w:rsidRPr="00161B6C">
        <w:rPr>
          <w:rFonts w:ascii="Times New Roman" w:hAnsi="Times New Roman" w:cs="Times New Roman"/>
          <w:color w:val="000000" w:themeColor="text1"/>
          <w:sz w:val="24"/>
        </w:rPr>
        <w:t xml:space="preserve">, demonstrates the connection between the dependent and independent variable. The association between the number of school banking accounts and the volume of deposits such account </w:t>
      </w:r>
      <w:r w:rsidR="0076131B" w:rsidRPr="00161B6C">
        <w:rPr>
          <w:rFonts w:ascii="Times New Roman" w:hAnsi="Times New Roman" w:cs="Times New Roman"/>
          <w:color w:val="000000" w:themeColor="text1"/>
          <w:sz w:val="24"/>
        </w:rPr>
        <w:t>was 0.987</w:t>
      </w:r>
      <w:r w:rsidR="004224AF" w:rsidRPr="00161B6C">
        <w:rPr>
          <w:rFonts w:ascii="Times New Roman" w:hAnsi="Times New Roman" w:cs="Times New Roman"/>
          <w:color w:val="000000" w:themeColor="text1"/>
          <w:sz w:val="24"/>
        </w:rPr>
        <w:t xml:space="preserve"> </w:t>
      </w:r>
      <w:r w:rsidR="0076131B" w:rsidRPr="00161B6C">
        <w:rPr>
          <w:rFonts w:ascii="Times New Roman" w:hAnsi="Times New Roman" w:cs="Times New Roman"/>
          <w:color w:val="000000" w:themeColor="text1"/>
          <w:sz w:val="24"/>
        </w:rPr>
        <w:t>and</w:t>
      </w:r>
      <w:r w:rsidR="004224AF" w:rsidRPr="00161B6C">
        <w:rPr>
          <w:rFonts w:ascii="Times New Roman" w:hAnsi="Times New Roman" w:cs="Times New Roman"/>
          <w:color w:val="000000" w:themeColor="text1"/>
          <w:sz w:val="24"/>
        </w:rPr>
        <w:t xml:space="preserve"> significant at a level of significance of 0.000 percent. This suggests that the number of school banking accounts and the amount of dep</w:t>
      </w:r>
      <w:r w:rsidR="0076131B" w:rsidRPr="00161B6C">
        <w:rPr>
          <w:rFonts w:ascii="Times New Roman" w:hAnsi="Times New Roman" w:cs="Times New Roman"/>
          <w:color w:val="000000" w:themeColor="text1"/>
          <w:sz w:val="24"/>
        </w:rPr>
        <w:t>osits from those accounts had</w:t>
      </w:r>
      <w:r w:rsidR="004224AF" w:rsidRPr="00161B6C">
        <w:rPr>
          <w:rFonts w:ascii="Times New Roman" w:hAnsi="Times New Roman" w:cs="Times New Roman"/>
          <w:color w:val="000000" w:themeColor="text1"/>
          <w:sz w:val="24"/>
        </w:rPr>
        <w:t xml:space="preserve"> a positive relationship. But</w:t>
      </w:r>
      <w:r w:rsidR="002C6A57" w:rsidRPr="00161B6C">
        <w:rPr>
          <w:rFonts w:ascii="Times New Roman" w:hAnsi="Times New Roman" w:cs="Times New Roman"/>
          <w:color w:val="000000" w:themeColor="text1"/>
          <w:sz w:val="24"/>
        </w:rPr>
        <w:t xml:space="preserve"> the correlation </w:t>
      </w:r>
      <w:r w:rsidR="00D97A70" w:rsidRPr="00161B6C">
        <w:rPr>
          <w:rFonts w:ascii="Times New Roman" w:hAnsi="Times New Roman" w:cs="Times New Roman"/>
          <w:color w:val="000000" w:themeColor="text1"/>
          <w:sz w:val="24"/>
        </w:rPr>
        <w:t xml:space="preserve">of </w:t>
      </w:r>
      <w:r w:rsidR="002C6A57" w:rsidRPr="00161B6C">
        <w:rPr>
          <w:rFonts w:ascii="Times New Roman" w:hAnsi="Times New Roman" w:cs="Times New Roman"/>
          <w:color w:val="000000" w:themeColor="text1"/>
          <w:sz w:val="24"/>
        </w:rPr>
        <w:t xml:space="preserve">numbers of school banking accounts and return on assets </w:t>
      </w:r>
      <w:r w:rsidR="0076131B" w:rsidRPr="00161B6C">
        <w:rPr>
          <w:rFonts w:ascii="Times New Roman" w:hAnsi="Times New Roman" w:cs="Times New Roman"/>
          <w:color w:val="000000" w:themeColor="text1"/>
          <w:sz w:val="24"/>
        </w:rPr>
        <w:t>wa</w:t>
      </w:r>
      <w:r w:rsidR="00D97A70" w:rsidRPr="00161B6C">
        <w:rPr>
          <w:rFonts w:ascii="Times New Roman" w:hAnsi="Times New Roman" w:cs="Times New Roman"/>
          <w:color w:val="000000" w:themeColor="text1"/>
          <w:sz w:val="24"/>
        </w:rPr>
        <w:t xml:space="preserve">s </w:t>
      </w:r>
      <w:r w:rsidR="002C6A57" w:rsidRPr="00161B6C">
        <w:rPr>
          <w:rFonts w:ascii="Times New Roman" w:hAnsi="Times New Roman" w:cs="Times New Roman"/>
          <w:color w:val="000000" w:themeColor="text1"/>
          <w:sz w:val="24"/>
        </w:rPr>
        <w:t>-0.658</w:t>
      </w:r>
      <w:r w:rsidR="00D97A70" w:rsidRPr="00161B6C">
        <w:rPr>
          <w:rFonts w:ascii="Times New Roman" w:hAnsi="Times New Roman" w:cs="Times New Roman"/>
          <w:color w:val="000000" w:themeColor="text1"/>
          <w:sz w:val="24"/>
        </w:rPr>
        <w:t xml:space="preserve"> and significant at a probability of 0.039. </w:t>
      </w:r>
      <w:r w:rsidR="002C6A57" w:rsidRPr="00161B6C">
        <w:rPr>
          <w:rFonts w:ascii="Times New Roman" w:hAnsi="Times New Roman" w:cs="Times New Roman"/>
          <w:color w:val="000000" w:themeColor="text1"/>
          <w:sz w:val="24"/>
        </w:rPr>
        <w:t xml:space="preserve"> </w:t>
      </w:r>
      <w:r w:rsidR="00D97A70" w:rsidRPr="00161B6C">
        <w:rPr>
          <w:rFonts w:ascii="Times New Roman" w:hAnsi="Times New Roman" w:cs="Times New Roman"/>
          <w:color w:val="000000" w:themeColor="text1"/>
          <w:sz w:val="24"/>
        </w:rPr>
        <w:t xml:space="preserve">Similarly the value of correlation coefficient </w:t>
      </w:r>
      <w:r w:rsidR="006A1B9B" w:rsidRPr="00161B6C">
        <w:rPr>
          <w:rFonts w:ascii="Times New Roman" w:hAnsi="Times New Roman" w:cs="Times New Roman"/>
          <w:color w:val="000000" w:themeColor="text1"/>
          <w:sz w:val="24"/>
        </w:rPr>
        <w:t xml:space="preserve">of numbers of school banking accounts and </w:t>
      </w:r>
      <w:r w:rsidR="00D97A70" w:rsidRPr="00161B6C">
        <w:rPr>
          <w:rFonts w:ascii="Times New Roman" w:hAnsi="Times New Roman" w:cs="Times New Roman"/>
          <w:color w:val="000000" w:themeColor="text1"/>
          <w:sz w:val="24"/>
        </w:rPr>
        <w:t xml:space="preserve">return on equity </w:t>
      </w:r>
      <w:r w:rsidR="0076131B" w:rsidRPr="00161B6C">
        <w:rPr>
          <w:rFonts w:ascii="Times New Roman" w:hAnsi="Times New Roman" w:cs="Times New Roman"/>
          <w:color w:val="000000" w:themeColor="text1"/>
          <w:sz w:val="24"/>
        </w:rPr>
        <w:t>was</w:t>
      </w:r>
      <w:r w:rsidR="006A1B9B" w:rsidRPr="00161B6C">
        <w:rPr>
          <w:rFonts w:ascii="Times New Roman" w:hAnsi="Times New Roman" w:cs="Times New Roman"/>
          <w:color w:val="000000" w:themeColor="text1"/>
          <w:sz w:val="24"/>
        </w:rPr>
        <w:t xml:space="preserve"> </w:t>
      </w:r>
      <w:r w:rsidR="002C6A57" w:rsidRPr="00161B6C">
        <w:rPr>
          <w:rFonts w:ascii="Times New Roman" w:hAnsi="Times New Roman" w:cs="Times New Roman"/>
          <w:color w:val="000000" w:themeColor="text1"/>
          <w:sz w:val="24"/>
        </w:rPr>
        <w:t>–0.707</w:t>
      </w:r>
      <w:r w:rsidR="006A1B9B" w:rsidRPr="00161B6C">
        <w:rPr>
          <w:rFonts w:ascii="Times New Roman" w:hAnsi="Times New Roman" w:cs="Times New Roman"/>
          <w:color w:val="000000" w:themeColor="text1"/>
          <w:sz w:val="24"/>
        </w:rPr>
        <w:t xml:space="preserve"> and significant at 0.020 level of </w:t>
      </w:r>
      <w:r w:rsidR="008E2D69" w:rsidRPr="00161B6C">
        <w:rPr>
          <w:rFonts w:ascii="Times New Roman" w:hAnsi="Times New Roman" w:cs="Times New Roman"/>
          <w:color w:val="000000" w:themeColor="text1"/>
          <w:sz w:val="24"/>
        </w:rPr>
        <w:t>significance. This means that the number of school banking accounts, the return on e</w:t>
      </w:r>
      <w:r w:rsidR="0076131B" w:rsidRPr="00161B6C">
        <w:rPr>
          <w:rFonts w:ascii="Times New Roman" w:hAnsi="Times New Roman" w:cs="Times New Roman"/>
          <w:color w:val="000000" w:themeColor="text1"/>
          <w:sz w:val="24"/>
        </w:rPr>
        <w:t>quity and the return on assets we</w:t>
      </w:r>
      <w:r w:rsidR="008E2D69" w:rsidRPr="00161B6C">
        <w:rPr>
          <w:rFonts w:ascii="Times New Roman" w:hAnsi="Times New Roman" w:cs="Times New Roman"/>
          <w:color w:val="000000" w:themeColor="text1"/>
          <w:sz w:val="24"/>
        </w:rPr>
        <w:t>re negatively linked. The</w:t>
      </w:r>
      <w:r w:rsidR="00D22D2F" w:rsidRPr="00161B6C">
        <w:rPr>
          <w:rFonts w:ascii="Times New Roman" w:hAnsi="Times New Roman" w:cs="Times New Roman"/>
          <w:color w:val="000000" w:themeColor="text1"/>
          <w:sz w:val="24"/>
        </w:rPr>
        <w:t xml:space="preserve"> </w:t>
      </w:r>
      <w:r w:rsidR="00F45B20" w:rsidRPr="00161B6C">
        <w:rPr>
          <w:rFonts w:ascii="Times New Roman" w:hAnsi="Times New Roman" w:cs="Times New Roman"/>
          <w:color w:val="000000" w:themeColor="text1"/>
          <w:sz w:val="24"/>
        </w:rPr>
        <w:t xml:space="preserve">value </w:t>
      </w:r>
      <w:r w:rsidR="00D22D2F" w:rsidRPr="00161B6C">
        <w:rPr>
          <w:rFonts w:ascii="Times New Roman" w:hAnsi="Times New Roman" w:cs="Times New Roman"/>
          <w:color w:val="000000" w:themeColor="text1"/>
          <w:sz w:val="24"/>
        </w:rPr>
        <w:t>correlation coefficient of return on asse</w:t>
      </w:r>
      <w:r w:rsidR="00F45B20" w:rsidRPr="00161B6C">
        <w:rPr>
          <w:rFonts w:ascii="Times New Roman" w:hAnsi="Times New Roman" w:cs="Times New Roman"/>
          <w:color w:val="000000" w:themeColor="text1"/>
          <w:sz w:val="24"/>
        </w:rPr>
        <w:t>t</w:t>
      </w:r>
      <w:r w:rsidR="00D22D2F" w:rsidRPr="00161B6C">
        <w:rPr>
          <w:rFonts w:ascii="Times New Roman" w:hAnsi="Times New Roman" w:cs="Times New Roman"/>
          <w:color w:val="000000" w:themeColor="text1"/>
          <w:sz w:val="24"/>
        </w:rPr>
        <w:t xml:space="preserve"> and amount deposits in school banking account</w:t>
      </w:r>
      <w:r w:rsidR="007F3F9D" w:rsidRPr="00161B6C">
        <w:rPr>
          <w:rFonts w:ascii="Times New Roman" w:hAnsi="Times New Roman" w:cs="Times New Roman"/>
          <w:color w:val="000000" w:themeColor="text1"/>
          <w:sz w:val="24"/>
        </w:rPr>
        <w:t>s</w:t>
      </w:r>
      <w:r w:rsidR="00D22D2F" w:rsidRPr="00161B6C">
        <w:rPr>
          <w:rFonts w:ascii="Times New Roman" w:hAnsi="Times New Roman" w:cs="Times New Roman"/>
          <w:color w:val="000000" w:themeColor="text1"/>
          <w:sz w:val="24"/>
        </w:rPr>
        <w:t xml:space="preserve"> </w:t>
      </w:r>
      <w:r w:rsidR="0076131B" w:rsidRPr="00161B6C">
        <w:rPr>
          <w:rFonts w:ascii="Times New Roman" w:hAnsi="Times New Roman" w:cs="Times New Roman"/>
          <w:color w:val="000000" w:themeColor="text1"/>
          <w:sz w:val="24"/>
        </w:rPr>
        <w:t>wa</w:t>
      </w:r>
      <w:r w:rsidR="007F3F9D" w:rsidRPr="00161B6C">
        <w:rPr>
          <w:rFonts w:ascii="Times New Roman" w:hAnsi="Times New Roman" w:cs="Times New Roman"/>
          <w:color w:val="000000" w:themeColor="text1"/>
          <w:sz w:val="24"/>
        </w:rPr>
        <w:t>s</w:t>
      </w:r>
      <w:r w:rsidR="00D22D2F" w:rsidRPr="00161B6C">
        <w:rPr>
          <w:rFonts w:ascii="Times New Roman" w:hAnsi="Times New Roman" w:cs="Times New Roman"/>
          <w:color w:val="000000" w:themeColor="text1"/>
          <w:sz w:val="24"/>
        </w:rPr>
        <w:t xml:space="preserve"> -0.689</w:t>
      </w:r>
      <w:r w:rsidR="007F3F9D" w:rsidRPr="00161B6C">
        <w:rPr>
          <w:rFonts w:ascii="Times New Roman" w:hAnsi="Times New Roman" w:cs="Times New Roman"/>
          <w:color w:val="000000" w:themeColor="text1"/>
          <w:sz w:val="24"/>
        </w:rPr>
        <w:t xml:space="preserve"> </w:t>
      </w:r>
      <w:r w:rsidR="0076139F" w:rsidRPr="00161B6C">
        <w:rPr>
          <w:rFonts w:ascii="Times New Roman" w:hAnsi="Times New Roman" w:cs="Times New Roman"/>
          <w:color w:val="000000" w:themeColor="text1"/>
          <w:sz w:val="24"/>
        </w:rPr>
        <w:t>and that</w:t>
      </w:r>
      <w:r w:rsidR="007F3F9D" w:rsidRPr="00161B6C">
        <w:rPr>
          <w:rFonts w:ascii="Times New Roman" w:hAnsi="Times New Roman" w:cs="Times New Roman"/>
          <w:color w:val="000000" w:themeColor="text1"/>
          <w:sz w:val="24"/>
        </w:rPr>
        <w:t xml:space="preserve"> is </w:t>
      </w:r>
      <w:r w:rsidR="0076139F" w:rsidRPr="00161B6C">
        <w:rPr>
          <w:rFonts w:ascii="Times New Roman" w:hAnsi="Times New Roman" w:cs="Times New Roman"/>
          <w:color w:val="000000" w:themeColor="text1"/>
          <w:sz w:val="24"/>
        </w:rPr>
        <w:t>significant</w:t>
      </w:r>
      <w:r w:rsidR="00D22D2F" w:rsidRPr="00161B6C">
        <w:rPr>
          <w:rFonts w:ascii="Times New Roman" w:hAnsi="Times New Roman" w:cs="Times New Roman"/>
          <w:color w:val="000000" w:themeColor="text1"/>
          <w:sz w:val="24"/>
        </w:rPr>
        <w:t xml:space="preserve"> </w:t>
      </w:r>
      <w:r w:rsidR="0076139F" w:rsidRPr="00161B6C">
        <w:rPr>
          <w:rFonts w:ascii="Times New Roman" w:hAnsi="Times New Roman" w:cs="Times New Roman"/>
          <w:color w:val="000000" w:themeColor="text1"/>
          <w:sz w:val="24"/>
        </w:rPr>
        <w:t xml:space="preserve">at a probability of 0.028. </w:t>
      </w:r>
      <w:r w:rsidR="00D22D2F" w:rsidRPr="00161B6C">
        <w:rPr>
          <w:rFonts w:ascii="Times New Roman" w:hAnsi="Times New Roman" w:cs="Times New Roman"/>
          <w:color w:val="000000" w:themeColor="text1"/>
          <w:sz w:val="24"/>
        </w:rPr>
        <w:t xml:space="preserve"> </w:t>
      </w:r>
      <w:r w:rsidR="0076139F" w:rsidRPr="00161B6C">
        <w:rPr>
          <w:rFonts w:ascii="Times New Roman" w:hAnsi="Times New Roman" w:cs="Times New Roman"/>
          <w:color w:val="000000" w:themeColor="text1"/>
          <w:sz w:val="24"/>
        </w:rPr>
        <w:t xml:space="preserve">The correlation coefficient of amount deposits in school banking accounts and </w:t>
      </w:r>
      <w:r w:rsidR="00F45B20" w:rsidRPr="00161B6C">
        <w:rPr>
          <w:rFonts w:ascii="Times New Roman" w:hAnsi="Times New Roman" w:cs="Times New Roman"/>
          <w:color w:val="000000" w:themeColor="text1"/>
          <w:sz w:val="24"/>
        </w:rPr>
        <w:t>return on equity</w:t>
      </w:r>
      <w:r w:rsidR="0076139F" w:rsidRPr="00161B6C">
        <w:rPr>
          <w:rFonts w:ascii="Times New Roman" w:hAnsi="Times New Roman" w:cs="Times New Roman"/>
          <w:color w:val="000000" w:themeColor="text1"/>
          <w:sz w:val="24"/>
        </w:rPr>
        <w:t xml:space="preserve"> </w:t>
      </w:r>
      <w:r w:rsidR="0076131B" w:rsidRPr="00161B6C">
        <w:rPr>
          <w:rFonts w:ascii="Times New Roman" w:hAnsi="Times New Roman" w:cs="Times New Roman"/>
          <w:color w:val="000000" w:themeColor="text1"/>
          <w:sz w:val="24"/>
        </w:rPr>
        <w:t>wa</w:t>
      </w:r>
      <w:r w:rsidR="007A6311" w:rsidRPr="00161B6C">
        <w:rPr>
          <w:rFonts w:ascii="Times New Roman" w:hAnsi="Times New Roman" w:cs="Times New Roman"/>
          <w:color w:val="000000" w:themeColor="text1"/>
          <w:sz w:val="24"/>
        </w:rPr>
        <w:t>s -0.722</w:t>
      </w:r>
      <w:r w:rsidR="0076131B" w:rsidRPr="00161B6C">
        <w:rPr>
          <w:rFonts w:ascii="Times New Roman" w:hAnsi="Times New Roman" w:cs="Times New Roman"/>
          <w:color w:val="000000" w:themeColor="text1"/>
          <w:sz w:val="24"/>
        </w:rPr>
        <w:t xml:space="preserve"> and</w:t>
      </w:r>
      <w:r w:rsidR="007A6311" w:rsidRPr="00161B6C">
        <w:rPr>
          <w:rFonts w:ascii="Times New Roman" w:hAnsi="Times New Roman" w:cs="Times New Roman"/>
          <w:color w:val="000000" w:themeColor="text1"/>
          <w:sz w:val="24"/>
        </w:rPr>
        <w:t xml:space="preserve"> which </w:t>
      </w:r>
      <w:r w:rsidR="0076131B" w:rsidRPr="00161B6C">
        <w:rPr>
          <w:rFonts w:ascii="Times New Roman" w:hAnsi="Times New Roman" w:cs="Times New Roman"/>
          <w:color w:val="000000" w:themeColor="text1"/>
          <w:sz w:val="24"/>
        </w:rPr>
        <w:t>was</w:t>
      </w:r>
      <w:r w:rsidR="00D22D2F" w:rsidRPr="00161B6C">
        <w:rPr>
          <w:rFonts w:ascii="Times New Roman" w:hAnsi="Times New Roman" w:cs="Times New Roman"/>
          <w:color w:val="000000" w:themeColor="text1"/>
          <w:sz w:val="24"/>
        </w:rPr>
        <w:t xml:space="preserve"> </w:t>
      </w:r>
      <w:r w:rsidR="00D97A70" w:rsidRPr="00161B6C">
        <w:rPr>
          <w:rFonts w:ascii="Times New Roman" w:hAnsi="Times New Roman" w:cs="Times New Roman"/>
          <w:color w:val="000000" w:themeColor="text1"/>
          <w:sz w:val="24"/>
        </w:rPr>
        <w:t>significant</w:t>
      </w:r>
      <w:r w:rsidR="00D22D2F" w:rsidRPr="00161B6C">
        <w:rPr>
          <w:rFonts w:ascii="Times New Roman" w:hAnsi="Times New Roman" w:cs="Times New Roman"/>
          <w:color w:val="000000" w:themeColor="text1"/>
          <w:sz w:val="24"/>
        </w:rPr>
        <w:t xml:space="preserve"> at a</w:t>
      </w:r>
      <w:r w:rsidR="00D97A70" w:rsidRPr="00161B6C">
        <w:rPr>
          <w:rFonts w:ascii="Times New Roman" w:hAnsi="Times New Roman" w:cs="Times New Roman"/>
          <w:color w:val="000000" w:themeColor="text1"/>
          <w:sz w:val="24"/>
        </w:rPr>
        <w:t xml:space="preserve"> </w:t>
      </w:r>
      <w:r w:rsidR="00D22D2F" w:rsidRPr="00161B6C">
        <w:rPr>
          <w:rFonts w:ascii="Times New Roman" w:hAnsi="Times New Roman" w:cs="Times New Roman"/>
          <w:color w:val="000000" w:themeColor="text1"/>
          <w:sz w:val="24"/>
        </w:rPr>
        <w:t>prob</w:t>
      </w:r>
      <w:r w:rsidR="00D97A70" w:rsidRPr="00161B6C">
        <w:rPr>
          <w:rFonts w:ascii="Times New Roman" w:hAnsi="Times New Roman" w:cs="Times New Roman"/>
          <w:color w:val="000000" w:themeColor="text1"/>
          <w:sz w:val="24"/>
        </w:rPr>
        <w:t>ability of 0.018.</w:t>
      </w:r>
      <w:r w:rsidR="00F234C1" w:rsidRPr="00161B6C">
        <w:rPr>
          <w:rFonts w:ascii="Times New Roman" w:hAnsi="Times New Roman" w:cs="Times New Roman"/>
          <w:color w:val="000000" w:themeColor="text1"/>
          <w:sz w:val="24"/>
        </w:rPr>
        <w:t xml:space="preserve"> </w:t>
      </w:r>
      <w:r w:rsidR="008554FD" w:rsidRPr="00161B6C">
        <w:rPr>
          <w:rFonts w:ascii="Times New Roman" w:hAnsi="Times New Roman" w:cs="Times New Roman"/>
          <w:color w:val="000000" w:themeColor="text1"/>
          <w:sz w:val="24"/>
        </w:rPr>
        <w:t>It c</w:t>
      </w:r>
      <w:r w:rsidR="0076131B" w:rsidRPr="00161B6C">
        <w:rPr>
          <w:rFonts w:ascii="Times New Roman" w:hAnsi="Times New Roman" w:cs="Times New Roman"/>
          <w:color w:val="000000" w:themeColor="text1"/>
          <w:sz w:val="24"/>
        </w:rPr>
        <w:t>ould</w:t>
      </w:r>
      <w:r w:rsidR="008554FD" w:rsidRPr="00161B6C">
        <w:rPr>
          <w:rFonts w:ascii="Times New Roman" w:hAnsi="Times New Roman" w:cs="Times New Roman"/>
          <w:color w:val="000000" w:themeColor="text1"/>
          <w:sz w:val="24"/>
        </w:rPr>
        <w:t xml:space="preserve"> therefore be inferred that there was a positive relationship between the number of school banking accounts and deposit volume, but the relationship between profitability and school banking was negative.</w:t>
      </w:r>
    </w:p>
    <w:p w:rsidR="0093008A" w:rsidRPr="00161B6C" w:rsidRDefault="00CF6C26" w:rsidP="00EF5D0F">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Table 4</w:t>
      </w:r>
      <w:r w:rsidR="0093008A" w:rsidRPr="00161B6C">
        <w:rPr>
          <w:rFonts w:ascii="Times New Roman" w:hAnsi="Times New Roman" w:cs="Times New Roman"/>
          <w:b/>
          <w:color w:val="000000" w:themeColor="text1"/>
          <w:sz w:val="24"/>
        </w:rPr>
        <w:t xml:space="preserve">.  Correlation matrix </w:t>
      </w:r>
      <w:r w:rsidR="00B9075F" w:rsidRPr="00161B6C">
        <w:rPr>
          <w:rFonts w:ascii="Times New Roman" w:hAnsi="Times New Roman" w:cs="Times New Roman"/>
          <w:b/>
          <w:color w:val="000000" w:themeColor="text1"/>
          <w:sz w:val="24"/>
        </w:rPr>
        <w:t>of dependent variables and independent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5"/>
        <w:gridCol w:w="2741"/>
        <w:gridCol w:w="1399"/>
        <w:gridCol w:w="1399"/>
        <w:gridCol w:w="1399"/>
        <w:gridCol w:w="1397"/>
      </w:tblGrid>
      <w:tr w:rsidR="00DD3FA5" w:rsidRPr="00161B6C" w:rsidTr="007C7C9D">
        <w:trPr>
          <w:cantSplit/>
        </w:trPr>
        <w:tc>
          <w:tcPr>
            <w:tcW w:w="2009" w:type="pct"/>
            <w:gridSpan w:val="2"/>
            <w:shd w:val="clear" w:color="auto" w:fill="FFFFFF"/>
          </w:tcPr>
          <w:p w:rsidR="008253CC" w:rsidRPr="00161B6C" w:rsidRDefault="008253CC"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NOA</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DP</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ROA</w:t>
            </w:r>
          </w:p>
        </w:tc>
        <w:tc>
          <w:tcPr>
            <w:tcW w:w="747"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ROE</w:t>
            </w:r>
          </w:p>
        </w:tc>
      </w:tr>
      <w:tr w:rsidR="00DD3FA5" w:rsidRPr="00161B6C" w:rsidTr="007C7C9D">
        <w:trPr>
          <w:cantSplit/>
        </w:trPr>
        <w:tc>
          <w:tcPr>
            <w:tcW w:w="543" w:type="pct"/>
            <w:vMerge w:val="restart"/>
            <w:shd w:val="clear" w:color="auto" w:fill="FFFFFF"/>
            <w:vAlign w:val="center"/>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NOA</w:t>
            </w:r>
          </w:p>
        </w:tc>
        <w:tc>
          <w:tcPr>
            <w:tcW w:w="1466" w:type="pct"/>
            <w:shd w:val="clear" w:color="auto" w:fill="FFFFFF"/>
            <w:vAlign w:val="center"/>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Pearson Correlation</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c>
          <w:tcPr>
            <w:tcW w:w="747"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r>
      <w:tr w:rsidR="00DD3FA5" w:rsidRPr="00161B6C" w:rsidTr="007C7C9D">
        <w:trPr>
          <w:cantSplit/>
        </w:trPr>
        <w:tc>
          <w:tcPr>
            <w:tcW w:w="543" w:type="pct"/>
            <w:vMerge/>
            <w:shd w:val="clear" w:color="auto" w:fill="FFFFFF"/>
            <w:vAlign w:val="center"/>
          </w:tcPr>
          <w:p w:rsidR="008253CC" w:rsidRPr="00161B6C" w:rsidRDefault="008253CC"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66" w:type="pct"/>
            <w:shd w:val="clear" w:color="auto" w:fill="FFFFFF"/>
            <w:vAlign w:val="center"/>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Sig. (2-tailed)</w:t>
            </w:r>
          </w:p>
        </w:tc>
        <w:tc>
          <w:tcPr>
            <w:tcW w:w="748" w:type="pct"/>
            <w:shd w:val="clear" w:color="auto" w:fill="FFFFFF"/>
          </w:tcPr>
          <w:p w:rsidR="008253CC" w:rsidRPr="00161B6C" w:rsidRDefault="008253CC"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c>
          <w:tcPr>
            <w:tcW w:w="747"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r>
      <w:tr w:rsidR="00DD3FA5" w:rsidRPr="00161B6C" w:rsidTr="007C7C9D">
        <w:trPr>
          <w:cantSplit/>
        </w:trPr>
        <w:tc>
          <w:tcPr>
            <w:tcW w:w="543" w:type="pct"/>
            <w:vMerge w:val="restart"/>
            <w:shd w:val="clear" w:color="auto" w:fill="FFFFFF"/>
            <w:vAlign w:val="center"/>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DP</w:t>
            </w:r>
          </w:p>
        </w:tc>
        <w:tc>
          <w:tcPr>
            <w:tcW w:w="1466" w:type="pct"/>
            <w:shd w:val="clear" w:color="auto" w:fill="FFFFFF"/>
            <w:vAlign w:val="center"/>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Pearson Correlation</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.987</w:t>
            </w:r>
            <w:r w:rsidRPr="00161B6C">
              <w:rPr>
                <w:rFonts w:ascii="Times New Roman" w:hAnsi="Times New Roman" w:cs="Times New Roman"/>
                <w:color w:val="000000" w:themeColor="text1"/>
                <w:sz w:val="24"/>
                <w:szCs w:val="24"/>
                <w:vertAlign w:val="superscript"/>
              </w:rPr>
              <w:t>**</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c>
          <w:tcPr>
            <w:tcW w:w="747"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r>
      <w:tr w:rsidR="00DD3FA5" w:rsidRPr="00161B6C" w:rsidTr="007C7C9D">
        <w:trPr>
          <w:cantSplit/>
        </w:trPr>
        <w:tc>
          <w:tcPr>
            <w:tcW w:w="543" w:type="pct"/>
            <w:vMerge/>
            <w:shd w:val="clear" w:color="auto" w:fill="FFFFFF"/>
            <w:vAlign w:val="center"/>
          </w:tcPr>
          <w:p w:rsidR="008253CC" w:rsidRPr="00161B6C" w:rsidRDefault="008253CC"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66" w:type="pct"/>
            <w:shd w:val="clear" w:color="auto" w:fill="FFFFFF"/>
            <w:vAlign w:val="center"/>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Sig. (2-tailed)</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.000</w:t>
            </w:r>
          </w:p>
        </w:tc>
        <w:tc>
          <w:tcPr>
            <w:tcW w:w="748" w:type="pct"/>
            <w:shd w:val="clear" w:color="auto" w:fill="FFFFFF"/>
          </w:tcPr>
          <w:p w:rsidR="008253CC" w:rsidRPr="00161B6C" w:rsidRDefault="008253CC"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c>
          <w:tcPr>
            <w:tcW w:w="747"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r>
      <w:tr w:rsidR="00DD3FA5" w:rsidRPr="00161B6C" w:rsidTr="007C7C9D">
        <w:trPr>
          <w:cantSplit/>
        </w:trPr>
        <w:tc>
          <w:tcPr>
            <w:tcW w:w="543" w:type="pct"/>
            <w:vMerge w:val="restart"/>
            <w:shd w:val="clear" w:color="auto" w:fill="FFFFFF"/>
            <w:vAlign w:val="center"/>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ROA</w:t>
            </w:r>
          </w:p>
        </w:tc>
        <w:tc>
          <w:tcPr>
            <w:tcW w:w="1466" w:type="pct"/>
            <w:shd w:val="clear" w:color="auto" w:fill="FFFFFF"/>
            <w:vAlign w:val="center"/>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Pearson Correlation</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-.658</w:t>
            </w:r>
            <w:r w:rsidRPr="00161B6C">
              <w:rPr>
                <w:rFonts w:ascii="Times New Roman" w:hAnsi="Times New Roman" w:cs="Times New Roman"/>
                <w:color w:val="000000" w:themeColor="text1"/>
                <w:sz w:val="24"/>
                <w:szCs w:val="24"/>
                <w:vertAlign w:val="superscript"/>
              </w:rPr>
              <w:t>*</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-.689</w:t>
            </w:r>
            <w:r w:rsidRPr="00161B6C">
              <w:rPr>
                <w:rFonts w:ascii="Times New Roman" w:hAnsi="Times New Roman" w:cs="Times New Roman"/>
                <w:color w:val="000000" w:themeColor="text1"/>
                <w:sz w:val="24"/>
                <w:szCs w:val="24"/>
                <w:vertAlign w:val="superscript"/>
              </w:rPr>
              <w:t>*</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w:t>
            </w:r>
          </w:p>
        </w:tc>
        <w:tc>
          <w:tcPr>
            <w:tcW w:w="747"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r>
      <w:tr w:rsidR="00DD3FA5" w:rsidRPr="00161B6C" w:rsidTr="007C7C9D">
        <w:trPr>
          <w:cantSplit/>
        </w:trPr>
        <w:tc>
          <w:tcPr>
            <w:tcW w:w="543" w:type="pct"/>
            <w:vMerge/>
            <w:shd w:val="clear" w:color="auto" w:fill="FFFFFF"/>
            <w:vAlign w:val="center"/>
          </w:tcPr>
          <w:p w:rsidR="008253CC" w:rsidRPr="00161B6C" w:rsidRDefault="008253CC"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66" w:type="pct"/>
            <w:shd w:val="clear" w:color="auto" w:fill="FFFFFF"/>
            <w:vAlign w:val="center"/>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Sig. (2-tailed)</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.039</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.028</w:t>
            </w:r>
          </w:p>
        </w:tc>
        <w:tc>
          <w:tcPr>
            <w:tcW w:w="748" w:type="pct"/>
            <w:shd w:val="clear" w:color="auto" w:fill="FFFFFF"/>
          </w:tcPr>
          <w:p w:rsidR="008253CC" w:rsidRPr="00161B6C" w:rsidRDefault="008253CC"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47"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r>
      <w:tr w:rsidR="00DD3FA5" w:rsidRPr="00161B6C" w:rsidTr="007C7C9D">
        <w:trPr>
          <w:cantSplit/>
        </w:trPr>
        <w:tc>
          <w:tcPr>
            <w:tcW w:w="543" w:type="pct"/>
            <w:vMerge w:val="restart"/>
            <w:shd w:val="clear" w:color="auto" w:fill="FFFFFF"/>
            <w:vAlign w:val="center"/>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ROE</w:t>
            </w:r>
          </w:p>
        </w:tc>
        <w:tc>
          <w:tcPr>
            <w:tcW w:w="1466" w:type="pct"/>
            <w:shd w:val="clear" w:color="auto" w:fill="FFFFFF"/>
            <w:vAlign w:val="center"/>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Pearson Correlation</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-.707</w:t>
            </w:r>
            <w:r w:rsidRPr="00161B6C">
              <w:rPr>
                <w:rFonts w:ascii="Times New Roman" w:hAnsi="Times New Roman" w:cs="Times New Roman"/>
                <w:color w:val="000000" w:themeColor="text1"/>
                <w:sz w:val="24"/>
                <w:szCs w:val="24"/>
                <w:vertAlign w:val="superscript"/>
              </w:rPr>
              <w:t>*</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-.722</w:t>
            </w:r>
            <w:r w:rsidRPr="00161B6C">
              <w:rPr>
                <w:rFonts w:ascii="Times New Roman" w:hAnsi="Times New Roman" w:cs="Times New Roman"/>
                <w:color w:val="000000" w:themeColor="text1"/>
                <w:sz w:val="24"/>
                <w:szCs w:val="24"/>
                <w:vertAlign w:val="superscript"/>
              </w:rPr>
              <w:t>*</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.970</w:t>
            </w:r>
            <w:r w:rsidRPr="00161B6C">
              <w:rPr>
                <w:rFonts w:ascii="Times New Roman" w:hAnsi="Times New Roman" w:cs="Times New Roman"/>
                <w:color w:val="000000" w:themeColor="text1"/>
                <w:sz w:val="24"/>
                <w:szCs w:val="24"/>
                <w:vertAlign w:val="superscript"/>
              </w:rPr>
              <w:t>**</w:t>
            </w:r>
          </w:p>
        </w:tc>
        <w:tc>
          <w:tcPr>
            <w:tcW w:w="747"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w:t>
            </w:r>
          </w:p>
        </w:tc>
      </w:tr>
      <w:tr w:rsidR="00DD3FA5" w:rsidRPr="00161B6C" w:rsidTr="007C7C9D">
        <w:trPr>
          <w:cantSplit/>
        </w:trPr>
        <w:tc>
          <w:tcPr>
            <w:tcW w:w="543" w:type="pct"/>
            <w:vMerge/>
            <w:shd w:val="clear" w:color="auto" w:fill="FFFFFF"/>
            <w:vAlign w:val="center"/>
          </w:tcPr>
          <w:p w:rsidR="008253CC" w:rsidRPr="00161B6C" w:rsidRDefault="008253CC"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66" w:type="pct"/>
            <w:shd w:val="clear" w:color="auto" w:fill="FFFFFF"/>
            <w:vAlign w:val="center"/>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Sig. (2-tailed)</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.022</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.018</w:t>
            </w:r>
          </w:p>
        </w:tc>
        <w:tc>
          <w:tcPr>
            <w:tcW w:w="748" w:type="pct"/>
            <w:shd w:val="clear" w:color="auto" w:fill="FFFFFF"/>
          </w:tcPr>
          <w:p w:rsidR="008253CC" w:rsidRPr="00161B6C" w:rsidRDefault="008253CC"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.000</w:t>
            </w:r>
          </w:p>
        </w:tc>
        <w:tc>
          <w:tcPr>
            <w:tcW w:w="747" w:type="pct"/>
            <w:shd w:val="clear" w:color="auto" w:fill="FFFFFF"/>
          </w:tcPr>
          <w:p w:rsidR="008253CC" w:rsidRPr="00161B6C" w:rsidRDefault="008253CC"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DD3FA5" w:rsidRPr="00161B6C" w:rsidTr="007C7C9D">
        <w:trPr>
          <w:cantSplit/>
        </w:trPr>
        <w:tc>
          <w:tcPr>
            <w:tcW w:w="5000" w:type="pct"/>
            <w:gridSpan w:val="6"/>
            <w:shd w:val="clear" w:color="auto" w:fill="FFFFFF"/>
          </w:tcPr>
          <w:p w:rsidR="008253CC" w:rsidRPr="00161B6C" w:rsidRDefault="008253CC"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 Correlation is significant at the 0.01 level (2-tailed).</w:t>
            </w:r>
          </w:p>
        </w:tc>
      </w:tr>
      <w:tr w:rsidR="00DD3FA5" w:rsidRPr="00161B6C" w:rsidTr="007C7C9D">
        <w:trPr>
          <w:cantSplit/>
        </w:trPr>
        <w:tc>
          <w:tcPr>
            <w:tcW w:w="5000" w:type="pct"/>
            <w:gridSpan w:val="6"/>
            <w:shd w:val="clear" w:color="auto" w:fill="FFFFFF"/>
          </w:tcPr>
          <w:p w:rsidR="008253CC" w:rsidRPr="00161B6C" w:rsidRDefault="008253CC" w:rsidP="00067537">
            <w:pPr>
              <w:autoSpaceDE w:val="0"/>
              <w:autoSpaceDN w:val="0"/>
              <w:adjustRightInd w:val="0"/>
              <w:spacing w:after="0" w:line="240" w:lineRule="auto"/>
              <w:ind w:left="60" w:right="60"/>
              <w:rPr>
                <w:rFonts w:ascii="Times New Roman" w:hAnsi="Times New Roman" w:cs="Times New Roman"/>
                <w:b/>
                <w:color w:val="000000" w:themeColor="text1"/>
                <w:sz w:val="24"/>
                <w:szCs w:val="24"/>
              </w:rPr>
            </w:pPr>
            <w:r w:rsidRPr="00161B6C">
              <w:rPr>
                <w:rFonts w:ascii="Times New Roman" w:hAnsi="Times New Roman" w:cs="Times New Roman"/>
                <w:b/>
                <w:color w:val="000000" w:themeColor="text1"/>
                <w:sz w:val="24"/>
                <w:szCs w:val="24"/>
              </w:rPr>
              <w:t>*. Correlation is significant at the 0.05 level (2-tailed).</w:t>
            </w:r>
          </w:p>
        </w:tc>
      </w:tr>
    </w:tbl>
    <w:p w:rsidR="008253CC" w:rsidRPr="00161B6C" w:rsidRDefault="00B9075F" w:rsidP="008257A9">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Source</w:t>
      </w:r>
      <w:r w:rsidRPr="00161B6C">
        <w:rPr>
          <w:rFonts w:ascii="Calibri" w:hAnsi="Calibri" w:cs="Calibri"/>
          <w:b/>
          <w:color w:val="000000" w:themeColor="text1"/>
          <w:sz w:val="24"/>
        </w:rPr>
        <w:t>:</w:t>
      </w:r>
      <w:r w:rsidRPr="00161B6C">
        <w:rPr>
          <w:rFonts w:ascii="Times New Roman" w:hAnsi="Times New Roman" w:cs="Times New Roman"/>
          <w:b/>
          <w:color w:val="000000" w:themeColor="text1"/>
          <w:sz w:val="24"/>
        </w:rPr>
        <w:t xml:space="preserve"> </w:t>
      </w:r>
      <w:r w:rsidR="008257A9" w:rsidRPr="00161B6C">
        <w:rPr>
          <w:rFonts w:ascii="Times New Roman" w:hAnsi="Times New Roman" w:cs="Times New Roman"/>
          <w:b/>
          <w:color w:val="000000" w:themeColor="text1"/>
          <w:sz w:val="24"/>
        </w:rPr>
        <w:t xml:space="preserve">Analysis output </w:t>
      </w:r>
      <w:r w:rsidRPr="00161B6C">
        <w:rPr>
          <w:rFonts w:ascii="Times New Roman" w:hAnsi="Times New Roman" w:cs="Times New Roman"/>
          <w:b/>
          <w:color w:val="000000" w:themeColor="text1"/>
          <w:sz w:val="24"/>
        </w:rPr>
        <w:t xml:space="preserve">SPSS-21 </w:t>
      </w:r>
    </w:p>
    <w:p w:rsidR="00CE3DF1" w:rsidRPr="00161B6C" w:rsidRDefault="00F73527" w:rsidP="00067537">
      <w:pPr>
        <w:spacing w:after="0" w:line="240" w:lineRule="auto"/>
        <w:rPr>
          <w:rFonts w:ascii="Times New Roman" w:hAnsi="Times New Roman" w:cs="Times New Roman"/>
          <w:b/>
          <w:color w:val="000000" w:themeColor="text1"/>
          <w:sz w:val="24"/>
        </w:rPr>
      </w:pPr>
      <w:r w:rsidRPr="00161B6C">
        <w:rPr>
          <w:rFonts w:ascii="Times New Roman" w:hAnsi="Times New Roman" w:cs="Times New Roman"/>
          <w:color w:val="000000" w:themeColor="text1"/>
          <w:sz w:val="24"/>
        </w:rPr>
        <w:t xml:space="preserve">        </w:t>
      </w:r>
      <w:r w:rsidRPr="00161B6C">
        <w:rPr>
          <w:rFonts w:ascii="Times New Roman" w:hAnsi="Times New Roman" w:cs="Times New Roman"/>
          <w:b/>
          <w:color w:val="000000" w:themeColor="text1"/>
          <w:sz w:val="24"/>
        </w:rPr>
        <w:t xml:space="preserve">4.6 </w:t>
      </w:r>
      <w:r w:rsidR="00CE3DF1" w:rsidRPr="00161B6C">
        <w:rPr>
          <w:rFonts w:ascii="Times New Roman" w:hAnsi="Times New Roman" w:cs="Times New Roman"/>
          <w:b/>
          <w:color w:val="000000" w:themeColor="text1"/>
          <w:sz w:val="24"/>
        </w:rPr>
        <w:t>Regression result</w:t>
      </w:r>
      <w:r w:rsidR="005667F3" w:rsidRPr="00161B6C">
        <w:rPr>
          <w:rFonts w:ascii="Times New Roman" w:hAnsi="Times New Roman" w:cs="Times New Roman"/>
          <w:b/>
          <w:color w:val="000000" w:themeColor="text1"/>
          <w:sz w:val="24"/>
        </w:rPr>
        <w:t>s</w:t>
      </w:r>
    </w:p>
    <w:p w:rsidR="008F0803" w:rsidRPr="00161B6C" w:rsidRDefault="00234391" w:rsidP="00067537">
      <w:pPr>
        <w:spacing w:after="0" w:line="240" w:lineRule="auto"/>
        <w:jc w:val="both"/>
        <w:rPr>
          <w:rFonts w:ascii="Times New Roman" w:hAnsi="Times New Roman" w:cs="Times New Roman"/>
          <w:color w:val="000000" w:themeColor="text1"/>
          <w:sz w:val="24"/>
          <w:szCs w:val="20"/>
          <w:shd w:val="clear" w:color="auto" w:fill="FFFFFF"/>
        </w:rPr>
      </w:pPr>
      <w:r w:rsidRPr="00161B6C">
        <w:rPr>
          <w:rFonts w:ascii="Times New Roman" w:hAnsi="Times New Roman" w:cs="Times New Roman"/>
          <w:color w:val="000000" w:themeColor="text1"/>
          <w:sz w:val="24"/>
          <w:szCs w:val="20"/>
          <w:shd w:val="clear" w:color="auto" w:fill="FFFFFF"/>
        </w:rPr>
        <w:t xml:space="preserve">The upcoming section illustrates the result of regression equation (1). </w:t>
      </w:r>
      <w:r w:rsidR="008F0803" w:rsidRPr="00161B6C">
        <w:rPr>
          <w:rFonts w:ascii="Times New Roman" w:hAnsi="Times New Roman" w:cs="Times New Roman"/>
          <w:color w:val="000000" w:themeColor="text1"/>
          <w:sz w:val="24"/>
          <w:szCs w:val="20"/>
          <w:shd w:val="clear" w:color="auto" w:fill="FFFFFF"/>
        </w:rPr>
        <w:t xml:space="preserve">The following table (Table 6) </w:t>
      </w:r>
      <w:r w:rsidRPr="00161B6C">
        <w:rPr>
          <w:rFonts w:ascii="Times New Roman" w:hAnsi="Times New Roman" w:cs="Times New Roman"/>
          <w:color w:val="000000" w:themeColor="text1"/>
          <w:sz w:val="24"/>
          <w:szCs w:val="20"/>
          <w:shd w:val="clear" w:color="auto" w:fill="FFFFFF"/>
        </w:rPr>
        <w:t>shows</w:t>
      </w:r>
      <w:r w:rsidR="008F0803" w:rsidRPr="00161B6C">
        <w:rPr>
          <w:rFonts w:ascii="Times New Roman" w:hAnsi="Times New Roman" w:cs="Times New Roman"/>
          <w:color w:val="000000" w:themeColor="text1"/>
          <w:sz w:val="24"/>
          <w:szCs w:val="20"/>
          <w:shd w:val="clear" w:color="auto" w:fill="FFFFFF"/>
        </w:rPr>
        <w:t xml:space="preserve"> that the F ratio of </w:t>
      </w:r>
      <w:r w:rsidR="00597D8A" w:rsidRPr="00161B6C">
        <w:rPr>
          <w:rFonts w:ascii="Times New Roman" w:hAnsi="Times New Roman" w:cs="Times New Roman"/>
          <w:color w:val="000000" w:themeColor="text1"/>
          <w:sz w:val="24"/>
          <w:szCs w:val="20"/>
          <w:shd w:val="clear" w:color="auto" w:fill="FFFFFF"/>
        </w:rPr>
        <w:t>7.227</w:t>
      </w:r>
      <w:r w:rsidR="008F0803" w:rsidRPr="00161B6C">
        <w:rPr>
          <w:rFonts w:ascii="Times New Roman" w:hAnsi="Times New Roman" w:cs="Times New Roman"/>
          <w:color w:val="000000" w:themeColor="text1"/>
          <w:sz w:val="24"/>
          <w:szCs w:val="20"/>
          <w:shd w:val="clear" w:color="auto" w:fill="FFFFFF"/>
        </w:rPr>
        <w:t xml:space="preserve"> is signi</w:t>
      </w:r>
      <w:r w:rsidR="00597D8A" w:rsidRPr="00161B6C">
        <w:rPr>
          <w:rFonts w:ascii="Times New Roman" w:hAnsi="Times New Roman" w:cs="Times New Roman"/>
          <w:color w:val="000000" w:themeColor="text1"/>
          <w:sz w:val="24"/>
          <w:szCs w:val="20"/>
          <w:shd w:val="clear" w:color="auto" w:fill="FFFFFF"/>
        </w:rPr>
        <w:t>ficant at a probability of 0.028</w:t>
      </w:r>
      <w:r w:rsidR="008F0803" w:rsidRPr="00161B6C">
        <w:rPr>
          <w:rFonts w:ascii="Times New Roman" w:hAnsi="Times New Roman" w:cs="Times New Roman"/>
          <w:color w:val="000000" w:themeColor="text1"/>
          <w:sz w:val="24"/>
          <w:szCs w:val="20"/>
          <w:shd w:val="clear" w:color="auto" w:fill="FFFFFF"/>
        </w:rPr>
        <w:t xml:space="preserve">. </w:t>
      </w:r>
      <w:r w:rsidR="008F0803" w:rsidRPr="00161B6C">
        <w:rPr>
          <w:rFonts w:ascii="Times New Roman" w:hAnsi="Times New Roman"/>
          <w:color w:val="000000" w:themeColor="text1"/>
          <w:sz w:val="24"/>
          <w:szCs w:val="24"/>
        </w:rPr>
        <w:t>The outcomes indicate that the model is statically significant. The table</w:t>
      </w:r>
      <w:r w:rsidR="003F519D" w:rsidRPr="00161B6C">
        <w:rPr>
          <w:rFonts w:ascii="Times New Roman" w:hAnsi="Times New Roman"/>
          <w:color w:val="000000" w:themeColor="text1"/>
          <w:sz w:val="24"/>
          <w:szCs w:val="24"/>
        </w:rPr>
        <w:t xml:space="preserve"> 5</w:t>
      </w:r>
      <w:r w:rsidR="008F0803" w:rsidRPr="00161B6C">
        <w:rPr>
          <w:rFonts w:ascii="Times New Roman" w:hAnsi="Times New Roman"/>
          <w:color w:val="000000" w:themeColor="text1"/>
          <w:sz w:val="24"/>
          <w:szCs w:val="24"/>
        </w:rPr>
        <w:t xml:space="preserve"> also showing that the r</w:t>
      </w:r>
      <w:r w:rsidR="008F0803" w:rsidRPr="00161B6C">
        <w:rPr>
          <w:rFonts w:ascii="Times New Roman" w:hAnsi="Times New Roman"/>
          <w:color w:val="000000" w:themeColor="text1"/>
          <w:sz w:val="24"/>
          <w:szCs w:val="24"/>
          <w:vertAlign w:val="superscript"/>
        </w:rPr>
        <w:t>2</w:t>
      </w:r>
      <w:r w:rsidR="008F0803" w:rsidRPr="00161B6C">
        <w:rPr>
          <w:rFonts w:ascii="Times New Roman" w:hAnsi="Times New Roman"/>
          <w:color w:val="000000" w:themeColor="text1"/>
          <w:sz w:val="24"/>
          <w:szCs w:val="24"/>
        </w:rPr>
        <w:t xml:space="preserve"> and adjusted r</w:t>
      </w:r>
      <w:r w:rsidR="008F0803" w:rsidRPr="00161B6C">
        <w:rPr>
          <w:rFonts w:ascii="Times New Roman" w:hAnsi="Times New Roman"/>
          <w:color w:val="000000" w:themeColor="text1"/>
          <w:sz w:val="24"/>
          <w:szCs w:val="24"/>
          <w:vertAlign w:val="superscript"/>
        </w:rPr>
        <w:t>2</w:t>
      </w:r>
      <w:r w:rsidR="008F0803" w:rsidRPr="00161B6C">
        <w:rPr>
          <w:rFonts w:ascii="Times New Roman" w:hAnsi="Times New Roman"/>
          <w:color w:val="000000" w:themeColor="text1"/>
          <w:sz w:val="24"/>
          <w:szCs w:val="24"/>
        </w:rPr>
        <w:t>, are 0.</w:t>
      </w:r>
      <w:r w:rsidR="008538AD" w:rsidRPr="00161B6C">
        <w:rPr>
          <w:rFonts w:ascii="Times New Roman" w:hAnsi="Times New Roman"/>
          <w:color w:val="000000" w:themeColor="text1"/>
          <w:sz w:val="24"/>
          <w:szCs w:val="24"/>
        </w:rPr>
        <w:t>475 and 0.409</w:t>
      </w:r>
      <w:r w:rsidR="008F0803" w:rsidRPr="00161B6C">
        <w:rPr>
          <w:rFonts w:ascii="Times New Roman" w:hAnsi="Times New Roman"/>
          <w:color w:val="000000" w:themeColor="text1"/>
          <w:sz w:val="24"/>
          <w:szCs w:val="24"/>
        </w:rPr>
        <w:t xml:space="preserve"> respectively.</w:t>
      </w:r>
      <w:r w:rsidR="003F519D" w:rsidRPr="00161B6C">
        <w:rPr>
          <w:rFonts w:ascii="Times New Roman" w:hAnsi="Times New Roman"/>
          <w:color w:val="000000" w:themeColor="text1"/>
          <w:sz w:val="24"/>
          <w:szCs w:val="24"/>
        </w:rPr>
        <w:t xml:space="preserve"> This signify</w:t>
      </w:r>
      <w:r w:rsidR="008F0803" w:rsidRPr="00161B6C">
        <w:rPr>
          <w:rFonts w:ascii="Times New Roman" w:hAnsi="Times New Roman"/>
          <w:color w:val="000000" w:themeColor="text1"/>
          <w:sz w:val="24"/>
          <w:szCs w:val="24"/>
        </w:rPr>
        <w:t xml:space="preserve"> </w:t>
      </w:r>
      <w:r w:rsidR="008538AD" w:rsidRPr="00161B6C">
        <w:rPr>
          <w:rFonts w:ascii="Times New Roman" w:hAnsi="Times New Roman"/>
          <w:color w:val="000000" w:themeColor="text1"/>
          <w:sz w:val="24"/>
          <w:szCs w:val="24"/>
        </w:rPr>
        <w:t>amount of deposits in school banking accounts accounted for 47.5</w:t>
      </w:r>
      <w:r w:rsidR="008F0803" w:rsidRPr="00161B6C">
        <w:rPr>
          <w:rFonts w:ascii="Times New Roman" w:hAnsi="Times New Roman"/>
          <w:color w:val="000000" w:themeColor="text1"/>
          <w:sz w:val="24"/>
          <w:szCs w:val="24"/>
        </w:rPr>
        <w:t xml:space="preserve">% variability of the </w:t>
      </w:r>
      <w:r w:rsidR="008538AD" w:rsidRPr="00161B6C">
        <w:rPr>
          <w:rFonts w:ascii="Times New Roman" w:hAnsi="Times New Roman"/>
          <w:color w:val="000000" w:themeColor="text1"/>
          <w:sz w:val="24"/>
          <w:szCs w:val="24"/>
        </w:rPr>
        <w:t>return of total assets</w:t>
      </w:r>
      <w:r w:rsidR="008F0803" w:rsidRPr="00161B6C">
        <w:rPr>
          <w:rFonts w:ascii="Times New Roman" w:hAnsi="Times New Roman"/>
          <w:color w:val="000000" w:themeColor="text1"/>
          <w:sz w:val="24"/>
          <w:szCs w:val="24"/>
        </w:rPr>
        <w:t xml:space="preserve">.  </w:t>
      </w:r>
      <w:r w:rsidR="008F0803" w:rsidRPr="00161B6C">
        <w:rPr>
          <w:rFonts w:ascii="Times New Roman" w:hAnsi="Times New Roman" w:cs="Times New Roman"/>
          <w:color w:val="000000" w:themeColor="text1"/>
          <w:sz w:val="24"/>
          <w:szCs w:val="20"/>
          <w:shd w:val="clear" w:color="auto" w:fill="FFFFFF"/>
        </w:rPr>
        <w:t xml:space="preserve">The value of the coefficient and </w:t>
      </w:r>
      <w:r w:rsidR="008538AD" w:rsidRPr="00161B6C">
        <w:rPr>
          <w:rFonts w:ascii="Times New Roman" w:hAnsi="Times New Roman" w:cs="Times New Roman"/>
          <w:color w:val="000000" w:themeColor="text1"/>
          <w:sz w:val="24"/>
          <w:szCs w:val="20"/>
          <w:shd w:val="clear" w:color="auto" w:fill="FFFFFF"/>
        </w:rPr>
        <w:t>it</w:t>
      </w:r>
      <w:r w:rsidR="008F0803" w:rsidRPr="00161B6C">
        <w:rPr>
          <w:rFonts w:ascii="Times New Roman" w:hAnsi="Times New Roman" w:cs="Times New Roman"/>
          <w:color w:val="000000" w:themeColor="text1"/>
          <w:sz w:val="24"/>
          <w:szCs w:val="20"/>
          <w:shd w:val="clear" w:color="auto" w:fill="FFFFFF"/>
        </w:rPr>
        <w:t xml:space="preserve"> probabilit</w:t>
      </w:r>
      <w:r w:rsidR="008538AD" w:rsidRPr="00161B6C">
        <w:rPr>
          <w:rFonts w:ascii="Times New Roman" w:hAnsi="Times New Roman" w:cs="Times New Roman"/>
          <w:color w:val="000000" w:themeColor="text1"/>
          <w:sz w:val="24"/>
          <w:szCs w:val="20"/>
          <w:shd w:val="clear" w:color="auto" w:fill="FFFFFF"/>
        </w:rPr>
        <w:t>y</w:t>
      </w:r>
      <w:r w:rsidR="008F0803" w:rsidRPr="00161B6C">
        <w:rPr>
          <w:rFonts w:ascii="Times New Roman" w:hAnsi="Times New Roman" w:cs="Times New Roman"/>
          <w:color w:val="000000" w:themeColor="text1"/>
          <w:sz w:val="24"/>
          <w:szCs w:val="20"/>
          <w:shd w:val="clear" w:color="auto" w:fill="FFFFFF"/>
        </w:rPr>
        <w:t xml:space="preserve"> (Table 7) </w:t>
      </w:r>
      <w:r w:rsidR="008538AD" w:rsidRPr="00161B6C">
        <w:rPr>
          <w:rFonts w:ascii="Times New Roman" w:hAnsi="Times New Roman" w:cs="Times New Roman"/>
          <w:color w:val="000000" w:themeColor="text1"/>
          <w:sz w:val="24"/>
          <w:szCs w:val="20"/>
          <w:shd w:val="clear" w:color="auto" w:fill="FFFFFF"/>
        </w:rPr>
        <w:t xml:space="preserve">of </w:t>
      </w:r>
      <w:r w:rsidR="008538AD" w:rsidRPr="00161B6C">
        <w:rPr>
          <w:rFonts w:ascii="Times New Roman" w:hAnsi="Times New Roman"/>
          <w:color w:val="000000" w:themeColor="text1"/>
          <w:sz w:val="24"/>
          <w:szCs w:val="24"/>
        </w:rPr>
        <w:t xml:space="preserve">amount of deposits in school banking accounts </w:t>
      </w:r>
      <w:r w:rsidR="008538AD" w:rsidRPr="00161B6C">
        <w:rPr>
          <w:rFonts w:ascii="Times New Roman" w:hAnsi="Times New Roman" w:cs="Times New Roman"/>
          <w:color w:val="000000" w:themeColor="text1"/>
          <w:sz w:val="24"/>
          <w:szCs w:val="20"/>
          <w:shd w:val="clear" w:color="auto" w:fill="FFFFFF"/>
        </w:rPr>
        <w:t>(β= -0.000373</w:t>
      </w:r>
      <w:r w:rsidR="008F0803" w:rsidRPr="00161B6C">
        <w:rPr>
          <w:rFonts w:ascii="Times New Roman" w:hAnsi="Times New Roman" w:cs="Times New Roman"/>
          <w:color w:val="000000" w:themeColor="text1"/>
          <w:sz w:val="24"/>
          <w:szCs w:val="20"/>
          <w:shd w:val="clear" w:color="auto" w:fill="FFFFFF"/>
        </w:rPr>
        <w:t xml:space="preserve">, p=0.000. These imply that we have reject null hypothesis. </w:t>
      </w:r>
      <w:r w:rsidR="008F0803" w:rsidRPr="00161B6C">
        <w:rPr>
          <w:rFonts w:ascii="Times New Roman" w:hAnsi="Times New Roman"/>
          <w:color w:val="000000" w:themeColor="text1"/>
          <w:sz w:val="24"/>
          <w:szCs w:val="24"/>
        </w:rPr>
        <w:t>The results implies that there appear to be a significant negative</w:t>
      </w:r>
      <w:r w:rsidR="008538AD" w:rsidRPr="00161B6C">
        <w:rPr>
          <w:rFonts w:ascii="Times New Roman" w:hAnsi="Times New Roman" w:cs="Times New Roman"/>
          <w:color w:val="000000" w:themeColor="text1"/>
          <w:sz w:val="24"/>
          <w:szCs w:val="24"/>
        </w:rPr>
        <w:t xml:space="preserve"> relationship between </w:t>
      </w:r>
      <w:r w:rsidR="008F5FC2" w:rsidRPr="00161B6C">
        <w:rPr>
          <w:rFonts w:ascii="Times New Roman" w:hAnsi="Times New Roman" w:cs="Times New Roman"/>
          <w:color w:val="000000" w:themeColor="text1"/>
          <w:sz w:val="24"/>
          <w:szCs w:val="24"/>
        </w:rPr>
        <w:t>amounts</w:t>
      </w:r>
      <w:r w:rsidR="008538AD" w:rsidRPr="00161B6C">
        <w:rPr>
          <w:rFonts w:ascii="Times New Roman" w:hAnsi="Times New Roman" w:cs="Times New Roman"/>
          <w:color w:val="000000" w:themeColor="text1"/>
          <w:sz w:val="24"/>
          <w:szCs w:val="24"/>
        </w:rPr>
        <w:t xml:space="preserve"> of deposits in school banking account</w:t>
      </w:r>
      <w:r w:rsidR="008F0803" w:rsidRPr="00161B6C">
        <w:rPr>
          <w:rFonts w:ascii="Times New Roman" w:hAnsi="Times New Roman"/>
          <w:color w:val="000000" w:themeColor="text1"/>
          <w:sz w:val="24"/>
          <w:szCs w:val="24"/>
        </w:rPr>
        <w:t xml:space="preserve">.  </w:t>
      </w:r>
    </w:p>
    <w:p w:rsidR="000B55F3" w:rsidRPr="00161B6C" w:rsidRDefault="00CE3DF1" w:rsidP="005667F3">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Table 5.  </w:t>
      </w:r>
      <w:r w:rsidRPr="00161B6C">
        <w:rPr>
          <w:rFonts w:ascii="Times New Roman" w:hAnsi="Times New Roman" w:cs="Times New Roman"/>
          <w:b/>
          <w:bCs/>
          <w:color w:val="000000" w:themeColor="text1"/>
          <w:sz w:val="24"/>
          <w:szCs w:val="24"/>
        </w:rPr>
        <w:t xml:space="preserve">Model </w:t>
      </w:r>
      <w:r w:rsidR="003F519D" w:rsidRPr="00161B6C">
        <w:rPr>
          <w:rFonts w:ascii="Times New Roman" w:hAnsi="Times New Roman" w:cs="Times New Roman"/>
          <w:b/>
          <w:bCs/>
          <w:color w:val="000000" w:themeColor="text1"/>
          <w:sz w:val="24"/>
          <w:szCs w:val="24"/>
        </w:rPr>
        <w: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7"/>
        <w:gridCol w:w="622"/>
        <w:gridCol w:w="1017"/>
        <w:gridCol w:w="1944"/>
        <w:gridCol w:w="2590"/>
        <w:gridCol w:w="1623"/>
      </w:tblGrid>
      <w:tr w:rsidR="00DD3FA5" w:rsidRPr="00161B6C" w:rsidTr="00D44B6C">
        <w:trPr>
          <w:cantSplit/>
        </w:trPr>
        <w:tc>
          <w:tcPr>
            <w:tcW w:w="0" w:type="auto"/>
            <w:shd w:val="clear" w:color="auto" w:fill="FFFFFF"/>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Model</w:t>
            </w:r>
          </w:p>
        </w:tc>
        <w:tc>
          <w:tcPr>
            <w:tcW w:w="0" w:type="auto"/>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R</w:t>
            </w:r>
          </w:p>
        </w:tc>
        <w:tc>
          <w:tcPr>
            <w:tcW w:w="0" w:type="auto"/>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R Square</w:t>
            </w:r>
          </w:p>
        </w:tc>
        <w:tc>
          <w:tcPr>
            <w:tcW w:w="0" w:type="auto"/>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Adjusted R Square</w:t>
            </w:r>
          </w:p>
        </w:tc>
        <w:tc>
          <w:tcPr>
            <w:tcW w:w="0" w:type="auto"/>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Std. Error of the Estimate</w:t>
            </w:r>
          </w:p>
        </w:tc>
        <w:tc>
          <w:tcPr>
            <w:tcW w:w="0" w:type="auto"/>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Durbin-Watson</w:t>
            </w:r>
          </w:p>
        </w:tc>
      </w:tr>
      <w:tr w:rsidR="00DD3FA5" w:rsidRPr="00161B6C" w:rsidTr="00D44B6C">
        <w:trPr>
          <w:cantSplit/>
        </w:trPr>
        <w:tc>
          <w:tcPr>
            <w:tcW w:w="0" w:type="auto"/>
            <w:shd w:val="clear" w:color="auto" w:fill="FFFFFF"/>
            <w:vAlign w:val="center"/>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w:t>
            </w:r>
          </w:p>
        </w:tc>
        <w:tc>
          <w:tcPr>
            <w:tcW w:w="0" w:type="auto"/>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.689</w:t>
            </w:r>
            <w:r w:rsidRPr="00161B6C">
              <w:rPr>
                <w:rFonts w:ascii="Times New Roman" w:hAnsi="Times New Roman" w:cs="Times New Roman"/>
                <w:color w:val="000000" w:themeColor="text1"/>
                <w:sz w:val="24"/>
                <w:szCs w:val="24"/>
                <w:vertAlign w:val="superscript"/>
              </w:rPr>
              <w:t>a</w:t>
            </w:r>
          </w:p>
        </w:tc>
        <w:tc>
          <w:tcPr>
            <w:tcW w:w="0" w:type="auto"/>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.475</w:t>
            </w:r>
          </w:p>
        </w:tc>
        <w:tc>
          <w:tcPr>
            <w:tcW w:w="0" w:type="auto"/>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.409</w:t>
            </w:r>
          </w:p>
        </w:tc>
        <w:tc>
          <w:tcPr>
            <w:tcW w:w="0" w:type="auto"/>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.26552</w:t>
            </w:r>
          </w:p>
        </w:tc>
        <w:tc>
          <w:tcPr>
            <w:tcW w:w="0" w:type="auto"/>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2.107</w:t>
            </w:r>
          </w:p>
        </w:tc>
      </w:tr>
      <w:tr w:rsidR="00DD3FA5" w:rsidRPr="00161B6C" w:rsidTr="00D44B6C">
        <w:trPr>
          <w:cantSplit/>
        </w:trPr>
        <w:tc>
          <w:tcPr>
            <w:tcW w:w="0" w:type="auto"/>
            <w:gridSpan w:val="6"/>
            <w:shd w:val="clear" w:color="auto" w:fill="FFFFFF"/>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 xml:space="preserve">a. Predictors: (Constant), </w:t>
            </w:r>
            <w:r w:rsidR="00234391" w:rsidRPr="00161B6C">
              <w:rPr>
                <w:rFonts w:ascii="Times New Roman" w:hAnsi="Times New Roman" w:cs="Times New Roman"/>
                <w:color w:val="000000" w:themeColor="text1"/>
                <w:sz w:val="24"/>
                <w:szCs w:val="24"/>
              </w:rPr>
              <w:t>Amount of Deposits(School Banking)</w:t>
            </w:r>
          </w:p>
        </w:tc>
      </w:tr>
      <w:tr w:rsidR="00DD3FA5" w:rsidRPr="00161B6C" w:rsidTr="00D44B6C">
        <w:trPr>
          <w:cantSplit/>
        </w:trPr>
        <w:tc>
          <w:tcPr>
            <w:tcW w:w="0" w:type="auto"/>
            <w:gridSpan w:val="6"/>
            <w:shd w:val="clear" w:color="auto" w:fill="FFFFFF"/>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b. Dependent Variable: ROA</w:t>
            </w:r>
          </w:p>
        </w:tc>
      </w:tr>
    </w:tbl>
    <w:p w:rsidR="005667F3" w:rsidRPr="00161B6C" w:rsidRDefault="005667F3" w:rsidP="005667F3">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Source: Analysis output SPSS-21 </w:t>
      </w:r>
    </w:p>
    <w:p w:rsidR="000B55F3" w:rsidRPr="00161B6C" w:rsidRDefault="000B55F3" w:rsidP="00067537">
      <w:pPr>
        <w:autoSpaceDE w:val="0"/>
        <w:autoSpaceDN w:val="0"/>
        <w:adjustRightInd w:val="0"/>
        <w:spacing w:after="0" w:line="240" w:lineRule="auto"/>
        <w:rPr>
          <w:rFonts w:ascii="Times New Roman" w:hAnsi="Times New Roman" w:cs="Times New Roman"/>
          <w:color w:val="000000" w:themeColor="text1"/>
          <w:sz w:val="24"/>
          <w:szCs w:val="24"/>
        </w:rPr>
      </w:pPr>
    </w:p>
    <w:p w:rsidR="000B55F3" w:rsidRPr="00161B6C" w:rsidRDefault="00CE3DF1" w:rsidP="00EF5D0F">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Table 6.  </w:t>
      </w:r>
      <w:r w:rsidRPr="00161B6C">
        <w:rPr>
          <w:rFonts w:ascii="Times New Roman" w:hAnsi="Times New Roman" w:cs="Times New Roman"/>
          <w:b/>
          <w:bCs/>
          <w:color w:val="000000" w:themeColor="text1"/>
          <w:sz w:val="24"/>
          <w:szCs w:val="24"/>
        </w:rPr>
        <w:t>ANOVA</w:t>
      </w:r>
      <w:r w:rsidRPr="00161B6C">
        <w:rPr>
          <w:rFonts w:ascii="Times New Roman" w:hAnsi="Times New Roman" w:cs="Times New Roman"/>
          <w:b/>
          <w:bCs/>
          <w:color w:val="000000" w:themeColor="text1"/>
          <w:sz w:val="24"/>
          <w:szCs w:val="24"/>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8"/>
        <w:gridCol w:w="1503"/>
        <w:gridCol w:w="1739"/>
        <w:gridCol w:w="1197"/>
        <w:gridCol w:w="1649"/>
        <w:gridCol w:w="1197"/>
        <w:gridCol w:w="1197"/>
      </w:tblGrid>
      <w:tr w:rsidR="00DD3FA5" w:rsidRPr="00161B6C" w:rsidTr="00D44B6C">
        <w:trPr>
          <w:cantSplit/>
        </w:trPr>
        <w:tc>
          <w:tcPr>
            <w:tcW w:w="1268" w:type="pct"/>
            <w:gridSpan w:val="2"/>
            <w:shd w:val="clear" w:color="auto" w:fill="FFFFFF"/>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Model</w:t>
            </w:r>
          </w:p>
        </w:tc>
        <w:tc>
          <w:tcPr>
            <w:tcW w:w="93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Sum of Squares</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roofErr w:type="spellStart"/>
            <w:r w:rsidRPr="00161B6C">
              <w:rPr>
                <w:rFonts w:ascii="Times New Roman" w:hAnsi="Times New Roman" w:cs="Times New Roman"/>
                <w:color w:val="000000" w:themeColor="text1"/>
                <w:sz w:val="24"/>
                <w:szCs w:val="24"/>
              </w:rPr>
              <w:t>df</w:t>
            </w:r>
            <w:proofErr w:type="spellEnd"/>
          </w:p>
        </w:tc>
        <w:tc>
          <w:tcPr>
            <w:tcW w:w="882"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Mean Square</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F</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Sig.</w:t>
            </w:r>
          </w:p>
        </w:tc>
      </w:tr>
      <w:tr w:rsidR="00DD3FA5" w:rsidRPr="00161B6C" w:rsidTr="00D44B6C">
        <w:trPr>
          <w:cantSplit/>
        </w:trPr>
        <w:tc>
          <w:tcPr>
            <w:tcW w:w="464" w:type="pct"/>
            <w:vMerge w:val="restart"/>
            <w:shd w:val="clear" w:color="auto" w:fill="FFFFFF"/>
            <w:vAlign w:val="center"/>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w:t>
            </w:r>
          </w:p>
        </w:tc>
        <w:tc>
          <w:tcPr>
            <w:tcW w:w="804" w:type="pct"/>
            <w:shd w:val="clear" w:color="auto" w:fill="FFFFFF"/>
            <w:vAlign w:val="center"/>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Regression</w:t>
            </w:r>
          </w:p>
        </w:tc>
        <w:tc>
          <w:tcPr>
            <w:tcW w:w="93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.509</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w:t>
            </w:r>
          </w:p>
        </w:tc>
        <w:tc>
          <w:tcPr>
            <w:tcW w:w="882"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.509</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7.227</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.028</w:t>
            </w:r>
            <w:r w:rsidRPr="00161B6C">
              <w:rPr>
                <w:rFonts w:ascii="Times New Roman" w:hAnsi="Times New Roman" w:cs="Times New Roman"/>
                <w:color w:val="000000" w:themeColor="text1"/>
                <w:sz w:val="24"/>
                <w:szCs w:val="24"/>
                <w:vertAlign w:val="superscript"/>
              </w:rPr>
              <w:t>b</w:t>
            </w:r>
          </w:p>
        </w:tc>
      </w:tr>
      <w:tr w:rsidR="00DD3FA5" w:rsidRPr="00161B6C" w:rsidTr="00D44B6C">
        <w:trPr>
          <w:cantSplit/>
        </w:trPr>
        <w:tc>
          <w:tcPr>
            <w:tcW w:w="464" w:type="pct"/>
            <w:vMerge/>
            <w:shd w:val="clear" w:color="auto" w:fill="FFFFFF"/>
            <w:vAlign w:val="center"/>
          </w:tcPr>
          <w:p w:rsidR="000B55F3" w:rsidRPr="00161B6C" w:rsidRDefault="000B55F3" w:rsidP="00067537">
            <w:pPr>
              <w:autoSpaceDE w:val="0"/>
              <w:autoSpaceDN w:val="0"/>
              <w:adjustRightInd w:val="0"/>
              <w:spacing w:after="0" w:line="240" w:lineRule="auto"/>
              <w:rPr>
                <w:rFonts w:ascii="Times New Roman" w:hAnsi="Times New Roman" w:cs="Times New Roman"/>
                <w:color w:val="000000" w:themeColor="text1"/>
                <w:sz w:val="24"/>
                <w:szCs w:val="24"/>
              </w:rPr>
            </w:pPr>
          </w:p>
        </w:tc>
        <w:tc>
          <w:tcPr>
            <w:tcW w:w="804" w:type="pct"/>
            <w:shd w:val="clear" w:color="auto" w:fill="FFFFFF"/>
            <w:vAlign w:val="center"/>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Residual</w:t>
            </w:r>
          </w:p>
        </w:tc>
        <w:tc>
          <w:tcPr>
            <w:tcW w:w="93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.564</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8</w:t>
            </w:r>
          </w:p>
        </w:tc>
        <w:tc>
          <w:tcPr>
            <w:tcW w:w="882"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.070</w:t>
            </w:r>
          </w:p>
        </w:tc>
        <w:tc>
          <w:tcPr>
            <w:tcW w:w="640" w:type="pct"/>
            <w:shd w:val="clear" w:color="auto" w:fill="FFFFFF"/>
          </w:tcPr>
          <w:p w:rsidR="000B55F3" w:rsidRPr="00161B6C" w:rsidRDefault="000B55F3"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40" w:type="pct"/>
            <w:shd w:val="clear" w:color="auto" w:fill="FFFFFF"/>
          </w:tcPr>
          <w:p w:rsidR="000B55F3" w:rsidRPr="00161B6C" w:rsidRDefault="000B55F3"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DD3FA5" w:rsidRPr="00161B6C" w:rsidTr="00D44B6C">
        <w:trPr>
          <w:cantSplit/>
        </w:trPr>
        <w:tc>
          <w:tcPr>
            <w:tcW w:w="464" w:type="pct"/>
            <w:vMerge/>
            <w:shd w:val="clear" w:color="auto" w:fill="FFFFFF"/>
            <w:vAlign w:val="center"/>
          </w:tcPr>
          <w:p w:rsidR="000B55F3" w:rsidRPr="00161B6C" w:rsidRDefault="000B55F3" w:rsidP="00067537">
            <w:pPr>
              <w:autoSpaceDE w:val="0"/>
              <w:autoSpaceDN w:val="0"/>
              <w:adjustRightInd w:val="0"/>
              <w:spacing w:after="0" w:line="240" w:lineRule="auto"/>
              <w:rPr>
                <w:rFonts w:ascii="Times New Roman" w:hAnsi="Times New Roman" w:cs="Times New Roman"/>
                <w:color w:val="000000" w:themeColor="text1"/>
                <w:sz w:val="24"/>
                <w:szCs w:val="24"/>
              </w:rPr>
            </w:pPr>
          </w:p>
        </w:tc>
        <w:tc>
          <w:tcPr>
            <w:tcW w:w="804" w:type="pct"/>
            <w:shd w:val="clear" w:color="auto" w:fill="FFFFFF"/>
            <w:vAlign w:val="center"/>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Total</w:t>
            </w:r>
          </w:p>
        </w:tc>
        <w:tc>
          <w:tcPr>
            <w:tcW w:w="93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1.073</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9</w:t>
            </w:r>
          </w:p>
        </w:tc>
        <w:tc>
          <w:tcPr>
            <w:tcW w:w="882" w:type="pct"/>
            <w:shd w:val="clear" w:color="auto" w:fill="FFFFFF"/>
          </w:tcPr>
          <w:p w:rsidR="000B55F3" w:rsidRPr="00161B6C" w:rsidRDefault="000B55F3"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40" w:type="pct"/>
            <w:shd w:val="clear" w:color="auto" w:fill="FFFFFF"/>
          </w:tcPr>
          <w:p w:rsidR="000B55F3" w:rsidRPr="00161B6C" w:rsidRDefault="000B55F3"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40" w:type="pct"/>
            <w:shd w:val="clear" w:color="auto" w:fill="FFFFFF"/>
          </w:tcPr>
          <w:p w:rsidR="000B55F3" w:rsidRPr="00161B6C" w:rsidRDefault="000B55F3"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DD3FA5" w:rsidRPr="00161B6C" w:rsidTr="00D44B6C">
        <w:trPr>
          <w:cantSplit/>
        </w:trPr>
        <w:tc>
          <w:tcPr>
            <w:tcW w:w="5000" w:type="pct"/>
            <w:gridSpan w:val="7"/>
            <w:shd w:val="clear" w:color="auto" w:fill="FFFFFF"/>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a. Dependent Variable: ROA</w:t>
            </w:r>
          </w:p>
        </w:tc>
      </w:tr>
      <w:tr w:rsidR="00DD3FA5" w:rsidRPr="00161B6C" w:rsidTr="00D44B6C">
        <w:trPr>
          <w:cantSplit/>
        </w:trPr>
        <w:tc>
          <w:tcPr>
            <w:tcW w:w="5000" w:type="pct"/>
            <w:gridSpan w:val="7"/>
            <w:shd w:val="clear" w:color="auto" w:fill="FFFFFF"/>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 xml:space="preserve">b. Predictors: (Constant), </w:t>
            </w:r>
            <w:r w:rsidR="00234391" w:rsidRPr="00161B6C">
              <w:rPr>
                <w:rFonts w:ascii="Times New Roman" w:hAnsi="Times New Roman" w:cs="Times New Roman"/>
                <w:color w:val="000000" w:themeColor="text1"/>
                <w:sz w:val="24"/>
                <w:szCs w:val="24"/>
              </w:rPr>
              <w:t>Amount of Deposits(School Banking)</w:t>
            </w:r>
          </w:p>
        </w:tc>
      </w:tr>
    </w:tbl>
    <w:p w:rsidR="00EF5D0F" w:rsidRPr="00161B6C" w:rsidRDefault="00EF5D0F" w:rsidP="00EF5D0F">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Source: Analysis output SPSS-21 </w:t>
      </w:r>
    </w:p>
    <w:p w:rsidR="000B55F3" w:rsidRPr="00161B6C" w:rsidRDefault="00CE3DF1" w:rsidP="00EF5D0F">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Table 7.  Regression coefficient</w:t>
      </w:r>
      <w:r w:rsidR="00EF5D0F" w:rsidRPr="00161B6C">
        <w:rPr>
          <w:rFonts w:ascii="Times New Roman" w:hAnsi="Times New Roman" w:cs="Times New Roman"/>
          <w:b/>
          <w:color w:val="000000" w:themeColor="text1"/>
          <w:sz w:val="24"/>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
        <w:gridCol w:w="1717"/>
        <w:gridCol w:w="1471"/>
        <w:gridCol w:w="1471"/>
        <w:gridCol w:w="1728"/>
        <w:gridCol w:w="1096"/>
        <w:gridCol w:w="1094"/>
      </w:tblGrid>
      <w:tr w:rsidR="00161B6C" w:rsidRPr="00161B6C" w:rsidTr="00523901">
        <w:trPr>
          <w:cantSplit/>
        </w:trPr>
        <w:tc>
          <w:tcPr>
            <w:tcW w:w="1220" w:type="pct"/>
            <w:gridSpan w:val="2"/>
            <w:vMerge w:val="restart"/>
            <w:shd w:val="clear" w:color="auto" w:fill="FFFFFF"/>
          </w:tcPr>
          <w:p w:rsidR="008538AD" w:rsidRPr="00161B6C" w:rsidRDefault="008538AD"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Model</w:t>
            </w:r>
          </w:p>
        </w:tc>
        <w:tc>
          <w:tcPr>
            <w:tcW w:w="1618" w:type="pct"/>
            <w:gridSpan w:val="2"/>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Unstandardized Coefficients</w:t>
            </w:r>
          </w:p>
        </w:tc>
        <w:tc>
          <w:tcPr>
            <w:tcW w:w="946" w:type="pc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Standardized Coefficients</w:t>
            </w:r>
          </w:p>
        </w:tc>
        <w:tc>
          <w:tcPr>
            <w:tcW w:w="608" w:type="pct"/>
            <w:vMerge w:val="restar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t</w:t>
            </w:r>
          </w:p>
        </w:tc>
        <w:tc>
          <w:tcPr>
            <w:tcW w:w="607" w:type="pct"/>
            <w:vMerge w:val="restar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Sig.</w:t>
            </w:r>
          </w:p>
        </w:tc>
      </w:tr>
      <w:tr w:rsidR="00161B6C" w:rsidRPr="00161B6C" w:rsidTr="00523901">
        <w:trPr>
          <w:cantSplit/>
        </w:trPr>
        <w:tc>
          <w:tcPr>
            <w:tcW w:w="1220" w:type="pct"/>
            <w:gridSpan w:val="2"/>
            <w:vMerge/>
            <w:shd w:val="clear" w:color="auto" w:fill="FFFFFF"/>
          </w:tcPr>
          <w:p w:rsidR="008538AD" w:rsidRPr="00161B6C" w:rsidRDefault="008538AD" w:rsidP="00067537">
            <w:pPr>
              <w:autoSpaceDE w:val="0"/>
              <w:autoSpaceDN w:val="0"/>
              <w:adjustRightInd w:val="0"/>
              <w:spacing w:after="0" w:line="240" w:lineRule="auto"/>
              <w:rPr>
                <w:rFonts w:ascii="Times New Roman" w:hAnsi="Times New Roman" w:cs="Times New Roman"/>
                <w:color w:val="000000" w:themeColor="text1"/>
                <w:sz w:val="24"/>
                <w:szCs w:val="24"/>
              </w:rPr>
            </w:pPr>
          </w:p>
        </w:tc>
        <w:tc>
          <w:tcPr>
            <w:tcW w:w="809" w:type="pc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B</w:t>
            </w:r>
          </w:p>
        </w:tc>
        <w:tc>
          <w:tcPr>
            <w:tcW w:w="809" w:type="pc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Std. Error</w:t>
            </w:r>
          </w:p>
        </w:tc>
        <w:tc>
          <w:tcPr>
            <w:tcW w:w="946" w:type="pc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Beta</w:t>
            </w:r>
          </w:p>
        </w:tc>
        <w:tc>
          <w:tcPr>
            <w:tcW w:w="608" w:type="pct"/>
            <w:vMerge/>
            <w:shd w:val="clear" w:color="auto" w:fill="FFFFFF"/>
          </w:tcPr>
          <w:p w:rsidR="008538AD" w:rsidRPr="00161B6C" w:rsidRDefault="008538AD" w:rsidP="00067537">
            <w:pPr>
              <w:autoSpaceDE w:val="0"/>
              <w:autoSpaceDN w:val="0"/>
              <w:adjustRightInd w:val="0"/>
              <w:spacing w:after="0" w:line="240" w:lineRule="auto"/>
              <w:rPr>
                <w:rFonts w:ascii="Times New Roman" w:hAnsi="Times New Roman" w:cs="Times New Roman"/>
                <w:color w:val="000000" w:themeColor="text1"/>
                <w:sz w:val="24"/>
                <w:szCs w:val="24"/>
              </w:rPr>
            </w:pPr>
          </w:p>
        </w:tc>
        <w:tc>
          <w:tcPr>
            <w:tcW w:w="607" w:type="pct"/>
            <w:vMerge/>
            <w:shd w:val="clear" w:color="auto" w:fill="FFFFFF"/>
          </w:tcPr>
          <w:p w:rsidR="008538AD" w:rsidRPr="00161B6C" w:rsidRDefault="008538AD" w:rsidP="00067537">
            <w:pPr>
              <w:autoSpaceDE w:val="0"/>
              <w:autoSpaceDN w:val="0"/>
              <w:adjustRightInd w:val="0"/>
              <w:spacing w:after="0" w:line="240" w:lineRule="auto"/>
              <w:rPr>
                <w:rFonts w:ascii="Times New Roman" w:hAnsi="Times New Roman" w:cs="Times New Roman"/>
                <w:color w:val="000000" w:themeColor="text1"/>
                <w:sz w:val="24"/>
                <w:szCs w:val="24"/>
              </w:rPr>
            </w:pPr>
          </w:p>
        </w:tc>
      </w:tr>
      <w:tr w:rsidR="00161B6C" w:rsidRPr="00161B6C" w:rsidTr="00523901">
        <w:trPr>
          <w:cantSplit/>
        </w:trPr>
        <w:tc>
          <w:tcPr>
            <w:tcW w:w="436" w:type="pct"/>
            <w:vMerge w:val="restart"/>
            <w:shd w:val="clear" w:color="auto" w:fill="FFFFFF"/>
            <w:vAlign w:val="center"/>
          </w:tcPr>
          <w:p w:rsidR="008538AD" w:rsidRPr="00161B6C" w:rsidRDefault="008538AD"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w:t>
            </w:r>
          </w:p>
        </w:tc>
        <w:tc>
          <w:tcPr>
            <w:tcW w:w="784" w:type="pct"/>
            <w:shd w:val="clear" w:color="auto" w:fill="FFFFFF"/>
            <w:vAlign w:val="center"/>
          </w:tcPr>
          <w:p w:rsidR="008538AD" w:rsidRPr="00161B6C" w:rsidRDefault="008538AD"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(Constant)</w:t>
            </w:r>
          </w:p>
        </w:tc>
        <w:tc>
          <w:tcPr>
            <w:tcW w:w="809" w:type="pc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.997</w:t>
            </w:r>
          </w:p>
        </w:tc>
        <w:tc>
          <w:tcPr>
            <w:tcW w:w="809" w:type="pc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.139</w:t>
            </w:r>
          </w:p>
        </w:tc>
        <w:tc>
          <w:tcPr>
            <w:tcW w:w="946" w:type="pct"/>
            <w:shd w:val="clear" w:color="auto" w:fill="FFFFFF"/>
          </w:tcPr>
          <w:p w:rsidR="008538AD" w:rsidRPr="00161B6C" w:rsidRDefault="008538AD"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08" w:type="pc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7.167</w:t>
            </w:r>
          </w:p>
        </w:tc>
        <w:tc>
          <w:tcPr>
            <w:tcW w:w="607" w:type="pc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.000</w:t>
            </w:r>
          </w:p>
        </w:tc>
      </w:tr>
      <w:tr w:rsidR="00161B6C" w:rsidRPr="00161B6C" w:rsidTr="00523901">
        <w:trPr>
          <w:cantSplit/>
        </w:trPr>
        <w:tc>
          <w:tcPr>
            <w:tcW w:w="436" w:type="pct"/>
            <w:vMerge/>
            <w:shd w:val="clear" w:color="auto" w:fill="FFFFFF"/>
            <w:vAlign w:val="center"/>
          </w:tcPr>
          <w:p w:rsidR="008538AD" w:rsidRPr="00161B6C" w:rsidRDefault="008538AD" w:rsidP="00067537">
            <w:pPr>
              <w:autoSpaceDE w:val="0"/>
              <w:autoSpaceDN w:val="0"/>
              <w:adjustRightInd w:val="0"/>
              <w:spacing w:after="0" w:line="240" w:lineRule="auto"/>
              <w:rPr>
                <w:rFonts w:ascii="Times New Roman" w:hAnsi="Times New Roman" w:cs="Times New Roman"/>
                <w:color w:val="000000" w:themeColor="text1"/>
                <w:sz w:val="24"/>
                <w:szCs w:val="24"/>
              </w:rPr>
            </w:pPr>
          </w:p>
        </w:tc>
        <w:tc>
          <w:tcPr>
            <w:tcW w:w="784" w:type="pct"/>
            <w:shd w:val="clear" w:color="auto" w:fill="FFFFFF"/>
            <w:vAlign w:val="center"/>
          </w:tcPr>
          <w:p w:rsidR="008538AD" w:rsidRPr="00161B6C" w:rsidRDefault="00234391"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Amount of Deposits(School Banking)</w:t>
            </w:r>
          </w:p>
        </w:tc>
        <w:tc>
          <w:tcPr>
            <w:tcW w:w="809" w:type="pc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-.000373</w:t>
            </w:r>
          </w:p>
        </w:tc>
        <w:tc>
          <w:tcPr>
            <w:tcW w:w="809" w:type="pc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.000</w:t>
            </w:r>
          </w:p>
        </w:tc>
        <w:tc>
          <w:tcPr>
            <w:tcW w:w="946" w:type="pc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-.689</w:t>
            </w:r>
          </w:p>
        </w:tc>
        <w:tc>
          <w:tcPr>
            <w:tcW w:w="608" w:type="pc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-2.688</w:t>
            </w:r>
          </w:p>
        </w:tc>
        <w:tc>
          <w:tcPr>
            <w:tcW w:w="607" w:type="pct"/>
            <w:shd w:val="clear" w:color="auto" w:fill="FFFFFF"/>
          </w:tcPr>
          <w:p w:rsidR="008538AD" w:rsidRPr="00161B6C" w:rsidRDefault="008538AD"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.028</w:t>
            </w:r>
          </w:p>
        </w:tc>
      </w:tr>
    </w:tbl>
    <w:p w:rsidR="005667F3" w:rsidRPr="00161B6C" w:rsidRDefault="005667F3" w:rsidP="005667F3">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Source: Analysis output SPSS-21 </w:t>
      </w:r>
    </w:p>
    <w:p w:rsidR="008F0803" w:rsidRPr="00161B6C" w:rsidRDefault="00523901" w:rsidP="00067537">
      <w:pPr>
        <w:autoSpaceDE w:val="0"/>
        <w:autoSpaceDN w:val="0"/>
        <w:adjustRightInd w:val="0"/>
        <w:spacing w:after="0" w:line="240" w:lineRule="auto"/>
        <w:jc w:val="both"/>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0"/>
          <w:shd w:val="clear" w:color="auto" w:fill="FFFFFF"/>
        </w:rPr>
        <w:t xml:space="preserve">The </w:t>
      </w:r>
      <w:r w:rsidRPr="00161B6C">
        <w:rPr>
          <w:rFonts w:ascii="Times New Roman" w:hAnsi="Times New Roman" w:cs="Times New Roman"/>
          <w:color w:val="000000" w:themeColor="text1"/>
          <w:sz w:val="24"/>
          <w:szCs w:val="24"/>
        </w:rPr>
        <w:t>following</w:t>
      </w:r>
      <w:r w:rsidRPr="00161B6C">
        <w:rPr>
          <w:rFonts w:ascii="Times New Roman" w:hAnsi="Times New Roman" w:cs="Times New Roman"/>
          <w:color w:val="000000" w:themeColor="text1"/>
          <w:sz w:val="24"/>
          <w:szCs w:val="20"/>
          <w:shd w:val="clear" w:color="auto" w:fill="FFFFFF"/>
        </w:rPr>
        <w:t xml:space="preserve"> section illustrates the result of regression equation (2).</w:t>
      </w:r>
      <w:r w:rsidRPr="00161B6C">
        <w:rPr>
          <w:rFonts w:ascii="Times New Roman" w:hAnsi="Times New Roman" w:cs="Times New Roman"/>
          <w:color w:val="000000" w:themeColor="text1"/>
          <w:sz w:val="24"/>
          <w:szCs w:val="24"/>
        </w:rPr>
        <w:t xml:space="preserve"> </w:t>
      </w:r>
      <w:r w:rsidR="008F0803" w:rsidRPr="00161B6C">
        <w:rPr>
          <w:rFonts w:ascii="Times New Roman" w:hAnsi="Times New Roman" w:cs="Times New Roman"/>
          <w:color w:val="000000" w:themeColor="text1"/>
          <w:sz w:val="24"/>
          <w:szCs w:val="24"/>
        </w:rPr>
        <w:t xml:space="preserve">The table (Table </w:t>
      </w:r>
      <w:r w:rsidR="003F519D" w:rsidRPr="00161B6C">
        <w:rPr>
          <w:rFonts w:ascii="Times New Roman" w:hAnsi="Times New Roman" w:cs="Times New Roman"/>
          <w:color w:val="000000" w:themeColor="text1"/>
          <w:sz w:val="24"/>
          <w:szCs w:val="24"/>
        </w:rPr>
        <w:t>9</w:t>
      </w:r>
      <w:r w:rsidR="008F0803" w:rsidRPr="00161B6C">
        <w:rPr>
          <w:rFonts w:ascii="Times New Roman" w:hAnsi="Times New Roman" w:cs="Times New Roman"/>
          <w:color w:val="000000" w:themeColor="text1"/>
          <w:sz w:val="24"/>
          <w:szCs w:val="24"/>
        </w:rPr>
        <w:t xml:space="preserve">) </w:t>
      </w:r>
      <w:r w:rsidRPr="00161B6C">
        <w:rPr>
          <w:rFonts w:ascii="Times New Roman" w:hAnsi="Times New Roman" w:cs="Times New Roman"/>
          <w:color w:val="000000" w:themeColor="text1"/>
          <w:sz w:val="24"/>
          <w:szCs w:val="24"/>
        </w:rPr>
        <w:t>exhibits</w:t>
      </w:r>
      <w:r w:rsidR="008F0803" w:rsidRPr="00161B6C">
        <w:rPr>
          <w:rFonts w:ascii="Times New Roman" w:hAnsi="Times New Roman" w:cs="Times New Roman"/>
          <w:color w:val="000000" w:themeColor="text1"/>
          <w:sz w:val="24"/>
          <w:szCs w:val="24"/>
        </w:rPr>
        <w:t xml:space="preserve"> that the F ratio is 8.721, which is significant at a probability of 0.018. Indicating that the model is statistically significant. The table</w:t>
      </w:r>
      <w:r w:rsidR="003F519D" w:rsidRPr="00161B6C">
        <w:rPr>
          <w:rFonts w:ascii="Times New Roman" w:hAnsi="Times New Roman" w:cs="Times New Roman"/>
          <w:color w:val="000000" w:themeColor="text1"/>
          <w:sz w:val="24"/>
          <w:szCs w:val="24"/>
        </w:rPr>
        <w:t xml:space="preserve"> 8</w:t>
      </w:r>
      <w:r w:rsidR="008F0803" w:rsidRPr="00161B6C">
        <w:rPr>
          <w:rFonts w:ascii="Times New Roman" w:hAnsi="Times New Roman" w:cs="Times New Roman"/>
          <w:color w:val="000000" w:themeColor="text1"/>
          <w:sz w:val="24"/>
          <w:szCs w:val="24"/>
        </w:rPr>
        <w:t xml:space="preserve"> also discloses that the r</w:t>
      </w:r>
      <w:r w:rsidR="008F0803" w:rsidRPr="00161B6C">
        <w:rPr>
          <w:rFonts w:ascii="Times New Roman" w:hAnsi="Times New Roman" w:cs="Times New Roman"/>
          <w:color w:val="000000" w:themeColor="text1"/>
          <w:sz w:val="24"/>
          <w:szCs w:val="24"/>
          <w:vertAlign w:val="superscript"/>
        </w:rPr>
        <w:t>2</w:t>
      </w:r>
      <w:r w:rsidR="008F0803" w:rsidRPr="00161B6C">
        <w:rPr>
          <w:rFonts w:ascii="Times New Roman" w:hAnsi="Times New Roman" w:cs="Times New Roman"/>
          <w:color w:val="000000" w:themeColor="text1"/>
          <w:sz w:val="24"/>
          <w:szCs w:val="24"/>
        </w:rPr>
        <w:t xml:space="preserve"> = 0.522 and adjusted r</w:t>
      </w:r>
      <w:r w:rsidR="008F0803" w:rsidRPr="00161B6C">
        <w:rPr>
          <w:rFonts w:ascii="Times New Roman" w:hAnsi="Times New Roman" w:cs="Times New Roman"/>
          <w:color w:val="000000" w:themeColor="text1"/>
          <w:sz w:val="24"/>
          <w:szCs w:val="24"/>
          <w:vertAlign w:val="superscript"/>
        </w:rPr>
        <w:t>2</w:t>
      </w:r>
      <w:r w:rsidR="008F0803" w:rsidRPr="00161B6C">
        <w:rPr>
          <w:rFonts w:ascii="Times New Roman" w:hAnsi="Times New Roman" w:cs="Times New Roman"/>
          <w:color w:val="000000" w:themeColor="text1"/>
          <w:sz w:val="24"/>
          <w:szCs w:val="24"/>
        </w:rPr>
        <w:t xml:space="preserve"> = 0.462, respectively. It indicates that deposits in school banking account explains 52.20 percent variability return on equity.  The value of the coefficient and </w:t>
      </w:r>
      <w:r w:rsidR="00597D8A" w:rsidRPr="00161B6C">
        <w:rPr>
          <w:rFonts w:ascii="Times New Roman" w:hAnsi="Times New Roman" w:cs="Times New Roman"/>
          <w:color w:val="000000" w:themeColor="text1"/>
          <w:sz w:val="24"/>
          <w:szCs w:val="24"/>
        </w:rPr>
        <w:t>it probability</w:t>
      </w:r>
      <w:r w:rsidR="008F0803" w:rsidRPr="00161B6C">
        <w:rPr>
          <w:rFonts w:ascii="Times New Roman" w:hAnsi="Times New Roman" w:cs="Times New Roman"/>
          <w:color w:val="000000" w:themeColor="text1"/>
          <w:sz w:val="24"/>
          <w:szCs w:val="24"/>
        </w:rPr>
        <w:t xml:space="preserve"> (Table 10) are </w:t>
      </w:r>
      <w:r w:rsidR="00597D8A" w:rsidRPr="00161B6C">
        <w:rPr>
          <w:rFonts w:ascii="Times New Roman" w:hAnsi="Times New Roman" w:cs="Times New Roman"/>
          <w:color w:val="000000" w:themeColor="text1"/>
          <w:sz w:val="24"/>
          <w:szCs w:val="24"/>
        </w:rPr>
        <w:t xml:space="preserve">amount of deposits in school banking account </w:t>
      </w:r>
      <w:r w:rsidR="008F0803" w:rsidRPr="00161B6C">
        <w:rPr>
          <w:rFonts w:ascii="Times New Roman" w:hAnsi="Times New Roman" w:cs="Times New Roman"/>
          <w:color w:val="000000" w:themeColor="text1"/>
          <w:sz w:val="24"/>
          <w:szCs w:val="24"/>
        </w:rPr>
        <w:t>(β=</w:t>
      </w:r>
      <w:r w:rsidR="00597D8A" w:rsidRPr="00161B6C">
        <w:rPr>
          <w:rFonts w:ascii="Times New Roman" w:hAnsi="Times New Roman" w:cs="Times New Roman"/>
          <w:color w:val="000000" w:themeColor="text1"/>
          <w:sz w:val="24"/>
          <w:szCs w:val="24"/>
        </w:rPr>
        <w:t xml:space="preserve"> </w:t>
      </w:r>
      <w:r w:rsidR="008F0803" w:rsidRPr="00161B6C">
        <w:rPr>
          <w:rFonts w:ascii="Times New Roman" w:hAnsi="Times New Roman" w:cs="Times New Roman"/>
          <w:color w:val="000000" w:themeColor="text1"/>
          <w:sz w:val="24"/>
          <w:szCs w:val="24"/>
        </w:rPr>
        <w:t>-</w:t>
      </w:r>
      <w:r w:rsidR="00597D8A" w:rsidRPr="00161B6C">
        <w:rPr>
          <w:rFonts w:ascii="Times New Roman" w:hAnsi="Times New Roman" w:cs="Times New Roman"/>
          <w:color w:val="000000" w:themeColor="text1"/>
          <w:sz w:val="24"/>
          <w:szCs w:val="24"/>
        </w:rPr>
        <w:t>0.004, p=0.018)</w:t>
      </w:r>
      <w:r w:rsidR="008F0803" w:rsidRPr="00161B6C">
        <w:rPr>
          <w:rFonts w:ascii="Times New Roman" w:hAnsi="Times New Roman" w:cs="Times New Roman"/>
          <w:color w:val="000000" w:themeColor="text1"/>
          <w:sz w:val="24"/>
          <w:szCs w:val="24"/>
        </w:rPr>
        <w:t xml:space="preserve">. The results lead us to reject null hypothesis. This states that there is a </w:t>
      </w:r>
      <w:r w:rsidR="00597D8A" w:rsidRPr="00161B6C">
        <w:rPr>
          <w:rFonts w:ascii="Times New Roman" w:hAnsi="Times New Roman" w:cs="Times New Roman"/>
          <w:color w:val="000000" w:themeColor="text1"/>
          <w:sz w:val="24"/>
          <w:szCs w:val="24"/>
        </w:rPr>
        <w:t>nega</w:t>
      </w:r>
      <w:r w:rsidR="008F0803" w:rsidRPr="00161B6C">
        <w:rPr>
          <w:rFonts w:ascii="Times New Roman" w:hAnsi="Times New Roman" w:cs="Times New Roman"/>
          <w:color w:val="000000" w:themeColor="text1"/>
          <w:sz w:val="24"/>
          <w:szCs w:val="24"/>
        </w:rPr>
        <w:t xml:space="preserve">tive </w:t>
      </w:r>
      <w:r w:rsidR="00597D8A" w:rsidRPr="00161B6C">
        <w:rPr>
          <w:rFonts w:ascii="Times New Roman" w:hAnsi="Times New Roman" w:cs="Times New Roman"/>
          <w:color w:val="000000" w:themeColor="text1"/>
          <w:sz w:val="24"/>
          <w:szCs w:val="24"/>
        </w:rPr>
        <w:t xml:space="preserve">relationship between amount of deposits in school banking account and </w:t>
      </w:r>
      <w:r w:rsidR="008F0803" w:rsidRPr="00161B6C">
        <w:rPr>
          <w:rFonts w:ascii="Times New Roman" w:hAnsi="Times New Roman" w:cs="Times New Roman"/>
          <w:color w:val="000000" w:themeColor="text1"/>
          <w:sz w:val="24"/>
          <w:szCs w:val="24"/>
        </w:rPr>
        <w:t>return on equity</w:t>
      </w:r>
      <w:r w:rsidR="003F3F5C" w:rsidRPr="00161B6C">
        <w:rPr>
          <w:rFonts w:ascii="Times New Roman" w:hAnsi="Times New Roman" w:cs="Times New Roman"/>
          <w:color w:val="000000" w:themeColor="text1"/>
          <w:sz w:val="24"/>
          <w:szCs w:val="24"/>
        </w:rPr>
        <w:t xml:space="preserve">. </w:t>
      </w:r>
    </w:p>
    <w:p w:rsidR="00523901" w:rsidRPr="00161B6C" w:rsidRDefault="00523901" w:rsidP="00F77E79">
      <w:pPr>
        <w:spacing w:after="0" w:line="240" w:lineRule="auto"/>
        <w:jc w:val="center"/>
        <w:rPr>
          <w:rFonts w:ascii="Times New Roman" w:hAnsi="Times New Roman" w:cs="Times New Roman"/>
          <w:color w:val="000000" w:themeColor="text1"/>
          <w:sz w:val="24"/>
        </w:rPr>
      </w:pPr>
    </w:p>
    <w:p w:rsidR="00CE3DF1" w:rsidRPr="00161B6C" w:rsidRDefault="00CE3DF1" w:rsidP="00F77E79">
      <w:pPr>
        <w:spacing w:after="0" w:line="240" w:lineRule="auto"/>
        <w:jc w:val="center"/>
        <w:rPr>
          <w:rFonts w:ascii="Times New Roman" w:hAnsi="Times New Roman" w:cs="Times New Roman"/>
          <w:color w:val="000000" w:themeColor="text1"/>
          <w:sz w:val="24"/>
        </w:rPr>
      </w:pPr>
      <w:r w:rsidRPr="00161B6C">
        <w:rPr>
          <w:rFonts w:ascii="Times New Roman" w:hAnsi="Times New Roman" w:cs="Times New Roman"/>
          <w:color w:val="000000" w:themeColor="text1"/>
          <w:sz w:val="24"/>
        </w:rPr>
        <w:lastRenderedPageBreak/>
        <w:t xml:space="preserve">Table 8.  </w:t>
      </w:r>
      <w:r w:rsidRPr="00161B6C">
        <w:rPr>
          <w:rFonts w:ascii="Times New Roman" w:hAnsi="Times New Roman" w:cs="Times New Roman"/>
          <w:bCs/>
          <w:color w:val="000000" w:themeColor="text1"/>
          <w:sz w:val="24"/>
          <w:szCs w:val="24"/>
        </w:rPr>
        <w:t xml:space="preserve">Model </w:t>
      </w:r>
      <w:r w:rsidR="003F519D" w:rsidRPr="00161B6C">
        <w:rPr>
          <w:rFonts w:ascii="Times New Roman" w:hAnsi="Times New Roman" w:cs="Times New Roman"/>
          <w:bCs/>
          <w:color w:val="000000" w:themeColor="text1"/>
          <w:sz w:val="24"/>
          <w:szCs w:val="24"/>
        </w:rPr>
        <w:t>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1300"/>
        <w:gridCol w:w="1378"/>
        <w:gridCol w:w="1891"/>
        <w:gridCol w:w="1891"/>
        <w:gridCol w:w="1892"/>
      </w:tblGrid>
      <w:tr w:rsidR="00161B6C" w:rsidRPr="00161B6C" w:rsidTr="00523901">
        <w:trPr>
          <w:cantSplit/>
        </w:trPr>
        <w:tc>
          <w:tcPr>
            <w:tcW w:w="534" w:type="pct"/>
            <w:shd w:val="clear" w:color="auto" w:fill="FFFFFF"/>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Model</w:t>
            </w:r>
          </w:p>
        </w:tc>
        <w:tc>
          <w:tcPr>
            <w:tcW w:w="695"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R</w:t>
            </w:r>
          </w:p>
        </w:tc>
        <w:tc>
          <w:tcPr>
            <w:tcW w:w="737"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R Square</w:t>
            </w:r>
          </w:p>
        </w:tc>
        <w:tc>
          <w:tcPr>
            <w:tcW w:w="1011"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Adjusted R Square</w:t>
            </w:r>
          </w:p>
        </w:tc>
        <w:tc>
          <w:tcPr>
            <w:tcW w:w="1011"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Std. Error of the Estimate</w:t>
            </w:r>
          </w:p>
        </w:tc>
        <w:tc>
          <w:tcPr>
            <w:tcW w:w="1012"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Durbin-Watson</w:t>
            </w:r>
          </w:p>
        </w:tc>
      </w:tr>
      <w:tr w:rsidR="00161B6C" w:rsidRPr="00161B6C" w:rsidTr="00523901">
        <w:trPr>
          <w:cantSplit/>
        </w:trPr>
        <w:tc>
          <w:tcPr>
            <w:tcW w:w="534" w:type="pct"/>
            <w:shd w:val="clear" w:color="auto" w:fill="FFFFFF"/>
            <w:vAlign w:val="center"/>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w:t>
            </w:r>
          </w:p>
        </w:tc>
        <w:tc>
          <w:tcPr>
            <w:tcW w:w="695"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.722</w:t>
            </w:r>
            <w:r w:rsidRPr="00161B6C">
              <w:rPr>
                <w:rFonts w:ascii="Times New Roman" w:hAnsi="Times New Roman" w:cs="Times New Roman"/>
                <w:color w:val="000000" w:themeColor="text1"/>
                <w:sz w:val="24"/>
                <w:szCs w:val="24"/>
                <w:vertAlign w:val="superscript"/>
              </w:rPr>
              <w:t>a</w:t>
            </w:r>
          </w:p>
        </w:tc>
        <w:tc>
          <w:tcPr>
            <w:tcW w:w="737"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.522</w:t>
            </w:r>
          </w:p>
        </w:tc>
        <w:tc>
          <w:tcPr>
            <w:tcW w:w="1011"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.462</w:t>
            </w:r>
          </w:p>
        </w:tc>
        <w:tc>
          <w:tcPr>
            <w:tcW w:w="1011"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2.82421</w:t>
            </w:r>
          </w:p>
        </w:tc>
        <w:tc>
          <w:tcPr>
            <w:tcW w:w="1012"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2.223</w:t>
            </w:r>
          </w:p>
        </w:tc>
      </w:tr>
      <w:tr w:rsidR="00161B6C" w:rsidRPr="00161B6C" w:rsidTr="00523901">
        <w:trPr>
          <w:cantSplit/>
        </w:trPr>
        <w:tc>
          <w:tcPr>
            <w:tcW w:w="5000" w:type="pct"/>
            <w:gridSpan w:val="6"/>
            <w:shd w:val="clear" w:color="auto" w:fill="FFFFFF"/>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 xml:space="preserve">a. Predictors: (Constant), </w:t>
            </w:r>
            <w:r w:rsidR="00523901" w:rsidRPr="00161B6C">
              <w:rPr>
                <w:rFonts w:ascii="Times New Roman" w:hAnsi="Times New Roman" w:cs="Times New Roman"/>
                <w:color w:val="000000" w:themeColor="text1"/>
                <w:sz w:val="24"/>
                <w:szCs w:val="24"/>
              </w:rPr>
              <w:t>Amount of Deposits(School Banking)</w:t>
            </w:r>
          </w:p>
        </w:tc>
      </w:tr>
      <w:tr w:rsidR="00161B6C" w:rsidRPr="00161B6C" w:rsidTr="00523901">
        <w:trPr>
          <w:cantSplit/>
        </w:trPr>
        <w:tc>
          <w:tcPr>
            <w:tcW w:w="5000" w:type="pct"/>
            <w:gridSpan w:val="6"/>
            <w:shd w:val="clear" w:color="auto" w:fill="FFFFFF"/>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b. Dependent Variable: ROE</w:t>
            </w:r>
          </w:p>
        </w:tc>
      </w:tr>
    </w:tbl>
    <w:p w:rsidR="000B55F3" w:rsidRPr="00161B6C" w:rsidRDefault="005667F3" w:rsidP="00523901">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Source: Analysis output SPSS-21</w:t>
      </w:r>
    </w:p>
    <w:p w:rsidR="00523901" w:rsidRPr="00161B6C" w:rsidRDefault="00523901" w:rsidP="00523901">
      <w:pPr>
        <w:spacing w:after="0" w:line="240" w:lineRule="auto"/>
        <w:jc w:val="center"/>
        <w:rPr>
          <w:rFonts w:ascii="Times New Roman" w:hAnsi="Times New Roman" w:cs="Times New Roman"/>
          <w:b/>
          <w:color w:val="000000" w:themeColor="text1"/>
          <w:sz w:val="24"/>
        </w:rPr>
      </w:pPr>
    </w:p>
    <w:p w:rsidR="00523901" w:rsidRPr="00161B6C" w:rsidRDefault="00523901" w:rsidP="00523901">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Table 9.  </w:t>
      </w:r>
      <w:r w:rsidRPr="00161B6C">
        <w:rPr>
          <w:rFonts w:ascii="Times New Roman" w:hAnsi="Times New Roman" w:cs="Times New Roman"/>
          <w:b/>
          <w:bCs/>
          <w:color w:val="000000" w:themeColor="text1"/>
          <w:sz w:val="24"/>
          <w:szCs w:val="24"/>
        </w:rPr>
        <w:t>ANOVA</w:t>
      </w:r>
    </w:p>
    <w:tbl>
      <w:tblPr>
        <w:tblW w:w="5021"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1"/>
        <w:gridCol w:w="1510"/>
        <w:gridCol w:w="1746"/>
        <w:gridCol w:w="1202"/>
        <w:gridCol w:w="1656"/>
        <w:gridCol w:w="1202"/>
        <w:gridCol w:w="1202"/>
      </w:tblGrid>
      <w:tr w:rsidR="00161B6C" w:rsidRPr="00161B6C" w:rsidTr="00523901">
        <w:trPr>
          <w:cantSplit/>
        </w:trPr>
        <w:tc>
          <w:tcPr>
            <w:tcW w:w="1268" w:type="pct"/>
            <w:gridSpan w:val="2"/>
            <w:shd w:val="clear" w:color="auto" w:fill="FFFFFF"/>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Model</w:t>
            </w:r>
          </w:p>
        </w:tc>
        <w:tc>
          <w:tcPr>
            <w:tcW w:w="93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Sum of Squares</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roofErr w:type="spellStart"/>
            <w:r w:rsidRPr="00161B6C">
              <w:rPr>
                <w:rFonts w:ascii="Times New Roman" w:hAnsi="Times New Roman" w:cs="Times New Roman"/>
                <w:color w:val="000000" w:themeColor="text1"/>
                <w:sz w:val="24"/>
                <w:szCs w:val="24"/>
              </w:rPr>
              <w:t>df</w:t>
            </w:r>
            <w:proofErr w:type="spellEnd"/>
          </w:p>
        </w:tc>
        <w:tc>
          <w:tcPr>
            <w:tcW w:w="882"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Mean Square</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F</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Sig.</w:t>
            </w:r>
          </w:p>
        </w:tc>
      </w:tr>
      <w:tr w:rsidR="00161B6C" w:rsidRPr="00161B6C" w:rsidTr="00523901">
        <w:trPr>
          <w:cantSplit/>
        </w:trPr>
        <w:tc>
          <w:tcPr>
            <w:tcW w:w="464" w:type="pct"/>
            <w:vMerge w:val="restart"/>
            <w:shd w:val="clear" w:color="auto" w:fill="FFFFFF"/>
            <w:vAlign w:val="center"/>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w:t>
            </w:r>
          </w:p>
        </w:tc>
        <w:tc>
          <w:tcPr>
            <w:tcW w:w="804" w:type="pct"/>
            <w:shd w:val="clear" w:color="auto" w:fill="FFFFFF"/>
            <w:vAlign w:val="center"/>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Regression</w:t>
            </w:r>
          </w:p>
        </w:tc>
        <w:tc>
          <w:tcPr>
            <w:tcW w:w="93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69.561</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w:t>
            </w:r>
          </w:p>
        </w:tc>
        <w:tc>
          <w:tcPr>
            <w:tcW w:w="882"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69.561</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8.721</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.018</w:t>
            </w:r>
            <w:r w:rsidRPr="00161B6C">
              <w:rPr>
                <w:rFonts w:ascii="Times New Roman" w:hAnsi="Times New Roman" w:cs="Times New Roman"/>
                <w:color w:val="000000" w:themeColor="text1"/>
                <w:sz w:val="24"/>
                <w:szCs w:val="24"/>
                <w:vertAlign w:val="superscript"/>
              </w:rPr>
              <w:t>b</w:t>
            </w:r>
          </w:p>
        </w:tc>
      </w:tr>
      <w:tr w:rsidR="00161B6C" w:rsidRPr="00161B6C" w:rsidTr="00523901">
        <w:trPr>
          <w:cantSplit/>
        </w:trPr>
        <w:tc>
          <w:tcPr>
            <w:tcW w:w="464" w:type="pct"/>
            <w:vMerge/>
            <w:shd w:val="clear" w:color="auto" w:fill="FFFFFF"/>
            <w:vAlign w:val="center"/>
          </w:tcPr>
          <w:p w:rsidR="000B55F3" w:rsidRPr="00161B6C" w:rsidRDefault="000B55F3" w:rsidP="00067537">
            <w:pPr>
              <w:autoSpaceDE w:val="0"/>
              <w:autoSpaceDN w:val="0"/>
              <w:adjustRightInd w:val="0"/>
              <w:spacing w:after="0" w:line="240" w:lineRule="auto"/>
              <w:rPr>
                <w:rFonts w:ascii="Times New Roman" w:hAnsi="Times New Roman" w:cs="Times New Roman"/>
                <w:color w:val="000000" w:themeColor="text1"/>
                <w:sz w:val="24"/>
                <w:szCs w:val="24"/>
              </w:rPr>
            </w:pPr>
          </w:p>
        </w:tc>
        <w:tc>
          <w:tcPr>
            <w:tcW w:w="804" w:type="pct"/>
            <w:shd w:val="clear" w:color="auto" w:fill="FFFFFF"/>
            <w:vAlign w:val="center"/>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Residual</w:t>
            </w:r>
          </w:p>
        </w:tc>
        <w:tc>
          <w:tcPr>
            <w:tcW w:w="93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63.809</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8</w:t>
            </w:r>
          </w:p>
        </w:tc>
        <w:tc>
          <w:tcPr>
            <w:tcW w:w="882"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7.976</w:t>
            </w:r>
          </w:p>
        </w:tc>
        <w:tc>
          <w:tcPr>
            <w:tcW w:w="640" w:type="pct"/>
            <w:shd w:val="clear" w:color="auto" w:fill="FFFFFF"/>
          </w:tcPr>
          <w:p w:rsidR="000B55F3" w:rsidRPr="00161B6C" w:rsidRDefault="000B55F3"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40" w:type="pct"/>
            <w:shd w:val="clear" w:color="auto" w:fill="FFFFFF"/>
          </w:tcPr>
          <w:p w:rsidR="000B55F3" w:rsidRPr="00161B6C" w:rsidRDefault="000B55F3"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161B6C" w:rsidRPr="00161B6C" w:rsidTr="00523901">
        <w:trPr>
          <w:cantSplit/>
        </w:trPr>
        <w:tc>
          <w:tcPr>
            <w:tcW w:w="464" w:type="pct"/>
            <w:vMerge/>
            <w:shd w:val="clear" w:color="auto" w:fill="FFFFFF"/>
            <w:vAlign w:val="center"/>
          </w:tcPr>
          <w:p w:rsidR="000B55F3" w:rsidRPr="00161B6C" w:rsidRDefault="000B55F3" w:rsidP="00067537">
            <w:pPr>
              <w:autoSpaceDE w:val="0"/>
              <w:autoSpaceDN w:val="0"/>
              <w:adjustRightInd w:val="0"/>
              <w:spacing w:after="0" w:line="240" w:lineRule="auto"/>
              <w:rPr>
                <w:rFonts w:ascii="Times New Roman" w:hAnsi="Times New Roman" w:cs="Times New Roman"/>
                <w:color w:val="000000" w:themeColor="text1"/>
                <w:sz w:val="24"/>
                <w:szCs w:val="24"/>
              </w:rPr>
            </w:pPr>
          </w:p>
        </w:tc>
        <w:tc>
          <w:tcPr>
            <w:tcW w:w="804" w:type="pct"/>
            <w:shd w:val="clear" w:color="auto" w:fill="FFFFFF"/>
            <w:vAlign w:val="center"/>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Total</w:t>
            </w:r>
          </w:p>
        </w:tc>
        <w:tc>
          <w:tcPr>
            <w:tcW w:w="93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133.370</w:t>
            </w:r>
          </w:p>
        </w:tc>
        <w:tc>
          <w:tcPr>
            <w:tcW w:w="640" w:type="pct"/>
            <w:shd w:val="clear" w:color="auto" w:fill="FFFFFF"/>
          </w:tcPr>
          <w:p w:rsidR="000B55F3" w:rsidRPr="00161B6C" w:rsidRDefault="000B55F3" w:rsidP="00067537">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9</w:t>
            </w:r>
          </w:p>
        </w:tc>
        <w:tc>
          <w:tcPr>
            <w:tcW w:w="882" w:type="pct"/>
            <w:shd w:val="clear" w:color="auto" w:fill="FFFFFF"/>
          </w:tcPr>
          <w:p w:rsidR="000B55F3" w:rsidRPr="00161B6C" w:rsidRDefault="000B55F3"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40" w:type="pct"/>
            <w:shd w:val="clear" w:color="auto" w:fill="FFFFFF"/>
          </w:tcPr>
          <w:p w:rsidR="000B55F3" w:rsidRPr="00161B6C" w:rsidRDefault="000B55F3"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40" w:type="pct"/>
            <w:shd w:val="clear" w:color="auto" w:fill="FFFFFF"/>
          </w:tcPr>
          <w:p w:rsidR="000B55F3" w:rsidRPr="00161B6C" w:rsidRDefault="000B55F3" w:rsidP="00067537">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161B6C" w:rsidRPr="00161B6C" w:rsidTr="00523901">
        <w:trPr>
          <w:cantSplit/>
        </w:trPr>
        <w:tc>
          <w:tcPr>
            <w:tcW w:w="5000" w:type="pct"/>
            <w:gridSpan w:val="7"/>
            <w:shd w:val="clear" w:color="auto" w:fill="FFFFFF"/>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a. Dependent Variable: ROE</w:t>
            </w:r>
          </w:p>
        </w:tc>
      </w:tr>
      <w:tr w:rsidR="00161B6C" w:rsidRPr="00161B6C" w:rsidTr="00523901">
        <w:trPr>
          <w:cantSplit/>
        </w:trPr>
        <w:tc>
          <w:tcPr>
            <w:tcW w:w="5000" w:type="pct"/>
            <w:gridSpan w:val="7"/>
            <w:shd w:val="clear" w:color="auto" w:fill="FFFFFF"/>
          </w:tcPr>
          <w:p w:rsidR="000B55F3" w:rsidRPr="00161B6C" w:rsidRDefault="000B55F3" w:rsidP="00067537">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 xml:space="preserve">b. Predictors: (Constant), </w:t>
            </w:r>
            <w:r w:rsidR="00523901" w:rsidRPr="00161B6C">
              <w:rPr>
                <w:rFonts w:ascii="Times New Roman" w:hAnsi="Times New Roman" w:cs="Times New Roman"/>
                <w:color w:val="000000" w:themeColor="text1"/>
                <w:sz w:val="24"/>
                <w:szCs w:val="24"/>
              </w:rPr>
              <w:t>Amount of Deposits(School Banking)</w:t>
            </w:r>
          </w:p>
        </w:tc>
      </w:tr>
    </w:tbl>
    <w:p w:rsidR="00F77E79" w:rsidRPr="00161B6C" w:rsidRDefault="005667F3" w:rsidP="00523901">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Source: Analysis output SPSS-21 </w:t>
      </w:r>
    </w:p>
    <w:p w:rsidR="00523901" w:rsidRPr="00161B6C" w:rsidRDefault="00523901" w:rsidP="000E31F2">
      <w:pPr>
        <w:spacing w:after="0" w:line="240" w:lineRule="auto"/>
        <w:jc w:val="center"/>
        <w:rPr>
          <w:rFonts w:ascii="Times New Roman" w:hAnsi="Times New Roman" w:cs="Times New Roman"/>
          <w:b/>
          <w:color w:val="000000" w:themeColor="text1"/>
          <w:sz w:val="24"/>
        </w:rPr>
      </w:pPr>
    </w:p>
    <w:p w:rsidR="000B55F3" w:rsidRPr="00161B6C" w:rsidRDefault="000E31F2" w:rsidP="000E31F2">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Table 10.  </w:t>
      </w:r>
      <w:r w:rsidR="00CE3DF1" w:rsidRPr="00161B6C">
        <w:rPr>
          <w:rFonts w:ascii="Times New Roman" w:hAnsi="Times New Roman" w:cs="Times New Roman"/>
          <w:b/>
          <w:color w:val="000000" w:themeColor="text1"/>
          <w:sz w:val="24"/>
        </w:rPr>
        <w:t>Regression coefficient</w:t>
      </w:r>
      <w:r w:rsidR="00523901" w:rsidRPr="00161B6C">
        <w:rPr>
          <w:rFonts w:ascii="Times New Roman" w:hAnsi="Times New Roman" w:cs="Times New Roman"/>
          <w:b/>
          <w:color w:val="000000" w:themeColor="text1"/>
          <w:sz w:val="24"/>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
        <w:gridCol w:w="1717"/>
        <w:gridCol w:w="1471"/>
        <w:gridCol w:w="1471"/>
        <w:gridCol w:w="1728"/>
        <w:gridCol w:w="1096"/>
        <w:gridCol w:w="1094"/>
      </w:tblGrid>
      <w:tr w:rsidR="00161B6C" w:rsidRPr="00161B6C" w:rsidTr="00523901">
        <w:trPr>
          <w:cantSplit/>
        </w:trPr>
        <w:tc>
          <w:tcPr>
            <w:tcW w:w="1220" w:type="pct"/>
            <w:gridSpan w:val="2"/>
            <w:vMerge w:val="restart"/>
            <w:shd w:val="clear" w:color="auto" w:fill="FFFFFF"/>
          </w:tcPr>
          <w:p w:rsidR="008538AD" w:rsidRPr="00161B6C" w:rsidRDefault="008538AD" w:rsidP="001D0A1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Model</w:t>
            </w:r>
          </w:p>
        </w:tc>
        <w:tc>
          <w:tcPr>
            <w:tcW w:w="1618" w:type="pct"/>
            <w:gridSpan w:val="2"/>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Unstandardized Coefficients</w:t>
            </w:r>
          </w:p>
        </w:tc>
        <w:tc>
          <w:tcPr>
            <w:tcW w:w="946" w:type="pc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Standardized Coefficients</w:t>
            </w:r>
          </w:p>
        </w:tc>
        <w:tc>
          <w:tcPr>
            <w:tcW w:w="608" w:type="pct"/>
            <w:vMerge w:val="restar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t</w:t>
            </w:r>
          </w:p>
        </w:tc>
        <w:tc>
          <w:tcPr>
            <w:tcW w:w="607" w:type="pct"/>
            <w:vMerge w:val="restar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Sig.</w:t>
            </w:r>
          </w:p>
        </w:tc>
      </w:tr>
      <w:tr w:rsidR="00161B6C" w:rsidRPr="00161B6C" w:rsidTr="00523901">
        <w:trPr>
          <w:cantSplit/>
        </w:trPr>
        <w:tc>
          <w:tcPr>
            <w:tcW w:w="1220" w:type="pct"/>
            <w:gridSpan w:val="2"/>
            <w:vMerge/>
            <w:shd w:val="clear" w:color="auto" w:fill="FFFFFF"/>
          </w:tcPr>
          <w:p w:rsidR="008538AD" w:rsidRPr="00161B6C" w:rsidRDefault="008538AD" w:rsidP="001D0A11">
            <w:pPr>
              <w:autoSpaceDE w:val="0"/>
              <w:autoSpaceDN w:val="0"/>
              <w:adjustRightInd w:val="0"/>
              <w:spacing w:after="0" w:line="240" w:lineRule="auto"/>
              <w:rPr>
                <w:rFonts w:ascii="Times New Roman" w:hAnsi="Times New Roman" w:cs="Times New Roman"/>
                <w:color w:val="000000" w:themeColor="text1"/>
                <w:sz w:val="24"/>
                <w:szCs w:val="24"/>
              </w:rPr>
            </w:pPr>
          </w:p>
        </w:tc>
        <w:tc>
          <w:tcPr>
            <w:tcW w:w="809" w:type="pc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B</w:t>
            </w:r>
          </w:p>
        </w:tc>
        <w:tc>
          <w:tcPr>
            <w:tcW w:w="809" w:type="pc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Std. Error</w:t>
            </w:r>
          </w:p>
        </w:tc>
        <w:tc>
          <w:tcPr>
            <w:tcW w:w="946" w:type="pc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Beta</w:t>
            </w:r>
          </w:p>
        </w:tc>
        <w:tc>
          <w:tcPr>
            <w:tcW w:w="608" w:type="pct"/>
            <w:vMerge/>
            <w:shd w:val="clear" w:color="auto" w:fill="FFFFFF"/>
          </w:tcPr>
          <w:p w:rsidR="008538AD" w:rsidRPr="00161B6C" w:rsidRDefault="008538AD" w:rsidP="001D0A11">
            <w:pPr>
              <w:autoSpaceDE w:val="0"/>
              <w:autoSpaceDN w:val="0"/>
              <w:adjustRightInd w:val="0"/>
              <w:spacing w:after="0" w:line="240" w:lineRule="auto"/>
              <w:rPr>
                <w:rFonts w:ascii="Times New Roman" w:hAnsi="Times New Roman" w:cs="Times New Roman"/>
                <w:color w:val="000000" w:themeColor="text1"/>
                <w:sz w:val="24"/>
                <w:szCs w:val="24"/>
              </w:rPr>
            </w:pPr>
          </w:p>
        </w:tc>
        <w:tc>
          <w:tcPr>
            <w:tcW w:w="607" w:type="pct"/>
            <w:vMerge/>
            <w:shd w:val="clear" w:color="auto" w:fill="FFFFFF"/>
          </w:tcPr>
          <w:p w:rsidR="008538AD" w:rsidRPr="00161B6C" w:rsidRDefault="008538AD" w:rsidP="001D0A11">
            <w:pPr>
              <w:autoSpaceDE w:val="0"/>
              <w:autoSpaceDN w:val="0"/>
              <w:adjustRightInd w:val="0"/>
              <w:spacing w:after="0" w:line="240" w:lineRule="auto"/>
              <w:rPr>
                <w:rFonts w:ascii="Times New Roman" w:hAnsi="Times New Roman" w:cs="Times New Roman"/>
                <w:color w:val="000000" w:themeColor="text1"/>
                <w:sz w:val="24"/>
                <w:szCs w:val="24"/>
              </w:rPr>
            </w:pPr>
          </w:p>
        </w:tc>
      </w:tr>
      <w:tr w:rsidR="00161B6C" w:rsidRPr="00161B6C" w:rsidTr="00523901">
        <w:trPr>
          <w:cantSplit/>
          <w:trHeight w:val="158"/>
        </w:trPr>
        <w:tc>
          <w:tcPr>
            <w:tcW w:w="436" w:type="pct"/>
            <w:vMerge w:val="restart"/>
            <w:shd w:val="clear" w:color="auto" w:fill="FFFFFF"/>
            <w:vAlign w:val="center"/>
          </w:tcPr>
          <w:p w:rsidR="008538AD" w:rsidRPr="00161B6C" w:rsidRDefault="008538AD" w:rsidP="001D0A1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w:t>
            </w:r>
          </w:p>
        </w:tc>
        <w:tc>
          <w:tcPr>
            <w:tcW w:w="784" w:type="pct"/>
            <w:shd w:val="clear" w:color="auto" w:fill="FFFFFF"/>
            <w:vAlign w:val="center"/>
          </w:tcPr>
          <w:p w:rsidR="008538AD" w:rsidRPr="00161B6C" w:rsidRDefault="008538AD" w:rsidP="001D0A1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(Constant)</w:t>
            </w:r>
          </w:p>
        </w:tc>
        <w:tc>
          <w:tcPr>
            <w:tcW w:w="809" w:type="pc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12.363</w:t>
            </w:r>
          </w:p>
        </w:tc>
        <w:tc>
          <w:tcPr>
            <w:tcW w:w="809" w:type="pc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1.480</w:t>
            </w:r>
          </w:p>
        </w:tc>
        <w:tc>
          <w:tcPr>
            <w:tcW w:w="946" w:type="pct"/>
            <w:shd w:val="clear" w:color="auto" w:fill="FFFFFF"/>
          </w:tcPr>
          <w:p w:rsidR="008538AD" w:rsidRPr="00161B6C" w:rsidRDefault="008538AD" w:rsidP="001D0A11">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08" w:type="pc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8.354</w:t>
            </w:r>
          </w:p>
        </w:tc>
        <w:tc>
          <w:tcPr>
            <w:tcW w:w="607" w:type="pc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.000</w:t>
            </w:r>
          </w:p>
        </w:tc>
      </w:tr>
      <w:tr w:rsidR="00161B6C" w:rsidRPr="00161B6C" w:rsidTr="00523901">
        <w:trPr>
          <w:cantSplit/>
        </w:trPr>
        <w:tc>
          <w:tcPr>
            <w:tcW w:w="436" w:type="pct"/>
            <w:vMerge/>
            <w:shd w:val="clear" w:color="auto" w:fill="FFFFFF"/>
            <w:vAlign w:val="center"/>
          </w:tcPr>
          <w:p w:rsidR="008538AD" w:rsidRPr="00161B6C" w:rsidRDefault="008538AD" w:rsidP="001D0A11">
            <w:pPr>
              <w:autoSpaceDE w:val="0"/>
              <w:autoSpaceDN w:val="0"/>
              <w:adjustRightInd w:val="0"/>
              <w:spacing w:after="0" w:line="240" w:lineRule="auto"/>
              <w:rPr>
                <w:rFonts w:ascii="Times New Roman" w:hAnsi="Times New Roman" w:cs="Times New Roman"/>
                <w:color w:val="000000" w:themeColor="text1"/>
                <w:sz w:val="24"/>
                <w:szCs w:val="24"/>
              </w:rPr>
            </w:pPr>
          </w:p>
        </w:tc>
        <w:tc>
          <w:tcPr>
            <w:tcW w:w="784" w:type="pct"/>
            <w:shd w:val="clear" w:color="auto" w:fill="FFFFFF"/>
            <w:vAlign w:val="center"/>
          </w:tcPr>
          <w:p w:rsidR="008538AD" w:rsidRPr="00161B6C" w:rsidRDefault="00523901" w:rsidP="001D0A1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Amount of Deposits(School Banking)</w:t>
            </w:r>
          </w:p>
        </w:tc>
        <w:tc>
          <w:tcPr>
            <w:tcW w:w="809" w:type="pc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-.004</w:t>
            </w:r>
          </w:p>
        </w:tc>
        <w:tc>
          <w:tcPr>
            <w:tcW w:w="809" w:type="pc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.001</w:t>
            </w:r>
          </w:p>
        </w:tc>
        <w:tc>
          <w:tcPr>
            <w:tcW w:w="946" w:type="pc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-.722</w:t>
            </w:r>
          </w:p>
        </w:tc>
        <w:tc>
          <w:tcPr>
            <w:tcW w:w="608" w:type="pc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-2.953</w:t>
            </w:r>
          </w:p>
        </w:tc>
        <w:tc>
          <w:tcPr>
            <w:tcW w:w="607" w:type="pct"/>
            <w:shd w:val="clear" w:color="auto" w:fill="FFFFFF"/>
          </w:tcPr>
          <w:p w:rsidR="008538AD" w:rsidRPr="00161B6C" w:rsidRDefault="008538AD" w:rsidP="001D0A1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161B6C">
              <w:rPr>
                <w:rFonts w:ascii="Times New Roman" w:hAnsi="Times New Roman" w:cs="Times New Roman"/>
                <w:color w:val="000000" w:themeColor="text1"/>
                <w:sz w:val="24"/>
                <w:szCs w:val="24"/>
              </w:rPr>
              <w:t>.018</w:t>
            </w:r>
          </w:p>
        </w:tc>
      </w:tr>
    </w:tbl>
    <w:p w:rsidR="005667F3" w:rsidRPr="00161B6C" w:rsidRDefault="005667F3" w:rsidP="005667F3">
      <w:pPr>
        <w:spacing w:after="0" w:line="240" w:lineRule="auto"/>
        <w:jc w:val="center"/>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Source: Analysis output SPSS-21 </w:t>
      </w:r>
    </w:p>
    <w:p w:rsidR="00CD0466" w:rsidRPr="00161B6C" w:rsidRDefault="00031819" w:rsidP="005667F3">
      <w:pPr>
        <w:pStyle w:val="ListParagraph"/>
        <w:numPr>
          <w:ilvl w:val="0"/>
          <w:numId w:val="10"/>
        </w:numPr>
        <w:spacing w:after="0" w:line="240" w:lineRule="auto"/>
        <w:rPr>
          <w:rFonts w:ascii="Times New Roman" w:hAnsi="Times New Roman" w:cs="Times New Roman"/>
          <w:b/>
          <w:color w:val="000000" w:themeColor="text1"/>
          <w:sz w:val="24"/>
        </w:rPr>
      </w:pPr>
      <w:r w:rsidRPr="00161B6C">
        <w:rPr>
          <w:rFonts w:ascii="Times New Roman" w:hAnsi="Times New Roman" w:cs="Times New Roman"/>
          <w:b/>
          <w:color w:val="000000" w:themeColor="text1"/>
          <w:sz w:val="24"/>
        </w:rPr>
        <w:t xml:space="preserve">Conclusion </w:t>
      </w:r>
    </w:p>
    <w:p w:rsidR="00117E55" w:rsidRPr="00161B6C" w:rsidRDefault="00117E55" w:rsidP="005667F3">
      <w:pPr>
        <w:spacing w:after="0" w:line="240" w:lineRule="auto"/>
        <w:jc w:val="both"/>
        <w:rPr>
          <w:rFonts w:ascii="Times New Roman" w:hAnsi="Times New Roman" w:cs="Times New Roman"/>
          <w:color w:val="000000" w:themeColor="text1"/>
          <w:sz w:val="24"/>
        </w:rPr>
      </w:pPr>
      <w:r w:rsidRPr="00161B6C">
        <w:rPr>
          <w:rFonts w:ascii="Times New Roman" w:hAnsi="Times New Roman" w:cs="Times New Roman"/>
          <w:color w:val="000000" w:themeColor="text1"/>
          <w:sz w:val="24"/>
        </w:rPr>
        <w:t xml:space="preserve">The ultimate aim of the research is to examine the current status, pattern and profitability of school banking. In order to achieve the goals, data from secondary sources </w:t>
      </w:r>
      <w:r w:rsidR="00E83D30" w:rsidRPr="00161B6C">
        <w:rPr>
          <w:rFonts w:ascii="Times New Roman" w:hAnsi="Times New Roman" w:cs="Times New Roman"/>
          <w:color w:val="000000" w:themeColor="text1"/>
          <w:sz w:val="24"/>
        </w:rPr>
        <w:t>have been</w:t>
      </w:r>
      <w:r w:rsidRPr="00161B6C">
        <w:rPr>
          <w:rFonts w:ascii="Times New Roman" w:hAnsi="Times New Roman" w:cs="Times New Roman"/>
          <w:color w:val="000000" w:themeColor="text1"/>
          <w:sz w:val="24"/>
        </w:rPr>
        <w:t xml:space="preserve"> collected from 2011 to 2020 over a duration of ten years. The data have been accumulated from the quarterly financial inclusion report, quarterly report, half-yearly report, annual report of the Bangladesh Bank, journals, websites, etc. The findings showed a growing trend in </w:t>
      </w:r>
      <w:r w:rsidR="00D926A7" w:rsidRPr="00161B6C">
        <w:rPr>
          <w:rFonts w:ascii="Times New Roman" w:hAnsi="Times New Roman" w:cs="Times New Roman"/>
          <w:color w:val="000000" w:themeColor="text1"/>
          <w:sz w:val="24"/>
        </w:rPr>
        <w:t xml:space="preserve">opening school banking </w:t>
      </w:r>
      <w:r w:rsidRPr="00161B6C">
        <w:rPr>
          <w:rFonts w:ascii="Times New Roman" w:hAnsi="Times New Roman" w:cs="Times New Roman"/>
          <w:color w:val="000000" w:themeColor="text1"/>
          <w:sz w:val="24"/>
        </w:rPr>
        <w:t xml:space="preserve">account over the duration and deposit collection of those accounts. The proportion of school bank </w:t>
      </w:r>
      <w:r w:rsidR="00D926A7" w:rsidRPr="00161B6C">
        <w:rPr>
          <w:rFonts w:ascii="Times New Roman" w:hAnsi="Times New Roman" w:cs="Times New Roman"/>
          <w:color w:val="000000" w:themeColor="text1"/>
          <w:sz w:val="24"/>
        </w:rPr>
        <w:t>deposits to overall deposits had</w:t>
      </w:r>
      <w:r w:rsidRPr="00161B6C">
        <w:rPr>
          <w:rFonts w:ascii="Times New Roman" w:hAnsi="Times New Roman" w:cs="Times New Roman"/>
          <w:color w:val="000000" w:themeColor="text1"/>
          <w:sz w:val="24"/>
        </w:rPr>
        <w:t xml:space="preserve"> increased from 2011 to 2020 by 0.01 percent to 0.16 percent.</w:t>
      </w:r>
      <w:r w:rsidRPr="00161B6C">
        <w:rPr>
          <w:color w:val="000000" w:themeColor="text1"/>
        </w:rPr>
        <w:t xml:space="preserve"> </w:t>
      </w:r>
      <w:r w:rsidRPr="00161B6C">
        <w:rPr>
          <w:rFonts w:ascii="Times New Roman" w:hAnsi="Times New Roman" w:cs="Times New Roman"/>
          <w:color w:val="000000" w:themeColor="text1"/>
          <w:sz w:val="24"/>
        </w:rPr>
        <w:t> The correlation</w:t>
      </w:r>
      <w:r w:rsidR="00D926A7" w:rsidRPr="00161B6C">
        <w:rPr>
          <w:rFonts w:ascii="Times New Roman" w:hAnsi="Times New Roman" w:cs="Times New Roman"/>
          <w:color w:val="000000" w:themeColor="text1"/>
          <w:sz w:val="24"/>
        </w:rPr>
        <w:t xml:space="preserve"> analysis confirmed that there was</w:t>
      </w:r>
      <w:r w:rsidRPr="00161B6C">
        <w:rPr>
          <w:rFonts w:ascii="Times New Roman" w:hAnsi="Times New Roman" w:cs="Times New Roman"/>
          <w:color w:val="000000" w:themeColor="text1"/>
          <w:sz w:val="24"/>
        </w:rPr>
        <w:t xml:space="preserve"> a positive association between the opening number of accounts and the volume deposit in those accounts. It also found that school banking and return on equity and return on assets had significant adverse relationships. The outcome of the regression also confirms that there is a negative relationship between school banking (the amount of deposits) and return on equity and return on asset. Although the relationship between school banking and bank profitability was negative, it can be concluded that school banking opens the doors among the young generation for banking business and banking habits.</w:t>
      </w:r>
    </w:p>
    <w:p w:rsidR="005E6D05" w:rsidRPr="00161B6C" w:rsidRDefault="005E6D05" w:rsidP="005667F3">
      <w:pPr>
        <w:spacing w:after="0" w:line="240" w:lineRule="auto"/>
        <w:jc w:val="both"/>
        <w:rPr>
          <w:rFonts w:ascii="Times New Roman" w:hAnsi="Times New Roman" w:cs="Times New Roman"/>
          <w:color w:val="000000" w:themeColor="text1"/>
          <w:sz w:val="24"/>
        </w:rPr>
      </w:pPr>
    </w:p>
    <w:p w:rsidR="005E6D05" w:rsidRPr="00161B6C" w:rsidRDefault="005E6D05" w:rsidP="005667F3">
      <w:pPr>
        <w:spacing w:after="0" w:line="240" w:lineRule="auto"/>
        <w:jc w:val="both"/>
        <w:rPr>
          <w:rFonts w:ascii="Times New Roman" w:hAnsi="Times New Roman" w:cs="Times New Roman"/>
          <w:color w:val="000000" w:themeColor="text1"/>
          <w:sz w:val="24"/>
        </w:rPr>
      </w:pPr>
    </w:p>
    <w:p w:rsidR="005E6D05" w:rsidRPr="00161B6C" w:rsidRDefault="005E6D05" w:rsidP="005667F3">
      <w:pPr>
        <w:spacing w:after="0" w:line="240" w:lineRule="auto"/>
        <w:jc w:val="both"/>
        <w:rPr>
          <w:rFonts w:ascii="Times New Roman" w:hAnsi="Times New Roman" w:cs="Times New Roman"/>
          <w:color w:val="000000" w:themeColor="text1"/>
          <w:sz w:val="24"/>
        </w:rPr>
      </w:pPr>
    </w:p>
    <w:p w:rsidR="005E6D05" w:rsidRPr="00161B6C" w:rsidRDefault="005E6D05" w:rsidP="005667F3">
      <w:pPr>
        <w:spacing w:after="0" w:line="240" w:lineRule="auto"/>
        <w:jc w:val="both"/>
        <w:rPr>
          <w:rFonts w:ascii="Times New Roman" w:hAnsi="Times New Roman" w:cs="Times New Roman"/>
          <w:color w:val="000000" w:themeColor="text1"/>
          <w:sz w:val="24"/>
        </w:rPr>
      </w:pPr>
    </w:p>
    <w:p w:rsidR="00117E55" w:rsidRPr="00161B6C" w:rsidRDefault="00117E55" w:rsidP="00067537">
      <w:pPr>
        <w:spacing w:after="0" w:line="240" w:lineRule="auto"/>
        <w:rPr>
          <w:rFonts w:ascii="Times New Roman" w:hAnsi="Times New Roman" w:cs="Times New Roman"/>
          <w:color w:val="000000" w:themeColor="text1"/>
          <w:sz w:val="24"/>
        </w:rPr>
      </w:pPr>
    </w:p>
    <w:p w:rsidR="006029FD" w:rsidRPr="00161B6C" w:rsidRDefault="00433294" w:rsidP="00067537">
      <w:pPr>
        <w:spacing w:after="0" w:line="240" w:lineRule="auto"/>
        <w:rPr>
          <w:rFonts w:ascii="Times New Roman" w:hAnsi="Times New Roman" w:cs="Times New Roman"/>
          <w:b/>
          <w:color w:val="000000" w:themeColor="text1"/>
          <w:sz w:val="23"/>
          <w:szCs w:val="23"/>
        </w:rPr>
      </w:pPr>
      <w:r w:rsidRPr="00161B6C">
        <w:rPr>
          <w:rFonts w:ascii="Times New Roman" w:hAnsi="Times New Roman" w:cs="Times New Roman"/>
          <w:b/>
          <w:color w:val="000000" w:themeColor="text1"/>
          <w:sz w:val="23"/>
          <w:szCs w:val="23"/>
        </w:rPr>
        <w:lastRenderedPageBreak/>
        <w:t>References</w:t>
      </w:r>
    </w:p>
    <w:p w:rsidR="00F77E79" w:rsidRPr="00161B6C" w:rsidRDefault="00F77E79" w:rsidP="00F77E79">
      <w:pPr>
        <w:spacing w:after="0" w:line="240" w:lineRule="auto"/>
        <w:ind w:left="720" w:hanging="720"/>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rPr>
        <w:t>(n.d.). School Banking [Review of School Banking]. http://www.krishibank.org.bd/bd/school-banking/</w:t>
      </w:r>
    </w:p>
    <w:p w:rsidR="00F77E79" w:rsidRPr="00161B6C" w:rsidRDefault="00F77E79" w:rsidP="00F77E79">
      <w:pPr>
        <w:spacing w:after="0" w:line="240" w:lineRule="auto"/>
        <w:ind w:left="720" w:hanging="720"/>
        <w:jc w:val="both"/>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shd w:val="clear" w:color="auto" w:fill="FFFFFF"/>
        </w:rPr>
        <w:t>Ahmed, M.  &amp; Maksuda, M.K., (2014). School Banking in Bangladesh: A Study on Sustainability. </w:t>
      </w:r>
      <w:r w:rsidRPr="00161B6C">
        <w:rPr>
          <w:rFonts w:ascii="Times New Roman" w:hAnsi="Times New Roman" w:cs="Times New Roman"/>
          <w:i/>
          <w:iCs/>
          <w:color w:val="000000" w:themeColor="text1"/>
          <w:sz w:val="23"/>
          <w:szCs w:val="23"/>
          <w:shd w:val="clear" w:color="auto" w:fill="FFFFFF"/>
        </w:rPr>
        <w:t>Thoughts on Banking and Finance</w:t>
      </w:r>
      <w:r w:rsidRPr="00161B6C">
        <w:rPr>
          <w:rFonts w:ascii="Times New Roman" w:hAnsi="Times New Roman" w:cs="Times New Roman"/>
          <w:i/>
          <w:color w:val="000000" w:themeColor="text1"/>
          <w:sz w:val="23"/>
          <w:szCs w:val="23"/>
        </w:rPr>
        <w:t>, 3</w:t>
      </w:r>
      <w:r w:rsidRPr="00161B6C">
        <w:rPr>
          <w:rFonts w:ascii="Times New Roman" w:hAnsi="Times New Roman" w:cs="Times New Roman"/>
          <w:color w:val="000000" w:themeColor="text1"/>
          <w:sz w:val="23"/>
          <w:szCs w:val="23"/>
        </w:rPr>
        <w:t>(1), 65-75.</w:t>
      </w:r>
    </w:p>
    <w:p w:rsidR="00F77E79" w:rsidRPr="00161B6C" w:rsidRDefault="00F77E79" w:rsidP="00F77E79">
      <w:pPr>
        <w:pStyle w:val="Default"/>
        <w:ind w:left="720" w:hanging="720"/>
        <w:jc w:val="both"/>
        <w:rPr>
          <w:color w:val="000000" w:themeColor="text1"/>
          <w:sz w:val="23"/>
          <w:szCs w:val="23"/>
        </w:rPr>
      </w:pPr>
      <w:r w:rsidRPr="00161B6C">
        <w:rPr>
          <w:color w:val="000000" w:themeColor="text1"/>
          <w:sz w:val="23"/>
          <w:szCs w:val="23"/>
        </w:rPr>
        <w:t xml:space="preserve">Alam (2015), </w:t>
      </w:r>
      <w:r w:rsidRPr="00161B6C">
        <w:rPr>
          <w:i/>
          <w:iCs/>
          <w:color w:val="000000" w:themeColor="text1"/>
          <w:sz w:val="23"/>
          <w:szCs w:val="23"/>
        </w:rPr>
        <w:t xml:space="preserve">School Banking Created a New Era in the Banking Services in Bangladesh, </w:t>
      </w:r>
      <w:r w:rsidRPr="00161B6C">
        <w:rPr>
          <w:color w:val="000000" w:themeColor="text1"/>
          <w:sz w:val="23"/>
          <w:szCs w:val="23"/>
        </w:rPr>
        <w:t xml:space="preserve">BD Opinion, March 31, 2015. http//www.bdopinion.com/2015/03/31/school-banking-created-a-new-era-in-the-banking-servics-in-bangladesh/. </w:t>
      </w:r>
    </w:p>
    <w:p w:rsidR="00F77E79" w:rsidRPr="00161B6C" w:rsidRDefault="00F77E79" w:rsidP="00F77E79">
      <w:pPr>
        <w:spacing w:after="0" w:line="240" w:lineRule="auto"/>
        <w:ind w:left="720" w:hanging="720"/>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rPr>
        <w:t>Annual Report. (2011-2020). Bangladesh bank. </w:t>
      </w:r>
      <w:hyperlink r:id="rId11" w:history="1">
        <w:r w:rsidRPr="00161B6C">
          <w:rPr>
            <w:rStyle w:val="Hyperlink"/>
            <w:rFonts w:ascii="Times New Roman" w:hAnsi="Times New Roman" w:cs="Times New Roman"/>
            <w:color w:val="000000" w:themeColor="text1"/>
            <w:sz w:val="23"/>
            <w:szCs w:val="23"/>
            <w:u w:val="none"/>
          </w:rPr>
          <w:t>https://www.bb.org.bd/en/index.php/publication/publictn/0/2</w:t>
        </w:r>
      </w:hyperlink>
    </w:p>
    <w:p w:rsidR="00F77E79" w:rsidRPr="00161B6C" w:rsidRDefault="00F77E79" w:rsidP="00F77E79">
      <w:pPr>
        <w:pStyle w:val="Heading3"/>
        <w:shd w:val="clear" w:color="auto" w:fill="FFFFFF"/>
        <w:spacing w:before="0"/>
        <w:ind w:left="720" w:hanging="720"/>
        <w:jc w:val="both"/>
        <w:rPr>
          <w:rFonts w:ascii="Times New Roman" w:hAnsi="Times New Roman" w:cs="Times New Roman"/>
          <w:color w:val="000000" w:themeColor="text1"/>
          <w:sz w:val="23"/>
          <w:szCs w:val="23"/>
        </w:rPr>
      </w:pPr>
      <w:r w:rsidRPr="00161B6C">
        <w:rPr>
          <w:rFonts w:ascii="Times New Roman" w:eastAsia="Times New Roman" w:hAnsi="Times New Roman" w:cs="Times New Roman"/>
          <w:bCs/>
          <w:color w:val="000000" w:themeColor="text1"/>
          <w:sz w:val="23"/>
          <w:szCs w:val="23"/>
        </w:rPr>
        <w:t>Chowdhury, M.M.H.,</w:t>
      </w:r>
      <w:r w:rsidRPr="00161B6C">
        <w:rPr>
          <w:rFonts w:ascii="Times New Roman" w:hAnsi="Times New Roman" w:cs="Times New Roman"/>
          <w:color w:val="000000" w:themeColor="text1"/>
          <w:sz w:val="23"/>
          <w:szCs w:val="23"/>
        </w:rPr>
        <w:t xml:space="preserve"> (2019)</w:t>
      </w:r>
      <w:r w:rsidRPr="00161B6C">
        <w:rPr>
          <w:rFonts w:ascii="Times New Roman" w:hAnsi="Times New Roman" w:cs="Times New Roman"/>
          <w:i/>
          <w:iCs/>
          <w:color w:val="000000" w:themeColor="text1"/>
          <w:sz w:val="23"/>
          <w:szCs w:val="23"/>
        </w:rPr>
        <w:t xml:space="preserve"> School Banking: Financial Inclusion at Childhood</w:t>
      </w:r>
      <w:r w:rsidRPr="00161B6C">
        <w:rPr>
          <w:rFonts w:ascii="Times New Roman" w:hAnsi="Times New Roman" w:cs="Times New Roman"/>
          <w:color w:val="000000" w:themeColor="text1"/>
          <w:sz w:val="23"/>
          <w:szCs w:val="23"/>
        </w:rPr>
        <w:t>. Daily Sun. Retrieved January 30, 2021, from https://www.daily-sun.com/arcprint/details/408932/School-Banking:-Financial-Inclusion-at-Childhood/2019-07-21</w:t>
      </w:r>
    </w:p>
    <w:p w:rsidR="00F77E79" w:rsidRPr="00161B6C" w:rsidRDefault="00F77E79" w:rsidP="00F77E79">
      <w:pPr>
        <w:spacing w:after="0" w:line="240" w:lineRule="auto"/>
        <w:ind w:left="720" w:hanging="720"/>
        <w:jc w:val="both"/>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rPr>
        <w:t>Chowdhury. M.M.H., (2019, July 17). </w:t>
      </w:r>
      <w:r w:rsidRPr="00161B6C">
        <w:rPr>
          <w:rFonts w:ascii="Times New Roman" w:hAnsi="Times New Roman" w:cs="Times New Roman"/>
          <w:i/>
          <w:iCs/>
          <w:color w:val="000000" w:themeColor="text1"/>
          <w:sz w:val="23"/>
          <w:szCs w:val="23"/>
        </w:rPr>
        <w:t>School banking: Ensuring financial inclusion since childhood</w:t>
      </w:r>
      <w:r w:rsidRPr="00161B6C">
        <w:rPr>
          <w:rFonts w:ascii="Times New Roman" w:hAnsi="Times New Roman" w:cs="Times New Roman"/>
          <w:color w:val="000000" w:themeColor="text1"/>
          <w:sz w:val="23"/>
          <w:szCs w:val="23"/>
        </w:rPr>
        <w:t>; The Financial Express. Retrieved January 26, 2021 from</w:t>
      </w:r>
    </w:p>
    <w:p w:rsidR="00F77E79" w:rsidRPr="00161B6C" w:rsidRDefault="00F77E79" w:rsidP="00F77E79">
      <w:pPr>
        <w:spacing w:after="0" w:line="240" w:lineRule="auto"/>
        <w:ind w:left="720" w:hanging="720"/>
        <w:jc w:val="both"/>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rPr>
        <w:t xml:space="preserve">Hasan, M. (2020, July 14). </w:t>
      </w:r>
      <w:r w:rsidRPr="00161B6C">
        <w:rPr>
          <w:rFonts w:ascii="Times New Roman" w:hAnsi="Times New Roman" w:cs="Times New Roman"/>
          <w:i/>
          <w:color w:val="000000" w:themeColor="text1"/>
          <w:sz w:val="23"/>
          <w:szCs w:val="23"/>
        </w:rPr>
        <w:t>Deposits from School Banking cross Tk1, 700cr</w:t>
      </w:r>
      <w:r w:rsidRPr="00161B6C">
        <w:rPr>
          <w:rFonts w:ascii="Times New Roman" w:hAnsi="Times New Roman" w:cs="Times New Roman"/>
          <w:color w:val="000000" w:themeColor="text1"/>
          <w:sz w:val="23"/>
          <w:szCs w:val="23"/>
        </w:rPr>
        <w:t>. </w:t>
      </w:r>
      <w:r w:rsidRPr="00161B6C">
        <w:rPr>
          <w:rFonts w:ascii="Times New Roman" w:hAnsi="Times New Roman" w:cs="Times New Roman"/>
          <w:iCs/>
          <w:color w:val="000000" w:themeColor="text1"/>
          <w:sz w:val="23"/>
          <w:szCs w:val="23"/>
        </w:rPr>
        <w:t>Dhaka tribune</w:t>
      </w:r>
      <w:r w:rsidRPr="00161B6C">
        <w:rPr>
          <w:rFonts w:ascii="Times New Roman" w:hAnsi="Times New Roman" w:cs="Times New Roman"/>
          <w:color w:val="000000" w:themeColor="text1"/>
          <w:sz w:val="23"/>
          <w:szCs w:val="23"/>
        </w:rPr>
        <w:t>. Retrieved January 31, 2021 from</w:t>
      </w:r>
    </w:p>
    <w:p w:rsidR="00F77E79" w:rsidRPr="00161B6C" w:rsidRDefault="00F77E79" w:rsidP="00F77E79">
      <w:pPr>
        <w:pStyle w:val="Default"/>
        <w:ind w:left="720" w:hanging="720"/>
        <w:jc w:val="both"/>
        <w:rPr>
          <w:color w:val="000000" w:themeColor="text1"/>
          <w:sz w:val="23"/>
          <w:szCs w:val="23"/>
        </w:rPr>
      </w:pPr>
      <w:r w:rsidRPr="00161B6C">
        <w:rPr>
          <w:color w:val="000000" w:themeColor="text1"/>
          <w:sz w:val="23"/>
          <w:szCs w:val="23"/>
        </w:rPr>
        <w:t xml:space="preserve">Hossen, M.M (2012), </w:t>
      </w:r>
      <w:r w:rsidRPr="00161B6C">
        <w:rPr>
          <w:i/>
          <w:iCs/>
          <w:color w:val="000000" w:themeColor="text1"/>
          <w:sz w:val="23"/>
          <w:szCs w:val="23"/>
        </w:rPr>
        <w:t>School Banking Scheme as a new Scheme for students</w:t>
      </w:r>
      <w:r w:rsidRPr="00161B6C">
        <w:rPr>
          <w:color w:val="000000" w:themeColor="text1"/>
          <w:sz w:val="23"/>
          <w:szCs w:val="23"/>
        </w:rPr>
        <w:t xml:space="preserve">, The Daily Frontier, September22,2012.http//www.daily,frontier.com/Frontier/2012015109,School+Banking+Scheme+as+a+new+Scheme+for+stu dents+.html. </w:t>
      </w:r>
    </w:p>
    <w:p w:rsidR="00F77E79" w:rsidRPr="00161B6C" w:rsidRDefault="00F77E79" w:rsidP="00F77E79">
      <w:pPr>
        <w:spacing w:after="0" w:line="240" w:lineRule="auto"/>
        <w:ind w:left="720" w:hanging="720"/>
        <w:jc w:val="both"/>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rPr>
        <w:t>https://www.dhakatribune.com/business/banks/2020/07/14/deposits-from-school-banking-cross-tk1-700cr</w:t>
      </w:r>
    </w:p>
    <w:p w:rsidR="00F77E79" w:rsidRPr="00161B6C" w:rsidRDefault="00F77E79" w:rsidP="00F77E79">
      <w:pPr>
        <w:spacing w:after="0" w:line="240" w:lineRule="auto"/>
        <w:ind w:left="720" w:hanging="720"/>
        <w:jc w:val="both"/>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rPr>
        <w:t>https://www.thedailystar.net/business/news/school-banking-getting-traction-1882309</w:t>
      </w:r>
    </w:p>
    <w:p w:rsidR="00F77E79" w:rsidRPr="00161B6C" w:rsidRDefault="00F77E79" w:rsidP="00F77E79">
      <w:pPr>
        <w:spacing w:after="0" w:line="240" w:lineRule="auto"/>
        <w:ind w:left="720" w:hanging="720"/>
        <w:jc w:val="both"/>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rPr>
        <w:t>https://www.thefinancialexpress.com.bd/views/school-banking-ensuring-financial-inclusion-since-childhood-1563374228</w:t>
      </w:r>
    </w:p>
    <w:p w:rsidR="00F77E79" w:rsidRPr="00161B6C" w:rsidRDefault="00F77E79" w:rsidP="00F77E79">
      <w:pPr>
        <w:pStyle w:val="Default"/>
        <w:ind w:left="720" w:hanging="720"/>
        <w:jc w:val="both"/>
        <w:rPr>
          <w:color w:val="000000" w:themeColor="text1"/>
          <w:sz w:val="23"/>
          <w:szCs w:val="23"/>
        </w:rPr>
      </w:pPr>
      <w:r w:rsidRPr="00161B6C">
        <w:rPr>
          <w:color w:val="000000" w:themeColor="text1"/>
          <w:sz w:val="23"/>
          <w:szCs w:val="23"/>
        </w:rPr>
        <w:t xml:space="preserve">Kamruzzaman, M., (2018), </w:t>
      </w:r>
      <w:r w:rsidRPr="00161B6C">
        <w:rPr>
          <w:i/>
          <w:color w:val="000000" w:themeColor="text1"/>
          <w:sz w:val="23"/>
          <w:szCs w:val="23"/>
        </w:rPr>
        <w:t>Theory and practices of banking</w:t>
      </w:r>
      <w:r w:rsidRPr="00161B6C">
        <w:rPr>
          <w:color w:val="000000" w:themeColor="text1"/>
          <w:sz w:val="23"/>
          <w:szCs w:val="23"/>
        </w:rPr>
        <w:t>, (1</w:t>
      </w:r>
      <w:r w:rsidRPr="00161B6C">
        <w:rPr>
          <w:color w:val="000000" w:themeColor="text1"/>
          <w:sz w:val="23"/>
          <w:szCs w:val="23"/>
          <w:vertAlign w:val="superscript"/>
        </w:rPr>
        <w:t>st</w:t>
      </w:r>
      <w:r w:rsidRPr="00161B6C">
        <w:rPr>
          <w:color w:val="000000" w:themeColor="text1"/>
          <w:sz w:val="23"/>
          <w:szCs w:val="23"/>
        </w:rPr>
        <w:t xml:space="preserve"> Ed.) Abir Publications, Dhaka, 65-66.</w:t>
      </w:r>
    </w:p>
    <w:p w:rsidR="00F77E79" w:rsidRPr="00161B6C" w:rsidRDefault="00F77E79" w:rsidP="00F77E79">
      <w:pPr>
        <w:pStyle w:val="Default"/>
        <w:ind w:left="720" w:hanging="720"/>
        <w:jc w:val="both"/>
        <w:rPr>
          <w:color w:val="000000" w:themeColor="text1"/>
          <w:sz w:val="23"/>
          <w:szCs w:val="23"/>
        </w:rPr>
      </w:pPr>
      <w:r w:rsidRPr="00161B6C">
        <w:rPr>
          <w:color w:val="000000" w:themeColor="text1"/>
          <w:sz w:val="23"/>
          <w:szCs w:val="23"/>
        </w:rPr>
        <w:t>Maheswari, S.N.,</w:t>
      </w:r>
      <w:r w:rsidRPr="00161B6C">
        <w:rPr>
          <w:color w:val="000000" w:themeColor="text1"/>
          <w:sz w:val="23"/>
          <w:szCs w:val="23"/>
          <w:shd w:val="clear" w:color="auto" w:fill="FFFFFF"/>
        </w:rPr>
        <w:t xml:space="preserve"> &amp;</w:t>
      </w:r>
      <w:r w:rsidRPr="00161B6C">
        <w:rPr>
          <w:color w:val="000000" w:themeColor="text1"/>
          <w:sz w:val="23"/>
          <w:szCs w:val="23"/>
        </w:rPr>
        <w:t xml:space="preserve"> Maheswari, S.K., (2002), </w:t>
      </w:r>
      <w:r w:rsidRPr="00161B6C">
        <w:rPr>
          <w:i/>
          <w:color w:val="000000" w:themeColor="text1"/>
          <w:sz w:val="23"/>
          <w:szCs w:val="23"/>
        </w:rPr>
        <w:t>Banking Law and practices</w:t>
      </w:r>
      <w:r w:rsidRPr="00161B6C">
        <w:rPr>
          <w:color w:val="000000" w:themeColor="text1"/>
          <w:sz w:val="23"/>
          <w:szCs w:val="23"/>
        </w:rPr>
        <w:t>, (11</w:t>
      </w:r>
      <w:r w:rsidRPr="00161B6C">
        <w:rPr>
          <w:color w:val="000000" w:themeColor="text1"/>
          <w:sz w:val="23"/>
          <w:szCs w:val="23"/>
          <w:vertAlign w:val="superscript"/>
        </w:rPr>
        <w:t>th</w:t>
      </w:r>
      <w:r w:rsidRPr="00161B6C">
        <w:rPr>
          <w:color w:val="000000" w:themeColor="text1"/>
          <w:sz w:val="23"/>
          <w:szCs w:val="23"/>
        </w:rPr>
        <w:t xml:space="preserve"> </w:t>
      </w:r>
      <w:proofErr w:type="gramStart"/>
      <w:r w:rsidRPr="00161B6C">
        <w:rPr>
          <w:color w:val="000000" w:themeColor="text1"/>
          <w:sz w:val="23"/>
          <w:szCs w:val="23"/>
        </w:rPr>
        <w:t>ed</w:t>
      </w:r>
      <w:proofErr w:type="gramEnd"/>
      <w:r w:rsidRPr="00161B6C">
        <w:rPr>
          <w:color w:val="000000" w:themeColor="text1"/>
          <w:sz w:val="23"/>
          <w:szCs w:val="23"/>
        </w:rPr>
        <w:t>). Kalyani Publishers, Delhi, 8-10.</w:t>
      </w:r>
    </w:p>
    <w:p w:rsidR="00F77E79" w:rsidRPr="00161B6C" w:rsidRDefault="00F77E79" w:rsidP="00F77E79">
      <w:pPr>
        <w:spacing w:after="0" w:line="240" w:lineRule="auto"/>
        <w:ind w:left="720" w:hanging="720"/>
        <w:jc w:val="both"/>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shd w:val="clear" w:color="auto" w:fill="FFFFFF"/>
        </w:rPr>
        <w:t>Mahmud, S. (2018). Scope of Financial Literacy through School Banking: The Case of Bangladesh.</w:t>
      </w:r>
    </w:p>
    <w:p w:rsidR="00F77E79" w:rsidRPr="00161B6C" w:rsidRDefault="00F77E79" w:rsidP="00F77E79">
      <w:pPr>
        <w:spacing w:after="0" w:line="240" w:lineRule="auto"/>
        <w:ind w:left="720" w:hanging="720"/>
        <w:jc w:val="both"/>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shd w:val="clear" w:color="auto" w:fill="FFFFFF"/>
        </w:rPr>
        <w:t>Mondal, U., Hossain, M. S., &amp; Khan, M. A. M. (2015). School banking: a new idea of banking operation in Bangladesh. </w:t>
      </w:r>
      <w:r w:rsidRPr="00161B6C">
        <w:rPr>
          <w:rFonts w:ascii="Times New Roman" w:hAnsi="Times New Roman" w:cs="Times New Roman"/>
          <w:i/>
          <w:iCs/>
          <w:color w:val="000000" w:themeColor="text1"/>
          <w:sz w:val="23"/>
          <w:szCs w:val="23"/>
          <w:shd w:val="clear" w:color="auto" w:fill="FFFFFF"/>
        </w:rPr>
        <w:t>International Journal of Science and Research</w:t>
      </w:r>
      <w:r w:rsidRPr="00161B6C">
        <w:rPr>
          <w:rFonts w:ascii="Times New Roman" w:hAnsi="Times New Roman" w:cs="Times New Roman"/>
          <w:color w:val="000000" w:themeColor="text1"/>
          <w:sz w:val="23"/>
          <w:szCs w:val="23"/>
          <w:shd w:val="clear" w:color="auto" w:fill="FFFFFF"/>
        </w:rPr>
        <w:t>, </w:t>
      </w:r>
      <w:r w:rsidRPr="00161B6C">
        <w:rPr>
          <w:rFonts w:ascii="Times New Roman" w:hAnsi="Times New Roman" w:cs="Times New Roman"/>
          <w:i/>
          <w:iCs/>
          <w:color w:val="000000" w:themeColor="text1"/>
          <w:sz w:val="23"/>
          <w:szCs w:val="23"/>
          <w:shd w:val="clear" w:color="auto" w:fill="FFFFFF"/>
        </w:rPr>
        <w:t>4</w:t>
      </w:r>
      <w:r w:rsidRPr="00161B6C">
        <w:rPr>
          <w:rFonts w:ascii="Times New Roman" w:hAnsi="Times New Roman" w:cs="Times New Roman"/>
          <w:color w:val="000000" w:themeColor="text1"/>
          <w:sz w:val="23"/>
          <w:szCs w:val="23"/>
          <w:shd w:val="clear" w:color="auto" w:fill="FFFFFF"/>
        </w:rPr>
        <w:t>(11), 1926-1931.</w:t>
      </w:r>
    </w:p>
    <w:p w:rsidR="00F77E79" w:rsidRPr="00161B6C" w:rsidRDefault="00F77E79" w:rsidP="00F77E79">
      <w:pPr>
        <w:spacing w:after="0" w:line="240" w:lineRule="auto"/>
        <w:ind w:left="720" w:hanging="720"/>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rPr>
        <w:t>Quarterly Report on No-Frill Accounts (April-June). (2020). Financial Inclusion Department, Bangladesh Bank. https://www.bb.org.bd/en/index.php/publication/publictn/2/62</w:t>
      </w:r>
    </w:p>
    <w:p w:rsidR="00F77E79" w:rsidRPr="00161B6C" w:rsidRDefault="00F77E79" w:rsidP="00F77E79">
      <w:pPr>
        <w:spacing w:after="0" w:line="240" w:lineRule="auto"/>
        <w:ind w:left="720" w:hanging="720"/>
        <w:jc w:val="both"/>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shd w:val="clear" w:color="auto" w:fill="FFFFFF"/>
        </w:rPr>
        <w:t>Rabbany, G. Islam. D. and Sadia. FT (2015). An Overview of School Banking Program: Its Problems, Prospects and Acceptability (A Case Study on Janata Bank Limited Shyamoli Corporate Branch). </w:t>
      </w:r>
      <w:r w:rsidRPr="00161B6C">
        <w:rPr>
          <w:rFonts w:ascii="Times New Roman" w:hAnsi="Times New Roman" w:cs="Times New Roman"/>
          <w:i/>
          <w:iCs/>
          <w:color w:val="000000" w:themeColor="text1"/>
          <w:sz w:val="23"/>
          <w:szCs w:val="23"/>
          <w:shd w:val="clear" w:color="auto" w:fill="FFFFFF"/>
        </w:rPr>
        <w:t>International Journal of Economics, Finance and Management Sciences</w:t>
      </w:r>
      <w:r w:rsidRPr="00161B6C">
        <w:rPr>
          <w:rFonts w:ascii="Times New Roman" w:hAnsi="Times New Roman" w:cs="Times New Roman"/>
          <w:color w:val="000000" w:themeColor="text1"/>
          <w:sz w:val="23"/>
          <w:szCs w:val="23"/>
          <w:shd w:val="clear" w:color="auto" w:fill="FFFFFF"/>
        </w:rPr>
        <w:t>, </w:t>
      </w:r>
      <w:r w:rsidRPr="00161B6C">
        <w:rPr>
          <w:rFonts w:ascii="Times New Roman" w:hAnsi="Times New Roman" w:cs="Times New Roman"/>
          <w:i/>
          <w:iCs/>
          <w:color w:val="000000" w:themeColor="text1"/>
          <w:sz w:val="23"/>
          <w:szCs w:val="23"/>
          <w:shd w:val="clear" w:color="auto" w:fill="FFFFFF"/>
        </w:rPr>
        <w:t>3</w:t>
      </w:r>
      <w:r w:rsidRPr="00161B6C">
        <w:rPr>
          <w:rFonts w:ascii="Times New Roman" w:hAnsi="Times New Roman" w:cs="Times New Roman"/>
          <w:color w:val="000000" w:themeColor="text1"/>
          <w:sz w:val="23"/>
          <w:szCs w:val="23"/>
          <w:shd w:val="clear" w:color="auto" w:fill="FFFFFF"/>
        </w:rPr>
        <w:t>(6), 685-694.</w:t>
      </w:r>
    </w:p>
    <w:p w:rsidR="00F77E79" w:rsidRPr="00161B6C" w:rsidRDefault="00F77E79" w:rsidP="00F77E79">
      <w:pPr>
        <w:spacing w:after="0" w:line="240" w:lineRule="auto"/>
        <w:ind w:left="720" w:hanging="720"/>
        <w:jc w:val="both"/>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shd w:val="clear" w:color="auto" w:fill="FFFFFF"/>
        </w:rPr>
        <w:t>Sarker, S. A., &amp; Foysal, T. Y. (2018).</w:t>
      </w:r>
      <w:r w:rsidRPr="00161B6C">
        <w:rPr>
          <w:color w:val="000000" w:themeColor="text1"/>
          <w:sz w:val="23"/>
          <w:szCs w:val="23"/>
        </w:rPr>
        <w:t xml:space="preserve"> </w:t>
      </w:r>
      <w:r w:rsidRPr="00161B6C">
        <w:rPr>
          <w:rFonts w:ascii="Times New Roman" w:hAnsi="Times New Roman" w:cs="Times New Roman"/>
          <w:color w:val="000000" w:themeColor="text1"/>
          <w:sz w:val="23"/>
          <w:szCs w:val="23"/>
          <w:shd w:val="clear" w:color="auto" w:fill="FFFFFF"/>
        </w:rPr>
        <w:t>Contemporary Financial Services in Bangladesh: Case Study on School Banking. </w:t>
      </w:r>
      <w:r w:rsidRPr="00161B6C">
        <w:rPr>
          <w:rFonts w:ascii="Times New Roman" w:hAnsi="Times New Roman" w:cs="Times New Roman"/>
          <w:i/>
          <w:iCs/>
          <w:color w:val="000000" w:themeColor="text1"/>
          <w:sz w:val="23"/>
          <w:szCs w:val="23"/>
          <w:shd w:val="clear" w:color="auto" w:fill="FFFFFF"/>
        </w:rPr>
        <w:t>The cost and management</w:t>
      </w:r>
      <w:r w:rsidRPr="00161B6C">
        <w:rPr>
          <w:rFonts w:ascii="Times New Roman" w:hAnsi="Times New Roman" w:cs="Times New Roman"/>
          <w:color w:val="000000" w:themeColor="text1"/>
          <w:sz w:val="23"/>
          <w:szCs w:val="23"/>
          <w:shd w:val="clear" w:color="auto" w:fill="FFFFFF"/>
        </w:rPr>
        <w:t>, </w:t>
      </w:r>
      <w:r w:rsidRPr="00161B6C">
        <w:rPr>
          <w:rFonts w:ascii="Times New Roman" w:hAnsi="Times New Roman" w:cs="Times New Roman"/>
          <w:i/>
          <w:iCs/>
          <w:color w:val="000000" w:themeColor="text1"/>
          <w:sz w:val="23"/>
          <w:szCs w:val="23"/>
          <w:shd w:val="clear" w:color="auto" w:fill="FFFFFF"/>
        </w:rPr>
        <w:t>46</w:t>
      </w:r>
      <w:r w:rsidRPr="00161B6C">
        <w:rPr>
          <w:rFonts w:ascii="Times New Roman" w:hAnsi="Times New Roman" w:cs="Times New Roman"/>
          <w:color w:val="000000" w:themeColor="text1"/>
          <w:sz w:val="23"/>
          <w:szCs w:val="23"/>
          <w:shd w:val="clear" w:color="auto" w:fill="FFFFFF"/>
        </w:rPr>
        <w:t xml:space="preserve">(2).37-44. </w:t>
      </w:r>
      <w:r w:rsidRPr="00161B6C">
        <w:rPr>
          <w:rFonts w:ascii="Times New Roman" w:hAnsi="Times New Roman" w:cs="Times New Roman"/>
          <w:color w:val="000000" w:themeColor="text1"/>
          <w:sz w:val="23"/>
          <w:szCs w:val="23"/>
        </w:rPr>
        <w:tab/>
      </w:r>
    </w:p>
    <w:p w:rsidR="00F77E79" w:rsidRPr="00161B6C" w:rsidRDefault="00F77E79" w:rsidP="00F77E79">
      <w:pPr>
        <w:spacing w:after="0" w:line="240" w:lineRule="auto"/>
        <w:ind w:left="720" w:hanging="720"/>
        <w:jc w:val="both"/>
        <w:rPr>
          <w:rFonts w:ascii="Times New Roman" w:hAnsi="Times New Roman" w:cs="Times New Roman"/>
          <w:i/>
          <w:color w:val="000000" w:themeColor="text1"/>
          <w:sz w:val="23"/>
          <w:szCs w:val="23"/>
        </w:rPr>
      </w:pPr>
      <w:r w:rsidRPr="00161B6C">
        <w:rPr>
          <w:rFonts w:ascii="Times New Roman" w:hAnsi="Times New Roman" w:cs="Times New Roman"/>
          <w:color w:val="000000" w:themeColor="text1"/>
          <w:sz w:val="23"/>
          <w:szCs w:val="23"/>
          <w:shd w:val="clear" w:color="auto" w:fill="FFFFFF"/>
        </w:rPr>
        <w:t>Sultana, M., Hossain, M. J., &amp; Banu, M. L. A. (2020). School Banking: Concept, Contribution and Prospect: The Perspective of Dutch Bangla Bank Ltd. (DBBL).</w:t>
      </w:r>
      <w:r w:rsidRPr="00161B6C">
        <w:rPr>
          <w:rFonts w:ascii="Times New Roman" w:hAnsi="Times New Roman" w:cs="Times New Roman"/>
          <w:color w:val="000000" w:themeColor="text1"/>
          <w:sz w:val="23"/>
          <w:szCs w:val="23"/>
        </w:rPr>
        <w:t xml:space="preserve"> </w:t>
      </w:r>
      <w:r w:rsidRPr="00161B6C">
        <w:rPr>
          <w:rFonts w:ascii="Times New Roman" w:hAnsi="Times New Roman" w:cs="Times New Roman"/>
          <w:i/>
          <w:color w:val="000000" w:themeColor="text1"/>
          <w:sz w:val="23"/>
          <w:szCs w:val="23"/>
        </w:rPr>
        <w:t>European Journal of Business and Management, 12</w:t>
      </w:r>
      <w:r w:rsidRPr="00161B6C">
        <w:rPr>
          <w:rFonts w:ascii="Times New Roman" w:hAnsi="Times New Roman" w:cs="Times New Roman"/>
          <w:color w:val="000000" w:themeColor="text1"/>
          <w:sz w:val="23"/>
          <w:szCs w:val="23"/>
        </w:rPr>
        <w:t>(6), 70-81.</w:t>
      </w:r>
    </w:p>
    <w:p w:rsidR="00F77E79" w:rsidRPr="00161B6C" w:rsidRDefault="00F77E79" w:rsidP="00F77E79">
      <w:pPr>
        <w:spacing w:after="0" w:line="240" w:lineRule="auto"/>
        <w:ind w:left="720" w:hanging="720"/>
        <w:jc w:val="both"/>
        <w:rPr>
          <w:rFonts w:ascii="Times New Roman" w:hAnsi="Times New Roman" w:cs="Times New Roman"/>
          <w:color w:val="000000" w:themeColor="text1"/>
          <w:sz w:val="23"/>
          <w:szCs w:val="23"/>
        </w:rPr>
      </w:pPr>
      <w:r w:rsidRPr="00161B6C">
        <w:rPr>
          <w:rFonts w:ascii="Times New Roman" w:hAnsi="Times New Roman" w:cs="Times New Roman"/>
          <w:color w:val="000000" w:themeColor="text1"/>
          <w:sz w:val="23"/>
          <w:szCs w:val="23"/>
        </w:rPr>
        <w:t>Uddin, A. Z. (2020, March 18). </w:t>
      </w:r>
      <w:r w:rsidRPr="00161B6C">
        <w:rPr>
          <w:rFonts w:ascii="Times New Roman" w:hAnsi="Times New Roman" w:cs="Times New Roman"/>
          <w:i/>
          <w:iCs/>
          <w:color w:val="000000" w:themeColor="text1"/>
          <w:sz w:val="23"/>
          <w:szCs w:val="23"/>
        </w:rPr>
        <w:t>School banking getting traction</w:t>
      </w:r>
      <w:r w:rsidRPr="00161B6C">
        <w:rPr>
          <w:rFonts w:ascii="Times New Roman" w:hAnsi="Times New Roman" w:cs="Times New Roman"/>
          <w:color w:val="000000" w:themeColor="text1"/>
          <w:sz w:val="23"/>
          <w:szCs w:val="23"/>
        </w:rPr>
        <w:t> [Review of </w:t>
      </w:r>
      <w:r w:rsidRPr="00161B6C">
        <w:rPr>
          <w:rFonts w:ascii="Times New Roman" w:hAnsi="Times New Roman" w:cs="Times New Roman"/>
          <w:i/>
          <w:iCs/>
          <w:color w:val="000000" w:themeColor="text1"/>
          <w:sz w:val="23"/>
          <w:szCs w:val="23"/>
        </w:rPr>
        <w:t>School banking getting traction</w:t>
      </w:r>
      <w:r w:rsidRPr="00161B6C">
        <w:rPr>
          <w:rFonts w:ascii="Times New Roman" w:hAnsi="Times New Roman" w:cs="Times New Roman"/>
          <w:color w:val="000000" w:themeColor="text1"/>
          <w:sz w:val="23"/>
          <w:szCs w:val="23"/>
        </w:rPr>
        <w:t>]. The Daily Star. Retrieved January 25, 2021 from</w:t>
      </w:r>
    </w:p>
    <w:p w:rsidR="0002243F" w:rsidRPr="00161B6C" w:rsidRDefault="0002243F" w:rsidP="00067537">
      <w:pPr>
        <w:spacing w:after="0" w:line="240" w:lineRule="auto"/>
        <w:rPr>
          <w:rFonts w:ascii="Times New Roman" w:hAnsi="Times New Roman" w:cs="Times New Roman"/>
          <w:color w:val="000000" w:themeColor="text1"/>
          <w:sz w:val="24"/>
        </w:rPr>
      </w:pPr>
    </w:p>
    <w:p w:rsidR="0002243F" w:rsidRPr="00161B6C" w:rsidRDefault="0002243F" w:rsidP="00067537">
      <w:pPr>
        <w:spacing w:after="0" w:line="240" w:lineRule="auto"/>
        <w:rPr>
          <w:rFonts w:ascii="Times New Roman" w:hAnsi="Times New Roman" w:cs="Times New Roman"/>
          <w:color w:val="000000" w:themeColor="text1"/>
          <w:sz w:val="24"/>
        </w:rPr>
      </w:pPr>
    </w:p>
    <w:p w:rsidR="002B48FE" w:rsidRPr="00161B6C" w:rsidRDefault="002B48FE" w:rsidP="00067537">
      <w:pPr>
        <w:spacing w:after="0" w:line="240" w:lineRule="auto"/>
        <w:rPr>
          <w:rFonts w:ascii="Times New Roman" w:hAnsi="Times New Roman" w:cs="Times New Roman"/>
          <w:color w:val="000000" w:themeColor="text1"/>
          <w:sz w:val="24"/>
        </w:rPr>
      </w:pPr>
    </w:p>
    <w:sectPr w:rsidR="002B48FE" w:rsidRPr="00161B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E0" w:rsidRDefault="00893DE0" w:rsidP="004F799E">
      <w:pPr>
        <w:spacing w:after="0" w:line="240" w:lineRule="auto"/>
      </w:pPr>
      <w:r>
        <w:separator/>
      </w:r>
    </w:p>
  </w:endnote>
  <w:endnote w:type="continuationSeparator" w:id="0">
    <w:p w:rsidR="00893DE0" w:rsidRDefault="00893DE0" w:rsidP="004F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116831"/>
      <w:docPartObj>
        <w:docPartGallery w:val="Page Numbers (Bottom of Page)"/>
        <w:docPartUnique/>
      </w:docPartObj>
    </w:sdtPr>
    <w:sdtEndPr>
      <w:rPr>
        <w:noProof/>
      </w:rPr>
    </w:sdtEndPr>
    <w:sdtContent>
      <w:p w:rsidR="00BE60DE" w:rsidRDefault="00BE60DE">
        <w:pPr>
          <w:pStyle w:val="Footer"/>
          <w:jc w:val="center"/>
        </w:pPr>
        <w:r>
          <w:fldChar w:fldCharType="begin"/>
        </w:r>
        <w:r>
          <w:instrText xml:space="preserve"> PAGE   \* MERGEFORMAT </w:instrText>
        </w:r>
        <w:r>
          <w:fldChar w:fldCharType="separate"/>
        </w:r>
        <w:r w:rsidR="00E2203B">
          <w:rPr>
            <w:noProof/>
          </w:rPr>
          <w:t>11</w:t>
        </w:r>
        <w:r>
          <w:rPr>
            <w:noProof/>
          </w:rPr>
          <w:fldChar w:fldCharType="end"/>
        </w:r>
      </w:p>
    </w:sdtContent>
  </w:sdt>
  <w:p w:rsidR="00BE60DE" w:rsidRDefault="00BE6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E0" w:rsidRDefault="00893DE0" w:rsidP="004F799E">
      <w:pPr>
        <w:spacing w:after="0" w:line="240" w:lineRule="auto"/>
      </w:pPr>
      <w:r>
        <w:separator/>
      </w:r>
    </w:p>
  </w:footnote>
  <w:footnote w:type="continuationSeparator" w:id="0">
    <w:p w:rsidR="00893DE0" w:rsidRDefault="00893DE0" w:rsidP="004F7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04EE"/>
    <w:multiLevelType w:val="hybridMultilevel"/>
    <w:tmpl w:val="A1EC5474"/>
    <w:lvl w:ilvl="0" w:tplc="31E22B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66ECE"/>
    <w:multiLevelType w:val="hybridMultilevel"/>
    <w:tmpl w:val="C3681218"/>
    <w:lvl w:ilvl="0" w:tplc="828EF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E7EB5"/>
    <w:multiLevelType w:val="multilevel"/>
    <w:tmpl w:val="86B0794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773FB8"/>
    <w:multiLevelType w:val="hybridMultilevel"/>
    <w:tmpl w:val="0BC6FC86"/>
    <w:lvl w:ilvl="0" w:tplc="23DAB344">
      <w:start w:val="1"/>
      <w:numFmt w:val="lowerRoman"/>
      <w:lvlText w:val="%1."/>
      <w:lvlJc w:val="right"/>
      <w:pPr>
        <w:ind w:left="15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B68A7"/>
    <w:multiLevelType w:val="multilevel"/>
    <w:tmpl w:val="19FE8C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2E5E3E"/>
    <w:multiLevelType w:val="multilevel"/>
    <w:tmpl w:val="944CB7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2244028"/>
    <w:multiLevelType w:val="hybridMultilevel"/>
    <w:tmpl w:val="55565FBC"/>
    <w:lvl w:ilvl="0" w:tplc="CC5C9BE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F10838"/>
    <w:multiLevelType w:val="hybridMultilevel"/>
    <w:tmpl w:val="0F128FC2"/>
    <w:lvl w:ilvl="0" w:tplc="0409001B">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613C60"/>
    <w:multiLevelType w:val="multilevel"/>
    <w:tmpl w:val="DD98BB0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AB82D2F"/>
    <w:multiLevelType w:val="hybridMultilevel"/>
    <w:tmpl w:val="F17CDAD0"/>
    <w:lvl w:ilvl="0" w:tplc="E730D5E8">
      <w:start w:val="1"/>
      <w:numFmt w:val="lowerRoman"/>
      <w:lvlText w:val="%1."/>
      <w:lvlJc w:val="right"/>
      <w:pPr>
        <w:ind w:left="117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7"/>
  </w:num>
  <w:num w:numId="3">
    <w:abstractNumId w:val="1"/>
  </w:num>
  <w:num w:numId="4">
    <w:abstractNumId w:val="5"/>
  </w:num>
  <w:num w:numId="5">
    <w:abstractNumId w:val="2"/>
  </w:num>
  <w:num w:numId="6">
    <w:abstractNumId w:val="8"/>
  </w:num>
  <w:num w:numId="7">
    <w:abstractNumId w:val="4"/>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52"/>
    <w:rsid w:val="000108DD"/>
    <w:rsid w:val="000123EE"/>
    <w:rsid w:val="000138E5"/>
    <w:rsid w:val="0002243F"/>
    <w:rsid w:val="000311BF"/>
    <w:rsid w:val="00031819"/>
    <w:rsid w:val="00046E51"/>
    <w:rsid w:val="000553E5"/>
    <w:rsid w:val="00067537"/>
    <w:rsid w:val="0007672A"/>
    <w:rsid w:val="000813C9"/>
    <w:rsid w:val="00084B59"/>
    <w:rsid w:val="00092064"/>
    <w:rsid w:val="000945C1"/>
    <w:rsid w:val="000B28F5"/>
    <w:rsid w:val="000B4C18"/>
    <w:rsid w:val="000B55F3"/>
    <w:rsid w:val="000C74B9"/>
    <w:rsid w:val="000C7CBE"/>
    <w:rsid w:val="000D2AEA"/>
    <w:rsid w:val="000D72E4"/>
    <w:rsid w:val="000E1BDF"/>
    <w:rsid w:val="000E31F2"/>
    <w:rsid w:val="00101575"/>
    <w:rsid w:val="00107B0D"/>
    <w:rsid w:val="00111D2C"/>
    <w:rsid w:val="00117E55"/>
    <w:rsid w:val="001237D6"/>
    <w:rsid w:val="00127D67"/>
    <w:rsid w:val="00133C69"/>
    <w:rsid w:val="00157BD2"/>
    <w:rsid w:val="00161B6C"/>
    <w:rsid w:val="00172390"/>
    <w:rsid w:val="00172993"/>
    <w:rsid w:val="00172D4C"/>
    <w:rsid w:val="00174CB5"/>
    <w:rsid w:val="00192589"/>
    <w:rsid w:val="00195505"/>
    <w:rsid w:val="001A0A5F"/>
    <w:rsid w:val="001A2DCC"/>
    <w:rsid w:val="001B7959"/>
    <w:rsid w:val="001D0A11"/>
    <w:rsid w:val="001D2D14"/>
    <w:rsid w:val="001D32F5"/>
    <w:rsid w:val="001D614A"/>
    <w:rsid w:val="001E0C2D"/>
    <w:rsid w:val="001E153B"/>
    <w:rsid w:val="001F1083"/>
    <w:rsid w:val="001F778D"/>
    <w:rsid w:val="00214EF9"/>
    <w:rsid w:val="00224719"/>
    <w:rsid w:val="00234391"/>
    <w:rsid w:val="002355BA"/>
    <w:rsid w:val="00246C97"/>
    <w:rsid w:val="00250DC6"/>
    <w:rsid w:val="002520EF"/>
    <w:rsid w:val="00255DBF"/>
    <w:rsid w:val="00264909"/>
    <w:rsid w:val="002715D1"/>
    <w:rsid w:val="00293ADC"/>
    <w:rsid w:val="0029567C"/>
    <w:rsid w:val="0029674B"/>
    <w:rsid w:val="002B48FE"/>
    <w:rsid w:val="002B72EE"/>
    <w:rsid w:val="002C1EBC"/>
    <w:rsid w:val="002C6A57"/>
    <w:rsid w:val="002D72AB"/>
    <w:rsid w:val="002E1071"/>
    <w:rsid w:val="002E6224"/>
    <w:rsid w:val="002E7039"/>
    <w:rsid w:val="00300193"/>
    <w:rsid w:val="003015CF"/>
    <w:rsid w:val="00311756"/>
    <w:rsid w:val="003344AD"/>
    <w:rsid w:val="003415C5"/>
    <w:rsid w:val="003507ED"/>
    <w:rsid w:val="00360725"/>
    <w:rsid w:val="00377A51"/>
    <w:rsid w:val="00385E17"/>
    <w:rsid w:val="00396753"/>
    <w:rsid w:val="003B3C0F"/>
    <w:rsid w:val="003B5262"/>
    <w:rsid w:val="003D2348"/>
    <w:rsid w:val="003E052A"/>
    <w:rsid w:val="003E702E"/>
    <w:rsid w:val="003F3F5C"/>
    <w:rsid w:val="003F519D"/>
    <w:rsid w:val="004006D3"/>
    <w:rsid w:val="00414C35"/>
    <w:rsid w:val="00417CC8"/>
    <w:rsid w:val="004224AF"/>
    <w:rsid w:val="00422D2B"/>
    <w:rsid w:val="004303D7"/>
    <w:rsid w:val="00433294"/>
    <w:rsid w:val="00481231"/>
    <w:rsid w:val="004A7F0F"/>
    <w:rsid w:val="004B4C45"/>
    <w:rsid w:val="004C2E9A"/>
    <w:rsid w:val="004E5183"/>
    <w:rsid w:val="004F7361"/>
    <w:rsid w:val="004F799E"/>
    <w:rsid w:val="00514B05"/>
    <w:rsid w:val="0052325A"/>
    <w:rsid w:val="00523901"/>
    <w:rsid w:val="0052668C"/>
    <w:rsid w:val="0052707A"/>
    <w:rsid w:val="0055720B"/>
    <w:rsid w:val="005667F3"/>
    <w:rsid w:val="005704C6"/>
    <w:rsid w:val="005732B2"/>
    <w:rsid w:val="005737D5"/>
    <w:rsid w:val="00573C23"/>
    <w:rsid w:val="005775EB"/>
    <w:rsid w:val="00581AA9"/>
    <w:rsid w:val="005865EA"/>
    <w:rsid w:val="00592847"/>
    <w:rsid w:val="00597D8A"/>
    <w:rsid w:val="005A46B2"/>
    <w:rsid w:val="005B4C20"/>
    <w:rsid w:val="005B5C19"/>
    <w:rsid w:val="005D372A"/>
    <w:rsid w:val="005E1539"/>
    <w:rsid w:val="005E2CBB"/>
    <w:rsid w:val="005E6B52"/>
    <w:rsid w:val="005E6D05"/>
    <w:rsid w:val="005F044B"/>
    <w:rsid w:val="005F2E9F"/>
    <w:rsid w:val="005F5B58"/>
    <w:rsid w:val="006029FD"/>
    <w:rsid w:val="00643854"/>
    <w:rsid w:val="00654772"/>
    <w:rsid w:val="00672DE1"/>
    <w:rsid w:val="006A1B9B"/>
    <w:rsid w:val="006A2BF6"/>
    <w:rsid w:val="006B22D8"/>
    <w:rsid w:val="006B7F7C"/>
    <w:rsid w:val="006D071F"/>
    <w:rsid w:val="006D3629"/>
    <w:rsid w:val="006D5C6F"/>
    <w:rsid w:val="006D7D13"/>
    <w:rsid w:val="006E0D39"/>
    <w:rsid w:val="0070095F"/>
    <w:rsid w:val="00705DBE"/>
    <w:rsid w:val="007079BD"/>
    <w:rsid w:val="007160FA"/>
    <w:rsid w:val="00727A91"/>
    <w:rsid w:val="0075015F"/>
    <w:rsid w:val="00750F92"/>
    <w:rsid w:val="00754A97"/>
    <w:rsid w:val="0076131B"/>
    <w:rsid w:val="0076139F"/>
    <w:rsid w:val="007628B4"/>
    <w:rsid w:val="00783F0D"/>
    <w:rsid w:val="00794E89"/>
    <w:rsid w:val="007A6311"/>
    <w:rsid w:val="007C6A78"/>
    <w:rsid w:val="007C7C9D"/>
    <w:rsid w:val="007E3F8D"/>
    <w:rsid w:val="007E6CA1"/>
    <w:rsid w:val="007F0F44"/>
    <w:rsid w:val="007F3F9D"/>
    <w:rsid w:val="007F7D18"/>
    <w:rsid w:val="008029F8"/>
    <w:rsid w:val="00821FD5"/>
    <w:rsid w:val="0082490B"/>
    <w:rsid w:val="008253CC"/>
    <w:rsid w:val="008257A9"/>
    <w:rsid w:val="008332C4"/>
    <w:rsid w:val="0083379F"/>
    <w:rsid w:val="008355F4"/>
    <w:rsid w:val="00844FC0"/>
    <w:rsid w:val="008536B7"/>
    <w:rsid w:val="008538AD"/>
    <w:rsid w:val="0085399D"/>
    <w:rsid w:val="008554FD"/>
    <w:rsid w:val="008767B5"/>
    <w:rsid w:val="00893DE0"/>
    <w:rsid w:val="008B23B7"/>
    <w:rsid w:val="008B5477"/>
    <w:rsid w:val="008C0C5A"/>
    <w:rsid w:val="008D0310"/>
    <w:rsid w:val="008D0831"/>
    <w:rsid w:val="008E2D69"/>
    <w:rsid w:val="008E6788"/>
    <w:rsid w:val="008F0803"/>
    <w:rsid w:val="008F5FC2"/>
    <w:rsid w:val="008F7C82"/>
    <w:rsid w:val="009075AB"/>
    <w:rsid w:val="0090773C"/>
    <w:rsid w:val="00911AD8"/>
    <w:rsid w:val="00923A3B"/>
    <w:rsid w:val="00923D89"/>
    <w:rsid w:val="00925611"/>
    <w:rsid w:val="009257A3"/>
    <w:rsid w:val="0093008A"/>
    <w:rsid w:val="00942C43"/>
    <w:rsid w:val="00946AA3"/>
    <w:rsid w:val="0096766B"/>
    <w:rsid w:val="009823BF"/>
    <w:rsid w:val="00983CAD"/>
    <w:rsid w:val="00984726"/>
    <w:rsid w:val="009850BC"/>
    <w:rsid w:val="009A2C24"/>
    <w:rsid w:val="009B167C"/>
    <w:rsid w:val="009B4C89"/>
    <w:rsid w:val="009C33A9"/>
    <w:rsid w:val="009D1D6C"/>
    <w:rsid w:val="009D5FC5"/>
    <w:rsid w:val="009D6F69"/>
    <w:rsid w:val="009D7B31"/>
    <w:rsid w:val="009E22D4"/>
    <w:rsid w:val="009E3ACE"/>
    <w:rsid w:val="00A24E32"/>
    <w:rsid w:val="00A255A0"/>
    <w:rsid w:val="00A276A0"/>
    <w:rsid w:val="00A33497"/>
    <w:rsid w:val="00A51156"/>
    <w:rsid w:val="00A60F4B"/>
    <w:rsid w:val="00A61718"/>
    <w:rsid w:val="00A62D30"/>
    <w:rsid w:val="00A8377B"/>
    <w:rsid w:val="00AA281E"/>
    <w:rsid w:val="00AA6B2E"/>
    <w:rsid w:val="00AB476B"/>
    <w:rsid w:val="00AC3D23"/>
    <w:rsid w:val="00B07A05"/>
    <w:rsid w:val="00B14FAC"/>
    <w:rsid w:val="00B2346E"/>
    <w:rsid w:val="00B32D89"/>
    <w:rsid w:val="00B46B04"/>
    <w:rsid w:val="00B56FC3"/>
    <w:rsid w:val="00B71BCE"/>
    <w:rsid w:val="00B9075F"/>
    <w:rsid w:val="00B917C9"/>
    <w:rsid w:val="00BE60DE"/>
    <w:rsid w:val="00BE72DC"/>
    <w:rsid w:val="00BF0F5A"/>
    <w:rsid w:val="00BF77F7"/>
    <w:rsid w:val="00C013D6"/>
    <w:rsid w:val="00C118FE"/>
    <w:rsid w:val="00C26D14"/>
    <w:rsid w:val="00C32DBD"/>
    <w:rsid w:val="00C440AB"/>
    <w:rsid w:val="00C6533D"/>
    <w:rsid w:val="00C728B5"/>
    <w:rsid w:val="00C83256"/>
    <w:rsid w:val="00C83570"/>
    <w:rsid w:val="00C858FF"/>
    <w:rsid w:val="00C86B12"/>
    <w:rsid w:val="00C9045C"/>
    <w:rsid w:val="00C95763"/>
    <w:rsid w:val="00CC1E8F"/>
    <w:rsid w:val="00CC383E"/>
    <w:rsid w:val="00CC4C3F"/>
    <w:rsid w:val="00CD0466"/>
    <w:rsid w:val="00CD06C1"/>
    <w:rsid w:val="00CD0FE3"/>
    <w:rsid w:val="00CD4BB5"/>
    <w:rsid w:val="00CD4F1E"/>
    <w:rsid w:val="00CE3DF1"/>
    <w:rsid w:val="00CF2F65"/>
    <w:rsid w:val="00CF5370"/>
    <w:rsid w:val="00CF6C26"/>
    <w:rsid w:val="00D06C98"/>
    <w:rsid w:val="00D22D2F"/>
    <w:rsid w:val="00D26156"/>
    <w:rsid w:val="00D36A5B"/>
    <w:rsid w:val="00D44B6C"/>
    <w:rsid w:val="00D5392A"/>
    <w:rsid w:val="00D65873"/>
    <w:rsid w:val="00D7529B"/>
    <w:rsid w:val="00D85E39"/>
    <w:rsid w:val="00D86BE5"/>
    <w:rsid w:val="00D926A7"/>
    <w:rsid w:val="00D97A70"/>
    <w:rsid w:val="00DA039E"/>
    <w:rsid w:val="00DA3458"/>
    <w:rsid w:val="00DD3FA5"/>
    <w:rsid w:val="00DD7106"/>
    <w:rsid w:val="00DD73B3"/>
    <w:rsid w:val="00DD7D47"/>
    <w:rsid w:val="00DE0C29"/>
    <w:rsid w:val="00E1469A"/>
    <w:rsid w:val="00E16550"/>
    <w:rsid w:val="00E1665B"/>
    <w:rsid w:val="00E2203B"/>
    <w:rsid w:val="00E235A4"/>
    <w:rsid w:val="00E242BD"/>
    <w:rsid w:val="00E25282"/>
    <w:rsid w:val="00E2556C"/>
    <w:rsid w:val="00E31CFB"/>
    <w:rsid w:val="00E35C64"/>
    <w:rsid w:val="00E41B3A"/>
    <w:rsid w:val="00E5181A"/>
    <w:rsid w:val="00E5373A"/>
    <w:rsid w:val="00E60D80"/>
    <w:rsid w:val="00E67BE9"/>
    <w:rsid w:val="00E705F8"/>
    <w:rsid w:val="00E710DF"/>
    <w:rsid w:val="00E76FBF"/>
    <w:rsid w:val="00E82C12"/>
    <w:rsid w:val="00E83A37"/>
    <w:rsid w:val="00E83D30"/>
    <w:rsid w:val="00EA4E18"/>
    <w:rsid w:val="00EB10F0"/>
    <w:rsid w:val="00EB4121"/>
    <w:rsid w:val="00EC0738"/>
    <w:rsid w:val="00EE10F5"/>
    <w:rsid w:val="00EE288D"/>
    <w:rsid w:val="00EE4C6B"/>
    <w:rsid w:val="00EF1736"/>
    <w:rsid w:val="00EF4850"/>
    <w:rsid w:val="00EF5D0F"/>
    <w:rsid w:val="00F14A6E"/>
    <w:rsid w:val="00F234C1"/>
    <w:rsid w:val="00F32213"/>
    <w:rsid w:val="00F362E2"/>
    <w:rsid w:val="00F405FE"/>
    <w:rsid w:val="00F45B20"/>
    <w:rsid w:val="00F6678C"/>
    <w:rsid w:val="00F71307"/>
    <w:rsid w:val="00F73527"/>
    <w:rsid w:val="00F77E79"/>
    <w:rsid w:val="00F85E0A"/>
    <w:rsid w:val="00F90267"/>
    <w:rsid w:val="00F9363F"/>
    <w:rsid w:val="00FA6D91"/>
    <w:rsid w:val="00FB444B"/>
    <w:rsid w:val="00FC4832"/>
    <w:rsid w:val="00FE6D56"/>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EC48E-118B-40E7-BB26-01D1532B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F3"/>
  </w:style>
  <w:style w:type="paragraph" w:styleId="Heading3">
    <w:name w:val="heading 3"/>
    <w:basedOn w:val="Normal"/>
    <w:next w:val="Normal"/>
    <w:link w:val="Heading3Char"/>
    <w:uiPriority w:val="9"/>
    <w:unhideWhenUsed/>
    <w:qFormat/>
    <w:rsid w:val="00107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C69"/>
    <w:rPr>
      <w:color w:val="0563C1" w:themeColor="hyperlink"/>
      <w:u w:val="single"/>
    </w:rPr>
  </w:style>
  <w:style w:type="paragraph" w:styleId="ListParagraph">
    <w:name w:val="List Paragraph"/>
    <w:basedOn w:val="Normal"/>
    <w:uiPriority w:val="34"/>
    <w:qFormat/>
    <w:rsid w:val="00E31CFB"/>
    <w:pPr>
      <w:spacing w:after="200" w:line="276" w:lineRule="auto"/>
      <w:ind w:left="720"/>
      <w:contextualSpacing/>
    </w:pPr>
  </w:style>
  <w:style w:type="table" w:styleId="TableGrid">
    <w:name w:val="Table Grid"/>
    <w:basedOn w:val="TableNormal"/>
    <w:uiPriority w:val="39"/>
    <w:rsid w:val="00E2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FC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F7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9E"/>
  </w:style>
  <w:style w:type="paragraph" w:styleId="Footer">
    <w:name w:val="footer"/>
    <w:basedOn w:val="Normal"/>
    <w:link w:val="FooterChar"/>
    <w:uiPriority w:val="99"/>
    <w:unhideWhenUsed/>
    <w:rsid w:val="004F7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9E"/>
  </w:style>
  <w:style w:type="character" w:styleId="Emphasis">
    <w:name w:val="Emphasis"/>
    <w:basedOn w:val="DefaultParagraphFont"/>
    <w:uiPriority w:val="20"/>
    <w:qFormat/>
    <w:rsid w:val="004A7F0F"/>
    <w:rPr>
      <w:i/>
      <w:iCs/>
    </w:rPr>
  </w:style>
  <w:style w:type="character" w:customStyle="1" w:styleId="httpswwwbborgbdenindexphppublicationpublictn02">
    <w:name w:val="https://www.bb.org.bd/en/index.php/publication/publictn/0/2"/>
    <w:basedOn w:val="DefaultParagraphFont"/>
    <w:rsid w:val="004A7F0F"/>
  </w:style>
  <w:style w:type="character" w:customStyle="1" w:styleId="Heading3Char">
    <w:name w:val="Heading 3 Char"/>
    <w:basedOn w:val="DefaultParagraphFont"/>
    <w:link w:val="Heading3"/>
    <w:uiPriority w:val="9"/>
    <w:rsid w:val="00107B0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24">
      <w:bodyDiv w:val="1"/>
      <w:marLeft w:val="0"/>
      <w:marRight w:val="0"/>
      <w:marTop w:val="0"/>
      <w:marBottom w:val="0"/>
      <w:divBdr>
        <w:top w:val="none" w:sz="0" w:space="0" w:color="auto"/>
        <w:left w:val="none" w:sz="0" w:space="0" w:color="auto"/>
        <w:bottom w:val="none" w:sz="0" w:space="0" w:color="auto"/>
        <w:right w:val="none" w:sz="0" w:space="0" w:color="auto"/>
      </w:divBdr>
    </w:div>
    <w:div w:id="228612660">
      <w:bodyDiv w:val="1"/>
      <w:marLeft w:val="0"/>
      <w:marRight w:val="0"/>
      <w:marTop w:val="0"/>
      <w:marBottom w:val="0"/>
      <w:divBdr>
        <w:top w:val="none" w:sz="0" w:space="0" w:color="auto"/>
        <w:left w:val="none" w:sz="0" w:space="0" w:color="auto"/>
        <w:bottom w:val="none" w:sz="0" w:space="0" w:color="auto"/>
        <w:right w:val="none" w:sz="0" w:space="0" w:color="auto"/>
      </w:divBdr>
    </w:div>
    <w:div w:id="358432961">
      <w:bodyDiv w:val="1"/>
      <w:marLeft w:val="0"/>
      <w:marRight w:val="0"/>
      <w:marTop w:val="0"/>
      <w:marBottom w:val="0"/>
      <w:divBdr>
        <w:top w:val="none" w:sz="0" w:space="0" w:color="auto"/>
        <w:left w:val="none" w:sz="0" w:space="0" w:color="auto"/>
        <w:bottom w:val="none" w:sz="0" w:space="0" w:color="auto"/>
        <w:right w:val="none" w:sz="0" w:space="0" w:color="auto"/>
      </w:divBdr>
    </w:div>
    <w:div w:id="566190943">
      <w:bodyDiv w:val="1"/>
      <w:marLeft w:val="0"/>
      <w:marRight w:val="0"/>
      <w:marTop w:val="0"/>
      <w:marBottom w:val="0"/>
      <w:divBdr>
        <w:top w:val="none" w:sz="0" w:space="0" w:color="auto"/>
        <w:left w:val="none" w:sz="0" w:space="0" w:color="auto"/>
        <w:bottom w:val="none" w:sz="0" w:space="0" w:color="auto"/>
        <w:right w:val="none" w:sz="0" w:space="0" w:color="auto"/>
      </w:divBdr>
    </w:div>
    <w:div w:id="588271603">
      <w:bodyDiv w:val="1"/>
      <w:marLeft w:val="0"/>
      <w:marRight w:val="0"/>
      <w:marTop w:val="0"/>
      <w:marBottom w:val="0"/>
      <w:divBdr>
        <w:top w:val="none" w:sz="0" w:space="0" w:color="auto"/>
        <w:left w:val="none" w:sz="0" w:space="0" w:color="auto"/>
        <w:bottom w:val="none" w:sz="0" w:space="0" w:color="auto"/>
        <w:right w:val="none" w:sz="0" w:space="0" w:color="auto"/>
      </w:divBdr>
      <w:divsChild>
        <w:div w:id="100417906">
          <w:marLeft w:val="0"/>
          <w:marRight w:val="0"/>
          <w:marTop w:val="0"/>
          <w:marBottom w:val="150"/>
          <w:divBdr>
            <w:top w:val="none" w:sz="0" w:space="0" w:color="auto"/>
            <w:left w:val="none" w:sz="0" w:space="0" w:color="auto"/>
            <w:bottom w:val="none" w:sz="0" w:space="0" w:color="auto"/>
            <w:right w:val="none" w:sz="0" w:space="0" w:color="auto"/>
          </w:divBdr>
        </w:div>
        <w:div w:id="1427966991">
          <w:marLeft w:val="300"/>
          <w:marRight w:val="0"/>
          <w:marTop w:val="0"/>
          <w:marBottom w:val="300"/>
          <w:divBdr>
            <w:top w:val="none" w:sz="0" w:space="0" w:color="auto"/>
            <w:left w:val="none" w:sz="0" w:space="0" w:color="auto"/>
            <w:bottom w:val="none" w:sz="0" w:space="0" w:color="auto"/>
            <w:right w:val="none" w:sz="0" w:space="0" w:color="auto"/>
          </w:divBdr>
        </w:div>
      </w:divsChild>
    </w:div>
    <w:div w:id="814227683">
      <w:bodyDiv w:val="1"/>
      <w:marLeft w:val="0"/>
      <w:marRight w:val="0"/>
      <w:marTop w:val="0"/>
      <w:marBottom w:val="0"/>
      <w:divBdr>
        <w:top w:val="none" w:sz="0" w:space="0" w:color="auto"/>
        <w:left w:val="none" w:sz="0" w:space="0" w:color="auto"/>
        <w:bottom w:val="none" w:sz="0" w:space="0" w:color="auto"/>
        <w:right w:val="none" w:sz="0" w:space="0" w:color="auto"/>
      </w:divBdr>
    </w:div>
    <w:div w:id="866337200">
      <w:bodyDiv w:val="1"/>
      <w:marLeft w:val="0"/>
      <w:marRight w:val="0"/>
      <w:marTop w:val="0"/>
      <w:marBottom w:val="0"/>
      <w:divBdr>
        <w:top w:val="none" w:sz="0" w:space="0" w:color="auto"/>
        <w:left w:val="none" w:sz="0" w:space="0" w:color="auto"/>
        <w:bottom w:val="none" w:sz="0" w:space="0" w:color="auto"/>
        <w:right w:val="none" w:sz="0" w:space="0" w:color="auto"/>
      </w:divBdr>
    </w:div>
    <w:div w:id="875118548">
      <w:bodyDiv w:val="1"/>
      <w:marLeft w:val="0"/>
      <w:marRight w:val="0"/>
      <w:marTop w:val="0"/>
      <w:marBottom w:val="0"/>
      <w:divBdr>
        <w:top w:val="none" w:sz="0" w:space="0" w:color="auto"/>
        <w:left w:val="none" w:sz="0" w:space="0" w:color="auto"/>
        <w:bottom w:val="none" w:sz="0" w:space="0" w:color="auto"/>
        <w:right w:val="none" w:sz="0" w:space="0" w:color="auto"/>
      </w:divBdr>
    </w:div>
    <w:div w:id="1026636754">
      <w:bodyDiv w:val="1"/>
      <w:marLeft w:val="0"/>
      <w:marRight w:val="0"/>
      <w:marTop w:val="0"/>
      <w:marBottom w:val="0"/>
      <w:divBdr>
        <w:top w:val="none" w:sz="0" w:space="0" w:color="auto"/>
        <w:left w:val="none" w:sz="0" w:space="0" w:color="auto"/>
        <w:bottom w:val="none" w:sz="0" w:space="0" w:color="auto"/>
        <w:right w:val="none" w:sz="0" w:space="0" w:color="auto"/>
      </w:divBdr>
      <w:divsChild>
        <w:div w:id="2021201996">
          <w:marLeft w:val="0"/>
          <w:marRight w:val="0"/>
          <w:marTop w:val="0"/>
          <w:marBottom w:val="150"/>
          <w:divBdr>
            <w:top w:val="none" w:sz="0" w:space="0" w:color="auto"/>
            <w:left w:val="none" w:sz="0" w:space="0" w:color="auto"/>
            <w:bottom w:val="none" w:sz="0" w:space="0" w:color="auto"/>
            <w:right w:val="none" w:sz="0" w:space="0" w:color="auto"/>
          </w:divBdr>
        </w:div>
        <w:div w:id="1022897237">
          <w:marLeft w:val="300"/>
          <w:marRight w:val="0"/>
          <w:marTop w:val="0"/>
          <w:marBottom w:val="300"/>
          <w:divBdr>
            <w:top w:val="none" w:sz="0" w:space="0" w:color="auto"/>
            <w:left w:val="none" w:sz="0" w:space="0" w:color="auto"/>
            <w:bottom w:val="none" w:sz="0" w:space="0" w:color="auto"/>
            <w:right w:val="none" w:sz="0" w:space="0" w:color="auto"/>
          </w:divBdr>
        </w:div>
      </w:divsChild>
    </w:div>
    <w:div w:id="1027481955">
      <w:bodyDiv w:val="1"/>
      <w:marLeft w:val="0"/>
      <w:marRight w:val="0"/>
      <w:marTop w:val="0"/>
      <w:marBottom w:val="0"/>
      <w:divBdr>
        <w:top w:val="none" w:sz="0" w:space="0" w:color="auto"/>
        <w:left w:val="none" w:sz="0" w:space="0" w:color="auto"/>
        <w:bottom w:val="none" w:sz="0" w:space="0" w:color="auto"/>
        <w:right w:val="none" w:sz="0" w:space="0" w:color="auto"/>
      </w:divBdr>
    </w:div>
    <w:div w:id="1446541911">
      <w:bodyDiv w:val="1"/>
      <w:marLeft w:val="0"/>
      <w:marRight w:val="0"/>
      <w:marTop w:val="0"/>
      <w:marBottom w:val="0"/>
      <w:divBdr>
        <w:top w:val="none" w:sz="0" w:space="0" w:color="auto"/>
        <w:left w:val="none" w:sz="0" w:space="0" w:color="auto"/>
        <w:bottom w:val="none" w:sz="0" w:space="0" w:color="auto"/>
        <w:right w:val="none" w:sz="0" w:space="0" w:color="auto"/>
      </w:divBdr>
    </w:div>
    <w:div w:id="1800687010">
      <w:bodyDiv w:val="1"/>
      <w:marLeft w:val="0"/>
      <w:marRight w:val="0"/>
      <w:marTop w:val="0"/>
      <w:marBottom w:val="0"/>
      <w:divBdr>
        <w:top w:val="none" w:sz="0" w:space="0" w:color="auto"/>
        <w:left w:val="none" w:sz="0" w:space="0" w:color="auto"/>
        <w:bottom w:val="none" w:sz="0" w:space="0" w:color="auto"/>
        <w:right w:val="none" w:sz="0" w:space="0" w:color="auto"/>
      </w:divBdr>
    </w:div>
    <w:div w:id="18056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org.bd/en/index.php/publication/publictn/0/2" TargetMode="Externa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Fig.1.1, Number</a:t>
            </a:r>
            <a:r>
              <a:rPr lang="en-US" sz="1200" baseline="0">
                <a:latin typeface="Times New Roman" panose="02020603050405020304" pitchFamily="18" charset="0"/>
                <a:cs typeface="Times New Roman" panose="02020603050405020304" pitchFamily="18" charset="0"/>
              </a:rPr>
              <a:t> of school banking accounts u</a:t>
            </a:r>
            <a:r>
              <a:rPr lang="en-US" sz="1200">
                <a:latin typeface="Times New Roman" panose="02020603050405020304" pitchFamily="18" charset="0"/>
                <a:cs typeface="Times New Roman" panose="02020603050405020304" pitchFamily="18" charset="0"/>
              </a:rPr>
              <a:t>p to   December, 2011</a:t>
            </a:r>
          </a:p>
        </c:rich>
      </c:tx>
      <c:layout>
        <c:manualLayout>
          <c:xMode val="edge"/>
          <c:yMode val="edge"/>
          <c:x val="0.16771753849240184"/>
          <c:y val="3.8095238095238095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Sheet3!$A$3:$A$6</c:f>
              <c:strCache>
                <c:ptCount val="4"/>
                <c:pt idx="0">
                  <c:v>State-owned Commercial Banks(SCB)</c:v>
                </c:pt>
                <c:pt idx="1">
                  <c:v>Specialized Banks(SB)</c:v>
                </c:pt>
                <c:pt idx="2">
                  <c:v>Private Commercial Banks(PCB)</c:v>
                </c:pt>
                <c:pt idx="3">
                  <c:v>Foreign Commercial Banks(FCB)</c:v>
                </c:pt>
              </c:strCache>
            </c:strRef>
          </c:cat>
          <c:val>
            <c:numRef>
              <c:f>Sheet3!$B$3:$B$6</c:f>
            </c:numRef>
          </c:val>
          <c:extLst>
            <c:ext xmlns:c15="http://schemas.microsoft.com/office/drawing/2012/chart" uri="{02D57815-91ED-43cb-92C2-25804820EDAC}">
              <c15:filteredSeriesTitle>
                <c15:tx>
                  <c:strRef>
                    <c:extLst>
                      <c:ext uri="{02D57815-91ED-43cb-92C2-25804820EDAC}">
                        <c15:formulaRef>
                          <c15:sqref>Sheet3!$B$2</c15:sqref>
                        </c15:formulaRef>
                      </c:ext>
                    </c:extLst>
                    <c:strCache>
                      <c:ptCount val="1"/>
                      <c:pt idx="0">
                        <c:v>Up to   December, 2011</c:v>
                      </c:pt>
                    </c:strCache>
                  </c:strRef>
                </c15:tx>
              </c15:filteredSeriesTitle>
            </c:ext>
          </c:extLst>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40292083859887884"/>
                  <c:y val="0.36935731394231452"/>
                </c:manualLayout>
              </c:layout>
              <c:tx>
                <c:rich>
                  <a:bodyPr/>
                  <a:lstStyle/>
                  <a:p>
                    <a:fld id="{D4FFB6F5-00EF-4B4B-91D8-A42A4D0B5E0A}" type="CATEGORYNAME">
                      <a:rPr lang="en-US"/>
                      <a:pPr/>
                      <a:t>[CATEGORY NAME]</a:t>
                    </a:fld>
                    <a:r>
                      <a:rPr lang="en-US" baseline="0"/>
                      <a:t>, </a:t>
                    </a:r>
                    <a:fld id="{5D5F1267-04A7-492C-BC5C-EF518AC70354}" type="VALUE">
                      <a:rPr lang="en-US" baseline="0"/>
                      <a:pPr/>
                      <a:t>[VALUE]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layout>
                    <c:manualLayout>
                      <c:w val="0.25000388840283849"/>
                      <c:h val="0.26251423490096526"/>
                    </c:manualLayout>
                  </c15:layout>
                  <c15:dlblFieldTable/>
                  <c15:showDataLabelsRange val="0"/>
                </c:ext>
              </c:extLst>
            </c:dLbl>
            <c:dLbl>
              <c:idx val="1"/>
              <c:layout>
                <c:manualLayout>
                  <c:x val="0.22702213149282263"/>
                  <c:y val="8.327797140111581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54445C6-1A13-40B0-9DDD-1849FC9CEA0F}" type="CATEGORYNAME">
                      <a:rPr lang="en-US"/>
                      <a:pPr>
                        <a:defRPr/>
                      </a:pPr>
                      <a:t>[CATEGORY NAME]</a:t>
                    </a:fld>
                    <a:r>
                      <a:rPr lang="en-US" baseline="0"/>
                      <a:t>, </a:t>
                    </a:r>
                    <a:fld id="{3293C569-4A5C-46CF-9323-2BD96EC62CE5}" type="VALUE">
                      <a:rPr lang="en-US" baseline="0"/>
                      <a:pPr>
                        <a:defRPr/>
                      </a:pPr>
                      <a:t>[VALUE]</a:t>
                    </a:fld>
                    <a:r>
                      <a:rPr lang="en-US" baseline="0"/>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24405981659699941"/>
                      <c:h val="0.18562855872524131"/>
                    </c:manualLayout>
                  </c15:layout>
                  <c15:dlblFieldTable/>
                  <c15:showDataLabelsRange val="0"/>
                </c:ext>
              </c:extLst>
            </c:dLbl>
            <c:dLbl>
              <c:idx val="2"/>
              <c:layout>
                <c:manualLayout>
                  <c:x val="0.36426467392212925"/>
                  <c:y val="-0.21621477315335583"/>
                </c:manualLayout>
              </c:layout>
              <c:tx>
                <c:rich>
                  <a:bodyPr/>
                  <a:lstStyle/>
                  <a:p>
                    <a:fld id="{1094403E-A7F7-49CC-B0A3-55E2C99A1396}" type="CATEGORYNAME">
                      <a:rPr lang="en-US"/>
                      <a:pPr/>
                      <a:t>[CATEGORY NAME]</a:t>
                    </a:fld>
                    <a:r>
                      <a:rPr lang="en-US" baseline="0"/>
                      <a:t>, </a:t>
                    </a:r>
                    <a:fld id="{D29BC301-5C0C-47CA-A893-635403635452}" type="VALUE">
                      <a:rPr lang="en-US" baseline="0"/>
                      <a:pPr/>
                      <a:t>[VALUE]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layout>
                    <c:manualLayout>
                      <c:w val="0.29939080863299733"/>
                      <c:h val="0.2625142857142857"/>
                    </c:manualLayout>
                  </c15:layout>
                  <c15:dlblFieldTable/>
                  <c15:showDataLabelsRange val="0"/>
                </c:ext>
              </c:extLst>
            </c:dLbl>
            <c:dLbl>
              <c:idx val="3"/>
              <c:layout>
                <c:manualLayout>
                  <c:x val="-0.28245050387220116"/>
                  <c:y val="9.3514048448861922E-2"/>
                </c:manualLayout>
              </c:layout>
              <c:tx>
                <c:rich>
                  <a:bodyPr/>
                  <a:lstStyle/>
                  <a:p>
                    <a:fld id="{2C2B4DB8-01EB-4129-BE0C-EC8A1DAAF08A}" type="CATEGORYNAME">
                      <a:rPr lang="en-US"/>
                      <a:pPr/>
                      <a:t>[CATEGORY NAME]</a:t>
                    </a:fld>
                    <a:r>
                      <a:rPr lang="en-US" baseline="0"/>
                      <a:t>, </a:t>
                    </a:r>
                    <a:fld id="{702CC3F0-E52E-44FC-8AF9-27E214D5E5CA}" type="VALUE">
                      <a:rPr lang="en-US" baseline="0"/>
                      <a:pPr/>
                      <a:t>[VALUE]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layout>
                    <c:manualLayout>
                      <c:w val="0.38287061339554779"/>
                      <c:h val="0.22066692483111741"/>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Sheet3!$A$3:$A$6</c:f>
              <c:strCache>
                <c:ptCount val="4"/>
                <c:pt idx="0">
                  <c:v>State-owned Commercial Banks(SCB)</c:v>
                </c:pt>
                <c:pt idx="1">
                  <c:v>Specialized Banks(SB)</c:v>
                </c:pt>
                <c:pt idx="2">
                  <c:v>Private Commercial Banks(PCB)</c:v>
                </c:pt>
                <c:pt idx="3">
                  <c:v>Foreign Commercial Banks(FCB)</c:v>
                </c:pt>
              </c:strCache>
            </c:strRef>
          </c:cat>
          <c:val>
            <c:numRef>
              <c:f>Sheet3!$C$3:$C$6</c:f>
              <c:numCache>
                <c:formatCode>0.00</c:formatCode>
                <c:ptCount val="4"/>
                <c:pt idx="0">
                  <c:v>1.2173314993122419</c:v>
                </c:pt>
                <c:pt idx="1">
                  <c:v>2.1905089408528196</c:v>
                </c:pt>
                <c:pt idx="2">
                  <c:v>95.701513067400285</c:v>
                </c:pt>
                <c:pt idx="3">
                  <c:v>0.89064649243466298</c:v>
                </c:pt>
              </c:numCache>
            </c:numRef>
          </c:val>
          <c:extLst>
            <c:ext xmlns:c15="http://schemas.microsoft.com/office/drawing/2012/chart" uri="{02D57815-91ED-43cb-92C2-25804820EDAC}">
              <c15:filteredSeriesTitle>
                <c15:tx>
                  <c:strRef>
                    <c:extLst>
                      <c:ext uri="{02D57815-91ED-43cb-92C2-25804820EDAC}">
                        <c15:formulaRef>
                          <c15:sqref>Sheet3!$C$2</c15:sqref>
                        </c15:formulaRef>
                      </c:ext>
                    </c:extLst>
                    <c:strCache>
                      <c:ptCount val="1"/>
                      <c:pt idx="0">
                        <c:v>Up to   December, 2011</c:v>
                      </c:pt>
                    </c:strCache>
                  </c:strRef>
                </c15:tx>
              </c15:filteredSeriesTitl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200" b="0">
                <a:latin typeface="Times New Roman" panose="02020603050405020304" pitchFamily="18" charset="0"/>
                <a:cs typeface="Times New Roman" panose="02020603050405020304" pitchFamily="18" charset="0"/>
              </a:rPr>
              <a:t>Fig.1.2,</a:t>
            </a:r>
            <a:r>
              <a:rPr lang="en-US" sz="1200" b="0" baseline="0">
                <a:latin typeface="Times New Roman" panose="02020603050405020304" pitchFamily="18" charset="0"/>
                <a:cs typeface="Times New Roman" panose="02020603050405020304" pitchFamily="18" charset="0"/>
              </a:rPr>
              <a:t> </a:t>
            </a:r>
            <a:r>
              <a:rPr lang="en-US" sz="1200" b="0">
                <a:latin typeface="Times New Roman" panose="02020603050405020304" pitchFamily="18" charset="0"/>
                <a:cs typeface="Times New Roman" panose="02020603050405020304" pitchFamily="18" charset="0"/>
              </a:rPr>
              <a:t>Number of School Banking</a:t>
            </a:r>
            <a:r>
              <a:rPr lang="en-US" sz="1200" b="0" baseline="0">
                <a:latin typeface="Times New Roman" panose="02020603050405020304" pitchFamily="18" charset="0"/>
                <a:cs typeface="Times New Roman" panose="02020603050405020304" pitchFamily="18" charset="0"/>
              </a:rPr>
              <a:t> </a:t>
            </a:r>
            <a:r>
              <a:rPr lang="en-US" sz="1200" b="0">
                <a:latin typeface="Times New Roman" panose="02020603050405020304" pitchFamily="18" charset="0"/>
                <a:cs typeface="Times New Roman" panose="02020603050405020304" pitchFamily="18" charset="0"/>
              </a:rPr>
              <a:t>accounts up to June 2020.</a:t>
            </a:r>
          </a:p>
        </c:rich>
      </c:tx>
      <c:layout>
        <c:manualLayout>
          <c:xMode val="edge"/>
          <c:yMode val="edge"/>
          <c:x val="0.11221264008665581"/>
          <c:y val="7.3461891643709825E-3"/>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explosion val="1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6.145896762904645E-2"/>
                  <c:y val="2.481247695277757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5ECEFEA6-842D-4423-A85F-6F966EB8BC8B}" type="CATEGORYNAME">
                      <a:rPr lang="en-US"/>
                      <a:pPr>
                        <a:defRPr/>
                      </a:pPr>
                      <a:t>[CATEGORY NAME]</a:t>
                    </a:fld>
                    <a:r>
                      <a:rPr lang="en-US" baseline="0"/>
                      <a:t>, </a:t>
                    </a:r>
                    <a:fld id="{72AAB0E5-B92B-461F-9C40-E4EACCBCC0B4}" type="VALUE">
                      <a:rPr lang="en-US" baseline="0"/>
                      <a:pPr>
                        <a:defRPr/>
                      </a:pPr>
                      <a:t>[VALUE]</a:t>
                    </a:fld>
                    <a:r>
                      <a:rPr lang="en-US" baseline="0"/>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6530009233610341"/>
                      <c:h val="0.18490740740740741"/>
                    </c:manualLayout>
                  </c15:layout>
                  <c15:dlblFieldTable/>
                  <c15:showDataLabelsRange val="0"/>
                </c:ext>
              </c:extLst>
            </c:dLbl>
            <c:dLbl>
              <c:idx val="1"/>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1669A914-559B-4756-81B1-7CE09DCFBA1B}" type="CATEGORYNAME">
                      <a:rPr lang="en-US"/>
                      <a:pPr>
                        <a:defRPr/>
                      </a:pPr>
                      <a:t>[CATEGORY NAME]</a:t>
                    </a:fld>
                    <a:r>
                      <a:rPr lang="en-US" baseline="0"/>
                      <a:t>, </a:t>
                    </a:r>
                    <a:fld id="{D6831B4A-74D7-4693-B8DC-12ACF4BD5ADF}" type="VALUE">
                      <a:rPr lang="en-US" baseline="0"/>
                      <a:pPr>
                        <a:defRPr/>
                      </a:pPr>
                      <a:t>[VALUE]</a:t>
                    </a:fld>
                    <a:r>
                      <a:rPr lang="en-US" baseline="0"/>
                      <a:t>, %</a:t>
                    </a:r>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dLbl>
              <c:idx val="2"/>
              <c:layout>
                <c:manualLayout>
                  <c:x val="4.329004329004329E-3"/>
                  <c:y val="5.1423324150596875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1CB45A7E-454F-4543-B6CF-7F97B44E2A30}" type="CATEGORYNAME">
                      <a:rPr lang="en-US"/>
                      <a:pPr>
                        <a:defRPr/>
                      </a:pPr>
                      <a:t>[CATEGORY NAME]</a:t>
                    </a:fld>
                    <a:r>
                      <a:rPr lang="en-US" baseline="0"/>
                      <a:t>, </a:t>
                    </a:r>
                    <a:fld id="{A6C96978-4745-4CEC-8DE1-641685B9AA8B}" type="VALUE">
                      <a:rPr lang="en-US" baseline="0"/>
                      <a:pPr>
                        <a:defRPr/>
                      </a:pPr>
                      <a:t>[VALUE]</a:t>
                    </a:fld>
                    <a:r>
                      <a:rPr lang="en-US" baseline="0"/>
                      <a:t>%</a:t>
                    </a:r>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6242424242424245"/>
                      <c:h val="0.2531129476584022"/>
                    </c:manualLayout>
                  </c15:layout>
                  <c15:dlblFieldTable/>
                  <c15:showDataLabelsRange val="0"/>
                </c:ext>
              </c:extLst>
            </c:dLbl>
            <c:dLbl>
              <c:idx val="3"/>
              <c:layout>
                <c:manualLayout>
                  <c:x val="-0.34823754985172306"/>
                  <c:y val="0.1416627260435420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6E9764B5-5B38-4F49-BE25-F652075D3AF3}" type="CATEGORYNAME">
                      <a:rPr lang="en-US"/>
                      <a:pPr>
                        <a:defRPr/>
                      </a:pPr>
                      <a:t>[CATEGORY NAME]</a:t>
                    </a:fld>
                    <a:r>
                      <a:rPr lang="en-US" baseline="0"/>
                      <a:t>, </a:t>
                    </a:r>
                    <a:fld id="{CBDEDF87-27E2-483C-8A25-B17E0AE48A3F}" type="VALUE">
                      <a:rPr lang="en-US" baseline="0"/>
                      <a:pPr>
                        <a:defRPr/>
                      </a:pPr>
                      <a:t>[VALUE]</a:t>
                    </a:fld>
                    <a:r>
                      <a:rPr lang="en-US" baseline="0"/>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2821791320406276"/>
                      <c:h val="0.22194444444444444"/>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1"/>
            <c:showPercent val="1"/>
            <c:showBubbleSize val="0"/>
            <c:showLeaderLines val="0"/>
            <c:extLst>
              <c:ext xmlns:c15="http://schemas.microsoft.com/office/drawing/2012/chart" uri="{CE6537A1-D6FC-4f65-9D91-7224C49458BB}"/>
            </c:extLst>
          </c:dLbls>
          <c:cat>
            <c:strRef>
              <c:f>Sheet3!$A$3:$A$6</c:f>
              <c:strCache>
                <c:ptCount val="4"/>
                <c:pt idx="0">
                  <c:v>State-owned Commercial Banks(SCB)</c:v>
                </c:pt>
                <c:pt idx="1">
                  <c:v>Specialized Banks(SB)</c:v>
                </c:pt>
                <c:pt idx="2">
                  <c:v>Private Commercial Banks(PCB)</c:v>
                </c:pt>
                <c:pt idx="3">
                  <c:v>Foreign Commercial Banks(FCB)</c:v>
                </c:pt>
              </c:strCache>
            </c:strRef>
          </c:cat>
          <c:val>
            <c:numRef>
              <c:f>Sheet3!$E$3:$E$6</c:f>
              <c:numCache>
                <c:formatCode>0.00</c:formatCode>
                <c:ptCount val="4"/>
                <c:pt idx="0">
                  <c:v>25.009561597662778</c:v>
                </c:pt>
                <c:pt idx="1">
                  <c:v>5.8338083288301288</c:v>
                </c:pt>
                <c:pt idx="2">
                  <c:v>69.044564036384244</c:v>
                </c:pt>
                <c:pt idx="3">
                  <c:v>0.11206603712285153</c:v>
                </c:pt>
              </c:numCache>
            </c:numRef>
          </c:val>
        </c:ser>
        <c:dLbls>
          <c:dLblPos val="outEnd"/>
          <c:showLegendKey val="0"/>
          <c:showVal val="0"/>
          <c:showCatName val="0"/>
          <c:showSerName val="0"/>
          <c:showPercent val="1"/>
          <c:showBubbleSize val="0"/>
          <c:showLeaderLines val="0"/>
        </c:dLbls>
        <c:firstSliceAng val="0"/>
      </c:pieChart>
      <c:spPr>
        <a:noFill/>
        <a:ln>
          <a:noFill/>
        </a:ln>
        <a:effectLst/>
      </c:spPr>
    </c:plotArea>
    <c:legend>
      <c:legendPos val="b"/>
      <c:layout>
        <c:manualLayout>
          <c:xMode val="edge"/>
          <c:yMode val="edge"/>
          <c:x val="0.27616422947131608"/>
          <c:y val="0.75390092767329708"/>
          <c:w val="0.72039881378464055"/>
          <c:h val="0.242425977744517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b="1" i="0" baseline="0">
                <a:solidFill>
                  <a:schemeClr val="tx1"/>
                </a:solidFill>
                <a:effectLst/>
                <a:latin typeface="Times New Roman" panose="02020603050405020304" pitchFamily="18" charset="0"/>
                <a:cs typeface="Times New Roman" panose="02020603050405020304" pitchFamily="18" charset="0"/>
              </a:rPr>
              <a:t>Figure 2 : Trend of total deposits of school banking accounts</a:t>
            </a:r>
            <a:endParaRPr lang="en-US" sz="1050" b="1">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22467410323709536"/>
          <c:y val="1.2861736334405145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883370347937277"/>
          <c:y val="0.18208873288429309"/>
          <c:w val="0.83125176660609734"/>
          <c:h val="0.51863947127091037"/>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Sheet2!$H$1:$AG$1</c:f>
              <c:strCache>
                <c:ptCount val="26"/>
                <c:pt idx="0">
                  <c:v>Jan-Mar.2014</c:v>
                </c:pt>
                <c:pt idx="1">
                  <c:v>April-June.2014</c:v>
                </c:pt>
                <c:pt idx="2">
                  <c:v>July-sep.2014</c:v>
                </c:pt>
                <c:pt idx="3">
                  <c:v>Oct-Dec.2014</c:v>
                </c:pt>
                <c:pt idx="4">
                  <c:v>Jan-Mar.2015</c:v>
                </c:pt>
                <c:pt idx="5">
                  <c:v>April-June.2015</c:v>
                </c:pt>
                <c:pt idx="6">
                  <c:v>July-sep.2015</c:v>
                </c:pt>
                <c:pt idx="7">
                  <c:v>Oct-Dec.2015</c:v>
                </c:pt>
                <c:pt idx="8">
                  <c:v>Jan-Mar.2016</c:v>
                </c:pt>
                <c:pt idx="9">
                  <c:v>April-June.2016</c:v>
                </c:pt>
                <c:pt idx="10">
                  <c:v>July-sep.2016</c:v>
                </c:pt>
                <c:pt idx="11">
                  <c:v>Oct-Dec.2016</c:v>
                </c:pt>
                <c:pt idx="12">
                  <c:v>Jan-Mar.2017</c:v>
                </c:pt>
                <c:pt idx="13">
                  <c:v>April-June.2017</c:v>
                </c:pt>
                <c:pt idx="14">
                  <c:v>July-sep.2017</c:v>
                </c:pt>
                <c:pt idx="15">
                  <c:v>Oct-Dec.2017</c:v>
                </c:pt>
                <c:pt idx="16">
                  <c:v>Jan-Mar.2018</c:v>
                </c:pt>
                <c:pt idx="17">
                  <c:v>April-June.2018</c:v>
                </c:pt>
                <c:pt idx="18">
                  <c:v>July-sep.2018</c:v>
                </c:pt>
                <c:pt idx="19">
                  <c:v>Oct-Dec.2018</c:v>
                </c:pt>
                <c:pt idx="20">
                  <c:v>Jan-Mar.2019</c:v>
                </c:pt>
                <c:pt idx="21">
                  <c:v>April-June.2019</c:v>
                </c:pt>
                <c:pt idx="22">
                  <c:v>July-sep.2019</c:v>
                </c:pt>
                <c:pt idx="23">
                  <c:v>Oct-Dec.2019</c:v>
                </c:pt>
                <c:pt idx="24">
                  <c:v>Jan-Mar.2020</c:v>
                </c:pt>
                <c:pt idx="25">
                  <c:v>April-June.2020</c:v>
                </c:pt>
              </c:strCache>
            </c:strRef>
          </c:cat>
          <c:val>
            <c:numRef>
              <c:f>Sheet2!$H$2:$AG$2</c:f>
            </c:numRef>
          </c:val>
          <c:smooth val="0"/>
        </c:ser>
        <c:ser>
          <c:idx val="1"/>
          <c:order val="1"/>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Sheet2!$H$1:$AG$1</c:f>
              <c:strCache>
                <c:ptCount val="26"/>
                <c:pt idx="0">
                  <c:v>Jan-Mar.2014</c:v>
                </c:pt>
                <c:pt idx="1">
                  <c:v>April-June.2014</c:v>
                </c:pt>
                <c:pt idx="2">
                  <c:v>July-sep.2014</c:v>
                </c:pt>
                <c:pt idx="3">
                  <c:v>Oct-Dec.2014</c:v>
                </c:pt>
                <c:pt idx="4">
                  <c:v>Jan-Mar.2015</c:v>
                </c:pt>
                <c:pt idx="5">
                  <c:v>April-June.2015</c:v>
                </c:pt>
                <c:pt idx="6">
                  <c:v>July-sep.2015</c:v>
                </c:pt>
                <c:pt idx="7">
                  <c:v>Oct-Dec.2015</c:v>
                </c:pt>
                <c:pt idx="8">
                  <c:v>Jan-Mar.2016</c:v>
                </c:pt>
                <c:pt idx="9">
                  <c:v>April-June.2016</c:v>
                </c:pt>
                <c:pt idx="10">
                  <c:v>July-sep.2016</c:v>
                </c:pt>
                <c:pt idx="11">
                  <c:v>Oct-Dec.2016</c:v>
                </c:pt>
                <c:pt idx="12">
                  <c:v>Jan-Mar.2017</c:v>
                </c:pt>
                <c:pt idx="13">
                  <c:v>April-June.2017</c:v>
                </c:pt>
                <c:pt idx="14">
                  <c:v>July-sep.2017</c:v>
                </c:pt>
                <c:pt idx="15">
                  <c:v>Oct-Dec.2017</c:v>
                </c:pt>
                <c:pt idx="16">
                  <c:v>Jan-Mar.2018</c:v>
                </c:pt>
                <c:pt idx="17">
                  <c:v>April-June.2018</c:v>
                </c:pt>
                <c:pt idx="18">
                  <c:v>July-sep.2018</c:v>
                </c:pt>
                <c:pt idx="19">
                  <c:v>Oct-Dec.2018</c:v>
                </c:pt>
                <c:pt idx="20">
                  <c:v>Jan-Mar.2019</c:v>
                </c:pt>
                <c:pt idx="21">
                  <c:v>April-June.2019</c:v>
                </c:pt>
                <c:pt idx="22">
                  <c:v>July-sep.2019</c:v>
                </c:pt>
                <c:pt idx="23">
                  <c:v>Oct-Dec.2019</c:v>
                </c:pt>
                <c:pt idx="24">
                  <c:v>Jan-Mar.2020</c:v>
                </c:pt>
                <c:pt idx="25">
                  <c:v>April-June.2020</c:v>
                </c:pt>
              </c:strCache>
            </c:strRef>
          </c:cat>
          <c:val>
            <c:numRef>
              <c:f>Sheet2!$H$3:$AG$3</c:f>
            </c:numRef>
          </c:val>
          <c:smooth val="0"/>
        </c:ser>
        <c:ser>
          <c:idx val="2"/>
          <c:order val="2"/>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Sheet2!$H$1:$AG$1</c:f>
              <c:strCache>
                <c:ptCount val="26"/>
                <c:pt idx="0">
                  <c:v>Jan-Mar.2014</c:v>
                </c:pt>
                <c:pt idx="1">
                  <c:v>April-June.2014</c:v>
                </c:pt>
                <c:pt idx="2">
                  <c:v>July-sep.2014</c:v>
                </c:pt>
                <c:pt idx="3">
                  <c:v>Oct-Dec.2014</c:v>
                </c:pt>
                <c:pt idx="4">
                  <c:v>Jan-Mar.2015</c:v>
                </c:pt>
                <c:pt idx="5">
                  <c:v>April-June.2015</c:v>
                </c:pt>
                <c:pt idx="6">
                  <c:v>July-sep.2015</c:v>
                </c:pt>
                <c:pt idx="7">
                  <c:v>Oct-Dec.2015</c:v>
                </c:pt>
                <c:pt idx="8">
                  <c:v>Jan-Mar.2016</c:v>
                </c:pt>
                <c:pt idx="9">
                  <c:v>April-June.2016</c:v>
                </c:pt>
                <c:pt idx="10">
                  <c:v>July-sep.2016</c:v>
                </c:pt>
                <c:pt idx="11">
                  <c:v>Oct-Dec.2016</c:v>
                </c:pt>
                <c:pt idx="12">
                  <c:v>Jan-Mar.2017</c:v>
                </c:pt>
                <c:pt idx="13">
                  <c:v>April-June.2017</c:v>
                </c:pt>
                <c:pt idx="14">
                  <c:v>July-sep.2017</c:v>
                </c:pt>
                <c:pt idx="15">
                  <c:v>Oct-Dec.2017</c:v>
                </c:pt>
                <c:pt idx="16">
                  <c:v>Jan-Mar.2018</c:v>
                </c:pt>
                <c:pt idx="17">
                  <c:v>April-June.2018</c:v>
                </c:pt>
                <c:pt idx="18">
                  <c:v>July-sep.2018</c:v>
                </c:pt>
                <c:pt idx="19">
                  <c:v>Oct-Dec.2018</c:v>
                </c:pt>
                <c:pt idx="20">
                  <c:v>Jan-Mar.2019</c:v>
                </c:pt>
                <c:pt idx="21">
                  <c:v>April-June.2019</c:v>
                </c:pt>
                <c:pt idx="22">
                  <c:v>July-sep.2019</c:v>
                </c:pt>
                <c:pt idx="23">
                  <c:v>Oct-Dec.2019</c:v>
                </c:pt>
                <c:pt idx="24">
                  <c:v>Jan-Mar.2020</c:v>
                </c:pt>
                <c:pt idx="25">
                  <c:v>April-June.2020</c:v>
                </c:pt>
              </c:strCache>
            </c:strRef>
          </c:cat>
          <c:val>
            <c:numRef>
              <c:f>Sheet2!$H$4:$AG$4</c:f>
            </c:numRef>
          </c:val>
          <c:smooth val="0"/>
        </c:ser>
        <c:ser>
          <c:idx val="3"/>
          <c:order val="3"/>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Sheet2!$H$1:$AG$1</c:f>
              <c:strCache>
                <c:ptCount val="26"/>
                <c:pt idx="0">
                  <c:v>Jan-Mar.2014</c:v>
                </c:pt>
                <c:pt idx="1">
                  <c:v>April-June.2014</c:v>
                </c:pt>
                <c:pt idx="2">
                  <c:v>July-sep.2014</c:v>
                </c:pt>
                <c:pt idx="3">
                  <c:v>Oct-Dec.2014</c:v>
                </c:pt>
                <c:pt idx="4">
                  <c:v>Jan-Mar.2015</c:v>
                </c:pt>
                <c:pt idx="5">
                  <c:v>April-June.2015</c:v>
                </c:pt>
                <c:pt idx="6">
                  <c:v>July-sep.2015</c:v>
                </c:pt>
                <c:pt idx="7">
                  <c:v>Oct-Dec.2015</c:v>
                </c:pt>
                <c:pt idx="8">
                  <c:v>Jan-Mar.2016</c:v>
                </c:pt>
                <c:pt idx="9">
                  <c:v>April-June.2016</c:v>
                </c:pt>
                <c:pt idx="10">
                  <c:v>July-sep.2016</c:v>
                </c:pt>
                <c:pt idx="11">
                  <c:v>Oct-Dec.2016</c:v>
                </c:pt>
                <c:pt idx="12">
                  <c:v>Jan-Mar.2017</c:v>
                </c:pt>
                <c:pt idx="13">
                  <c:v>April-June.2017</c:v>
                </c:pt>
                <c:pt idx="14">
                  <c:v>July-sep.2017</c:v>
                </c:pt>
                <c:pt idx="15">
                  <c:v>Oct-Dec.2017</c:v>
                </c:pt>
                <c:pt idx="16">
                  <c:v>Jan-Mar.2018</c:v>
                </c:pt>
                <c:pt idx="17">
                  <c:v>April-June.2018</c:v>
                </c:pt>
                <c:pt idx="18">
                  <c:v>July-sep.2018</c:v>
                </c:pt>
                <c:pt idx="19">
                  <c:v>Oct-Dec.2018</c:v>
                </c:pt>
                <c:pt idx="20">
                  <c:v>Jan-Mar.2019</c:v>
                </c:pt>
                <c:pt idx="21">
                  <c:v>April-June.2019</c:v>
                </c:pt>
                <c:pt idx="22">
                  <c:v>July-sep.2019</c:v>
                </c:pt>
                <c:pt idx="23">
                  <c:v>Oct-Dec.2019</c:v>
                </c:pt>
                <c:pt idx="24">
                  <c:v>Jan-Mar.2020</c:v>
                </c:pt>
                <c:pt idx="25">
                  <c:v>April-June.2020</c:v>
                </c:pt>
              </c:strCache>
            </c:strRef>
          </c:cat>
          <c:val>
            <c:numRef>
              <c:f>Sheet2!$H$5:$AG$5</c:f>
            </c:numRef>
          </c:val>
          <c:smooth val="0"/>
        </c:ser>
        <c:ser>
          <c:idx val="4"/>
          <c:order val="4"/>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Sheet2!$H$1:$AG$1</c:f>
              <c:strCache>
                <c:ptCount val="26"/>
                <c:pt idx="0">
                  <c:v>Jan-Mar.2014</c:v>
                </c:pt>
                <c:pt idx="1">
                  <c:v>April-June.2014</c:v>
                </c:pt>
                <c:pt idx="2">
                  <c:v>July-sep.2014</c:v>
                </c:pt>
                <c:pt idx="3">
                  <c:v>Oct-Dec.2014</c:v>
                </c:pt>
                <c:pt idx="4">
                  <c:v>Jan-Mar.2015</c:v>
                </c:pt>
                <c:pt idx="5">
                  <c:v>April-June.2015</c:v>
                </c:pt>
                <c:pt idx="6">
                  <c:v>July-sep.2015</c:v>
                </c:pt>
                <c:pt idx="7">
                  <c:v>Oct-Dec.2015</c:v>
                </c:pt>
                <c:pt idx="8">
                  <c:v>Jan-Mar.2016</c:v>
                </c:pt>
                <c:pt idx="9">
                  <c:v>April-June.2016</c:v>
                </c:pt>
                <c:pt idx="10">
                  <c:v>July-sep.2016</c:v>
                </c:pt>
                <c:pt idx="11">
                  <c:v>Oct-Dec.2016</c:v>
                </c:pt>
                <c:pt idx="12">
                  <c:v>Jan-Mar.2017</c:v>
                </c:pt>
                <c:pt idx="13">
                  <c:v>April-June.2017</c:v>
                </c:pt>
                <c:pt idx="14">
                  <c:v>July-sep.2017</c:v>
                </c:pt>
                <c:pt idx="15">
                  <c:v>Oct-Dec.2017</c:v>
                </c:pt>
                <c:pt idx="16">
                  <c:v>Jan-Mar.2018</c:v>
                </c:pt>
                <c:pt idx="17">
                  <c:v>April-June.2018</c:v>
                </c:pt>
                <c:pt idx="18">
                  <c:v>July-sep.2018</c:v>
                </c:pt>
                <c:pt idx="19">
                  <c:v>Oct-Dec.2018</c:v>
                </c:pt>
                <c:pt idx="20">
                  <c:v>Jan-Mar.2019</c:v>
                </c:pt>
                <c:pt idx="21">
                  <c:v>April-June.2019</c:v>
                </c:pt>
                <c:pt idx="22">
                  <c:v>July-sep.2019</c:v>
                </c:pt>
                <c:pt idx="23">
                  <c:v>Oct-Dec.2019</c:v>
                </c:pt>
                <c:pt idx="24">
                  <c:v>Jan-Mar.2020</c:v>
                </c:pt>
                <c:pt idx="25">
                  <c:v>April-June.2020</c:v>
                </c:pt>
              </c:strCache>
            </c:strRef>
          </c:cat>
          <c:val>
            <c:numRef>
              <c:f>Sheet2!$H$6:$AG$6</c:f>
            </c:numRef>
          </c:val>
          <c:smooth val="0"/>
        </c:ser>
        <c:ser>
          <c:idx val="5"/>
          <c:order val="5"/>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trendline>
            <c:spPr>
              <a:ln w="19050" cap="rnd">
                <a:solidFill>
                  <a:schemeClr val="accent5">
                    <a:lumMod val="60000"/>
                  </a:schemeClr>
                </a:solidFill>
                <a:prstDash val="sysDot"/>
              </a:ln>
              <a:effectLst/>
            </c:spPr>
            <c:trendlineType val="linear"/>
            <c:dispRSqr val="0"/>
            <c:dispEq val="0"/>
          </c:trendline>
          <c:errBars>
            <c:errDir val="y"/>
            <c:errBarType val="both"/>
            <c:errValType val="stdErr"/>
            <c:noEndCap val="0"/>
            <c:spPr>
              <a:noFill/>
              <a:ln w="9525" cap="flat" cmpd="sng" algn="ctr">
                <a:solidFill>
                  <a:schemeClr val="tx1">
                    <a:lumMod val="65000"/>
                    <a:lumOff val="35000"/>
                  </a:schemeClr>
                </a:solidFill>
                <a:round/>
              </a:ln>
              <a:effectLst/>
            </c:spPr>
          </c:errBars>
          <c:cat>
            <c:strRef>
              <c:f>Sheet2!$H$1:$AG$1</c:f>
              <c:strCache>
                <c:ptCount val="26"/>
                <c:pt idx="0">
                  <c:v>Jan-Mar.2014</c:v>
                </c:pt>
                <c:pt idx="1">
                  <c:v>April-June.2014</c:v>
                </c:pt>
                <c:pt idx="2">
                  <c:v>July-sep.2014</c:v>
                </c:pt>
                <c:pt idx="3">
                  <c:v>Oct-Dec.2014</c:v>
                </c:pt>
                <c:pt idx="4">
                  <c:v>Jan-Mar.2015</c:v>
                </c:pt>
                <c:pt idx="5">
                  <c:v>April-June.2015</c:v>
                </c:pt>
                <c:pt idx="6">
                  <c:v>July-sep.2015</c:v>
                </c:pt>
                <c:pt idx="7">
                  <c:v>Oct-Dec.2015</c:v>
                </c:pt>
                <c:pt idx="8">
                  <c:v>Jan-Mar.2016</c:v>
                </c:pt>
                <c:pt idx="9">
                  <c:v>April-June.2016</c:v>
                </c:pt>
                <c:pt idx="10">
                  <c:v>July-sep.2016</c:v>
                </c:pt>
                <c:pt idx="11">
                  <c:v>Oct-Dec.2016</c:v>
                </c:pt>
                <c:pt idx="12">
                  <c:v>Jan-Mar.2017</c:v>
                </c:pt>
                <c:pt idx="13">
                  <c:v>April-June.2017</c:v>
                </c:pt>
                <c:pt idx="14">
                  <c:v>July-sep.2017</c:v>
                </c:pt>
                <c:pt idx="15">
                  <c:v>Oct-Dec.2017</c:v>
                </c:pt>
                <c:pt idx="16">
                  <c:v>Jan-Mar.2018</c:v>
                </c:pt>
                <c:pt idx="17">
                  <c:v>April-June.2018</c:v>
                </c:pt>
                <c:pt idx="18">
                  <c:v>July-sep.2018</c:v>
                </c:pt>
                <c:pt idx="19">
                  <c:v>Oct-Dec.2018</c:v>
                </c:pt>
                <c:pt idx="20">
                  <c:v>Jan-Mar.2019</c:v>
                </c:pt>
                <c:pt idx="21">
                  <c:v>April-June.2019</c:v>
                </c:pt>
                <c:pt idx="22">
                  <c:v>July-sep.2019</c:v>
                </c:pt>
                <c:pt idx="23">
                  <c:v>Oct-Dec.2019</c:v>
                </c:pt>
                <c:pt idx="24">
                  <c:v>Jan-Mar.2020</c:v>
                </c:pt>
                <c:pt idx="25">
                  <c:v>April-June.2020</c:v>
                </c:pt>
              </c:strCache>
            </c:strRef>
          </c:cat>
          <c:val>
            <c:numRef>
              <c:f>Sheet2!$H$7:$AG$7</c:f>
              <c:numCache>
                <c:formatCode>General</c:formatCode>
                <c:ptCount val="26"/>
                <c:pt idx="0">
                  <c:v>366254</c:v>
                </c:pt>
                <c:pt idx="1">
                  <c:v>639465</c:v>
                </c:pt>
                <c:pt idx="2">
                  <c:v>794791</c:v>
                </c:pt>
                <c:pt idx="3">
                  <c:v>850303</c:v>
                </c:pt>
                <c:pt idx="4">
                  <c:v>886277</c:v>
                </c:pt>
                <c:pt idx="5">
                  <c:v>904093</c:v>
                </c:pt>
                <c:pt idx="6">
                  <c:v>1003119</c:v>
                </c:pt>
                <c:pt idx="7">
                  <c:v>1034954</c:v>
                </c:pt>
                <c:pt idx="8">
                  <c:v>1066123</c:v>
                </c:pt>
                <c:pt idx="9">
                  <c:v>1182179</c:v>
                </c:pt>
                <c:pt idx="10">
                  <c:v>1255026</c:v>
                </c:pt>
                <c:pt idx="11">
                  <c:v>1257370</c:v>
                </c:pt>
                <c:pt idx="12">
                  <c:v>1374443</c:v>
                </c:pt>
                <c:pt idx="13">
                  <c:v>1334338</c:v>
                </c:pt>
                <c:pt idx="14">
                  <c:v>1387617</c:v>
                </c:pt>
                <c:pt idx="15">
                  <c:v>1453936</c:v>
                </c:pt>
                <c:pt idx="16">
                  <c:v>1461860</c:v>
                </c:pt>
                <c:pt idx="17">
                  <c:v>1539836</c:v>
                </c:pt>
                <c:pt idx="18">
                  <c:v>1609961</c:v>
                </c:pt>
                <c:pt idx="19">
                  <c:v>1818413</c:v>
                </c:pt>
                <c:pt idx="20">
                  <c:v>1954231</c:v>
                </c:pt>
                <c:pt idx="21">
                  <c:v>1996030</c:v>
                </c:pt>
                <c:pt idx="22" formatCode="0;[Red]0">
                  <c:v>1852913</c:v>
                </c:pt>
                <c:pt idx="23">
                  <c:v>1992902</c:v>
                </c:pt>
                <c:pt idx="24">
                  <c:v>2329131</c:v>
                </c:pt>
                <c:pt idx="25">
                  <c:v>2431602</c:v>
                </c:pt>
              </c:numCache>
            </c:numRef>
          </c:val>
          <c:smooth val="0"/>
        </c:ser>
        <c:dLbls>
          <c:showLegendKey val="0"/>
          <c:showVal val="0"/>
          <c:showCatName val="0"/>
          <c:showSerName val="0"/>
          <c:showPercent val="0"/>
          <c:showBubbleSize val="0"/>
        </c:dLbls>
        <c:marker val="1"/>
        <c:smooth val="0"/>
        <c:axId val="-1499470912"/>
        <c:axId val="-1499469824"/>
      </c:lineChart>
      <c:catAx>
        <c:axId val="-1499470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i="0" baseline="0">
                    <a:solidFill>
                      <a:schemeClr val="tx1"/>
                    </a:solidFill>
                    <a:effectLst/>
                  </a:rPr>
                  <a:t>Periods (in quarter)</a:t>
                </a:r>
                <a:endParaRPr lang="en-US" sz="700" b="1">
                  <a:solidFill>
                    <a:schemeClr val="tx1"/>
                  </a:solidFill>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469824"/>
        <c:crosses val="autoZero"/>
        <c:auto val="1"/>
        <c:lblAlgn val="ctr"/>
        <c:lblOffset val="100"/>
        <c:noMultiLvlLbl val="0"/>
      </c:catAx>
      <c:valAx>
        <c:axId val="-1499469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rPr>
                  <a:t>Number of Accounts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470912"/>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Entry>
      <c:layout>
        <c:manualLayout>
          <c:xMode val="edge"/>
          <c:yMode val="edge"/>
          <c:x val="0.62508732081566731"/>
          <c:y val="0.12347266881028938"/>
          <c:w val="0.37375698230028936"/>
          <c:h val="7.23477732486011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400" b="0" i="0" u="none" strike="noStrike" kern="1200" spc="0" baseline="0">
                <a:solidFill>
                  <a:schemeClr val="tx1">
                    <a:lumMod val="65000"/>
                    <a:lumOff val="35000"/>
                  </a:schemeClr>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Figure 3 :Total deposits of</a:t>
            </a:r>
            <a:r>
              <a:rPr lang="en-US" sz="1200" b="1" baseline="0">
                <a:solidFill>
                  <a:schemeClr val="tx1"/>
                </a:solidFill>
                <a:latin typeface="Times New Roman" panose="02020603050405020304" pitchFamily="18" charset="0"/>
                <a:cs typeface="Times New Roman" panose="02020603050405020304" pitchFamily="18" charset="0"/>
              </a:rPr>
              <a:t> School banking accounts</a:t>
            </a:r>
            <a:endParaRPr lang="en-US"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9178864661148126"/>
          <c:y val="1.4385610055623782E-2"/>
        </c:manualLayout>
      </c:layout>
      <c:overlay val="0"/>
      <c:spPr>
        <a:noFill/>
        <a:ln>
          <a:noFill/>
        </a:ln>
        <a:effectLst/>
      </c:spPr>
      <c:txPr>
        <a:bodyPr rot="0" spcFirstLastPara="1" vertOverflow="ellipsis" vert="horz" wrap="square" anchor="ctr" anchorCtr="1"/>
        <a:lstStyle/>
        <a:p>
          <a:pPr algn="just">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errBars>
            <c:errDir val="y"/>
            <c:errBarType val="both"/>
            <c:errValType val="stdErr"/>
            <c:noEndCap val="0"/>
            <c:spPr>
              <a:noFill/>
              <a:ln w="9525" cap="flat" cmpd="sng" algn="ctr">
                <a:solidFill>
                  <a:schemeClr val="tx1">
                    <a:lumMod val="65000"/>
                    <a:lumOff val="35000"/>
                  </a:schemeClr>
                </a:solidFill>
                <a:round/>
              </a:ln>
              <a:effectLst/>
            </c:spPr>
          </c:errBars>
          <c:cat>
            <c:strRef>
              <c:f>Sheet2!$A$21:$A$46</c:f>
              <c:strCache>
                <c:ptCount val="26"/>
                <c:pt idx="0">
                  <c:v>Jan-Mar.2014</c:v>
                </c:pt>
                <c:pt idx="1">
                  <c:v>April-June.2014</c:v>
                </c:pt>
                <c:pt idx="2">
                  <c:v>July-sep.2014</c:v>
                </c:pt>
                <c:pt idx="3">
                  <c:v>Oct-Dec.2014</c:v>
                </c:pt>
                <c:pt idx="4">
                  <c:v>Jan-Mar.2015</c:v>
                </c:pt>
                <c:pt idx="5">
                  <c:v>April-June.2015</c:v>
                </c:pt>
                <c:pt idx="6">
                  <c:v>July-sep.2015</c:v>
                </c:pt>
                <c:pt idx="7">
                  <c:v>Oct-Dec.2015</c:v>
                </c:pt>
                <c:pt idx="8">
                  <c:v>Jan-Mar.2016</c:v>
                </c:pt>
                <c:pt idx="9">
                  <c:v>April-June.2016</c:v>
                </c:pt>
                <c:pt idx="10">
                  <c:v>July-sep.2016</c:v>
                </c:pt>
                <c:pt idx="11">
                  <c:v>Oct-Dec.2016</c:v>
                </c:pt>
                <c:pt idx="12">
                  <c:v>Jan-Mar.2017</c:v>
                </c:pt>
                <c:pt idx="13">
                  <c:v>April-June.2017</c:v>
                </c:pt>
                <c:pt idx="14">
                  <c:v>July-sep.2017</c:v>
                </c:pt>
                <c:pt idx="15">
                  <c:v>Oct-Dec.2017</c:v>
                </c:pt>
                <c:pt idx="16">
                  <c:v>Jan-Mar.2018</c:v>
                </c:pt>
                <c:pt idx="17">
                  <c:v>April-June.2018</c:v>
                </c:pt>
                <c:pt idx="18">
                  <c:v>July-sep.2018</c:v>
                </c:pt>
                <c:pt idx="19">
                  <c:v>Oct-Dec.2018</c:v>
                </c:pt>
                <c:pt idx="20">
                  <c:v>Jan-Mar.2019</c:v>
                </c:pt>
                <c:pt idx="21">
                  <c:v>April-June.2019</c:v>
                </c:pt>
                <c:pt idx="22">
                  <c:v>July-sep.2019</c:v>
                </c:pt>
                <c:pt idx="23">
                  <c:v>Oct-Dec.2019</c:v>
                </c:pt>
                <c:pt idx="24">
                  <c:v>Jan-Mar.2020</c:v>
                </c:pt>
                <c:pt idx="25">
                  <c:v>April-June.2020</c:v>
                </c:pt>
              </c:strCache>
            </c:strRef>
          </c:cat>
          <c:val>
            <c:numRef>
              <c:f>Sheet2!$C$21:$C$46</c:f>
              <c:numCache>
                <c:formatCode>General</c:formatCode>
                <c:ptCount val="26"/>
                <c:pt idx="0">
                  <c:v>367.8</c:v>
                </c:pt>
                <c:pt idx="1">
                  <c:v>407.28999999999996</c:v>
                </c:pt>
                <c:pt idx="2">
                  <c:v>629.12</c:v>
                </c:pt>
                <c:pt idx="3">
                  <c:v>717.49</c:v>
                </c:pt>
                <c:pt idx="4">
                  <c:v>823.04000000000008</c:v>
                </c:pt>
                <c:pt idx="5">
                  <c:v>687.99</c:v>
                </c:pt>
                <c:pt idx="6">
                  <c:v>764.98</c:v>
                </c:pt>
                <c:pt idx="7">
                  <c:v>844.19</c:v>
                </c:pt>
                <c:pt idx="8">
                  <c:v>827.76</c:v>
                </c:pt>
                <c:pt idx="9">
                  <c:v>880.41</c:v>
                </c:pt>
                <c:pt idx="10">
                  <c:v>982.58999999999992</c:v>
                </c:pt>
                <c:pt idx="11">
                  <c:v>1020.79</c:v>
                </c:pt>
                <c:pt idx="12">
                  <c:v>1100.3779999999999</c:v>
                </c:pt>
                <c:pt idx="13">
                  <c:v>1128.73</c:v>
                </c:pt>
                <c:pt idx="14">
                  <c:v>1254.2300000000002</c:v>
                </c:pt>
                <c:pt idx="15">
                  <c:v>1362.9699999999998</c:v>
                </c:pt>
                <c:pt idx="16">
                  <c:v>1441.74</c:v>
                </c:pt>
                <c:pt idx="17">
                  <c:v>1419.8600000000001</c:v>
                </c:pt>
                <c:pt idx="18">
                  <c:v>1428.1500000000003</c:v>
                </c:pt>
                <c:pt idx="19">
                  <c:v>1510.32</c:v>
                </c:pt>
                <c:pt idx="20">
                  <c:v>1546.14</c:v>
                </c:pt>
                <c:pt idx="21">
                  <c:v>1494.3999999999999</c:v>
                </c:pt>
                <c:pt idx="22">
                  <c:v>1541.28</c:v>
                </c:pt>
                <c:pt idx="23">
                  <c:v>1625.61</c:v>
                </c:pt>
                <c:pt idx="24">
                  <c:v>1724.63</c:v>
                </c:pt>
                <c:pt idx="25">
                  <c:v>1762.82</c:v>
                </c:pt>
              </c:numCache>
            </c:numRef>
          </c:val>
          <c:smooth val="0"/>
        </c:ser>
        <c:dLbls>
          <c:showLegendKey val="0"/>
          <c:showVal val="0"/>
          <c:showCatName val="0"/>
          <c:showSerName val="0"/>
          <c:showPercent val="0"/>
          <c:showBubbleSize val="0"/>
        </c:dLbls>
        <c:marker val="1"/>
        <c:smooth val="0"/>
        <c:axId val="-1499482336"/>
        <c:axId val="-1499481792"/>
      </c:lineChart>
      <c:catAx>
        <c:axId val="-1499482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Periods( in quarter</a:t>
                </a:r>
                <a:r>
                  <a:rPr lang="en-US" sz="1200">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481792"/>
        <c:crosses val="autoZero"/>
        <c:auto val="1"/>
        <c:lblAlgn val="ctr"/>
        <c:lblOffset val="100"/>
        <c:noMultiLvlLbl val="0"/>
      </c:catAx>
      <c:valAx>
        <c:axId val="-1499481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Deposits</a:t>
                </a:r>
                <a:r>
                  <a:rPr lang="en-US" sz="1200" b="1" baseline="0">
                    <a:solidFill>
                      <a:schemeClr val="tx1"/>
                    </a:solidFill>
                    <a:latin typeface="Times New Roman" panose="02020603050405020304" pitchFamily="18" charset="0"/>
                    <a:cs typeface="Times New Roman" panose="02020603050405020304" pitchFamily="18" charset="0"/>
                  </a:rPr>
                  <a:t> in crore taka</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482336"/>
        <c:crosses val="autoZero"/>
        <c:crossBetween val="between"/>
      </c:valAx>
      <c:spPr>
        <a:noFill/>
        <a:ln>
          <a:noFill/>
        </a:ln>
        <a:effectLst/>
      </c:spPr>
    </c:plotArea>
    <c:legend>
      <c:legendPos val="t"/>
      <c:layout>
        <c:manualLayout>
          <c:xMode val="edge"/>
          <c:yMode val="edge"/>
          <c:x val="0.62983305093192465"/>
          <c:y val="0.1307608695652174"/>
          <c:w val="0.3690258812585136"/>
          <c:h val="6.11417322834645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11</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2021-02-02T10:53:00Z</dcterms:created>
  <dcterms:modified xsi:type="dcterms:W3CDTF">2021-02-03T12:37:00Z</dcterms:modified>
</cp:coreProperties>
</file>