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B6" w:rsidRDefault="005B2336" w:rsidP="00B03D97">
      <w:pPr>
        <w:jc w:val="center"/>
      </w:pPr>
      <w:r>
        <w:t xml:space="preserve"> </w:t>
      </w:r>
      <w:r w:rsidR="00B03D97">
        <w:t>SARIMA MODELLING OF NIGERIAN BANK PRIME LENDING RATES</w:t>
      </w:r>
    </w:p>
    <w:p w:rsidR="00B03D97" w:rsidRDefault="00B03D97" w:rsidP="00B03D97">
      <w:pPr>
        <w:pStyle w:val="NoSpacing"/>
        <w:jc w:val="center"/>
      </w:pPr>
      <w:r>
        <w:t>Ette Harrison Etuk</w:t>
      </w:r>
    </w:p>
    <w:p w:rsidR="00B03D97" w:rsidRDefault="00B03D97" w:rsidP="00B03D97">
      <w:pPr>
        <w:pStyle w:val="NoSpacing"/>
        <w:jc w:val="center"/>
      </w:pPr>
      <w:r>
        <w:t>Department of Mathematics/Computer Science</w:t>
      </w:r>
    </w:p>
    <w:p w:rsidR="00B03D97" w:rsidRDefault="00B03D97" w:rsidP="00B03D97">
      <w:pPr>
        <w:pStyle w:val="NoSpacing"/>
        <w:jc w:val="center"/>
      </w:pPr>
      <w:r>
        <w:t>Rivers State University of Science and Technology</w:t>
      </w:r>
    </w:p>
    <w:p w:rsidR="00B03D97" w:rsidRDefault="00B03D97" w:rsidP="00B03D97">
      <w:pPr>
        <w:pStyle w:val="NoSpacing"/>
        <w:tabs>
          <w:tab w:val="left" w:pos="1635"/>
        </w:tabs>
        <w:jc w:val="center"/>
      </w:pPr>
      <w:r>
        <w:t>Port Harcourt</w:t>
      </w:r>
    </w:p>
    <w:p w:rsidR="00B03D97" w:rsidRDefault="00B03D97" w:rsidP="00B03D97">
      <w:pPr>
        <w:pStyle w:val="NoSpacing"/>
        <w:jc w:val="center"/>
      </w:pPr>
      <w:r>
        <w:t>Nigeria</w:t>
      </w:r>
    </w:p>
    <w:p w:rsidR="00E40F8B" w:rsidRDefault="00E40F8B" w:rsidP="00B03D97">
      <w:pPr>
        <w:pStyle w:val="NoSpacing"/>
        <w:jc w:val="center"/>
      </w:pPr>
    </w:p>
    <w:p w:rsidR="00B03D97" w:rsidRDefault="001C5AFB" w:rsidP="00B03D97">
      <w:pPr>
        <w:pStyle w:val="NoSpacing"/>
        <w:jc w:val="center"/>
      </w:pPr>
      <w:r>
        <w:t>Uyodhu A</w:t>
      </w:r>
      <w:r w:rsidR="00EF441D">
        <w:t>mekauma</w:t>
      </w:r>
      <w:r w:rsidR="009C2D12">
        <w:t xml:space="preserve"> Victor-Edema</w:t>
      </w:r>
    </w:p>
    <w:p w:rsidR="009C2D12" w:rsidRDefault="009C2D12" w:rsidP="00B03D97">
      <w:pPr>
        <w:pStyle w:val="NoSpacing"/>
        <w:jc w:val="center"/>
      </w:pPr>
      <w:r>
        <w:t>Department of Mathematics/Statistics</w:t>
      </w:r>
    </w:p>
    <w:p w:rsidR="009C2D12" w:rsidRDefault="009C2D12" w:rsidP="00B03D97">
      <w:pPr>
        <w:pStyle w:val="NoSpacing"/>
        <w:jc w:val="center"/>
      </w:pPr>
      <w:r>
        <w:t>Ignatius Ajuru University of Education</w:t>
      </w:r>
    </w:p>
    <w:p w:rsidR="009C2D12" w:rsidRDefault="009C2D12" w:rsidP="00B03D97">
      <w:pPr>
        <w:pStyle w:val="NoSpacing"/>
        <w:jc w:val="center"/>
      </w:pPr>
      <w:r>
        <w:t>Port Harcourt</w:t>
      </w:r>
    </w:p>
    <w:p w:rsidR="009C2D12" w:rsidRDefault="009C2D12" w:rsidP="00B03D97">
      <w:pPr>
        <w:pStyle w:val="NoSpacing"/>
        <w:jc w:val="center"/>
      </w:pPr>
      <w:r>
        <w:t>Nigeria</w:t>
      </w:r>
    </w:p>
    <w:p w:rsidR="00CB51A8" w:rsidRDefault="00CB51A8" w:rsidP="00B03D97">
      <w:pPr>
        <w:pStyle w:val="NoSpacing"/>
        <w:jc w:val="center"/>
      </w:pPr>
    </w:p>
    <w:p w:rsidR="00CB51A8" w:rsidRDefault="00CB51A8" w:rsidP="00B03D97">
      <w:pPr>
        <w:pStyle w:val="NoSpacing"/>
        <w:jc w:val="center"/>
      </w:pPr>
    </w:p>
    <w:p w:rsidR="00CB51A8" w:rsidRDefault="00CB51A8" w:rsidP="00B03D97">
      <w:pPr>
        <w:pStyle w:val="NoSpacing"/>
        <w:jc w:val="center"/>
      </w:pPr>
    </w:p>
    <w:p w:rsidR="00CB51A8" w:rsidRDefault="005D0961" w:rsidP="00CB51A8">
      <w:pPr>
        <w:pStyle w:val="NoSpacing"/>
      </w:pPr>
      <w:r>
        <w:t>ABSTRACT</w:t>
      </w:r>
    </w:p>
    <w:p w:rsidR="005D0961" w:rsidRDefault="00896993" w:rsidP="00CB51A8">
      <w:pPr>
        <w:pStyle w:val="NoSpacing"/>
      </w:pPr>
      <w:r>
        <w:t>The m</w:t>
      </w:r>
      <w:r w:rsidR="005D0961">
        <w:t xml:space="preserve">onthly Prime Lending Rates of Nigerian Banks are modelled herein by SARIMA methods. The realization considered here spans from January 2006 to July 2014. The original series called herein PLR  has a generally horizontal secular trend. Its correlogram </w:t>
      </w:r>
      <w:r w:rsidR="005B2336">
        <w:t>reveals some</w:t>
      </w:r>
      <w:r w:rsidR="005D0961">
        <w:t xml:space="preserve"> </w:t>
      </w:r>
      <w:r w:rsidR="00D56FDC">
        <w:t xml:space="preserve">seasonality </w:t>
      </w:r>
      <w:r w:rsidR="005B2336">
        <w:t>of period 12 months. Moreover preliminary data analysis shows that yearly maximum</w:t>
      </w:r>
      <w:r w:rsidR="00D56FDC">
        <w:t xml:space="preserve">s are mostly between October and the next </w:t>
      </w:r>
      <w:r w:rsidR="005B2336">
        <w:t>March</w:t>
      </w:r>
      <w:r w:rsidR="00D56FDC">
        <w:t xml:space="preserve">, </w:t>
      </w:r>
      <w:r w:rsidR="005B2336">
        <w:t xml:space="preserve"> and the minimums mostly between April </w:t>
      </w:r>
      <w:r w:rsidR="00D56FDC">
        <w:t>and</w:t>
      </w:r>
      <w:r w:rsidR="005B2336">
        <w:t xml:space="preserve"> September. That means that the maximums tend to lie in the first and the fourth quarters of the year and the minimums in the second and the third quarters of the year. That means that the series </w:t>
      </w:r>
      <w:r w:rsidR="00D56FDC">
        <w:t>is</w:t>
      </w:r>
      <w:r w:rsidR="005B2336">
        <w:t xml:space="preserve"> seasonal of 12 monthly period. </w:t>
      </w:r>
      <w:r w:rsidR="009D7FA5">
        <w:t xml:space="preserve"> Twelve-monthly differencing of PLR yields the series called SDPLR which also has a generally horizontal trend.  </w:t>
      </w:r>
      <w:r w:rsidR="006B24E6">
        <w:t>Augmented Dickey Fuller (ADF)</w:t>
      </w:r>
      <w:r>
        <w:t xml:space="preserve"> </w:t>
      </w:r>
      <w:r w:rsidR="006B24E6">
        <w:t>Tests consider both PLR and SDPLR to be non-stationary. A non-seasonal differencing of SDPLR yields the series DSDPLR which is considered stationary by the ADF tests.</w:t>
      </w:r>
      <w:r w:rsidR="009D7FA5">
        <w:t xml:space="preserve"> </w:t>
      </w:r>
      <w:r w:rsidR="00330DE3">
        <w:t xml:space="preserve"> Its correlogram attests to</w:t>
      </w:r>
      <w:r w:rsidR="000D3C48">
        <w:t xml:space="preserve"> a</w:t>
      </w:r>
      <w:r w:rsidR="00330DE3">
        <w:t xml:space="preserve"> 12-monthly seasonality as well as the presence of a seasonal moving average component of order one. </w:t>
      </w:r>
      <w:r w:rsidR="00020946">
        <w:t xml:space="preserve"> The autocorrelation structure suggests the proposal of the following models: (1)</w:t>
      </w:r>
      <w:r w:rsidR="00330DE3">
        <w:t xml:space="preserve">  a SARIMA(0, 1, 1)x(0, 1, 1)</w:t>
      </w:r>
      <w:r w:rsidR="00020946">
        <w:rPr>
          <w:vertAlign w:val="subscript"/>
        </w:rPr>
        <w:t>12</w:t>
      </w:r>
      <w:r w:rsidR="00330DE3">
        <w:t xml:space="preserve"> </w:t>
      </w:r>
      <w:r w:rsidR="00020946">
        <w:t>(2) a SARIMA(0,1,1)x(1,1,1)</w:t>
      </w:r>
      <w:r w:rsidR="00020946">
        <w:rPr>
          <w:vertAlign w:val="subscript"/>
        </w:rPr>
        <w:t>12</w:t>
      </w:r>
      <w:r w:rsidR="00020946">
        <w:t xml:space="preserve">  </w:t>
      </w:r>
      <w:r w:rsidR="00330DE3">
        <w:t>and</w:t>
      </w:r>
      <w:r w:rsidR="00020946">
        <w:t xml:space="preserve"> (3)</w:t>
      </w:r>
      <w:r w:rsidR="00330DE3">
        <w:t xml:space="preserve"> a SARIMA(0, 1, 1)x(2, 1, 1)</w:t>
      </w:r>
      <w:r w:rsidR="00330DE3">
        <w:rPr>
          <w:vertAlign w:val="subscript"/>
        </w:rPr>
        <w:t>12</w:t>
      </w:r>
      <w:r w:rsidR="00330DE3">
        <w:t xml:space="preserve"> . </w:t>
      </w:r>
      <w:r w:rsidR="00020946">
        <w:t xml:space="preserve"> The foregoing models follow a descending order of degree of adequacy on AIC grounds. </w:t>
      </w:r>
      <w:r w:rsidR="00330DE3">
        <w:t xml:space="preserve"> However, </w:t>
      </w:r>
      <w:r w:rsidR="00020946">
        <w:t xml:space="preserve">from </w:t>
      </w:r>
      <w:r w:rsidR="00330DE3">
        <w:t>the SARIMA(0, 1, 1)x(2, 1, 1)</w:t>
      </w:r>
      <w:r w:rsidR="00330DE3">
        <w:rPr>
          <w:vertAlign w:val="subscript"/>
        </w:rPr>
        <w:t>12</w:t>
      </w:r>
      <w:r w:rsidR="00330DE3">
        <w:t xml:space="preserve"> model</w:t>
      </w:r>
      <w:r w:rsidR="00020946">
        <w:t>, a SARIMA(0,1,0)x</w:t>
      </w:r>
      <w:r>
        <w:t>(2,1,1)</w:t>
      </w:r>
      <w:r>
        <w:rPr>
          <w:vertAlign w:val="subscript"/>
        </w:rPr>
        <w:t>12</w:t>
      </w:r>
      <w:r>
        <w:t xml:space="preserve"> model becomes suggestive and it </w:t>
      </w:r>
      <w:r w:rsidR="00330DE3">
        <w:t xml:space="preserve"> outdoes the rest on all counts. Its residuals</w:t>
      </w:r>
      <w:r>
        <w:t xml:space="preserve"> are mostly uncorrelated and</w:t>
      </w:r>
      <w:r w:rsidR="00330DE3">
        <w:t xml:space="preserve"> also follow a normal distribution with mean zero.</w:t>
      </w:r>
      <w:r w:rsidR="0056779E">
        <w:t xml:space="preserve"> Hence it is adequate and may be used to forecast the prime lending rates.</w:t>
      </w:r>
    </w:p>
    <w:p w:rsidR="0056779E" w:rsidRDefault="0056779E" w:rsidP="00CB51A8">
      <w:pPr>
        <w:pStyle w:val="NoSpacing"/>
      </w:pPr>
    </w:p>
    <w:p w:rsidR="00545392" w:rsidRDefault="00545392" w:rsidP="00CB51A8">
      <w:pPr>
        <w:pStyle w:val="NoSpacing"/>
      </w:pPr>
      <w:r>
        <w:t>KEY WORDS: Prime Lending rates, Sarima Models, Seasonal Time Series, Nigeria</w:t>
      </w:r>
    </w:p>
    <w:p w:rsidR="00545392" w:rsidRDefault="00545392" w:rsidP="00CB51A8">
      <w:pPr>
        <w:pStyle w:val="NoSpacing"/>
      </w:pPr>
    </w:p>
    <w:p w:rsidR="0056779E" w:rsidRDefault="00545392" w:rsidP="00CB51A8">
      <w:pPr>
        <w:pStyle w:val="NoSpacing"/>
      </w:pPr>
      <w:r>
        <w:t xml:space="preserve"> </w:t>
      </w:r>
    </w:p>
    <w:p w:rsidR="0056779E" w:rsidRDefault="0056779E" w:rsidP="00CB51A8">
      <w:pPr>
        <w:pStyle w:val="NoSpacing"/>
      </w:pPr>
    </w:p>
    <w:p w:rsidR="0056779E" w:rsidRDefault="00545392" w:rsidP="00545392">
      <w:r w:rsidRPr="00490886">
        <w:rPr>
          <w:b/>
        </w:rPr>
        <w:t>INTRODUCTION</w:t>
      </w:r>
      <w:r>
        <w:t>:</w:t>
      </w:r>
    </w:p>
    <w:p w:rsidR="00B655BD" w:rsidRDefault="00545392" w:rsidP="00545392">
      <w:r>
        <w:t>Prime lending rates are rates at which banks give loans to their best customers. These customers are called best in the sense of having a long term relationship and credit reputation with the bank and are often big</w:t>
      </w:r>
      <w:r w:rsidR="00B655BD">
        <w:t xml:space="preserve">-time and well-established clients. These rates are usually minimal and they fluctuate according to the economic realities of the nation. The aim of this work is to fit a seasonal autoregressive integrated moving average (SARIMA) model to the monthly prime lending rates of Nigerian banks. </w:t>
      </w:r>
    </w:p>
    <w:p w:rsidR="00AF6DFE" w:rsidRDefault="00B655BD" w:rsidP="00545392">
      <w:r>
        <w:t xml:space="preserve">The rates are herein observed to show some seasonality of period 12 months as many other economic and financial time series. Hence, the proposal of a SARIMA fit.  In the literature time series </w:t>
      </w:r>
      <w:r>
        <w:lastRenderedPageBreak/>
        <w:t xml:space="preserve">that have been modelled by SARIMA techniques because </w:t>
      </w:r>
      <w:r w:rsidR="00A502D2">
        <w:t xml:space="preserve">of </w:t>
      </w:r>
      <w:r>
        <w:t xml:space="preserve">their </w:t>
      </w:r>
      <w:r w:rsidR="00A502D2">
        <w:t>intrinsically seasonal nature include temperature (</w:t>
      </w:r>
      <w:r w:rsidR="00395FDB">
        <w:t xml:space="preserve">Khajavi </w:t>
      </w:r>
      <w:r w:rsidR="00395FDB">
        <w:rPr>
          <w:i/>
        </w:rPr>
        <w:t>et al.,</w:t>
      </w:r>
      <w:r w:rsidR="00395FDB">
        <w:t xml:space="preserve"> 2012</w:t>
      </w:r>
      <w:r w:rsidR="00A502D2">
        <w:t>), tourism patronage (</w:t>
      </w:r>
      <w:r w:rsidR="00395FDB">
        <w:t>Padhan, 2011</w:t>
      </w:r>
      <w:r w:rsidR="00A502D2">
        <w:t>), airways patronage (</w:t>
      </w:r>
      <w:r w:rsidR="00395FDB">
        <w:t>Box and Jenkins, 1976</w:t>
      </w:r>
      <w:r w:rsidR="00A502D2">
        <w:t>), inflation (</w:t>
      </w:r>
      <w:r w:rsidR="00395FDB">
        <w:t xml:space="preserve">Fannoh </w:t>
      </w:r>
      <w:r w:rsidR="00395FDB">
        <w:rPr>
          <w:i/>
        </w:rPr>
        <w:t xml:space="preserve">et al., </w:t>
      </w:r>
      <w:r w:rsidR="00395FDB">
        <w:t>2012</w:t>
      </w:r>
      <w:r w:rsidR="00A502D2">
        <w:t>), savings deposit rates (</w:t>
      </w:r>
      <w:r w:rsidR="00466835">
        <w:t xml:space="preserve">Etuk </w:t>
      </w:r>
      <w:r w:rsidR="00466835">
        <w:rPr>
          <w:i/>
        </w:rPr>
        <w:t>et al.</w:t>
      </w:r>
      <w:r w:rsidR="00466835">
        <w:t>, 2014</w:t>
      </w:r>
      <w:r w:rsidR="00A502D2">
        <w:t xml:space="preserve">), </w:t>
      </w:r>
      <w:r w:rsidR="00466835">
        <w:t>rice prices</w:t>
      </w:r>
      <w:r w:rsidR="00AF6DFE">
        <w:t xml:space="preserve"> (</w:t>
      </w:r>
      <w:r w:rsidR="00466835">
        <w:t xml:space="preserve">Hassan </w:t>
      </w:r>
      <w:r w:rsidR="00466835">
        <w:rPr>
          <w:i/>
        </w:rPr>
        <w:t xml:space="preserve">et al., </w:t>
      </w:r>
      <w:r w:rsidR="00466835">
        <w:t>2013</w:t>
      </w:r>
      <w:r w:rsidR="00AF6DFE">
        <w:t>)</w:t>
      </w:r>
      <w:r w:rsidR="00395FDB">
        <w:t>, tuberculosis incidence</w:t>
      </w:r>
      <w:r w:rsidR="00A502D2">
        <w:t xml:space="preserve"> (</w:t>
      </w:r>
      <w:r w:rsidR="00395FDB">
        <w:t xml:space="preserve">Moosazadeh </w:t>
      </w:r>
      <w:r w:rsidR="00395FDB">
        <w:rPr>
          <w:i/>
        </w:rPr>
        <w:t>et al.</w:t>
      </w:r>
      <w:r w:rsidR="00395FDB">
        <w:t>, 2014</w:t>
      </w:r>
      <w:r w:rsidR="00A502D2">
        <w:t>), stock prices (</w:t>
      </w:r>
      <w:r w:rsidR="00395FDB">
        <w:t xml:space="preserve">Etuk, </w:t>
      </w:r>
      <w:r w:rsidR="00F30BFB">
        <w:t xml:space="preserve"> 2012</w:t>
      </w:r>
      <w:r w:rsidR="00A502D2">
        <w:t>), cucumber prices (</w:t>
      </w:r>
      <w:r w:rsidR="00F30BFB">
        <w:t xml:space="preserve">Luo </w:t>
      </w:r>
      <w:r w:rsidR="00F30BFB">
        <w:rPr>
          <w:i/>
        </w:rPr>
        <w:t xml:space="preserve">et al., </w:t>
      </w:r>
      <w:r w:rsidR="00F30BFB">
        <w:t>2013</w:t>
      </w:r>
      <w:r w:rsidR="00A502D2">
        <w:t>), internally generated revenues (</w:t>
      </w:r>
      <w:r w:rsidR="00617CBC">
        <w:t xml:space="preserve">Etuk </w:t>
      </w:r>
      <w:r w:rsidR="00617CBC">
        <w:rPr>
          <w:i/>
        </w:rPr>
        <w:t>et al.</w:t>
      </w:r>
      <w:r w:rsidR="00617CBC">
        <w:t>, 2014</w:t>
      </w:r>
      <w:r w:rsidR="00A502D2">
        <w:t>)</w:t>
      </w:r>
      <w:r w:rsidR="00BC0FB1">
        <w:t>,</w:t>
      </w:r>
      <w:r w:rsidR="00A502D2">
        <w:t xml:space="preserve"> dengue numbers (</w:t>
      </w:r>
      <w:r w:rsidR="00466835">
        <w:t xml:space="preserve">Martinez </w:t>
      </w:r>
      <w:r w:rsidR="00466835">
        <w:rPr>
          <w:i/>
        </w:rPr>
        <w:t xml:space="preserve">et al., </w:t>
      </w:r>
      <w:r w:rsidR="00466835">
        <w:t xml:space="preserve"> 2011</w:t>
      </w:r>
      <w:r w:rsidR="00BC0FB1">
        <w:t xml:space="preserve">) and </w:t>
      </w:r>
      <w:r w:rsidR="00305423">
        <w:t>toma</w:t>
      </w:r>
      <w:r w:rsidR="00A502D2">
        <w:t>to</w:t>
      </w:r>
      <w:r w:rsidR="00305423">
        <w:t xml:space="preserve"> prices (</w:t>
      </w:r>
      <w:r w:rsidR="00617CBC">
        <w:t>Adanacioglu and Yercan, 2012</w:t>
      </w:r>
      <w:r w:rsidR="00305423">
        <w:t>), to</w:t>
      </w:r>
      <w:r w:rsidR="00A502D2">
        <w:t xml:space="preserve"> mention but a few.</w:t>
      </w:r>
      <w:r>
        <w:t xml:space="preserve"> </w:t>
      </w:r>
    </w:p>
    <w:p w:rsidR="00545392" w:rsidRPr="00490886" w:rsidRDefault="002462C4" w:rsidP="002462C4">
      <w:pPr>
        <w:rPr>
          <w:b/>
        </w:rPr>
      </w:pPr>
      <w:r w:rsidRPr="00490886">
        <w:rPr>
          <w:b/>
        </w:rPr>
        <w:t>MATERIALS AND METHODS</w:t>
      </w:r>
    </w:p>
    <w:p w:rsidR="002462C4" w:rsidRDefault="00490886" w:rsidP="002462C4">
      <w:r w:rsidRPr="00490886">
        <w:rPr>
          <w:b/>
        </w:rPr>
        <w:t>Data</w:t>
      </w:r>
      <w:r>
        <w:t xml:space="preserve">:  </w:t>
      </w:r>
      <w:r w:rsidR="002462C4">
        <w:t xml:space="preserve">The data analyzed in this work are 103 prime lending rates from January 2006 to July 2014 retrievable from the website of the Central </w:t>
      </w:r>
      <w:r w:rsidR="002462C4">
        <w:rPr>
          <w:b/>
        </w:rPr>
        <w:t>Ba</w:t>
      </w:r>
      <w:r w:rsidR="002462C4">
        <w:t xml:space="preserve">nk of Nigeria, </w:t>
      </w:r>
      <w:hyperlink r:id="rId5" w:history="1">
        <w:r w:rsidR="002462C4" w:rsidRPr="00A151BD">
          <w:rPr>
            <w:rStyle w:val="Hyperlink"/>
          </w:rPr>
          <w:t>www.cenbank.org</w:t>
        </w:r>
      </w:hyperlink>
      <w:r w:rsidR="002462C4">
        <w:t>. They are published under the Money Market Indicators subsection of</w:t>
      </w:r>
      <w:r w:rsidR="001C5AFB">
        <w:t xml:space="preserve"> the Data and Statistics section</w:t>
      </w:r>
      <w:r w:rsidR="002462C4">
        <w:t>.</w:t>
      </w:r>
      <w:r w:rsidR="000D3C48">
        <w:t xml:space="preserve"> </w:t>
      </w:r>
      <w:r w:rsidR="002462C4">
        <w:t xml:space="preserve">  </w:t>
      </w:r>
    </w:p>
    <w:p w:rsidR="002462C4" w:rsidRDefault="00035160" w:rsidP="00CB51A8">
      <w:pPr>
        <w:pStyle w:val="NoSpacing"/>
      </w:pPr>
      <w:r w:rsidRPr="00490886">
        <w:rPr>
          <w:b/>
        </w:rPr>
        <w:t>Sarima Models</w:t>
      </w:r>
      <w:r>
        <w:t>:</w:t>
      </w:r>
      <w:r w:rsidR="00490886">
        <w:t xml:space="preserve"> A stationary time series {X</w:t>
      </w:r>
      <w:r w:rsidR="00490886">
        <w:rPr>
          <w:vertAlign w:val="subscript"/>
        </w:rPr>
        <w:t>t</w:t>
      </w:r>
      <w:r w:rsidR="00490886">
        <w:t xml:space="preserve">} is said to follow an </w:t>
      </w:r>
      <w:r w:rsidR="00490886">
        <w:rPr>
          <w:i/>
        </w:rPr>
        <w:t>autoregressive model of order p and q</w:t>
      </w:r>
      <w:r w:rsidR="00B04A28">
        <w:rPr>
          <w:i/>
        </w:rPr>
        <w:t xml:space="preserve"> </w:t>
      </w:r>
      <w:r w:rsidR="00B04A28">
        <w:t xml:space="preserve">denoted by ARMA(p, q) </w:t>
      </w:r>
      <w:r w:rsidR="00490886">
        <w:rPr>
          <w:i/>
        </w:rPr>
        <w:t xml:space="preserve"> </w:t>
      </w:r>
      <w:r w:rsidR="00490886">
        <w:t>if it satisfies the following difference equation</w:t>
      </w:r>
    </w:p>
    <w:p w:rsidR="00490886" w:rsidRDefault="00490886" w:rsidP="00CB51A8">
      <w:pPr>
        <w:pStyle w:val="NoSpacing"/>
      </w:pPr>
    </w:p>
    <w:p w:rsidR="00490886" w:rsidRDefault="00490886" w:rsidP="00CB51A8">
      <w:pPr>
        <w:pStyle w:val="NoSpacing"/>
      </w:pPr>
      <w:r>
        <w:t>X</w:t>
      </w:r>
      <w:r>
        <w:rPr>
          <w:vertAlign w:val="subscript"/>
        </w:rPr>
        <w:t>t</w:t>
      </w:r>
      <w:r>
        <w:t xml:space="preserve"> - </w:t>
      </w:r>
      <w:r>
        <w:sym w:font="Symbol" w:char="F061"/>
      </w:r>
      <w:r>
        <w:rPr>
          <w:vertAlign w:val="subscript"/>
        </w:rPr>
        <w:t>1</w:t>
      </w:r>
      <w:r>
        <w:t>X</w:t>
      </w:r>
      <w:r>
        <w:rPr>
          <w:vertAlign w:val="subscript"/>
        </w:rPr>
        <w:t>t-1</w:t>
      </w:r>
      <w:r>
        <w:t xml:space="preserve"> - </w:t>
      </w:r>
      <w:r>
        <w:sym w:font="Symbol" w:char="F061"/>
      </w:r>
      <w:r>
        <w:rPr>
          <w:vertAlign w:val="subscript"/>
        </w:rPr>
        <w:t>2</w:t>
      </w:r>
      <w:r>
        <w:t>X</w:t>
      </w:r>
      <w:r>
        <w:rPr>
          <w:vertAlign w:val="subscript"/>
        </w:rPr>
        <w:t>t-2</w:t>
      </w:r>
      <w:r>
        <w:t xml:space="preserve"> - ... - </w:t>
      </w:r>
      <w:r>
        <w:sym w:font="Symbol" w:char="F061"/>
      </w:r>
      <w:r>
        <w:rPr>
          <w:vertAlign w:val="subscript"/>
        </w:rPr>
        <w:t>p</w:t>
      </w:r>
      <w:r>
        <w:t>X</w:t>
      </w:r>
      <w:r>
        <w:rPr>
          <w:vertAlign w:val="subscript"/>
        </w:rPr>
        <w:t>t-p</w:t>
      </w:r>
      <w:r>
        <w:t xml:space="preserve"> = </w:t>
      </w:r>
      <w:r>
        <w:sym w:font="Symbol" w:char="F065"/>
      </w:r>
      <w:r>
        <w:rPr>
          <w:vertAlign w:val="subscript"/>
        </w:rPr>
        <w:t>t</w:t>
      </w:r>
      <w:r>
        <w:t xml:space="preserve"> + </w:t>
      </w:r>
      <w:r>
        <w:sym w:font="Symbol" w:char="F062"/>
      </w:r>
      <w:r>
        <w:rPr>
          <w:vertAlign w:val="subscript"/>
        </w:rPr>
        <w:t>1</w:t>
      </w:r>
      <w:r>
        <w:sym w:font="Symbol" w:char="F065"/>
      </w:r>
      <w:r>
        <w:rPr>
          <w:vertAlign w:val="subscript"/>
        </w:rPr>
        <w:t>t-1</w:t>
      </w:r>
      <w:r>
        <w:t xml:space="preserve"> + </w:t>
      </w:r>
      <w:r>
        <w:sym w:font="Symbol" w:char="F062"/>
      </w:r>
      <w:r>
        <w:rPr>
          <w:vertAlign w:val="subscript"/>
        </w:rPr>
        <w:t>2</w:t>
      </w:r>
      <w:r>
        <w:sym w:font="Symbol" w:char="F065"/>
      </w:r>
      <w:r>
        <w:rPr>
          <w:vertAlign w:val="subscript"/>
        </w:rPr>
        <w:t>t-2</w:t>
      </w:r>
      <w:r>
        <w:t xml:space="preserve"> + ... + </w:t>
      </w:r>
      <w:r>
        <w:sym w:font="Symbol" w:char="F062"/>
      </w:r>
      <w:r>
        <w:rPr>
          <w:vertAlign w:val="subscript"/>
        </w:rPr>
        <w:t>q</w:t>
      </w:r>
      <w:r>
        <w:sym w:font="Symbol" w:char="F065"/>
      </w:r>
      <w:r>
        <w:rPr>
          <w:vertAlign w:val="subscript"/>
        </w:rPr>
        <w:t>t-q</w:t>
      </w:r>
      <w:r>
        <w:tab/>
      </w:r>
      <w:r>
        <w:tab/>
      </w:r>
      <w:r>
        <w:tab/>
      </w:r>
      <w:r>
        <w:tab/>
        <w:t>(1)</w:t>
      </w:r>
    </w:p>
    <w:p w:rsidR="00490886" w:rsidRDefault="00490886" w:rsidP="00CB51A8">
      <w:pPr>
        <w:pStyle w:val="NoSpacing"/>
      </w:pPr>
    </w:p>
    <w:p w:rsidR="00490886" w:rsidRDefault="00490886" w:rsidP="00CB51A8">
      <w:pPr>
        <w:pStyle w:val="NoSpacing"/>
      </w:pPr>
      <w:r>
        <w:t xml:space="preserve">where </w:t>
      </w:r>
      <w:r w:rsidR="001C5AFB">
        <w:t>the sequence of random variables {</w:t>
      </w:r>
      <w:r w:rsidR="001C5AFB">
        <w:sym w:font="Symbol" w:char="F065"/>
      </w:r>
      <w:r w:rsidR="001C5AFB">
        <w:rPr>
          <w:vertAlign w:val="subscript"/>
        </w:rPr>
        <w:t>t</w:t>
      </w:r>
      <w:r w:rsidR="001C5AFB">
        <w:t xml:space="preserve">} is a white noise process. The </w:t>
      </w:r>
      <w:r w:rsidR="001C5AFB">
        <w:sym w:font="Symbol" w:char="F061"/>
      </w:r>
      <w:r w:rsidR="001C5AFB">
        <w:t xml:space="preserve">’s and </w:t>
      </w:r>
      <w:r w:rsidR="001C5AFB">
        <w:sym w:font="Symbol" w:char="F062"/>
      </w:r>
      <w:r w:rsidR="001C5AFB">
        <w:t xml:space="preserve">’s are constants such that the model is both stationary and invertible. </w:t>
      </w:r>
      <w:r>
        <w:t xml:space="preserve"> </w:t>
      </w:r>
      <w:r w:rsidR="001C5AFB">
        <w:t>Suppose that we write model (1) as</w:t>
      </w:r>
    </w:p>
    <w:p w:rsidR="001C5AFB" w:rsidRDefault="001C5AFB" w:rsidP="00CB51A8">
      <w:pPr>
        <w:pStyle w:val="NoSpacing"/>
      </w:pPr>
    </w:p>
    <w:p w:rsidR="001C5AFB" w:rsidRDefault="001C5AFB" w:rsidP="00CB51A8">
      <w:pPr>
        <w:pStyle w:val="NoSpacing"/>
      </w:pPr>
      <w:r>
        <w:t>A(L)X</w:t>
      </w:r>
      <w:r>
        <w:rPr>
          <w:vertAlign w:val="subscript"/>
        </w:rPr>
        <w:t>t</w:t>
      </w:r>
      <w:r>
        <w:t xml:space="preserve"> = B(L)</w:t>
      </w:r>
      <w:r>
        <w:sym w:font="Symbol" w:char="F065"/>
      </w:r>
      <w:r>
        <w:rPr>
          <w:vertAlign w:val="subscript"/>
        </w:rPr>
        <w:t>t</w:t>
      </w:r>
      <w:r>
        <w:t xml:space="preserve"> </w:t>
      </w:r>
      <w:r>
        <w:tab/>
      </w:r>
      <w:r>
        <w:tab/>
      </w:r>
      <w:r>
        <w:tab/>
      </w:r>
      <w:r>
        <w:tab/>
      </w:r>
      <w:r>
        <w:tab/>
      </w:r>
      <w:r>
        <w:tab/>
      </w:r>
      <w:r>
        <w:tab/>
      </w:r>
      <w:r>
        <w:tab/>
      </w:r>
      <w:r>
        <w:tab/>
      </w:r>
      <w:r>
        <w:tab/>
        <w:t>(2)</w:t>
      </w:r>
    </w:p>
    <w:p w:rsidR="001C5AFB" w:rsidRDefault="001C5AFB" w:rsidP="00CB51A8">
      <w:pPr>
        <w:pStyle w:val="NoSpacing"/>
      </w:pPr>
    </w:p>
    <w:p w:rsidR="001C5AFB" w:rsidRDefault="001C5AFB" w:rsidP="00CB51A8">
      <w:pPr>
        <w:pStyle w:val="NoSpacing"/>
      </w:pPr>
      <w:r>
        <w:t xml:space="preserve">where A(L) and B(L) are the autoregressive (AR) and the moving average (MA) operators respectively defined by A(L) = 1 - </w:t>
      </w:r>
      <w:r>
        <w:sym w:font="Symbol" w:char="F061"/>
      </w:r>
      <w:r>
        <w:rPr>
          <w:vertAlign w:val="subscript"/>
        </w:rPr>
        <w:t>1</w:t>
      </w:r>
      <w:r>
        <w:t xml:space="preserve">L - </w:t>
      </w:r>
      <w:r>
        <w:sym w:font="Symbol" w:char="F061"/>
      </w:r>
      <w:r>
        <w:rPr>
          <w:vertAlign w:val="subscript"/>
        </w:rPr>
        <w:t>2</w:t>
      </w:r>
      <w:r>
        <w:t>L</w:t>
      </w:r>
      <w:r>
        <w:rPr>
          <w:vertAlign w:val="superscript"/>
        </w:rPr>
        <w:t>2</w:t>
      </w:r>
      <w:r>
        <w:t xml:space="preserve"> - ... - </w:t>
      </w:r>
      <w:r>
        <w:sym w:font="Symbol" w:char="F061"/>
      </w:r>
      <w:r>
        <w:rPr>
          <w:vertAlign w:val="subscript"/>
        </w:rPr>
        <w:t>p</w:t>
      </w:r>
      <w:r>
        <w:t>L</w:t>
      </w:r>
      <w:r>
        <w:rPr>
          <w:vertAlign w:val="superscript"/>
        </w:rPr>
        <w:t>p</w:t>
      </w:r>
      <w:r>
        <w:t xml:space="preserve"> and B(L) = 1 + </w:t>
      </w:r>
      <w:r>
        <w:sym w:font="Symbol" w:char="F062"/>
      </w:r>
      <w:r>
        <w:rPr>
          <w:vertAlign w:val="subscript"/>
        </w:rPr>
        <w:t>1</w:t>
      </w:r>
      <w:r>
        <w:t xml:space="preserve">L + </w:t>
      </w:r>
      <w:r>
        <w:sym w:font="Symbol" w:char="F062"/>
      </w:r>
      <w:r>
        <w:rPr>
          <w:vertAlign w:val="subscript"/>
        </w:rPr>
        <w:t>2</w:t>
      </w:r>
      <w:r>
        <w:t>L</w:t>
      </w:r>
      <w:r>
        <w:rPr>
          <w:vertAlign w:val="superscript"/>
        </w:rPr>
        <w:t>2</w:t>
      </w:r>
      <w:r>
        <w:t xml:space="preserve"> + ... + </w:t>
      </w:r>
      <w:r>
        <w:sym w:font="Symbol" w:char="F062"/>
      </w:r>
      <w:r>
        <w:rPr>
          <w:vertAlign w:val="subscript"/>
        </w:rPr>
        <w:t>q</w:t>
      </w:r>
      <w:r>
        <w:t>L</w:t>
      </w:r>
      <w:r>
        <w:rPr>
          <w:vertAlign w:val="superscript"/>
        </w:rPr>
        <w:t>q</w:t>
      </w:r>
      <w:r>
        <w:t xml:space="preserve"> </w:t>
      </w:r>
      <w:r w:rsidR="00B04A28">
        <w:t>and L is the backward shift operator defined by L</w:t>
      </w:r>
      <w:r w:rsidR="00B04A28">
        <w:rPr>
          <w:vertAlign w:val="superscript"/>
        </w:rPr>
        <w:t>k</w:t>
      </w:r>
      <w:r w:rsidR="00B04A28">
        <w:t>X</w:t>
      </w:r>
      <w:r w:rsidR="00B04A28">
        <w:rPr>
          <w:vertAlign w:val="subscript"/>
        </w:rPr>
        <w:t>t</w:t>
      </w:r>
      <w:r w:rsidR="00B04A28">
        <w:t xml:space="preserve"> = X</w:t>
      </w:r>
      <w:r w:rsidR="00B04A28">
        <w:rPr>
          <w:vertAlign w:val="subscript"/>
        </w:rPr>
        <w:t>t-k</w:t>
      </w:r>
      <w:r w:rsidR="00B04A28">
        <w:t xml:space="preserve">. </w:t>
      </w:r>
    </w:p>
    <w:p w:rsidR="00B04A28" w:rsidRDefault="00B04A28" w:rsidP="00CB51A8">
      <w:pPr>
        <w:pStyle w:val="NoSpacing"/>
      </w:pPr>
    </w:p>
    <w:p w:rsidR="00B04A28" w:rsidRDefault="00B04A28" w:rsidP="00CB51A8">
      <w:pPr>
        <w:pStyle w:val="NoSpacing"/>
      </w:pPr>
      <w:r>
        <w:t xml:space="preserve">If a time series is non-stationary, Box and Jenkins (1976) proposed that differencing of the series a certain number of times may make it stationary.  Let </w:t>
      </w:r>
      <w:r>
        <w:sym w:font="Symbol" w:char="F0D1"/>
      </w:r>
      <w:r>
        <w:t xml:space="preserve"> be the differencing operator. Then </w:t>
      </w:r>
      <w:r>
        <w:sym w:font="Symbol" w:char="F0D1"/>
      </w:r>
      <w:r>
        <w:t xml:space="preserve"> = 1 – L. If d is the minimum number of times for which the d</w:t>
      </w:r>
      <w:r>
        <w:rPr>
          <w:vertAlign w:val="superscript"/>
        </w:rPr>
        <w:t>th</w:t>
      </w:r>
      <w:r>
        <w:t xml:space="preserve"> difference {</w:t>
      </w:r>
      <w:r>
        <w:sym w:font="Symbol" w:char="F0D1"/>
      </w:r>
      <w:r>
        <w:rPr>
          <w:vertAlign w:val="superscript"/>
        </w:rPr>
        <w:t>d</w:t>
      </w:r>
      <w:r>
        <w:t>X</w:t>
      </w:r>
      <w:r>
        <w:rPr>
          <w:vertAlign w:val="subscript"/>
        </w:rPr>
        <w:t>t</w:t>
      </w:r>
      <w:r>
        <w:t>} of {X</w:t>
      </w:r>
      <w:r>
        <w:rPr>
          <w:vertAlign w:val="subscript"/>
        </w:rPr>
        <w:t>t</w:t>
      </w:r>
      <w:r>
        <w:t>} is stationary and {</w:t>
      </w:r>
      <w:r>
        <w:sym w:font="Symbol" w:char="F0D1"/>
      </w:r>
      <w:r>
        <w:rPr>
          <w:vertAlign w:val="superscript"/>
        </w:rPr>
        <w:t>d</w:t>
      </w:r>
      <w:r>
        <w:t>X</w:t>
      </w:r>
      <w:r>
        <w:rPr>
          <w:vertAlign w:val="subscript"/>
        </w:rPr>
        <w:t>t</w:t>
      </w:r>
      <w:r>
        <w:t xml:space="preserve">} follows </w:t>
      </w:r>
      <w:r w:rsidR="00822EB4">
        <w:t>model (1) or (2) the original series {X</w:t>
      </w:r>
      <w:r w:rsidR="00822EB4">
        <w:rPr>
          <w:vertAlign w:val="subscript"/>
        </w:rPr>
        <w:t>t</w:t>
      </w:r>
      <w:r w:rsidR="00822EB4">
        <w:t xml:space="preserve">} is said to follow an </w:t>
      </w:r>
      <w:r w:rsidR="00822EB4">
        <w:rPr>
          <w:i/>
        </w:rPr>
        <w:t xml:space="preserve">autoregressive integrated moving average model of order p, d and q, </w:t>
      </w:r>
      <w:r w:rsidR="00822EB4">
        <w:t xml:space="preserve">denoted by ARIMA(p,d,q). </w:t>
      </w:r>
    </w:p>
    <w:p w:rsidR="00822EB4" w:rsidRDefault="00822EB4" w:rsidP="00CB51A8">
      <w:pPr>
        <w:pStyle w:val="NoSpacing"/>
      </w:pPr>
    </w:p>
    <w:p w:rsidR="00822EB4" w:rsidRDefault="00822EB4" w:rsidP="00CB51A8">
      <w:pPr>
        <w:pStyle w:val="NoSpacing"/>
      </w:pPr>
      <w:r>
        <w:t>If in addition the time series {X</w:t>
      </w:r>
      <w:r>
        <w:rPr>
          <w:vertAlign w:val="subscript"/>
        </w:rPr>
        <w:t>t</w:t>
      </w:r>
      <w:r>
        <w:t>} is seasonal of period s, Box and Jenkins (1976) moreover proposed that it may be modelled by</w:t>
      </w:r>
    </w:p>
    <w:p w:rsidR="009C2D12" w:rsidRDefault="009C2D12" w:rsidP="00CB51A8">
      <w:pPr>
        <w:pStyle w:val="NoSpacing"/>
      </w:pPr>
    </w:p>
    <w:p w:rsidR="009C2D12" w:rsidRDefault="009C2D12" w:rsidP="00CB51A8">
      <w:pPr>
        <w:pStyle w:val="NoSpacing"/>
      </w:pPr>
      <w:r>
        <w:t>A(L)</w:t>
      </w:r>
      <w:r>
        <w:sym w:font="Symbol" w:char="F046"/>
      </w:r>
      <w:r>
        <w:t>(L</w:t>
      </w:r>
      <w:r>
        <w:rPr>
          <w:vertAlign w:val="superscript"/>
        </w:rPr>
        <w:t>s</w:t>
      </w:r>
      <w:r>
        <w:t>)</w:t>
      </w:r>
      <w:r>
        <w:sym w:font="Symbol" w:char="F0D1"/>
      </w:r>
      <w:r>
        <w:rPr>
          <w:vertAlign w:val="superscript"/>
        </w:rPr>
        <w:t>d</w:t>
      </w:r>
      <w:r>
        <w:sym w:font="Symbol" w:char="F0D1"/>
      </w:r>
      <w:r>
        <w:rPr>
          <w:vertAlign w:val="superscript"/>
        </w:rPr>
        <w:t>D</w:t>
      </w:r>
      <w:r>
        <w:rPr>
          <w:vertAlign w:val="subscript"/>
        </w:rPr>
        <w:t>s</w:t>
      </w:r>
      <w:r>
        <w:t>X</w:t>
      </w:r>
      <w:r>
        <w:rPr>
          <w:vertAlign w:val="subscript"/>
        </w:rPr>
        <w:t>t</w:t>
      </w:r>
      <w:r>
        <w:t xml:space="preserve"> = B(L)</w:t>
      </w:r>
      <w:r>
        <w:sym w:font="Symbol" w:char="F051"/>
      </w:r>
      <w:r>
        <w:t>(L</w:t>
      </w:r>
      <w:r>
        <w:rPr>
          <w:vertAlign w:val="superscript"/>
        </w:rPr>
        <w:t>s</w:t>
      </w:r>
      <w:r>
        <w:t>)</w:t>
      </w:r>
      <w:r>
        <w:sym w:font="Symbol" w:char="F065"/>
      </w:r>
      <w:r>
        <w:rPr>
          <w:vertAlign w:val="subscript"/>
        </w:rPr>
        <w:t>t</w:t>
      </w:r>
      <w:r>
        <w:tab/>
      </w:r>
      <w:r>
        <w:tab/>
      </w:r>
      <w:r>
        <w:tab/>
      </w:r>
      <w:r>
        <w:tab/>
      </w:r>
      <w:r>
        <w:tab/>
      </w:r>
      <w:r>
        <w:tab/>
      </w:r>
      <w:r>
        <w:tab/>
      </w:r>
      <w:r>
        <w:tab/>
        <w:t>(3)</w:t>
      </w:r>
    </w:p>
    <w:p w:rsidR="009C2D12" w:rsidRDefault="009C2D12" w:rsidP="00CB51A8">
      <w:pPr>
        <w:pStyle w:val="NoSpacing"/>
      </w:pPr>
    </w:p>
    <w:p w:rsidR="009C2D12" w:rsidRDefault="009C2D12" w:rsidP="00CB51A8">
      <w:pPr>
        <w:pStyle w:val="NoSpacing"/>
      </w:pPr>
      <w:r>
        <w:t xml:space="preserve">where </w:t>
      </w:r>
      <w:r>
        <w:sym w:font="Symbol" w:char="F0D1"/>
      </w:r>
      <w:r>
        <w:rPr>
          <w:vertAlign w:val="subscript"/>
        </w:rPr>
        <w:t>s</w:t>
      </w:r>
      <w:r>
        <w:t xml:space="preserve"> is the seasonal differencing operator defined by </w:t>
      </w:r>
      <w:r>
        <w:sym w:font="Symbol" w:char="F0D1"/>
      </w:r>
      <w:r>
        <w:rPr>
          <w:vertAlign w:val="subscript"/>
        </w:rPr>
        <w:t>s</w:t>
      </w:r>
      <w:r>
        <w:t xml:space="preserve"> = 1 – L</w:t>
      </w:r>
      <w:r>
        <w:rPr>
          <w:vertAlign w:val="superscript"/>
        </w:rPr>
        <w:t>s</w:t>
      </w:r>
      <w:r>
        <w:t xml:space="preserve"> , D is the minimum number of times of seasonal differencing for stationarity and </w:t>
      </w:r>
      <w:r>
        <w:sym w:font="Symbol" w:char="F046"/>
      </w:r>
      <w:r>
        <w:t xml:space="preserve">(L) and </w:t>
      </w:r>
      <w:r>
        <w:sym w:font="Symbol" w:char="F051"/>
      </w:r>
      <w:r>
        <w:t xml:space="preserve">(L) are the seasonal AR and MA operators respectively. Suppose </w:t>
      </w:r>
      <w:r>
        <w:sym w:font="Symbol" w:char="F046"/>
      </w:r>
      <w:r>
        <w:t xml:space="preserve">(L) and </w:t>
      </w:r>
      <w:r>
        <w:sym w:font="Symbol" w:char="F051"/>
      </w:r>
      <w:r>
        <w:t xml:space="preserve">(L) are polynomials of orders P and Q respectively model (3) is called a </w:t>
      </w:r>
      <w:r w:rsidR="001F12F6">
        <w:rPr>
          <w:i/>
        </w:rPr>
        <w:t>multiplicative seasonal autoregressive integrated moving average model of order (p,d,q)x(P,D,Q)</w:t>
      </w:r>
      <w:r w:rsidR="001F12F6">
        <w:rPr>
          <w:i/>
          <w:vertAlign w:val="subscript"/>
        </w:rPr>
        <w:t>s</w:t>
      </w:r>
      <w:r w:rsidR="001F12F6">
        <w:rPr>
          <w:i/>
        </w:rPr>
        <w:t xml:space="preserve"> </w:t>
      </w:r>
      <w:r w:rsidR="001F12F6">
        <w:t>denoted by SARIMA(p,d,q)x(P,D,Q)</w:t>
      </w:r>
      <w:r w:rsidR="001F12F6">
        <w:rPr>
          <w:vertAlign w:val="subscript"/>
        </w:rPr>
        <w:t>s</w:t>
      </w:r>
      <w:r w:rsidR="001F12F6">
        <w:t xml:space="preserve"> model. </w:t>
      </w:r>
    </w:p>
    <w:p w:rsidR="001F12F6" w:rsidRDefault="001F12F6" w:rsidP="00CB51A8">
      <w:pPr>
        <w:pStyle w:val="NoSpacing"/>
      </w:pPr>
    </w:p>
    <w:p w:rsidR="001F12F6" w:rsidRDefault="001F12F6" w:rsidP="00CB51A8">
      <w:pPr>
        <w:pStyle w:val="NoSpacing"/>
      </w:pPr>
      <w:r>
        <w:rPr>
          <w:b/>
        </w:rPr>
        <w:t>Sarima Model Fitting:</w:t>
      </w:r>
      <w:r>
        <w:t xml:space="preserve"> The fitting of a  SARIMA model of the form (3) starts invariably with the determination of the orders p, d, q, P, D, Q and s. The seaso</w:t>
      </w:r>
      <w:r w:rsidR="00EF441D">
        <w:t>nal period might be directly sug</w:t>
      </w:r>
      <w:r>
        <w:t xml:space="preserve">gestive by knowledge of the seasonal nature of the series as with monthly rainfall for which s = 12 or hourly atmospheric temperature for which s = 24. An inspection of the series could reveal an otherwise unclear seasonality.  </w:t>
      </w:r>
      <w:r w:rsidR="006F457A">
        <w:t xml:space="preserve">Moreover the correlogram could reveal seasonality if the autocorrelation </w:t>
      </w:r>
      <w:r w:rsidR="006F457A">
        <w:lastRenderedPageBreak/>
        <w:t xml:space="preserve">function (ACF) has a sinusoidal pattern. In this case the period of seasonality is the same as that of the ACF. </w:t>
      </w:r>
      <w:r w:rsidR="00EF441D">
        <w:t xml:space="preserve"> </w:t>
      </w:r>
      <w:r w:rsidR="006F457A">
        <w:t xml:space="preserve"> </w:t>
      </w:r>
      <w:r w:rsidR="00EF441D">
        <w:t>The differencing orders d and D are often chosen so that d + D &lt; 3. This is usually enough to make the series</w:t>
      </w:r>
      <w:r w:rsidR="00DB624D">
        <w:t xml:space="preserve"> stationary.  </w:t>
      </w:r>
      <w:r w:rsidR="00906FB4">
        <w:t xml:space="preserve">Before and after differencing at each stage the series is tested for stationarity using the Augmented Dickey Fuller (ADF) Test. </w:t>
      </w:r>
      <w:r w:rsidR="00DB624D">
        <w:t>The AR</w:t>
      </w:r>
      <w:r w:rsidR="00EF441D">
        <w:t xml:space="preserve"> orders p and P are estimated by the non-seasonal and the seas</w:t>
      </w:r>
      <w:r w:rsidR="00DB624D">
        <w:t>onal cut-off lag</w:t>
      </w:r>
      <w:r w:rsidR="00EF441D">
        <w:t>s of the partial autocorrelation function (PACF)</w:t>
      </w:r>
      <w:r w:rsidR="00DB624D">
        <w:t xml:space="preserve"> respectively and the MA orders q and Q</w:t>
      </w:r>
      <w:r w:rsidR="00EF441D">
        <w:t xml:space="preserve"> </w:t>
      </w:r>
      <w:r w:rsidR="00DB624D">
        <w:t>are estimated by the non-seasonal and the seasonal cut-off lags of the ACF respectively.</w:t>
      </w:r>
    </w:p>
    <w:p w:rsidR="00DB624D" w:rsidRDefault="00DB624D" w:rsidP="00CB51A8">
      <w:pPr>
        <w:pStyle w:val="NoSpacing"/>
      </w:pPr>
    </w:p>
    <w:p w:rsidR="00DB624D" w:rsidRDefault="00DB624D" w:rsidP="00CB51A8">
      <w:pPr>
        <w:pStyle w:val="NoSpacing"/>
      </w:pPr>
      <w:r>
        <w:t xml:space="preserve">The model parameters may be estimated by the use of a nonlinear optimization technique like the least squares procedure or the maximum likelihood technique. This is due to the presence of items of the white noise process in the model.  </w:t>
      </w:r>
      <w:r w:rsidR="003368AA">
        <w:t xml:space="preserve">The best of competing models  shall be chosen on minimum  Akaike’s Information Criterion (AIC) grounds.  </w:t>
      </w:r>
      <w:r>
        <w:t>A</w:t>
      </w:r>
      <w:r w:rsidR="003368AA">
        <w:t xml:space="preserve">ny chosen </w:t>
      </w:r>
      <w:r>
        <w:t xml:space="preserve">model is tested for goodness-of-fit to the data by analysis of its residuals. An adequate model must have residuals that are uncorrelated and/or </w:t>
      </w:r>
      <w:r w:rsidR="00906FB4">
        <w:t>follow the Gaussian distribution.</w:t>
      </w:r>
    </w:p>
    <w:p w:rsidR="00906FB4" w:rsidRDefault="00906FB4" w:rsidP="00CB51A8">
      <w:pPr>
        <w:pStyle w:val="NoSpacing"/>
      </w:pPr>
    </w:p>
    <w:p w:rsidR="00906FB4" w:rsidRDefault="00906FB4" w:rsidP="00CB51A8">
      <w:pPr>
        <w:pStyle w:val="NoSpacing"/>
      </w:pPr>
      <w:r>
        <w:rPr>
          <w:b/>
        </w:rPr>
        <w:t xml:space="preserve">Statistical Software: </w:t>
      </w:r>
      <w:r>
        <w:t xml:space="preserve"> The software used here is Eviews 7. It employs the least error sum of squares criterion for model estimation.</w:t>
      </w:r>
    </w:p>
    <w:p w:rsidR="00906FB4" w:rsidRDefault="00906FB4" w:rsidP="00CB51A8">
      <w:pPr>
        <w:pStyle w:val="NoSpacing"/>
      </w:pPr>
    </w:p>
    <w:p w:rsidR="00906FB4" w:rsidRDefault="00906FB4" w:rsidP="00CB51A8">
      <w:pPr>
        <w:pStyle w:val="NoSpacing"/>
        <w:rPr>
          <w:b/>
        </w:rPr>
      </w:pPr>
      <w:r>
        <w:rPr>
          <w:b/>
        </w:rPr>
        <w:t>RESULTS AND DISCUSSION:</w:t>
      </w:r>
    </w:p>
    <w:p w:rsidR="00906FB4" w:rsidRDefault="00906FB4" w:rsidP="00CB51A8">
      <w:pPr>
        <w:pStyle w:val="NoSpacing"/>
      </w:pPr>
    </w:p>
    <w:p w:rsidR="002A7E91" w:rsidRDefault="00906FB4" w:rsidP="00CB51A8">
      <w:pPr>
        <w:pStyle w:val="NoSpacing"/>
      </w:pPr>
      <w:r>
        <w:t xml:space="preserve">The time plot of the realization of the prime lending rates called herein PLR in Figure 1 shows a generally horizontal trend with a big hunch between 2009 and 2010. </w:t>
      </w:r>
      <w:r w:rsidR="00896993">
        <w:t xml:space="preserve">It is observed that yearly minimums tend to lie in the second and third quarters of the year and the maximums  in the first and fourth quarters of the year. </w:t>
      </w:r>
      <w:r>
        <w:t xml:space="preserve">It has a sinusoidally patterned ACF (see Figure 2) revealing a seasonal tendency of period 12 months. A 12-monthly differencing produces the series SDPLR </w:t>
      </w:r>
      <w:r w:rsidR="00283C3A">
        <w:t xml:space="preserve">which also has a fairly horizontal trend with a hunch between 2009 and 2010 (See Figure 3). A non-seasonal differencing of SDPLR yields the series DSDPLR which has a generally horizontal trend. The ADF test statistic for PLR, SDPLR and DSDPLR are respectively equal to -2.4, -2.4 and -5.8. With the 1%, 5% and 10% critical values of </w:t>
      </w:r>
      <w:r w:rsidR="004A75F2">
        <w:t>-3.5, -2.9 and -2.6 respectively the ADF test considers both PLR and SDPLR non-stationary and DSDPLR as stationary. The correlogram of</w:t>
      </w:r>
      <w:r w:rsidR="00406960">
        <w:t xml:space="preserve"> DSDPLR shows an ACF of a series with a SARIMA(0,1,1)x(0,1,1)</w:t>
      </w:r>
      <w:r w:rsidR="00406960">
        <w:rPr>
          <w:vertAlign w:val="subscript"/>
        </w:rPr>
        <w:t>12</w:t>
      </w:r>
      <w:r w:rsidR="00406960">
        <w:t xml:space="preserve"> component and a seasonal AR component of order 2. The models proposed are (1) a SARIMA(0,1,1)x(0,1,1)</w:t>
      </w:r>
      <w:r w:rsidR="00406960">
        <w:rPr>
          <w:vertAlign w:val="subscript"/>
        </w:rPr>
        <w:t>12</w:t>
      </w:r>
      <w:r w:rsidR="00406960">
        <w:t xml:space="preserve"> model (2) a SARIMA(0,1,1)x(1,1,1)</w:t>
      </w:r>
      <w:r w:rsidR="00406960">
        <w:rPr>
          <w:vertAlign w:val="subscript"/>
        </w:rPr>
        <w:t>12</w:t>
      </w:r>
      <w:r w:rsidR="00970803">
        <w:t xml:space="preserve"> model </w:t>
      </w:r>
      <w:r w:rsidR="00406960">
        <w:t xml:space="preserve"> (3) a SARIMA(0,1,1)x(2,1,1) model</w:t>
      </w:r>
      <w:r w:rsidR="00970803">
        <w:t xml:space="preserve"> and (4) a SARIMA(0,1,0)x(2,1,1)</w:t>
      </w:r>
      <w:r w:rsidR="00970803">
        <w:rPr>
          <w:vertAlign w:val="subscript"/>
        </w:rPr>
        <w:t>12</w:t>
      </w:r>
      <w:r w:rsidR="00970803">
        <w:t xml:space="preserve"> model </w:t>
      </w:r>
      <w:r w:rsidR="00406960">
        <w:t>.</w:t>
      </w:r>
      <w:r w:rsidR="00970803">
        <w:t xml:space="preserve"> </w:t>
      </w:r>
      <w:r w:rsidR="00406960">
        <w:t xml:space="preserve">  </w:t>
      </w:r>
    </w:p>
    <w:p w:rsidR="002A7E91" w:rsidRDefault="002A7E91" w:rsidP="00CB51A8">
      <w:pPr>
        <w:pStyle w:val="NoSpacing"/>
      </w:pPr>
    </w:p>
    <w:p w:rsidR="002A7E91" w:rsidRDefault="002A7E91" w:rsidP="00CB51A8">
      <w:pPr>
        <w:pStyle w:val="NoSpacing"/>
      </w:pPr>
      <w:r>
        <w:t>The SARIMA(0,1,1)x(0,1,1)</w:t>
      </w:r>
      <w:r>
        <w:rPr>
          <w:vertAlign w:val="subscript"/>
        </w:rPr>
        <w:t>12</w:t>
      </w:r>
      <w:r>
        <w:t xml:space="preserve"> model as estimated in Table 1 is given by</w:t>
      </w:r>
    </w:p>
    <w:p w:rsidR="002A7E91" w:rsidRDefault="002A7E91" w:rsidP="00CB51A8">
      <w:pPr>
        <w:pStyle w:val="NoSpacing"/>
      </w:pPr>
    </w:p>
    <w:p w:rsidR="002A7E91" w:rsidRDefault="002A7E91" w:rsidP="00CB51A8">
      <w:pPr>
        <w:pStyle w:val="NoSpacing"/>
      </w:pPr>
      <w:r>
        <w:t>X</w:t>
      </w:r>
      <w:r>
        <w:rPr>
          <w:vertAlign w:val="subscript"/>
        </w:rPr>
        <w:t>t</w:t>
      </w:r>
      <w:r>
        <w:t xml:space="preserve"> = 0.3046</w:t>
      </w:r>
      <w:r>
        <w:sym w:font="Symbol" w:char="F065"/>
      </w:r>
      <w:r>
        <w:rPr>
          <w:vertAlign w:val="subscript"/>
        </w:rPr>
        <w:t>t-1</w:t>
      </w:r>
      <w:r>
        <w:t xml:space="preserve"> – 0.6386</w:t>
      </w:r>
      <w:r>
        <w:sym w:font="Symbol" w:char="F065"/>
      </w:r>
      <w:r>
        <w:rPr>
          <w:vertAlign w:val="subscript"/>
        </w:rPr>
        <w:t>t-12</w:t>
      </w:r>
      <w:r>
        <w:t xml:space="preserve"> + 0.0563</w:t>
      </w:r>
      <w:r>
        <w:sym w:font="Symbol" w:char="F065"/>
      </w:r>
      <w:r>
        <w:rPr>
          <w:vertAlign w:val="subscript"/>
        </w:rPr>
        <w:t>t-13</w:t>
      </w:r>
      <w:r>
        <w:t xml:space="preserve"> + </w:t>
      </w:r>
      <w:r>
        <w:sym w:font="Symbol" w:char="F065"/>
      </w:r>
      <w:r>
        <w:rPr>
          <w:vertAlign w:val="subscript"/>
        </w:rPr>
        <w:t>t</w:t>
      </w:r>
      <w:r>
        <w:tab/>
      </w:r>
      <w:r>
        <w:tab/>
      </w:r>
      <w:r>
        <w:tab/>
      </w:r>
      <w:r>
        <w:tab/>
      </w:r>
      <w:r>
        <w:tab/>
      </w:r>
      <w:r>
        <w:tab/>
        <w:t>(4)</w:t>
      </w:r>
    </w:p>
    <w:p w:rsidR="002A7E91" w:rsidRDefault="006430D5" w:rsidP="00CB51A8">
      <w:pPr>
        <w:pStyle w:val="NoSpacing"/>
      </w:pPr>
      <w:r>
        <w:t xml:space="preserve">      </w:t>
      </w:r>
      <w:r w:rsidR="002A7E91">
        <w:t>(</w:t>
      </w:r>
      <w:r w:rsidR="002A7E91">
        <w:sym w:font="Symbol" w:char="F0B1"/>
      </w:r>
      <w:r>
        <w:t>0.1076)    (</w:t>
      </w:r>
      <w:r>
        <w:sym w:font="Symbol" w:char="F0B1"/>
      </w:r>
      <w:r>
        <w:t>0.1007)      (</w:t>
      </w:r>
      <w:r>
        <w:sym w:font="Symbol" w:char="F0B1"/>
      </w:r>
      <w:r>
        <w:t>0.1107)</w:t>
      </w:r>
    </w:p>
    <w:p w:rsidR="006430D5" w:rsidRDefault="006430D5" w:rsidP="00CB51A8">
      <w:pPr>
        <w:pStyle w:val="NoSpacing"/>
      </w:pPr>
    </w:p>
    <w:p w:rsidR="006430D5" w:rsidRDefault="006430D5" w:rsidP="00CB51A8">
      <w:pPr>
        <w:pStyle w:val="NoSpacing"/>
      </w:pPr>
      <w:r>
        <w:t>The additive SARIMA model suggestive by model (4) is estimated in Table 2 by</w:t>
      </w:r>
    </w:p>
    <w:p w:rsidR="006430D5" w:rsidRDefault="006430D5" w:rsidP="00CB51A8">
      <w:pPr>
        <w:pStyle w:val="NoSpacing"/>
      </w:pPr>
    </w:p>
    <w:p w:rsidR="006430D5" w:rsidRDefault="006430D5" w:rsidP="00CB51A8">
      <w:pPr>
        <w:pStyle w:val="NoSpacing"/>
      </w:pPr>
      <w:r>
        <w:t>X</w:t>
      </w:r>
      <w:r>
        <w:rPr>
          <w:vertAlign w:val="subscript"/>
        </w:rPr>
        <w:t>t</w:t>
      </w:r>
      <w:r>
        <w:t xml:space="preserve"> = 0.2486</w:t>
      </w:r>
      <w:r>
        <w:sym w:font="Symbol" w:char="F065"/>
      </w:r>
      <w:r>
        <w:rPr>
          <w:vertAlign w:val="subscript"/>
        </w:rPr>
        <w:t>t-1</w:t>
      </w:r>
      <w:r>
        <w:t xml:space="preserve"> – 0.7512</w:t>
      </w:r>
      <w:r>
        <w:sym w:font="Symbol" w:char="F065"/>
      </w:r>
      <w:r>
        <w:rPr>
          <w:vertAlign w:val="subscript"/>
        </w:rPr>
        <w:t>t-12</w:t>
      </w:r>
      <w:r>
        <w:t xml:space="preserve"> + </w:t>
      </w:r>
      <w:r>
        <w:sym w:font="Symbol" w:char="F065"/>
      </w:r>
      <w:r>
        <w:rPr>
          <w:vertAlign w:val="subscript"/>
        </w:rPr>
        <w:t>t</w:t>
      </w:r>
      <w:r>
        <w:t xml:space="preserve"> </w:t>
      </w:r>
      <w:r>
        <w:tab/>
      </w:r>
      <w:r>
        <w:tab/>
      </w:r>
      <w:r>
        <w:tab/>
      </w:r>
      <w:r>
        <w:tab/>
      </w:r>
      <w:r>
        <w:tab/>
      </w:r>
      <w:r>
        <w:tab/>
      </w:r>
      <w:r>
        <w:tab/>
      </w:r>
      <w:r>
        <w:tab/>
        <w:t>(5)</w:t>
      </w:r>
    </w:p>
    <w:p w:rsidR="006430D5" w:rsidRDefault="005F2CEE" w:rsidP="00CB51A8">
      <w:pPr>
        <w:pStyle w:val="NoSpacing"/>
      </w:pPr>
      <w:r>
        <w:t xml:space="preserve">       (</w:t>
      </w:r>
      <w:r>
        <w:sym w:font="Symbol" w:char="F0B1"/>
      </w:r>
      <w:r>
        <w:t>0.0987)    (</w:t>
      </w:r>
      <w:r>
        <w:sym w:font="Symbol" w:char="F0B1"/>
      </w:r>
      <w:r>
        <w:t>0.0893)</w:t>
      </w:r>
    </w:p>
    <w:p w:rsidR="005F2CEE" w:rsidRDefault="005F2CEE" w:rsidP="00CB51A8">
      <w:pPr>
        <w:pStyle w:val="NoSpacing"/>
      </w:pPr>
    </w:p>
    <w:p w:rsidR="005F2CEE" w:rsidRDefault="005F2CEE" w:rsidP="00CB51A8">
      <w:pPr>
        <w:pStyle w:val="NoSpacing"/>
      </w:pPr>
      <w:r>
        <w:t>The SARIMA(0,1,1)x(1,1,1)</w:t>
      </w:r>
      <w:r>
        <w:rPr>
          <w:vertAlign w:val="subscript"/>
        </w:rPr>
        <w:t>12</w:t>
      </w:r>
      <w:r>
        <w:t xml:space="preserve"> model as estimated in Table 3 is given by</w:t>
      </w:r>
    </w:p>
    <w:p w:rsidR="007773EF" w:rsidRDefault="007773EF" w:rsidP="00CB51A8">
      <w:pPr>
        <w:pStyle w:val="NoSpacing"/>
      </w:pPr>
    </w:p>
    <w:p w:rsidR="007773EF" w:rsidRDefault="007773EF" w:rsidP="00CB51A8">
      <w:pPr>
        <w:pStyle w:val="NoSpacing"/>
      </w:pPr>
      <w:r>
        <w:t>X</w:t>
      </w:r>
      <w:r>
        <w:rPr>
          <w:vertAlign w:val="subscript"/>
        </w:rPr>
        <w:t>t</w:t>
      </w:r>
      <w:r>
        <w:t xml:space="preserve"> + 0.3085X</w:t>
      </w:r>
      <w:r>
        <w:rPr>
          <w:vertAlign w:val="subscript"/>
        </w:rPr>
        <w:t>t-12</w:t>
      </w:r>
      <w:r>
        <w:t xml:space="preserve"> = 0.2773</w:t>
      </w:r>
      <w:r>
        <w:sym w:font="Symbol" w:char="F065"/>
      </w:r>
      <w:r>
        <w:rPr>
          <w:vertAlign w:val="subscript"/>
        </w:rPr>
        <w:t>t-1</w:t>
      </w:r>
      <w:r>
        <w:t xml:space="preserve"> – 0.6114</w:t>
      </w:r>
      <w:r>
        <w:sym w:font="Symbol" w:char="F065"/>
      </w:r>
      <w:r>
        <w:rPr>
          <w:vertAlign w:val="subscript"/>
        </w:rPr>
        <w:t>t-12</w:t>
      </w:r>
      <w:r>
        <w:t xml:space="preserve"> – 0.5619</w:t>
      </w:r>
      <w:r>
        <w:sym w:font="Symbol" w:char="F065"/>
      </w:r>
      <w:r>
        <w:rPr>
          <w:vertAlign w:val="subscript"/>
        </w:rPr>
        <w:t>t-12</w:t>
      </w:r>
      <w:r>
        <w:t xml:space="preserve"> + </w:t>
      </w:r>
      <w:r>
        <w:sym w:font="Symbol" w:char="F065"/>
      </w:r>
      <w:r>
        <w:rPr>
          <w:vertAlign w:val="subscript"/>
        </w:rPr>
        <w:t>t</w:t>
      </w:r>
      <w:r>
        <w:t xml:space="preserve"> </w:t>
      </w:r>
      <w:r>
        <w:tab/>
      </w:r>
      <w:r>
        <w:tab/>
      </w:r>
      <w:r>
        <w:tab/>
      </w:r>
      <w:r>
        <w:tab/>
        <w:t>(6)</w:t>
      </w:r>
    </w:p>
    <w:p w:rsidR="007773EF" w:rsidRDefault="007773EF" w:rsidP="00CB51A8">
      <w:pPr>
        <w:pStyle w:val="NoSpacing"/>
      </w:pPr>
      <w:r>
        <w:t xml:space="preserve">      (</w:t>
      </w:r>
      <w:r>
        <w:sym w:font="Symbol" w:char="F0B1"/>
      </w:r>
      <w:r>
        <w:t>0.1021)       (</w:t>
      </w:r>
      <w:r>
        <w:sym w:font="Symbol" w:char="F0B1"/>
      </w:r>
      <w:r>
        <w:t>0.0965)    (</w:t>
      </w:r>
      <w:r>
        <w:sym w:font="Symbol" w:char="F0B1"/>
      </w:r>
      <w:r>
        <w:t>0.0731)     (</w:t>
      </w:r>
      <w:r>
        <w:sym w:font="Symbol" w:char="F0B1"/>
      </w:r>
      <w:r>
        <w:t>0.0945)</w:t>
      </w:r>
    </w:p>
    <w:p w:rsidR="007773EF" w:rsidRDefault="007773EF" w:rsidP="00CB51A8">
      <w:pPr>
        <w:pStyle w:val="NoSpacing"/>
      </w:pPr>
    </w:p>
    <w:p w:rsidR="007773EF" w:rsidRDefault="000C33B3" w:rsidP="00CB51A8">
      <w:pPr>
        <w:pStyle w:val="NoSpacing"/>
      </w:pPr>
      <w:r>
        <w:t>The SARIMA(0,1,1)x(2,1,1)</w:t>
      </w:r>
      <w:r>
        <w:rPr>
          <w:vertAlign w:val="subscript"/>
        </w:rPr>
        <w:t>12</w:t>
      </w:r>
      <w:r>
        <w:t xml:space="preserve"> model as estimated in Table 4 is given by</w:t>
      </w:r>
    </w:p>
    <w:p w:rsidR="000C33B3" w:rsidRDefault="000C33B3" w:rsidP="00CB51A8">
      <w:pPr>
        <w:pStyle w:val="NoSpacing"/>
      </w:pPr>
    </w:p>
    <w:p w:rsidR="000C33B3" w:rsidRDefault="000C33B3" w:rsidP="00CB51A8">
      <w:pPr>
        <w:pStyle w:val="NoSpacing"/>
      </w:pPr>
      <w:r>
        <w:lastRenderedPageBreak/>
        <w:t>X</w:t>
      </w:r>
      <w:r>
        <w:rPr>
          <w:vertAlign w:val="subscript"/>
        </w:rPr>
        <w:t>t</w:t>
      </w:r>
      <w:r>
        <w:t xml:space="preserve"> + 0.9314X</w:t>
      </w:r>
      <w:r>
        <w:rPr>
          <w:vertAlign w:val="subscript"/>
        </w:rPr>
        <w:t>t-12</w:t>
      </w:r>
      <w:r>
        <w:t xml:space="preserve"> + 0.3833X</w:t>
      </w:r>
      <w:r>
        <w:rPr>
          <w:vertAlign w:val="subscript"/>
        </w:rPr>
        <w:t>t-24</w:t>
      </w:r>
      <w:r>
        <w:t xml:space="preserve"> = 0.1165</w:t>
      </w:r>
      <w:r>
        <w:sym w:font="Symbol" w:char="F065"/>
      </w:r>
      <w:r>
        <w:rPr>
          <w:vertAlign w:val="subscript"/>
        </w:rPr>
        <w:t>t-1</w:t>
      </w:r>
      <w:r>
        <w:t xml:space="preserve"> + 0.9484</w:t>
      </w:r>
      <w:r>
        <w:sym w:font="Symbol" w:char="F065"/>
      </w:r>
      <w:r>
        <w:rPr>
          <w:vertAlign w:val="subscript"/>
        </w:rPr>
        <w:t>t-12</w:t>
      </w:r>
      <w:r>
        <w:t xml:space="preserve"> + 0.0847</w:t>
      </w:r>
      <w:r>
        <w:sym w:font="Symbol" w:char="F065"/>
      </w:r>
      <w:r>
        <w:rPr>
          <w:vertAlign w:val="subscript"/>
        </w:rPr>
        <w:t>t-13</w:t>
      </w:r>
      <w:r>
        <w:t xml:space="preserve"> + </w:t>
      </w:r>
      <w:r>
        <w:sym w:font="Symbol" w:char="F065"/>
      </w:r>
      <w:r>
        <w:rPr>
          <w:vertAlign w:val="subscript"/>
        </w:rPr>
        <w:t>t</w:t>
      </w:r>
      <w:r>
        <w:t xml:space="preserve"> </w:t>
      </w:r>
      <w:r>
        <w:tab/>
      </w:r>
      <w:r>
        <w:tab/>
      </w:r>
      <w:r>
        <w:tab/>
        <w:t>(7)</w:t>
      </w:r>
    </w:p>
    <w:p w:rsidR="000C33B3" w:rsidRDefault="000C33B3" w:rsidP="00CB51A8">
      <w:pPr>
        <w:pStyle w:val="NoSpacing"/>
      </w:pPr>
      <w:r>
        <w:t xml:space="preserve">      (</w:t>
      </w:r>
      <w:r>
        <w:sym w:font="Symbol" w:char="F0B1"/>
      </w:r>
      <w:r>
        <w:t>0.0805)      (</w:t>
      </w:r>
      <w:r>
        <w:sym w:font="Symbol" w:char="F0B1"/>
      </w:r>
      <w:r>
        <w:t>0.0650)       (</w:t>
      </w:r>
      <w:r>
        <w:sym w:font="Symbol" w:char="F0B1"/>
      </w:r>
      <w:r>
        <w:t>0.1246)   (</w:t>
      </w:r>
      <w:r>
        <w:sym w:font="Symbol" w:char="F0B1"/>
      </w:r>
      <w:r w:rsidR="00255B67">
        <w:t>0.0223)      (</w:t>
      </w:r>
      <w:r w:rsidR="00255B67">
        <w:sym w:font="Symbol" w:char="F0B1"/>
      </w:r>
      <w:r w:rsidR="00255B67">
        <w:t>0.1215)</w:t>
      </w:r>
    </w:p>
    <w:p w:rsidR="00255B67" w:rsidRDefault="00255B67" w:rsidP="00CB51A8">
      <w:pPr>
        <w:pStyle w:val="NoSpacing"/>
      </w:pPr>
    </w:p>
    <w:p w:rsidR="00255B67" w:rsidRDefault="00255B67" w:rsidP="00CB51A8">
      <w:pPr>
        <w:pStyle w:val="NoSpacing"/>
      </w:pPr>
      <w:r>
        <w:t>which suggests a SARIMA(0,1,0)x(2,1,1)</w:t>
      </w:r>
      <w:r>
        <w:rPr>
          <w:vertAlign w:val="subscript"/>
        </w:rPr>
        <w:t>12</w:t>
      </w:r>
      <w:r>
        <w:t xml:space="preserve"> model. This is estimated in Table 5 as</w:t>
      </w:r>
    </w:p>
    <w:p w:rsidR="00255B67" w:rsidRDefault="00255B67" w:rsidP="00CB51A8">
      <w:pPr>
        <w:pStyle w:val="NoSpacing"/>
      </w:pPr>
    </w:p>
    <w:p w:rsidR="00255B67" w:rsidRDefault="00255B67" w:rsidP="00CB51A8">
      <w:pPr>
        <w:pStyle w:val="NoSpacing"/>
      </w:pPr>
      <w:r>
        <w:t>X</w:t>
      </w:r>
      <w:r>
        <w:rPr>
          <w:vertAlign w:val="subscript"/>
        </w:rPr>
        <w:t>t</w:t>
      </w:r>
      <w:r>
        <w:t xml:space="preserve"> + 0.9329X</w:t>
      </w:r>
      <w:r>
        <w:rPr>
          <w:vertAlign w:val="subscript"/>
        </w:rPr>
        <w:t>t-12</w:t>
      </w:r>
      <w:r>
        <w:t xml:space="preserve"> + 0.3849X</w:t>
      </w:r>
      <w:r>
        <w:rPr>
          <w:vertAlign w:val="subscript"/>
        </w:rPr>
        <w:t>t-24</w:t>
      </w:r>
      <w:r>
        <w:t xml:space="preserve"> = 0.9330</w:t>
      </w:r>
      <w:r>
        <w:sym w:font="Symbol" w:char="F065"/>
      </w:r>
      <w:r>
        <w:rPr>
          <w:vertAlign w:val="subscript"/>
        </w:rPr>
        <w:t>t-12</w:t>
      </w:r>
      <w:r>
        <w:t xml:space="preserve"> + </w:t>
      </w:r>
      <w:r>
        <w:sym w:font="Symbol" w:char="F065"/>
      </w:r>
      <w:r>
        <w:rPr>
          <w:vertAlign w:val="subscript"/>
        </w:rPr>
        <w:t>t</w:t>
      </w:r>
      <w:r>
        <w:t xml:space="preserve"> </w:t>
      </w:r>
      <w:r>
        <w:tab/>
      </w:r>
      <w:r>
        <w:tab/>
      </w:r>
      <w:r>
        <w:tab/>
      </w:r>
      <w:r>
        <w:tab/>
      </w:r>
      <w:r>
        <w:tab/>
      </w:r>
      <w:r>
        <w:tab/>
        <w:t>(8)</w:t>
      </w:r>
    </w:p>
    <w:p w:rsidR="00255B67" w:rsidRDefault="00255B67" w:rsidP="00CB51A8">
      <w:pPr>
        <w:pStyle w:val="NoSpacing"/>
      </w:pPr>
      <w:r>
        <w:t xml:space="preserve">      (</w:t>
      </w:r>
      <w:r>
        <w:sym w:font="Symbol" w:char="F0B1"/>
      </w:r>
      <w:r>
        <w:t>0.0750)      (</w:t>
      </w:r>
      <w:r>
        <w:sym w:font="Symbol" w:char="F0B1"/>
      </w:r>
      <w:r>
        <w:t>0.0612)       (</w:t>
      </w:r>
      <w:r>
        <w:sym w:font="Symbol" w:char="F0B1"/>
      </w:r>
      <w:r w:rsidR="003368AA">
        <w:t>0.0200)</w:t>
      </w:r>
    </w:p>
    <w:p w:rsidR="003368AA" w:rsidRDefault="003368AA" w:rsidP="00CB51A8">
      <w:pPr>
        <w:pStyle w:val="NoSpacing"/>
      </w:pPr>
    </w:p>
    <w:p w:rsidR="003368AA" w:rsidRDefault="003368AA" w:rsidP="00CB51A8">
      <w:pPr>
        <w:pStyle w:val="NoSpacing"/>
      </w:pPr>
      <w:r>
        <w:t>In models (4) through (8), X represents DSDPLR. Model (8) is the most adequate on minimum AIC grounds.</w:t>
      </w:r>
    </w:p>
    <w:p w:rsidR="003368AA" w:rsidRDefault="003368AA" w:rsidP="00CB51A8">
      <w:pPr>
        <w:pStyle w:val="NoSpacing"/>
      </w:pPr>
    </w:p>
    <w:p w:rsidR="003368AA" w:rsidRDefault="009C69F9" w:rsidP="00CB51A8">
      <w:pPr>
        <w:pStyle w:val="NoSpacing"/>
      </w:pPr>
      <w:r>
        <w:t>The residuals of model (8) are mostly uncorrelated (See Figure 6) and normally distributed ( See the Jarque Bera test of Figure 7) implying that model (8) is adequate.</w:t>
      </w:r>
    </w:p>
    <w:p w:rsidR="009C69F9" w:rsidRDefault="009C69F9" w:rsidP="00CB51A8">
      <w:pPr>
        <w:pStyle w:val="NoSpacing"/>
      </w:pPr>
    </w:p>
    <w:p w:rsidR="009C69F9" w:rsidRDefault="009C69F9" w:rsidP="00CB51A8">
      <w:pPr>
        <w:pStyle w:val="NoSpacing"/>
        <w:rPr>
          <w:b/>
        </w:rPr>
      </w:pPr>
      <w:r>
        <w:rPr>
          <w:b/>
        </w:rPr>
        <w:t>CONCLUSION</w:t>
      </w:r>
    </w:p>
    <w:p w:rsidR="009C69F9" w:rsidRDefault="009C69F9" w:rsidP="00CB51A8">
      <w:pPr>
        <w:pStyle w:val="NoSpacing"/>
        <w:rPr>
          <w:b/>
        </w:rPr>
      </w:pPr>
    </w:p>
    <w:p w:rsidR="009C69F9" w:rsidRPr="009C69F9" w:rsidRDefault="009C69F9" w:rsidP="00CB51A8">
      <w:pPr>
        <w:pStyle w:val="NoSpacing"/>
      </w:pPr>
      <w:r>
        <w:t>It may be concluded that the prime lending rates of Nigerian banks follow a SARIMA(0,1,0)x(2,1,1)</w:t>
      </w:r>
      <w:r>
        <w:rPr>
          <w:vertAlign w:val="subscript"/>
        </w:rPr>
        <w:t>12</w:t>
      </w:r>
      <w:r>
        <w:t xml:space="preserve"> model. Forecasting of these rates may be done on the basis of the model.</w:t>
      </w:r>
    </w:p>
    <w:p w:rsidR="000C33B3" w:rsidRPr="000C33B3" w:rsidRDefault="000C33B3" w:rsidP="00CB51A8">
      <w:pPr>
        <w:pStyle w:val="NoSpacing"/>
      </w:pPr>
    </w:p>
    <w:p w:rsidR="005F2CEE" w:rsidRDefault="00F30BFB" w:rsidP="00CB51A8">
      <w:pPr>
        <w:pStyle w:val="NoSpacing"/>
        <w:rPr>
          <w:b/>
        </w:rPr>
      </w:pPr>
      <w:r>
        <w:rPr>
          <w:b/>
        </w:rPr>
        <w:t>REFERENCES</w:t>
      </w:r>
    </w:p>
    <w:p w:rsidR="00F30BFB" w:rsidRDefault="00F30BFB" w:rsidP="00CB51A8">
      <w:pPr>
        <w:pStyle w:val="NoSpacing"/>
        <w:rPr>
          <w:b/>
        </w:rPr>
      </w:pPr>
    </w:p>
    <w:p w:rsidR="00F30BFB" w:rsidRDefault="00F30BFB" w:rsidP="00F30BFB">
      <w:pPr>
        <w:pStyle w:val="NoSpacing"/>
        <w:numPr>
          <w:ilvl w:val="0"/>
          <w:numId w:val="1"/>
        </w:numPr>
      </w:pPr>
      <w:r>
        <w:t>Adanacioglu, H. and Yercan, M. (2012). An analysis of tomato prices at wholesale level in Turkey: an application of SARIMA</w:t>
      </w:r>
      <w:r w:rsidR="00D307E3">
        <w:t xml:space="preserve"> model. Custos e @ gronegocio on line, Vol. 8, No. 4, 52 – 75.</w:t>
      </w:r>
    </w:p>
    <w:p w:rsidR="00893E03" w:rsidRDefault="00893E03" w:rsidP="00F30BFB">
      <w:pPr>
        <w:pStyle w:val="NoSpacing"/>
        <w:numPr>
          <w:ilvl w:val="0"/>
          <w:numId w:val="1"/>
        </w:numPr>
      </w:pPr>
      <w:r>
        <w:t>Box, G. E. P. and Jenkins, G. M. (1976). Time Series Analysis, Forecasting and Control. San Francisco: Holden-Day.</w:t>
      </w:r>
    </w:p>
    <w:p w:rsidR="00D307E3" w:rsidRDefault="00D307E3" w:rsidP="00F30BFB">
      <w:pPr>
        <w:pStyle w:val="NoSpacing"/>
        <w:numPr>
          <w:ilvl w:val="0"/>
          <w:numId w:val="1"/>
        </w:numPr>
      </w:pPr>
      <w:r>
        <w:t>Etuk, E. H. (2012). A multiplicative seasonal Box-Jenkins model to Nigerian Stock Prices. Interdisciplinary Journal of Research in Business, Vol. 2, No. 4, 1 – 7.</w:t>
      </w:r>
    </w:p>
    <w:p w:rsidR="00D307E3" w:rsidRDefault="00D307E3" w:rsidP="00F30BFB">
      <w:pPr>
        <w:pStyle w:val="NoSpacing"/>
        <w:numPr>
          <w:ilvl w:val="0"/>
          <w:numId w:val="1"/>
        </w:numPr>
      </w:pPr>
      <w:r>
        <w:t>Etuk, E. H., Aboko, I. S., Victor-Edema, U. A., and Dimkpa, M. Y. (2014). An additive seasonal Box-Jenkins model for Nigerian Monthly Savings Deposit Rates. Issues in Business Management and Economics. Vol. 2, No. 3, 54 – 59.</w:t>
      </w:r>
    </w:p>
    <w:p w:rsidR="00893E03" w:rsidRDefault="00893E03" w:rsidP="00F30BFB">
      <w:pPr>
        <w:pStyle w:val="NoSpacing"/>
        <w:numPr>
          <w:ilvl w:val="0"/>
          <w:numId w:val="1"/>
        </w:numPr>
      </w:pPr>
      <w:r>
        <w:t>Etuk, E. H., Agbam, A. S., Sibeate, P. U., and Etuk, F. E. (2014). Another Look at the Time Series Modelling of Monthly Internally generated Revenue of Mbaitoli LGA of Nigeria. International Journal of Management Sciences, Vol. 3, No. 10, 838 – 846.</w:t>
      </w:r>
    </w:p>
    <w:p w:rsidR="00D307E3" w:rsidRDefault="00893E03" w:rsidP="00F30BFB">
      <w:pPr>
        <w:pStyle w:val="NoSpacing"/>
        <w:numPr>
          <w:ilvl w:val="0"/>
          <w:numId w:val="1"/>
        </w:numPr>
      </w:pPr>
      <w:r>
        <w:t xml:space="preserve"> Fannoh, R., Orwa, G. O. and Mung’atu, J. K. (2012). Modeling the Inflation Rates in Liberia SARIMA Approach</w:t>
      </w:r>
      <w:r w:rsidR="00793471">
        <w:t>. International Journal of Science and Research. Vol. 3, Issue 6, 1360 – 1367.</w:t>
      </w:r>
    </w:p>
    <w:p w:rsidR="00793471" w:rsidRDefault="00793471" w:rsidP="00F30BFB">
      <w:pPr>
        <w:pStyle w:val="NoSpacing"/>
        <w:numPr>
          <w:ilvl w:val="0"/>
          <w:numId w:val="1"/>
        </w:numPr>
      </w:pPr>
      <w:r>
        <w:t>Hassan, M. F., Islam, M. A., Imam, M. F. and Sayem, S. M. (2013). Forecasting wholesale price of coarse rice in Bangladesh: A seasonal autoregressive integrated moving average approach. Journal of Bangladesh Agricultural University. Vol. 11, No. 2, 271 – 276.</w:t>
      </w:r>
    </w:p>
    <w:p w:rsidR="00793471" w:rsidRDefault="00793471" w:rsidP="00F30BFB">
      <w:pPr>
        <w:pStyle w:val="NoSpacing"/>
        <w:numPr>
          <w:ilvl w:val="0"/>
          <w:numId w:val="1"/>
        </w:numPr>
      </w:pPr>
      <w:r>
        <w:t>Khajavi, E., Behzadi, J., Nezami, M. T., Ghodrati, A. and Dadashi, M. A. (2012). Modeling ARIMA of air temperature of the southern Caspian Sea Coasts. International Research Journal of Applied and Basic Sciences. Vol. 3, No. 6, 1279 – 1287.</w:t>
      </w:r>
    </w:p>
    <w:p w:rsidR="00D805E6" w:rsidRDefault="00D805E6" w:rsidP="00F30BFB">
      <w:pPr>
        <w:pStyle w:val="NoSpacing"/>
        <w:numPr>
          <w:ilvl w:val="0"/>
          <w:numId w:val="1"/>
        </w:numPr>
      </w:pPr>
      <w:r>
        <w:t>Martinez, E. Z., Soares Da Silva, E. A. and Fabbro, A. L. D. (2011). A sarima forecasting model to predict the number of cases of dengue in Campinas, state of Sao Paulo, Brazil. Rev. Soc. Bras. Med. Trop., vol. 44, 436 – 440.</w:t>
      </w:r>
    </w:p>
    <w:p w:rsidR="00D805E6" w:rsidRDefault="00D805E6" w:rsidP="00F30BFB">
      <w:pPr>
        <w:pStyle w:val="NoSpacing"/>
        <w:numPr>
          <w:ilvl w:val="0"/>
          <w:numId w:val="1"/>
        </w:numPr>
      </w:pPr>
      <w:r>
        <w:t xml:space="preserve">Moosazadeh, M., Nasehi, M., Bahrampour, A. Khanjani, N., Sharafi, S. and Ahmadi, S. (2014). Forecasting Tuberculosis Incidence in Iran Using Box-Jenkins Models. Iranian red crescent Medical Journal. Vol. 16, No. 5. </w:t>
      </w:r>
      <w:hyperlink r:id="rId6" w:history="1">
        <w:r w:rsidRPr="002977F6">
          <w:rPr>
            <w:rStyle w:val="Hyperlink"/>
          </w:rPr>
          <w:t>www.ircmj.com/?page=article&amp;article_id=11779</w:t>
        </w:r>
      </w:hyperlink>
      <w:r>
        <w:t xml:space="preserve">. </w:t>
      </w:r>
    </w:p>
    <w:p w:rsidR="00BC0FB1" w:rsidRDefault="00BC0FB1" w:rsidP="00F30BFB">
      <w:pPr>
        <w:pStyle w:val="NoSpacing"/>
        <w:numPr>
          <w:ilvl w:val="0"/>
          <w:numId w:val="1"/>
        </w:numPr>
      </w:pPr>
      <w:r>
        <w:lastRenderedPageBreak/>
        <w:t xml:space="preserve">Padhan, P. C. (2011). Forecasting international Tourists footfalls in India: An Assortment of Competing Models. International Journal of Business and Management. Vool. 6, No. 5, 190 – 202. </w:t>
      </w:r>
    </w:p>
    <w:p w:rsidR="00D805E6" w:rsidRDefault="00D805E6" w:rsidP="00D805E6">
      <w:pPr>
        <w:pStyle w:val="NoSpacing"/>
      </w:pPr>
    </w:p>
    <w:p w:rsidR="00793471" w:rsidRPr="00F30BFB" w:rsidRDefault="00793471" w:rsidP="00D805E6">
      <w:pPr>
        <w:pStyle w:val="NoSpacing"/>
      </w:pPr>
      <w:r>
        <w:t xml:space="preserve">  </w:t>
      </w:r>
    </w:p>
    <w:p w:rsidR="005F2CEE" w:rsidRPr="005F2CEE" w:rsidRDefault="005F2CEE" w:rsidP="00CB51A8">
      <w:pPr>
        <w:pStyle w:val="NoSpacing"/>
      </w:pPr>
    </w:p>
    <w:p w:rsidR="006430D5" w:rsidRPr="006430D5" w:rsidRDefault="006430D5" w:rsidP="00CB51A8">
      <w:pPr>
        <w:pStyle w:val="NoSpacing"/>
      </w:pPr>
    </w:p>
    <w:p w:rsidR="00906FB4" w:rsidRDefault="00406960" w:rsidP="00CB51A8">
      <w:pPr>
        <w:pStyle w:val="NoSpacing"/>
      </w:pPr>
      <w:r>
        <w:t xml:space="preserve">  </w:t>
      </w:r>
      <w:r w:rsidR="00283C3A">
        <w:t xml:space="preserve"> </w:t>
      </w:r>
    </w:p>
    <w:p w:rsidR="00970803" w:rsidRDefault="00970803" w:rsidP="00CB51A8">
      <w:pPr>
        <w:pStyle w:val="NoSpacing"/>
      </w:pPr>
    </w:p>
    <w:p w:rsidR="00970803" w:rsidRPr="00906FB4" w:rsidRDefault="00970803" w:rsidP="00CB51A8">
      <w:pPr>
        <w:pStyle w:val="NoSpacing"/>
      </w:pPr>
    </w:p>
    <w:p w:rsidR="00DB624D" w:rsidRPr="001F12F6" w:rsidRDefault="00DB624D" w:rsidP="00CB51A8">
      <w:pPr>
        <w:pStyle w:val="NoSpacing"/>
      </w:pPr>
    </w:p>
    <w:p w:rsidR="00822EB4" w:rsidRDefault="00822EB4" w:rsidP="00CB51A8">
      <w:pPr>
        <w:pStyle w:val="NoSpacing"/>
      </w:pPr>
    </w:p>
    <w:p w:rsidR="00822EB4" w:rsidRPr="00822EB4" w:rsidRDefault="00822EB4" w:rsidP="00CB51A8">
      <w:pPr>
        <w:pStyle w:val="NoSpacing"/>
      </w:pPr>
    </w:p>
    <w:p w:rsidR="00035160" w:rsidRDefault="00035160" w:rsidP="00CB51A8">
      <w:pPr>
        <w:pStyle w:val="NoSpacing"/>
      </w:pPr>
    </w:p>
    <w:p w:rsidR="00545392" w:rsidRPr="00330DE3" w:rsidRDefault="00545392" w:rsidP="00545392"/>
    <w:p w:rsidR="00B03D97" w:rsidRDefault="00B03D97" w:rsidP="00B03D97">
      <w:pPr>
        <w:pStyle w:val="NoSpacing"/>
      </w:pPr>
    </w:p>
    <w:p w:rsidR="00D12427" w:rsidRDefault="00D12427"/>
    <w:p w:rsidR="00D12427" w:rsidRDefault="00D12427"/>
    <w:p w:rsidR="00D12427" w:rsidRDefault="00D12427"/>
    <w:p w:rsidR="00D12427" w:rsidRDefault="00D12427"/>
    <w:p w:rsidR="00D12427" w:rsidRDefault="00D12427"/>
    <w:p w:rsidR="00D12427" w:rsidRDefault="00D12427"/>
    <w:p w:rsidR="00D12427" w:rsidRDefault="00D12427"/>
    <w:p w:rsidR="00D12427" w:rsidRDefault="00D12427"/>
    <w:p w:rsidR="00D12427" w:rsidRDefault="00D12427"/>
    <w:p w:rsidR="00D12427" w:rsidRDefault="00D12427"/>
    <w:p w:rsidR="00D12427" w:rsidRDefault="00D12427"/>
    <w:p w:rsidR="00D12427" w:rsidRDefault="00D13C9E">
      <w:r>
        <w:rPr>
          <w:noProof/>
          <w:lang w:eastAsia="en-GB"/>
        </w:rPr>
        <w:lastRenderedPageBreak/>
        <w:drawing>
          <wp:inline distT="0" distB="0" distL="0" distR="0">
            <wp:extent cx="5731510" cy="3916045"/>
            <wp:effectExtent l="19050" t="0" r="2540" b="0"/>
            <wp:docPr id="6" name="Picture 5" descr="New Picture (1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8).bmp"/>
                    <pic:cNvPicPr/>
                  </pic:nvPicPr>
                  <pic:blipFill>
                    <a:blip r:embed="rId7" cstate="print"/>
                    <a:stretch>
                      <a:fillRect/>
                    </a:stretch>
                  </pic:blipFill>
                  <pic:spPr>
                    <a:xfrm>
                      <a:off x="0" y="0"/>
                      <a:ext cx="5731510" cy="3916045"/>
                    </a:xfrm>
                    <a:prstGeom prst="rect">
                      <a:avLst/>
                    </a:prstGeom>
                  </pic:spPr>
                </pic:pic>
              </a:graphicData>
            </a:graphic>
          </wp:inline>
        </w:drawing>
      </w:r>
    </w:p>
    <w:p w:rsidR="00125D4F" w:rsidRDefault="00125D4F"/>
    <w:p w:rsidR="00125D4F" w:rsidRDefault="00125D4F"/>
    <w:p w:rsidR="00125D4F" w:rsidRDefault="00366BA6">
      <w:r>
        <w:rPr>
          <w:noProof/>
          <w:lang w:eastAsia="en-GB"/>
        </w:rPr>
        <w:lastRenderedPageBreak/>
        <w:drawing>
          <wp:inline distT="0" distB="0" distL="0" distR="0">
            <wp:extent cx="4161905" cy="5695238"/>
            <wp:effectExtent l="19050" t="0" r="0" b="0"/>
            <wp:docPr id="1" name="Picture 0" descr="New Picture (1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9).bmp"/>
                    <pic:cNvPicPr/>
                  </pic:nvPicPr>
                  <pic:blipFill>
                    <a:blip r:embed="rId8" cstate="print"/>
                    <a:stretch>
                      <a:fillRect/>
                    </a:stretch>
                  </pic:blipFill>
                  <pic:spPr>
                    <a:xfrm>
                      <a:off x="0" y="0"/>
                      <a:ext cx="4161905" cy="5695238"/>
                    </a:xfrm>
                    <a:prstGeom prst="rect">
                      <a:avLst/>
                    </a:prstGeom>
                  </pic:spPr>
                </pic:pic>
              </a:graphicData>
            </a:graphic>
          </wp:inline>
        </w:drawing>
      </w:r>
    </w:p>
    <w:p w:rsidR="00FF3B75" w:rsidRDefault="00FF3B75">
      <w:r>
        <w:t>FIGURE 2: CORRELOGRAM OF PLR</w:t>
      </w:r>
    </w:p>
    <w:p w:rsidR="00125D4F" w:rsidRDefault="00125D4F"/>
    <w:p w:rsidR="00125D4F" w:rsidRDefault="00BB75BA">
      <w:r>
        <w:rPr>
          <w:noProof/>
          <w:lang w:eastAsia="en-GB"/>
        </w:rPr>
        <w:lastRenderedPageBreak/>
        <w:drawing>
          <wp:inline distT="0" distB="0" distL="0" distR="0">
            <wp:extent cx="5731510" cy="3927475"/>
            <wp:effectExtent l="19050" t="0" r="2540" b="0"/>
            <wp:docPr id="7" name="Picture 6" descr="New Picture (1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0).bmp"/>
                    <pic:cNvPicPr/>
                  </pic:nvPicPr>
                  <pic:blipFill>
                    <a:blip r:embed="rId9" cstate="print"/>
                    <a:stretch>
                      <a:fillRect/>
                    </a:stretch>
                  </pic:blipFill>
                  <pic:spPr>
                    <a:xfrm>
                      <a:off x="0" y="0"/>
                      <a:ext cx="5731510" cy="3927475"/>
                    </a:xfrm>
                    <a:prstGeom prst="rect">
                      <a:avLst/>
                    </a:prstGeom>
                  </pic:spPr>
                </pic:pic>
              </a:graphicData>
            </a:graphic>
          </wp:inline>
        </w:drawing>
      </w:r>
    </w:p>
    <w:p w:rsidR="00A12438" w:rsidRDefault="00A12438"/>
    <w:p w:rsidR="00A12438" w:rsidRDefault="00A12438"/>
    <w:p w:rsidR="00125D4F" w:rsidRDefault="00125D4F"/>
    <w:p w:rsidR="00125D4F" w:rsidRDefault="00125D4F"/>
    <w:p w:rsidR="00125D4F" w:rsidRDefault="001D2F92">
      <w:r>
        <w:rPr>
          <w:noProof/>
          <w:lang w:eastAsia="en-GB"/>
        </w:rPr>
        <w:lastRenderedPageBreak/>
        <w:drawing>
          <wp:inline distT="0" distB="0" distL="0" distR="0">
            <wp:extent cx="5731510" cy="3949065"/>
            <wp:effectExtent l="19050" t="0" r="2540" b="0"/>
            <wp:docPr id="2" name="Picture 1" descr="New Picture (1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3).bmp"/>
                    <pic:cNvPicPr/>
                  </pic:nvPicPr>
                  <pic:blipFill>
                    <a:blip r:embed="rId10" cstate="print"/>
                    <a:stretch>
                      <a:fillRect/>
                    </a:stretch>
                  </pic:blipFill>
                  <pic:spPr>
                    <a:xfrm>
                      <a:off x="0" y="0"/>
                      <a:ext cx="5731510" cy="3949065"/>
                    </a:xfrm>
                    <a:prstGeom prst="rect">
                      <a:avLst/>
                    </a:prstGeom>
                  </pic:spPr>
                </pic:pic>
              </a:graphicData>
            </a:graphic>
          </wp:inline>
        </w:drawing>
      </w:r>
    </w:p>
    <w:p w:rsidR="00A25F4D" w:rsidRDefault="00F95F26">
      <w:r>
        <w:rPr>
          <w:noProof/>
          <w:lang w:eastAsia="en-GB"/>
        </w:rPr>
        <w:lastRenderedPageBreak/>
        <w:drawing>
          <wp:inline distT="0" distB="0" distL="0" distR="0">
            <wp:extent cx="4190476" cy="5619048"/>
            <wp:effectExtent l="19050" t="0" r="524" b="0"/>
            <wp:docPr id="13" name="Picture 12" descr="New Picture (1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2).bmp"/>
                    <pic:cNvPicPr/>
                  </pic:nvPicPr>
                  <pic:blipFill>
                    <a:blip r:embed="rId11" cstate="print"/>
                    <a:stretch>
                      <a:fillRect/>
                    </a:stretch>
                  </pic:blipFill>
                  <pic:spPr>
                    <a:xfrm>
                      <a:off x="0" y="0"/>
                      <a:ext cx="4190476" cy="5619048"/>
                    </a:xfrm>
                    <a:prstGeom prst="rect">
                      <a:avLst/>
                    </a:prstGeom>
                  </pic:spPr>
                </pic:pic>
              </a:graphicData>
            </a:graphic>
          </wp:inline>
        </w:drawing>
      </w:r>
    </w:p>
    <w:p w:rsidR="001D2F92" w:rsidRDefault="001D2F92">
      <w:r>
        <w:t>FIGURE 5: CORRELOGRAM OF DSDPLR</w:t>
      </w:r>
    </w:p>
    <w:p w:rsidR="00635F4D" w:rsidRDefault="00635F4D"/>
    <w:p w:rsidR="00B2203E" w:rsidRDefault="00B2203E"/>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A25F4D" w:rsidRPr="001D2F92" w:rsidRDefault="001D2F92">
      <w:r>
        <w:t>TABLE 1: ESTIMATION OF THE SARIMA(0,1,1)X(0,1,1)</w:t>
      </w:r>
      <w:r>
        <w:rPr>
          <w:vertAlign w:val="subscript"/>
        </w:rPr>
        <w:t>12</w:t>
      </w:r>
      <w:r>
        <w:t xml:space="preserve"> MODEL</w:t>
      </w:r>
    </w:p>
    <w:p w:rsidR="00A25F4D" w:rsidRDefault="00635F4D">
      <w:r>
        <w:rPr>
          <w:noProof/>
          <w:lang w:eastAsia="en-GB"/>
        </w:rPr>
        <w:drawing>
          <wp:inline distT="0" distB="0" distL="0" distR="0">
            <wp:extent cx="4085715" cy="3685715"/>
            <wp:effectExtent l="19050" t="0" r="0" b="0"/>
            <wp:docPr id="14" name="Picture 13" descr="New Picture (1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3).bmp"/>
                    <pic:cNvPicPr/>
                  </pic:nvPicPr>
                  <pic:blipFill>
                    <a:blip r:embed="rId12" cstate="print"/>
                    <a:stretch>
                      <a:fillRect/>
                    </a:stretch>
                  </pic:blipFill>
                  <pic:spPr>
                    <a:xfrm>
                      <a:off x="0" y="0"/>
                      <a:ext cx="4085715" cy="3685715"/>
                    </a:xfrm>
                    <a:prstGeom prst="rect">
                      <a:avLst/>
                    </a:prstGeom>
                  </pic:spPr>
                </pic:pic>
              </a:graphicData>
            </a:graphic>
          </wp:inline>
        </w:drawing>
      </w:r>
    </w:p>
    <w:p w:rsidR="00B2203E" w:rsidRDefault="001D2F92">
      <w:r>
        <w:t>TABLE 2: ESTIMATION OF THE ADDITIVE SARIMA MODEL</w:t>
      </w:r>
    </w:p>
    <w:p w:rsidR="00B2203E" w:rsidRDefault="00621339">
      <w:r>
        <w:rPr>
          <w:noProof/>
          <w:lang w:eastAsia="en-GB"/>
        </w:rPr>
        <w:drawing>
          <wp:inline distT="0" distB="0" distL="0" distR="0">
            <wp:extent cx="4104762" cy="3390476"/>
            <wp:effectExtent l="19050" t="0" r="0" b="0"/>
            <wp:docPr id="15" name="Picture 14" descr="New Picture (12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4).bmp"/>
                    <pic:cNvPicPr/>
                  </pic:nvPicPr>
                  <pic:blipFill>
                    <a:blip r:embed="rId13" cstate="print"/>
                    <a:stretch>
                      <a:fillRect/>
                    </a:stretch>
                  </pic:blipFill>
                  <pic:spPr>
                    <a:xfrm>
                      <a:off x="0" y="0"/>
                      <a:ext cx="4104762" cy="3390476"/>
                    </a:xfrm>
                    <a:prstGeom prst="rect">
                      <a:avLst/>
                    </a:prstGeom>
                  </pic:spPr>
                </pic:pic>
              </a:graphicData>
            </a:graphic>
          </wp:inline>
        </w:drawing>
      </w:r>
    </w:p>
    <w:p w:rsidR="00621339" w:rsidRDefault="00621339"/>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Pr="001D2F92" w:rsidRDefault="001D2F92">
      <w:pPr>
        <w:rPr>
          <w:noProof/>
          <w:lang w:eastAsia="en-GB"/>
        </w:rPr>
      </w:pPr>
      <w:r>
        <w:rPr>
          <w:noProof/>
          <w:lang w:eastAsia="en-GB"/>
        </w:rPr>
        <w:t>TABLE 3: ESTIMATION OF THE SARIMA(0,1,1)X(1,1,1)</w:t>
      </w:r>
      <w:r>
        <w:rPr>
          <w:noProof/>
          <w:vertAlign w:val="subscript"/>
          <w:lang w:eastAsia="en-GB"/>
        </w:rPr>
        <w:t>12</w:t>
      </w:r>
      <w:r>
        <w:rPr>
          <w:noProof/>
          <w:lang w:eastAsia="en-GB"/>
        </w:rPr>
        <w:t xml:space="preserve"> MODEL</w:t>
      </w:r>
    </w:p>
    <w:p w:rsidR="005F2CEE" w:rsidRDefault="005F2CEE">
      <w:pPr>
        <w:rPr>
          <w:noProof/>
          <w:lang w:eastAsia="en-GB"/>
        </w:rPr>
      </w:pPr>
      <w:r w:rsidRPr="005F2CEE">
        <w:rPr>
          <w:noProof/>
          <w:lang w:eastAsia="en-GB"/>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105275" cy="4181475"/>
            <wp:effectExtent l="19050" t="0" r="9525" b="0"/>
            <wp:wrapSquare wrapText="bothSides"/>
            <wp:docPr id="17" name="Picture 4" descr="New Picture (1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3).bmp"/>
                    <pic:cNvPicPr/>
                  </pic:nvPicPr>
                  <pic:blipFill>
                    <a:blip r:embed="rId14" cstate="print"/>
                    <a:stretch>
                      <a:fillRect/>
                    </a:stretch>
                  </pic:blipFill>
                  <pic:spPr>
                    <a:xfrm>
                      <a:off x="0" y="0"/>
                      <a:ext cx="4105275" cy="4181475"/>
                    </a:xfrm>
                    <a:prstGeom prst="rect">
                      <a:avLst/>
                    </a:prstGeom>
                  </pic:spPr>
                </pic:pic>
              </a:graphicData>
            </a:graphic>
          </wp:anchor>
        </w:drawing>
      </w:r>
    </w:p>
    <w:p w:rsidR="005F2CEE" w:rsidRDefault="005F2CEE">
      <w:pPr>
        <w:rPr>
          <w:noProof/>
          <w:lang w:eastAsia="en-GB"/>
        </w:rPr>
      </w:pPr>
    </w:p>
    <w:p w:rsidR="005F2CEE" w:rsidRDefault="005F2CEE">
      <w:pPr>
        <w:rPr>
          <w:noProof/>
          <w:lang w:eastAsia="en-GB"/>
        </w:rPr>
      </w:pPr>
      <w:r>
        <w:rPr>
          <w:noProof/>
          <w:lang w:eastAsia="en-GB"/>
        </w:rPr>
        <w:t xml:space="preserve"> </w:t>
      </w: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5F2CEE" w:rsidRDefault="005F2CEE">
      <w:pPr>
        <w:rPr>
          <w:noProof/>
          <w:lang w:eastAsia="en-GB"/>
        </w:rPr>
      </w:pPr>
    </w:p>
    <w:p w:rsidR="00621339" w:rsidRDefault="005F2CEE">
      <w:r>
        <w:br w:type="textWrapping" w:clear="all"/>
      </w:r>
    </w:p>
    <w:p w:rsidR="00A43635" w:rsidRDefault="00A43635"/>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1D2F92" w:rsidRDefault="001D2F92"/>
    <w:p w:rsidR="00B2203E" w:rsidRPr="001D2F92" w:rsidRDefault="001D2F92">
      <w:r>
        <w:t>TABLE 4: ESTIMATION OF THE SARIMA(0,1,1)X(2,1,1)</w:t>
      </w:r>
      <w:r>
        <w:rPr>
          <w:vertAlign w:val="subscript"/>
        </w:rPr>
        <w:t>12</w:t>
      </w:r>
      <w:r>
        <w:t xml:space="preserve"> MODEL</w:t>
      </w:r>
    </w:p>
    <w:p w:rsidR="00B2203E" w:rsidRDefault="00554D5E">
      <w:r>
        <w:rPr>
          <w:noProof/>
          <w:lang w:eastAsia="en-GB"/>
        </w:rPr>
        <w:drawing>
          <wp:inline distT="0" distB="0" distL="0" distR="0">
            <wp:extent cx="4085715" cy="4828572"/>
            <wp:effectExtent l="19050" t="0" r="0" b="0"/>
            <wp:docPr id="3" name="Picture 2" descr="New Picture (1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26).bmp"/>
                    <pic:cNvPicPr/>
                  </pic:nvPicPr>
                  <pic:blipFill>
                    <a:blip r:embed="rId15" cstate="print"/>
                    <a:stretch>
                      <a:fillRect/>
                    </a:stretch>
                  </pic:blipFill>
                  <pic:spPr>
                    <a:xfrm>
                      <a:off x="0" y="0"/>
                      <a:ext cx="4085715" cy="4828572"/>
                    </a:xfrm>
                    <a:prstGeom prst="rect">
                      <a:avLst/>
                    </a:prstGeom>
                  </pic:spPr>
                </pic:pic>
              </a:graphicData>
            </a:graphic>
          </wp:inline>
        </w:drawing>
      </w:r>
    </w:p>
    <w:p w:rsidR="001D07C3" w:rsidRPr="001D07C3" w:rsidRDefault="001D07C3"/>
    <w:p w:rsidR="000846E0" w:rsidRDefault="000846E0"/>
    <w:p w:rsidR="00F8775D" w:rsidRDefault="00F8775D">
      <w:pPr>
        <w:rPr>
          <w:noProof/>
          <w:lang w:eastAsia="en-GB"/>
        </w:rPr>
      </w:pPr>
    </w:p>
    <w:p w:rsidR="001D07C3" w:rsidRDefault="001D07C3">
      <w:pPr>
        <w:rPr>
          <w:noProof/>
          <w:lang w:eastAsia="en-GB"/>
        </w:rPr>
      </w:pPr>
    </w:p>
    <w:p w:rsidR="00FF698F" w:rsidRDefault="00FF698F">
      <w:pPr>
        <w:rPr>
          <w:noProof/>
          <w:lang w:eastAsia="en-GB"/>
        </w:rPr>
      </w:pPr>
    </w:p>
    <w:p w:rsidR="001D2F92" w:rsidRDefault="001D2F92">
      <w:pPr>
        <w:rPr>
          <w:noProof/>
          <w:lang w:eastAsia="en-GB"/>
        </w:rPr>
      </w:pPr>
    </w:p>
    <w:p w:rsidR="001D2F92" w:rsidRDefault="001D2F92">
      <w:pPr>
        <w:rPr>
          <w:noProof/>
          <w:lang w:eastAsia="en-GB"/>
        </w:rPr>
      </w:pPr>
    </w:p>
    <w:p w:rsidR="001D2F92" w:rsidRDefault="001D2F92">
      <w:pPr>
        <w:rPr>
          <w:noProof/>
          <w:lang w:eastAsia="en-GB"/>
        </w:rPr>
      </w:pPr>
    </w:p>
    <w:p w:rsidR="001D2F92" w:rsidRDefault="001D2F92">
      <w:pPr>
        <w:rPr>
          <w:noProof/>
          <w:lang w:eastAsia="en-GB"/>
        </w:rPr>
      </w:pPr>
    </w:p>
    <w:p w:rsidR="001D2F92" w:rsidRDefault="001D2F92">
      <w:pPr>
        <w:rPr>
          <w:noProof/>
          <w:lang w:eastAsia="en-GB"/>
        </w:rPr>
      </w:pPr>
    </w:p>
    <w:p w:rsidR="001D2F92" w:rsidRDefault="001D2F92">
      <w:pPr>
        <w:rPr>
          <w:noProof/>
          <w:lang w:eastAsia="en-GB"/>
        </w:rPr>
      </w:pPr>
    </w:p>
    <w:p w:rsidR="00FF698F" w:rsidRPr="001D2F92" w:rsidRDefault="001D2F92">
      <w:pPr>
        <w:rPr>
          <w:noProof/>
          <w:lang w:eastAsia="en-GB"/>
        </w:rPr>
      </w:pPr>
      <w:r>
        <w:rPr>
          <w:noProof/>
          <w:lang w:eastAsia="en-GB"/>
        </w:rPr>
        <w:t>TABLE 5: ESTIMATION OF THE SARIMA(0,1,0)X(2,1,1)</w:t>
      </w:r>
      <w:r>
        <w:rPr>
          <w:noProof/>
          <w:vertAlign w:val="subscript"/>
          <w:lang w:eastAsia="en-GB"/>
        </w:rPr>
        <w:t>12</w:t>
      </w:r>
      <w:r>
        <w:rPr>
          <w:noProof/>
          <w:lang w:eastAsia="en-GB"/>
        </w:rPr>
        <w:t xml:space="preserve"> MODEL</w:t>
      </w:r>
    </w:p>
    <w:p w:rsidR="00FF698F" w:rsidRPr="001D07C3" w:rsidRDefault="00FF698F">
      <w:pPr>
        <w:rPr>
          <w:noProof/>
          <w:lang w:eastAsia="en-GB"/>
        </w:rPr>
      </w:pPr>
      <w:r>
        <w:rPr>
          <w:noProof/>
          <w:lang w:eastAsia="en-GB"/>
        </w:rPr>
        <w:drawing>
          <wp:inline distT="0" distB="0" distL="0" distR="0">
            <wp:extent cx="4085715" cy="4390476"/>
            <wp:effectExtent l="19050" t="0" r="0" b="0"/>
            <wp:docPr id="10" name="Picture 9" descr="New Picture (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4).bmp"/>
                    <pic:cNvPicPr/>
                  </pic:nvPicPr>
                  <pic:blipFill>
                    <a:blip r:embed="rId16" cstate="print"/>
                    <a:stretch>
                      <a:fillRect/>
                    </a:stretch>
                  </pic:blipFill>
                  <pic:spPr>
                    <a:xfrm>
                      <a:off x="0" y="0"/>
                      <a:ext cx="4085715" cy="4390476"/>
                    </a:xfrm>
                    <a:prstGeom prst="rect">
                      <a:avLst/>
                    </a:prstGeom>
                  </pic:spPr>
                </pic:pic>
              </a:graphicData>
            </a:graphic>
          </wp:inline>
        </w:drawing>
      </w:r>
    </w:p>
    <w:p w:rsidR="00F8775D" w:rsidRDefault="00F8775D">
      <w:pPr>
        <w:rPr>
          <w:noProof/>
          <w:lang w:eastAsia="en-GB"/>
        </w:rPr>
      </w:pPr>
    </w:p>
    <w:p w:rsidR="00F8775D" w:rsidRDefault="00F8775D">
      <w:pPr>
        <w:rPr>
          <w:noProof/>
          <w:lang w:eastAsia="en-GB"/>
        </w:rPr>
      </w:pPr>
    </w:p>
    <w:p w:rsidR="00554D5E" w:rsidRDefault="001D07C3">
      <w:r>
        <w:rPr>
          <w:noProof/>
          <w:lang w:eastAsia="en-GB"/>
        </w:rPr>
        <w:lastRenderedPageBreak/>
        <w:drawing>
          <wp:inline distT="0" distB="0" distL="0" distR="0">
            <wp:extent cx="4209524" cy="4457143"/>
            <wp:effectExtent l="19050" t="0" r="526" b="0"/>
            <wp:docPr id="9" name="Picture 8" descr="New Picture (1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2).bmp"/>
                    <pic:cNvPicPr/>
                  </pic:nvPicPr>
                  <pic:blipFill>
                    <a:blip r:embed="rId17" cstate="print"/>
                    <a:stretch>
                      <a:fillRect/>
                    </a:stretch>
                  </pic:blipFill>
                  <pic:spPr>
                    <a:xfrm>
                      <a:off x="0" y="0"/>
                      <a:ext cx="4209524" cy="4457143"/>
                    </a:xfrm>
                    <a:prstGeom prst="rect">
                      <a:avLst/>
                    </a:prstGeom>
                  </pic:spPr>
                </pic:pic>
              </a:graphicData>
            </a:graphic>
          </wp:inline>
        </w:drawing>
      </w:r>
    </w:p>
    <w:p w:rsidR="001D07C3" w:rsidRDefault="001D2F92">
      <w:r>
        <w:t xml:space="preserve"> FIGURE 6: </w:t>
      </w:r>
      <w:r w:rsidR="001D07C3">
        <w:t>CORRELOGRAM OF THE SARIMA(0,1,0)X(2,1,1)</w:t>
      </w:r>
      <w:r w:rsidR="001D07C3">
        <w:rPr>
          <w:vertAlign w:val="subscript"/>
        </w:rPr>
        <w:t>12</w:t>
      </w:r>
      <w:r w:rsidR="001D07C3">
        <w:t xml:space="preserve"> RESIDUALS</w:t>
      </w:r>
    </w:p>
    <w:p w:rsidR="00132E09" w:rsidRDefault="00132E09">
      <w:r>
        <w:rPr>
          <w:noProof/>
          <w:lang w:eastAsia="en-GB"/>
        </w:rPr>
        <w:drawing>
          <wp:inline distT="0" distB="0" distL="0" distR="0">
            <wp:extent cx="5731510" cy="2437765"/>
            <wp:effectExtent l="19050" t="0" r="2540" b="0"/>
            <wp:docPr id="11" name="Picture 10" descr="New Picture (1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15).bmp"/>
                    <pic:cNvPicPr/>
                  </pic:nvPicPr>
                  <pic:blipFill>
                    <a:blip r:embed="rId18" cstate="print"/>
                    <a:stretch>
                      <a:fillRect/>
                    </a:stretch>
                  </pic:blipFill>
                  <pic:spPr>
                    <a:xfrm>
                      <a:off x="0" y="0"/>
                      <a:ext cx="5731510" cy="2437765"/>
                    </a:xfrm>
                    <a:prstGeom prst="rect">
                      <a:avLst/>
                    </a:prstGeom>
                  </pic:spPr>
                </pic:pic>
              </a:graphicData>
            </a:graphic>
          </wp:inline>
        </w:drawing>
      </w:r>
    </w:p>
    <w:p w:rsidR="00132E09" w:rsidRPr="00132E09" w:rsidRDefault="001D2F92">
      <w:r>
        <w:t xml:space="preserve">FIGURE 7: </w:t>
      </w:r>
      <w:r w:rsidR="00132E09">
        <w:t>HISTOGRAM OF THE SARIMA(0,1,0)X(2,1,1)</w:t>
      </w:r>
      <w:r w:rsidR="00132E09">
        <w:rPr>
          <w:vertAlign w:val="subscript"/>
        </w:rPr>
        <w:t>12</w:t>
      </w:r>
      <w:r w:rsidR="00132E09">
        <w:t xml:space="preserve"> RESIDUALS</w:t>
      </w:r>
    </w:p>
    <w:sectPr w:rsidR="00132E09" w:rsidRPr="00132E09" w:rsidSect="00EA18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266D"/>
    <w:multiLevelType w:val="hybridMultilevel"/>
    <w:tmpl w:val="488A2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12427"/>
    <w:rsid w:val="00020946"/>
    <w:rsid w:val="00035160"/>
    <w:rsid w:val="000846E0"/>
    <w:rsid w:val="000C33B3"/>
    <w:rsid w:val="000D3C48"/>
    <w:rsid w:val="00125D4F"/>
    <w:rsid w:val="00132E09"/>
    <w:rsid w:val="00133268"/>
    <w:rsid w:val="00156B04"/>
    <w:rsid w:val="001C5AFB"/>
    <w:rsid w:val="001D07C3"/>
    <w:rsid w:val="001D2F92"/>
    <w:rsid w:val="001F12F6"/>
    <w:rsid w:val="002424E1"/>
    <w:rsid w:val="002462C4"/>
    <w:rsid w:val="00255B67"/>
    <w:rsid w:val="00283C3A"/>
    <w:rsid w:val="00290094"/>
    <w:rsid w:val="002A7E91"/>
    <w:rsid w:val="002E5BC8"/>
    <w:rsid w:val="00305423"/>
    <w:rsid w:val="00330DE3"/>
    <w:rsid w:val="003368AA"/>
    <w:rsid w:val="00337ED9"/>
    <w:rsid w:val="00366BA6"/>
    <w:rsid w:val="00395FDB"/>
    <w:rsid w:val="00406960"/>
    <w:rsid w:val="00466835"/>
    <w:rsid w:val="00485AFC"/>
    <w:rsid w:val="00490886"/>
    <w:rsid w:val="004A75F2"/>
    <w:rsid w:val="004D2E73"/>
    <w:rsid w:val="004D3723"/>
    <w:rsid w:val="004E0C2C"/>
    <w:rsid w:val="00540BA3"/>
    <w:rsid w:val="00545392"/>
    <w:rsid w:val="00554D5E"/>
    <w:rsid w:val="0056779E"/>
    <w:rsid w:val="005824AC"/>
    <w:rsid w:val="005B2336"/>
    <w:rsid w:val="005B374F"/>
    <w:rsid w:val="005D0961"/>
    <w:rsid w:val="005F2CEE"/>
    <w:rsid w:val="00617CBC"/>
    <w:rsid w:val="00621339"/>
    <w:rsid w:val="00635F4D"/>
    <w:rsid w:val="006430D5"/>
    <w:rsid w:val="0068527F"/>
    <w:rsid w:val="00690FC2"/>
    <w:rsid w:val="006B24E6"/>
    <w:rsid w:val="006E7ADB"/>
    <w:rsid w:val="006F457A"/>
    <w:rsid w:val="007773EF"/>
    <w:rsid w:val="00793471"/>
    <w:rsid w:val="00822EB4"/>
    <w:rsid w:val="00846768"/>
    <w:rsid w:val="00893E03"/>
    <w:rsid w:val="00896993"/>
    <w:rsid w:val="00906FB4"/>
    <w:rsid w:val="009353F6"/>
    <w:rsid w:val="009411CC"/>
    <w:rsid w:val="00970803"/>
    <w:rsid w:val="00983316"/>
    <w:rsid w:val="009B0421"/>
    <w:rsid w:val="009C2D12"/>
    <w:rsid w:val="009C69F9"/>
    <w:rsid w:val="009D7FA5"/>
    <w:rsid w:val="00A12438"/>
    <w:rsid w:val="00A25F4D"/>
    <w:rsid w:val="00A43635"/>
    <w:rsid w:val="00A502D2"/>
    <w:rsid w:val="00A9035E"/>
    <w:rsid w:val="00AF4C34"/>
    <w:rsid w:val="00AF6DFE"/>
    <w:rsid w:val="00B03D97"/>
    <w:rsid w:val="00B04A28"/>
    <w:rsid w:val="00B2203E"/>
    <w:rsid w:val="00B655BD"/>
    <w:rsid w:val="00B75CA0"/>
    <w:rsid w:val="00BB75BA"/>
    <w:rsid w:val="00BC0FB1"/>
    <w:rsid w:val="00C27CE7"/>
    <w:rsid w:val="00C32836"/>
    <w:rsid w:val="00C930D8"/>
    <w:rsid w:val="00CB51A8"/>
    <w:rsid w:val="00CC342E"/>
    <w:rsid w:val="00D12427"/>
    <w:rsid w:val="00D13C9E"/>
    <w:rsid w:val="00D307E3"/>
    <w:rsid w:val="00D56FDC"/>
    <w:rsid w:val="00D66E18"/>
    <w:rsid w:val="00D70E62"/>
    <w:rsid w:val="00D805E6"/>
    <w:rsid w:val="00DB624D"/>
    <w:rsid w:val="00DD067E"/>
    <w:rsid w:val="00E17784"/>
    <w:rsid w:val="00E40F8B"/>
    <w:rsid w:val="00EA18B6"/>
    <w:rsid w:val="00EC1807"/>
    <w:rsid w:val="00EE41EF"/>
    <w:rsid w:val="00EF441D"/>
    <w:rsid w:val="00F30BFB"/>
    <w:rsid w:val="00F8775D"/>
    <w:rsid w:val="00F95F26"/>
    <w:rsid w:val="00FD4FDC"/>
    <w:rsid w:val="00FF3B75"/>
    <w:rsid w:val="00FF6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27"/>
    <w:rPr>
      <w:rFonts w:ascii="Tahoma" w:hAnsi="Tahoma" w:cs="Tahoma"/>
      <w:sz w:val="16"/>
      <w:szCs w:val="16"/>
    </w:rPr>
  </w:style>
  <w:style w:type="paragraph" w:styleId="NoSpacing">
    <w:name w:val="No Spacing"/>
    <w:uiPriority w:val="1"/>
    <w:qFormat/>
    <w:rsid w:val="00B03D97"/>
    <w:pPr>
      <w:spacing w:after="0" w:line="240" w:lineRule="auto"/>
    </w:pPr>
  </w:style>
  <w:style w:type="character" w:styleId="Hyperlink">
    <w:name w:val="Hyperlink"/>
    <w:basedOn w:val="DefaultParagraphFont"/>
    <w:uiPriority w:val="99"/>
    <w:unhideWhenUsed/>
    <w:rsid w:val="002462C4"/>
    <w:rPr>
      <w:color w:val="0000FF" w:themeColor="hyperlink"/>
      <w:u w:val="single"/>
    </w:rPr>
  </w:style>
  <w:style w:type="character" w:styleId="FollowedHyperlink">
    <w:name w:val="FollowedHyperlink"/>
    <w:basedOn w:val="DefaultParagraphFont"/>
    <w:uiPriority w:val="99"/>
    <w:semiHidden/>
    <w:unhideWhenUsed/>
    <w:rsid w:val="00FF3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rcmj.com/?page=article&amp;article_id=11779" TargetMode="External"/><Relationship Id="rId11" Type="http://schemas.openxmlformats.org/officeDocument/2006/relationships/image" Target="media/image5.png"/><Relationship Id="rId5" Type="http://schemas.openxmlformats.org/officeDocument/2006/relationships/hyperlink" Target="http://www.cenbank.org"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15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E.H. Etuk</dc:creator>
  <cp:lastModifiedBy>Dr E.H. Etuk</cp:lastModifiedBy>
  <cp:revision>48</cp:revision>
  <cp:lastPrinted>2014-11-12T20:09:00Z</cp:lastPrinted>
  <dcterms:created xsi:type="dcterms:W3CDTF">2014-05-14T14:27:00Z</dcterms:created>
  <dcterms:modified xsi:type="dcterms:W3CDTF">2014-11-13T11:56:00Z</dcterms:modified>
</cp:coreProperties>
</file>