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01" w:rsidRPr="00AE480C" w:rsidRDefault="00F539AB" w:rsidP="00C71B3C">
      <w:pPr>
        <w:spacing w:after="120"/>
        <w:jc w:val="center"/>
        <w:rPr>
          <w:rFonts w:ascii="Times New Roman" w:hAnsi="Times New Roman" w:cs="Times New Roman"/>
          <w:b/>
          <w:sz w:val="28"/>
          <w:szCs w:val="28"/>
          <w:lang w:val="en-US"/>
        </w:rPr>
      </w:pPr>
      <w:r w:rsidRPr="00AE480C">
        <w:rPr>
          <w:rFonts w:ascii="Times New Roman" w:hAnsi="Times New Roman" w:cs="Times New Roman"/>
          <w:b/>
          <w:sz w:val="28"/>
          <w:szCs w:val="28"/>
          <w:lang w:val="en-US"/>
        </w:rPr>
        <w:t>Risk Management after Mergers and Acquisitions. Evidence from the Greek Banking System</w:t>
      </w:r>
    </w:p>
    <w:p w:rsidR="00C71B3C" w:rsidRPr="00F539AB" w:rsidRDefault="00C71B3C" w:rsidP="00C71B3C">
      <w:pPr>
        <w:spacing w:after="120"/>
        <w:jc w:val="center"/>
        <w:rPr>
          <w:rFonts w:ascii="Times New Roman" w:hAnsi="Times New Roman" w:cs="Times New Roman"/>
          <w:b/>
          <w:sz w:val="24"/>
          <w:szCs w:val="24"/>
          <w:lang w:val="en-US"/>
        </w:rPr>
      </w:pPr>
    </w:p>
    <w:p w:rsidR="005407A3" w:rsidRPr="00F539AB" w:rsidRDefault="006F06F2" w:rsidP="00C71B3C">
      <w:pPr>
        <w:spacing w:after="0"/>
        <w:jc w:val="center"/>
        <w:rPr>
          <w:rFonts w:ascii="Times New Roman" w:hAnsi="Times New Roman" w:cs="Times New Roman"/>
          <w:b/>
          <w:sz w:val="24"/>
          <w:szCs w:val="24"/>
          <w:lang w:val="en-US"/>
        </w:rPr>
      </w:pPr>
      <w:r w:rsidRPr="00F539AB">
        <w:rPr>
          <w:rFonts w:ascii="Times New Roman" w:hAnsi="Times New Roman" w:cs="Times New Roman"/>
          <w:b/>
          <w:sz w:val="24"/>
          <w:szCs w:val="24"/>
          <w:lang w:val="en-US"/>
        </w:rPr>
        <w:t>Dr. Kyriazopoulos Georgios</w:t>
      </w:r>
    </w:p>
    <w:p w:rsidR="005407A3" w:rsidRPr="00F539AB" w:rsidRDefault="006F06F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Assistant Professor</w:t>
      </w:r>
    </w:p>
    <w:p w:rsidR="006F06F2" w:rsidRPr="00F539AB" w:rsidRDefault="006F06F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Department of Accounting and Finance</w:t>
      </w:r>
    </w:p>
    <w:p w:rsidR="006F06F2" w:rsidRPr="00F539AB" w:rsidRDefault="006F06F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University of Western Macedonia</w:t>
      </w:r>
      <w:r w:rsidR="000E3532" w:rsidRPr="00F539AB">
        <w:rPr>
          <w:rFonts w:ascii="Times New Roman" w:hAnsi="Times New Roman" w:cs="Times New Roman"/>
          <w:sz w:val="24"/>
          <w:szCs w:val="24"/>
          <w:lang w:val="en-US"/>
        </w:rPr>
        <w:t>, Koila-Kozani, Greece</w:t>
      </w:r>
    </w:p>
    <w:p w:rsidR="006F06F2" w:rsidRDefault="006F06F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Vice President of International Conference of Development and Economy (I.CO.D.ECON)</w:t>
      </w:r>
    </w:p>
    <w:p w:rsidR="00F539AB" w:rsidRDefault="00F539AB" w:rsidP="00C71B3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Correspondent Author</w:t>
      </w:r>
    </w:p>
    <w:p w:rsidR="00F539AB" w:rsidRDefault="00F539AB" w:rsidP="00C71B3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kyriazog@uowm.gr </w:t>
      </w:r>
      <w:r w:rsidR="00C71B3C">
        <w:rPr>
          <w:rFonts w:ascii="Times New Roman" w:hAnsi="Times New Roman" w:cs="Times New Roman"/>
          <w:sz w:val="24"/>
          <w:szCs w:val="24"/>
          <w:lang w:val="en-US"/>
        </w:rPr>
        <w:tab/>
      </w:r>
      <w:r>
        <w:rPr>
          <w:rFonts w:ascii="Times New Roman" w:hAnsi="Times New Roman" w:cs="Times New Roman"/>
          <w:sz w:val="24"/>
          <w:szCs w:val="24"/>
          <w:lang w:val="en-US"/>
        </w:rPr>
        <w:t>kyrzog@gmail.com</w:t>
      </w:r>
      <w:r w:rsidR="00C71B3C">
        <w:rPr>
          <w:rFonts w:ascii="Times New Roman" w:hAnsi="Times New Roman" w:cs="Times New Roman"/>
          <w:sz w:val="24"/>
          <w:szCs w:val="24"/>
          <w:lang w:val="en-US"/>
        </w:rPr>
        <w:t xml:space="preserve"> </w:t>
      </w:r>
      <w:r w:rsidR="00C71B3C">
        <w:rPr>
          <w:rFonts w:ascii="Times New Roman" w:hAnsi="Times New Roman" w:cs="Times New Roman"/>
          <w:sz w:val="24"/>
          <w:szCs w:val="24"/>
          <w:lang w:val="en-US"/>
        </w:rPr>
        <w:tab/>
      </w:r>
      <w:r>
        <w:rPr>
          <w:rFonts w:ascii="Times New Roman" w:hAnsi="Times New Roman" w:cs="Times New Roman"/>
          <w:sz w:val="24"/>
          <w:szCs w:val="24"/>
          <w:lang w:val="en-US"/>
        </w:rPr>
        <w:t>kyriazopoulosg@yahoo.com</w:t>
      </w:r>
    </w:p>
    <w:p w:rsidR="00C71B3C" w:rsidRPr="00F539AB" w:rsidRDefault="00C71B3C" w:rsidP="00C71B3C">
      <w:pPr>
        <w:spacing w:after="0"/>
        <w:jc w:val="center"/>
        <w:rPr>
          <w:rFonts w:ascii="Times New Roman" w:hAnsi="Times New Roman" w:cs="Times New Roman"/>
          <w:sz w:val="24"/>
          <w:szCs w:val="24"/>
          <w:lang w:val="en-US"/>
        </w:rPr>
      </w:pPr>
    </w:p>
    <w:p w:rsidR="005407A3" w:rsidRPr="00F539AB" w:rsidRDefault="000E3532" w:rsidP="00C71B3C">
      <w:pPr>
        <w:spacing w:after="0"/>
        <w:jc w:val="center"/>
        <w:rPr>
          <w:rFonts w:ascii="Times New Roman" w:hAnsi="Times New Roman" w:cs="Times New Roman"/>
          <w:b/>
          <w:sz w:val="24"/>
          <w:szCs w:val="24"/>
          <w:lang w:val="en-US"/>
        </w:rPr>
      </w:pPr>
      <w:r w:rsidRPr="00F539AB">
        <w:rPr>
          <w:rFonts w:ascii="Times New Roman" w:hAnsi="Times New Roman" w:cs="Times New Roman"/>
          <w:b/>
          <w:sz w:val="24"/>
          <w:szCs w:val="24"/>
          <w:lang w:val="en-US"/>
        </w:rPr>
        <w:t>Dr. Drympetas Evaggelos</w:t>
      </w:r>
    </w:p>
    <w:p w:rsidR="000E3532" w:rsidRPr="00F539AB" w:rsidRDefault="000E353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Professor</w:t>
      </w:r>
    </w:p>
    <w:p w:rsidR="000E3532" w:rsidRPr="00F539AB" w:rsidRDefault="000E353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Dean of Department of Economics</w:t>
      </w:r>
    </w:p>
    <w:p w:rsidR="000E3532" w:rsidRPr="00F539AB" w:rsidRDefault="000E353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Democritus University of Thrace, Komotini, Greece</w:t>
      </w:r>
    </w:p>
    <w:p w:rsidR="000E3532" w:rsidRDefault="000E353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v.drimpetas@gmail.com</w:t>
      </w:r>
    </w:p>
    <w:p w:rsidR="00C71B3C" w:rsidRPr="00F539AB" w:rsidRDefault="00C71B3C" w:rsidP="00C71B3C">
      <w:pPr>
        <w:spacing w:after="0"/>
        <w:jc w:val="center"/>
        <w:rPr>
          <w:rFonts w:ascii="Times New Roman" w:hAnsi="Times New Roman" w:cs="Times New Roman"/>
          <w:sz w:val="24"/>
          <w:szCs w:val="24"/>
          <w:lang w:val="en-US"/>
        </w:rPr>
      </w:pPr>
    </w:p>
    <w:p w:rsidR="000E3532" w:rsidRPr="00F539AB" w:rsidRDefault="000E3532" w:rsidP="00C71B3C">
      <w:pPr>
        <w:spacing w:after="0"/>
        <w:jc w:val="center"/>
        <w:rPr>
          <w:rFonts w:ascii="Times New Roman" w:hAnsi="Times New Roman" w:cs="Times New Roman"/>
          <w:b/>
          <w:sz w:val="24"/>
          <w:szCs w:val="24"/>
          <w:lang w:val="en-US"/>
        </w:rPr>
      </w:pPr>
      <w:r w:rsidRPr="00F539AB">
        <w:rPr>
          <w:rFonts w:ascii="Times New Roman" w:hAnsi="Times New Roman" w:cs="Times New Roman"/>
          <w:b/>
          <w:sz w:val="24"/>
          <w:szCs w:val="24"/>
          <w:lang w:val="en-US"/>
        </w:rPr>
        <w:t>Kollias Konstantinos</w:t>
      </w:r>
    </w:p>
    <w:p w:rsidR="000E3532" w:rsidRPr="00F539AB" w:rsidRDefault="000E353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President of the Greek Economic Chamber</w:t>
      </w:r>
    </w:p>
    <w:p w:rsidR="000E3532" w:rsidRPr="00F539AB" w:rsidRDefault="000E3532" w:rsidP="00C71B3C">
      <w:pPr>
        <w:spacing w:after="0"/>
        <w:jc w:val="center"/>
        <w:rPr>
          <w:rFonts w:ascii="Times New Roman" w:hAnsi="Times New Roman" w:cs="Times New Roman"/>
          <w:sz w:val="24"/>
          <w:szCs w:val="24"/>
          <w:lang w:val="en-US"/>
        </w:rPr>
      </w:pPr>
      <w:r w:rsidRPr="00F539AB">
        <w:rPr>
          <w:rFonts w:ascii="Times New Roman" w:hAnsi="Times New Roman" w:cs="Times New Roman"/>
          <w:sz w:val="24"/>
          <w:szCs w:val="24"/>
          <w:lang w:val="en-US"/>
        </w:rPr>
        <w:t>Athens, Greece</w:t>
      </w:r>
    </w:p>
    <w:p w:rsidR="000E3532" w:rsidRPr="005407A3" w:rsidRDefault="000E3532" w:rsidP="00C71B3C">
      <w:pPr>
        <w:spacing w:after="120"/>
        <w:rPr>
          <w:rFonts w:ascii="Times New Roman" w:hAnsi="Times New Roman" w:cs="Times New Roman"/>
          <w:lang w:val="en-US"/>
        </w:rPr>
      </w:pPr>
    </w:p>
    <w:p w:rsidR="005407A3" w:rsidRPr="006F06F2" w:rsidRDefault="006F06F2" w:rsidP="00520EC7">
      <w:pPr>
        <w:spacing w:after="0"/>
        <w:rPr>
          <w:rFonts w:ascii="Times New Roman" w:hAnsi="Times New Roman" w:cs="Times New Roman"/>
          <w:b/>
          <w:lang w:val="en-US"/>
        </w:rPr>
      </w:pPr>
      <w:r w:rsidRPr="006F06F2">
        <w:rPr>
          <w:rFonts w:ascii="Times New Roman" w:hAnsi="Times New Roman" w:cs="Times New Roman"/>
          <w:b/>
          <w:lang w:val="en-US"/>
        </w:rPr>
        <w:t>Abstract</w:t>
      </w:r>
    </w:p>
    <w:p w:rsidR="005407A3" w:rsidRPr="002629B6" w:rsidRDefault="00C71B3C" w:rsidP="00520EC7">
      <w:pPr>
        <w:spacing w:after="0"/>
        <w:jc w:val="both"/>
        <w:rPr>
          <w:rFonts w:ascii="Times New Roman" w:hAnsi="Times New Roman" w:cs="Times New Roman"/>
          <w:lang w:val="en-US"/>
        </w:rPr>
      </w:pPr>
      <w:r w:rsidRPr="003978AF">
        <w:rPr>
          <w:rFonts w:ascii="Times New Roman" w:hAnsi="Times New Roman" w:cs="Times New Roman"/>
          <w:sz w:val="24"/>
          <w:szCs w:val="24"/>
          <w:lang w:val="en-US"/>
        </w:rPr>
        <w:t>The purpose of this paper is to reflect as fully as possible the concept of banking risk and how it was formed aft</w:t>
      </w:r>
      <w:r w:rsidR="00520EC7">
        <w:rPr>
          <w:rFonts w:ascii="Times New Roman" w:hAnsi="Times New Roman" w:cs="Times New Roman"/>
          <w:sz w:val="24"/>
          <w:szCs w:val="24"/>
          <w:lang w:val="en-US"/>
        </w:rPr>
        <w:t xml:space="preserve">er the mergers and acquisitions, domestic or cross-border, </w:t>
      </w:r>
      <w:r w:rsidRPr="003978AF">
        <w:rPr>
          <w:rFonts w:ascii="Times New Roman" w:hAnsi="Times New Roman" w:cs="Times New Roman"/>
          <w:sz w:val="24"/>
          <w:szCs w:val="24"/>
          <w:lang w:val="en-US"/>
        </w:rPr>
        <w:t>in Gree</w:t>
      </w:r>
      <w:r w:rsidR="00520EC7">
        <w:rPr>
          <w:rFonts w:ascii="Times New Roman" w:hAnsi="Times New Roman" w:cs="Times New Roman"/>
          <w:sz w:val="24"/>
          <w:szCs w:val="24"/>
          <w:lang w:val="en-US"/>
        </w:rPr>
        <w:t>k Systemic Banks</w:t>
      </w:r>
      <w:r w:rsidRPr="003978AF">
        <w:rPr>
          <w:rFonts w:ascii="Times New Roman" w:hAnsi="Times New Roman" w:cs="Times New Roman"/>
          <w:sz w:val="24"/>
          <w:szCs w:val="24"/>
          <w:lang w:val="en-US"/>
        </w:rPr>
        <w:t xml:space="preserve"> since the </w:t>
      </w:r>
      <w:r w:rsidR="002629B6">
        <w:rPr>
          <w:rFonts w:ascii="Times New Roman" w:hAnsi="Times New Roman" w:cs="Times New Roman"/>
          <w:sz w:val="24"/>
          <w:szCs w:val="24"/>
          <w:lang w:val="en-US"/>
        </w:rPr>
        <w:t>Global</w:t>
      </w:r>
      <w:r w:rsidR="00520EC7">
        <w:rPr>
          <w:rFonts w:ascii="Times New Roman" w:hAnsi="Times New Roman" w:cs="Times New Roman"/>
          <w:sz w:val="24"/>
          <w:szCs w:val="24"/>
          <w:lang w:val="en-US"/>
        </w:rPr>
        <w:t xml:space="preserve"> Financial Crisis </w:t>
      </w:r>
      <w:r w:rsidR="002629B6">
        <w:rPr>
          <w:rFonts w:ascii="Times New Roman" w:hAnsi="Times New Roman" w:cs="Times New Roman"/>
          <w:sz w:val="24"/>
          <w:szCs w:val="24"/>
          <w:lang w:val="en-US"/>
        </w:rPr>
        <w:t>came to</w:t>
      </w:r>
      <w:r w:rsidR="00520EC7">
        <w:rPr>
          <w:rFonts w:ascii="Times New Roman" w:hAnsi="Times New Roman" w:cs="Times New Roman"/>
          <w:sz w:val="24"/>
          <w:szCs w:val="24"/>
          <w:lang w:val="en-US"/>
        </w:rPr>
        <w:t xml:space="preserve"> Greece</w:t>
      </w:r>
      <w:r w:rsidRPr="003978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F06F2" w:rsidRPr="006F06F2">
        <w:rPr>
          <w:rFonts w:ascii="Times New Roman" w:hAnsi="Times New Roman" w:cs="Times New Roman"/>
          <w:lang w:val="en-US"/>
        </w:rPr>
        <w:t xml:space="preserve">Risk is an unforeseen fact that we do not know if and when it will occur and what its consequences will be. The concepts of risk and its management in </w:t>
      </w:r>
      <w:r w:rsidR="006F06F2">
        <w:rPr>
          <w:rFonts w:ascii="Times New Roman" w:hAnsi="Times New Roman" w:cs="Times New Roman"/>
          <w:lang w:val="en-US"/>
        </w:rPr>
        <w:t>firm</w:t>
      </w:r>
      <w:r w:rsidR="006F06F2" w:rsidRPr="006F06F2">
        <w:rPr>
          <w:rFonts w:ascii="Times New Roman" w:hAnsi="Times New Roman" w:cs="Times New Roman"/>
          <w:lang w:val="en-US"/>
        </w:rPr>
        <w:t>s and banks have been a huge area of economic science research, which has been increasingly employed by scientists in recent years. Risk management can be applied in many sectors of industry, commerce, service companies and financial companies. Risk assessment is a particularly important and difficult process, us</w:t>
      </w:r>
      <w:r w:rsidR="00052F49">
        <w:rPr>
          <w:rFonts w:ascii="Times New Roman" w:hAnsi="Times New Roman" w:cs="Times New Roman"/>
          <w:lang w:val="en-US"/>
        </w:rPr>
        <w:t>ed by</w:t>
      </w:r>
      <w:r w:rsidR="006F06F2" w:rsidRPr="006F06F2">
        <w:rPr>
          <w:rFonts w:ascii="Times New Roman" w:hAnsi="Times New Roman" w:cs="Times New Roman"/>
          <w:lang w:val="en-US"/>
        </w:rPr>
        <w:t xml:space="preserve"> banks and businesses to improve the final performance of their project and ensure its success, avoiding unpleasant situations for their operation. The banking sector, which is one of the dominant branches of the economy in the modern reality, has undergone drastic changes and rearrangements in recent decades. The rapid evolution of technology, the internationalization of markets and the liberalization of capital have created a highly competitive and uncertain climate, as evidenced by the recent global financial crisis. Its risk and management, following the recent financial crisis that directly affected the banking sector, is one of the key concerns of the industry. For this reason, in recent years various methods and decisions have been developed, the most important of which are the rules of the Basel Committee III.</w:t>
      </w:r>
      <w:r w:rsidR="002629B6">
        <w:rPr>
          <w:rFonts w:ascii="Times New Roman" w:hAnsi="Times New Roman" w:cs="Times New Roman"/>
          <w:lang w:val="en-US"/>
        </w:rPr>
        <w:t xml:space="preserve"> In this paper we present</w:t>
      </w:r>
      <w:r w:rsidR="002629B6" w:rsidRPr="002629B6">
        <w:rPr>
          <w:rFonts w:ascii="Times New Roman" w:hAnsi="Times New Roman" w:cs="Times New Roman"/>
          <w:lang w:val="en-US"/>
        </w:rPr>
        <w:t xml:space="preserve"> </w:t>
      </w:r>
      <w:r w:rsidR="002629B6">
        <w:rPr>
          <w:rFonts w:ascii="Times New Roman" w:hAnsi="Times New Roman" w:cs="Times New Roman"/>
          <w:lang w:val="en-US"/>
        </w:rPr>
        <w:t xml:space="preserve">VaR method </w:t>
      </w:r>
      <w:r w:rsidR="00D14CD4">
        <w:rPr>
          <w:rFonts w:ascii="Times New Roman" w:hAnsi="Times New Roman" w:cs="Times New Roman"/>
          <w:lang w:val="en-US"/>
        </w:rPr>
        <w:t>in portfolio of four Greek systemic banks during 2010-2017.</w:t>
      </w:r>
    </w:p>
    <w:p w:rsidR="00520EC7" w:rsidRPr="00520EC7" w:rsidRDefault="00F539AB" w:rsidP="00520EC7">
      <w:pPr>
        <w:spacing w:after="0"/>
        <w:rPr>
          <w:rFonts w:ascii="Times New Roman" w:hAnsi="Times New Roman" w:cs="Times New Roman"/>
          <w:sz w:val="24"/>
          <w:szCs w:val="24"/>
          <w:lang w:val="en-US"/>
        </w:rPr>
      </w:pPr>
      <w:r w:rsidRPr="00C71B3C">
        <w:rPr>
          <w:rFonts w:ascii="Times New Roman" w:hAnsi="Times New Roman" w:cs="Times New Roman"/>
          <w:b/>
          <w:lang w:val="en-US"/>
        </w:rPr>
        <w:t>Keywords:</w:t>
      </w:r>
      <w:r>
        <w:rPr>
          <w:rFonts w:ascii="Times New Roman" w:hAnsi="Times New Roman" w:cs="Times New Roman"/>
          <w:lang w:val="en-US"/>
        </w:rPr>
        <w:t xml:space="preserve"> </w:t>
      </w:r>
      <w:r w:rsidRPr="00F539AB">
        <w:rPr>
          <w:rFonts w:ascii="Times New Roman" w:hAnsi="Times New Roman" w:cs="Times New Roman"/>
          <w:sz w:val="24"/>
          <w:szCs w:val="24"/>
          <w:lang w:val="en-US"/>
        </w:rPr>
        <w:t>Risk Management Mergers and Acquisitions, Banks</w:t>
      </w:r>
    </w:p>
    <w:p w:rsidR="005407A3" w:rsidRDefault="00F539AB" w:rsidP="00520EC7">
      <w:pPr>
        <w:spacing w:after="0"/>
        <w:rPr>
          <w:rFonts w:ascii="Times New Roman" w:hAnsi="Times New Roman" w:cs="Times New Roman"/>
          <w:lang w:val="en-US"/>
        </w:rPr>
      </w:pPr>
      <w:r w:rsidRPr="00F539AB">
        <w:rPr>
          <w:rFonts w:ascii="Times New Roman" w:hAnsi="Times New Roman" w:cs="Times New Roman"/>
          <w:b/>
          <w:lang w:val="en-US"/>
        </w:rPr>
        <w:t>Jel Classification:</w:t>
      </w:r>
      <w:r>
        <w:rPr>
          <w:rFonts w:ascii="Times New Roman" w:hAnsi="Times New Roman" w:cs="Times New Roman"/>
          <w:lang w:val="en-US"/>
        </w:rPr>
        <w:t xml:space="preserve"> </w:t>
      </w:r>
      <w:r w:rsidR="00AE480C">
        <w:rPr>
          <w:rFonts w:ascii="Times New Roman" w:hAnsi="Times New Roman" w:cs="Times New Roman"/>
          <w:lang w:val="en-US"/>
        </w:rPr>
        <w:t>G21, G32, G34</w:t>
      </w:r>
    </w:p>
    <w:p w:rsidR="00F07EC0" w:rsidRPr="00F07EC0" w:rsidRDefault="0045566B" w:rsidP="00A1097F">
      <w:pP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00F07EC0" w:rsidRPr="00F07EC0">
        <w:rPr>
          <w:rFonts w:ascii="Times New Roman" w:hAnsi="Times New Roman" w:cs="Times New Roman"/>
          <w:b/>
          <w:sz w:val="24"/>
          <w:szCs w:val="24"/>
          <w:lang w:val="en-US"/>
        </w:rPr>
        <w:t>Introduction</w:t>
      </w:r>
    </w:p>
    <w:p w:rsidR="00DA0851" w:rsidRPr="00DA0851" w:rsidRDefault="009917A9" w:rsidP="00520EC7">
      <w:pPr>
        <w:spacing w:after="0"/>
        <w:jc w:val="both"/>
        <w:rPr>
          <w:rFonts w:ascii="Times New Roman" w:hAnsi="Times New Roman" w:cs="Times New Roman"/>
          <w:sz w:val="24"/>
          <w:szCs w:val="24"/>
          <w:lang w:val="en-US"/>
        </w:rPr>
      </w:pPr>
      <w:r w:rsidRPr="009917A9">
        <w:rPr>
          <w:rFonts w:ascii="Times New Roman" w:hAnsi="Times New Roman" w:cs="Times New Roman"/>
          <w:sz w:val="24"/>
          <w:szCs w:val="24"/>
          <w:lang w:val="en-US"/>
        </w:rPr>
        <w:t>Banks play a very important role in the economy. They are in fact the intermediary between surplus and deficit counterparties.</w:t>
      </w:r>
      <w:r w:rsidR="008973BA">
        <w:rPr>
          <w:rFonts w:ascii="Times New Roman" w:hAnsi="Times New Roman" w:cs="Times New Roman"/>
          <w:sz w:val="24"/>
          <w:szCs w:val="24"/>
          <w:lang w:val="en-US"/>
        </w:rPr>
        <w:t xml:space="preserve"> </w:t>
      </w:r>
      <w:r w:rsidR="00DA0851" w:rsidRPr="00DA0851">
        <w:rPr>
          <w:rFonts w:ascii="Times New Roman" w:hAnsi="Times New Roman" w:cs="Times New Roman"/>
          <w:sz w:val="24"/>
          <w:szCs w:val="24"/>
          <w:lang w:val="en-US"/>
        </w:rPr>
        <w:t>In the late 1970s and early 1980s and as the internationalization of the financial system progressed rapidly, there was a need to introduce new methods to hedge risk in the industry.</w:t>
      </w:r>
    </w:p>
    <w:p w:rsidR="00F07EC0" w:rsidRPr="00F07EC0" w:rsidRDefault="00DA0851" w:rsidP="00520EC7">
      <w:pPr>
        <w:spacing w:after="0"/>
        <w:jc w:val="both"/>
        <w:rPr>
          <w:rFonts w:ascii="Times New Roman" w:hAnsi="Times New Roman" w:cs="Times New Roman"/>
          <w:sz w:val="24"/>
          <w:szCs w:val="24"/>
          <w:lang w:val="en-US"/>
        </w:rPr>
      </w:pPr>
      <w:r w:rsidRPr="00DA0851">
        <w:rPr>
          <w:rFonts w:ascii="Times New Roman" w:hAnsi="Times New Roman" w:cs="Times New Roman"/>
          <w:sz w:val="24"/>
          <w:szCs w:val="24"/>
          <w:lang w:val="en-US"/>
        </w:rPr>
        <w:t>The complete liberalization of the financial system and the huge diversification of investment and banking products have dramatically increased the risks in the financial sector. (</w:t>
      </w:r>
      <w:r w:rsidRPr="00D33F4F">
        <w:rPr>
          <w:rFonts w:ascii="Times New Roman" w:hAnsi="Times New Roman" w:cs="Times New Roman"/>
          <w:sz w:val="24"/>
          <w:szCs w:val="24"/>
          <w:lang w:val="en-US"/>
        </w:rPr>
        <w:t>Barth</w:t>
      </w:r>
      <w:r w:rsidRPr="00DA0851">
        <w:rPr>
          <w:rFonts w:ascii="Times New Roman" w:hAnsi="Times New Roman" w:cs="Times New Roman"/>
          <w:sz w:val="24"/>
          <w:szCs w:val="24"/>
          <w:lang w:val="en-US"/>
        </w:rPr>
        <w:t xml:space="preserve"> </w:t>
      </w:r>
      <w:r w:rsidRPr="00D33F4F">
        <w:rPr>
          <w:rFonts w:ascii="Times New Roman" w:hAnsi="Times New Roman" w:cs="Times New Roman"/>
          <w:sz w:val="24"/>
          <w:szCs w:val="24"/>
          <w:lang w:val="en-US"/>
        </w:rPr>
        <w:t>et</w:t>
      </w:r>
      <w:r w:rsidRPr="00DA0851">
        <w:rPr>
          <w:rFonts w:ascii="Times New Roman" w:hAnsi="Times New Roman" w:cs="Times New Roman"/>
          <w:sz w:val="24"/>
          <w:szCs w:val="24"/>
          <w:lang w:val="en-US"/>
        </w:rPr>
        <w:t xml:space="preserve"> </w:t>
      </w:r>
      <w:r w:rsidRPr="00D33F4F">
        <w:rPr>
          <w:rFonts w:ascii="Times New Roman" w:hAnsi="Times New Roman" w:cs="Times New Roman"/>
          <w:sz w:val="24"/>
          <w:szCs w:val="24"/>
          <w:lang w:val="en-US"/>
        </w:rPr>
        <w:t>al</w:t>
      </w:r>
      <w:r w:rsidRPr="00DA0851">
        <w:rPr>
          <w:rFonts w:ascii="Times New Roman" w:hAnsi="Times New Roman" w:cs="Times New Roman"/>
          <w:sz w:val="24"/>
          <w:szCs w:val="24"/>
          <w:lang w:val="en-US"/>
        </w:rPr>
        <w:t>., 2004).</w:t>
      </w:r>
    </w:p>
    <w:p w:rsidR="009917A9" w:rsidRPr="009917A9" w:rsidRDefault="009917A9" w:rsidP="00520EC7">
      <w:pPr>
        <w:spacing w:after="0"/>
        <w:jc w:val="both"/>
        <w:rPr>
          <w:rFonts w:ascii="Times New Roman" w:hAnsi="Times New Roman" w:cs="Times New Roman"/>
          <w:sz w:val="24"/>
          <w:szCs w:val="24"/>
          <w:lang w:val="en-US"/>
        </w:rPr>
      </w:pPr>
      <w:r w:rsidRPr="009917A9">
        <w:rPr>
          <w:rFonts w:ascii="Times New Roman" w:hAnsi="Times New Roman" w:cs="Times New Roman"/>
          <w:sz w:val="24"/>
          <w:szCs w:val="24"/>
          <w:lang w:val="en-US"/>
        </w:rPr>
        <w:t>Risk management has now become an important and critical issue for commercial, investment and co-operative banks. The lack of rational risk forecasts and appropriate risk management methods and decisions (credit or market) have been a key factor for all financial disasters in the past years.</w:t>
      </w:r>
      <w:r w:rsidR="008973BA">
        <w:rPr>
          <w:rFonts w:ascii="Times New Roman" w:hAnsi="Times New Roman" w:cs="Times New Roman"/>
          <w:sz w:val="24"/>
          <w:szCs w:val="24"/>
          <w:lang w:val="en-US"/>
        </w:rPr>
        <w:t xml:space="preserve"> </w:t>
      </w:r>
      <w:r w:rsidRPr="009917A9">
        <w:rPr>
          <w:rFonts w:ascii="Times New Roman" w:hAnsi="Times New Roman" w:cs="Times New Roman"/>
          <w:sz w:val="24"/>
          <w:szCs w:val="24"/>
          <w:lang w:val="en-US"/>
        </w:rPr>
        <w:t>The risks faced by financial institutions are mainly related to the credit risk arising from the possible loss of payment of the financial products issued to the defective entities.</w:t>
      </w:r>
    </w:p>
    <w:p w:rsidR="00F07EC0" w:rsidRPr="009917A9" w:rsidRDefault="009917A9" w:rsidP="00520EC7">
      <w:pPr>
        <w:spacing w:after="0"/>
        <w:jc w:val="both"/>
        <w:rPr>
          <w:rFonts w:ascii="Times New Roman" w:hAnsi="Times New Roman" w:cs="Times New Roman"/>
          <w:sz w:val="24"/>
          <w:szCs w:val="24"/>
          <w:lang w:val="en-US"/>
        </w:rPr>
      </w:pPr>
      <w:r w:rsidRPr="009917A9">
        <w:rPr>
          <w:rFonts w:ascii="Times New Roman" w:hAnsi="Times New Roman" w:cs="Times New Roman"/>
          <w:sz w:val="24"/>
          <w:szCs w:val="24"/>
          <w:lang w:val="en-US"/>
        </w:rPr>
        <w:t>For a good and efficient long-term path, banks should first identify the different types of banking risks and then look for ways to deal with them.</w:t>
      </w:r>
      <w:r w:rsidRPr="009917A9">
        <w:rPr>
          <w:rFonts w:ascii="Times New Roman" w:hAnsi="Times New Roman" w:cs="Times New Roman"/>
          <w:color w:val="000000"/>
          <w:sz w:val="24"/>
          <w:szCs w:val="24"/>
          <w:lang w:val="en-US"/>
        </w:rPr>
        <w:t xml:space="preserve"> </w:t>
      </w:r>
      <w:r w:rsidRPr="003978AF">
        <w:rPr>
          <w:rFonts w:ascii="Times New Roman" w:hAnsi="Times New Roman" w:cs="Times New Roman"/>
          <w:color w:val="000000"/>
          <w:sz w:val="24"/>
          <w:szCs w:val="24"/>
          <w:lang w:val="en-US"/>
        </w:rPr>
        <w:t>(Bessis, 2003).</w:t>
      </w:r>
    </w:p>
    <w:p w:rsidR="00247E07" w:rsidRDefault="00247E07" w:rsidP="00247E07">
      <w:pPr>
        <w:spacing w:after="0"/>
        <w:jc w:val="both"/>
        <w:rPr>
          <w:rFonts w:ascii="Times New Roman" w:hAnsi="Times New Roman" w:cs="Times New Roman"/>
          <w:sz w:val="24"/>
          <w:szCs w:val="24"/>
          <w:lang w:val="en-US"/>
        </w:rPr>
      </w:pPr>
      <w:r w:rsidRPr="00247E07">
        <w:rPr>
          <w:rFonts w:ascii="Times New Roman" w:hAnsi="Times New Roman" w:cs="Times New Roman"/>
          <w:sz w:val="24"/>
          <w:szCs w:val="24"/>
          <w:lang w:val="en-US"/>
        </w:rPr>
        <w:t>Banking risks are the challenges a bank faces and are usually used to determine losses from various sources of uncertainty. The key to addressing and limiting the impact of risks on the banking sector is to find the source of uncertainty and the magnitude of the potential adverse impact on profitability.</w:t>
      </w:r>
      <w:r>
        <w:rPr>
          <w:rFonts w:ascii="Times New Roman" w:hAnsi="Times New Roman" w:cs="Times New Roman"/>
          <w:sz w:val="24"/>
          <w:szCs w:val="24"/>
          <w:lang w:val="en-US"/>
        </w:rPr>
        <w:t xml:space="preserve"> </w:t>
      </w:r>
      <w:r w:rsidRPr="00247E07">
        <w:rPr>
          <w:rFonts w:ascii="Times New Roman" w:hAnsi="Times New Roman" w:cs="Times New Roman"/>
          <w:sz w:val="24"/>
          <w:szCs w:val="24"/>
          <w:lang w:val="en-US"/>
        </w:rPr>
        <w:t>Each risk requires a different approach, so a clear definition helps better quantify and manage them.</w:t>
      </w:r>
      <w:r>
        <w:rPr>
          <w:rFonts w:ascii="Times New Roman" w:hAnsi="Times New Roman" w:cs="Times New Roman"/>
          <w:sz w:val="24"/>
          <w:szCs w:val="24"/>
          <w:lang w:val="en-US"/>
        </w:rPr>
        <w:t xml:space="preserve"> </w:t>
      </w:r>
      <w:r w:rsidRPr="00247E07">
        <w:rPr>
          <w:rFonts w:ascii="Times New Roman" w:hAnsi="Times New Roman" w:cs="Times New Roman"/>
          <w:sz w:val="24"/>
          <w:szCs w:val="24"/>
          <w:lang w:val="en-US"/>
        </w:rPr>
        <w:t>Therefore, the risk management techniques used by the commercial banking sector are based on the list of risks that the banking industry has chosen to manage and on how the process of managing them is applied in each region.</w:t>
      </w:r>
      <w:r w:rsidR="008973BA">
        <w:rPr>
          <w:rStyle w:val="a4"/>
          <w:rFonts w:ascii="Times New Roman" w:hAnsi="Times New Roman" w:cs="Times New Roman"/>
          <w:sz w:val="24"/>
          <w:szCs w:val="24"/>
          <w:lang w:val="en-US"/>
        </w:rPr>
        <w:footnoteReference w:id="1"/>
      </w:r>
    </w:p>
    <w:p w:rsidR="009917A9" w:rsidRDefault="003978AF" w:rsidP="00520EC7">
      <w:pPr>
        <w:spacing w:after="0"/>
        <w:jc w:val="both"/>
        <w:rPr>
          <w:rFonts w:ascii="Times New Roman" w:hAnsi="Times New Roman" w:cs="Times New Roman"/>
          <w:sz w:val="24"/>
          <w:szCs w:val="24"/>
          <w:lang w:val="en-US"/>
        </w:rPr>
      </w:pPr>
      <w:r w:rsidRPr="003978AF">
        <w:rPr>
          <w:rFonts w:ascii="Times New Roman" w:hAnsi="Times New Roman" w:cs="Times New Roman"/>
          <w:sz w:val="24"/>
          <w:szCs w:val="24"/>
          <w:lang w:val="en-US"/>
        </w:rPr>
        <w:t>The purpose of risk management is to avoid losses on investment, but above all, to avoid volatility in the financial sector. In order for risk management to be effective, it is necessary to forecast, identify, evaluate, measure and then appropriately eliminate or diversify so that financial institutions do not face bankruptcy. Through risk management, banking organizations approach and make rational decisions to deal with the risks associated with their operating activities. The purpose of risk management is to classify by height and category of risk all debts owed to the bank and to predict the possible threats of all factors that may adversely affect a banking organization. Risk management is a very important part of banking, as without it the bank is unlikely to succeed in its long-term profitable strategy, which will render it insolvent.</w:t>
      </w:r>
    </w:p>
    <w:p w:rsidR="00C70B17" w:rsidRDefault="00C70B17" w:rsidP="00520EC7">
      <w:pPr>
        <w:spacing w:after="0"/>
        <w:jc w:val="both"/>
        <w:rPr>
          <w:rFonts w:ascii="Times New Roman" w:hAnsi="Times New Roman" w:cs="Times New Roman"/>
          <w:sz w:val="24"/>
          <w:szCs w:val="24"/>
          <w:lang w:val="en-US"/>
        </w:rPr>
      </w:pPr>
      <w:r w:rsidRPr="00C70B17">
        <w:rPr>
          <w:rFonts w:ascii="Times New Roman" w:hAnsi="Times New Roman" w:cs="Times New Roman"/>
          <w:sz w:val="24"/>
          <w:szCs w:val="24"/>
          <w:lang w:val="en-US"/>
        </w:rPr>
        <w:t xml:space="preserve">This paper examines the </w:t>
      </w:r>
      <w:r w:rsidR="00520EC7">
        <w:rPr>
          <w:rFonts w:ascii="Times New Roman" w:hAnsi="Times New Roman" w:cs="Times New Roman"/>
          <w:sz w:val="24"/>
          <w:szCs w:val="24"/>
          <w:lang w:val="en-US"/>
        </w:rPr>
        <w:t xml:space="preserve">course of </w:t>
      </w:r>
      <w:r w:rsidRPr="00C70B17">
        <w:rPr>
          <w:rFonts w:ascii="Times New Roman" w:hAnsi="Times New Roman" w:cs="Times New Roman"/>
          <w:sz w:val="24"/>
          <w:szCs w:val="24"/>
          <w:lang w:val="en-US"/>
        </w:rPr>
        <w:t xml:space="preserve">credit risk of the four systemic Greek banks by the method </w:t>
      </w:r>
      <w:r w:rsidR="00520EC7">
        <w:rPr>
          <w:rFonts w:ascii="Times New Roman" w:hAnsi="Times New Roman" w:cs="Times New Roman"/>
          <w:sz w:val="24"/>
          <w:szCs w:val="24"/>
          <w:lang w:val="en-US"/>
        </w:rPr>
        <w:t xml:space="preserve">VaR </w:t>
      </w:r>
      <w:r w:rsidRPr="00C70B17">
        <w:rPr>
          <w:rFonts w:ascii="Times New Roman" w:hAnsi="Times New Roman" w:cs="Times New Roman"/>
          <w:sz w:val="24"/>
          <w:szCs w:val="24"/>
          <w:lang w:val="en-US"/>
        </w:rPr>
        <w:t xml:space="preserve">after all the mergers and acquisitions (domestic or cross-border) that have taken place since the </w:t>
      </w:r>
      <w:r w:rsidR="00520EC7">
        <w:rPr>
          <w:rFonts w:ascii="Times New Roman" w:hAnsi="Times New Roman" w:cs="Times New Roman"/>
          <w:sz w:val="24"/>
          <w:szCs w:val="24"/>
          <w:lang w:val="en-US"/>
        </w:rPr>
        <w:t xml:space="preserve">global financial crisis came in </w:t>
      </w:r>
      <w:r w:rsidRPr="00C70B17">
        <w:rPr>
          <w:rFonts w:ascii="Times New Roman" w:hAnsi="Times New Roman" w:cs="Times New Roman"/>
          <w:sz w:val="24"/>
          <w:szCs w:val="24"/>
          <w:lang w:val="en-US"/>
        </w:rPr>
        <w:t xml:space="preserve">Greece. We can see </w:t>
      </w:r>
      <w:r w:rsidR="00D14CD4">
        <w:rPr>
          <w:rFonts w:ascii="Times New Roman" w:hAnsi="Times New Roman" w:cs="Times New Roman"/>
          <w:sz w:val="24"/>
          <w:szCs w:val="24"/>
          <w:lang w:val="en-US"/>
        </w:rPr>
        <w:t>if</w:t>
      </w:r>
      <w:r w:rsidRPr="00C70B17">
        <w:rPr>
          <w:rFonts w:ascii="Times New Roman" w:hAnsi="Times New Roman" w:cs="Times New Roman"/>
          <w:sz w:val="24"/>
          <w:szCs w:val="24"/>
          <w:lang w:val="en-US"/>
        </w:rPr>
        <w:t xml:space="preserve"> and how these </w:t>
      </w:r>
      <w:r w:rsidR="00D14CD4">
        <w:rPr>
          <w:rFonts w:ascii="Times New Roman" w:hAnsi="Times New Roman" w:cs="Times New Roman"/>
          <w:sz w:val="24"/>
          <w:szCs w:val="24"/>
          <w:lang w:val="en-US"/>
        </w:rPr>
        <w:t xml:space="preserve">domestic </w:t>
      </w:r>
      <w:r w:rsidRPr="00C70B17">
        <w:rPr>
          <w:rFonts w:ascii="Times New Roman" w:hAnsi="Times New Roman" w:cs="Times New Roman"/>
          <w:sz w:val="24"/>
          <w:szCs w:val="24"/>
          <w:lang w:val="en-US"/>
        </w:rPr>
        <w:t xml:space="preserve">mergers and acquisitions helped reduce the credit risk of </w:t>
      </w:r>
      <w:r w:rsidR="00520EC7">
        <w:rPr>
          <w:rFonts w:ascii="Times New Roman" w:hAnsi="Times New Roman" w:cs="Times New Roman"/>
          <w:sz w:val="24"/>
          <w:szCs w:val="24"/>
          <w:lang w:val="en-US"/>
        </w:rPr>
        <w:t xml:space="preserve">four </w:t>
      </w:r>
      <w:r w:rsidRPr="00C70B17">
        <w:rPr>
          <w:rFonts w:ascii="Times New Roman" w:hAnsi="Times New Roman" w:cs="Times New Roman"/>
          <w:sz w:val="24"/>
          <w:szCs w:val="24"/>
          <w:lang w:val="en-US"/>
        </w:rPr>
        <w:t>Greek systemic banks.</w:t>
      </w:r>
    </w:p>
    <w:p w:rsidR="00C70B17" w:rsidRDefault="00C70B17" w:rsidP="00F07EC0">
      <w:pPr>
        <w:jc w:val="both"/>
        <w:rPr>
          <w:rFonts w:ascii="Times New Roman" w:hAnsi="Times New Roman" w:cs="Times New Roman"/>
          <w:sz w:val="24"/>
          <w:szCs w:val="24"/>
          <w:lang w:val="en-US"/>
        </w:rPr>
      </w:pPr>
    </w:p>
    <w:p w:rsidR="003978AF" w:rsidRPr="003978AF" w:rsidRDefault="0045566B" w:rsidP="00520EC7">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 </w:t>
      </w:r>
      <w:r w:rsidR="003978AF" w:rsidRPr="003978AF">
        <w:rPr>
          <w:rFonts w:ascii="Times New Roman" w:hAnsi="Times New Roman" w:cs="Times New Roman"/>
          <w:b/>
          <w:sz w:val="24"/>
          <w:szCs w:val="24"/>
          <w:lang w:val="en-US"/>
        </w:rPr>
        <w:t>Literature Review</w:t>
      </w:r>
    </w:p>
    <w:p w:rsidR="002919C1" w:rsidRDefault="002919C1" w:rsidP="00D86AC8">
      <w:pPr>
        <w:spacing w:after="0"/>
        <w:jc w:val="both"/>
        <w:rPr>
          <w:rFonts w:ascii="Times New Roman" w:hAnsi="Times New Roman" w:cs="Times New Roman"/>
          <w:sz w:val="24"/>
          <w:szCs w:val="24"/>
          <w:lang w:val="en-US"/>
        </w:rPr>
      </w:pPr>
      <w:r w:rsidRPr="002919C1">
        <w:rPr>
          <w:rFonts w:ascii="Times New Roman" w:hAnsi="Times New Roman" w:cs="Times New Roman"/>
          <w:sz w:val="24"/>
          <w:szCs w:val="24"/>
          <w:lang w:val="en-US"/>
        </w:rPr>
        <w:t xml:space="preserve">Risk management has increased over the last three decades due to the increased demand for such services and the increased availability of financial tools available for this purpose. Two factors have contributed to this: </w:t>
      </w:r>
      <w:r w:rsidR="0061260C">
        <w:rPr>
          <w:rFonts w:ascii="Times New Roman" w:hAnsi="Times New Roman" w:cs="Times New Roman"/>
          <w:sz w:val="24"/>
          <w:szCs w:val="24"/>
          <w:lang w:val="en-US"/>
        </w:rPr>
        <w:t>(i) t</w:t>
      </w:r>
      <w:r w:rsidRPr="002919C1">
        <w:rPr>
          <w:rFonts w:ascii="Times New Roman" w:hAnsi="Times New Roman" w:cs="Times New Roman"/>
          <w:sz w:val="24"/>
          <w:szCs w:val="24"/>
          <w:lang w:val="en-US"/>
        </w:rPr>
        <w:t xml:space="preserve">he highly changing international exchange rate system and </w:t>
      </w:r>
      <w:r w:rsidR="0061260C">
        <w:rPr>
          <w:rFonts w:ascii="Times New Roman" w:hAnsi="Times New Roman" w:cs="Times New Roman"/>
          <w:sz w:val="24"/>
          <w:szCs w:val="24"/>
          <w:lang w:val="en-US"/>
        </w:rPr>
        <w:t xml:space="preserve">(ii) </w:t>
      </w:r>
      <w:r w:rsidRPr="002919C1">
        <w:rPr>
          <w:rFonts w:ascii="Times New Roman" w:hAnsi="Times New Roman" w:cs="Times New Roman"/>
          <w:sz w:val="24"/>
          <w:szCs w:val="24"/>
          <w:lang w:val="en-US"/>
        </w:rPr>
        <w:t>the increasing internationalization of trade</w:t>
      </w:r>
      <w:r w:rsidR="0061260C">
        <w:rPr>
          <w:rFonts w:ascii="Times New Roman" w:hAnsi="Times New Roman" w:cs="Times New Roman"/>
          <w:sz w:val="24"/>
          <w:szCs w:val="24"/>
          <w:lang w:val="en-US"/>
        </w:rPr>
        <w:t>.</w:t>
      </w:r>
    </w:p>
    <w:p w:rsidR="00247E07" w:rsidRDefault="00247E07" w:rsidP="00D86AC8">
      <w:pPr>
        <w:spacing w:after="0"/>
        <w:jc w:val="both"/>
        <w:rPr>
          <w:rFonts w:ascii="Times New Roman" w:hAnsi="Times New Roman" w:cs="Times New Roman"/>
          <w:sz w:val="24"/>
          <w:szCs w:val="24"/>
          <w:lang w:val="en-US"/>
        </w:rPr>
      </w:pPr>
      <w:r w:rsidRPr="00247E07">
        <w:rPr>
          <w:rFonts w:ascii="Times New Roman" w:hAnsi="Times New Roman" w:cs="Times New Roman"/>
          <w:sz w:val="24"/>
          <w:szCs w:val="24"/>
          <w:lang w:val="en-US"/>
        </w:rPr>
        <w:t>The combination of the probability of an event and its consequences can be defined as a risk. In particular, the financial risk to a banking organization is the probability that the outcome of an action could have an adverse effect on profitability. This could either lead to immediate loss of revenue / capital or may lead to difficulties in the bank's ability to achieve its goals. Such difficulties increase the bank's chances of being unable to manage its current business operations or seizing opportunities to enhance its operations.</w:t>
      </w:r>
      <w:r>
        <w:rPr>
          <w:rStyle w:val="a4"/>
          <w:rFonts w:ascii="Times New Roman" w:hAnsi="Times New Roman" w:cs="Times New Roman"/>
          <w:sz w:val="24"/>
          <w:szCs w:val="24"/>
          <w:lang w:val="en-US"/>
        </w:rPr>
        <w:footnoteReference w:id="2"/>
      </w:r>
    </w:p>
    <w:p w:rsidR="00F64E03" w:rsidRDefault="00614BBE" w:rsidP="00D86AC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risks that the financial </w:t>
      </w:r>
      <w:r w:rsidR="00F64E03">
        <w:rPr>
          <w:rFonts w:ascii="Times New Roman" w:hAnsi="Times New Roman" w:cs="Times New Roman"/>
          <w:sz w:val="24"/>
          <w:szCs w:val="24"/>
          <w:lang w:val="en-US"/>
        </w:rPr>
        <w:t>i</w:t>
      </w:r>
      <w:r>
        <w:rPr>
          <w:rFonts w:ascii="Times New Roman" w:hAnsi="Times New Roman" w:cs="Times New Roman"/>
          <w:sz w:val="24"/>
          <w:szCs w:val="24"/>
          <w:lang w:val="en-US"/>
        </w:rPr>
        <w:t>nstit</w:t>
      </w:r>
      <w:r w:rsidR="00F64E03">
        <w:rPr>
          <w:rFonts w:ascii="Times New Roman" w:hAnsi="Times New Roman" w:cs="Times New Roman"/>
          <w:sz w:val="24"/>
          <w:szCs w:val="24"/>
          <w:lang w:val="en-US"/>
        </w:rPr>
        <w:t>utions face are i</w:t>
      </w:r>
      <w:r w:rsidRPr="00614BBE">
        <w:rPr>
          <w:rFonts w:ascii="Times New Roman" w:hAnsi="Times New Roman" w:cs="Times New Roman"/>
          <w:sz w:val="24"/>
          <w:szCs w:val="24"/>
          <w:lang w:val="en-US"/>
        </w:rPr>
        <w:t>nterest rate risk, market risk, credit risk, off-balance sheet risk, foreign exchange risk, country or territory risk, operational and technological risk, liquidity risk and insolvency or capital adequacy risk</w:t>
      </w:r>
      <w:r w:rsidR="00F64E03">
        <w:rPr>
          <w:rFonts w:ascii="Times New Roman" w:hAnsi="Times New Roman" w:cs="Times New Roman"/>
          <w:sz w:val="24"/>
          <w:szCs w:val="24"/>
          <w:lang w:val="en-US"/>
        </w:rPr>
        <w:t>. Some of them are also concern the big firms of any Stock Market. Obviously the credit risk is one of the main risk. Credit risk is the r</w:t>
      </w:r>
      <w:r w:rsidR="00F64E03" w:rsidRPr="00F64E03">
        <w:rPr>
          <w:rFonts w:ascii="Times New Roman" w:hAnsi="Times New Roman" w:cs="Times New Roman"/>
          <w:sz w:val="24"/>
          <w:szCs w:val="24"/>
          <w:lang w:val="en-US"/>
        </w:rPr>
        <w:t xml:space="preserve">isk </w:t>
      </w:r>
      <w:r w:rsidR="00F64E03">
        <w:rPr>
          <w:rFonts w:ascii="Times New Roman" w:hAnsi="Times New Roman" w:cs="Times New Roman"/>
          <w:sz w:val="24"/>
          <w:szCs w:val="24"/>
          <w:lang w:val="en-US"/>
        </w:rPr>
        <w:t xml:space="preserve">that </w:t>
      </w:r>
      <w:r w:rsidR="00F64E03" w:rsidRPr="00F64E03">
        <w:rPr>
          <w:rFonts w:ascii="Times New Roman" w:hAnsi="Times New Roman" w:cs="Times New Roman"/>
          <w:sz w:val="24"/>
          <w:szCs w:val="24"/>
          <w:lang w:val="en-US"/>
        </w:rPr>
        <w:t>aris</w:t>
      </w:r>
      <w:r w:rsidR="00F64E03">
        <w:rPr>
          <w:rFonts w:ascii="Times New Roman" w:hAnsi="Times New Roman" w:cs="Times New Roman"/>
          <w:sz w:val="24"/>
          <w:szCs w:val="24"/>
          <w:lang w:val="en-US"/>
        </w:rPr>
        <w:t>e</w:t>
      </w:r>
      <w:r w:rsidR="00F64E03" w:rsidRPr="00F64E03">
        <w:rPr>
          <w:rFonts w:ascii="Times New Roman" w:hAnsi="Times New Roman" w:cs="Times New Roman"/>
          <w:sz w:val="24"/>
          <w:szCs w:val="24"/>
          <w:lang w:val="en-US"/>
        </w:rPr>
        <w:t xml:space="preserve"> when borrowers' debts are not paid in full</w:t>
      </w:r>
      <w:r w:rsidR="00F64E03">
        <w:rPr>
          <w:rFonts w:ascii="Times New Roman" w:hAnsi="Times New Roman" w:cs="Times New Roman"/>
          <w:sz w:val="24"/>
          <w:szCs w:val="24"/>
          <w:lang w:val="en-US"/>
        </w:rPr>
        <w:t xml:space="preserve"> in the financial institutions as it must be. Another </w:t>
      </w:r>
      <w:r w:rsidR="00D86AC8" w:rsidRPr="00D86AC8">
        <w:rPr>
          <w:rFonts w:ascii="Times New Roman" w:hAnsi="Times New Roman" w:cs="Times New Roman"/>
          <w:sz w:val="24"/>
          <w:szCs w:val="24"/>
          <w:lang w:val="en-US"/>
        </w:rPr>
        <w:t>significant</w:t>
      </w:r>
      <w:r w:rsidR="00D86AC8">
        <w:rPr>
          <w:rFonts w:ascii="Times New Roman" w:hAnsi="Times New Roman" w:cs="Times New Roman"/>
          <w:sz w:val="24"/>
          <w:szCs w:val="24"/>
          <w:lang w:val="en-US"/>
        </w:rPr>
        <w:t xml:space="preserve"> risk is liquidity risk. </w:t>
      </w:r>
      <w:r w:rsidR="00D86AC8" w:rsidRPr="00D86AC8">
        <w:rPr>
          <w:rFonts w:ascii="Times New Roman" w:hAnsi="Times New Roman" w:cs="Times New Roman"/>
          <w:sz w:val="24"/>
          <w:szCs w:val="24"/>
          <w:lang w:val="en-US"/>
        </w:rPr>
        <w:t xml:space="preserve">Occurs when </w:t>
      </w:r>
      <w:r w:rsidR="00D86AC8">
        <w:rPr>
          <w:rFonts w:ascii="Times New Roman" w:hAnsi="Times New Roman" w:cs="Times New Roman"/>
          <w:sz w:val="24"/>
          <w:szCs w:val="24"/>
          <w:lang w:val="en-US"/>
        </w:rPr>
        <w:t>a financial institution</w:t>
      </w:r>
      <w:r w:rsidR="00D86AC8" w:rsidRPr="00D86AC8">
        <w:rPr>
          <w:rFonts w:ascii="Times New Roman" w:hAnsi="Times New Roman" w:cs="Times New Roman"/>
          <w:sz w:val="24"/>
          <w:szCs w:val="24"/>
          <w:lang w:val="en-US"/>
        </w:rPr>
        <w:t xml:space="preserve"> has to borrow or sell assets in a short period of time</w:t>
      </w:r>
      <w:r w:rsidR="00D86AC8">
        <w:rPr>
          <w:rFonts w:ascii="Times New Roman" w:hAnsi="Times New Roman" w:cs="Times New Roman"/>
          <w:sz w:val="24"/>
          <w:szCs w:val="24"/>
          <w:lang w:val="en-US"/>
        </w:rPr>
        <w:t xml:space="preserve">. </w:t>
      </w:r>
      <w:r w:rsidR="00D86AC8" w:rsidRPr="00D86AC8">
        <w:rPr>
          <w:rFonts w:ascii="Times New Roman" w:hAnsi="Times New Roman" w:cs="Times New Roman"/>
          <w:sz w:val="24"/>
          <w:szCs w:val="24"/>
          <w:lang w:val="en-US"/>
        </w:rPr>
        <w:t>It can cause massive withdrawals of deposits</w:t>
      </w:r>
      <w:r w:rsidR="00D86AC8">
        <w:rPr>
          <w:rFonts w:ascii="Times New Roman" w:hAnsi="Times New Roman" w:cs="Times New Roman"/>
          <w:sz w:val="24"/>
          <w:szCs w:val="24"/>
          <w:lang w:val="en-US"/>
        </w:rPr>
        <w:t xml:space="preserve">. </w:t>
      </w:r>
      <w:r w:rsidR="00D86AC8" w:rsidRPr="00D86AC8">
        <w:rPr>
          <w:rFonts w:ascii="Times New Roman" w:hAnsi="Times New Roman" w:cs="Times New Roman"/>
          <w:sz w:val="24"/>
          <w:szCs w:val="24"/>
          <w:lang w:val="en-US"/>
        </w:rPr>
        <w:t>Mass withdrawals can turn a liquidity problem into an insolvency problem</w:t>
      </w:r>
      <w:r w:rsidR="00D86AC8">
        <w:rPr>
          <w:rFonts w:ascii="Times New Roman" w:hAnsi="Times New Roman" w:cs="Times New Roman"/>
          <w:sz w:val="24"/>
          <w:szCs w:val="24"/>
          <w:lang w:val="en-US"/>
        </w:rPr>
        <w:t>.</w:t>
      </w:r>
      <w:r w:rsidR="009444A4">
        <w:rPr>
          <w:rFonts w:ascii="Times New Roman" w:hAnsi="Times New Roman" w:cs="Times New Roman"/>
          <w:sz w:val="24"/>
          <w:szCs w:val="24"/>
          <w:lang w:val="en-US"/>
        </w:rPr>
        <w:t xml:space="preserve"> Another important risk is i</w:t>
      </w:r>
      <w:r w:rsidR="009444A4" w:rsidRPr="009444A4">
        <w:rPr>
          <w:rFonts w:ascii="Times New Roman" w:hAnsi="Times New Roman" w:cs="Times New Roman"/>
          <w:sz w:val="24"/>
          <w:szCs w:val="24"/>
          <w:lang w:val="en-US"/>
        </w:rPr>
        <w:t xml:space="preserve">nsolvency risk </w:t>
      </w:r>
      <w:r w:rsidR="009444A4">
        <w:rPr>
          <w:rFonts w:ascii="Times New Roman" w:hAnsi="Times New Roman" w:cs="Times New Roman"/>
          <w:sz w:val="24"/>
          <w:szCs w:val="24"/>
          <w:lang w:val="en-US"/>
        </w:rPr>
        <w:t>that extract when a financial institution</w:t>
      </w:r>
      <w:r w:rsidR="009444A4" w:rsidRPr="009444A4">
        <w:rPr>
          <w:rFonts w:ascii="Times New Roman" w:hAnsi="Times New Roman" w:cs="Times New Roman"/>
          <w:sz w:val="24"/>
          <w:szCs w:val="24"/>
          <w:lang w:val="en-US"/>
        </w:rPr>
        <w:t xml:space="preserve"> </w:t>
      </w:r>
      <w:r w:rsidR="009444A4">
        <w:rPr>
          <w:rFonts w:ascii="Times New Roman" w:hAnsi="Times New Roman" w:cs="Times New Roman"/>
          <w:sz w:val="24"/>
          <w:szCs w:val="24"/>
          <w:lang w:val="en-US"/>
        </w:rPr>
        <w:t xml:space="preserve">has </w:t>
      </w:r>
      <w:r w:rsidR="009444A4" w:rsidRPr="009444A4">
        <w:rPr>
          <w:rFonts w:ascii="Times New Roman" w:hAnsi="Times New Roman" w:cs="Times New Roman"/>
          <w:sz w:val="24"/>
          <w:szCs w:val="24"/>
          <w:lang w:val="en-US"/>
        </w:rPr>
        <w:t>insufficient funds to offset an unforeseen decrease in the value of assets relative to liabilities.</w:t>
      </w:r>
      <w:r w:rsidR="004C6190">
        <w:rPr>
          <w:rStyle w:val="a4"/>
          <w:rFonts w:ascii="Times New Roman" w:hAnsi="Times New Roman" w:cs="Times New Roman"/>
          <w:sz w:val="24"/>
          <w:szCs w:val="24"/>
          <w:lang w:val="en-US"/>
        </w:rPr>
        <w:footnoteReference w:id="3"/>
      </w:r>
    </w:p>
    <w:p w:rsidR="00247E07" w:rsidRDefault="00247E07" w:rsidP="00247E07">
      <w:pPr>
        <w:spacing w:after="0"/>
        <w:jc w:val="both"/>
        <w:rPr>
          <w:rFonts w:ascii="Times New Roman" w:hAnsi="Times New Roman" w:cs="Times New Roman"/>
          <w:sz w:val="24"/>
          <w:szCs w:val="24"/>
          <w:lang w:val="en-US"/>
        </w:rPr>
      </w:pPr>
      <w:r w:rsidRPr="00247E07">
        <w:rPr>
          <w:rFonts w:ascii="Times New Roman" w:hAnsi="Times New Roman" w:cs="Times New Roman"/>
          <w:sz w:val="24"/>
          <w:szCs w:val="24"/>
          <w:lang w:val="en-US"/>
        </w:rPr>
        <w:t>Banks often classify the risks associated with banking risks into expected or traditional and unexpected or non-traditional. Expected / traditional losses are those that the bank is confident that will occur and result from the core functions of the banks</w:t>
      </w:r>
      <w:r>
        <w:rPr>
          <w:rFonts w:ascii="Times New Roman" w:hAnsi="Times New Roman" w:cs="Times New Roman"/>
          <w:sz w:val="24"/>
          <w:szCs w:val="24"/>
          <w:lang w:val="en-US"/>
        </w:rPr>
        <w:t xml:space="preserve"> </w:t>
      </w:r>
      <w:r w:rsidRPr="00247E07">
        <w:rPr>
          <w:rFonts w:ascii="Times New Roman" w:hAnsi="Times New Roman" w:cs="Times New Roman"/>
          <w:sz w:val="24"/>
          <w:szCs w:val="24"/>
          <w:lang w:val="en-US"/>
        </w:rPr>
        <w:t>(eg expected loan default rate). Unexpected / non-traditional losses are those associated with unforeseen events arising from developments in the domestic or international banking environment (eg new ones</w:t>
      </w:r>
      <w:r>
        <w:rPr>
          <w:rFonts w:ascii="Times New Roman" w:hAnsi="Times New Roman" w:cs="Times New Roman"/>
          <w:sz w:val="24"/>
          <w:szCs w:val="24"/>
          <w:lang w:val="en-US"/>
        </w:rPr>
        <w:t xml:space="preserve"> </w:t>
      </w:r>
      <w:r w:rsidRPr="00247E07">
        <w:rPr>
          <w:rFonts w:ascii="Times New Roman" w:hAnsi="Times New Roman" w:cs="Times New Roman"/>
          <w:sz w:val="24"/>
          <w:szCs w:val="24"/>
          <w:lang w:val="en-US"/>
        </w:rPr>
        <w:t>adjustments, losses due to a sudden shift in the economy or a fall in interest rates). Banks usually use their funds to deal with these types of losses.</w:t>
      </w:r>
    </w:p>
    <w:p w:rsidR="00052F49" w:rsidRDefault="00052F49" w:rsidP="00247E07">
      <w:pPr>
        <w:spacing w:after="0"/>
        <w:jc w:val="both"/>
        <w:rPr>
          <w:rFonts w:ascii="Times New Roman" w:hAnsi="Times New Roman" w:cs="Times New Roman"/>
          <w:sz w:val="24"/>
          <w:szCs w:val="24"/>
          <w:lang w:val="en-US"/>
        </w:rPr>
      </w:pPr>
    </w:p>
    <w:p w:rsidR="0045566B" w:rsidRDefault="0045566B" w:rsidP="00520EC7">
      <w:pPr>
        <w:spacing w:after="0"/>
        <w:jc w:val="both"/>
        <w:rPr>
          <w:rFonts w:ascii="Times New Roman" w:hAnsi="Times New Roman" w:cs="Times New Roman"/>
          <w:color w:val="111111"/>
          <w:sz w:val="24"/>
          <w:szCs w:val="24"/>
          <w:shd w:val="clear" w:color="auto" w:fill="FFFFFF"/>
          <w:lang w:val="en-US"/>
        </w:rPr>
      </w:pPr>
      <w:r>
        <w:rPr>
          <w:rFonts w:ascii="Times New Roman" w:hAnsi="Times New Roman" w:cs="Times New Roman"/>
          <w:color w:val="111111"/>
          <w:sz w:val="24"/>
          <w:szCs w:val="24"/>
          <w:shd w:val="clear" w:color="auto" w:fill="FFFFFF"/>
          <w:lang w:val="en-US"/>
        </w:rPr>
        <w:t xml:space="preserve">2.1 </w:t>
      </w:r>
      <w:r w:rsidR="008941DB" w:rsidRPr="008941DB">
        <w:rPr>
          <w:rFonts w:ascii="Times New Roman" w:hAnsi="Times New Roman" w:cs="Times New Roman"/>
          <w:color w:val="111111"/>
          <w:sz w:val="24"/>
          <w:szCs w:val="24"/>
          <w:shd w:val="clear" w:color="auto" w:fill="FFFFFF"/>
          <w:lang w:val="en-US"/>
        </w:rPr>
        <w:t>Value at risk (VaR)</w:t>
      </w:r>
      <w:r w:rsidR="008941DB">
        <w:rPr>
          <w:rFonts w:ascii="Times New Roman" w:hAnsi="Times New Roman" w:cs="Times New Roman"/>
          <w:color w:val="111111"/>
          <w:sz w:val="24"/>
          <w:szCs w:val="24"/>
          <w:shd w:val="clear" w:color="auto" w:fill="FFFFFF"/>
          <w:lang w:val="en-US"/>
        </w:rPr>
        <w:t xml:space="preserve"> </w:t>
      </w:r>
    </w:p>
    <w:p w:rsidR="008941DB" w:rsidRPr="008941DB" w:rsidRDefault="0045566B" w:rsidP="00520EC7">
      <w:pPr>
        <w:spacing w:after="0"/>
        <w:jc w:val="both"/>
        <w:rPr>
          <w:rFonts w:ascii="Times New Roman" w:hAnsi="Times New Roman" w:cs="Times New Roman"/>
          <w:sz w:val="24"/>
          <w:szCs w:val="24"/>
          <w:lang w:val="en-US"/>
        </w:rPr>
      </w:pPr>
      <w:r w:rsidRPr="008941DB">
        <w:rPr>
          <w:rFonts w:ascii="Times New Roman" w:hAnsi="Times New Roman" w:cs="Times New Roman"/>
          <w:color w:val="111111"/>
          <w:sz w:val="24"/>
          <w:szCs w:val="24"/>
          <w:shd w:val="clear" w:color="auto" w:fill="FFFFFF"/>
          <w:lang w:val="en-US"/>
        </w:rPr>
        <w:t xml:space="preserve">VaR </w:t>
      </w:r>
      <w:r w:rsidR="008941DB" w:rsidRPr="008941DB">
        <w:rPr>
          <w:rFonts w:ascii="Times New Roman" w:hAnsi="Times New Roman" w:cs="Times New Roman"/>
          <w:color w:val="111111"/>
          <w:sz w:val="24"/>
          <w:szCs w:val="24"/>
          <w:shd w:val="clear" w:color="auto" w:fill="FFFFFF"/>
          <w:lang w:val="en-US"/>
        </w:rPr>
        <w:t>is a statistic that measures and quantifies the level of financial risk within a firm, portfolio or position over a specific time frame. This metric is most commonly used by investment and</w:t>
      </w:r>
      <w:r w:rsidR="008941DB">
        <w:rPr>
          <w:rFonts w:ascii="Times New Roman" w:hAnsi="Times New Roman" w:cs="Times New Roman"/>
          <w:color w:val="111111"/>
          <w:sz w:val="24"/>
          <w:szCs w:val="24"/>
          <w:shd w:val="clear" w:color="auto" w:fill="FFFFFF"/>
          <w:lang w:val="en-US"/>
        </w:rPr>
        <w:t xml:space="preserve"> </w:t>
      </w:r>
      <w:hyperlink r:id="rId8" w:history="1">
        <w:r w:rsidR="008941DB" w:rsidRPr="008941DB">
          <w:rPr>
            <w:rStyle w:val="-"/>
            <w:rFonts w:ascii="Times New Roman" w:hAnsi="Times New Roman" w:cs="Times New Roman"/>
            <w:color w:val="000000" w:themeColor="text1"/>
            <w:sz w:val="24"/>
            <w:szCs w:val="24"/>
            <w:u w:val="none"/>
            <w:shd w:val="clear" w:color="auto" w:fill="FFFFFF"/>
            <w:lang w:val="en-US"/>
          </w:rPr>
          <w:t>commercial banks</w:t>
        </w:r>
      </w:hyperlink>
      <w:r w:rsidR="008941DB">
        <w:rPr>
          <w:rFonts w:ascii="Times New Roman" w:hAnsi="Times New Roman" w:cs="Times New Roman"/>
          <w:sz w:val="24"/>
          <w:szCs w:val="24"/>
          <w:lang w:val="en-US"/>
        </w:rPr>
        <w:t xml:space="preserve"> </w:t>
      </w:r>
      <w:r w:rsidR="008941DB" w:rsidRPr="008941DB">
        <w:rPr>
          <w:rFonts w:ascii="Times New Roman" w:hAnsi="Times New Roman" w:cs="Times New Roman"/>
          <w:color w:val="111111"/>
          <w:sz w:val="24"/>
          <w:szCs w:val="24"/>
          <w:shd w:val="clear" w:color="auto" w:fill="FFFFFF"/>
          <w:lang w:val="en-US"/>
        </w:rPr>
        <w:t>to determine the extent and occurrence ratio of potential losses in their institutional portfolios.</w:t>
      </w:r>
      <w:r w:rsidR="008941DB">
        <w:rPr>
          <w:rStyle w:val="a4"/>
          <w:rFonts w:ascii="Times New Roman" w:hAnsi="Times New Roman" w:cs="Times New Roman"/>
          <w:color w:val="111111"/>
          <w:sz w:val="24"/>
          <w:szCs w:val="24"/>
          <w:shd w:val="clear" w:color="auto" w:fill="FFFFFF"/>
          <w:lang w:val="en-US"/>
        </w:rPr>
        <w:footnoteReference w:id="4"/>
      </w:r>
    </w:p>
    <w:p w:rsidR="00520EC7" w:rsidRDefault="00520EC7" w:rsidP="00520EC7">
      <w:pPr>
        <w:spacing w:after="0"/>
        <w:jc w:val="both"/>
        <w:rPr>
          <w:rFonts w:ascii="Times New Roman" w:hAnsi="Times New Roman" w:cs="Times New Roman"/>
          <w:sz w:val="24"/>
          <w:szCs w:val="24"/>
          <w:lang w:val="en-US"/>
        </w:rPr>
      </w:pPr>
      <w:r w:rsidRPr="00520EC7">
        <w:rPr>
          <w:rFonts w:ascii="Times New Roman" w:hAnsi="Times New Roman" w:cs="Times New Roman"/>
          <w:sz w:val="24"/>
          <w:szCs w:val="24"/>
          <w:lang w:val="en-US"/>
        </w:rPr>
        <w:t>Value at Risk-VaR is the estimate of the maximum potential loss on a portfolio's net present value, which may occur with a predetermined probability (confidence le</w:t>
      </w:r>
      <w:r>
        <w:rPr>
          <w:rFonts w:ascii="Times New Roman" w:hAnsi="Times New Roman" w:cs="Times New Roman"/>
          <w:sz w:val="24"/>
          <w:szCs w:val="24"/>
          <w:lang w:val="en-US"/>
        </w:rPr>
        <w:t xml:space="preserve">vel) within a given time period. </w:t>
      </w:r>
      <w:r w:rsidR="00AD0CBE" w:rsidRPr="00AD0CBE">
        <w:rPr>
          <w:rFonts w:ascii="Times New Roman" w:hAnsi="Times New Roman" w:cs="Times New Roman"/>
          <w:sz w:val="24"/>
          <w:szCs w:val="24"/>
          <w:lang w:val="en-US"/>
        </w:rPr>
        <w:t xml:space="preserve">This method is considered to produce satisfactory results </w:t>
      </w:r>
      <w:r w:rsidR="00AD0CBE" w:rsidRPr="00AD0CBE">
        <w:rPr>
          <w:rFonts w:ascii="Times New Roman" w:hAnsi="Times New Roman" w:cs="Times New Roman"/>
          <w:sz w:val="24"/>
          <w:szCs w:val="24"/>
          <w:lang w:val="en-US"/>
        </w:rPr>
        <w:lastRenderedPageBreak/>
        <w:t xml:space="preserve">in cases where there are no significant non-linear risk factors, such as in cases where the portfolio contains significant options in options. </w:t>
      </w:r>
      <w:r>
        <w:rPr>
          <w:rFonts w:ascii="Times New Roman" w:hAnsi="Times New Roman" w:cs="Times New Roman"/>
          <w:sz w:val="24"/>
          <w:szCs w:val="24"/>
          <w:lang w:val="en-US"/>
        </w:rPr>
        <w:t>(Jori</w:t>
      </w:r>
      <w:r w:rsidR="00AD0CBE">
        <w:rPr>
          <w:rFonts w:ascii="Times New Roman" w:hAnsi="Times New Roman" w:cs="Times New Roman"/>
          <w:sz w:val="24"/>
          <w:szCs w:val="24"/>
          <w:lang w:val="en-US"/>
        </w:rPr>
        <w:t>o</w:t>
      </w:r>
      <w:r>
        <w:rPr>
          <w:rFonts w:ascii="Times New Roman" w:hAnsi="Times New Roman" w:cs="Times New Roman"/>
          <w:sz w:val="24"/>
          <w:szCs w:val="24"/>
          <w:lang w:val="en-US"/>
        </w:rPr>
        <w:t xml:space="preserve">n </w:t>
      </w:r>
      <w:r w:rsidR="00AD0CBE">
        <w:rPr>
          <w:rFonts w:ascii="Times New Roman" w:hAnsi="Times New Roman" w:cs="Times New Roman"/>
          <w:sz w:val="24"/>
          <w:szCs w:val="24"/>
          <w:lang w:val="en-US"/>
        </w:rPr>
        <w:t>P., 200</w:t>
      </w:r>
      <w:r w:rsidR="001908CD">
        <w:rPr>
          <w:rFonts w:ascii="Times New Roman" w:hAnsi="Times New Roman" w:cs="Times New Roman"/>
          <w:sz w:val="24"/>
          <w:szCs w:val="24"/>
          <w:lang w:val="en-US"/>
        </w:rPr>
        <w:t>7</w:t>
      </w:r>
      <w:r w:rsidR="00AD0CBE">
        <w:rPr>
          <w:rFonts w:ascii="Times New Roman" w:hAnsi="Times New Roman" w:cs="Times New Roman"/>
          <w:sz w:val="24"/>
          <w:szCs w:val="24"/>
          <w:lang w:val="en-US"/>
        </w:rPr>
        <w:t>)</w:t>
      </w:r>
      <w:r w:rsidR="00595FE5">
        <w:rPr>
          <w:rFonts w:ascii="Times New Roman" w:hAnsi="Times New Roman" w:cs="Times New Roman"/>
          <w:sz w:val="24"/>
          <w:szCs w:val="24"/>
          <w:lang w:val="en-US"/>
        </w:rPr>
        <w:t>.</w:t>
      </w:r>
    </w:p>
    <w:p w:rsidR="00595FE5" w:rsidRDefault="00595FE5" w:rsidP="00520EC7">
      <w:pPr>
        <w:spacing w:after="0"/>
        <w:jc w:val="both"/>
        <w:rPr>
          <w:rFonts w:ascii="Times New Roman" w:hAnsi="Times New Roman" w:cs="Times New Roman"/>
          <w:sz w:val="24"/>
          <w:szCs w:val="24"/>
          <w:lang w:val="en-US"/>
        </w:rPr>
      </w:pPr>
      <w:r w:rsidRPr="00595FE5">
        <w:rPr>
          <w:rFonts w:ascii="Times New Roman" w:hAnsi="Times New Roman" w:cs="Times New Roman"/>
          <w:sz w:val="24"/>
          <w:szCs w:val="24"/>
          <w:lang w:val="en-US"/>
        </w:rPr>
        <w:t xml:space="preserve">The figure </w:t>
      </w:r>
      <w:r>
        <w:rPr>
          <w:rFonts w:ascii="Times New Roman" w:hAnsi="Times New Roman" w:cs="Times New Roman"/>
          <w:sz w:val="24"/>
          <w:szCs w:val="24"/>
          <w:lang w:val="en-US"/>
        </w:rPr>
        <w:t xml:space="preserve">1 </w:t>
      </w:r>
      <w:r w:rsidRPr="00595FE5">
        <w:rPr>
          <w:rFonts w:ascii="Times New Roman" w:hAnsi="Times New Roman" w:cs="Times New Roman"/>
          <w:sz w:val="24"/>
          <w:szCs w:val="24"/>
          <w:lang w:val="en-US"/>
        </w:rPr>
        <w:t>below represents schematically the distribution of possible outcomes of a stochastic process.</w:t>
      </w:r>
    </w:p>
    <w:p w:rsidR="008973BA" w:rsidRPr="00595FE5" w:rsidRDefault="008973BA" w:rsidP="00520EC7">
      <w:pPr>
        <w:spacing w:after="0"/>
        <w:jc w:val="both"/>
        <w:rPr>
          <w:rFonts w:ascii="Times New Roman" w:hAnsi="Times New Roman" w:cs="Times New Roman"/>
          <w:sz w:val="24"/>
          <w:szCs w:val="24"/>
          <w:lang w:val="en-US"/>
        </w:rPr>
      </w:pPr>
    </w:p>
    <w:p w:rsidR="00BC22D7" w:rsidRPr="00BC22D7" w:rsidRDefault="00BC22D7" w:rsidP="00BC22D7">
      <w:pPr>
        <w:spacing w:after="0"/>
        <w:jc w:val="center"/>
        <w:rPr>
          <w:rFonts w:ascii="Times New Roman" w:hAnsi="Times New Roman" w:cs="Times New Roman"/>
          <w:b/>
          <w:sz w:val="24"/>
          <w:szCs w:val="24"/>
          <w:lang w:val="en-US"/>
        </w:rPr>
      </w:pPr>
      <w:r w:rsidRPr="00BC22D7">
        <w:rPr>
          <w:rFonts w:ascii="Times New Roman" w:hAnsi="Times New Roman" w:cs="Times New Roman"/>
          <w:b/>
          <w:sz w:val="24"/>
          <w:szCs w:val="24"/>
          <w:lang w:val="en-US"/>
        </w:rPr>
        <w:t>Figure 1: A graphical presentation of the VaR measure.</w:t>
      </w:r>
    </w:p>
    <w:p w:rsidR="00BC22D7" w:rsidRDefault="00BC22D7" w:rsidP="00BC22D7">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4413250" cy="210693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13250" cy="2106930"/>
                    </a:xfrm>
                    <a:prstGeom prst="rect">
                      <a:avLst/>
                    </a:prstGeom>
                    <a:noFill/>
                    <a:ln w="9525">
                      <a:noFill/>
                      <a:miter lim="800000"/>
                      <a:headEnd/>
                      <a:tailEnd/>
                    </a:ln>
                  </pic:spPr>
                </pic:pic>
              </a:graphicData>
            </a:graphic>
          </wp:inline>
        </w:drawing>
      </w:r>
    </w:p>
    <w:p w:rsidR="00BC22D7" w:rsidRPr="00BC22D7" w:rsidRDefault="00BC22D7" w:rsidP="00BC22D7">
      <w:pPr>
        <w:spacing w:after="0"/>
        <w:jc w:val="center"/>
        <w:rPr>
          <w:rFonts w:ascii="Times New Roman" w:hAnsi="Times New Roman" w:cs="Times New Roman"/>
          <w:color w:val="000000" w:themeColor="text1"/>
          <w:sz w:val="20"/>
          <w:szCs w:val="20"/>
          <w:lang w:val="en-US"/>
        </w:rPr>
      </w:pPr>
      <w:r w:rsidRPr="00BC22D7">
        <w:rPr>
          <w:rFonts w:ascii="Times New Roman" w:hAnsi="Times New Roman" w:cs="Times New Roman"/>
          <w:sz w:val="20"/>
          <w:szCs w:val="20"/>
          <w:lang w:val="en-US"/>
        </w:rPr>
        <w:t xml:space="preserve">Source: </w:t>
      </w:r>
      <w:hyperlink r:id="rId10" w:history="1">
        <w:r w:rsidRPr="00BC22D7">
          <w:rPr>
            <w:rStyle w:val="-"/>
            <w:rFonts w:ascii="Times New Roman" w:hAnsi="Times New Roman" w:cs="Times New Roman"/>
            <w:color w:val="000000" w:themeColor="text1"/>
            <w:sz w:val="20"/>
            <w:szCs w:val="20"/>
            <w:u w:val="none"/>
            <w:lang w:val="en-US"/>
          </w:rPr>
          <w:t>http://salserver.org.aalto.fi/vanhat_sivut/Opinnot/Mat-2.4108/pdf-files/epek10.pdf</w:t>
        </w:r>
      </w:hyperlink>
    </w:p>
    <w:p w:rsidR="00917E5B" w:rsidRDefault="00917E5B" w:rsidP="00520EC7">
      <w:pPr>
        <w:spacing w:after="0"/>
        <w:jc w:val="both"/>
        <w:rPr>
          <w:rFonts w:ascii="Times New Roman" w:hAnsi="Times New Roman" w:cs="Times New Roman"/>
          <w:sz w:val="24"/>
          <w:szCs w:val="24"/>
          <w:lang w:val="en-US"/>
        </w:rPr>
      </w:pPr>
    </w:p>
    <w:p w:rsidR="00BC22D7" w:rsidRPr="00917E5B" w:rsidRDefault="00595FE5" w:rsidP="00520EC7">
      <w:pPr>
        <w:spacing w:after="0"/>
        <w:jc w:val="both"/>
        <w:rPr>
          <w:rFonts w:ascii="Times New Roman" w:hAnsi="Times New Roman" w:cs="Times New Roman"/>
          <w:sz w:val="24"/>
          <w:szCs w:val="24"/>
          <w:lang w:val="en-US"/>
        </w:rPr>
      </w:pPr>
      <w:r w:rsidRPr="00595FE5">
        <w:rPr>
          <w:rFonts w:ascii="Times New Roman" w:hAnsi="Times New Roman" w:cs="Times New Roman"/>
          <w:sz w:val="24"/>
          <w:szCs w:val="24"/>
          <w:lang w:val="en-US"/>
        </w:rPr>
        <w:t>The VaR threshold value limits the left tail of the distribution. The outcome of the process hits the grayed out portion only in 5% of cases. This general approach can be applied to uncertain returns of financial assets as well as to different physical processes whose risks need to be quantified.</w:t>
      </w:r>
      <w:r w:rsidR="00917E5B">
        <w:rPr>
          <w:rFonts w:ascii="Times New Roman" w:hAnsi="Times New Roman" w:cs="Times New Roman"/>
          <w:sz w:val="24"/>
          <w:szCs w:val="24"/>
          <w:lang w:val="en-US"/>
        </w:rPr>
        <w:t xml:space="preserve"> </w:t>
      </w:r>
      <w:r w:rsidR="00917E5B" w:rsidRPr="00917E5B">
        <w:rPr>
          <w:rFonts w:ascii="Times New Roman" w:hAnsi="Times New Roman" w:cs="Times New Roman"/>
          <w:sz w:val="24"/>
          <w:szCs w:val="24"/>
          <w:lang w:val="en-US"/>
        </w:rPr>
        <w:t>(Timo Pekkala</w:t>
      </w:r>
      <w:r w:rsidR="00917E5B">
        <w:rPr>
          <w:rFonts w:ascii="Times New Roman" w:hAnsi="Times New Roman" w:cs="Times New Roman"/>
          <w:sz w:val="24"/>
          <w:szCs w:val="24"/>
          <w:lang w:val="en-US"/>
        </w:rPr>
        <w:t>,</w:t>
      </w:r>
      <w:r w:rsidR="00917E5B" w:rsidRPr="00917E5B">
        <w:rPr>
          <w:rFonts w:ascii="Times New Roman" w:hAnsi="Times New Roman" w:cs="Times New Roman"/>
          <w:sz w:val="24"/>
          <w:szCs w:val="24"/>
          <w:lang w:val="en-US"/>
        </w:rPr>
        <w:t xml:space="preserve"> 2010)</w:t>
      </w:r>
      <w:r w:rsidR="00917E5B">
        <w:rPr>
          <w:rFonts w:ascii="Times New Roman" w:hAnsi="Times New Roman" w:cs="Times New Roman"/>
          <w:sz w:val="24"/>
          <w:szCs w:val="24"/>
          <w:lang w:val="en-US"/>
        </w:rPr>
        <w:t>.</w:t>
      </w:r>
      <w:r w:rsidR="00917E5B">
        <w:rPr>
          <w:lang w:val="en-US"/>
        </w:rPr>
        <w:t xml:space="preserve"> </w:t>
      </w:r>
    </w:p>
    <w:p w:rsidR="00337426" w:rsidRPr="00337426" w:rsidRDefault="00137FAB" w:rsidP="00337426">
      <w:pPr>
        <w:pStyle w:val="Web"/>
        <w:shd w:val="clear" w:color="auto" w:fill="FFFFFF"/>
        <w:spacing w:before="0" w:beforeAutospacing="0" w:after="0" w:afterAutospacing="0" w:line="276" w:lineRule="auto"/>
        <w:jc w:val="both"/>
        <w:rPr>
          <w:lang w:val="en-US"/>
        </w:rPr>
      </w:pPr>
      <w:r w:rsidRPr="00137FAB">
        <w:rPr>
          <w:lang w:val="en-US"/>
        </w:rPr>
        <w:t xml:space="preserve">Value at Risk </w:t>
      </w:r>
      <w:r w:rsidR="00D14CD4">
        <w:rPr>
          <w:lang w:val="en-US"/>
        </w:rPr>
        <w:t>(</w:t>
      </w:r>
      <w:r w:rsidRPr="00137FAB">
        <w:rPr>
          <w:lang w:val="en-US"/>
        </w:rPr>
        <w:t>VaR</w:t>
      </w:r>
      <w:r w:rsidR="00D14CD4">
        <w:rPr>
          <w:lang w:val="en-US"/>
        </w:rPr>
        <w:t>)</w:t>
      </w:r>
      <w:r w:rsidRPr="00137FAB">
        <w:rPr>
          <w:lang w:val="en-US"/>
        </w:rPr>
        <w:t xml:space="preserve"> is the maximum amount of money a portfolio can lose over a given period of time, </w:t>
      </w:r>
      <w:r w:rsidR="00D14CD4">
        <w:rPr>
          <w:lang w:val="en-US"/>
        </w:rPr>
        <w:t>in a specific</w:t>
      </w:r>
      <w:r w:rsidRPr="00137FAB">
        <w:rPr>
          <w:lang w:val="en-US"/>
        </w:rPr>
        <w:t xml:space="preserve"> level of confidence.</w:t>
      </w:r>
      <w:r>
        <w:rPr>
          <w:lang w:val="en-US"/>
        </w:rPr>
        <w:t xml:space="preserve"> </w:t>
      </w:r>
      <w:r w:rsidRPr="0028247C">
        <w:rPr>
          <w:lang w:val="en-US"/>
        </w:rPr>
        <w:t xml:space="preserve">The </w:t>
      </w:r>
      <w:r>
        <w:rPr>
          <w:lang w:val="en-US"/>
        </w:rPr>
        <w:t>disadvantage</w:t>
      </w:r>
      <w:r w:rsidR="00214104">
        <w:rPr>
          <w:lang w:val="en-US"/>
        </w:rPr>
        <w:t>s</w:t>
      </w:r>
      <w:r>
        <w:rPr>
          <w:lang w:val="en-US"/>
        </w:rPr>
        <w:t xml:space="preserve"> of the V</w:t>
      </w:r>
      <w:r w:rsidRPr="0028247C">
        <w:rPr>
          <w:lang w:val="en-US"/>
        </w:rPr>
        <w:t>a</w:t>
      </w:r>
      <w:r>
        <w:rPr>
          <w:lang w:val="en-US"/>
        </w:rPr>
        <w:t>R</w:t>
      </w:r>
      <w:r w:rsidRPr="0028247C">
        <w:rPr>
          <w:lang w:val="en-US"/>
        </w:rPr>
        <w:t xml:space="preserve"> method </w:t>
      </w:r>
      <w:r w:rsidR="00214104">
        <w:rPr>
          <w:lang w:val="en-US"/>
        </w:rPr>
        <w:t xml:space="preserve">is that it </w:t>
      </w:r>
      <w:r w:rsidRPr="0028247C">
        <w:rPr>
          <w:lang w:val="en-US"/>
        </w:rPr>
        <w:t>can predict the maximum possible damage, but cannot quantify accurately, especially in the case of extreme price changes.</w:t>
      </w:r>
      <w:r>
        <w:rPr>
          <w:lang w:val="en-US"/>
        </w:rPr>
        <w:t xml:space="preserve"> For this purpose we use stress testing method. </w:t>
      </w:r>
      <w:r w:rsidR="00214104">
        <w:rPr>
          <w:lang w:val="en-US"/>
        </w:rPr>
        <w:t>Also i</w:t>
      </w:r>
      <w:r w:rsidR="00214104" w:rsidRPr="00214104">
        <w:rPr>
          <w:lang w:val="en-US"/>
        </w:rPr>
        <w:t>t may give undervalued results if the returns of an asset or portfolio suddenly change unpredictably, due to a test of changing a country's underlying economy.</w:t>
      </w:r>
      <w:r w:rsidR="00214104">
        <w:rPr>
          <w:lang w:val="en-US"/>
        </w:rPr>
        <w:t xml:space="preserve"> </w:t>
      </w:r>
      <w:r w:rsidR="00214104" w:rsidRPr="00214104">
        <w:rPr>
          <w:lang w:val="en-US"/>
        </w:rPr>
        <w:t>Losses are calculated assuming that the assets can be sold at current market prices, which is not the case if the business has a large amount of non-liquid assets in its possession. Thus VaR may underestimate actual losses, as these items may need to be sold at a discount.</w:t>
      </w:r>
      <w:r w:rsidR="00214104">
        <w:rPr>
          <w:lang w:val="en-US"/>
        </w:rPr>
        <w:t xml:space="preserve"> </w:t>
      </w:r>
      <w:r w:rsidRPr="0028247C">
        <w:rPr>
          <w:lang w:val="en-US"/>
        </w:rPr>
        <w:t xml:space="preserve">The </w:t>
      </w:r>
      <w:r>
        <w:rPr>
          <w:lang w:val="en-US"/>
        </w:rPr>
        <w:t>advantages V</w:t>
      </w:r>
      <w:r w:rsidRPr="0028247C">
        <w:rPr>
          <w:lang w:val="en-US"/>
        </w:rPr>
        <w:t>a</w:t>
      </w:r>
      <w:r>
        <w:rPr>
          <w:lang w:val="en-US"/>
        </w:rPr>
        <w:t>R</w:t>
      </w:r>
      <w:r w:rsidRPr="0028247C">
        <w:rPr>
          <w:lang w:val="en-US"/>
        </w:rPr>
        <w:t xml:space="preserve"> method takes into account the spread in the portfolio, that is, the different composition of the portfolio. The longer the duration of the portfolios, the greater the difference in burden between those portfolios. Another advantage of </w:t>
      </w:r>
      <w:r>
        <w:rPr>
          <w:lang w:val="en-US"/>
        </w:rPr>
        <w:t>V</w:t>
      </w:r>
      <w:r w:rsidRPr="0028247C">
        <w:rPr>
          <w:lang w:val="en-US"/>
        </w:rPr>
        <w:t>a</w:t>
      </w:r>
      <w:r>
        <w:rPr>
          <w:lang w:val="en-US"/>
        </w:rPr>
        <w:t>R</w:t>
      </w:r>
      <w:r w:rsidRPr="0028247C">
        <w:rPr>
          <w:lang w:val="en-US"/>
        </w:rPr>
        <w:t xml:space="preserve"> is that it takes into account volatility. At times when market volatility increases, so does the risk of a portfolio even if there are no changes in duration.</w:t>
      </w:r>
      <w:r w:rsidR="00214104">
        <w:rPr>
          <w:lang w:val="en-US"/>
        </w:rPr>
        <w:t xml:space="preserve"> </w:t>
      </w:r>
      <w:r w:rsidR="00206909" w:rsidRPr="00206909">
        <w:rPr>
          <w:lang w:val="en-US"/>
        </w:rPr>
        <w:t>It is characterized by simplicity and clarity and can be used immediately.</w:t>
      </w:r>
      <w:r w:rsidR="00206909">
        <w:rPr>
          <w:lang w:val="en-US"/>
        </w:rPr>
        <w:t xml:space="preserve"> </w:t>
      </w:r>
      <w:r w:rsidR="00206909" w:rsidRPr="00206909">
        <w:rPr>
          <w:lang w:val="en-US"/>
        </w:rPr>
        <w:t>Banks can set limits on foreign exchange and securities traders in VaR terms.</w:t>
      </w:r>
      <w:r w:rsidR="00206909">
        <w:rPr>
          <w:lang w:val="en-US"/>
        </w:rPr>
        <w:t xml:space="preserve"> </w:t>
      </w:r>
      <w:r w:rsidR="00206909" w:rsidRPr="00206909">
        <w:rPr>
          <w:lang w:val="en-US"/>
        </w:rPr>
        <w:t xml:space="preserve">The risk-return relationship is now studied under another alternative measure of risk contributing to the efficient allocation of funds between different types of securities. </w:t>
      </w:r>
      <w:r w:rsidR="00337426" w:rsidRPr="00337426">
        <w:rPr>
          <w:lang w:val="en-US"/>
        </w:rPr>
        <w:t xml:space="preserve">The </w:t>
      </w:r>
      <w:r w:rsidR="00337426" w:rsidRPr="00206909">
        <w:rPr>
          <w:lang w:val="en-US"/>
        </w:rPr>
        <w:t>VaR</w:t>
      </w:r>
      <w:r w:rsidR="00337426" w:rsidRPr="00337426">
        <w:rPr>
          <w:lang w:val="en-US"/>
        </w:rPr>
        <w:t xml:space="preserve"> is calculated by following the five steps below</w:t>
      </w:r>
      <w:r w:rsidR="00337426">
        <w:rPr>
          <w:lang w:val="en-US"/>
        </w:rPr>
        <w:t>:</w:t>
      </w:r>
      <w:r w:rsidR="00337426" w:rsidRPr="00337426">
        <w:rPr>
          <w:lang w:val="en-US"/>
        </w:rPr>
        <w:t xml:space="preserve"> </w:t>
      </w:r>
      <w:r w:rsidR="00337426">
        <w:rPr>
          <w:lang w:val="en-US"/>
        </w:rPr>
        <w:t>(</w:t>
      </w:r>
      <w:r w:rsidR="00337426">
        <w:rPr>
          <w:color w:val="000000" w:themeColor="text1"/>
          <w:lang w:val="en-US"/>
        </w:rPr>
        <w:t xml:space="preserve">Jorion P., </w:t>
      </w:r>
      <w:r w:rsidR="00337426" w:rsidRPr="00D10315">
        <w:rPr>
          <w:color w:val="000000" w:themeColor="text1"/>
          <w:lang w:val="en-US"/>
        </w:rPr>
        <w:t>200</w:t>
      </w:r>
      <w:r w:rsidR="00337426">
        <w:rPr>
          <w:color w:val="000000" w:themeColor="text1"/>
          <w:lang w:val="en-US"/>
        </w:rPr>
        <w:t>7</w:t>
      </w:r>
      <w:r w:rsidR="00337426" w:rsidRPr="00D10315">
        <w:rPr>
          <w:color w:val="000000" w:themeColor="text1"/>
          <w:lang w:val="en-US"/>
        </w:rPr>
        <w:t>).</w:t>
      </w:r>
    </w:p>
    <w:p w:rsidR="00337426" w:rsidRPr="00337426" w:rsidRDefault="00052F49" w:rsidP="00337426">
      <w:pPr>
        <w:pStyle w:val="Web"/>
        <w:shd w:val="clear" w:color="auto" w:fill="FFFFFF"/>
        <w:spacing w:before="0" w:beforeAutospacing="0" w:after="0" w:afterAutospacing="0" w:line="276" w:lineRule="auto"/>
        <w:jc w:val="both"/>
        <w:rPr>
          <w:lang w:val="en-US"/>
        </w:rPr>
      </w:pPr>
      <w:r>
        <w:rPr>
          <w:lang w:val="en-US"/>
        </w:rPr>
        <w:t>1.</w:t>
      </w:r>
      <w:r w:rsidR="00337426" w:rsidRPr="00337426">
        <w:rPr>
          <w:lang w:val="en-US"/>
        </w:rPr>
        <w:t xml:space="preserve"> </w:t>
      </w:r>
      <w:r>
        <w:rPr>
          <w:lang w:val="en-US"/>
        </w:rPr>
        <w:t>E</w:t>
      </w:r>
      <w:r w:rsidR="00337426" w:rsidRPr="00337426">
        <w:rPr>
          <w:lang w:val="en-US"/>
        </w:rPr>
        <w:t>valuate the current value of the portfolio</w:t>
      </w:r>
    </w:p>
    <w:p w:rsidR="00337426" w:rsidRPr="00337426" w:rsidRDefault="00337426" w:rsidP="00337426">
      <w:pPr>
        <w:pStyle w:val="Web"/>
        <w:shd w:val="clear" w:color="auto" w:fill="FFFFFF"/>
        <w:spacing w:before="0" w:beforeAutospacing="0" w:after="0" w:afterAutospacing="0" w:line="276" w:lineRule="auto"/>
        <w:jc w:val="both"/>
        <w:rPr>
          <w:lang w:val="en-US"/>
        </w:rPr>
      </w:pPr>
      <w:r w:rsidRPr="00337426">
        <w:rPr>
          <w:lang w:val="en-US"/>
        </w:rPr>
        <w:t>2. Calculate the volatility of the factors that influence the risk, e.g. standard deviation.</w:t>
      </w:r>
    </w:p>
    <w:p w:rsidR="00337426" w:rsidRPr="00337426" w:rsidRDefault="00337426" w:rsidP="00337426">
      <w:pPr>
        <w:pStyle w:val="Web"/>
        <w:shd w:val="clear" w:color="auto" w:fill="FFFFFF"/>
        <w:spacing w:before="0" w:beforeAutospacing="0" w:after="0" w:afterAutospacing="0" w:line="276" w:lineRule="auto"/>
        <w:jc w:val="both"/>
        <w:rPr>
          <w:lang w:val="en-US"/>
        </w:rPr>
      </w:pPr>
      <w:r w:rsidRPr="00337426">
        <w:rPr>
          <w:lang w:val="en-US"/>
        </w:rPr>
        <w:lastRenderedPageBreak/>
        <w:t>3. Define the holding time of the portfolio</w:t>
      </w:r>
    </w:p>
    <w:p w:rsidR="00337426" w:rsidRPr="00337426" w:rsidRDefault="00337426" w:rsidP="00337426">
      <w:pPr>
        <w:pStyle w:val="Web"/>
        <w:shd w:val="clear" w:color="auto" w:fill="FFFFFF"/>
        <w:spacing w:before="0" w:beforeAutospacing="0" w:after="0" w:afterAutospacing="0" w:line="276" w:lineRule="auto"/>
        <w:jc w:val="both"/>
        <w:rPr>
          <w:lang w:val="en-US"/>
        </w:rPr>
      </w:pPr>
      <w:r w:rsidRPr="00337426">
        <w:rPr>
          <w:lang w:val="en-US"/>
        </w:rPr>
        <w:t>4. Set a period of confidence.</w:t>
      </w:r>
    </w:p>
    <w:p w:rsidR="00137FAB" w:rsidRDefault="00337426" w:rsidP="00337426">
      <w:pPr>
        <w:pStyle w:val="Web"/>
        <w:shd w:val="clear" w:color="auto" w:fill="FFFFFF"/>
        <w:spacing w:before="0" w:beforeAutospacing="0" w:after="0" w:afterAutospacing="0" w:line="276" w:lineRule="auto"/>
        <w:jc w:val="both"/>
        <w:rPr>
          <w:lang w:val="en-US"/>
        </w:rPr>
      </w:pPr>
      <w:r w:rsidRPr="00337426">
        <w:rPr>
          <w:lang w:val="en-US"/>
        </w:rPr>
        <w:t xml:space="preserve">5. We calculate the potential damage using the information in the previous steps. </w:t>
      </w:r>
    </w:p>
    <w:p w:rsidR="00137FAB" w:rsidRDefault="00137FAB" w:rsidP="00206909">
      <w:pPr>
        <w:pStyle w:val="Web"/>
        <w:shd w:val="clear" w:color="auto" w:fill="FFFFFF"/>
        <w:spacing w:before="0" w:beforeAutospacing="0" w:after="0" w:afterAutospacing="0" w:line="276" w:lineRule="auto"/>
        <w:jc w:val="both"/>
        <w:rPr>
          <w:lang w:val="en-US"/>
        </w:rPr>
      </w:pPr>
      <w:r w:rsidRPr="00137FAB">
        <w:rPr>
          <w:lang w:val="en-US"/>
        </w:rPr>
        <w:t>According to Engle and Manganelli (2001) we can divide the various methodologies into three general categories of non-parametric methods (eg the Historical Simulation and the Hybrid Model), the parametric (eg the Risk Metrics). and semi-parametric (eg Extreme Value Theory).</w:t>
      </w:r>
    </w:p>
    <w:p w:rsidR="00137FAB" w:rsidRPr="00137FAB" w:rsidRDefault="00137FAB" w:rsidP="00137FAB">
      <w:pPr>
        <w:pStyle w:val="Web"/>
        <w:shd w:val="clear" w:color="auto" w:fill="FFFFFF"/>
        <w:spacing w:before="0" w:beforeAutospacing="0" w:after="0" w:afterAutospacing="0" w:line="276" w:lineRule="auto"/>
        <w:jc w:val="both"/>
        <w:rPr>
          <w:lang w:val="en-US"/>
        </w:rPr>
      </w:pPr>
      <w:r w:rsidRPr="00137FAB">
        <w:rPr>
          <w:lang w:val="en-US"/>
        </w:rPr>
        <w:t xml:space="preserve">Value at </w:t>
      </w:r>
      <w:r w:rsidR="00D14CD4">
        <w:rPr>
          <w:lang w:val="en-US"/>
        </w:rPr>
        <w:t>R</w:t>
      </w:r>
      <w:r w:rsidRPr="00137FAB">
        <w:rPr>
          <w:lang w:val="en-US"/>
        </w:rPr>
        <w:t>isk reflects the exposure of the banking institution to market risks. Therefore, both bank managers and shareholders can decide whether the level of risk is acceptable.</w:t>
      </w:r>
    </w:p>
    <w:p w:rsidR="00137FAB" w:rsidRDefault="00137FAB" w:rsidP="00137FAB">
      <w:pPr>
        <w:pStyle w:val="Web"/>
        <w:shd w:val="clear" w:color="auto" w:fill="FFFFFF"/>
        <w:spacing w:before="0" w:beforeAutospacing="0" w:after="0" w:afterAutospacing="0" w:line="276" w:lineRule="auto"/>
        <w:jc w:val="both"/>
        <w:rPr>
          <w:lang w:val="en-US"/>
        </w:rPr>
      </w:pPr>
      <w:r w:rsidRPr="00137FAB">
        <w:rPr>
          <w:lang w:val="en-US"/>
        </w:rPr>
        <w:t xml:space="preserve">The Basel Committee on Banking Supervision, the </w:t>
      </w:r>
      <w:r w:rsidR="00D14CD4">
        <w:rPr>
          <w:lang w:val="en-US"/>
        </w:rPr>
        <w:t>C</w:t>
      </w:r>
      <w:r w:rsidRPr="00137FAB">
        <w:rPr>
          <w:lang w:val="en-US"/>
        </w:rPr>
        <w:t xml:space="preserve">entral </w:t>
      </w:r>
      <w:r w:rsidR="00D14CD4">
        <w:rPr>
          <w:lang w:val="en-US"/>
        </w:rPr>
        <w:t>B</w:t>
      </w:r>
      <w:r w:rsidRPr="00137FAB">
        <w:rPr>
          <w:lang w:val="en-US"/>
        </w:rPr>
        <w:t xml:space="preserve">anks and the </w:t>
      </w:r>
      <w:r w:rsidR="00D14CD4">
        <w:rPr>
          <w:lang w:val="en-US"/>
        </w:rPr>
        <w:t>S</w:t>
      </w:r>
      <w:r w:rsidRPr="00137FAB">
        <w:rPr>
          <w:lang w:val="en-US"/>
        </w:rPr>
        <w:t xml:space="preserve">upervisory </w:t>
      </w:r>
      <w:r w:rsidR="00D14CD4">
        <w:rPr>
          <w:lang w:val="en-US"/>
        </w:rPr>
        <w:t>A</w:t>
      </w:r>
      <w:r w:rsidRPr="00137FAB">
        <w:rPr>
          <w:lang w:val="en-US"/>
        </w:rPr>
        <w:t>uthorities of European countries converge on the acceptance of VaR as an appropriate method of risk assessment.</w:t>
      </w:r>
      <w:r w:rsidR="00214104">
        <w:rPr>
          <w:rStyle w:val="a4"/>
          <w:lang w:val="en-US"/>
        </w:rPr>
        <w:footnoteReference w:id="5"/>
      </w:r>
    </w:p>
    <w:p w:rsidR="00AD0CBE" w:rsidRDefault="00AD0CBE" w:rsidP="00520EC7">
      <w:pPr>
        <w:spacing w:after="0"/>
        <w:jc w:val="both"/>
        <w:rPr>
          <w:rFonts w:ascii="Times New Roman" w:hAnsi="Times New Roman" w:cs="Times New Roman"/>
          <w:sz w:val="24"/>
          <w:szCs w:val="24"/>
          <w:lang w:val="en-US"/>
        </w:rPr>
      </w:pPr>
      <w:r w:rsidRPr="00AD0CBE">
        <w:rPr>
          <w:rFonts w:ascii="Times New Roman" w:hAnsi="Times New Roman" w:cs="Times New Roman"/>
          <w:sz w:val="24"/>
          <w:szCs w:val="24"/>
          <w:lang w:val="en-US"/>
        </w:rPr>
        <w:t>The Value at Risk calculation of equity risk is performed using the beta mapping method that uses the beta coefficients in relation to the stock market indices of which they belong</w:t>
      </w:r>
      <w:r>
        <w:rPr>
          <w:rFonts w:ascii="Times New Roman" w:hAnsi="Times New Roman" w:cs="Times New Roman"/>
          <w:sz w:val="24"/>
          <w:szCs w:val="24"/>
          <w:lang w:val="en-US"/>
        </w:rPr>
        <w:t xml:space="preserve"> (Piraeus Bank)</w:t>
      </w:r>
      <w:r w:rsidRPr="00AD0CBE">
        <w:rPr>
          <w:rFonts w:ascii="Times New Roman" w:hAnsi="Times New Roman" w:cs="Times New Roman"/>
          <w:sz w:val="24"/>
          <w:szCs w:val="24"/>
          <w:lang w:val="en-US"/>
        </w:rPr>
        <w:t>. This method works well when the portfolio of shares for which it is used is diversified. A disadvantage of the method is that if the portfolio is not adequately diversified the risk may be underestimated or overestimated.</w:t>
      </w:r>
    </w:p>
    <w:p w:rsidR="00137FAB" w:rsidRDefault="003978AF" w:rsidP="00520EC7">
      <w:pPr>
        <w:spacing w:after="0"/>
        <w:jc w:val="both"/>
        <w:rPr>
          <w:rFonts w:ascii="Times New Roman" w:hAnsi="Times New Roman" w:cs="Times New Roman"/>
          <w:sz w:val="24"/>
          <w:szCs w:val="24"/>
          <w:lang w:val="en-US"/>
        </w:rPr>
      </w:pPr>
      <w:r w:rsidRPr="003978AF">
        <w:rPr>
          <w:rFonts w:ascii="Times New Roman" w:hAnsi="Times New Roman" w:cs="Times New Roman"/>
          <w:sz w:val="24"/>
          <w:szCs w:val="24"/>
          <w:lang w:val="en-US"/>
        </w:rPr>
        <w:t>The approach to Value at Risk (VaR) methodology that has been evolving in recent years with the support of information systems is one of the most well known and accepted by both financial institutions and supervisors worldwide. It is a method originally developed to measure market risk, but today covers many more areas and is the most basic tool by which financial institutions control and manage their credit and operating risk.</w:t>
      </w:r>
    </w:p>
    <w:p w:rsidR="00C71B3C" w:rsidRDefault="00C71B3C" w:rsidP="00520EC7">
      <w:pPr>
        <w:spacing w:after="0"/>
        <w:jc w:val="both"/>
        <w:rPr>
          <w:rFonts w:ascii="Times New Roman" w:hAnsi="Times New Roman" w:cs="Times New Roman"/>
          <w:sz w:val="24"/>
          <w:szCs w:val="24"/>
          <w:lang w:val="en-US"/>
        </w:rPr>
      </w:pPr>
    </w:p>
    <w:p w:rsidR="00BC22D7" w:rsidRDefault="00BC22D7" w:rsidP="00520E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2.2 Mergers and Acquisitions</w:t>
      </w:r>
    </w:p>
    <w:p w:rsidR="00622452" w:rsidRDefault="00ED1678" w:rsidP="00520EC7">
      <w:pPr>
        <w:spacing w:after="0"/>
        <w:jc w:val="both"/>
        <w:rPr>
          <w:rFonts w:ascii="Times New Roman" w:hAnsi="Times New Roman" w:cs="Times New Roman"/>
          <w:sz w:val="24"/>
          <w:szCs w:val="24"/>
          <w:lang w:val="en-US"/>
        </w:rPr>
      </w:pPr>
      <w:r w:rsidRPr="008F766C">
        <w:rPr>
          <w:rFonts w:ascii="Times New Roman" w:hAnsi="Times New Roman" w:cs="Times New Roman"/>
          <w:sz w:val="24"/>
          <w:szCs w:val="24"/>
          <w:lang w:val="en-US"/>
        </w:rPr>
        <w:t>A merger is the merger of two or more companies into one.</w:t>
      </w:r>
      <w:r>
        <w:rPr>
          <w:rFonts w:ascii="Times New Roman" w:hAnsi="Times New Roman" w:cs="Times New Roman"/>
          <w:sz w:val="24"/>
          <w:szCs w:val="24"/>
          <w:lang w:val="en-US"/>
        </w:rPr>
        <w:t xml:space="preserve"> </w:t>
      </w:r>
      <w:r w:rsidRPr="008F766C">
        <w:rPr>
          <w:rFonts w:ascii="Times New Roman" w:hAnsi="Times New Roman" w:cs="Times New Roman"/>
          <w:sz w:val="24"/>
          <w:szCs w:val="24"/>
          <w:lang w:val="en-US"/>
        </w:rPr>
        <w:t xml:space="preserve">It happens when one company buys another and absorbs it into a single business structure, usually retaining the original corporate identity of the acquiring company. </w:t>
      </w:r>
      <w:r w:rsidR="00622452" w:rsidRPr="00DB1F29">
        <w:rPr>
          <w:rFonts w:ascii="Times New Roman" w:hAnsi="Times New Roman" w:cs="Times New Roman"/>
          <w:sz w:val="24"/>
          <w:szCs w:val="24"/>
          <w:lang w:val="en-US"/>
        </w:rPr>
        <w:t>Banking mergers and acquisitions are a fairly old phenomenon that has always existed</w:t>
      </w:r>
      <w:r w:rsidR="00622452">
        <w:rPr>
          <w:rFonts w:ascii="Times New Roman" w:hAnsi="Times New Roman" w:cs="Times New Roman"/>
          <w:sz w:val="24"/>
          <w:szCs w:val="24"/>
          <w:lang w:val="en-US"/>
        </w:rPr>
        <w:t xml:space="preserve"> </w:t>
      </w:r>
      <w:r w:rsidR="00622452" w:rsidRPr="00DB1F29">
        <w:rPr>
          <w:rFonts w:ascii="Times New Roman" w:hAnsi="Times New Roman" w:cs="Times New Roman"/>
          <w:sz w:val="24"/>
          <w:szCs w:val="24"/>
          <w:lang w:val="en-US"/>
        </w:rPr>
        <w:t>especially because of the great importance of the banking system to the economy.</w:t>
      </w:r>
      <w:r w:rsidR="00622452">
        <w:rPr>
          <w:rStyle w:val="a4"/>
          <w:rFonts w:ascii="Times New Roman" w:hAnsi="Times New Roman" w:cs="Times New Roman"/>
          <w:sz w:val="24"/>
          <w:szCs w:val="24"/>
          <w:lang w:val="en-US"/>
        </w:rPr>
        <w:footnoteReference w:id="6"/>
      </w:r>
    </w:p>
    <w:p w:rsidR="003978AF" w:rsidRPr="00D10315" w:rsidRDefault="00D10315" w:rsidP="00520EC7">
      <w:pPr>
        <w:spacing w:after="0"/>
        <w:jc w:val="both"/>
        <w:rPr>
          <w:rFonts w:ascii="Times New Roman" w:hAnsi="Times New Roman" w:cs="Times New Roman"/>
          <w:sz w:val="24"/>
          <w:szCs w:val="24"/>
          <w:lang w:val="en-US"/>
        </w:rPr>
      </w:pPr>
      <w:r w:rsidRPr="00D10315">
        <w:rPr>
          <w:rFonts w:ascii="Times New Roman" w:hAnsi="Times New Roman" w:cs="Times New Roman"/>
          <w:sz w:val="24"/>
          <w:szCs w:val="24"/>
          <w:lang w:val="en-US"/>
        </w:rPr>
        <w:t xml:space="preserve">Mergers and Acquisitions (M&amp;A) are being increasingly used the world over, for improving competitiveness of companies through gaining greater market share, broadening the portfolio to reduce business risk, for entering new markets and geographies, and </w:t>
      </w:r>
      <w:r w:rsidR="00BA5E9D" w:rsidRPr="00D10315">
        <w:rPr>
          <w:rFonts w:ascii="Times New Roman" w:hAnsi="Times New Roman" w:cs="Times New Roman"/>
          <w:sz w:val="24"/>
          <w:szCs w:val="24"/>
          <w:lang w:val="en-US"/>
        </w:rPr>
        <w:t>capitalizing</w:t>
      </w:r>
      <w:r w:rsidRPr="00D10315">
        <w:rPr>
          <w:rFonts w:ascii="Times New Roman" w:hAnsi="Times New Roman" w:cs="Times New Roman"/>
          <w:sz w:val="24"/>
          <w:szCs w:val="24"/>
          <w:lang w:val="en-US"/>
        </w:rPr>
        <w:t xml:space="preserve"> on economies of scale etc.</w:t>
      </w:r>
      <w:r>
        <w:rPr>
          <w:rFonts w:ascii="Times New Roman" w:hAnsi="Times New Roman" w:cs="Times New Roman"/>
          <w:sz w:val="24"/>
          <w:szCs w:val="24"/>
          <w:lang w:val="en-US"/>
        </w:rPr>
        <w:t xml:space="preserve"> </w:t>
      </w:r>
      <w:r w:rsidRPr="00D10315">
        <w:rPr>
          <w:rFonts w:ascii="Times New Roman" w:hAnsi="Times New Roman" w:cs="Times New Roman"/>
          <w:sz w:val="24"/>
          <w:szCs w:val="24"/>
          <w:lang w:val="en-US"/>
        </w:rPr>
        <w:t>Merger and acquisition for long have been an important phenomenon in the US and UK economics.</w:t>
      </w:r>
      <w:r>
        <w:rPr>
          <w:rStyle w:val="a4"/>
          <w:rFonts w:ascii="Times New Roman" w:hAnsi="Times New Roman" w:cs="Times New Roman"/>
          <w:sz w:val="24"/>
          <w:szCs w:val="24"/>
          <w:lang w:val="en-US"/>
        </w:rPr>
        <w:footnoteReference w:id="7"/>
      </w:r>
    </w:p>
    <w:p w:rsidR="003978AF" w:rsidRPr="00D10315" w:rsidRDefault="005B4043" w:rsidP="00520EC7">
      <w:pPr>
        <w:spacing w:after="0"/>
        <w:jc w:val="both"/>
        <w:rPr>
          <w:rFonts w:ascii="Times New Roman" w:hAnsi="Times New Roman" w:cs="Times New Roman"/>
          <w:sz w:val="24"/>
          <w:szCs w:val="24"/>
          <w:lang w:val="en-US"/>
        </w:rPr>
      </w:pPr>
      <w:r w:rsidRPr="008F766C">
        <w:rPr>
          <w:rFonts w:ascii="Times New Roman" w:hAnsi="Times New Roman" w:cs="Times New Roman"/>
          <w:sz w:val="24"/>
          <w:szCs w:val="24"/>
          <w:lang w:val="en-US"/>
        </w:rPr>
        <w:t>A merger is the merger of two or more companies</w:t>
      </w:r>
      <w:r w:rsidR="000F0718">
        <w:rPr>
          <w:rFonts w:ascii="Times New Roman" w:hAnsi="Times New Roman" w:cs="Times New Roman"/>
          <w:sz w:val="24"/>
          <w:szCs w:val="24"/>
          <w:lang w:val="en-US"/>
        </w:rPr>
        <w:t xml:space="preserve"> or banks </w:t>
      </w:r>
      <w:r w:rsidRPr="008F766C">
        <w:rPr>
          <w:rFonts w:ascii="Times New Roman" w:hAnsi="Times New Roman" w:cs="Times New Roman"/>
          <w:sz w:val="24"/>
          <w:szCs w:val="24"/>
          <w:lang w:val="en-US"/>
        </w:rPr>
        <w:t>into one.</w:t>
      </w:r>
      <w:r>
        <w:rPr>
          <w:rFonts w:ascii="Times New Roman" w:hAnsi="Times New Roman" w:cs="Times New Roman"/>
          <w:sz w:val="24"/>
          <w:szCs w:val="24"/>
          <w:lang w:val="en-US"/>
        </w:rPr>
        <w:t xml:space="preserve"> </w:t>
      </w:r>
      <w:r w:rsidRPr="008F766C">
        <w:rPr>
          <w:rFonts w:ascii="Times New Roman" w:hAnsi="Times New Roman" w:cs="Times New Roman"/>
          <w:sz w:val="24"/>
          <w:szCs w:val="24"/>
          <w:lang w:val="en-US"/>
        </w:rPr>
        <w:t xml:space="preserve">It happens when one company buys another and absorbs it into a single business structure, usually retaining the original corporate identity of the acquiring company. According to Hubbard (1999), companies that merge are of similar size and influence. The effort is </w:t>
      </w:r>
      <w:r w:rsidRPr="008F766C">
        <w:rPr>
          <w:rFonts w:ascii="Times New Roman" w:hAnsi="Times New Roman" w:cs="Times New Roman"/>
          <w:sz w:val="24"/>
          <w:szCs w:val="24"/>
          <w:lang w:val="en-US"/>
        </w:rPr>
        <w:lastRenderedPageBreak/>
        <w:t>on</w:t>
      </w:r>
      <w:r>
        <w:rPr>
          <w:rFonts w:ascii="Times New Roman" w:hAnsi="Times New Roman" w:cs="Times New Roman"/>
          <w:sz w:val="24"/>
          <w:szCs w:val="24"/>
          <w:lang w:val="en-US"/>
        </w:rPr>
        <w:t xml:space="preserve"> </w:t>
      </w:r>
      <w:r w:rsidRPr="008F766C">
        <w:rPr>
          <w:rFonts w:ascii="Times New Roman" w:hAnsi="Times New Roman" w:cs="Times New Roman"/>
          <w:sz w:val="24"/>
          <w:szCs w:val="24"/>
          <w:lang w:val="en-US"/>
        </w:rPr>
        <w:t>the creation of a new partnership, in which both parties have the same rights to negotiate their merger decisions (Weston, Mitchell, &amp; Mulherin, 2004).</w:t>
      </w:r>
      <w:r>
        <w:rPr>
          <w:rFonts w:ascii="Times New Roman" w:hAnsi="Times New Roman" w:cs="Times New Roman"/>
          <w:sz w:val="24"/>
          <w:szCs w:val="24"/>
          <w:lang w:val="en-US"/>
        </w:rPr>
        <w:t xml:space="preserve"> </w:t>
      </w:r>
      <w:r w:rsidRPr="008F766C">
        <w:rPr>
          <w:rFonts w:ascii="Times New Roman" w:hAnsi="Times New Roman" w:cs="Times New Roman"/>
          <w:sz w:val="24"/>
          <w:szCs w:val="24"/>
          <w:lang w:val="en-US"/>
        </w:rPr>
        <w:t xml:space="preserve">Mergers correspond to different forms of business integration. Thus, </w:t>
      </w:r>
      <w:r>
        <w:rPr>
          <w:rFonts w:ascii="Times New Roman" w:hAnsi="Times New Roman" w:cs="Times New Roman"/>
          <w:sz w:val="24"/>
          <w:szCs w:val="24"/>
          <w:lang w:val="en-US"/>
        </w:rPr>
        <w:t>mergers</w:t>
      </w:r>
      <w:r w:rsidRPr="008F766C">
        <w:rPr>
          <w:rFonts w:ascii="Times New Roman" w:hAnsi="Times New Roman" w:cs="Times New Roman"/>
          <w:sz w:val="24"/>
          <w:szCs w:val="24"/>
          <w:lang w:val="en-US"/>
        </w:rPr>
        <w:t xml:space="preserve"> can be (according to Borghese &amp; Borgese, 2002), horizontal, vertical, or a combination of motile activities.</w:t>
      </w:r>
    </w:p>
    <w:p w:rsidR="003978AF" w:rsidRDefault="005B4043" w:rsidP="00520EC7">
      <w:pPr>
        <w:spacing w:after="0"/>
        <w:jc w:val="both"/>
        <w:rPr>
          <w:rFonts w:ascii="Times New Roman" w:hAnsi="Times New Roman" w:cs="Times New Roman"/>
          <w:sz w:val="24"/>
          <w:szCs w:val="24"/>
          <w:lang w:val="en-US"/>
        </w:rPr>
      </w:pPr>
      <w:r w:rsidRPr="00033F2E">
        <w:rPr>
          <w:rFonts w:ascii="Times New Roman" w:hAnsi="Times New Roman" w:cs="Times New Roman"/>
          <w:sz w:val="24"/>
          <w:szCs w:val="24"/>
          <w:lang w:val="en-US"/>
        </w:rPr>
        <w:t>Acquisitions relate to the transfer of all or a majority of the ownership of one business (redeemed) to another (redeemer), which pays the corresponding consideration. The buyer usually pays in cash to buy another business (Sherman &amp; Hart, 2006).</w:t>
      </w:r>
    </w:p>
    <w:p w:rsidR="00ED1678" w:rsidRPr="00A46F5C" w:rsidRDefault="00ED1678" w:rsidP="00ED1678">
      <w:pPr>
        <w:spacing w:after="0" w:line="240" w:lineRule="auto"/>
        <w:jc w:val="both"/>
        <w:rPr>
          <w:rFonts w:ascii="Times New Roman" w:hAnsi="Times New Roman" w:cs="Times New Roman"/>
          <w:sz w:val="24"/>
          <w:szCs w:val="24"/>
          <w:lang w:val="en-US"/>
        </w:rPr>
      </w:pPr>
      <w:r w:rsidRPr="00A46F5C">
        <w:rPr>
          <w:rFonts w:ascii="Times New Roman" w:hAnsi="Times New Roman" w:cs="Times New Roman"/>
          <w:sz w:val="24"/>
          <w:szCs w:val="24"/>
          <w:lang w:val="en-US"/>
        </w:rPr>
        <w:t xml:space="preserve">The main factors driving the mergers </w:t>
      </w:r>
      <w:r>
        <w:rPr>
          <w:rFonts w:ascii="Times New Roman" w:hAnsi="Times New Roman" w:cs="Times New Roman"/>
          <w:sz w:val="24"/>
          <w:szCs w:val="24"/>
          <w:lang w:val="en-US"/>
        </w:rPr>
        <w:t>and acquisitions ar</w:t>
      </w:r>
      <w:r w:rsidRPr="00A46F5C">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Pr>
          <w:rStyle w:val="a4"/>
          <w:rFonts w:ascii="Times New Roman" w:hAnsi="Times New Roman" w:cs="Times New Roman"/>
          <w:sz w:val="24"/>
          <w:szCs w:val="24"/>
          <w:lang w:val="en-US"/>
        </w:rPr>
        <w:footnoteReference w:id="8"/>
      </w:r>
      <w:r w:rsidRPr="00A46F5C">
        <w:rPr>
          <w:rFonts w:ascii="Times New Roman" w:hAnsi="Times New Roman" w:cs="Times New Roman"/>
          <w:sz w:val="24"/>
          <w:szCs w:val="24"/>
          <w:lang w:val="en-US"/>
        </w:rPr>
        <w:t>:</w:t>
      </w:r>
    </w:p>
    <w:p w:rsidR="00ED1678" w:rsidRPr="00A46F5C" w:rsidRDefault="00ED1678" w:rsidP="00ED1678">
      <w:pPr>
        <w:spacing w:after="0" w:line="240" w:lineRule="auto"/>
        <w:jc w:val="both"/>
        <w:rPr>
          <w:rFonts w:ascii="Times New Roman" w:hAnsi="Times New Roman" w:cs="Times New Roman"/>
          <w:sz w:val="24"/>
          <w:szCs w:val="24"/>
          <w:lang w:val="en-US"/>
        </w:rPr>
      </w:pPr>
      <w:r w:rsidRPr="00A46F5C">
        <w:rPr>
          <w:rFonts w:ascii="Times New Roman" w:hAnsi="Times New Roman" w:cs="Times New Roman"/>
          <w:sz w:val="24"/>
          <w:szCs w:val="24"/>
          <w:lang w:val="en-US"/>
        </w:rPr>
        <w:t>1. Technological progress,</w:t>
      </w:r>
    </w:p>
    <w:p w:rsidR="00ED1678" w:rsidRPr="00A46F5C" w:rsidRDefault="00ED1678" w:rsidP="00ED1678">
      <w:pPr>
        <w:spacing w:after="0" w:line="240" w:lineRule="auto"/>
        <w:jc w:val="both"/>
        <w:rPr>
          <w:rFonts w:ascii="Times New Roman" w:hAnsi="Times New Roman" w:cs="Times New Roman"/>
          <w:sz w:val="24"/>
          <w:szCs w:val="24"/>
          <w:lang w:val="en-US"/>
        </w:rPr>
      </w:pPr>
      <w:r w:rsidRPr="00A46F5C">
        <w:rPr>
          <w:rFonts w:ascii="Times New Roman" w:hAnsi="Times New Roman" w:cs="Times New Roman"/>
          <w:sz w:val="24"/>
          <w:szCs w:val="24"/>
          <w:lang w:val="en-US"/>
        </w:rPr>
        <w:t>2. Globalization</w:t>
      </w:r>
    </w:p>
    <w:p w:rsidR="00ED1678" w:rsidRPr="00A46F5C" w:rsidRDefault="00ED1678" w:rsidP="00ED1678">
      <w:pPr>
        <w:spacing w:after="0" w:line="240" w:lineRule="auto"/>
        <w:jc w:val="both"/>
        <w:rPr>
          <w:rFonts w:ascii="Times New Roman" w:hAnsi="Times New Roman" w:cs="Times New Roman"/>
          <w:sz w:val="24"/>
          <w:szCs w:val="24"/>
          <w:lang w:val="en-US"/>
        </w:rPr>
      </w:pPr>
      <w:r w:rsidRPr="00A46F5C">
        <w:rPr>
          <w:rFonts w:ascii="Times New Roman" w:hAnsi="Times New Roman" w:cs="Times New Roman"/>
          <w:sz w:val="24"/>
          <w:szCs w:val="24"/>
          <w:lang w:val="en-US"/>
        </w:rPr>
        <w:t>3. The liberalization of financial markets,</w:t>
      </w:r>
    </w:p>
    <w:p w:rsidR="00ED1678" w:rsidRPr="00A46F5C" w:rsidRDefault="00ED1678" w:rsidP="00ED1678">
      <w:pPr>
        <w:spacing w:after="0" w:line="240" w:lineRule="auto"/>
        <w:jc w:val="both"/>
        <w:rPr>
          <w:rFonts w:ascii="Times New Roman" w:hAnsi="Times New Roman" w:cs="Times New Roman"/>
          <w:sz w:val="24"/>
          <w:szCs w:val="24"/>
          <w:lang w:val="en-US"/>
        </w:rPr>
      </w:pPr>
      <w:r w:rsidRPr="00A46F5C">
        <w:rPr>
          <w:rFonts w:ascii="Times New Roman" w:hAnsi="Times New Roman" w:cs="Times New Roman"/>
          <w:sz w:val="24"/>
          <w:szCs w:val="24"/>
          <w:lang w:val="en-US"/>
        </w:rPr>
        <w:t>4. Increase of credit system supervisory controls</w:t>
      </w:r>
    </w:p>
    <w:p w:rsidR="00ED1678" w:rsidRPr="00A46F5C" w:rsidRDefault="00ED1678" w:rsidP="00ED1678">
      <w:pPr>
        <w:spacing w:after="0" w:line="240" w:lineRule="auto"/>
        <w:jc w:val="both"/>
        <w:rPr>
          <w:rFonts w:ascii="Times New Roman" w:hAnsi="Times New Roman" w:cs="Times New Roman"/>
          <w:sz w:val="24"/>
          <w:szCs w:val="24"/>
          <w:lang w:val="en-US"/>
        </w:rPr>
      </w:pPr>
      <w:r w:rsidRPr="00A46F5C">
        <w:rPr>
          <w:rFonts w:ascii="Times New Roman" w:hAnsi="Times New Roman" w:cs="Times New Roman"/>
          <w:sz w:val="24"/>
          <w:szCs w:val="24"/>
          <w:lang w:val="en-US"/>
        </w:rPr>
        <w:t>5. Regularization,</w:t>
      </w:r>
    </w:p>
    <w:p w:rsidR="00ED1678" w:rsidRDefault="00ED1678" w:rsidP="00ED1678">
      <w:pPr>
        <w:spacing w:after="0" w:line="240" w:lineRule="auto"/>
        <w:jc w:val="both"/>
        <w:rPr>
          <w:rFonts w:ascii="Times New Roman" w:hAnsi="Times New Roman" w:cs="Times New Roman"/>
          <w:sz w:val="24"/>
          <w:szCs w:val="24"/>
          <w:lang w:val="en-US"/>
        </w:rPr>
      </w:pPr>
      <w:r w:rsidRPr="00A46F5C">
        <w:rPr>
          <w:rFonts w:ascii="Times New Roman" w:hAnsi="Times New Roman" w:cs="Times New Roman"/>
          <w:sz w:val="24"/>
          <w:szCs w:val="24"/>
          <w:lang w:val="en-US"/>
        </w:rPr>
        <w:t>6. The creation of a single financial market in the European Union with the introduction of the Euro</w:t>
      </w:r>
      <w:r>
        <w:rPr>
          <w:rFonts w:ascii="Times New Roman" w:hAnsi="Times New Roman" w:cs="Times New Roman"/>
          <w:sz w:val="24"/>
          <w:szCs w:val="24"/>
          <w:lang w:val="en-US"/>
        </w:rPr>
        <w:t xml:space="preserve"> </w:t>
      </w:r>
      <w:r w:rsidRPr="00A46F5C">
        <w:rPr>
          <w:rFonts w:ascii="Times New Roman" w:hAnsi="Times New Roman" w:cs="Times New Roman"/>
          <w:sz w:val="24"/>
          <w:szCs w:val="24"/>
          <w:lang w:val="en-US"/>
        </w:rPr>
        <w:t>facilitated the large expansion of banks through acquisitions and mergers with banks in other European Union countries. The Euro has also been an important catalyst for the consolidation and consolidation of banks in the European Union, due to the ease with which banks can now enter markets in the euro area without the risk of currency exchange.</w:t>
      </w:r>
    </w:p>
    <w:p w:rsidR="00994A45" w:rsidRDefault="00994A45" w:rsidP="00ED1678">
      <w:pPr>
        <w:spacing w:after="0" w:line="240" w:lineRule="auto"/>
        <w:jc w:val="both"/>
        <w:rPr>
          <w:rFonts w:ascii="Times New Roman" w:hAnsi="Times New Roman" w:cs="Times New Roman"/>
          <w:sz w:val="24"/>
          <w:szCs w:val="24"/>
          <w:lang w:val="en-US"/>
        </w:rPr>
      </w:pPr>
      <w:r w:rsidRPr="00A3693B">
        <w:rPr>
          <w:rFonts w:ascii="Times New Roman" w:hAnsi="Times New Roman" w:cs="Times New Roman"/>
          <w:sz w:val="24"/>
          <w:szCs w:val="24"/>
          <w:lang w:val="en-US"/>
        </w:rPr>
        <w:t xml:space="preserve">The most important reason for a bank's management decision to </w:t>
      </w:r>
      <w:r>
        <w:rPr>
          <w:rFonts w:ascii="Times New Roman" w:hAnsi="Times New Roman" w:cs="Times New Roman"/>
          <w:sz w:val="24"/>
          <w:szCs w:val="24"/>
          <w:lang w:val="en-US"/>
        </w:rPr>
        <w:t>acquire</w:t>
      </w:r>
      <w:r w:rsidRPr="00A3693B">
        <w:rPr>
          <w:rFonts w:ascii="Times New Roman" w:hAnsi="Times New Roman" w:cs="Times New Roman"/>
          <w:sz w:val="24"/>
          <w:szCs w:val="24"/>
          <w:lang w:val="en-US"/>
        </w:rPr>
        <w:t xml:space="preserve"> or merge is usually to increase shareholders' wealth</w:t>
      </w:r>
      <w:r>
        <w:rPr>
          <w:rFonts w:ascii="Times New Roman" w:hAnsi="Times New Roman" w:cs="Times New Roman"/>
          <w:sz w:val="24"/>
          <w:szCs w:val="24"/>
          <w:lang w:val="en-US"/>
        </w:rPr>
        <w:t xml:space="preserve"> with less risk</w:t>
      </w:r>
      <w:r w:rsidRPr="00A3693B">
        <w:rPr>
          <w:rFonts w:ascii="Times New Roman" w:hAnsi="Times New Roman" w:cs="Times New Roman"/>
          <w:sz w:val="24"/>
          <w:szCs w:val="24"/>
          <w:lang w:val="en-US"/>
        </w:rPr>
        <w:t>.</w:t>
      </w:r>
    </w:p>
    <w:p w:rsidR="00F53533" w:rsidRDefault="00F53533" w:rsidP="00F5353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 purpose of domestic mergers and acquisitions in the Greek banking system</w:t>
      </w:r>
      <w:r w:rsidR="00805A8D">
        <w:rPr>
          <w:rFonts w:ascii="Times New Roman" w:hAnsi="Times New Roman" w:cs="Times New Roman"/>
          <w:sz w:val="24"/>
          <w:szCs w:val="24"/>
          <w:lang w:val="en-US"/>
        </w:rPr>
        <w:t>,</w:t>
      </w:r>
      <w:r>
        <w:rPr>
          <w:rFonts w:ascii="Times New Roman" w:hAnsi="Times New Roman" w:cs="Times New Roman"/>
          <w:sz w:val="24"/>
          <w:szCs w:val="24"/>
          <w:lang w:val="en-US"/>
        </w:rPr>
        <w:t xml:space="preserve"> after the implementation of the global financial crisis in Greece </w:t>
      </w:r>
      <w:r w:rsidR="00805A8D">
        <w:rPr>
          <w:rFonts w:ascii="Times New Roman" w:hAnsi="Times New Roman" w:cs="Times New Roman"/>
          <w:sz w:val="24"/>
          <w:szCs w:val="24"/>
          <w:lang w:val="en-US"/>
        </w:rPr>
        <w:t xml:space="preserve">in 2009, </w:t>
      </w:r>
      <w:r>
        <w:rPr>
          <w:rFonts w:ascii="Times New Roman" w:hAnsi="Times New Roman" w:cs="Times New Roman"/>
          <w:sz w:val="24"/>
          <w:szCs w:val="24"/>
          <w:lang w:val="en-US"/>
        </w:rPr>
        <w:t xml:space="preserve">was to build big banks in capital and assets so as to be protected from credit risk avoid bankruptcy. </w:t>
      </w:r>
    </w:p>
    <w:p w:rsidR="00F53533" w:rsidRDefault="00F53533" w:rsidP="00F53533">
      <w:pPr>
        <w:spacing w:after="0" w:line="240" w:lineRule="auto"/>
        <w:jc w:val="both"/>
        <w:rPr>
          <w:rFonts w:ascii="Times New Roman" w:hAnsi="Times New Roman" w:cs="Times New Roman"/>
          <w:sz w:val="24"/>
          <w:szCs w:val="24"/>
          <w:lang w:val="en-US"/>
        </w:rPr>
      </w:pPr>
      <w:r w:rsidRPr="00F53533">
        <w:rPr>
          <w:rFonts w:ascii="Times New Roman" w:hAnsi="Times New Roman" w:cs="Times New Roman"/>
          <w:sz w:val="24"/>
          <w:szCs w:val="24"/>
          <w:lang w:val="en-US"/>
        </w:rPr>
        <w:t>Even during the period of widespread uncertainty about the fate of Greece or the period of stress tests, the existence of systemic banks with European standards proved to be a decisive development for the rescue of the banking industry.</w:t>
      </w:r>
      <w:r>
        <w:rPr>
          <w:rFonts w:ascii="Times New Roman" w:hAnsi="Times New Roman" w:cs="Times New Roman"/>
          <w:sz w:val="24"/>
          <w:szCs w:val="24"/>
          <w:lang w:val="en-US"/>
        </w:rPr>
        <w:t xml:space="preserve"> </w:t>
      </w:r>
      <w:r w:rsidRPr="00F53533">
        <w:rPr>
          <w:rFonts w:ascii="Times New Roman" w:hAnsi="Times New Roman" w:cs="Times New Roman"/>
          <w:sz w:val="24"/>
          <w:szCs w:val="24"/>
          <w:lang w:val="en-US"/>
        </w:rPr>
        <w:t>The logic is that the bigger the bank, the less likely it is to let it go bankrupt.</w:t>
      </w:r>
      <w:r w:rsidR="00805A8D" w:rsidRPr="00805A8D">
        <w:rPr>
          <w:lang w:val="en-US"/>
        </w:rPr>
        <w:t xml:space="preserve"> </w:t>
      </w:r>
      <w:r w:rsidR="00805A8D" w:rsidRPr="00805A8D">
        <w:rPr>
          <w:rFonts w:ascii="Times New Roman" w:hAnsi="Times New Roman" w:cs="Times New Roman"/>
          <w:sz w:val="24"/>
          <w:szCs w:val="24"/>
          <w:lang w:val="en-US"/>
        </w:rPr>
        <w:t>If mergers and acquisitions had not taken place in the Greek banking sector since 2009 and then the shock of bankruptcy would have swept the entire banking system into chaos.</w:t>
      </w:r>
      <w:r w:rsidR="00805A8D">
        <w:rPr>
          <w:rFonts w:ascii="Times New Roman" w:hAnsi="Times New Roman" w:cs="Times New Roman"/>
          <w:sz w:val="24"/>
          <w:szCs w:val="24"/>
          <w:lang w:val="en-US"/>
        </w:rPr>
        <w:t xml:space="preserve"> </w:t>
      </w:r>
      <w:r w:rsidR="001C7A04" w:rsidRPr="00805A8D">
        <w:rPr>
          <w:rFonts w:ascii="Times New Roman" w:hAnsi="Times New Roman" w:cs="Times New Roman"/>
          <w:sz w:val="24"/>
          <w:szCs w:val="24"/>
          <w:lang w:val="en-US"/>
        </w:rPr>
        <w:t>The assessment of the aggressive concentration in the Greek banking system in terms of free competition leads to the conclusion that Greece presented a prototype, having the most centralized banking system in Europe and the second largest after 2009</w:t>
      </w:r>
      <w:r w:rsidR="001C7A04">
        <w:rPr>
          <w:rStyle w:val="a4"/>
          <w:rFonts w:ascii="Times New Roman" w:hAnsi="Times New Roman" w:cs="Times New Roman"/>
          <w:sz w:val="24"/>
          <w:szCs w:val="24"/>
          <w:lang w:val="en-US"/>
        </w:rPr>
        <w:footnoteReference w:id="9"/>
      </w:r>
      <w:r w:rsidR="001C7A04" w:rsidRPr="00805A8D">
        <w:rPr>
          <w:rFonts w:ascii="Times New Roman" w:hAnsi="Times New Roman" w:cs="Times New Roman"/>
          <w:sz w:val="24"/>
          <w:szCs w:val="24"/>
          <w:lang w:val="en-US"/>
        </w:rPr>
        <w:t>.</w:t>
      </w:r>
      <w:r w:rsidR="001C7A04">
        <w:rPr>
          <w:rFonts w:ascii="Times New Roman" w:hAnsi="Times New Roman" w:cs="Times New Roman"/>
          <w:sz w:val="24"/>
          <w:szCs w:val="24"/>
          <w:lang w:val="en-US"/>
        </w:rPr>
        <w:t xml:space="preserve"> This concentration of the Greek banking system after 2009 is given by the graph 1 below.</w:t>
      </w:r>
    </w:p>
    <w:p w:rsidR="008941DB" w:rsidRDefault="008941DB" w:rsidP="008941DB">
      <w:pPr>
        <w:spacing w:after="0" w:line="240" w:lineRule="auto"/>
        <w:jc w:val="both"/>
        <w:rPr>
          <w:rFonts w:ascii="Times New Roman" w:hAnsi="Times New Roman" w:cs="Times New Roman"/>
          <w:sz w:val="24"/>
          <w:szCs w:val="24"/>
          <w:lang w:val="en-US"/>
        </w:rPr>
      </w:pPr>
      <w:r w:rsidRPr="008941DB">
        <w:rPr>
          <w:rFonts w:ascii="Times New Roman" w:hAnsi="Times New Roman" w:cs="Times New Roman"/>
          <w:sz w:val="24"/>
          <w:szCs w:val="24"/>
          <w:lang w:val="en-US"/>
        </w:rPr>
        <w:t>The graph 1 below describes the consolidation of the Greek Banking System year per year since 1996 until 2016</w:t>
      </w:r>
      <w:r>
        <w:rPr>
          <w:rFonts w:ascii="Times New Roman" w:hAnsi="Times New Roman" w:cs="Times New Roman"/>
          <w:sz w:val="24"/>
          <w:szCs w:val="24"/>
          <w:lang w:val="en-US"/>
        </w:rPr>
        <w:t>. W</w:t>
      </w:r>
      <w:r w:rsidRPr="008941DB">
        <w:rPr>
          <w:rFonts w:ascii="Times New Roman" w:hAnsi="Times New Roman" w:cs="Times New Roman"/>
          <w:sz w:val="24"/>
          <w:szCs w:val="24"/>
          <w:lang w:val="en-US"/>
        </w:rPr>
        <w:t xml:space="preserve">e can </w:t>
      </w:r>
      <w:r>
        <w:rPr>
          <w:rFonts w:ascii="Times New Roman" w:hAnsi="Times New Roman" w:cs="Times New Roman"/>
          <w:sz w:val="24"/>
          <w:szCs w:val="24"/>
          <w:lang w:val="en-US"/>
        </w:rPr>
        <w:t>observe</w:t>
      </w:r>
      <w:r w:rsidRPr="008941DB">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after all banking mergers and acquisitions took place in Greece </w:t>
      </w:r>
      <w:r w:rsidRPr="008941DB">
        <w:rPr>
          <w:rFonts w:ascii="Times New Roman" w:hAnsi="Times New Roman" w:cs="Times New Roman"/>
          <w:sz w:val="24"/>
          <w:szCs w:val="24"/>
          <w:lang w:val="en-US"/>
        </w:rPr>
        <w:t>remained only four Systemic Banks.</w:t>
      </w:r>
    </w:p>
    <w:p w:rsidR="008973BA" w:rsidRDefault="008973BA" w:rsidP="008941DB">
      <w:pPr>
        <w:spacing w:after="0" w:line="240" w:lineRule="auto"/>
        <w:jc w:val="both"/>
        <w:rPr>
          <w:rFonts w:ascii="Times New Roman" w:hAnsi="Times New Roman" w:cs="Times New Roman"/>
          <w:sz w:val="24"/>
          <w:szCs w:val="24"/>
          <w:lang w:val="en-US"/>
        </w:rPr>
      </w:pPr>
    </w:p>
    <w:p w:rsidR="000F0718" w:rsidRDefault="000F0718" w:rsidP="008941DB">
      <w:pPr>
        <w:spacing w:after="0" w:line="240" w:lineRule="auto"/>
        <w:jc w:val="both"/>
        <w:rPr>
          <w:rFonts w:ascii="Times New Roman" w:hAnsi="Times New Roman" w:cs="Times New Roman"/>
          <w:sz w:val="24"/>
          <w:szCs w:val="24"/>
          <w:lang w:val="en-US"/>
        </w:rPr>
      </w:pPr>
    </w:p>
    <w:p w:rsidR="000F0718" w:rsidRDefault="000F0718" w:rsidP="008941DB">
      <w:pPr>
        <w:spacing w:after="0" w:line="240" w:lineRule="auto"/>
        <w:jc w:val="both"/>
        <w:rPr>
          <w:rFonts w:ascii="Times New Roman" w:hAnsi="Times New Roman" w:cs="Times New Roman"/>
          <w:sz w:val="24"/>
          <w:szCs w:val="24"/>
          <w:lang w:val="en-US"/>
        </w:rPr>
      </w:pPr>
    </w:p>
    <w:p w:rsidR="000F0718" w:rsidRDefault="000F0718" w:rsidP="008941DB">
      <w:pPr>
        <w:spacing w:after="0" w:line="240" w:lineRule="auto"/>
        <w:jc w:val="both"/>
        <w:rPr>
          <w:rFonts w:ascii="Times New Roman" w:hAnsi="Times New Roman" w:cs="Times New Roman"/>
          <w:sz w:val="24"/>
          <w:szCs w:val="24"/>
          <w:lang w:val="en-US"/>
        </w:rPr>
      </w:pPr>
    </w:p>
    <w:p w:rsidR="000F0718" w:rsidRDefault="000F0718" w:rsidP="008941DB">
      <w:pPr>
        <w:spacing w:after="0" w:line="240" w:lineRule="auto"/>
        <w:jc w:val="both"/>
        <w:rPr>
          <w:rFonts w:ascii="Times New Roman" w:hAnsi="Times New Roman" w:cs="Times New Roman"/>
          <w:sz w:val="24"/>
          <w:szCs w:val="24"/>
          <w:lang w:val="en-US"/>
        </w:rPr>
      </w:pPr>
    </w:p>
    <w:p w:rsidR="000F0718" w:rsidRDefault="000F0718" w:rsidP="008941DB">
      <w:pPr>
        <w:spacing w:after="0" w:line="240" w:lineRule="auto"/>
        <w:jc w:val="both"/>
        <w:rPr>
          <w:rFonts w:ascii="Times New Roman" w:hAnsi="Times New Roman" w:cs="Times New Roman"/>
          <w:sz w:val="24"/>
          <w:szCs w:val="24"/>
          <w:lang w:val="en-US"/>
        </w:rPr>
      </w:pPr>
    </w:p>
    <w:p w:rsidR="000F0718" w:rsidRDefault="000F0718" w:rsidP="008941DB">
      <w:pPr>
        <w:spacing w:after="0" w:line="240" w:lineRule="auto"/>
        <w:jc w:val="both"/>
        <w:rPr>
          <w:rFonts w:ascii="Times New Roman" w:hAnsi="Times New Roman" w:cs="Times New Roman"/>
          <w:sz w:val="24"/>
          <w:szCs w:val="24"/>
          <w:lang w:val="en-US"/>
        </w:rPr>
      </w:pPr>
    </w:p>
    <w:p w:rsidR="000F0718" w:rsidRDefault="000F0718" w:rsidP="008941DB">
      <w:pPr>
        <w:spacing w:after="0" w:line="240" w:lineRule="auto"/>
        <w:jc w:val="both"/>
        <w:rPr>
          <w:rFonts w:ascii="Times New Roman" w:hAnsi="Times New Roman" w:cs="Times New Roman"/>
          <w:sz w:val="24"/>
          <w:szCs w:val="24"/>
          <w:lang w:val="en-US"/>
        </w:rPr>
      </w:pPr>
    </w:p>
    <w:p w:rsidR="008941DB" w:rsidRDefault="008941DB" w:rsidP="008941DB">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Graph</w:t>
      </w:r>
      <w:r w:rsidRPr="00854794">
        <w:rPr>
          <w:rFonts w:ascii="Times New Roman" w:hAnsi="Times New Roman" w:cs="Times New Roman"/>
          <w:b/>
          <w:sz w:val="24"/>
          <w:szCs w:val="24"/>
          <w:lang w:val="en-US"/>
        </w:rPr>
        <w:t xml:space="preserve"> </w:t>
      </w:r>
      <w:r>
        <w:rPr>
          <w:rFonts w:ascii="Times New Roman" w:hAnsi="Times New Roman" w:cs="Times New Roman"/>
          <w:b/>
          <w:sz w:val="24"/>
          <w:szCs w:val="24"/>
          <w:lang w:val="en-US"/>
        </w:rPr>
        <w:t>1</w:t>
      </w:r>
      <w:r w:rsidRPr="00854794">
        <w:rPr>
          <w:rFonts w:ascii="Times New Roman" w:hAnsi="Times New Roman" w:cs="Times New Roman"/>
          <w:b/>
          <w:sz w:val="24"/>
          <w:szCs w:val="24"/>
          <w:lang w:val="en-US"/>
        </w:rPr>
        <w:t xml:space="preserve">: Greek Bank Consolidation </w:t>
      </w:r>
      <w:r>
        <w:rPr>
          <w:rFonts w:ascii="Times New Roman" w:hAnsi="Times New Roman" w:cs="Times New Roman"/>
          <w:b/>
          <w:sz w:val="24"/>
          <w:szCs w:val="24"/>
          <w:lang w:val="en-US"/>
        </w:rPr>
        <w:t>O</w:t>
      </w:r>
      <w:r w:rsidRPr="00854794">
        <w:rPr>
          <w:rFonts w:ascii="Times New Roman" w:hAnsi="Times New Roman" w:cs="Times New Roman"/>
          <w:b/>
          <w:sz w:val="24"/>
          <w:szCs w:val="24"/>
          <w:lang w:val="en-US"/>
        </w:rPr>
        <w:t xml:space="preserve">ver 20 </w:t>
      </w:r>
      <w:r>
        <w:rPr>
          <w:rFonts w:ascii="Times New Roman" w:hAnsi="Times New Roman" w:cs="Times New Roman"/>
          <w:b/>
          <w:sz w:val="24"/>
          <w:szCs w:val="24"/>
          <w:lang w:val="en-US"/>
        </w:rPr>
        <w:t>Y</w:t>
      </w:r>
      <w:r w:rsidRPr="00854794">
        <w:rPr>
          <w:rFonts w:ascii="Times New Roman" w:hAnsi="Times New Roman" w:cs="Times New Roman"/>
          <w:b/>
          <w:sz w:val="24"/>
          <w:szCs w:val="24"/>
          <w:lang w:val="en-US"/>
        </w:rPr>
        <w:t>ears.</w:t>
      </w:r>
    </w:p>
    <w:p w:rsidR="005B4043" w:rsidRDefault="008941DB" w:rsidP="008941DB">
      <w:pPr>
        <w:spacing w:after="0"/>
        <w:jc w:val="center"/>
        <w:rPr>
          <w:rFonts w:ascii="Times New Roman" w:hAnsi="Times New Roman" w:cs="Times New Roman"/>
          <w:sz w:val="24"/>
          <w:szCs w:val="24"/>
          <w:lang w:val="en-US"/>
        </w:rPr>
      </w:pPr>
      <w:r w:rsidRPr="008941DB">
        <w:rPr>
          <w:rFonts w:ascii="Times New Roman" w:hAnsi="Times New Roman" w:cs="Times New Roman"/>
          <w:noProof/>
          <w:sz w:val="24"/>
          <w:szCs w:val="24"/>
          <w:lang w:eastAsia="el-GR"/>
        </w:rPr>
        <w:drawing>
          <wp:inline distT="0" distB="0" distL="0" distR="0">
            <wp:extent cx="5273342" cy="4325509"/>
            <wp:effectExtent l="19050" t="0" r="3508"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4326303"/>
                    </a:xfrm>
                    <a:prstGeom prst="rect">
                      <a:avLst/>
                    </a:prstGeom>
                    <a:noFill/>
                    <a:ln w="9525">
                      <a:noFill/>
                      <a:miter lim="800000"/>
                      <a:headEnd/>
                      <a:tailEnd/>
                    </a:ln>
                  </pic:spPr>
                </pic:pic>
              </a:graphicData>
            </a:graphic>
          </wp:inline>
        </w:drawing>
      </w:r>
    </w:p>
    <w:p w:rsidR="005B4043" w:rsidRDefault="008941DB" w:rsidP="008941DB">
      <w:pPr>
        <w:spacing w:after="0"/>
        <w:jc w:val="center"/>
        <w:rPr>
          <w:rFonts w:ascii="Times New Roman" w:hAnsi="Times New Roman" w:cs="Times New Roman"/>
          <w:sz w:val="20"/>
          <w:szCs w:val="20"/>
          <w:lang w:val="en-US"/>
        </w:rPr>
      </w:pPr>
      <w:r w:rsidRPr="004A2830">
        <w:rPr>
          <w:rFonts w:ascii="Times New Roman" w:hAnsi="Times New Roman" w:cs="Times New Roman"/>
          <w:sz w:val="20"/>
          <w:szCs w:val="20"/>
          <w:lang w:val="en-US"/>
        </w:rPr>
        <w:t>Source: PwC, Deloitte and Financial Statements</w:t>
      </w:r>
    </w:p>
    <w:p w:rsidR="00B61ED8" w:rsidRDefault="00B61ED8" w:rsidP="008941DB">
      <w:pPr>
        <w:spacing w:after="0"/>
        <w:jc w:val="center"/>
        <w:rPr>
          <w:rFonts w:ascii="Times New Roman" w:hAnsi="Times New Roman" w:cs="Times New Roman"/>
          <w:sz w:val="24"/>
          <w:szCs w:val="24"/>
          <w:lang w:val="en-US"/>
        </w:rPr>
      </w:pPr>
    </w:p>
    <w:p w:rsidR="00E6546B" w:rsidRDefault="00E6546B" w:rsidP="00E6546B">
      <w:pPr>
        <w:spacing w:after="0"/>
        <w:jc w:val="both"/>
        <w:rPr>
          <w:rFonts w:ascii="Times New Roman" w:hAnsi="Times New Roman" w:cs="Times New Roman"/>
          <w:sz w:val="24"/>
          <w:szCs w:val="24"/>
          <w:lang w:val="en-US"/>
        </w:rPr>
      </w:pPr>
      <w:r w:rsidRPr="00E6546B">
        <w:rPr>
          <w:rFonts w:ascii="Times New Roman" w:hAnsi="Times New Roman" w:cs="Times New Roman"/>
          <w:sz w:val="24"/>
          <w:szCs w:val="24"/>
          <w:lang w:val="en-US"/>
        </w:rPr>
        <w:t>From January 2008 to April 2018 banks in operation, through mergers, acquisitions and consolidations, decreased from 64 to 38 while almost all foreign banks with retail customer service networks, excluding HSBC and Citibank, mainly maintains its investment arm and corporate clients. The foreign banks that left were French banks Credit Agricole and Societe Generale, which sold their Greek subsidiaries to Greek systemic banks.</w:t>
      </w:r>
      <w:r>
        <w:rPr>
          <w:rFonts w:ascii="Times New Roman" w:hAnsi="Times New Roman" w:cs="Times New Roman"/>
          <w:sz w:val="24"/>
          <w:szCs w:val="24"/>
          <w:lang w:val="en-US"/>
        </w:rPr>
        <w:t xml:space="preserve"> </w:t>
      </w:r>
      <w:r w:rsidRPr="00E6546B">
        <w:rPr>
          <w:rFonts w:ascii="Times New Roman" w:hAnsi="Times New Roman" w:cs="Times New Roman"/>
          <w:sz w:val="24"/>
          <w:szCs w:val="24"/>
          <w:lang w:val="en-US"/>
        </w:rPr>
        <w:t>The same happened with the Portuguese Millennium BCP, which sold its subsidiary in Greece in the summer of 2013. Today, the four systemic banks and Attica Bank cover 97% of the Greek banking system (in assets) from 67 , 7% which was the share of the five largest banks at the end of 2007.</w:t>
      </w:r>
      <w:r>
        <w:rPr>
          <w:rFonts w:ascii="Times New Roman" w:hAnsi="Times New Roman" w:cs="Times New Roman"/>
          <w:sz w:val="24"/>
          <w:szCs w:val="24"/>
          <w:lang w:val="en-US"/>
        </w:rPr>
        <w:t xml:space="preserve"> </w:t>
      </w:r>
      <w:r w:rsidRPr="00E6546B">
        <w:rPr>
          <w:rFonts w:ascii="Times New Roman" w:hAnsi="Times New Roman" w:cs="Times New Roman"/>
          <w:sz w:val="24"/>
          <w:szCs w:val="24"/>
          <w:lang w:val="en-US"/>
        </w:rPr>
        <w:t>Within five years 21 credit institutions ceased to operate in Greece. Especially since October 2010</w:t>
      </w:r>
      <w:r>
        <w:rPr>
          <w:rFonts w:ascii="Times New Roman" w:hAnsi="Times New Roman" w:cs="Times New Roman"/>
          <w:sz w:val="24"/>
          <w:szCs w:val="24"/>
          <w:lang w:val="en-US"/>
        </w:rPr>
        <w:t xml:space="preserve"> </w:t>
      </w:r>
      <w:r w:rsidRPr="00E6546B">
        <w:rPr>
          <w:rFonts w:ascii="Times New Roman" w:hAnsi="Times New Roman" w:cs="Times New Roman"/>
          <w:sz w:val="24"/>
          <w:szCs w:val="24"/>
          <w:lang w:val="en-US"/>
        </w:rPr>
        <w:t>as of December 2015, seven commercial and seven cooperative banks were under consolidation. Among them were the Agricultural Bank and the Postal Savings Bank.</w:t>
      </w:r>
      <w:r>
        <w:rPr>
          <w:rStyle w:val="a4"/>
          <w:rFonts w:ascii="Times New Roman" w:hAnsi="Times New Roman" w:cs="Times New Roman"/>
          <w:sz w:val="24"/>
          <w:szCs w:val="24"/>
          <w:lang w:val="en-US"/>
        </w:rPr>
        <w:footnoteReference w:id="10"/>
      </w:r>
    </w:p>
    <w:p w:rsidR="00E36473" w:rsidRDefault="000F0718" w:rsidP="00E6546B">
      <w:pPr>
        <w:spacing w:after="0"/>
        <w:jc w:val="both"/>
        <w:rPr>
          <w:rFonts w:ascii="Times New Roman" w:hAnsi="Times New Roman" w:cs="Times New Roman"/>
          <w:sz w:val="24"/>
          <w:szCs w:val="24"/>
          <w:lang w:val="en-US"/>
        </w:rPr>
      </w:pPr>
      <w:r w:rsidRPr="000F0718">
        <w:rPr>
          <w:rFonts w:ascii="Times New Roman" w:hAnsi="Times New Roman" w:cs="Times New Roman"/>
          <w:sz w:val="24"/>
          <w:szCs w:val="24"/>
          <w:lang w:val="en-US"/>
        </w:rPr>
        <w:t>In the table 2 below we can see the main mergers and acquisitions of the Greek Systemic banks from the implementation of the global financial crisis in Greek Economy 2009. As we can observe only in 2012 the Greek banks started to be strong against the financial crisis. In our paper we are going to examine how those consolidations affect the banks risks that extract from the global financial crisis</w:t>
      </w:r>
    </w:p>
    <w:p w:rsidR="000F0718" w:rsidRDefault="000F0718" w:rsidP="000F0718">
      <w:pPr>
        <w:pStyle w:val="Web"/>
        <w:shd w:val="clear" w:color="auto" w:fill="FFFFFF"/>
        <w:spacing w:before="0" w:beforeAutospacing="0" w:after="0" w:afterAutospacing="0" w:line="276" w:lineRule="auto"/>
        <w:jc w:val="center"/>
        <w:rPr>
          <w:b/>
          <w:lang w:val="en-US"/>
        </w:rPr>
      </w:pPr>
      <w:r w:rsidRPr="00BD572C">
        <w:rPr>
          <w:b/>
          <w:lang w:val="en-US"/>
        </w:rPr>
        <w:lastRenderedPageBreak/>
        <w:t xml:space="preserve">Table 2 The main Mergers </w:t>
      </w:r>
      <w:r>
        <w:rPr>
          <w:b/>
          <w:lang w:val="en-US"/>
        </w:rPr>
        <w:t>&amp;</w:t>
      </w:r>
      <w:r w:rsidRPr="00BD572C">
        <w:rPr>
          <w:b/>
          <w:lang w:val="en-US"/>
        </w:rPr>
        <w:t xml:space="preserve"> Acquisitions Greek </w:t>
      </w:r>
      <w:r>
        <w:rPr>
          <w:b/>
          <w:lang w:val="en-US"/>
        </w:rPr>
        <w:t xml:space="preserve">Systemic </w:t>
      </w:r>
      <w:r w:rsidRPr="00BD572C">
        <w:rPr>
          <w:b/>
          <w:lang w:val="en-US"/>
        </w:rPr>
        <w:t>Bank</w:t>
      </w:r>
      <w:r>
        <w:rPr>
          <w:b/>
          <w:lang w:val="en-US"/>
        </w:rPr>
        <w:t>s from</w:t>
      </w:r>
      <w:r w:rsidRPr="00BD572C">
        <w:rPr>
          <w:b/>
          <w:lang w:val="en-US"/>
        </w:rPr>
        <w:t xml:space="preserve"> 2009</w:t>
      </w:r>
    </w:p>
    <w:tbl>
      <w:tblPr>
        <w:tblW w:w="6946" w:type="dxa"/>
        <w:tblInd w:w="392" w:type="dxa"/>
        <w:tblLook w:val="04A0"/>
      </w:tblPr>
      <w:tblGrid>
        <w:gridCol w:w="1023"/>
        <w:gridCol w:w="2920"/>
        <w:gridCol w:w="3003"/>
      </w:tblGrid>
      <w:tr w:rsidR="000F0718" w:rsidRPr="001C41E9" w:rsidTr="0009649D">
        <w:trPr>
          <w:trHeight w:val="330"/>
        </w:trPr>
        <w:tc>
          <w:tcPr>
            <w:tcW w:w="10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0718" w:rsidRPr="001C41E9" w:rsidRDefault="000F0718" w:rsidP="0009649D">
            <w:pPr>
              <w:spacing w:after="0" w:line="240" w:lineRule="auto"/>
              <w:jc w:val="center"/>
              <w:rPr>
                <w:rFonts w:ascii="Times New Roman" w:eastAsia="Times New Roman" w:hAnsi="Times New Roman" w:cs="Times New Roman"/>
                <w:b/>
                <w:color w:val="000000"/>
                <w:sz w:val="24"/>
                <w:szCs w:val="24"/>
                <w:lang w:eastAsia="el-GR"/>
              </w:rPr>
            </w:pPr>
            <w:r w:rsidRPr="001C41E9">
              <w:rPr>
                <w:rFonts w:ascii="Times New Roman" w:eastAsia="Times New Roman" w:hAnsi="Times New Roman" w:cs="Times New Roman"/>
                <w:b/>
                <w:color w:val="000000"/>
                <w:sz w:val="24"/>
                <w:szCs w:val="24"/>
                <w:lang w:eastAsia="el-GR"/>
              </w:rPr>
              <w:t>Years</w:t>
            </w:r>
          </w:p>
        </w:tc>
        <w:tc>
          <w:tcPr>
            <w:tcW w:w="2920" w:type="dxa"/>
            <w:tcBorders>
              <w:top w:val="single" w:sz="8" w:space="0" w:color="auto"/>
              <w:left w:val="nil"/>
              <w:bottom w:val="single" w:sz="8" w:space="0" w:color="auto"/>
              <w:right w:val="single" w:sz="8" w:space="0" w:color="auto"/>
            </w:tcBorders>
            <w:shd w:val="clear" w:color="auto" w:fill="auto"/>
            <w:noWrap/>
            <w:vAlign w:val="center"/>
            <w:hideMark/>
          </w:tcPr>
          <w:p w:rsidR="000F0718" w:rsidRPr="001C41E9" w:rsidRDefault="000F0718" w:rsidP="0009649D">
            <w:pPr>
              <w:spacing w:after="0" w:line="240" w:lineRule="auto"/>
              <w:jc w:val="center"/>
              <w:rPr>
                <w:rFonts w:ascii="Times New Roman" w:eastAsia="Times New Roman" w:hAnsi="Times New Roman" w:cs="Times New Roman"/>
                <w:b/>
                <w:color w:val="000000"/>
                <w:sz w:val="24"/>
                <w:szCs w:val="24"/>
                <w:lang w:eastAsia="el-GR"/>
              </w:rPr>
            </w:pPr>
            <w:r w:rsidRPr="001C41E9">
              <w:rPr>
                <w:rFonts w:ascii="Times New Roman" w:eastAsia="Times New Roman" w:hAnsi="Times New Roman" w:cs="Times New Roman"/>
                <w:b/>
                <w:color w:val="000000"/>
                <w:sz w:val="24"/>
                <w:szCs w:val="24"/>
                <w:lang w:eastAsia="el-GR"/>
              </w:rPr>
              <w:t>Greek Systemic Bank Acquiror</w:t>
            </w:r>
          </w:p>
        </w:tc>
        <w:tc>
          <w:tcPr>
            <w:tcW w:w="3003" w:type="dxa"/>
            <w:tcBorders>
              <w:top w:val="single" w:sz="8" w:space="0" w:color="auto"/>
              <w:left w:val="nil"/>
              <w:bottom w:val="single" w:sz="8" w:space="0" w:color="auto"/>
              <w:right w:val="single" w:sz="8" w:space="0" w:color="auto"/>
            </w:tcBorders>
            <w:shd w:val="clear" w:color="auto" w:fill="auto"/>
            <w:noWrap/>
            <w:vAlign w:val="center"/>
            <w:hideMark/>
          </w:tcPr>
          <w:p w:rsidR="000F0718" w:rsidRPr="001C41E9" w:rsidRDefault="000F0718" w:rsidP="0009649D">
            <w:pPr>
              <w:spacing w:after="0" w:line="240" w:lineRule="auto"/>
              <w:jc w:val="center"/>
              <w:rPr>
                <w:rFonts w:ascii="Times New Roman" w:eastAsia="Times New Roman" w:hAnsi="Times New Roman" w:cs="Times New Roman"/>
                <w:b/>
                <w:color w:val="000000"/>
                <w:sz w:val="24"/>
                <w:szCs w:val="24"/>
                <w:lang w:eastAsia="el-GR"/>
              </w:rPr>
            </w:pPr>
            <w:r w:rsidRPr="001C41E9">
              <w:rPr>
                <w:rFonts w:ascii="Times New Roman" w:eastAsia="Times New Roman" w:hAnsi="Times New Roman" w:cs="Times New Roman"/>
                <w:b/>
                <w:color w:val="000000"/>
                <w:sz w:val="24"/>
                <w:szCs w:val="24"/>
                <w:lang w:eastAsia="el-GR"/>
              </w:rPr>
              <w:t xml:space="preserve">Greek Banks </w:t>
            </w:r>
            <w:r w:rsidRPr="001C41E9">
              <w:rPr>
                <w:rFonts w:ascii="Times New Roman" w:eastAsia="Times New Roman" w:hAnsi="Times New Roman" w:cs="Times New Roman"/>
                <w:b/>
                <w:color w:val="000000"/>
                <w:sz w:val="24"/>
                <w:szCs w:val="24"/>
                <w:lang w:val="en-US" w:eastAsia="el-GR"/>
              </w:rPr>
              <w:t xml:space="preserve">/ </w:t>
            </w:r>
            <w:r w:rsidRPr="001C41E9">
              <w:rPr>
                <w:rFonts w:ascii="Times New Roman" w:eastAsia="Times New Roman" w:hAnsi="Times New Roman" w:cs="Times New Roman"/>
                <w:b/>
                <w:color w:val="000000"/>
                <w:sz w:val="24"/>
                <w:szCs w:val="24"/>
                <w:lang w:eastAsia="el-GR"/>
              </w:rPr>
              <w:t>Targets</w:t>
            </w:r>
          </w:p>
        </w:tc>
      </w:tr>
      <w:tr w:rsidR="000F0718" w:rsidRPr="001C41E9" w:rsidTr="0009649D">
        <w:trPr>
          <w:trHeight w:val="479"/>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2012</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Piraeus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Agricaltural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 xml:space="preserve">ank </w:t>
            </w:r>
          </w:p>
        </w:tc>
      </w:tr>
      <w:tr w:rsidR="000F0718" w:rsidRPr="001C41E9" w:rsidTr="0009649D">
        <w:trPr>
          <w:trHeight w:val="542"/>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Piraeus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Panellinia </w:t>
            </w:r>
            <w:r>
              <w:rPr>
                <w:rFonts w:ascii="Times New Roman" w:eastAsia="Times New Roman" w:hAnsi="Times New Roman" w:cs="Times New Roman"/>
                <w:color w:val="000000"/>
                <w:sz w:val="24"/>
                <w:szCs w:val="24"/>
                <w:lang w:val="en-US" w:eastAsia="el-GR"/>
              </w:rPr>
              <w:t>C</w:t>
            </w:r>
            <w:r w:rsidRPr="001C41E9">
              <w:rPr>
                <w:rFonts w:ascii="Times New Roman" w:eastAsia="Times New Roman" w:hAnsi="Times New Roman" w:cs="Times New Roman"/>
                <w:color w:val="000000"/>
                <w:sz w:val="24"/>
                <w:szCs w:val="24"/>
                <w:lang w:val="en-US" w:eastAsia="el-GR"/>
              </w:rPr>
              <w:t xml:space="preserve">ooperation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r>
      <w:tr w:rsidR="000F0718" w:rsidRPr="00052F49" w:rsidTr="0009649D">
        <w:trPr>
          <w:trHeight w:val="330"/>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Piraeus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val="en-US" w:eastAsia="el-GR"/>
              </w:rPr>
            </w:pPr>
            <w:r w:rsidRPr="001C41E9">
              <w:rPr>
                <w:rFonts w:ascii="Times New Roman" w:eastAsia="Times New Roman" w:hAnsi="Times New Roman" w:cs="Times New Roman"/>
                <w:color w:val="000000"/>
                <w:sz w:val="24"/>
                <w:szCs w:val="24"/>
                <w:lang w:val="en-US" w:eastAsia="el-GR"/>
              </w:rPr>
              <w:t xml:space="preserve">Bank of </w:t>
            </w:r>
            <w:r>
              <w:rPr>
                <w:rFonts w:ascii="Times New Roman" w:eastAsia="Times New Roman" w:hAnsi="Times New Roman" w:cs="Times New Roman"/>
                <w:color w:val="000000"/>
                <w:sz w:val="24"/>
                <w:szCs w:val="24"/>
                <w:lang w:val="en-US" w:eastAsia="el-GR"/>
              </w:rPr>
              <w:t>C</w:t>
            </w:r>
            <w:r w:rsidRPr="001C41E9">
              <w:rPr>
                <w:rFonts w:ascii="Times New Roman" w:eastAsia="Times New Roman" w:hAnsi="Times New Roman" w:cs="Times New Roman"/>
                <w:color w:val="000000"/>
                <w:sz w:val="24"/>
                <w:szCs w:val="24"/>
                <w:lang w:val="en-US" w:eastAsia="el-GR"/>
              </w:rPr>
              <w:t xml:space="preserve">yprus </w:t>
            </w:r>
            <w:r>
              <w:rPr>
                <w:rFonts w:ascii="Times New Roman" w:eastAsia="Times New Roman" w:hAnsi="Times New Roman" w:cs="Times New Roman"/>
                <w:color w:val="000000"/>
                <w:sz w:val="24"/>
                <w:szCs w:val="24"/>
                <w:lang w:val="en-US" w:eastAsia="el-GR"/>
              </w:rPr>
              <w:t>in Greece</w:t>
            </w:r>
          </w:p>
        </w:tc>
      </w:tr>
      <w:tr w:rsidR="000F0718" w:rsidRPr="001C41E9" w:rsidTr="0009649D">
        <w:trPr>
          <w:trHeight w:val="645"/>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Piraeus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 xml:space="preserve">Cpb </w:t>
            </w:r>
            <w:r>
              <w:rPr>
                <w:rFonts w:ascii="Times New Roman" w:eastAsia="Times New Roman" w:hAnsi="Times New Roman" w:cs="Times New Roman"/>
                <w:color w:val="000000"/>
                <w:sz w:val="24"/>
                <w:szCs w:val="24"/>
                <w:lang w:val="en-US" w:eastAsia="el-GR"/>
              </w:rPr>
              <w:t>P</w:t>
            </w:r>
            <w:r w:rsidRPr="001C41E9">
              <w:rPr>
                <w:rFonts w:ascii="Times New Roman" w:eastAsia="Times New Roman" w:hAnsi="Times New Roman" w:cs="Times New Roman"/>
                <w:color w:val="000000"/>
                <w:sz w:val="24"/>
                <w:szCs w:val="24"/>
                <w:lang w:eastAsia="el-GR"/>
              </w:rPr>
              <w:t xml:space="preserve">opular </w:t>
            </w:r>
            <w:r>
              <w:rPr>
                <w:rFonts w:ascii="Times New Roman" w:eastAsia="Times New Roman" w:hAnsi="Times New Roman" w:cs="Times New Roman"/>
                <w:color w:val="000000"/>
                <w:sz w:val="24"/>
                <w:szCs w:val="24"/>
                <w:lang w:val="en-US" w:eastAsia="el-GR"/>
              </w:rPr>
              <w:t>M</w:t>
            </w:r>
            <w:r w:rsidRPr="001C41E9">
              <w:rPr>
                <w:rFonts w:ascii="Times New Roman" w:eastAsia="Times New Roman" w:hAnsi="Times New Roman" w:cs="Times New Roman"/>
                <w:color w:val="000000"/>
                <w:sz w:val="24"/>
                <w:szCs w:val="24"/>
                <w:lang w:eastAsia="el-GR"/>
              </w:rPr>
              <w:t xml:space="preserve">arfin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eastAsia="el-GR"/>
              </w:rPr>
              <w:t xml:space="preserve">ank </w:t>
            </w:r>
          </w:p>
        </w:tc>
      </w:tr>
      <w:tr w:rsidR="000F0718" w:rsidRPr="001C41E9" w:rsidTr="0009649D">
        <w:trPr>
          <w:trHeight w:val="568"/>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Piraeus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Hellenic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 xml:space="preserve">ank </w:t>
            </w:r>
          </w:p>
        </w:tc>
      </w:tr>
      <w:tr w:rsidR="000F0718" w:rsidRPr="001C41E9" w:rsidTr="0009649D">
        <w:trPr>
          <w:trHeight w:val="548"/>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Piraeus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Millenioum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r>
      <w:tr w:rsidR="000F0718" w:rsidRPr="001C41E9" w:rsidTr="0009649D">
        <w:trPr>
          <w:trHeight w:val="330"/>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 xml:space="preserve">Alpha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eastAsia="el-GR"/>
              </w:rPr>
              <w:t xml:space="preserve">ank </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Commercial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 xml:space="preserve">ank </w:t>
            </w:r>
          </w:p>
        </w:tc>
      </w:tr>
      <w:tr w:rsidR="000F0718" w:rsidRPr="001C41E9" w:rsidTr="0009649D">
        <w:trPr>
          <w:trHeight w:val="645"/>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val="en-US" w:eastAsia="el-GR"/>
              </w:rPr>
              <w:t>E</w:t>
            </w:r>
            <w:r w:rsidRPr="001C41E9">
              <w:rPr>
                <w:rFonts w:ascii="Times New Roman" w:eastAsia="Times New Roman" w:hAnsi="Times New Roman" w:cs="Times New Roman"/>
                <w:color w:val="000000"/>
                <w:sz w:val="24"/>
                <w:szCs w:val="24"/>
                <w:lang w:val="en-US" w:eastAsia="el-GR"/>
              </w:rPr>
              <w:t>urobank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 xml:space="preserve">New </w:t>
            </w:r>
            <w:r>
              <w:rPr>
                <w:rFonts w:ascii="Times New Roman" w:eastAsia="Times New Roman" w:hAnsi="Times New Roman" w:cs="Times New Roman"/>
                <w:color w:val="000000"/>
                <w:sz w:val="24"/>
                <w:szCs w:val="24"/>
                <w:lang w:val="en-US" w:eastAsia="el-GR"/>
              </w:rPr>
              <w:t>P</w:t>
            </w:r>
            <w:r w:rsidRPr="001C41E9">
              <w:rPr>
                <w:rFonts w:ascii="Times New Roman" w:eastAsia="Times New Roman" w:hAnsi="Times New Roman" w:cs="Times New Roman"/>
                <w:color w:val="000000"/>
                <w:sz w:val="24"/>
                <w:szCs w:val="24"/>
                <w:lang w:eastAsia="el-GR"/>
              </w:rPr>
              <w:t xml:space="preserve">ostal </w:t>
            </w:r>
            <w:r>
              <w:rPr>
                <w:rFonts w:ascii="Times New Roman" w:eastAsia="Times New Roman" w:hAnsi="Times New Roman" w:cs="Times New Roman"/>
                <w:color w:val="000000"/>
                <w:sz w:val="24"/>
                <w:szCs w:val="24"/>
                <w:lang w:val="en-US" w:eastAsia="el-GR"/>
              </w:rPr>
              <w:t>S</w:t>
            </w:r>
            <w:r w:rsidRPr="001C41E9">
              <w:rPr>
                <w:rFonts w:ascii="Times New Roman" w:eastAsia="Times New Roman" w:hAnsi="Times New Roman" w:cs="Times New Roman"/>
                <w:color w:val="000000"/>
                <w:sz w:val="24"/>
                <w:szCs w:val="24"/>
                <w:lang w:eastAsia="el-GR"/>
              </w:rPr>
              <w:t xml:space="preserve">avings </w:t>
            </w:r>
            <w:r>
              <w:rPr>
                <w:rFonts w:ascii="Times New Roman" w:eastAsia="Times New Roman" w:hAnsi="Times New Roman" w:cs="Times New Roman"/>
                <w:color w:val="000000"/>
                <w:sz w:val="24"/>
                <w:szCs w:val="24"/>
                <w:lang w:val="en-US" w:eastAsia="el-GR"/>
              </w:rPr>
              <w:t>G</w:t>
            </w:r>
            <w:r w:rsidRPr="001C41E9">
              <w:rPr>
                <w:rFonts w:ascii="Times New Roman" w:eastAsia="Times New Roman" w:hAnsi="Times New Roman" w:cs="Times New Roman"/>
                <w:color w:val="000000"/>
                <w:sz w:val="24"/>
                <w:szCs w:val="24"/>
                <w:lang w:eastAsia="el-GR"/>
              </w:rPr>
              <w:t>reece</w:t>
            </w:r>
          </w:p>
        </w:tc>
      </w:tr>
      <w:tr w:rsidR="000F0718" w:rsidRPr="001C41E9" w:rsidTr="0009649D">
        <w:trPr>
          <w:trHeight w:val="387"/>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val="en-US" w:eastAsia="el-GR"/>
              </w:rPr>
              <w:t>E</w:t>
            </w:r>
            <w:r w:rsidRPr="001C41E9">
              <w:rPr>
                <w:rFonts w:ascii="Times New Roman" w:eastAsia="Times New Roman" w:hAnsi="Times New Roman" w:cs="Times New Roman"/>
                <w:color w:val="000000"/>
                <w:sz w:val="24"/>
                <w:szCs w:val="24"/>
                <w:lang w:val="en-US" w:eastAsia="el-GR"/>
              </w:rPr>
              <w:t>urobank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New </w:t>
            </w:r>
            <w:r>
              <w:rPr>
                <w:rFonts w:ascii="Times New Roman" w:eastAsia="Times New Roman" w:hAnsi="Times New Roman" w:cs="Times New Roman"/>
                <w:color w:val="000000"/>
                <w:sz w:val="24"/>
                <w:szCs w:val="24"/>
                <w:lang w:val="en-US" w:eastAsia="el-GR"/>
              </w:rPr>
              <w:t>Pr</w:t>
            </w:r>
            <w:r w:rsidRPr="001C41E9">
              <w:rPr>
                <w:rFonts w:ascii="Times New Roman" w:eastAsia="Times New Roman" w:hAnsi="Times New Roman" w:cs="Times New Roman"/>
                <w:color w:val="000000"/>
                <w:sz w:val="24"/>
                <w:szCs w:val="24"/>
                <w:lang w:val="en-US" w:eastAsia="el-GR"/>
              </w:rPr>
              <w:t xml:space="preserve">oton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 xml:space="preserve">ank </w:t>
            </w:r>
          </w:p>
        </w:tc>
      </w:tr>
      <w:tr w:rsidR="000F0718" w:rsidRPr="001C41E9" w:rsidTr="0009649D">
        <w:trPr>
          <w:trHeight w:val="407"/>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2013</w:t>
            </w:r>
          </w:p>
        </w:tc>
        <w:tc>
          <w:tcPr>
            <w:tcW w:w="2920" w:type="dxa"/>
            <w:tcBorders>
              <w:top w:val="nil"/>
              <w:left w:val="nil"/>
              <w:bottom w:val="single" w:sz="8" w:space="0" w:color="auto"/>
              <w:right w:val="single" w:sz="8" w:space="0" w:color="auto"/>
            </w:tcBorders>
            <w:shd w:val="clear" w:color="auto" w:fill="auto"/>
            <w:vAlign w:val="center"/>
            <w:hideMark/>
          </w:tcPr>
          <w:p w:rsidR="000F0718" w:rsidRDefault="000F0718" w:rsidP="0009649D">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National Bank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Probank</w:t>
            </w:r>
          </w:p>
        </w:tc>
      </w:tr>
      <w:tr w:rsidR="000F0718" w:rsidRPr="001C41E9" w:rsidTr="0009649D">
        <w:trPr>
          <w:trHeight w:val="330"/>
        </w:trPr>
        <w:tc>
          <w:tcPr>
            <w:tcW w:w="1023" w:type="dxa"/>
            <w:tcBorders>
              <w:top w:val="nil"/>
              <w:left w:val="single" w:sz="8" w:space="0" w:color="auto"/>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2014</w:t>
            </w:r>
          </w:p>
        </w:tc>
        <w:tc>
          <w:tcPr>
            <w:tcW w:w="2920"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Piraeus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c>
          <w:tcPr>
            <w:tcW w:w="3003" w:type="dxa"/>
            <w:tcBorders>
              <w:top w:val="nil"/>
              <w:left w:val="nil"/>
              <w:bottom w:val="single" w:sz="8" w:space="0" w:color="auto"/>
              <w:right w:val="single" w:sz="8" w:space="0" w:color="auto"/>
            </w:tcBorders>
            <w:shd w:val="clear" w:color="auto" w:fill="auto"/>
            <w:vAlign w:val="center"/>
            <w:hideMark/>
          </w:tcPr>
          <w:p w:rsidR="000F0718" w:rsidRPr="001C41E9" w:rsidRDefault="000F0718" w:rsidP="0009649D">
            <w:pPr>
              <w:spacing w:after="0" w:line="240" w:lineRule="auto"/>
              <w:jc w:val="center"/>
              <w:rPr>
                <w:rFonts w:ascii="Times New Roman" w:eastAsia="Times New Roman" w:hAnsi="Times New Roman" w:cs="Times New Roman"/>
                <w:color w:val="000000"/>
                <w:sz w:val="24"/>
                <w:szCs w:val="24"/>
                <w:lang w:eastAsia="el-GR"/>
              </w:rPr>
            </w:pPr>
            <w:r w:rsidRPr="001C41E9">
              <w:rPr>
                <w:rFonts w:ascii="Times New Roman" w:eastAsia="Times New Roman" w:hAnsi="Times New Roman" w:cs="Times New Roman"/>
                <w:color w:val="000000"/>
                <w:sz w:val="24"/>
                <w:szCs w:val="24"/>
                <w:lang w:val="en-US" w:eastAsia="el-GR"/>
              </w:rPr>
              <w:t xml:space="preserve">Geniki </w:t>
            </w:r>
            <w:r>
              <w:rPr>
                <w:rFonts w:ascii="Times New Roman" w:eastAsia="Times New Roman" w:hAnsi="Times New Roman" w:cs="Times New Roman"/>
                <w:color w:val="000000"/>
                <w:sz w:val="24"/>
                <w:szCs w:val="24"/>
                <w:lang w:val="en-US" w:eastAsia="el-GR"/>
              </w:rPr>
              <w:t>B</w:t>
            </w:r>
            <w:r w:rsidRPr="001C41E9">
              <w:rPr>
                <w:rFonts w:ascii="Times New Roman" w:eastAsia="Times New Roman" w:hAnsi="Times New Roman" w:cs="Times New Roman"/>
                <w:color w:val="000000"/>
                <w:sz w:val="24"/>
                <w:szCs w:val="24"/>
                <w:lang w:val="en-US" w:eastAsia="el-GR"/>
              </w:rPr>
              <w:t>ank</w:t>
            </w:r>
          </w:p>
        </w:tc>
      </w:tr>
    </w:tbl>
    <w:p w:rsidR="000F0718" w:rsidRPr="00E6521B" w:rsidRDefault="000F0718" w:rsidP="000F0718">
      <w:pPr>
        <w:spacing w:after="0"/>
        <w:jc w:val="center"/>
        <w:rPr>
          <w:rFonts w:ascii="Times New Roman" w:hAnsi="Times New Roman" w:cs="Times New Roman"/>
          <w:sz w:val="20"/>
          <w:szCs w:val="20"/>
          <w:lang w:val="en-US"/>
        </w:rPr>
      </w:pPr>
      <w:r w:rsidRPr="00E6521B">
        <w:rPr>
          <w:rFonts w:ascii="Times New Roman" w:hAnsi="Times New Roman" w:cs="Times New Roman"/>
          <w:sz w:val="20"/>
          <w:szCs w:val="20"/>
          <w:lang w:val="en-US"/>
        </w:rPr>
        <w:t xml:space="preserve">Source: </w:t>
      </w:r>
      <w:r>
        <w:rPr>
          <w:rFonts w:ascii="Times New Roman" w:hAnsi="Times New Roman" w:cs="Times New Roman"/>
          <w:sz w:val="20"/>
          <w:szCs w:val="20"/>
          <w:lang w:val="en-US"/>
        </w:rPr>
        <w:t>www.bankofgreece.gr</w:t>
      </w:r>
    </w:p>
    <w:p w:rsidR="000F0718" w:rsidRPr="000F0718" w:rsidRDefault="000F0718" w:rsidP="00E6546B">
      <w:pPr>
        <w:spacing w:after="0"/>
        <w:jc w:val="both"/>
        <w:rPr>
          <w:rFonts w:ascii="Times New Roman" w:hAnsi="Times New Roman" w:cs="Times New Roman"/>
          <w:sz w:val="24"/>
          <w:szCs w:val="24"/>
          <w:lang w:val="en-US"/>
        </w:rPr>
      </w:pPr>
    </w:p>
    <w:p w:rsidR="00F95FB4" w:rsidRDefault="00E36473" w:rsidP="00B61ED8">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F95FB4">
        <w:rPr>
          <w:rFonts w:ascii="Times New Roman" w:hAnsi="Times New Roman" w:cs="Times New Roman"/>
          <w:b/>
          <w:sz w:val="24"/>
          <w:szCs w:val="24"/>
          <w:lang w:val="en-US"/>
        </w:rPr>
        <w:t>Methodology</w:t>
      </w:r>
    </w:p>
    <w:p w:rsidR="00347EA6" w:rsidRDefault="00347EA6" w:rsidP="00F95FB4">
      <w:pPr>
        <w:spacing w:after="0"/>
        <w:jc w:val="both"/>
        <w:rPr>
          <w:rFonts w:ascii="Times New Roman" w:hAnsi="Times New Roman" w:cs="Times New Roman"/>
          <w:color w:val="000000" w:themeColor="text1"/>
          <w:sz w:val="24"/>
          <w:szCs w:val="24"/>
          <w:shd w:val="clear" w:color="auto" w:fill="FFFFFF"/>
          <w:lang w:val="en-US"/>
        </w:rPr>
      </w:pPr>
      <w:r w:rsidRPr="00347EA6">
        <w:rPr>
          <w:rFonts w:ascii="Times New Roman" w:hAnsi="Times New Roman" w:cs="Times New Roman"/>
          <w:color w:val="000000" w:themeColor="text1"/>
          <w:sz w:val="24"/>
          <w:szCs w:val="24"/>
          <w:shd w:val="clear" w:color="auto" w:fill="FFFFFF"/>
          <w:lang w:val="en-US"/>
        </w:rPr>
        <w:t>Financial institutions have the ability to calculate the capital required to cover market risk either using standard methods or internal models. The standard methods are based on risk assessment estimates by banks, while banks using internal models are required to determine the risk level with their own estimates.</w:t>
      </w:r>
    </w:p>
    <w:p w:rsidR="00614BBE" w:rsidRPr="00917E5B" w:rsidRDefault="00614BBE" w:rsidP="00614BBE">
      <w:pPr>
        <w:spacing w:after="0"/>
        <w:jc w:val="both"/>
        <w:rPr>
          <w:rFonts w:ascii="Times New Roman" w:hAnsi="Times New Roman" w:cs="Times New Roman"/>
          <w:color w:val="111111"/>
          <w:sz w:val="24"/>
          <w:szCs w:val="24"/>
          <w:shd w:val="clear" w:color="auto" w:fill="FFFFFF"/>
          <w:lang w:val="en-US"/>
        </w:rPr>
      </w:pPr>
      <w:r w:rsidRPr="00917E5B">
        <w:rPr>
          <w:rFonts w:ascii="Times New Roman" w:hAnsi="Times New Roman" w:cs="Times New Roman"/>
          <w:sz w:val="24"/>
          <w:szCs w:val="24"/>
          <w:lang w:val="en-US"/>
        </w:rPr>
        <w:t>Value at Risk (VaR) methodology aims to quantify the level of the worst case outcomes in a situation where the future is uncertain. VaR is defined as a threshold value that the losses should not exceed in a given time period and a given confidence level. (Timo Pekkala, 2010).</w:t>
      </w:r>
    </w:p>
    <w:p w:rsidR="00F95FB4" w:rsidRPr="00C77402" w:rsidRDefault="00F95FB4" w:rsidP="00F95FB4">
      <w:pPr>
        <w:spacing w:after="0"/>
        <w:jc w:val="both"/>
        <w:rPr>
          <w:rFonts w:ascii="Times New Roman" w:hAnsi="Times New Roman" w:cs="Times New Roman"/>
          <w:color w:val="000000" w:themeColor="text1"/>
          <w:sz w:val="24"/>
          <w:szCs w:val="24"/>
          <w:lang w:val="en-US"/>
        </w:rPr>
      </w:pPr>
      <w:r w:rsidRPr="00C77402">
        <w:rPr>
          <w:rFonts w:ascii="Times New Roman" w:hAnsi="Times New Roman" w:cs="Times New Roman"/>
          <w:color w:val="000000" w:themeColor="text1"/>
          <w:sz w:val="24"/>
          <w:szCs w:val="24"/>
          <w:shd w:val="clear" w:color="auto" w:fill="FFFFFF"/>
          <w:lang w:val="en-US"/>
        </w:rPr>
        <w:t>The VaR measurement shows a normal distribution of past losses. The measure is often applied to an investment</w:t>
      </w:r>
      <w:r>
        <w:rPr>
          <w:rFonts w:ascii="Times New Roman" w:hAnsi="Times New Roman" w:cs="Times New Roman"/>
          <w:color w:val="000000" w:themeColor="text1"/>
          <w:sz w:val="24"/>
          <w:szCs w:val="24"/>
          <w:shd w:val="clear" w:color="auto" w:fill="FFFFFF"/>
          <w:lang w:val="en-US"/>
        </w:rPr>
        <w:t xml:space="preserve"> </w:t>
      </w:r>
      <w:hyperlink r:id="rId12" w:history="1">
        <w:r w:rsidRPr="00C77402">
          <w:rPr>
            <w:rStyle w:val="-"/>
            <w:rFonts w:ascii="Times New Roman" w:hAnsi="Times New Roman" w:cs="Times New Roman"/>
            <w:color w:val="000000" w:themeColor="text1"/>
            <w:sz w:val="24"/>
            <w:szCs w:val="24"/>
            <w:u w:val="none"/>
            <w:shd w:val="clear" w:color="auto" w:fill="FFFFFF"/>
            <w:lang w:val="en-US"/>
          </w:rPr>
          <w:t>portfolio</w:t>
        </w:r>
      </w:hyperlink>
      <w:r>
        <w:rPr>
          <w:rFonts w:ascii="Times New Roman" w:hAnsi="Times New Roman" w:cs="Times New Roman"/>
          <w:color w:val="000000" w:themeColor="text1"/>
          <w:sz w:val="24"/>
          <w:szCs w:val="24"/>
          <w:lang w:val="en-US"/>
        </w:rPr>
        <w:t xml:space="preserve"> </w:t>
      </w:r>
      <w:r w:rsidRPr="00C77402">
        <w:rPr>
          <w:rFonts w:ascii="Times New Roman" w:hAnsi="Times New Roman" w:cs="Times New Roman"/>
          <w:color w:val="000000" w:themeColor="text1"/>
          <w:sz w:val="24"/>
          <w:szCs w:val="24"/>
          <w:shd w:val="clear" w:color="auto" w:fill="FFFFFF"/>
          <w:lang w:val="en-US"/>
        </w:rPr>
        <w:t>for which the calculation gives a confidence i</w:t>
      </w:r>
      <w:r>
        <w:rPr>
          <w:rFonts w:ascii="Times New Roman" w:hAnsi="Times New Roman" w:cs="Times New Roman"/>
          <w:color w:val="000000" w:themeColor="text1"/>
          <w:sz w:val="24"/>
          <w:szCs w:val="24"/>
          <w:shd w:val="clear" w:color="auto" w:fill="FFFFFF"/>
          <w:lang w:val="en-US"/>
        </w:rPr>
        <w:t xml:space="preserve">nterval about the likelihood of </w:t>
      </w:r>
      <w:r w:rsidRPr="00C77402">
        <w:rPr>
          <w:rFonts w:ascii="Times New Roman" w:hAnsi="Times New Roman" w:cs="Times New Roman"/>
          <w:color w:val="000000" w:themeColor="text1"/>
          <w:sz w:val="24"/>
          <w:szCs w:val="24"/>
          <w:shd w:val="clear" w:color="auto" w:fill="FFFFFF"/>
          <w:lang w:val="en-US"/>
        </w:rPr>
        <w:t>exceeding</w:t>
      </w:r>
      <w:r>
        <w:rPr>
          <w:rFonts w:ascii="Times New Roman" w:hAnsi="Times New Roman" w:cs="Times New Roman"/>
          <w:color w:val="000000" w:themeColor="text1"/>
          <w:sz w:val="24"/>
          <w:szCs w:val="24"/>
          <w:shd w:val="clear" w:color="auto" w:fill="FFFFFF"/>
          <w:lang w:val="en-US"/>
        </w:rPr>
        <w:t xml:space="preserve"> </w:t>
      </w:r>
      <w:r w:rsidRPr="00C77402">
        <w:rPr>
          <w:rFonts w:ascii="Times New Roman" w:hAnsi="Times New Roman" w:cs="Times New Roman"/>
          <w:color w:val="000000" w:themeColor="text1"/>
          <w:sz w:val="24"/>
          <w:szCs w:val="24"/>
          <w:shd w:val="clear" w:color="auto" w:fill="FFFFFF"/>
          <w:lang w:val="en-US"/>
        </w:rPr>
        <w:t>a certain loss threshold. That data is used by investors to make decisions and set strategy. Stated simply, the VaR is a probability-based estimate of the</w:t>
      </w:r>
      <w:r>
        <w:rPr>
          <w:rFonts w:ascii="Times New Roman" w:hAnsi="Times New Roman" w:cs="Times New Roman"/>
          <w:color w:val="000000" w:themeColor="text1"/>
          <w:sz w:val="24"/>
          <w:szCs w:val="24"/>
          <w:shd w:val="clear" w:color="auto" w:fill="FFFFFF"/>
          <w:lang w:val="en-US"/>
        </w:rPr>
        <w:t xml:space="preserve"> </w:t>
      </w:r>
      <w:r w:rsidRPr="00C77402">
        <w:rPr>
          <w:rStyle w:val="a6"/>
          <w:rFonts w:ascii="Times New Roman" w:hAnsi="Times New Roman" w:cs="Times New Roman"/>
          <w:color w:val="000000" w:themeColor="text1"/>
          <w:sz w:val="24"/>
          <w:szCs w:val="24"/>
          <w:shd w:val="clear" w:color="auto" w:fill="FFFFFF"/>
          <w:lang w:val="en-US"/>
        </w:rPr>
        <w:t>minimum</w:t>
      </w:r>
      <w:r>
        <w:rPr>
          <w:rStyle w:val="a6"/>
          <w:rFonts w:ascii="Times New Roman" w:hAnsi="Times New Roman" w:cs="Times New Roman"/>
          <w:color w:val="000000" w:themeColor="text1"/>
          <w:sz w:val="24"/>
          <w:szCs w:val="24"/>
          <w:shd w:val="clear" w:color="auto" w:fill="FFFFFF"/>
          <w:lang w:val="en-US"/>
        </w:rPr>
        <w:t xml:space="preserve"> </w:t>
      </w:r>
      <w:r w:rsidRPr="00C77402">
        <w:rPr>
          <w:rFonts w:ascii="Times New Roman" w:hAnsi="Times New Roman" w:cs="Times New Roman"/>
          <w:color w:val="000000" w:themeColor="text1"/>
          <w:sz w:val="24"/>
          <w:szCs w:val="24"/>
          <w:shd w:val="clear" w:color="auto" w:fill="FFFFFF"/>
          <w:lang w:val="en-US"/>
        </w:rPr>
        <w:t xml:space="preserve">loss in dollar </w:t>
      </w:r>
      <w:r>
        <w:rPr>
          <w:rFonts w:ascii="Times New Roman" w:hAnsi="Times New Roman" w:cs="Times New Roman"/>
          <w:color w:val="000000" w:themeColor="text1"/>
          <w:sz w:val="24"/>
          <w:szCs w:val="24"/>
          <w:shd w:val="clear" w:color="auto" w:fill="FFFFFF"/>
          <w:lang w:val="en-US"/>
        </w:rPr>
        <w:t xml:space="preserve">or euro </w:t>
      </w:r>
      <w:r w:rsidRPr="00C77402">
        <w:rPr>
          <w:rFonts w:ascii="Times New Roman" w:hAnsi="Times New Roman" w:cs="Times New Roman"/>
          <w:color w:val="000000" w:themeColor="text1"/>
          <w:sz w:val="24"/>
          <w:szCs w:val="24"/>
          <w:shd w:val="clear" w:color="auto" w:fill="FFFFFF"/>
          <w:lang w:val="en-US"/>
        </w:rPr>
        <w:t>terms expected over a period.</w:t>
      </w:r>
      <w:r w:rsidRPr="0045566B">
        <w:rPr>
          <w:color w:val="111111"/>
          <w:lang w:val="en-US"/>
        </w:rPr>
        <w:t xml:space="preserve"> </w:t>
      </w:r>
      <w:r w:rsidRPr="0045566B">
        <w:rPr>
          <w:rFonts w:ascii="Times New Roman" w:hAnsi="Times New Roman" w:cs="Times New Roman"/>
          <w:color w:val="111111"/>
          <w:sz w:val="24"/>
          <w:szCs w:val="24"/>
          <w:lang w:val="en-US"/>
        </w:rPr>
        <w:t>VaR is defined as:</w:t>
      </w:r>
      <w:r w:rsidRPr="0045566B">
        <w:rPr>
          <w:rStyle w:val="a4"/>
          <w:rFonts w:ascii="Times New Roman" w:hAnsi="Times New Roman" w:cs="Times New Roman"/>
          <w:color w:val="000000" w:themeColor="text1"/>
          <w:sz w:val="24"/>
          <w:szCs w:val="24"/>
          <w:shd w:val="clear" w:color="auto" w:fill="FFFFFF"/>
          <w:lang w:val="en-US"/>
        </w:rPr>
        <w:footnoteReference w:id="11"/>
      </w:r>
    </w:p>
    <w:p w:rsidR="00F95FB4" w:rsidRPr="00D974D4" w:rsidRDefault="00F95FB4" w:rsidP="00F95FB4">
      <w:pPr>
        <w:pStyle w:val="Web"/>
        <w:shd w:val="clear" w:color="auto" w:fill="FFFFFF"/>
        <w:spacing w:before="0" w:beforeAutospacing="0" w:after="0" w:afterAutospacing="0" w:line="276" w:lineRule="auto"/>
        <w:jc w:val="both"/>
        <w:rPr>
          <w:color w:val="111111"/>
          <w:lang w:val="en-US"/>
        </w:rPr>
      </w:pPr>
      <w:r w:rsidRPr="00D974D4">
        <w:rPr>
          <w:rStyle w:val="mord"/>
          <w:rFonts w:eastAsia="Calibri"/>
          <w:b/>
          <w:iCs/>
          <w:color w:val="111111"/>
          <w:shd w:val="clear" w:color="auto" w:fill="FFFFFF"/>
          <w:lang w:val="en-US"/>
        </w:rPr>
        <w:t>VaR</w:t>
      </w:r>
      <w:r w:rsidRPr="00D974D4">
        <w:rPr>
          <w:rStyle w:val="vlist-s"/>
          <w:color w:val="111111"/>
          <w:shd w:val="clear" w:color="auto" w:fill="FFFFFF"/>
          <w:lang w:val="en-US"/>
        </w:rPr>
        <w:t xml:space="preserve"> </w:t>
      </w:r>
      <w:r w:rsidRPr="00D974D4">
        <w:rPr>
          <w:rStyle w:val="mrel"/>
          <w:color w:val="111111"/>
          <w:shd w:val="clear" w:color="auto" w:fill="FFFFFF"/>
          <w:lang w:val="en-US"/>
        </w:rPr>
        <w:t xml:space="preserve">= </w:t>
      </w:r>
      <w:r w:rsidRPr="00D974D4">
        <w:rPr>
          <w:rStyle w:val="mopen"/>
          <w:color w:val="111111"/>
          <w:shd w:val="clear" w:color="auto" w:fill="FFFFFF"/>
          <w:lang w:val="en-US"/>
        </w:rPr>
        <w:t>[</w:t>
      </w:r>
      <w:r w:rsidRPr="00D974D4">
        <w:rPr>
          <w:rStyle w:val="mord"/>
          <w:rFonts w:eastAsia="Calibri"/>
          <w:color w:val="111111"/>
          <w:shd w:val="clear" w:color="auto" w:fill="FFFFFF"/>
          <w:lang w:val="en-US"/>
        </w:rPr>
        <w:t xml:space="preserve">Expected Weighted Return of the Portfolio </w:t>
      </w:r>
      <w:r w:rsidRPr="00D974D4">
        <w:rPr>
          <w:rStyle w:val="mbin"/>
          <w:color w:val="111111"/>
          <w:shd w:val="clear" w:color="auto" w:fill="FFFFFF"/>
          <w:lang w:val="en-US"/>
        </w:rPr>
        <w:t xml:space="preserve">− </w:t>
      </w:r>
      <w:r w:rsidRPr="00D974D4">
        <w:rPr>
          <w:rStyle w:val="mopen"/>
          <w:color w:val="111111"/>
          <w:shd w:val="clear" w:color="auto" w:fill="FFFFFF"/>
          <w:lang w:val="en-US"/>
        </w:rPr>
        <w:t>(</w:t>
      </w:r>
      <w:r>
        <w:rPr>
          <w:rStyle w:val="mord"/>
          <w:i/>
          <w:iCs/>
          <w:color w:val="111111"/>
          <w:shd w:val="clear" w:color="auto" w:fill="FFFFFF"/>
          <w:lang w:val="en-US"/>
        </w:rPr>
        <w:t>Z</w:t>
      </w:r>
      <w:r w:rsidRPr="00D974D4">
        <w:rPr>
          <w:rStyle w:val="mord"/>
          <w:color w:val="111111"/>
          <w:shd w:val="clear" w:color="auto" w:fill="FFFFFF"/>
          <w:lang w:val="en-US"/>
        </w:rPr>
        <w:t xml:space="preserve">-score of the confidence interval </w:t>
      </w:r>
      <w:r w:rsidRPr="00D974D4">
        <w:rPr>
          <w:rStyle w:val="mbin"/>
          <w:b/>
          <w:color w:val="111111"/>
          <w:shd w:val="clear" w:color="auto" w:fill="FFFFFF"/>
          <w:lang w:val="en-US"/>
        </w:rPr>
        <w:t>X</w:t>
      </w:r>
      <w:r w:rsidRPr="00D974D4">
        <w:rPr>
          <w:rStyle w:val="mbin"/>
          <w:color w:val="111111"/>
          <w:shd w:val="clear" w:color="auto" w:fill="FFFFFF"/>
          <w:lang w:val="en-US"/>
        </w:rPr>
        <w:t xml:space="preserve"> </w:t>
      </w:r>
      <w:r w:rsidRPr="00D974D4">
        <w:rPr>
          <w:rStyle w:val="mord"/>
          <w:color w:val="111111"/>
          <w:shd w:val="clear" w:color="auto" w:fill="FFFFFF"/>
          <w:lang w:val="en-US"/>
        </w:rPr>
        <w:t xml:space="preserve">standard deviation of the portfolio)] </w:t>
      </w:r>
      <w:r w:rsidRPr="00D974D4">
        <w:rPr>
          <w:rStyle w:val="mbin"/>
          <w:b/>
          <w:color w:val="111111"/>
          <w:shd w:val="clear" w:color="auto" w:fill="FFFFFF"/>
          <w:lang w:val="en-US"/>
        </w:rPr>
        <w:t>X</w:t>
      </w:r>
      <w:r w:rsidRPr="00D974D4">
        <w:rPr>
          <w:rStyle w:val="mbin"/>
          <w:color w:val="111111"/>
          <w:shd w:val="clear" w:color="auto" w:fill="FFFFFF"/>
          <w:lang w:val="en-US"/>
        </w:rPr>
        <w:t xml:space="preserve"> </w:t>
      </w:r>
      <w:r w:rsidRPr="00D974D4">
        <w:rPr>
          <w:rStyle w:val="mord"/>
          <w:color w:val="111111"/>
          <w:shd w:val="clear" w:color="auto" w:fill="FFFFFF"/>
          <w:lang w:val="en-US"/>
        </w:rPr>
        <w:t>portfolio value</w:t>
      </w:r>
      <w:r>
        <w:rPr>
          <w:rStyle w:val="mord"/>
          <w:color w:val="111111"/>
          <w:shd w:val="clear" w:color="auto" w:fill="FFFFFF"/>
          <w:lang w:val="en-US"/>
        </w:rPr>
        <w:t>.</w:t>
      </w:r>
      <w:r>
        <w:rPr>
          <w:rStyle w:val="mord"/>
          <w:color w:val="111111"/>
          <w:shd w:val="clear" w:color="auto" w:fill="FFFFFF"/>
          <w:lang w:val="en-US"/>
        </w:rPr>
        <w:tab/>
      </w:r>
      <w:r>
        <w:rPr>
          <w:rStyle w:val="mord"/>
          <w:color w:val="111111"/>
          <w:shd w:val="clear" w:color="auto" w:fill="FFFFFF"/>
          <w:lang w:val="en-US"/>
        </w:rPr>
        <w:tab/>
      </w:r>
      <w:r>
        <w:rPr>
          <w:rStyle w:val="mord"/>
          <w:color w:val="111111"/>
          <w:shd w:val="clear" w:color="auto" w:fill="FFFFFF"/>
          <w:lang w:val="en-US"/>
        </w:rPr>
        <w:tab/>
        <w:t>(1)</w:t>
      </w:r>
    </w:p>
    <w:p w:rsidR="002919C1" w:rsidRDefault="002919C1" w:rsidP="00F95FB4">
      <w:pPr>
        <w:pStyle w:val="Web"/>
        <w:shd w:val="clear" w:color="auto" w:fill="FFFFFF"/>
        <w:spacing w:before="0" w:beforeAutospacing="0" w:after="0" w:afterAutospacing="0" w:line="276" w:lineRule="auto"/>
        <w:jc w:val="both"/>
        <w:rPr>
          <w:color w:val="111111"/>
          <w:lang w:val="en-US"/>
        </w:rPr>
      </w:pPr>
    </w:p>
    <w:p w:rsidR="00F95FB4" w:rsidRDefault="00F95FB4" w:rsidP="00F95FB4">
      <w:pPr>
        <w:pStyle w:val="Web"/>
        <w:shd w:val="clear" w:color="auto" w:fill="FFFFFF"/>
        <w:spacing w:before="0" w:beforeAutospacing="0" w:after="0" w:afterAutospacing="0" w:line="276" w:lineRule="auto"/>
        <w:jc w:val="both"/>
        <w:rPr>
          <w:color w:val="111111"/>
          <w:shd w:val="clear" w:color="auto" w:fill="FFFFFF"/>
          <w:lang w:val="en-US"/>
        </w:rPr>
      </w:pPr>
      <w:r w:rsidRPr="00D974D4">
        <w:rPr>
          <w:color w:val="111111"/>
          <w:lang w:val="en-US"/>
        </w:rPr>
        <w:lastRenderedPageBreak/>
        <w:t>Typically, a timeframe is expressed in years.</w:t>
      </w:r>
      <w:r w:rsidRPr="0045566B">
        <w:rPr>
          <w:rFonts w:ascii="Arial" w:hAnsi="Arial" w:cs="Arial"/>
          <w:color w:val="111111"/>
          <w:sz w:val="22"/>
          <w:szCs w:val="22"/>
          <w:shd w:val="clear" w:color="auto" w:fill="FFFFFF"/>
          <w:lang w:val="en-US"/>
        </w:rPr>
        <w:t xml:space="preserve"> </w:t>
      </w:r>
      <w:r w:rsidRPr="0045566B">
        <w:rPr>
          <w:color w:val="111111"/>
          <w:shd w:val="clear" w:color="auto" w:fill="FFFFFF"/>
          <w:lang w:val="en-US"/>
        </w:rPr>
        <w:t>However, if the timeframe is being measured in weeks or days, we divide the expected return by the interval and the standard deviation by the square root of the interval.</w:t>
      </w:r>
    </w:p>
    <w:p w:rsidR="00F95FB4" w:rsidRDefault="00F95FB4" w:rsidP="00F95FB4">
      <w:pPr>
        <w:pStyle w:val="Web"/>
        <w:shd w:val="clear" w:color="auto" w:fill="FFFFFF"/>
        <w:spacing w:before="0" w:beforeAutospacing="0" w:after="0" w:afterAutospacing="0" w:line="276" w:lineRule="auto"/>
        <w:jc w:val="both"/>
        <w:rPr>
          <w:lang w:val="en-US"/>
        </w:rPr>
      </w:pPr>
      <w:r>
        <w:rPr>
          <w:lang w:val="en-US"/>
        </w:rPr>
        <w:t>There are t</w:t>
      </w:r>
      <w:r w:rsidRPr="001908CD">
        <w:rPr>
          <w:lang w:val="en-US"/>
        </w:rPr>
        <w:t>hree widely user VaR methodologies and their use in the industry are described in (Morgan, 1996) and their use in the industry is analyzed by Pearson and Smithson (2002), for example. These three categories are Historical Simulation, Monte Carlo Simulation and Analytic Delta-Gamma method. These methods along with their key characteristics are summarized in the upper part of table 1.</w:t>
      </w:r>
    </w:p>
    <w:p w:rsidR="00347EA6" w:rsidRDefault="00347EA6" w:rsidP="00F95FB4">
      <w:pPr>
        <w:pStyle w:val="Web"/>
        <w:shd w:val="clear" w:color="auto" w:fill="FFFFFF"/>
        <w:spacing w:before="0" w:beforeAutospacing="0" w:after="0" w:afterAutospacing="0" w:line="276" w:lineRule="auto"/>
        <w:jc w:val="both"/>
        <w:rPr>
          <w:lang w:val="en-US"/>
        </w:rPr>
      </w:pPr>
    </w:p>
    <w:p w:rsidR="00F95FB4" w:rsidRPr="00E15E20" w:rsidRDefault="00F95FB4" w:rsidP="00F95FB4">
      <w:pPr>
        <w:pStyle w:val="Web"/>
        <w:shd w:val="clear" w:color="auto" w:fill="FFFFFF"/>
        <w:spacing w:before="0" w:beforeAutospacing="0" w:after="0" w:afterAutospacing="0" w:line="276" w:lineRule="auto"/>
        <w:jc w:val="center"/>
        <w:rPr>
          <w:b/>
          <w:lang w:val="en-US"/>
        </w:rPr>
      </w:pPr>
      <w:r w:rsidRPr="00E15E20">
        <w:rPr>
          <w:b/>
          <w:lang w:val="en-US"/>
        </w:rPr>
        <w:t>Table 1: RiskMetrics analysis of different VaR methodologies (Morgan, 1996).</w:t>
      </w:r>
    </w:p>
    <w:p w:rsidR="00F95FB4" w:rsidRPr="00E15E20" w:rsidRDefault="00F95FB4" w:rsidP="00F95FB4">
      <w:pPr>
        <w:pStyle w:val="Web"/>
        <w:shd w:val="clear" w:color="auto" w:fill="FFFFFF"/>
        <w:spacing w:before="0" w:beforeAutospacing="0" w:after="0" w:afterAutospacing="0" w:line="276" w:lineRule="auto"/>
        <w:jc w:val="center"/>
        <w:rPr>
          <w:lang w:val="en-US"/>
        </w:rPr>
      </w:pPr>
      <w:r>
        <w:rPr>
          <w:noProof/>
        </w:rPr>
        <w:drawing>
          <wp:inline distT="0" distB="0" distL="0" distR="0">
            <wp:extent cx="5120466" cy="3204376"/>
            <wp:effectExtent l="19050" t="0" r="3984"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20640" cy="3204485"/>
                    </a:xfrm>
                    <a:prstGeom prst="rect">
                      <a:avLst/>
                    </a:prstGeom>
                    <a:noFill/>
                    <a:ln w="9525">
                      <a:noFill/>
                      <a:miter lim="800000"/>
                      <a:headEnd/>
                      <a:tailEnd/>
                    </a:ln>
                  </pic:spPr>
                </pic:pic>
              </a:graphicData>
            </a:graphic>
          </wp:inline>
        </w:drawing>
      </w:r>
    </w:p>
    <w:p w:rsidR="00F95FB4" w:rsidRPr="00E15E20" w:rsidRDefault="00F95FB4" w:rsidP="00F95FB4">
      <w:pPr>
        <w:pStyle w:val="a3"/>
        <w:spacing w:line="276" w:lineRule="auto"/>
        <w:jc w:val="both"/>
        <w:rPr>
          <w:rFonts w:ascii="Times New Roman" w:hAnsi="Times New Roman"/>
          <w:color w:val="000000" w:themeColor="text1"/>
          <w:lang w:val="en-US"/>
        </w:rPr>
      </w:pPr>
      <w:r w:rsidRPr="00E15E20">
        <w:rPr>
          <w:rFonts w:ascii="Times New Roman" w:hAnsi="Times New Roman"/>
          <w:lang w:val="en-US"/>
        </w:rPr>
        <w:t>Source: Morgan J. (1996). "RiskMetrics Technical Document". Technical Report Fourth Edition, 1996.</w:t>
      </w:r>
    </w:p>
    <w:p w:rsidR="000F0718" w:rsidRDefault="000F0718" w:rsidP="00F95FB4">
      <w:pPr>
        <w:pStyle w:val="Web"/>
        <w:shd w:val="clear" w:color="auto" w:fill="FFFFFF"/>
        <w:spacing w:before="0" w:beforeAutospacing="0" w:after="0" w:afterAutospacing="0" w:line="276" w:lineRule="auto"/>
        <w:jc w:val="both"/>
        <w:rPr>
          <w:lang w:val="en-US"/>
        </w:rPr>
      </w:pPr>
    </w:p>
    <w:p w:rsidR="00F95FB4" w:rsidRDefault="00F95FB4" w:rsidP="00F95FB4">
      <w:pPr>
        <w:pStyle w:val="Web"/>
        <w:shd w:val="clear" w:color="auto" w:fill="FFFFFF"/>
        <w:spacing w:before="0" w:beforeAutospacing="0" w:after="0" w:afterAutospacing="0" w:line="276" w:lineRule="auto"/>
        <w:jc w:val="both"/>
        <w:rPr>
          <w:lang w:val="en-US"/>
        </w:rPr>
      </w:pPr>
      <w:r w:rsidRPr="00627F00">
        <w:rPr>
          <w:lang w:val="en-US"/>
        </w:rPr>
        <w:t>The performance of bank VaR risk management tools has not been studied very thoroughly. The technical details of different implementation approaches have been researched more eagerly. This is probably due to the fact that bank internal figures are hard to come by. The subject is however st</w:t>
      </w:r>
      <w:r>
        <w:rPr>
          <w:lang w:val="en-US"/>
        </w:rPr>
        <w:t>udied by Berkowitz and O’Brien in 2002</w:t>
      </w:r>
      <w:r w:rsidRPr="00627F00">
        <w:rPr>
          <w:lang w:val="en-US"/>
        </w:rPr>
        <w:t>.</w:t>
      </w:r>
      <w:r>
        <w:rPr>
          <w:lang w:val="en-US"/>
        </w:rPr>
        <w:t xml:space="preserve"> </w:t>
      </w:r>
      <w:r w:rsidRPr="00627F00">
        <w:rPr>
          <w:lang w:val="en-US"/>
        </w:rPr>
        <w:t>They analyze the performance of VaR estimates of six large multinational US banks against their historical</w:t>
      </w:r>
      <w:r>
        <w:rPr>
          <w:lang w:val="en-US"/>
        </w:rPr>
        <w:t xml:space="preserve"> </w:t>
      </w:r>
      <w:r w:rsidRPr="00E5128A">
        <w:rPr>
          <w:lang w:val="en-US"/>
        </w:rPr>
        <w:t>trading profit and loss (P&amp;L). All six banks “meet the Basle ‘large trader’ criterion” and maintain P&amp;L and VaR time series “to asses compliance with the Basle market risk capital requirements”. The measure under inspection is the 99% Value at Risk for a one-day holding period.</w:t>
      </w:r>
      <w:r>
        <w:rPr>
          <w:lang w:val="en-US"/>
        </w:rPr>
        <w:t xml:space="preserve"> (Timo Pekkala, 2006).</w:t>
      </w:r>
    </w:p>
    <w:p w:rsidR="000F0718" w:rsidRDefault="000F0718" w:rsidP="000F0718">
      <w:pPr>
        <w:pStyle w:val="Web"/>
        <w:shd w:val="clear" w:color="auto" w:fill="FFFFFF"/>
        <w:spacing w:before="0" w:beforeAutospacing="0" w:after="0" w:afterAutospacing="0" w:line="360" w:lineRule="auto"/>
        <w:jc w:val="both"/>
        <w:rPr>
          <w:lang w:val="en-US"/>
        </w:rPr>
      </w:pPr>
    </w:p>
    <w:p w:rsidR="000F0718" w:rsidRDefault="000F0718" w:rsidP="000F0718">
      <w:pPr>
        <w:pStyle w:val="Web"/>
        <w:shd w:val="clear" w:color="auto" w:fill="FFFFFF"/>
        <w:spacing w:before="0" w:beforeAutospacing="0" w:after="0" w:afterAutospacing="0" w:line="360" w:lineRule="auto"/>
        <w:jc w:val="both"/>
        <w:rPr>
          <w:lang w:val="en-US"/>
        </w:rPr>
      </w:pPr>
    </w:p>
    <w:p w:rsidR="000F0718" w:rsidRDefault="000F0718" w:rsidP="000F0718">
      <w:pPr>
        <w:pStyle w:val="Web"/>
        <w:shd w:val="clear" w:color="auto" w:fill="FFFFFF"/>
        <w:spacing w:before="0" w:beforeAutospacing="0" w:after="0" w:afterAutospacing="0" w:line="360" w:lineRule="auto"/>
        <w:jc w:val="both"/>
        <w:rPr>
          <w:lang w:val="en-US"/>
        </w:rPr>
      </w:pPr>
    </w:p>
    <w:p w:rsidR="000F0718" w:rsidRDefault="000F0718" w:rsidP="000F0718">
      <w:pPr>
        <w:pStyle w:val="Web"/>
        <w:shd w:val="clear" w:color="auto" w:fill="FFFFFF"/>
        <w:spacing w:before="0" w:beforeAutospacing="0" w:after="0" w:afterAutospacing="0" w:line="360" w:lineRule="auto"/>
        <w:jc w:val="both"/>
        <w:rPr>
          <w:lang w:val="en-US"/>
        </w:rPr>
      </w:pPr>
    </w:p>
    <w:p w:rsidR="000F0718" w:rsidRDefault="000F0718" w:rsidP="000F0718">
      <w:pPr>
        <w:pStyle w:val="Web"/>
        <w:shd w:val="clear" w:color="auto" w:fill="FFFFFF"/>
        <w:spacing w:before="0" w:beforeAutospacing="0" w:after="0" w:afterAutospacing="0" w:line="360" w:lineRule="auto"/>
        <w:jc w:val="both"/>
        <w:rPr>
          <w:lang w:val="en-US"/>
        </w:rPr>
      </w:pPr>
    </w:p>
    <w:p w:rsidR="00935E41" w:rsidRPr="00935E41" w:rsidRDefault="00935E41" w:rsidP="000F0718">
      <w:pPr>
        <w:pStyle w:val="Web"/>
        <w:shd w:val="clear" w:color="auto" w:fill="FFFFFF"/>
        <w:spacing w:before="0" w:beforeAutospacing="0" w:after="0" w:afterAutospacing="0" w:line="360" w:lineRule="auto"/>
        <w:jc w:val="both"/>
        <w:rPr>
          <w:lang w:val="en-US"/>
        </w:rPr>
      </w:pPr>
      <w:r w:rsidRPr="00935E41">
        <w:rPr>
          <w:lang w:val="en-US"/>
        </w:rPr>
        <w:lastRenderedPageBreak/>
        <w:t xml:space="preserve">Let </w:t>
      </w:r>
      <w:r>
        <w:rPr>
          <w:lang w:val="en-US"/>
        </w:rPr>
        <w:t xml:space="preserve">say that </w:t>
      </w:r>
      <w:r w:rsidRPr="00935E41">
        <w:rPr>
          <w:lang w:val="en-US"/>
        </w:rPr>
        <w:t>V = the current market value of the portfolio</w:t>
      </w:r>
    </w:p>
    <w:p w:rsidR="00935E41" w:rsidRPr="00935E41" w:rsidRDefault="00935E41" w:rsidP="000F0718">
      <w:pPr>
        <w:pStyle w:val="Web"/>
        <w:shd w:val="clear" w:color="auto" w:fill="FFFFFF"/>
        <w:spacing w:before="0" w:beforeAutospacing="0" w:after="0" w:afterAutospacing="0" w:line="360" w:lineRule="auto"/>
        <w:jc w:val="both"/>
        <w:rPr>
          <w:lang w:val="en-US"/>
        </w:rPr>
      </w:pPr>
      <w:r w:rsidRPr="00935E41">
        <w:rPr>
          <w:lang w:val="en-US"/>
        </w:rPr>
        <w:t xml:space="preserve">R = yield for the </w:t>
      </w:r>
      <w:r>
        <w:rPr>
          <w:lang w:val="en-US"/>
        </w:rPr>
        <w:t>"</w:t>
      </w:r>
      <w:r w:rsidRPr="00935E41">
        <w:rPr>
          <w:lang w:val="en-US"/>
        </w:rPr>
        <w:t>H</w:t>
      </w:r>
      <w:r>
        <w:rPr>
          <w:lang w:val="en-US"/>
        </w:rPr>
        <w:t>"</w:t>
      </w:r>
      <w:r w:rsidRPr="00935E41">
        <w:rPr>
          <w:lang w:val="en-US"/>
        </w:rPr>
        <w:t xml:space="preserve"> period</w:t>
      </w:r>
    </w:p>
    <w:p w:rsidR="00935E41" w:rsidRPr="00935E41" w:rsidRDefault="00935E41" w:rsidP="000F0718">
      <w:pPr>
        <w:pStyle w:val="Web"/>
        <w:shd w:val="clear" w:color="auto" w:fill="FFFFFF"/>
        <w:spacing w:before="0" w:beforeAutospacing="0" w:after="0" w:afterAutospacing="0" w:line="360" w:lineRule="auto"/>
        <w:jc w:val="both"/>
        <w:rPr>
          <w:lang w:val="en-US"/>
        </w:rPr>
      </w:pPr>
      <w:r w:rsidRPr="00935E41">
        <w:rPr>
          <w:lang w:val="en-US"/>
        </w:rPr>
        <w:t>m = E (R)</w:t>
      </w:r>
      <w:r>
        <w:rPr>
          <w:lang w:val="en-US"/>
        </w:rPr>
        <w:t xml:space="preserve"> expected return</w:t>
      </w:r>
    </w:p>
    <w:p w:rsidR="00935E41" w:rsidRDefault="00935E41" w:rsidP="000F0718">
      <w:pPr>
        <w:pStyle w:val="Web"/>
        <w:shd w:val="clear" w:color="auto" w:fill="FFFFFF"/>
        <w:spacing w:before="0" w:beforeAutospacing="0" w:after="0" w:afterAutospacing="0" w:line="360" w:lineRule="auto"/>
        <w:jc w:val="both"/>
        <w:rPr>
          <w:lang w:val="en-US"/>
        </w:rPr>
      </w:pPr>
      <w:r w:rsidRPr="00935E41">
        <w:rPr>
          <w:lang w:val="en-US"/>
        </w:rPr>
        <w:t xml:space="preserve">R* = yield for period </w:t>
      </w:r>
      <w:r>
        <w:rPr>
          <w:lang w:val="en-US"/>
        </w:rPr>
        <w:t>"</w:t>
      </w:r>
      <w:r w:rsidRPr="00935E41">
        <w:rPr>
          <w:lang w:val="en-US"/>
        </w:rPr>
        <w:t>H</w:t>
      </w:r>
      <w:r>
        <w:rPr>
          <w:lang w:val="en-US"/>
        </w:rPr>
        <w:t>"</w:t>
      </w:r>
      <w:r w:rsidRPr="00935E41">
        <w:rPr>
          <w:lang w:val="en-US"/>
        </w:rPr>
        <w:t xml:space="preserve"> corresponding to worst-case probability of 1-c </w:t>
      </w:r>
      <w:r>
        <w:rPr>
          <w:lang w:val="en-US"/>
        </w:rPr>
        <w:t>[</w:t>
      </w:r>
      <w:r w:rsidRPr="00935E41">
        <w:rPr>
          <w:lang w:val="en-US"/>
        </w:rPr>
        <w:t>c=confidence level, eg 99%</w:t>
      </w:r>
      <w:r>
        <w:rPr>
          <w:lang w:val="en-US"/>
        </w:rPr>
        <w:t>].</w:t>
      </w:r>
    </w:p>
    <w:p w:rsidR="00935E41" w:rsidRDefault="00935E41" w:rsidP="000F0718">
      <w:pPr>
        <w:pStyle w:val="Web"/>
        <w:shd w:val="clear" w:color="auto" w:fill="FFFFFF"/>
        <w:spacing w:before="0" w:beforeAutospacing="0" w:after="0" w:afterAutospacing="0" w:line="360" w:lineRule="auto"/>
        <w:jc w:val="both"/>
        <w:rPr>
          <w:lang w:val="en-US"/>
        </w:rPr>
      </w:pPr>
      <w:r>
        <w:rPr>
          <w:lang w:val="en-US"/>
        </w:rPr>
        <w:t xml:space="preserve">and </w:t>
      </w:r>
    </w:p>
    <w:p w:rsidR="00E346D8" w:rsidRPr="00935E41" w:rsidRDefault="00E346D8" w:rsidP="000F0718">
      <w:pPr>
        <w:pStyle w:val="Web"/>
        <w:numPr>
          <w:ilvl w:val="0"/>
          <w:numId w:val="2"/>
        </w:numPr>
        <w:shd w:val="clear" w:color="auto" w:fill="FFFFFF"/>
        <w:tabs>
          <w:tab w:val="clear" w:pos="360"/>
          <w:tab w:val="num" w:pos="-142"/>
        </w:tabs>
        <w:spacing w:before="0" w:beforeAutospacing="0" w:after="0" w:afterAutospacing="0" w:line="360" w:lineRule="auto"/>
        <w:ind w:left="0" w:firstLine="0"/>
        <w:jc w:val="both"/>
      </w:pPr>
      <w:r w:rsidRPr="00935E41">
        <w:rPr>
          <w:lang w:val="en-US"/>
        </w:rPr>
        <w:t>V</w:t>
      </w:r>
      <w:r w:rsidRPr="00935E41">
        <w:rPr>
          <w:vertAlign w:val="superscript"/>
          <w:lang w:val="en-US"/>
        </w:rPr>
        <w:t>*</w:t>
      </w:r>
      <w:r w:rsidR="00935E41">
        <w:rPr>
          <w:vertAlign w:val="superscript"/>
          <w:lang w:val="en-US"/>
        </w:rPr>
        <w:t xml:space="preserve"> </w:t>
      </w:r>
      <w:r w:rsidRPr="00935E41">
        <w:rPr>
          <w:lang w:val="en-US"/>
        </w:rPr>
        <w:t>=</w:t>
      </w:r>
      <w:r w:rsidR="00935E41">
        <w:rPr>
          <w:lang w:val="en-US"/>
        </w:rPr>
        <w:t xml:space="preserve"> </w:t>
      </w:r>
      <w:r w:rsidRPr="00935E41">
        <w:rPr>
          <w:lang w:val="en-US"/>
        </w:rPr>
        <w:t>V(1+R</w:t>
      </w:r>
      <w:r w:rsidRPr="00935E41">
        <w:rPr>
          <w:vertAlign w:val="superscript"/>
          <w:lang w:val="en-US"/>
        </w:rPr>
        <w:t>*</w:t>
      </w:r>
      <w:r w:rsidRPr="00935E41">
        <w:rPr>
          <w:lang w:val="en-US"/>
        </w:rPr>
        <w:t>)</w:t>
      </w:r>
      <w:r w:rsidR="00935E41">
        <w:rPr>
          <w:lang w:val="en-US"/>
        </w:rPr>
        <w:t xml:space="preserve"> </w:t>
      </w:r>
      <w:r w:rsidR="00AD104B">
        <w:rPr>
          <w:lang w:val="en-US"/>
        </w:rPr>
        <w:tab/>
      </w:r>
      <w:r w:rsidR="00AD104B">
        <w:rPr>
          <w:lang w:val="en-US"/>
        </w:rPr>
        <w:tab/>
      </w:r>
      <w:r w:rsidR="00AD104B">
        <w:rPr>
          <w:lang w:val="en-US"/>
        </w:rPr>
        <w:tab/>
      </w:r>
      <w:r w:rsidR="00AD104B">
        <w:rPr>
          <w:lang w:val="en-US"/>
        </w:rPr>
        <w:tab/>
      </w:r>
      <w:r w:rsidR="00AD104B">
        <w:rPr>
          <w:lang w:val="en-US"/>
        </w:rPr>
        <w:tab/>
      </w:r>
      <w:r w:rsidR="00AD104B">
        <w:rPr>
          <w:lang w:val="en-US"/>
        </w:rPr>
        <w:tab/>
      </w:r>
      <w:r w:rsidR="00AD104B">
        <w:rPr>
          <w:lang w:val="en-US"/>
        </w:rPr>
        <w:tab/>
      </w:r>
      <w:r w:rsidR="00AD104B">
        <w:rPr>
          <w:lang w:val="en-US"/>
        </w:rPr>
        <w:tab/>
      </w:r>
      <w:r w:rsidR="002919C1">
        <w:rPr>
          <w:lang w:val="en-US"/>
        </w:rPr>
        <w:tab/>
      </w:r>
      <w:r w:rsidR="00AD104B">
        <w:rPr>
          <w:lang w:val="en-US"/>
        </w:rPr>
        <w:t>(2)</w:t>
      </w:r>
    </w:p>
    <w:p w:rsidR="00E346D8" w:rsidRPr="00935E41" w:rsidRDefault="00E346D8" w:rsidP="000F0718">
      <w:pPr>
        <w:pStyle w:val="Web"/>
        <w:numPr>
          <w:ilvl w:val="0"/>
          <w:numId w:val="2"/>
        </w:numPr>
        <w:shd w:val="clear" w:color="auto" w:fill="FFFFFF"/>
        <w:spacing w:before="0" w:beforeAutospacing="0" w:after="0" w:afterAutospacing="0" w:line="360" w:lineRule="auto"/>
        <w:ind w:left="0" w:firstLine="0"/>
        <w:jc w:val="both"/>
        <w:rPr>
          <w:lang w:val="en-US"/>
        </w:rPr>
      </w:pPr>
      <w:r w:rsidRPr="00935E41">
        <w:rPr>
          <w:lang w:val="en-US"/>
        </w:rPr>
        <w:t>VaR(H,c)</w:t>
      </w:r>
      <w:r w:rsidR="00935E41">
        <w:rPr>
          <w:lang w:val="en-US"/>
        </w:rPr>
        <w:t xml:space="preserve"> </w:t>
      </w:r>
      <w:r w:rsidRPr="00935E41">
        <w:rPr>
          <w:lang w:val="en-US"/>
        </w:rPr>
        <w:t>=</w:t>
      </w:r>
      <w:r w:rsidR="00935E41">
        <w:rPr>
          <w:lang w:val="en-US"/>
        </w:rPr>
        <w:t xml:space="preserve"> </w:t>
      </w:r>
      <w:r w:rsidRPr="00935E41">
        <w:rPr>
          <w:lang w:val="en-US"/>
        </w:rPr>
        <w:t>E(V)-V</w:t>
      </w:r>
      <w:r w:rsidRPr="00935E41">
        <w:rPr>
          <w:vertAlign w:val="superscript"/>
          <w:lang w:val="en-US"/>
        </w:rPr>
        <w:t>*</w:t>
      </w:r>
      <w:r w:rsidR="00935E41">
        <w:rPr>
          <w:vertAlign w:val="superscript"/>
          <w:lang w:val="en-US"/>
        </w:rPr>
        <w:t xml:space="preserve"> </w:t>
      </w:r>
      <w:r w:rsidRPr="00935E41">
        <w:rPr>
          <w:lang w:val="en-US"/>
        </w:rPr>
        <w:t>=</w:t>
      </w:r>
      <w:r w:rsidR="00935E41">
        <w:rPr>
          <w:lang w:val="en-US"/>
        </w:rPr>
        <w:t xml:space="preserve"> </w:t>
      </w:r>
      <w:r w:rsidRPr="00935E41">
        <w:rPr>
          <w:lang w:val="en-US"/>
        </w:rPr>
        <w:t>V(1+</w:t>
      </w:r>
      <w:r w:rsidRPr="00935E41">
        <w:t>μ</w:t>
      </w:r>
      <w:r w:rsidRPr="00935E41">
        <w:rPr>
          <w:lang w:val="en-US"/>
        </w:rPr>
        <w:t>)-V(1+R</w:t>
      </w:r>
      <w:r w:rsidRPr="00935E41">
        <w:rPr>
          <w:vertAlign w:val="superscript"/>
          <w:lang w:val="en-US"/>
        </w:rPr>
        <w:t>*</w:t>
      </w:r>
      <w:r w:rsidR="00935E41">
        <w:rPr>
          <w:lang w:val="en-US"/>
        </w:rPr>
        <w:t xml:space="preserve">) </w:t>
      </w:r>
      <w:r w:rsidRPr="00935E41">
        <w:rPr>
          <w:lang w:val="en-US"/>
        </w:rPr>
        <w:t>=</w:t>
      </w:r>
      <w:r w:rsidR="00935E41">
        <w:rPr>
          <w:lang w:val="en-US"/>
        </w:rPr>
        <w:t xml:space="preserve"> </w:t>
      </w:r>
      <w:r w:rsidRPr="00935E41">
        <w:rPr>
          <w:lang w:val="en-US"/>
        </w:rPr>
        <w:t>V(</w:t>
      </w:r>
      <w:r w:rsidRPr="00935E41">
        <w:t>μ</w:t>
      </w:r>
      <w:r w:rsidRPr="00935E41">
        <w:rPr>
          <w:lang w:val="en-US"/>
        </w:rPr>
        <w:t>-R</w:t>
      </w:r>
      <w:r w:rsidRPr="00935E41">
        <w:rPr>
          <w:vertAlign w:val="superscript"/>
          <w:lang w:val="en-US"/>
        </w:rPr>
        <w:t>*</w:t>
      </w:r>
      <w:r w:rsidRPr="00935E41">
        <w:rPr>
          <w:lang w:val="en-US"/>
        </w:rPr>
        <w:t>)</w:t>
      </w:r>
      <w:r w:rsidR="002919C1">
        <w:rPr>
          <w:lang w:val="en-US"/>
        </w:rPr>
        <w:tab/>
      </w:r>
      <w:r w:rsidR="002919C1">
        <w:rPr>
          <w:lang w:val="en-US"/>
        </w:rPr>
        <w:tab/>
      </w:r>
      <w:r w:rsidR="002919C1">
        <w:rPr>
          <w:lang w:val="en-US"/>
        </w:rPr>
        <w:tab/>
      </w:r>
      <w:r w:rsidR="002919C1">
        <w:rPr>
          <w:lang w:val="en-US"/>
        </w:rPr>
        <w:tab/>
        <w:t>(3)</w:t>
      </w:r>
    </w:p>
    <w:p w:rsidR="00E346D8" w:rsidRPr="00935E41" w:rsidRDefault="00935E41" w:rsidP="000F0718">
      <w:pPr>
        <w:pStyle w:val="Web"/>
        <w:numPr>
          <w:ilvl w:val="0"/>
          <w:numId w:val="2"/>
        </w:numPr>
        <w:shd w:val="clear" w:color="auto" w:fill="FFFFFF"/>
        <w:tabs>
          <w:tab w:val="num" w:pos="-284"/>
        </w:tabs>
        <w:spacing w:before="0" w:beforeAutospacing="0" w:after="0" w:afterAutospacing="0" w:line="360" w:lineRule="auto"/>
        <w:ind w:left="0" w:firstLine="0"/>
        <w:jc w:val="both"/>
      </w:pPr>
      <w:r>
        <w:rPr>
          <w:lang w:val="en-US"/>
        </w:rPr>
        <w:t>If</w:t>
      </w:r>
      <w:r w:rsidR="00E346D8" w:rsidRPr="00935E41">
        <w:rPr>
          <w:lang w:val="en-US"/>
        </w:rPr>
        <w:t xml:space="preserve"> R </w:t>
      </w:r>
      <w:r>
        <w:rPr>
          <w:lang w:val="en-US"/>
        </w:rPr>
        <w:t xml:space="preserve">and </w:t>
      </w:r>
      <w:r w:rsidR="00E346D8" w:rsidRPr="00935E41">
        <w:rPr>
          <w:lang w:val="en-US"/>
        </w:rPr>
        <w:t>N(</w:t>
      </w:r>
      <w:r w:rsidR="00E346D8" w:rsidRPr="00935E41">
        <w:t>μ, σ</w:t>
      </w:r>
      <w:r w:rsidR="00E346D8" w:rsidRPr="00935E41">
        <w:rPr>
          <w:vertAlign w:val="superscript"/>
        </w:rPr>
        <w:t>2</w:t>
      </w:r>
      <w:r w:rsidR="00E346D8" w:rsidRPr="00935E41">
        <w:t>)</w:t>
      </w:r>
    </w:p>
    <w:p w:rsidR="00E346D8" w:rsidRPr="00935E41" w:rsidRDefault="00E346D8" w:rsidP="000F0718">
      <w:pPr>
        <w:pStyle w:val="Web"/>
        <w:numPr>
          <w:ilvl w:val="0"/>
          <w:numId w:val="2"/>
        </w:numPr>
        <w:shd w:val="clear" w:color="auto" w:fill="FFFFFF"/>
        <w:tabs>
          <w:tab w:val="clear" w:pos="360"/>
          <w:tab w:val="num" w:pos="-142"/>
        </w:tabs>
        <w:spacing w:before="0" w:beforeAutospacing="0" w:after="0" w:afterAutospacing="0" w:line="360" w:lineRule="auto"/>
        <w:ind w:left="0" w:firstLine="0"/>
        <w:jc w:val="both"/>
      </w:pPr>
      <w:r w:rsidRPr="00935E41">
        <w:t>Ζ</w:t>
      </w:r>
      <w:r w:rsidR="00935E41">
        <w:rPr>
          <w:lang w:val="en-US"/>
        </w:rPr>
        <w:t xml:space="preserve"> </w:t>
      </w:r>
      <w:r w:rsidRPr="00935E41">
        <w:t>=</w:t>
      </w:r>
      <w:r w:rsidR="00935E41">
        <w:rPr>
          <w:lang w:val="en-US"/>
        </w:rPr>
        <w:t xml:space="preserve"> </w:t>
      </w:r>
      <w:r w:rsidRPr="00935E41">
        <w:t>(</w:t>
      </w:r>
      <w:r w:rsidRPr="00935E41">
        <w:rPr>
          <w:lang w:val="en-US"/>
        </w:rPr>
        <w:t>R</w:t>
      </w:r>
      <w:r w:rsidRPr="00935E41">
        <w:t xml:space="preserve">-μ)/σ </w:t>
      </w:r>
      <w:r w:rsidR="00935E41">
        <w:rPr>
          <w:lang w:val="en-US"/>
        </w:rPr>
        <w:t xml:space="preserve">for </w:t>
      </w:r>
      <w:r w:rsidRPr="00935E41">
        <w:t>Ν(0,1)</w:t>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t>(4)</w:t>
      </w:r>
    </w:p>
    <w:p w:rsidR="00E346D8" w:rsidRPr="00935E41" w:rsidRDefault="00E346D8" w:rsidP="000F0718">
      <w:pPr>
        <w:pStyle w:val="Web"/>
        <w:numPr>
          <w:ilvl w:val="0"/>
          <w:numId w:val="2"/>
        </w:numPr>
        <w:shd w:val="clear" w:color="auto" w:fill="FFFFFF"/>
        <w:tabs>
          <w:tab w:val="clear" w:pos="360"/>
          <w:tab w:val="num" w:pos="-142"/>
        </w:tabs>
        <w:spacing w:before="0" w:beforeAutospacing="0" w:after="0" w:afterAutospacing="0" w:line="360" w:lineRule="auto"/>
        <w:ind w:left="0" w:firstLine="0"/>
        <w:jc w:val="both"/>
      </w:pPr>
      <w:r w:rsidRPr="00935E41">
        <w:rPr>
          <w:lang w:val="en-US"/>
        </w:rPr>
        <w:t>R</w:t>
      </w:r>
      <w:r w:rsidR="00935E41">
        <w:rPr>
          <w:lang w:val="en-US"/>
        </w:rPr>
        <w:t xml:space="preserve"> </w:t>
      </w:r>
      <w:r w:rsidRPr="00935E41">
        <w:rPr>
          <w:lang w:val="en-US"/>
        </w:rPr>
        <w:t>=</w:t>
      </w:r>
      <w:r w:rsidR="00935E41">
        <w:rPr>
          <w:lang w:val="en-US"/>
        </w:rPr>
        <w:t xml:space="preserve"> </w:t>
      </w:r>
      <w:r w:rsidRPr="00935E41">
        <w:t xml:space="preserve">σΖ+μ </w:t>
      </w:r>
      <w:r w:rsidR="00935E4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t>(5)</w:t>
      </w:r>
    </w:p>
    <w:p w:rsidR="00E346D8" w:rsidRPr="00935E41" w:rsidRDefault="00E346D8" w:rsidP="000F0718">
      <w:pPr>
        <w:pStyle w:val="Web"/>
        <w:numPr>
          <w:ilvl w:val="0"/>
          <w:numId w:val="2"/>
        </w:numPr>
        <w:shd w:val="clear" w:color="auto" w:fill="FFFFFF"/>
        <w:tabs>
          <w:tab w:val="clear" w:pos="360"/>
          <w:tab w:val="num" w:pos="-142"/>
        </w:tabs>
        <w:spacing w:before="0" w:beforeAutospacing="0" w:after="0" w:afterAutospacing="0" w:line="360" w:lineRule="auto"/>
        <w:ind w:left="0" w:firstLine="0"/>
        <w:jc w:val="both"/>
      </w:pPr>
      <w:r w:rsidRPr="00935E41">
        <w:rPr>
          <w:lang w:val="en-US"/>
        </w:rPr>
        <w:t>Prob</w:t>
      </w:r>
      <w:r w:rsidRPr="00935E41">
        <w:t xml:space="preserve"> (</w:t>
      </w:r>
      <w:r w:rsidRPr="00935E41">
        <w:rPr>
          <w:lang w:val="en-US"/>
        </w:rPr>
        <w:t>R</w:t>
      </w:r>
      <w:r w:rsidRPr="00935E41">
        <w:t>&lt;</w:t>
      </w:r>
      <w:r w:rsidRPr="00935E41">
        <w:rPr>
          <w:lang w:val="en-US"/>
        </w:rPr>
        <w:t>R</w:t>
      </w:r>
      <w:r w:rsidRPr="00935E41">
        <w:rPr>
          <w:vertAlign w:val="superscript"/>
        </w:rPr>
        <w:t>*</w:t>
      </w:r>
      <w:r w:rsidRPr="00935E41">
        <w:t>)</w:t>
      </w:r>
      <w:r w:rsidR="00935E41" w:rsidRPr="00935E41">
        <w:t xml:space="preserve"> </w:t>
      </w:r>
      <w:r w:rsidRPr="00935E41">
        <w:t>=</w:t>
      </w:r>
      <w:r w:rsidR="00935E41" w:rsidRPr="00935E41">
        <w:t xml:space="preserve"> </w:t>
      </w:r>
      <w:r w:rsidRPr="00935E41">
        <w:rPr>
          <w:lang w:val="en-US"/>
        </w:rPr>
        <w:t>Prob</w:t>
      </w:r>
      <w:r w:rsidRPr="00935E41">
        <w:t xml:space="preserve">(σΖ+μ&lt; </w:t>
      </w:r>
      <w:r w:rsidRPr="00935E41">
        <w:rPr>
          <w:lang w:val="en-US"/>
        </w:rPr>
        <w:t>R</w:t>
      </w:r>
      <w:r w:rsidRPr="00935E41">
        <w:rPr>
          <w:vertAlign w:val="superscript"/>
        </w:rPr>
        <w:t>*</w:t>
      </w:r>
      <w:r w:rsidRPr="00935E41">
        <w:t>)</w:t>
      </w:r>
      <w:r w:rsidR="00935E41" w:rsidRPr="00935E41">
        <w:t xml:space="preserve"> </w:t>
      </w:r>
      <w:r w:rsidRPr="00935E41">
        <w:t xml:space="preserve">= </w:t>
      </w:r>
      <w:r w:rsidRPr="00935E41">
        <w:rPr>
          <w:lang w:val="en-US"/>
        </w:rPr>
        <w:t>Prob</w:t>
      </w:r>
      <w:r w:rsidRPr="00935E41">
        <w:t>(Ζ&lt; (</w:t>
      </w:r>
      <w:r w:rsidRPr="00935E41">
        <w:rPr>
          <w:lang w:val="en-US"/>
        </w:rPr>
        <w:t>R</w:t>
      </w:r>
      <w:r w:rsidRPr="00935E41">
        <w:t>*-μ)/σ)</w:t>
      </w:r>
      <w:r w:rsidR="00935E41" w:rsidRPr="00935E41">
        <w:t xml:space="preserve"> </w:t>
      </w:r>
      <w:r w:rsidRPr="00935E41">
        <w:t>=</w:t>
      </w:r>
      <w:r w:rsidR="00935E41" w:rsidRPr="00AD104B">
        <w:t xml:space="preserve"> </w:t>
      </w:r>
      <w:r w:rsidRPr="00935E41">
        <w:t>1-</w:t>
      </w:r>
      <w:r w:rsidRPr="00935E41">
        <w:rPr>
          <w:lang w:val="en-US"/>
        </w:rPr>
        <w:t>c</w:t>
      </w:r>
      <w:r w:rsidR="002919C1" w:rsidRPr="002919C1">
        <w:t xml:space="preserve"> </w:t>
      </w:r>
      <w:r w:rsidRPr="00935E41">
        <w:t xml:space="preserve">= </w:t>
      </w:r>
      <w:r w:rsidRPr="00935E41">
        <w:rPr>
          <w:lang w:val="en-US"/>
        </w:rPr>
        <w:t>N</w:t>
      </w:r>
      <w:r w:rsidRPr="00935E41">
        <w:t>[(</w:t>
      </w:r>
      <w:r w:rsidRPr="00935E41">
        <w:rPr>
          <w:lang w:val="en-US"/>
        </w:rPr>
        <w:t>R</w:t>
      </w:r>
      <w:r w:rsidRPr="00935E41">
        <w:t>*-μ)/σ]</w:t>
      </w:r>
      <w:r w:rsidR="002919C1" w:rsidRPr="002919C1">
        <w:t xml:space="preserve"> (6)</w:t>
      </w:r>
    </w:p>
    <w:p w:rsidR="00E346D8" w:rsidRPr="00935E41" w:rsidRDefault="00E346D8" w:rsidP="000F0718">
      <w:pPr>
        <w:pStyle w:val="Web"/>
        <w:numPr>
          <w:ilvl w:val="0"/>
          <w:numId w:val="2"/>
        </w:numPr>
        <w:shd w:val="clear" w:color="auto" w:fill="FFFFFF"/>
        <w:tabs>
          <w:tab w:val="clear" w:pos="360"/>
          <w:tab w:val="num" w:pos="-142"/>
        </w:tabs>
        <w:spacing w:before="0" w:beforeAutospacing="0" w:after="0" w:afterAutospacing="0" w:line="360" w:lineRule="auto"/>
        <w:ind w:left="0" w:firstLine="0"/>
        <w:jc w:val="both"/>
      </w:pPr>
      <w:r w:rsidRPr="00935E41">
        <w:rPr>
          <w:lang w:val="en-US"/>
        </w:rPr>
        <w:t>N[(R*-</w:t>
      </w:r>
      <w:r w:rsidRPr="00935E41">
        <w:t>μ)/σ</w:t>
      </w:r>
      <w:r w:rsidRPr="00935E41">
        <w:rPr>
          <w:lang w:val="en-US"/>
        </w:rPr>
        <w:t>]=N(a)</w:t>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t>(7)</w:t>
      </w:r>
    </w:p>
    <w:p w:rsidR="00E346D8" w:rsidRPr="00935E41" w:rsidRDefault="00E346D8" w:rsidP="000F0718">
      <w:pPr>
        <w:pStyle w:val="Web"/>
        <w:numPr>
          <w:ilvl w:val="0"/>
          <w:numId w:val="2"/>
        </w:numPr>
        <w:shd w:val="clear" w:color="auto" w:fill="FFFFFF"/>
        <w:tabs>
          <w:tab w:val="clear" w:pos="360"/>
          <w:tab w:val="num" w:pos="-142"/>
        </w:tabs>
        <w:spacing w:before="0" w:beforeAutospacing="0" w:after="0" w:afterAutospacing="0" w:line="360" w:lineRule="auto"/>
        <w:ind w:left="0" w:firstLine="0"/>
        <w:jc w:val="both"/>
      </w:pPr>
      <w:r w:rsidRPr="00935E41">
        <w:rPr>
          <w:lang w:val="en-US"/>
        </w:rPr>
        <w:t>a= (R*-</w:t>
      </w:r>
      <w:r w:rsidRPr="00935E41">
        <w:t>μ)/σ</w:t>
      </w:r>
      <w:r w:rsidR="00AD104B">
        <w:rPr>
          <w:lang w:val="en-US"/>
        </w:rPr>
        <w:t xml:space="preserve"> </w:t>
      </w:r>
      <w:r w:rsidR="00AD104B">
        <w:rPr>
          <w:lang w:val="en-US"/>
        </w:rPr>
        <w:tab/>
        <w:t xml:space="preserve"> </w:t>
      </w:r>
      <w:r w:rsidRPr="00935E41">
        <w:rPr>
          <w:lang w:val="en-US"/>
        </w:rPr>
        <w:t>R</w:t>
      </w:r>
      <w:r w:rsidRPr="00935E41">
        <w:rPr>
          <w:vertAlign w:val="superscript"/>
          <w:lang w:val="en-US"/>
        </w:rPr>
        <w:t>*</w:t>
      </w:r>
      <w:r w:rsidRPr="00935E41">
        <w:rPr>
          <w:lang w:val="en-US"/>
        </w:rPr>
        <w:t>=</w:t>
      </w:r>
      <w:r w:rsidRPr="00935E41">
        <w:t>μ+</w:t>
      </w:r>
      <w:r w:rsidRPr="00935E41">
        <w:rPr>
          <w:lang w:val="en-US"/>
        </w:rPr>
        <w:t>a</w:t>
      </w:r>
      <w:r w:rsidRPr="00935E41">
        <w:t>σ</w:t>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t>(8)</w:t>
      </w:r>
    </w:p>
    <w:p w:rsidR="00E346D8" w:rsidRPr="00935E41" w:rsidRDefault="00E346D8" w:rsidP="000F0718">
      <w:pPr>
        <w:pStyle w:val="Web"/>
        <w:numPr>
          <w:ilvl w:val="0"/>
          <w:numId w:val="2"/>
        </w:numPr>
        <w:shd w:val="clear" w:color="auto" w:fill="FFFFFF"/>
        <w:tabs>
          <w:tab w:val="clear" w:pos="360"/>
          <w:tab w:val="num" w:pos="-142"/>
        </w:tabs>
        <w:spacing w:before="0" w:beforeAutospacing="0" w:after="0" w:afterAutospacing="0" w:line="360" w:lineRule="auto"/>
        <w:ind w:left="0" w:firstLine="0"/>
        <w:jc w:val="both"/>
      </w:pPr>
      <w:r w:rsidRPr="00935E41">
        <w:rPr>
          <w:lang w:val="en-US"/>
        </w:rPr>
        <w:t>VaR(H, c)</w:t>
      </w:r>
      <w:r w:rsidR="00AD104B">
        <w:rPr>
          <w:lang w:val="en-US"/>
        </w:rPr>
        <w:t xml:space="preserve"> </w:t>
      </w:r>
      <w:r w:rsidRPr="00935E41">
        <w:rPr>
          <w:lang w:val="en-US"/>
        </w:rPr>
        <w:t>= -a</w:t>
      </w:r>
      <w:r w:rsidRPr="00935E41">
        <w:t>σ</w:t>
      </w:r>
      <w:r w:rsidRPr="00935E41">
        <w:rPr>
          <w:lang w:val="en-US"/>
        </w:rPr>
        <w:t>V</w:t>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r>
      <w:r w:rsidR="002919C1">
        <w:rPr>
          <w:lang w:val="en-US"/>
        </w:rPr>
        <w:tab/>
        <w:t>(9)</w:t>
      </w:r>
    </w:p>
    <w:p w:rsidR="000F0718" w:rsidRDefault="000F0718" w:rsidP="007D1334">
      <w:pPr>
        <w:pStyle w:val="Web"/>
        <w:shd w:val="clear" w:color="auto" w:fill="FFFFFF"/>
        <w:spacing w:before="0" w:beforeAutospacing="0" w:after="0" w:afterAutospacing="0" w:line="276" w:lineRule="auto"/>
        <w:jc w:val="both"/>
        <w:rPr>
          <w:lang w:val="en-US"/>
        </w:rPr>
      </w:pPr>
    </w:p>
    <w:p w:rsidR="0028102F" w:rsidRDefault="0028102F" w:rsidP="007D1334">
      <w:pPr>
        <w:pStyle w:val="Web"/>
        <w:shd w:val="clear" w:color="auto" w:fill="FFFFFF"/>
        <w:spacing w:before="0" w:beforeAutospacing="0" w:after="0" w:afterAutospacing="0" w:line="276" w:lineRule="auto"/>
        <w:jc w:val="both"/>
        <w:rPr>
          <w:lang w:val="en-US"/>
        </w:rPr>
      </w:pPr>
      <w:r w:rsidRPr="0028102F">
        <w:rPr>
          <w:lang w:val="en-US"/>
        </w:rPr>
        <w:t>According to Tsay (2005), at time t and for probability p, the VaR of L subsequent seasons is defined as</w:t>
      </w:r>
      <w:r w:rsidR="000F0718">
        <w:rPr>
          <w:lang w:val="en-US"/>
        </w:rPr>
        <w:t>:</w:t>
      </w:r>
      <w:r>
        <w:rPr>
          <w:lang w:val="en-US"/>
        </w:rPr>
        <w:t xml:space="preserve"> </w:t>
      </w:r>
    </w:p>
    <w:p w:rsidR="0028102F" w:rsidRPr="007D1334" w:rsidRDefault="0028102F" w:rsidP="000F0718">
      <w:pPr>
        <w:pStyle w:val="Web"/>
        <w:shd w:val="clear" w:color="auto" w:fill="FFFFFF"/>
        <w:spacing w:before="0" w:beforeAutospacing="0" w:after="0" w:afterAutospacing="0" w:line="360" w:lineRule="auto"/>
        <w:jc w:val="both"/>
        <w:rPr>
          <w:lang w:val="en-US"/>
        </w:rPr>
      </w:pPr>
      <w:r w:rsidRPr="007D1334">
        <w:rPr>
          <w:lang w:val="en-US"/>
        </w:rPr>
        <w:t>p = Pr [</w:t>
      </w:r>
      <w:r w:rsidRPr="007D1334">
        <w:t>Δ</w:t>
      </w:r>
      <w:r w:rsidRPr="007D1334">
        <w:rPr>
          <w:lang w:val="en-US"/>
        </w:rPr>
        <w:t xml:space="preserve">V(L) ≤ VaR] = </w:t>
      </w:r>
      <w:r w:rsidRPr="007D1334">
        <w:rPr>
          <w:rFonts w:ascii="Cambria Math" w:hAnsi="Cambria Math"/>
        </w:rPr>
        <w:t>𝐹𝐿</w:t>
      </w:r>
      <w:r w:rsidRPr="007D1334">
        <w:rPr>
          <w:lang w:val="en-US"/>
        </w:rPr>
        <w:t>(VaR)</w:t>
      </w:r>
      <w:r w:rsidR="007D1334" w:rsidRPr="007D1334">
        <w:rPr>
          <w:lang w:val="en-US"/>
        </w:rPr>
        <w:tab/>
      </w:r>
      <w:r w:rsidR="007D1334" w:rsidRPr="007D1334">
        <w:rPr>
          <w:lang w:val="en-US"/>
        </w:rPr>
        <w:tab/>
      </w:r>
      <w:r w:rsidR="007D1334" w:rsidRPr="007D1334">
        <w:rPr>
          <w:lang w:val="en-US"/>
        </w:rPr>
        <w:tab/>
      </w:r>
      <w:r w:rsidR="007D1334" w:rsidRPr="007D1334">
        <w:rPr>
          <w:lang w:val="en-US"/>
        </w:rPr>
        <w:tab/>
      </w:r>
      <w:r w:rsidR="007D1334" w:rsidRPr="007D1334">
        <w:rPr>
          <w:lang w:val="en-US"/>
        </w:rPr>
        <w:tab/>
      </w:r>
      <w:r w:rsidR="007D1334">
        <w:rPr>
          <w:lang w:val="en-US"/>
        </w:rPr>
        <w:tab/>
        <w:t xml:space="preserve">           (10)</w:t>
      </w:r>
    </w:p>
    <w:p w:rsidR="007D1334" w:rsidRDefault="007D1334" w:rsidP="000F0718">
      <w:pPr>
        <w:pStyle w:val="Web"/>
        <w:shd w:val="clear" w:color="auto" w:fill="FFFFFF"/>
        <w:spacing w:before="0" w:beforeAutospacing="0" w:after="0" w:afterAutospacing="0" w:line="360" w:lineRule="auto"/>
        <w:jc w:val="both"/>
        <w:rPr>
          <w:lang w:val="en-US"/>
        </w:rPr>
      </w:pPr>
      <w:r>
        <w:rPr>
          <w:lang w:val="en-US"/>
        </w:rPr>
        <w:t>Where:</w:t>
      </w:r>
    </w:p>
    <w:p w:rsidR="007D1334" w:rsidRPr="007D1334" w:rsidRDefault="007D1334" w:rsidP="000F0718">
      <w:pPr>
        <w:pStyle w:val="Web"/>
        <w:shd w:val="clear" w:color="auto" w:fill="FFFFFF"/>
        <w:spacing w:before="0" w:beforeAutospacing="0" w:after="0" w:afterAutospacing="0" w:line="360" w:lineRule="auto"/>
        <w:jc w:val="both"/>
        <w:rPr>
          <w:lang w:val="en-US"/>
        </w:rPr>
      </w:pPr>
      <w:r w:rsidRPr="007D1334">
        <w:rPr>
          <w:lang w:val="en-US"/>
        </w:rPr>
        <w:t>ΔV (L) = the change in the value of an asset for the period t to t + L</w:t>
      </w:r>
    </w:p>
    <w:p w:rsidR="007D1334" w:rsidRDefault="007D1334" w:rsidP="000F0718">
      <w:pPr>
        <w:pStyle w:val="Web"/>
        <w:shd w:val="clear" w:color="auto" w:fill="FFFFFF"/>
        <w:spacing w:before="0" w:beforeAutospacing="0" w:after="0" w:afterAutospacing="0" w:line="360" w:lineRule="auto"/>
        <w:jc w:val="both"/>
        <w:rPr>
          <w:lang w:val="en-US"/>
        </w:rPr>
      </w:pPr>
      <w:r w:rsidRPr="007D1334">
        <w:rPr>
          <w:lang w:val="en-US"/>
        </w:rPr>
        <w:t>FL = the cumulative distribution function of ΔV (L)</w:t>
      </w:r>
      <w:r>
        <w:rPr>
          <w:lang w:val="en-US"/>
        </w:rPr>
        <w:t>.</w:t>
      </w:r>
    </w:p>
    <w:p w:rsidR="00347CA8" w:rsidRDefault="00347CA8" w:rsidP="007D1334">
      <w:pPr>
        <w:pStyle w:val="Web"/>
        <w:shd w:val="clear" w:color="auto" w:fill="FFFFFF"/>
        <w:spacing w:before="0" w:beforeAutospacing="0" w:after="0" w:afterAutospacing="0" w:line="276" w:lineRule="auto"/>
        <w:jc w:val="both"/>
        <w:rPr>
          <w:lang w:val="en-US"/>
        </w:rPr>
      </w:pPr>
      <w:r w:rsidRPr="00347CA8">
        <w:rPr>
          <w:lang w:val="en-US"/>
        </w:rPr>
        <w:t xml:space="preserve">The VaR of a portfolio is a function of two parameters: the holding period and the confidence level. </w:t>
      </w:r>
      <w:r>
        <w:rPr>
          <w:lang w:val="en-US"/>
        </w:rPr>
        <w:t>According to Reuse</w:t>
      </w:r>
      <w:r w:rsidRPr="00347CA8">
        <w:rPr>
          <w:lang w:val="en-US"/>
        </w:rPr>
        <w:t xml:space="preserve"> 2010, in general, it can be reported that VaR will increase if the holding period becomes longer and the level of confidence becomes higher.</w:t>
      </w:r>
    </w:p>
    <w:p w:rsidR="007D1334" w:rsidRPr="007D1334" w:rsidRDefault="007D1334" w:rsidP="007D1334">
      <w:pPr>
        <w:pStyle w:val="Web"/>
        <w:shd w:val="clear" w:color="auto" w:fill="FFFFFF"/>
        <w:spacing w:before="0" w:beforeAutospacing="0" w:after="0" w:afterAutospacing="0" w:line="276" w:lineRule="auto"/>
        <w:jc w:val="both"/>
        <w:rPr>
          <w:lang w:val="en-US"/>
        </w:rPr>
      </w:pPr>
      <w:r w:rsidRPr="007D1334">
        <w:rPr>
          <w:lang w:val="en-US"/>
        </w:rPr>
        <w:t>The probability of damage greater than VaR is shown in Figure 1 below as the area below the curve and to the left of VaR, that is, if cl is the selected confidence level, VaR refers to the 1-cl confidence level on the left side of the distribution (Corkalo, 2011).</w:t>
      </w:r>
    </w:p>
    <w:p w:rsidR="007D1334" w:rsidRDefault="007D1334" w:rsidP="007D1334">
      <w:pPr>
        <w:pStyle w:val="Web"/>
        <w:shd w:val="clear" w:color="auto" w:fill="FFFFFF"/>
        <w:spacing w:before="0" w:beforeAutospacing="0" w:after="0" w:afterAutospacing="0" w:line="276" w:lineRule="auto"/>
        <w:jc w:val="both"/>
        <w:rPr>
          <w:lang w:val="en-US"/>
        </w:rPr>
      </w:pPr>
      <w:r w:rsidRPr="007D1334">
        <w:rPr>
          <w:lang w:val="en-US"/>
        </w:rPr>
        <w:t>This area is 5% of the total area under the curve. Thus, there is a 95% probability of damage not exceeding VaR.</w:t>
      </w:r>
      <w:r w:rsidR="00DC42DD">
        <w:rPr>
          <w:lang w:val="en-US"/>
        </w:rPr>
        <w:t xml:space="preserve"> </w:t>
      </w:r>
      <w:r w:rsidR="00DC42DD" w:rsidRPr="00DC42DD">
        <w:rPr>
          <w:lang w:val="en-US"/>
        </w:rPr>
        <w:t>VaR models assume that the portfolio composition does not change during the holding period. This hypothesis advocates the use of short retention periods, because the composition of portfolios is capable of changing frequently. Regarding the level of confidence, there are some commonly used levels of confidence, which are 95% and 99%.</w:t>
      </w:r>
    </w:p>
    <w:p w:rsidR="000F0718" w:rsidRDefault="000F0718" w:rsidP="007D1334">
      <w:pPr>
        <w:pStyle w:val="Web"/>
        <w:shd w:val="clear" w:color="auto" w:fill="FFFFFF"/>
        <w:spacing w:before="0" w:beforeAutospacing="0" w:after="0" w:afterAutospacing="0" w:line="276" w:lineRule="auto"/>
        <w:jc w:val="both"/>
        <w:rPr>
          <w:lang w:val="en-US"/>
        </w:rPr>
      </w:pPr>
    </w:p>
    <w:p w:rsidR="000F0718" w:rsidRDefault="000F0718" w:rsidP="007D1334">
      <w:pPr>
        <w:pStyle w:val="Web"/>
        <w:shd w:val="clear" w:color="auto" w:fill="FFFFFF"/>
        <w:spacing w:before="0" w:beforeAutospacing="0" w:after="0" w:afterAutospacing="0" w:line="276" w:lineRule="auto"/>
        <w:jc w:val="both"/>
        <w:rPr>
          <w:lang w:val="en-US"/>
        </w:rPr>
      </w:pPr>
    </w:p>
    <w:p w:rsidR="007D1334" w:rsidRPr="005763D6" w:rsidRDefault="005763D6" w:rsidP="005763D6">
      <w:pPr>
        <w:pStyle w:val="Web"/>
        <w:shd w:val="clear" w:color="auto" w:fill="FFFFFF"/>
        <w:spacing w:before="0" w:beforeAutospacing="0" w:after="0" w:afterAutospacing="0" w:line="276" w:lineRule="auto"/>
        <w:jc w:val="center"/>
        <w:rPr>
          <w:b/>
          <w:lang w:val="en-US"/>
        </w:rPr>
      </w:pPr>
      <w:r w:rsidRPr="005763D6">
        <w:rPr>
          <w:b/>
          <w:lang w:val="en-US"/>
        </w:rPr>
        <w:lastRenderedPageBreak/>
        <w:t>Figure 1: A Diagram of VaR</w:t>
      </w:r>
    </w:p>
    <w:p w:rsidR="007D1334" w:rsidRDefault="005763D6" w:rsidP="00935E41">
      <w:pPr>
        <w:pStyle w:val="Web"/>
        <w:shd w:val="clear" w:color="auto" w:fill="FFFFFF"/>
        <w:spacing w:before="0" w:beforeAutospacing="0" w:after="0" w:afterAutospacing="0" w:line="276" w:lineRule="auto"/>
        <w:jc w:val="both"/>
        <w:rPr>
          <w:lang w:val="en-US"/>
        </w:rPr>
      </w:pPr>
      <w:r w:rsidRPr="005763D6">
        <w:rPr>
          <w:noProof/>
        </w:rPr>
        <w:drawing>
          <wp:inline distT="0" distB="0" distL="0" distR="0">
            <wp:extent cx="5067300" cy="3886200"/>
            <wp:effectExtent l="19050" t="19050" r="19050" b="1905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067300" cy="3886200"/>
                    </a:xfrm>
                    <a:prstGeom prst="rect">
                      <a:avLst/>
                    </a:prstGeom>
                    <a:noFill/>
                    <a:ln w="9525">
                      <a:solidFill>
                        <a:schemeClr val="tx1"/>
                      </a:solidFill>
                      <a:miter lim="800000"/>
                      <a:headEnd/>
                      <a:tailEnd/>
                    </a:ln>
                  </pic:spPr>
                </pic:pic>
              </a:graphicData>
            </a:graphic>
          </wp:inline>
        </w:drawing>
      </w:r>
    </w:p>
    <w:p w:rsidR="007D1334" w:rsidRPr="005763D6" w:rsidRDefault="005763D6" w:rsidP="00935E41">
      <w:pPr>
        <w:pStyle w:val="Web"/>
        <w:shd w:val="clear" w:color="auto" w:fill="FFFFFF"/>
        <w:spacing w:before="0" w:beforeAutospacing="0" w:after="0" w:afterAutospacing="0" w:line="276" w:lineRule="auto"/>
        <w:jc w:val="both"/>
        <w:rPr>
          <w:sz w:val="20"/>
          <w:szCs w:val="20"/>
          <w:lang w:val="en-US"/>
        </w:rPr>
      </w:pPr>
      <w:r w:rsidRPr="005763D6">
        <w:rPr>
          <w:sz w:val="20"/>
          <w:szCs w:val="20"/>
          <w:lang w:val="en-US"/>
        </w:rPr>
        <w:t xml:space="preserve">Source: Dowd, K. (2002). </w:t>
      </w:r>
      <w:r w:rsidRPr="005763D6">
        <w:rPr>
          <w:i/>
          <w:iCs/>
          <w:sz w:val="20"/>
          <w:szCs w:val="20"/>
          <w:lang w:val="en-US"/>
        </w:rPr>
        <w:t xml:space="preserve">Measuring Market Risk. </w:t>
      </w:r>
      <w:r w:rsidRPr="005763D6">
        <w:rPr>
          <w:sz w:val="20"/>
          <w:szCs w:val="20"/>
          <w:lang w:val="en-US"/>
        </w:rPr>
        <w:t>New York: John Wiley and Sons Ltd</w:t>
      </w:r>
    </w:p>
    <w:p w:rsidR="007D1334" w:rsidRDefault="007D1334" w:rsidP="00935E41">
      <w:pPr>
        <w:pStyle w:val="Web"/>
        <w:shd w:val="clear" w:color="auto" w:fill="FFFFFF"/>
        <w:spacing w:before="0" w:beforeAutospacing="0" w:after="0" w:afterAutospacing="0" w:line="276" w:lineRule="auto"/>
        <w:jc w:val="both"/>
        <w:rPr>
          <w:lang w:val="en-US"/>
        </w:rPr>
      </w:pPr>
    </w:p>
    <w:p w:rsidR="00935E41" w:rsidRDefault="0061260C" w:rsidP="00935E41">
      <w:pPr>
        <w:pStyle w:val="Web"/>
        <w:shd w:val="clear" w:color="auto" w:fill="FFFFFF"/>
        <w:spacing w:before="0" w:beforeAutospacing="0" w:after="0" w:afterAutospacing="0" w:line="276" w:lineRule="auto"/>
        <w:jc w:val="both"/>
        <w:rPr>
          <w:lang w:val="en-US"/>
        </w:rPr>
      </w:pPr>
      <w:r>
        <w:rPr>
          <w:lang w:val="en-US"/>
        </w:rPr>
        <w:t xml:space="preserve">There are </w:t>
      </w:r>
      <w:r w:rsidR="00E346D8">
        <w:rPr>
          <w:lang w:val="en-US"/>
        </w:rPr>
        <w:t xml:space="preserve">three </w:t>
      </w:r>
      <w:r>
        <w:rPr>
          <w:lang w:val="en-US"/>
        </w:rPr>
        <w:t xml:space="preserve">main companies </w:t>
      </w:r>
      <w:r w:rsidR="000F0718">
        <w:rPr>
          <w:lang w:val="en-US"/>
        </w:rPr>
        <w:t xml:space="preserve">which are </w:t>
      </w:r>
      <w:r w:rsidR="00E346D8">
        <w:rPr>
          <w:lang w:val="en-US"/>
        </w:rPr>
        <w:t xml:space="preserve">Standard and Poors, Fitch and Moodys </w:t>
      </w:r>
      <w:r>
        <w:rPr>
          <w:lang w:val="en-US"/>
        </w:rPr>
        <w:t xml:space="preserve">that evaluate </w:t>
      </w:r>
      <w:r w:rsidR="000F0718">
        <w:rPr>
          <w:lang w:val="en-US"/>
        </w:rPr>
        <w:t xml:space="preserve">banks, firms, </w:t>
      </w:r>
      <w:r w:rsidR="00E346D8">
        <w:rPr>
          <w:lang w:val="en-US"/>
        </w:rPr>
        <w:t xml:space="preserve">countries </w:t>
      </w:r>
      <w:r w:rsidR="000F0718">
        <w:rPr>
          <w:lang w:val="en-US"/>
        </w:rPr>
        <w:t xml:space="preserve">and their bonds </w:t>
      </w:r>
      <w:r w:rsidR="00E346D8">
        <w:rPr>
          <w:lang w:val="en-US"/>
        </w:rPr>
        <w:t>according to their risks.</w:t>
      </w:r>
      <w:r w:rsidR="00A95A7A">
        <w:rPr>
          <w:lang w:val="en-US"/>
        </w:rPr>
        <w:t xml:space="preserve"> Below in table 3 we can see those ratings and the explanation of them.</w:t>
      </w:r>
    </w:p>
    <w:p w:rsidR="000F0718" w:rsidRPr="00A95A7A" w:rsidRDefault="000F0718" w:rsidP="00A95A7A">
      <w:pPr>
        <w:pStyle w:val="Web"/>
        <w:shd w:val="clear" w:color="auto" w:fill="FFFFFF"/>
        <w:spacing w:before="0" w:beforeAutospacing="0" w:after="0" w:afterAutospacing="0" w:line="276" w:lineRule="auto"/>
        <w:jc w:val="center"/>
        <w:rPr>
          <w:b/>
          <w:lang w:val="en-US"/>
        </w:rPr>
      </w:pPr>
      <w:r w:rsidRPr="00A95A7A">
        <w:rPr>
          <w:b/>
          <w:lang w:val="en-US"/>
        </w:rPr>
        <w:t xml:space="preserve">Table 3: Standard and Poors </w:t>
      </w:r>
      <w:r w:rsidR="00A95A7A" w:rsidRPr="00A95A7A">
        <w:rPr>
          <w:b/>
          <w:lang w:val="en-US"/>
        </w:rPr>
        <w:t xml:space="preserve">Value </w:t>
      </w:r>
      <w:r w:rsidRPr="00A95A7A">
        <w:rPr>
          <w:b/>
          <w:lang w:val="en-US"/>
        </w:rPr>
        <w:t>Rating</w:t>
      </w:r>
    </w:p>
    <w:tbl>
      <w:tblPr>
        <w:tblW w:w="8369" w:type="dxa"/>
        <w:tblInd w:w="103" w:type="dxa"/>
        <w:tblLook w:val="04A0"/>
      </w:tblPr>
      <w:tblGrid>
        <w:gridCol w:w="910"/>
        <w:gridCol w:w="7459"/>
      </w:tblGrid>
      <w:tr w:rsidR="00E346D8" w:rsidRPr="00E346D8" w:rsidTr="00E346D8">
        <w:trPr>
          <w:trHeight w:val="30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6D8" w:rsidRPr="002240CA" w:rsidRDefault="00E346D8" w:rsidP="00E346D8">
            <w:pPr>
              <w:spacing w:after="0" w:line="240" w:lineRule="auto"/>
              <w:jc w:val="center"/>
              <w:rPr>
                <w:rFonts w:ascii="Times New Roman" w:eastAsia="Times New Roman" w:hAnsi="Times New Roman" w:cs="Times New Roman"/>
                <w:b/>
                <w:color w:val="000000"/>
                <w:sz w:val="24"/>
                <w:szCs w:val="24"/>
                <w:lang w:val="en-US" w:eastAsia="el-GR"/>
              </w:rPr>
            </w:pPr>
            <w:r w:rsidRPr="00E346D8">
              <w:rPr>
                <w:rFonts w:ascii="Times New Roman" w:eastAsia="Times New Roman" w:hAnsi="Times New Roman" w:cs="Times New Roman"/>
                <w:b/>
                <w:color w:val="000000"/>
                <w:sz w:val="24"/>
                <w:szCs w:val="24"/>
                <w:lang w:eastAsia="el-GR"/>
              </w:rPr>
              <w:t>Rating</w:t>
            </w:r>
          </w:p>
        </w:tc>
        <w:tc>
          <w:tcPr>
            <w:tcW w:w="7459" w:type="dxa"/>
            <w:tcBorders>
              <w:top w:val="single" w:sz="4" w:space="0" w:color="auto"/>
              <w:left w:val="nil"/>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jc w:val="center"/>
              <w:rPr>
                <w:rFonts w:ascii="Times New Roman" w:eastAsia="Times New Roman" w:hAnsi="Times New Roman" w:cs="Times New Roman"/>
                <w:b/>
                <w:color w:val="000000"/>
                <w:sz w:val="24"/>
                <w:szCs w:val="24"/>
                <w:lang w:eastAsia="el-GR"/>
              </w:rPr>
            </w:pPr>
            <w:r w:rsidRPr="00E346D8">
              <w:rPr>
                <w:rFonts w:ascii="Times New Roman" w:eastAsia="Times New Roman" w:hAnsi="Times New Roman" w:cs="Times New Roman"/>
                <w:b/>
                <w:color w:val="000000"/>
                <w:sz w:val="24"/>
                <w:szCs w:val="24"/>
                <w:lang w:eastAsia="el-GR"/>
              </w:rPr>
              <w:t>Explanation</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AAA</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val="en-US" w:eastAsia="el-GR"/>
              </w:rPr>
            </w:pPr>
            <w:r w:rsidRPr="00E346D8">
              <w:rPr>
                <w:rFonts w:ascii="Times New Roman" w:eastAsia="Times New Roman" w:hAnsi="Times New Roman" w:cs="Times New Roman"/>
                <w:color w:val="000000"/>
                <w:sz w:val="24"/>
                <w:szCs w:val="24"/>
                <w:lang w:val="en-US" w:eastAsia="el-GR"/>
              </w:rPr>
              <w:t>The bank is fully capable of meeting its obligations</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AA</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val="en-US" w:eastAsia="el-GR"/>
              </w:rPr>
            </w:pPr>
            <w:r w:rsidRPr="00E346D8">
              <w:rPr>
                <w:rFonts w:ascii="Times New Roman" w:eastAsia="Times New Roman" w:hAnsi="Times New Roman" w:cs="Times New Roman"/>
                <w:color w:val="000000"/>
                <w:sz w:val="24"/>
                <w:szCs w:val="24"/>
                <w:lang w:val="en-US" w:eastAsia="el-GR"/>
              </w:rPr>
              <w:t>The bank is particularly strong in meeting its obligations.</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A</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val="en-US" w:eastAsia="el-GR"/>
              </w:rPr>
            </w:pPr>
            <w:r w:rsidRPr="00E346D8">
              <w:rPr>
                <w:rFonts w:ascii="Times New Roman" w:eastAsia="Times New Roman" w:hAnsi="Times New Roman" w:cs="Times New Roman"/>
                <w:color w:val="000000"/>
                <w:sz w:val="24"/>
                <w:szCs w:val="24"/>
                <w:lang w:val="en-US" w:eastAsia="el-GR"/>
              </w:rPr>
              <w:t>Despite the bank's strong position, it may be affected by changes in the financial environment.</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BBB</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E346D8">
            <w:pPr>
              <w:spacing w:after="0" w:line="240" w:lineRule="auto"/>
              <w:rPr>
                <w:rFonts w:ascii="Times New Roman" w:eastAsia="Times New Roman" w:hAnsi="Times New Roman" w:cs="Times New Roman"/>
                <w:color w:val="000000"/>
                <w:sz w:val="24"/>
                <w:szCs w:val="24"/>
                <w:lang w:val="en-US" w:eastAsia="el-GR"/>
              </w:rPr>
            </w:pPr>
            <w:r w:rsidRPr="002240CA">
              <w:rPr>
                <w:rFonts w:ascii="Times New Roman" w:eastAsia="Times New Roman" w:hAnsi="Times New Roman" w:cs="Times New Roman"/>
                <w:color w:val="000000"/>
                <w:sz w:val="24"/>
                <w:szCs w:val="24"/>
                <w:lang w:val="en-US" w:eastAsia="el-GR"/>
              </w:rPr>
              <w:t>It has sufficient capacity to meet its obligations</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BB</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E346D8">
            <w:pPr>
              <w:spacing w:after="0" w:line="240" w:lineRule="auto"/>
              <w:rPr>
                <w:rFonts w:ascii="Times New Roman" w:eastAsia="Times New Roman" w:hAnsi="Times New Roman" w:cs="Times New Roman"/>
                <w:color w:val="000000"/>
                <w:sz w:val="24"/>
                <w:szCs w:val="24"/>
                <w:lang w:val="en-US" w:eastAsia="el-GR"/>
              </w:rPr>
            </w:pPr>
            <w:r w:rsidRPr="002240CA">
              <w:rPr>
                <w:rFonts w:ascii="Times New Roman" w:eastAsia="Times New Roman" w:hAnsi="Times New Roman" w:cs="Times New Roman"/>
                <w:color w:val="000000"/>
                <w:sz w:val="24"/>
                <w:szCs w:val="24"/>
                <w:lang w:val="en-US" w:eastAsia="el-GR"/>
              </w:rPr>
              <w:t xml:space="preserve">There is increased uncertainty over changes </w:t>
            </w:r>
            <w:r>
              <w:rPr>
                <w:rFonts w:ascii="Times New Roman" w:eastAsia="Times New Roman" w:hAnsi="Times New Roman" w:cs="Times New Roman"/>
                <w:color w:val="000000"/>
                <w:sz w:val="24"/>
                <w:szCs w:val="24"/>
                <w:lang w:val="en-US" w:eastAsia="el-GR"/>
              </w:rPr>
              <w:t xml:space="preserve">for the bank </w:t>
            </w:r>
            <w:r w:rsidRPr="002240CA">
              <w:rPr>
                <w:rFonts w:ascii="Times New Roman" w:eastAsia="Times New Roman" w:hAnsi="Times New Roman" w:cs="Times New Roman"/>
                <w:color w:val="000000"/>
                <w:sz w:val="24"/>
                <w:szCs w:val="24"/>
                <w:lang w:val="en-US" w:eastAsia="el-GR"/>
              </w:rPr>
              <w:t>in the economic environment.</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B</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E346D8">
            <w:pPr>
              <w:spacing w:after="0" w:line="240" w:lineRule="auto"/>
              <w:rPr>
                <w:rFonts w:ascii="Times New Roman" w:eastAsia="Times New Roman" w:hAnsi="Times New Roman" w:cs="Times New Roman"/>
                <w:color w:val="000000"/>
                <w:sz w:val="24"/>
                <w:szCs w:val="24"/>
                <w:lang w:val="en-US" w:eastAsia="el-GR"/>
              </w:rPr>
            </w:pPr>
            <w:r w:rsidRPr="002240CA">
              <w:rPr>
                <w:rFonts w:ascii="Times New Roman" w:eastAsia="Times New Roman" w:hAnsi="Times New Roman" w:cs="Times New Roman"/>
                <w:color w:val="000000"/>
                <w:sz w:val="24"/>
                <w:szCs w:val="24"/>
                <w:lang w:val="en-US" w:eastAsia="el-GR"/>
              </w:rPr>
              <w:t>Changes in the environment are very likely to cause an inability to respond</w:t>
            </w:r>
            <w:r>
              <w:rPr>
                <w:rFonts w:ascii="Times New Roman" w:eastAsia="Times New Roman" w:hAnsi="Times New Roman" w:cs="Times New Roman"/>
                <w:color w:val="000000"/>
                <w:sz w:val="24"/>
                <w:szCs w:val="24"/>
                <w:lang w:val="en-US" w:eastAsia="el-GR"/>
              </w:rPr>
              <w:t xml:space="preserve"> in the bank</w:t>
            </w:r>
            <w:r w:rsidRPr="002240CA">
              <w:rPr>
                <w:rFonts w:ascii="Times New Roman" w:eastAsia="Times New Roman" w:hAnsi="Times New Roman" w:cs="Times New Roman"/>
                <w:color w:val="000000"/>
                <w:sz w:val="24"/>
                <w:szCs w:val="24"/>
                <w:lang w:val="en-US" w:eastAsia="el-GR"/>
              </w:rPr>
              <w:t>.</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CCC</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E346D8">
            <w:pPr>
              <w:spacing w:after="0" w:line="240" w:lineRule="auto"/>
              <w:rPr>
                <w:rFonts w:ascii="Times New Roman" w:eastAsia="Times New Roman" w:hAnsi="Times New Roman" w:cs="Times New Roman"/>
                <w:color w:val="000000"/>
                <w:sz w:val="24"/>
                <w:szCs w:val="24"/>
                <w:lang w:val="en-US" w:eastAsia="el-GR"/>
              </w:rPr>
            </w:pPr>
            <w:r w:rsidRPr="002240CA">
              <w:rPr>
                <w:rFonts w:ascii="Times New Roman" w:eastAsia="Times New Roman" w:hAnsi="Times New Roman" w:cs="Times New Roman"/>
                <w:color w:val="000000"/>
                <w:sz w:val="24"/>
                <w:szCs w:val="24"/>
                <w:lang w:val="en-US" w:eastAsia="el-GR"/>
              </w:rPr>
              <w:t xml:space="preserve">The ability </w:t>
            </w:r>
            <w:r>
              <w:rPr>
                <w:rFonts w:ascii="Times New Roman" w:eastAsia="Times New Roman" w:hAnsi="Times New Roman" w:cs="Times New Roman"/>
                <w:color w:val="000000"/>
                <w:sz w:val="24"/>
                <w:szCs w:val="24"/>
                <w:lang w:val="en-US" w:eastAsia="el-GR"/>
              </w:rPr>
              <w:t xml:space="preserve">of a bank </w:t>
            </w:r>
            <w:r w:rsidRPr="002240CA">
              <w:rPr>
                <w:rFonts w:ascii="Times New Roman" w:eastAsia="Times New Roman" w:hAnsi="Times New Roman" w:cs="Times New Roman"/>
                <w:color w:val="000000"/>
                <w:sz w:val="24"/>
                <w:szCs w:val="24"/>
                <w:lang w:val="en-US" w:eastAsia="el-GR"/>
              </w:rPr>
              <w:t>to respond is determined by the current business, economic and financial conditions.</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CC</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E346D8">
            <w:pPr>
              <w:spacing w:after="0" w:line="240" w:lineRule="auto"/>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The</w:t>
            </w:r>
            <w:r w:rsidRPr="002240CA">
              <w:rPr>
                <w:rFonts w:ascii="Times New Roman" w:eastAsia="Times New Roman" w:hAnsi="Times New Roman" w:cs="Times New Roman"/>
                <w:color w:val="000000"/>
                <w:sz w:val="24"/>
                <w:szCs w:val="24"/>
                <w:lang w:val="en-US" w:eastAsia="el-GR"/>
              </w:rPr>
              <w:t xml:space="preserve"> ability </w:t>
            </w:r>
            <w:r>
              <w:rPr>
                <w:rFonts w:ascii="Times New Roman" w:eastAsia="Times New Roman" w:hAnsi="Times New Roman" w:cs="Times New Roman"/>
                <w:color w:val="000000"/>
                <w:sz w:val="24"/>
                <w:szCs w:val="24"/>
                <w:lang w:val="en-US" w:eastAsia="el-GR"/>
              </w:rPr>
              <w:t xml:space="preserve">of a bank </w:t>
            </w:r>
            <w:r w:rsidRPr="002240CA">
              <w:rPr>
                <w:rFonts w:ascii="Times New Roman" w:eastAsia="Times New Roman" w:hAnsi="Times New Roman" w:cs="Times New Roman"/>
                <w:color w:val="000000"/>
                <w:sz w:val="24"/>
                <w:szCs w:val="24"/>
                <w:lang w:val="en-US" w:eastAsia="el-GR"/>
              </w:rPr>
              <w:t>to respond is particularly plausible</w:t>
            </w:r>
            <w:r>
              <w:rPr>
                <w:rFonts w:ascii="Times New Roman" w:eastAsia="Times New Roman" w:hAnsi="Times New Roman" w:cs="Times New Roman"/>
                <w:color w:val="000000"/>
                <w:sz w:val="24"/>
                <w:szCs w:val="24"/>
                <w:lang w:val="en-US" w:eastAsia="el-GR"/>
              </w:rPr>
              <w:t xml:space="preserve"> and </w:t>
            </w:r>
            <w:r w:rsidRPr="002240CA">
              <w:rPr>
                <w:rFonts w:ascii="Times New Roman" w:eastAsia="Times New Roman" w:hAnsi="Times New Roman" w:cs="Times New Roman"/>
                <w:color w:val="000000"/>
                <w:sz w:val="24"/>
                <w:szCs w:val="24"/>
                <w:lang w:val="en-US" w:eastAsia="el-GR"/>
              </w:rPr>
              <w:t>lucrative.</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C</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2240CA">
            <w:pPr>
              <w:spacing w:after="0" w:line="240" w:lineRule="auto"/>
              <w:rPr>
                <w:rFonts w:ascii="Times New Roman" w:eastAsia="Times New Roman" w:hAnsi="Times New Roman" w:cs="Times New Roman"/>
                <w:color w:val="000000"/>
                <w:sz w:val="24"/>
                <w:szCs w:val="24"/>
                <w:lang w:val="en-US" w:eastAsia="el-GR"/>
              </w:rPr>
            </w:pPr>
            <w:r w:rsidRPr="002240CA">
              <w:rPr>
                <w:rFonts w:ascii="Times New Roman" w:eastAsia="Times New Roman" w:hAnsi="Times New Roman" w:cs="Times New Roman"/>
                <w:color w:val="000000"/>
                <w:sz w:val="24"/>
                <w:szCs w:val="24"/>
                <w:lang w:val="en-US" w:eastAsia="el-GR"/>
              </w:rPr>
              <w:t xml:space="preserve">The </w:t>
            </w:r>
            <w:r>
              <w:rPr>
                <w:rFonts w:ascii="Times New Roman" w:eastAsia="Times New Roman" w:hAnsi="Times New Roman" w:cs="Times New Roman"/>
                <w:color w:val="000000"/>
                <w:sz w:val="24"/>
                <w:szCs w:val="24"/>
                <w:lang w:val="en-US" w:eastAsia="el-GR"/>
              </w:rPr>
              <w:t>bank</w:t>
            </w:r>
            <w:r w:rsidRPr="002240CA">
              <w:rPr>
                <w:rFonts w:ascii="Times New Roman" w:eastAsia="Times New Roman" w:hAnsi="Times New Roman" w:cs="Times New Roman"/>
                <w:color w:val="000000"/>
                <w:sz w:val="24"/>
                <w:szCs w:val="24"/>
                <w:lang w:val="en-US" w:eastAsia="el-GR"/>
              </w:rPr>
              <w:t xml:space="preserve"> has filed for bankruptcy..</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eastAsia="el-GR"/>
              </w:rPr>
            </w:pPr>
            <w:r w:rsidRPr="00E346D8">
              <w:rPr>
                <w:rFonts w:ascii="Times New Roman" w:eastAsia="Times New Roman" w:hAnsi="Times New Roman" w:cs="Times New Roman"/>
                <w:color w:val="000000"/>
                <w:sz w:val="24"/>
                <w:szCs w:val="24"/>
                <w:lang w:eastAsia="el-GR"/>
              </w:rPr>
              <w:t>D</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2240CA">
            <w:pPr>
              <w:spacing w:after="0" w:line="240" w:lineRule="auto"/>
              <w:rPr>
                <w:rFonts w:ascii="Times New Roman" w:eastAsia="Times New Roman" w:hAnsi="Times New Roman" w:cs="Times New Roman"/>
                <w:color w:val="000000"/>
                <w:sz w:val="24"/>
                <w:szCs w:val="24"/>
                <w:lang w:val="en-US" w:eastAsia="el-GR"/>
              </w:rPr>
            </w:pPr>
            <w:r w:rsidRPr="002240CA">
              <w:rPr>
                <w:rFonts w:ascii="Times New Roman" w:eastAsia="Times New Roman" w:hAnsi="Times New Roman" w:cs="Times New Roman"/>
                <w:color w:val="000000"/>
                <w:sz w:val="24"/>
                <w:szCs w:val="24"/>
                <w:lang w:val="en-US" w:eastAsia="el-GR"/>
              </w:rPr>
              <w:t xml:space="preserve">There is already a default on the </w:t>
            </w:r>
            <w:r>
              <w:rPr>
                <w:rFonts w:ascii="Times New Roman" w:eastAsia="Times New Roman" w:hAnsi="Times New Roman" w:cs="Times New Roman"/>
                <w:color w:val="000000"/>
                <w:sz w:val="24"/>
                <w:szCs w:val="24"/>
                <w:lang w:val="en-US" w:eastAsia="el-GR"/>
              </w:rPr>
              <w:t>bank</w:t>
            </w:r>
          </w:p>
        </w:tc>
      </w:tr>
      <w:tr w:rsidR="00E346D8" w:rsidRPr="00052F49" w:rsidTr="00E346D8">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E346D8" w:rsidRPr="00E346D8" w:rsidRDefault="00E346D8" w:rsidP="00E346D8">
            <w:pPr>
              <w:spacing w:after="0" w:line="240" w:lineRule="auto"/>
              <w:rPr>
                <w:rFonts w:ascii="Times New Roman" w:eastAsia="Times New Roman" w:hAnsi="Times New Roman" w:cs="Times New Roman"/>
                <w:color w:val="000000"/>
                <w:sz w:val="24"/>
                <w:szCs w:val="24"/>
                <w:lang w:val="en-US" w:eastAsia="el-GR"/>
              </w:rPr>
            </w:pPr>
            <w:r w:rsidRPr="00E346D8">
              <w:rPr>
                <w:rFonts w:ascii="Times New Roman" w:eastAsia="Times New Roman" w:hAnsi="Times New Roman" w:cs="Times New Roman"/>
                <w:b/>
                <w:color w:val="000000"/>
                <w:sz w:val="24"/>
                <w:szCs w:val="24"/>
                <w:lang w:val="en-US" w:eastAsia="el-GR"/>
              </w:rPr>
              <w:t>+</w:t>
            </w:r>
            <w:r>
              <w:rPr>
                <w:rFonts w:ascii="Times New Roman" w:eastAsia="Times New Roman" w:hAnsi="Times New Roman" w:cs="Times New Roman"/>
                <w:color w:val="000000"/>
                <w:sz w:val="24"/>
                <w:szCs w:val="24"/>
                <w:lang w:val="en-US" w:eastAsia="el-GR"/>
              </w:rPr>
              <w:t xml:space="preserve"> or </w:t>
            </w:r>
            <w:r w:rsidRPr="00E346D8">
              <w:rPr>
                <w:rFonts w:ascii="Times New Roman" w:eastAsia="Times New Roman" w:hAnsi="Times New Roman" w:cs="Times New Roman"/>
                <w:color w:val="000000"/>
                <w:sz w:val="24"/>
                <w:szCs w:val="24"/>
                <w:lang w:val="en-US" w:eastAsia="el-GR"/>
              </w:rPr>
              <w:t>-</w:t>
            </w:r>
            <w:r>
              <w:rPr>
                <w:rFonts w:ascii="Times New Roman" w:eastAsia="Times New Roman" w:hAnsi="Times New Roman" w:cs="Times New Roman"/>
                <w:color w:val="000000"/>
                <w:sz w:val="24"/>
                <w:szCs w:val="24"/>
                <w:lang w:val="en-US" w:eastAsia="el-GR"/>
              </w:rPr>
              <w:t xml:space="preserve"> </w:t>
            </w:r>
          </w:p>
        </w:tc>
        <w:tc>
          <w:tcPr>
            <w:tcW w:w="7459" w:type="dxa"/>
            <w:tcBorders>
              <w:top w:val="nil"/>
              <w:left w:val="nil"/>
              <w:bottom w:val="single" w:sz="4" w:space="0" w:color="auto"/>
              <w:right w:val="single" w:sz="4" w:space="0" w:color="auto"/>
            </w:tcBorders>
            <w:shd w:val="clear" w:color="auto" w:fill="auto"/>
            <w:noWrap/>
            <w:vAlign w:val="bottom"/>
            <w:hideMark/>
          </w:tcPr>
          <w:p w:rsidR="00E346D8" w:rsidRPr="00E346D8" w:rsidRDefault="002240CA" w:rsidP="00E346D8">
            <w:pPr>
              <w:spacing w:after="0" w:line="240" w:lineRule="auto"/>
              <w:rPr>
                <w:rFonts w:ascii="Times New Roman" w:eastAsia="Times New Roman" w:hAnsi="Times New Roman" w:cs="Times New Roman"/>
                <w:color w:val="000000"/>
                <w:sz w:val="24"/>
                <w:szCs w:val="24"/>
                <w:lang w:val="en-US" w:eastAsia="el-GR"/>
              </w:rPr>
            </w:pPr>
            <w:r w:rsidRPr="002240CA">
              <w:rPr>
                <w:rFonts w:ascii="Times New Roman" w:eastAsia="Times New Roman" w:hAnsi="Times New Roman" w:cs="Times New Roman"/>
                <w:color w:val="000000"/>
                <w:sz w:val="24"/>
                <w:szCs w:val="24"/>
                <w:lang w:val="en-US" w:eastAsia="el-GR"/>
              </w:rPr>
              <w:t>Used in categories from AA to CCC to indicate the relative position of the business within those categories.</w:t>
            </w:r>
          </w:p>
        </w:tc>
      </w:tr>
    </w:tbl>
    <w:p w:rsidR="00E346D8" w:rsidRDefault="002240CA" w:rsidP="00935E41">
      <w:pPr>
        <w:pStyle w:val="Web"/>
        <w:shd w:val="clear" w:color="auto" w:fill="FFFFFF"/>
        <w:spacing w:before="0" w:beforeAutospacing="0" w:after="0" w:afterAutospacing="0" w:line="276" w:lineRule="auto"/>
        <w:jc w:val="both"/>
        <w:rPr>
          <w:lang w:val="en-US"/>
        </w:rPr>
      </w:pPr>
      <w:r w:rsidRPr="002240CA">
        <w:rPr>
          <w:sz w:val="20"/>
          <w:szCs w:val="20"/>
          <w:lang w:val="en-US"/>
        </w:rPr>
        <w:t xml:space="preserve">Source: </w:t>
      </w:r>
      <w:hyperlink r:id="rId15" w:history="1">
        <w:r w:rsidRPr="002240CA">
          <w:rPr>
            <w:rStyle w:val="-"/>
            <w:color w:val="auto"/>
            <w:sz w:val="20"/>
            <w:szCs w:val="20"/>
            <w:u w:val="none"/>
            <w:lang w:val="en-US"/>
          </w:rPr>
          <w:t>https://www.standardandpoors.com/</w:t>
        </w:r>
      </w:hyperlink>
    </w:p>
    <w:p w:rsidR="00E6521B" w:rsidRDefault="00E6521B" w:rsidP="00B61ED8">
      <w:pPr>
        <w:spacing w:after="0"/>
        <w:jc w:val="both"/>
        <w:rPr>
          <w:rFonts w:ascii="Times New Roman" w:hAnsi="Times New Roman" w:cs="Times New Roman"/>
          <w:sz w:val="24"/>
          <w:szCs w:val="24"/>
          <w:lang w:val="en-US"/>
        </w:rPr>
      </w:pPr>
    </w:p>
    <w:p w:rsidR="00B61ED8" w:rsidRPr="00B61ED8" w:rsidRDefault="00B61ED8" w:rsidP="00B61ED8">
      <w:pPr>
        <w:spacing w:after="0"/>
        <w:jc w:val="both"/>
        <w:rPr>
          <w:rFonts w:ascii="Times New Roman" w:hAnsi="Times New Roman" w:cs="Times New Roman"/>
          <w:b/>
          <w:sz w:val="24"/>
          <w:szCs w:val="24"/>
          <w:lang w:val="en-US"/>
        </w:rPr>
      </w:pPr>
      <w:r w:rsidRPr="00B61ED8">
        <w:rPr>
          <w:rFonts w:ascii="Times New Roman" w:hAnsi="Times New Roman" w:cs="Times New Roman"/>
          <w:b/>
          <w:sz w:val="24"/>
          <w:szCs w:val="24"/>
          <w:lang w:val="en-US"/>
        </w:rPr>
        <w:lastRenderedPageBreak/>
        <w:t>Results</w:t>
      </w:r>
    </w:p>
    <w:p w:rsidR="00B61ED8" w:rsidRDefault="00A95A7A" w:rsidP="00935E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w:t>
      </w:r>
      <w:r w:rsidR="00052F49">
        <w:rPr>
          <w:rFonts w:ascii="Times New Roman" w:hAnsi="Times New Roman" w:cs="Times New Roman"/>
          <w:sz w:val="24"/>
          <w:szCs w:val="24"/>
          <w:lang w:val="en-US"/>
        </w:rPr>
        <w:t>argu</w:t>
      </w:r>
      <w:r w:rsidR="001A1839">
        <w:rPr>
          <w:rFonts w:ascii="Times New Roman" w:hAnsi="Times New Roman" w:cs="Times New Roman"/>
          <w:sz w:val="24"/>
          <w:szCs w:val="24"/>
          <w:lang w:val="en-US"/>
        </w:rPr>
        <w:t>ed</w:t>
      </w:r>
      <w:r>
        <w:rPr>
          <w:rFonts w:ascii="Times New Roman" w:hAnsi="Times New Roman" w:cs="Times New Roman"/>
          <w:sz w:val="24"/>
          <w:szCs w:val="24"/>
          <w:lang w:val="en-US"/>
        </w:rPr>
        <w:t xml:space="preserve"> before the</w:t>
      </w:r>
      <w:r w:rsidR="00063D88" w:rsidRPr="00063D88">
        <w:rPr>
          <w:rFonts w:ascii="Times New Roman" w:hAnsi="Times New Roman" w:cs="Times New Roman"/>
          <w:sz w:val="24"/>
          <w:szCs w:val="24"/>
          <w:lang w:val="en-US"/>
        </w:rPr>
        <w:t xml:space="preserve"> VaR of a portfolio is defined as the maximum loss expected to occur in a portfolio over a certain period of time with a certain probability (confidence level eg 99%)</w:t>
      </w:r>
      <w:r w:rsidR="00063D88">
        <w:rPr>
          <w:rFonts w:ascii="Times New Roman" w:hAnsi="Times New Roman" w:cs="Times New Roman"/>
          <w:sz w:val="24"/>
          <w:szCs w:val="24"/>
          <w:lang w:val="en-US"/>
        </w:rPr>
        <w:t xml:space="preserve">. </w:t>
      </w:r>
      <w:r w:rsidR="00063D88" w:rsidRPr="00063D88">
        <w:rPr>
          <w:rFonts w:ascii="Times New Roman" w:hAnsi="Times New Roman" w:cs="Times New Roman"/>
          <w:sz w:val="24"/>
          <w:szCs w:val="24"/>
          <w:lang w:val="en-US"/>
        </w:rPr>
        <w:t>VaR is an attempt to assess the total risk of a portfolio and to perform it in monetary terms with a single number.</w:t>
      </w:r>
      <w:r w:rsidR="00063D88">
        <w:rPr>
          <w:rFonts w:ascii="Times New Roman" w:hAnsi="Times New Roman" w:cs="Times New Roman"/>
          <w:sz w:val="24"/>
          <w:szCs w:val="24"/>
          <w:lang w:val="en-US"/>
        </w:rPr>
        <w:t xml:space="preserve"> </w:t>
      </w:r>
      <w:r w:rsidR="00063D88" w:rsidRPr="00063D88">
        <w:rPr>
          <w:rFonts w:ascii="Times New Roman" w:hAnsi="Times New Roman" w:cs="Times New Roman"/>
          <w:sz w:val="24"/>
          <w:szCs w:val="24"/>
          <w:lang w:val="en-US"/>
        </w:rPr>
        <w:t>VaR is the answer to the question: What is the maximum loss over a given period so that the probability of even greater damage being reduced is (at least 1%).</w:t>
      </w:r>
      <w:r w:rsidR="00063D88" w:rsidRPr="00063D88">
        <w:rPr>
          <w:lang w:val="en-US"/>
        </w:rPr>
        <w:t xml:space="preserve"> </w:t>
      </w:r>
      <w:r w:rsidR="00063D88" w:rsidRPr="00063D88">
        <w:rPr>
          <w:rFonts w:ascii="Times New Roman" w:hAnsi="Times New Roman" w:cs="Times New Roman"/>
          <w:sz w:val="24"/>
          <w:szCs w:val="24"/>
          <w:lang w:val="en-US"/>
        </w:rPr>
        <w:t>The calculation of VaR requires the allocation of portfolio values (returns) or returns over the selected time horizon.</w:t>
      </w:r>
      <w:r w:rsidR="00063D88" w:rsidRPr="00063D88">
        <w:rPr>
          <w:lang w:val="en-US"/>
        </w:rPr>
        <w:t xml:space="preserve"> </w:t>
      </w:r>
      <w:r w:rsidR="00063D88" w:rsidRPr="00063D88">
        <w:rPr>
          <w:rFonts w:ascii="Times New Roman" w:hAnsi="Times New Roman" w:cs="Times New Roman"/>
          <w:sz w:val="24"/>
          <w:szCs w:val="24"/>
          <w:lang w:val="en-US"/>
        </w:rPr>
        <w:t>The distribution is either calculated from historical data (non-parametric) or assumed that the values or yields follow a detailed distribution (normal or otherwise)</w:t>
      </w:r>
      <w:r w:rsidR="00063D88">
        <w:rPr>
          <w:rFonts w:ascii="Times New Roman" w:hAnsi="Times New Roman" w:cs="Times New Roman"/>
          <w:sz w:val="24"/>
          <w:szCs w:val="24"/>
          <w:lang w:val="en-US"/>
        </w:rPr>
        <w:t>.</w:t>
      </w:r>
      <w:r w:rsidR="00063D88" w:rsidRPr="00063D88">
        <w:rPr>
          <w:lang w:val="en-US"/>
        </w:rPr>
        <w:t xml:space="preserve"> </w:t>
      </w:r>
      <w:r w:rsidR="00063D88" w:rsidRPr="00063D88">
        <w:rPr>
          <w:rFonts w:ascii="Times New Roman" w:hAnsi="Times New Roman" w:cs="Times New Roman"/>
          <w:sz w:val="24"/>
          <w:szCs w:val="24"/>
          <w:lang w:val="en-US"/>
        </w:rPr>
        <w:t>VaR is the average (expected yield) of the portfolio and the first percentile (for a 99% confidence level).</w:t>
      </w:r>
    </w:p>
    <w:p w:rsidR="00E346D8" w:rsidRPr="00935E41" w:rsidRDefault="00E346D8" w:rsidP="00935E41">
      <w:pPr>
        <w:pStyle w:val="aa"/>
        <w:numPr>
          <w:ilvl w:val="0"/>
          <w:numId w:val="3"/>
        </w:numPr>
        <w:spacing w:after="0"/>
        <w:ind w:left="426"/>
        <w:jc w:val="both"/>
        <w:rPr>
          <w:rFonts w:ascii="Times New Roman" w:hAnsi="Times New Roman" w:cs="Times New Roman"/>
          <w:sz w:val="24"/>
          <w:szCs w:val="24"/>
          <w:lang w:val="en-US"/>
        </w:rPr>
      </w:pPr>
      <w:r w:rsidRPr="00935E41">
        <w:rPr>
          <w:rFonts w:ascii="Times New Roman" w:hAnsi="Times New Roman" w:cs="Times New Roman"/>
          <w:sz w:val="24"/>
          <w:szCs w:val="24"/>
          <w:lang w:val="en-US"/>
        </w:rPr>
        <w:t>VaR= Expected Profit/Loss- worst case loss at the 99% confidence level</w:t>
      </w:r>
    </w:p>
    <w:p w:rsidR="00E346D8" w:rsidRPr="00935E41" w:rsidRDefault="00E346D8" w:rsidP="00935E41">
      <w:pPr>
        <w:pStyle w:val="aa"/>
        <w:numPr>
          <w:ilvl w:val="0"/>
          <w:numId w:val="3"/>
        </w:numPr>
        <w:spacing w:after="0"/>
        <w:ind w:left="426"/>
        <w:jc w:val="both"/>
        <w:rPr>
          <w:rFonts w:ascii="Times New Roman" w:hAnsi="Times New Roman" w:cs="Times New Roman"/>
          <w:sz w:val="24"/>
          <w:szCs w:val="24"/>
          <w:lang w:val="en-US"/>
        </w:rPr>
      </w:pPr>
      <w:r w:rsidRPr="00935E41">
        <w:rPr>
          <w:rFonts w:ascii="Times New Roman" w:hAnsi="Times New Roman" w:cs="Times New Roman"/>
          <w:sz w:val="24"/>
          <w:szCs w:val="24"/>
          <w:lang w:val="en-US"/>
        </w:rPr>
        <w:t>Alternatively (Absolute VaR):</w:t>
      </w:r>
      <w:r w:rsidR="00063D88" w:rsidRPr="00935E41">
        <w:rPr>
          <w:rFonts w:ascii="Times New Roman" w:hAnsi="Times New Roman" w:cs="Times New Roman"/>
          <w:sz w:val="24"/>
          <w:szCs w:val="24"/>
          <w:lang w:val="en-US"/>
        </w:rPr>
        <w:t xml:space="preserve"> </w:t>
      </w:r>
      <w:r w:rsidRPr="00935E41">
        <w:rPr>
          <w:rFonts w:ascii="Times New Roman" w:hAnsi="Times New Roman" w:cs="Times New Roman"/>
          <w:sz w:val="24"/>
          <w:szCs w:val="24"/>
          <w:lang w:val="en-US"/>
        </w:rPr>
        <w:t xml:space="preserve">VaR’=Worst case loss at the 99% confidence level </w:t>
      </w:r>
    </w:p>
    <w:p w:rsidR="00905B0E" w:rsidRDefault="00063D88" w:rsidP="00905B0E">
      <w:pPr>
        <w:spacing w:after="0"/>
        <w:jc w:val="both"/>
        <w:rPr>
          <w:rFonts w:ascii="Times New Roman" w:hAnsi="Times New Roman" w:cs="Times New Roman"/>
          <w:sz w:val="24"/>
          <w:szCs w:val="24"/>
          <w:lang w:val="en-US"/>
        </w:rPr>
      </w:pPr>
      <w:r w:rsidRPr="00063D88">
        <w:rPr>
          <w:rFonts w:ascii="Times New Roman" w:hAnsi="Times New Roman" w:cs="Times New Roman"/>
          <w:sz w:val="24"/>
          <w:szCs w:val="24"/>
          <w:lang w:val="en-US"/>
        </w:rPr>
        <w:t xml:space="preserve">The VaR determines the financial capital required to be paid by shareholders of a </w:t>
      </w:r>
      <w:r>
        <w:rPr>
          <w:rFonts w:ascii="Times New Roman" w:hAnsi="Times New Roman" w:cs="Times New Roman"/>
          <w:sz w:val="24"/>
          <w:szCs w:val="24"/>
          <w:lang w:val="en-US"/>
        </w:rPr>
        <w:t>financial institution</w:t>
      </w:r>
      <w:r w:rsidRPr="00063D88">
        <w:rPr>
          <w:rFonts w:ascii="Times New Roman" w:hAnsi="Times New Roman" w:cs="Times New Roman"/>
          <w:sz w:val="24"/>
          <w:szCs w:val="24"/>
          <w:lang w:val="en-US"/>
        </w:rPr>
        <w:t xml:space="preserve"> in order to protect against bankruptcy.</w:t>
      </w:r>
      <w:r w:rsidR="00F0434E">
        <w:rPr>
          <w:rFonts w:ascii="Times New Roman" w:hAnsi="Times New Roman" w:cs="Times New Roman"/>
          <w:sz w:val="24"/>
          <w:szCs w:val="24"/>
          <w:lang w:val="en-US"/>
        </w:rPr>
        <w:t xml:space="preserve"> </w:t>
      </w:r>
      <w:r w:rsidR="00D4000A">
        <w:rPr>
          <w:rFonts w:ascii="Times New Roman" w:hAnsi="Times New Roman" w:cs="Times New Roman"/>
          <w:sz w:val="24"/>
          <w:szCs w:val="24"/>
          <w:lang w:val="en-US"/>
        </w:rPr>
        <w:t>Greek systemic banks</w:t>
      </w:r>
      <w:r w:rsidR="00D4000A" w:rsidRPr="00D4000A">
        <w:rPr>
          <w:rFonts w:ascii="Times New Roman" w:hAnsi="Times New Roman" w:cs="Times New Roman"/>
          <w:sz w:val="24"/>
          <w:szCs w:val="24"/>
          <w:lang w:val="en-US"/>
        </w:rPr>
        <w:t xml:space="preserve"> applies the parametric VaR calculation method, with a one-day horizon and 99% confidence level. Value at Risk is estimated for the positions of the trading book and the Available-for-sale portfolio.</w:t>
      </w:r>
      <w:r w:rsidR="00D4000A">
        <w:rPr>
          <w:rFonts w:ascii="Times New Roman" w:hAnsi="Times New Roman" w:cs="Times New Roman"/>
          <w:sz w:val="24"/>
          <w:szCs w:val="24"/>
          <w:lang w:val="en-US"/>
        </w:rPr>
        <w:t xml:space="preserve"> </w:t>
      </w:r>
      <w:r w:rsidR="00D4000A" w:rsidRPr="00D4000A">
        <w:rPr>
          <w:rFonts w:ascii="Times New Roman" w:hAnsi="Times New Roman" w:cs="Times New Roman"/>
          <w:sz w:val="24"/>
          <w:szCs w:val="24"/>
          <w:lang w:val="en-US"/>
        </w:rPr>
        <w:t>The method used is considered to produce satisfactory results in cases where there are no significant non-linear risk factors, such as in cases where the portfolio contains significant options in options.</w:t>
      </w:r>
      <w:r w:rsidR="00F0434E">
        <w:rPr>
          <w:rFonts w:ascii="Times New Roman" w:hAnsi="Times New Roman" w:cs="Times New Roman"/>
          <w:sz w:val="24"/>
          <w:szCs w:val="24"/>
          <w:lang w:val="en-US"/>
        </w:rPr>
        <w:t xml:space="preserve"> </w:t>
      </w:r>
      <w:r w:rsidR="00D4000A" w:rsidRPr="00D4000A">
        <w:rPr>
          <w:rFonts w:ascii="Times New Roman" w:hAnsi="Times New Roman" w:cs="Times New Roman"/>
          <w:sz w:val="24"/>
          <w:szCs w:val="24"/>
          <w:lang w:val="en-US"/>
        </w:rPr>
        <w:t>The Trading portfolio and Available for sale portfolio do not include significant options and it is considered that the current VaR calculation method is satisfactory. The Value at Risk calculation of equity risk is performed using the beta mapping method that uses the beta coefficients in relation to the stock market indices of which they belong. This method works well when the portfolio of shares for which it is used is diversified. A disadvantage of the method is that if the portfolio is not adequately diversified the risk may be underestimated or overestimated. Also, for corporate bonds, the volatility and correlation coefficients used have been assigned to other interest rate curves, as the majority of corporate issuers do not have sufficient issuances to form an interest rate curve.</w:t>
      </w:r>
      <w:r w:rsidR="00905B0E">
        <w:rPr>
          <w:rFonts w:ascii="Times New Roman" w:hAnsi="Times New Roman" w:cs="Times New Roman"/>
          <w:sz w:val="24"/>
          <w:szCs w:val="24"/>
          <w:lang w:val="en-US"/>
        </w:rPr>
        <w:t xml:space="preserve"> </w:t>
      </w:r>
      <w:r w:rsidR="00905B0E" w:rsidRPr="00905B0E">
        <w:rPr>
          <w:rFonts w:ascii="Times New Roman" w:hAnsi="Times New Roman" w:cs="Times New Roman"/>
          <w:sz w:val="24"/>
          <w:szCs w:val="24"/>
          <w:lang w:val="en-US"/>
        </w:rPr>
        <w:t>Greek systemic banks usually apply the Value-at-Risk Back-testing procedure to evaluate the effectiveness of the risk assessment model for the trading portfolio.</w:t>
      </w:r>
      <w:r w:rsidR="00905B0E">
        <w:rPr>
          <w:rFonts w:ascii="Times New Roman" w:hAnsi="Times New Roman" w:cs="Times New Roman"/>
          <w:sz w:val="24"/>
          <w:szCs w:val="24"/>
          <w:lang w:val="en-US"/>
        </w:rPr>
        <w:t xml:space="preserve"> </w:t>
      </w:r>
      <w:r w:rsidR="00905B0E" w:rsidRPr="00905B0E">
        <w:rPr>
          <w:rFonts w:ascii="Times New Roman" w:hAnsi="Times New Roman" w:cs="Times New Roman"/>
          <w:sz w:val="24"/>
          <w:szCs w:val="24"/>
          <w:lang w:val="en-US"/>
        </w:rPr>
        <w:t>The purpose of the back testing process is to compare the results of Value at Risk with the actual change for the next day of the value of the sites to which the measurement relates. If the results of the back testing provide continuous and unexplained exceptions, ie days in which the portfolio loss was greater than the VaR estimate, the risk assessment model is judged inadequate. The number of exceptions shows that the risk assessment model performs well, as two to three exceptions are expected per year based on the 99% confidence level and one day holding period.</w:t>
      </w:r>
      <w:r w:rsidR="00905B0E">
        <w:rPr>
          <w:rFonts w:ascii="Times New Roman" w:hAnsi="Times New Roman" w:cs="Times New Roman"/>
          <w:sz w:val="24"/>
          <w:szCs w:val="24"/>
          <w:lang w:val="en-US"/>
        </w:rPr>
        <w:t xml:space="preserve"> </w:t>
      </w:r>
      <w:r w:rsidR="00905B0E" w:rsidRPr="00905B0E">
        <w:rPr>
          <w:rFonts w:ascii="Times New Roman" w:hAnsi="Times New Roman" w:cs="Times New Roman"/>
          <w:sz w:val="24"/>
          <w:szCs w:val="24"/>
          <w:lang w:val="en-US"/>
        </w:rPr>
        <w:t xml:space="preserve">The backtesting procedure applied does not take into account intra-day trading or “clean” backtesting. In addition, the Greek banking groups monitor the evolution of the risks assumed using sensitivity indices by calculating the impact of market price changes on all on-balance sheet and off-balance sheet items, to form a complete and complete picture of the evolution of key risk factors and factors. Conducting regular crisis simulations and </w:t>
      </w:r>
      <w:r w:rsidR="00905B0E" w:rsidRPr="00905B0E">
        <w:rPr>
          <w:rFonts w:ascii="Times New Roman" w:hAnsi="Times New Roman" w:cs="Times New Roman"/>
          <w:sz w:val="24"/>
          <w:szCs w:val="24"/>
          <w:lang w:val="en-US"/>
        </w:rPr>
        <w:lastRenderedPageBreak/>
        <w:t>assessing the impact of extreme and adverse market price changes on the value of Greek banking groups' assets is an additional key tool for measuring the risks involved.</w:t>
      </w:r>
      <w:r w:rsidR="00905B0E">
        <w:rPr>
          <w:rFonts w:ascii="Times New Roman" w:hAnsi="Times New Roman" w:cs="Times New Roman"/>
          <w:sz w:val="24"/>
          <w:szCs w:val="24"/>
          <w:lang w:val="en-US"/>
        </w:rPr>
        <w:t xml:space="preserve"> </w:t>
      </w:r>
      <w:r w:rsidR="00905B0E" w:rsidRPr="00905B0E">
        <w:rPr>
          <w:rFonts w:ascii="Times New Roman" w:hAnsi="Times New Roman" w:cs="Times New Roman"/>
          <w:sz w:val="24"/>
          <w:szCs w:val="24"/>
          <w:lang w:val="en-US"/>
        </w:rPr>
        <w:t>Interest rate risk is an important risk category and concerns the possible adverse impact on the financial position of Greek banking groups due to their exposure to changes in the general level of interest rates. Taking this risk is considered an integral part of banking and can be an important source of profitability and increase in the value of Greek banking groups. However, high levels of interest rate risk may adversely affect their earnings and financial position. Changes in interest rates affect their results by changing the net interest rate and the value of other income or expense sensitive to interest rate changes. Interest rate fluctuations also affect the value of assets and liabilities, as the present value of future finance (and in some cases the finance itself) changes when interest rates change. Therefore, an effective risk management process that assesses, monitors and helps maintain interest rate risk within acceptable limits (through effective hedging, where necessary) is critical to the financial soundness of Greek banking groups.</w:t>
      </w:r>
      <w:r w:rsidR="00905B0E">
        <w:rPr>
          <w:rFonts w:ascii="Times New Roman" w:hAnsi="Times New Roman" w:cs="Times New Roman"/>
          <w:sz w:val="24"/>
          <w:szCs w:val="24"/>
          <w:lang w:val="en-US"/>
        </w:rPr>
        <w:t xml:space="preserve"> </w:t>
      </w:r>
      <w:r w:rsidR="00905B0E" w:rsidRPr="00905B0E">
        <w:rPr>
          <w:rFonts w:ascii="Times New Roman" w:hAnsi="Times New Roman" w:cs="Times New Roman"/>
          <w:sz w:val="24"/>
          <w:szCs w:val="24"/>
          <w:lang w:val="en-US"/>
        </w:rPr>
        <w:t>Interest Rate Risk Analysis allows interest rate risk to be estimated through the "Interest Rate Interest Risk" index, which expresses the negative impact on the projected annual interest rate result from a parallel across-year interest rate fluctuation in all currencies.</w:t>
      </w:r>
      <w:r w:rsidR="00905B0E">
        <w:rPr>
          <w:rFonts w:ascii="Times New Roman" w:hAnsi="Times New Roman" w:cs="Times New Roman"/>
          <w:sz w:val="24"/>
          <w:szCs w:val="24"/>
          <w:lang w:val="en-US"/>
        </w:rPr>
        <w:t xml:space="preserve"> </w:t>
      </w:r>
      <w:r w:rsidR="00905B0E">
        <w:rPr>
          <w:rStyle w:val="a4"/>
          <w:rFonts w:ascii="Times New Roman" w:hAnsi="Times New Roman" w:cs="Times New Roman"/>
          <w:sz w:val="24"/>
          <w:szCs w:val="24"/>
          <w:lang w:val="en-US"/>
        </w:rPr>
        <w:footnoteReference w:id="12"/>
      </w:r>
    </w:p>
    <w:p w:rsidR="0087227A" w:rsidRDefault="00A95A7A" w:rsidP="00905B0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table 4 below we present the results for </w:t>
      </w:r>
      <w:r w:rsidRPr="00A95A7A">
        <w:rPr>
          <w:rFonts w:ascii="Times New Roman" w:hAnsi="Times New Roman" w:cs="Times New Roman"/>
          <w:sz w:val="24"/>
          <w:szCs w:val="24"/>
          <w:lang w:val="en-US"/>
        </w:rPr>
        <w:t xml:space="preserve">the total and sub-categories of the </w:t>
      </w:r>
      <w:r>
        <w:rPr>
          <w:rFonts w:ascii="Times New Roman" w:hAnsi="Times New Roman" w:cs="Times New Roman"/>
          <w:sz w:val="24"/>
          <w:szCs w:val="24"/>
          <w:lang w:val="en-US"/>
        </w:rPr>
        <w:t xml:space="preserve">VaR for </w:t>
      </w:r>
      <w:r w:rsidRPr="00A95A7A">
        <w:rPr>
          <w:rFonts w:ascii="Times New Roman" w:hAnsi="Times New Roman" w:cs="Times New Roman"/>
          <w:sz w:val="24"/>
          <w:szCs w:val="24"/>
          <w:lang w:val="en-US"/>
        </w:rPr>
        <w:t>portfolio</w:t>
      </w:r>
      <w:r>
        <w:rPr>
          <w:rFonts w:ascii="Times New Roman" w:hAnsi="Times New Roman" w:cs="Times New Roman"/>
          <w:sz w:val="24"/>
          <w:szCs w:val="24"/>
          <w:lang w:val="en-US"/>
        </w:rPr>
        <w:t xml:space="preserve"> of Piraeus Bank.</w:t>
      </w:r>
    </w:p>
    <w:p w:rsidR="00A95A7A" w:rsidRDefault="00A95A7A" w:rsidP="00905B0E">
      <w:pPr>
        <w:spacing w:after="0"/>
        <w:jc w:val="both"/>
        <w:rPr>
          <w:rFonts w:ascii="Times New Roman" w:hAnsi="Times New Roman" w:cs="Times New Roman"/>
          <w:sz w:val="24"/>
          <w:szCs w:val="24"/>
          <w:lang w:val="en-US"/>
        </w:rPr>
      </w:pPr>
    </w:p>
    <w:p w:rsidR="00471E85" w:rsidRPr="00E515C1" w:rsidRDefault="00E515C1" w:rsidP="00471E85">
      <w:pPr>
        <w:pStyle w:val="ab"/>
        <w:spacing w:after="0" w:line="360" w:lineRule="auto"/>
        <w:jc w:val="center"/>
        <w:rPr>
          <w:rFonts w:ascii="Times New Roman" w:hAnsi="Times New Roman" w:cs="Times New Roman"/>
          <w:b w:val="0"/>
          <w:color w:val="auto"/>
          <w:sz w:val="24"/>
          <w:szCs w:val="24"/>
          <w:lang w:val="en-US"/>
        </w:rPr>
      </w:pPr>
      <w:bookmarkStart w:id="0" w:name="_Toc19391183"/>
      <w:bookmarkStart w:id="1" w:name="_Toc22409995"/>
      <w:r>
        <w:rPr>
          <w:rFonts w:ascii="Times New Roman" w:hAnsi="Times New Roman" w:cs="Times New Roman"/>
          <w:color w:val="auto"/>
          <w:sz w:val="24"/>
          <w:szCs w:val="24"/>
          <w:lang w:val="en-US"/>
        </w:rPr>
        <w:t>Table</w:t>
      </w:r>
      <w:r w:rsidRPr="00E515C1">
        <w:rPr>
          <w:rFonts w:ascii="Times New Roman" w:hAnsi="Times New Roman" w:cs="Times New Roman"/>
          <w:color w:val="auto"/>
          <w:sz w:val="24"/>
          <w:szCs w:val="24"/>
          <w:lang w:val="en-US"/>
        </w:rPr>
        <w:t xml:space="preserve"> </w:t>
      </w:r>
      <w:r w:rsidR="00A95A7A">
        <w:rPr>
          <w:rFonts w:ascii="Times New Roman" w:hAnsi="Times New Roman" w:cs="Times New Roman"/>
          <w:color w:val="auto"/>
          <w:sz w:val="24"/>
          <w:szCs w:val="24"/>
          <w:lang w:val="en-US"/>
        </w:rPr>
        <w:t>4</w:t>
      </w:r>
      <w:r w:rsidR="00471E85" w:rsidRPr="00E515C1">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VaR</w:t>
      </w:r>
      <w:r w:rsidR="00471E85" w:rsidRPr="00E515C1">
        <w:rPr>
          <w:rFonts w:ascii="Times New Roman" w:hAnsi="Times New Roman" w:cs="Times New Roman"/>
          <w:color w:val="auto"/>
          <w:sz w:val="24"/>
          <w:szCs w:val="24"/>
          <w:lang w:val="en-US"/>
        </w:rPr>
        <w:t xml:space="preserve"> </w:t>
      </w:r>
      <w:r w:rsidRPr="00E515C1">
        <w:rPr>
          <w:rFonts w:ascii="Times New Roman" w:hAnsi="Times New Roman" w:cs="Times New Roman"/>
          <w:color w:val="auto"/>
          <w:sz w:val="24"/>
          <w:szCs w:val="24"/>
          <w:lang w:val="en-US"/>
        </w:rPr>
        <w:t>Piraeus Bank</w:t>
      </w:r>
      <w:r w:rsidR="00D4000A">
        <w:rPr>
          <w:rFonts w:ascii="Times New Roman" w:hAnsi="Times New Roman" w:cs="Times New Roman"/>
          <w:color w:val="auto"/>
          <w:sz w:val="24"/>
          <w:szCs w:val="24"/>
          <w:lang w:val="en-US"/>
        </w:rPr>
        <w:t xml:space="preserve"> Group -</w:t>
      </w:r>
      <w:r w:rsidRPr="00E515C1">
        <w:rPr>
          <w:rFonts w:ascii="Times New Roman" w:hAnsi="Times New Roman" w:cs="Times New Roman"/>
          <w:color w:val="auto"/>
          <w:sz w:val="24"/>
          <w:szCs w:val="24"/>
          <w:lang w:val="en-US"/>
        </w:rPr>
        <w:t xml:space="preserve"> Trading Portfolio </w:t>
      </w:r>
      <w:bookmarkEnd w:id="0"/>
      <w:bookmarkEnd w:id="1"/>
      <w:r>
        <w:rPr>
          <w:rFonts w:ascii="Times New Roman" w:hAnsi="Times New Roman" w:cs="Times New Roman"/>
          <w:color w:val="auto"/>
          <w:sz w:val="24"/>
          <w:szCs w:val="24"/>
          <w:lang w:val="en-US"/>
        </w:rPr>
        <w:t>in million Euros</w:t>
      </w:r>
    </w:p>
    <w:tbl>
      <w:tblPr>
        <w:tblW w:w="8339" w:type="dxa"/>
        <w:jc w:val="center"/>
        <w:tblInd w:w="896" w:type="dxa"/>
        <w:tblLook w:val="04A0"/>
      </w:tblPr>
      <w:tblGrid>
        <w:gridCol w:w="833"/>
        <w:gridCol w:w="838"/>
        <w:gridCol w:w="1077"/>
        <w:gridCol w:w="1099"/>
        <w:gridCol w:w="1286"/>
        <w:gridCol w:w="1483"/>
        <w:gridCol w:w="1723"/>
      </w:tblGrid>
      <w:tr w:rsidR="00E515C1" w:rsidRPr="00052F49" w:rsidTr="00C82822">
        <w:trPr>
          <w:trHeight w:hRule="exact" w:val="80"/>
          <w:jc w:val="center"/>
        </w:trPr>
        <w:tc>
          <w:tcPr>
            <w:tcW w:w="834"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471E85" w:rsidRPr="00A95A7A" w:rsidRDefault="00E515C1" w:rsidP="00471E85">
            <w:pPr>
              <w:spacing w:after="0" w:line="240" w:lineRule="auto"/>
              <w:jc w:val="center"/>
              <w:rPr>
                <w:rFonts w:ascii="Times New Roman" w:eastAsia="Times New Roman" w:hAnsi="Times New Roman" w:cs="Times New Roman"/>
                <w:b/>
                <w:bCs/>
                <w:sz w:val="24"/>
                <w:szCs w:val="24"/>
                <w:lang w:val="en-US" w:eastAsia="el-GR"/>
              </w:rPr>
            </w:pPr>
            <w:r w:rsidRPr="00A95A7A">
              <w:rPr>
                <w:rFonts w:ascii="Times New Roman" w:eastAsia="Times New Roman" w:hAnsi="Times New Roman" w:cs="Times New Roman"/>
                <w:b/>
                <w:bCs/>
                <w:sz w:val="24"/>
                <w:szCs w:val="24"/>
                <w:lang w:val="en-US" w:eastAsia="el-GR"/>
              </w:rPr>
              <w:t>Years</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471E85" w:rsidRPr="00A95A7A" w:rsidRDefault="00471E85" w:rsidP="00471E8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Total VaR</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471E85" w:rsidRPr="00A95A7A" w:rsidRDefault="00471E85" w:rsidP="00471E8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w:t>
            </w:r>
            <w:r w:rsidRPr="00A95A7A">
              <w:rPr>
                <w:rFonts w:ascii="Times New Roman" w:eastAsia="Times New Roman" w:hAnsi="Times New Roman" w:cs="Times New Roman"/>
                <w:b/>
                <w:sz w:val="24"/>
                <w:szCs w:val="24"/>
                <w:lang w:eastAsia="el-GR"/>
              </w:rPr>
              <w:t xml:space="preserve"> </w:t>
            </w:r>
            <w:r w:rsidRPr="00A95A7A">
              <w:rPr>
                <w:rFonts w:ascii="Times New Roman" w:eastAsia="Times New Roman" w:hAnsi="Times New Roman" w:cs="Times New Roman"/>
                <w:b/>
                <w:bCs/>
                <w:sz w:val="24"/>
                <w:szCs w:val="24"/>
                <w:lang w:eastAsia="el-GR"/>
              </w:rPr>
              <w:t>Interest Rate Risk</w:t>
            </w:r>
          </w:p>
        </w:tc>
        <w:tc>
          <w:tcPr>
            <w:tcW w:w="1130"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471E85" w:rsidRPr="00A95A7A" w:rsidRDefault="00471E85" w:rsidP="00471E8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w:t>
            </w:r>
            <w:r w:rsidRPr="00A95A7A">
              <w:rPr>
                <w:rFonts w:ascii="Times New Roman" w:eastAsia="Times New Roman" w:hAnsi="Times New Roman" w:cs="Times New Roman"/>
                <w:b/>
                <w:sz w:val="24"/>
                <w:szCs w:val="24"/>
                <w:lang w:eastAsia="el-GR"/>
              </w:rPr>
              <w:t xml:space="preserve"> </w:t>
            </w:r>
            <w:r w:rsidRPr="00A95A7A">
              <w:rPr>
                <w:rFonts w:ascii="Times New Roman" w:eastAsia="Times New Roman" w:hAnsi="Times New Roman" w:cs="Times New Roman"/>
                <w:b/>
                <w:bCs/>
                <w:sz w:val="24"/>
                <w:szCs w:val="24"/>
                <w:lang w:eastAsia="el-GR"/>
              </w:rPr>
              <w:t>Stock Risk</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471E85" w:rsidRPr="00A95A7A" w:rsidRDefault="00471E85" w:rsidP="00471E8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w:t>
            </w:r>
            <w:r w:rsidRPr="00A95A7A">
              <w:rPr>
                <w:rFonts w:ascii="Times New Roman" w:eastAsia="Times New Roman" w:hAnsi="Times New Roman" w:cs="Times New Roman"/>
                <w:b/>
                <w:sz w:val="24"/>
                <w:szCs w:val="24"/>
                <w:lang w:eastAsia="el-GR"/>
              </w:rPr>
              <w:t xml:space="preserve"> Foreign </w:t>
            </w:r>
            <w:r w:rsidRPr="00A95A7A">
              <w:rPr>
                <w:rFonts w:ascii="Times New Roman" w:eastAsia="Times New Roman" w:hAnsi="Times New Roman" w:cs="Times New Roman"/>
                <w:b/>
                <w:bCs/>
                <w:sz w:val="24"/>
                <w:szCs w:val="24"/>
                <w:lang w:eastAsia="el-GR"/>
              </w:rPr>
              <w:t>Exchange Risk</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471E85" w:rsidRPr="00A95A7A" w:rsidRDefault="00471E85" w:rsidP="00471E8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 xml:space="preserve">VaR </w:t>
            </w:r>
            <w:r w:rsidR="00F279AC" w:rsidRPr="00A95A7A">
              <w:rPr>
                <w:rFonts w:ascii="Times New Roman" w:eastAsia="Times New Roman" w:hAnsi="Times New Roman" w:cs="Times New Roman"/>
                <w:b/>
                <w:bCs/>
                <w:sz w:val="24"/>
                <w:szCs w:val="24"/>
                <w:lang w:val="en-US" w:eastAsia="el-GR"/>
              </w:rPr>
              <w:t>Commercial Portfolio</w:t>
            </w:r>
            <w:r w:rsidRPr="00A95A7A">
              <w:rPr>
                <w:rFonts w:ascii="Times New Roman" w:eastAsia="Times New Roman" w:hAnsi="Times New Roman" w:cs="Times New Roman"/>
                <w:b/>
                <w:bCs/>
                <w:sz w:val="24"/>
                <w:szCs w:val="24"/>
                <w:lang w:eastAsia="el-GR"/>
              </w:rPr>
              <w:t xml:space="preserve"> Risk</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471E85" w:rsidRPr="00A95A7A" w:rsidRDefault="00471E85" w:rsidP="00E515C1">
            <w:pPr>
              <w:spacing w:after="0" w:line="240" w:lineRule="auto"/>
              <w:jc w:val="center"/>
              <w:rPr>
                <w:rFonts w:ascii="Times New Roman" w:eastAsia="Times New Roman" w:hAnsi="Times New Roman" w:cs="Times New Roman"/>
                <w:b/>
                <w:bCs/>
                <w:sz w:val="24"/>
                <w:szCs w:val="24"/>
                <w:lang w:val="en-US" w:eastAsia="el-GR"/>
              </w:rPr>
            </w:pPr>
            <w:r w:rsidRPr="00A95A7A">
              <w:rPr>
                <w:rFonts w:ascii="Times New Roman" w:eastAsia="Times New Roman" w:hAnsi="Times New Roman" w:cs="Times New Roman"/>
                <w:b/>
                <w:bCs/>
                <w:sz w:val="24"/>
                <w:szCs w:val="24"/>
                <w:lang w:val="en-US" w:eastAsia="el-GR"/>
              </w:rPr>
              <w:t xml:space="preserve">Reduction Due to </w:t>
            </w:r>
            <w:r w:rsidR="00E515C1" w:rsidRPr="00A95A7A">
              <w:rPr>
                <w:rFonts w:ascii="Times New Roman" w:eastAsia="Times New Roman" w:hAnsi="Times New Roman" w:cs="Times New Roman"/>
                <w:b/>
                <w:bCs/>
                <w:sz w:val="24"/>
                <w:szCs w:val="24"/>
                <w:lang w:val="en-US" w:eastAsia="el-GR"/>
              </w:rPr>
              <w:t>P</w:t>
            </w:r>
            <w:r w:rsidRPr="00A95A7A">
              <w:rPr>
                <w:rFonts w:ascii="Times New Roman" w:eastAsia="Times New Roman" w:hAnsi="Times New Roman" w:cs="Times New Roman"/>
                <w:b/>
                <w:bCs/>
                <w:sz w:val="24"/>
                <w:szCs w:val="24"/>
                <w:lang w:val="en-US" w:eastAsia="el-GR"/>
              </w:rPr>
              <w:t xml:space="preserve">ortfolio </w:t>
            </w:r>
            <w:r w:rsidR="00E515C1" w:rsidRPr="00A95A7A">
              <w:rPr>
                <w:rFonts w:ascii="Times New Roman" w:eastAsia="Times New Roman" w:hAnsi="Times New Roman" w:cs="Times New Roman"/>
                <w:b/>
                <w:bCs/>
                <w:sz w:val="24"/>
                <w:szCs w:val="24"/>
                <w:lang w:val="en-US" w:eastAsia="el-GR"/>
              </w:rPr>
              <w:t>D</w:t>
            </w:r>
            <w:r w:rsidRPr="00A95A7A">
              <w:rPr>
                <w:rFonts w:ascii="Times New Roman" w:eastAsia="Times New Roman" w:hAnsi="Times New Roman" w:cs="Times New Roman"/>
                <w:b/>
                <w:bCs/>
                <w:sz w:val="24"/>
                <w:szCs w:val="24"/>
                <w:lang w:val="en-US" w:eastAsia="el-GR"/>
              </w:rPr>
              <w:t>iversification</w:t>
            </w:r>
          </w:p>
        </w:tc>
      </w:tr>
      <w:tr w:rsidR="00E515C1" w:rsidRPr="00052F49" w:rsidTr="00C82822">
        <w:trPr>
          <w:trHeight w:val="276"/>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471E85" w:rsidRPr="00A95A7A" w:rsidRDefault="00471E85" w:rsidP="00471E85">
            <w:pPr>
              <w:spacing w:after="0" w:line="240" w:lineRule="auto"/>
              <w:rPr>
                <w:rFonts w:ascii="Times New Roman" w:eastAsia="Times New Roman" w:hAnsi="Times New Roman" w:cs="Times New Roman"/>
                <w:b/>
                <w:bCs/>
                <w:sz w:val="24"/>
                <w:szCs w:val="24"/>
                <w:lang w:val="en-US" w:eastAsia="el-GR"/>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71E85" w:rsidRPr="00A95A7A" w:rsidRDefault="00471E85" w:rsidP="00471E85">
            <w:pPr>
              <w:spacing w:after="0" w:line="240" w:lineRule="auto"/>
              <w:rPr>
                <w:rFonts w:ascii="Times New Roman" w:eastAsia="Times New Roman" w:hAnsi="Times New Roman" w:cs="Times New Roman"/>
                <w:b/>
                <w:bCs/>
                <w:sz w:val="24"/>
                <w:szCs w:val="24"/>
                <w:lang w:val="en-US" w:eastAsia="el-GR"/>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471E85" w:rsidRPr="00A95A7A" w:rsidRDefault="00471E85" w:rsidP="00471E85">
            <w:pPr>
              <w:spacing w:after="0" w:line="240" w:lineRule="auto"/>
              <w:rPr>
                <w:rFonts w:ascii="Times New Roman" w:eastAsia="Times New Roman" w:hAnsi="Times New Roman" w:cs="Times New Roman"/>
                <w:b/>
                <w:bCs/>
                <w:sz w:val="24"/>
                <w:szCs w:val="24"/>
                <w:lang w:val="en-US" w:eastAsia="el-GR"/>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471E85" w:rsidRPr="00A95A7A" w:rsidRDefault="00471E85" w:rsidP="00471E85">
            <w:pPr>
              <w:spacing w:after="0" w:line="240" w:lineRule="auto"/>
              <w:rPr>
                <w:rFonts w:ascii="Times New Roman" w:eastAsia="Times New Roman" w:hAnsi="Times New Roman" w:cs="Times New Roman"/>
                <w:b/>
                <w:bCs/>
                <w:sz w:val="24"/>
                <w:szCs w:val="24"/>
                <w:lang w:val="en-US" w:eastAsia="el-GR"/>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471E85" w:rsidRPr="00A95A7A" w:rsidRDefault="00471E85" w:rsidP="00471E85">
            <w:pPr>
              <w:spacing w:after="0" w:line="240" w:lineRule="auto"/>
              <w:rPr>
                <w:rFonts w:ascii="Times New Roman" w:eastAsia="Times New Roman" w:hAnsi="Times New Roman" w:cs="Times New Roman"/>
                <w:b/>
                <w:bCs/>
                <w:sz w:val="24"/>
                <w:szCs w:val="24"/>
                <w:lang w:val="en-US" w:eastAsia="el-GR"/>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471E85" w:rsidRPr="00A95A7A" w:rsidRDefault="00471E85" w:rsidP="00471E85">
            <w:pPr>
              <w:spacing w:after="0" w:line="240" w:lineRule="auto"/>
              <w:rPr>
                <w:rFonts w:ascii="Times New Roman" w:eastAsia="Times New Roman" w:hAnsi="Times New Roman" w:cs="Times New Roman"/>
                <w:b/>
                <w:bCs/>
                <w:sz w:val="24"/>
                <w:szCs w:val="24"/>
                <w:lang w:val="en-US" w:eastAsia="el-GR"/>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71E85" w:rsidRPr="00A95A7A" w:rsidRDefault="00471E85" w:rsidP="00471E85">
            <w:pPr>
              <w:spacing w:after="0" w:line="240" w:lineRule="auto"/>
              <w:rPr>
                <w:rFonts w:ascii="Times New Roman" w:eastAsia="Times New Roman" w:hAnsi="Times New Roman" w:cs="Times New Roman"/>
                <w:b/>
                <w:bCs/>
                <w:sz w:val="24"/>
                <w:szCs w:val="24"/>
                <w:lang w:val="en-US" w:eastAsia="el-GR"/>
              </w:rPr>
            </w:pP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242021"/>
                <w:sz w:val="24"/>
                <w:szCs w:val="24"/>
                <w:lang w:eastAsia="el-GR"/>
              </w:rPr>
            </w:pPr>
            <w:r w:rsidRPr="00A95A7A">
              <w:rPr>
                <w:rFonts w:ascii="Times New Roman" w:eastAsia="Times New Roman" w:hAnsi="Times New Roman" w:cs="Times New Roman"/>
                <w:bCs/>
                <w:color w:val="242021"/>
                <w:sz w:val="24"/>
                <w:szCs w:val="24"/>
                <w:lang w:eastAsia="el-GR"/>
              </w:rPr>
              <w:t>2010</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4.05</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0.86</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3.08</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2.68</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0.16</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-2.73</w:t>
            </w: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000000"/>
                <w:sz w:val="24"/>
                <w:szCs w:val="24"/>
                <w:lang w:eastAsia="el-GR"/>
              </w:rPr>
            </w:pPr>
            <w:r w:rsidRPr="00A95A7A">
              <w:rPr>
                <w:rFonts w:ascii="Times New Roman" w:eastAsia="Times New Roman" w:hAnsi="Times New Roman" w:cs="Times New Roman"/>
                <w:bCs/>
                <w:color w:val="000000"/>
                <w:sz w:val="24"/>
                <w:szCs w:val="24"/>
                <w:lang w:val="en-US" w:eastAsia="el-GR"/>
              </w:rPr>
              <w:t>2011</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8,81</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8,06</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0,04</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2,41</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0,21</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-1,91</w:t>
            </w: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000000"/>
                <w:sz w:val="24"/>
                <w:szCs w:val="24"/>
                <w:lang w:eastAsia="el-GR"/>
              </w:rPr>
            </w:pPr>
            <w:r w:rsidRPr="00A95A7A">
              <w:rPr>
                <w:rFonts w:ascii="Times New Roman" w:eastAsia="Times New Roman" w:hAnsi="Times New Roman" w:cs="Times New Roman"/>
                <w:bCs/>
                <w:color w:val="000000"/>
                <w:sz w:val="24"/>
                <w:szCs w:val="24"/>
                <w:lang w:val="en-US" w:eastAsia="el-GR"/>
              </w:rPr>
              <w:t>2012</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1,32</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0,46</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0,01</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1,13</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0,1</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-0,38</w:t>
            </w: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000000"/>
                <w:sz w:val="24"/>
                <w:szCs w:val="24"/>
                <w:lang w:eastAsia="el-GR"/>
              </w:rPr>
            </w:pPr>
            <w:r w:rsidRPr="00A95A7A">
              <w:rPr>
                <w:rFonts w:ascii="Times New Roman" w:eastAsia="Times New Roman" w:hAnsi="Times New Roman" w:cs="Times New Roman"/>
                <w:bCs/>
                <w:color w:val="000000"/>
                <w:sz w:val="24"/>
                <w:szCs w:val="24"/>
                <w:lang w:val="en-US" w:eastAsia="el-GR"/>
              </w:rPr>
              <w:t>2013</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bCs/>
                <w:color w:val="000000"/>
                <w:sz w:val="24"/>
                <w:szCs w:val="24"/>
                <w:lang w:eastAsia="el-GR"/>
              </w:rPr>
              <w:t>1,27</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0,42</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0,01</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1,14</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0,05</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-0,34</w:t>
            </w: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000000"/>
                <w:sz w:val="24"/>
                <w:szCs w:val="24"/>
                <w:lang w:eastAsia="el-GR"/>
              </w:rPr>
            </w:pPr>
            <w:r w:rsidRPr="00A95A7A">
              <w:rPr>
                <w:rFonts w:ascii="Times New Roman" w:eastAsia="Times New Roman" w:hAnsi="Times New Roman" w:cs="Times New Roman"/>
                <w:bCs/>
                <w:color w:val="000000"/>
                <w:sz w:val="24"/>
                <w:szCs w:val="24"/>
                <w:lang w:val="en-US" w:eastAsia="el-GR"/>
              </w:rPr>
              <w:t>2014</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4,15</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3,33</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2,64</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0,07</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-1,88</w:t>
            </w: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000000"/>
                <w:sz w:val="24"/>
                <w:szCs w:val="24"/>
                <w:lang w:eastAsia="el-GR"/>
              </w:rPr>
            </w:pPr>
            <w:r w:rsidRPr="00A95A7A">
              <w:rPr>
                <w:rFonts w:ascii="Times New Roman" w:eastAsia="Times New Roman" w:hAnsi="Times New Roman" w:cs="Times New Roman"/>
                <w:bCs/>
                <w:color w:val="000000"/>
                <w:sz w:val="24"/>
                <w:szCs w:val="24"/>
                <w:lang w:val="en-US" w:eastAsia="el-GR"/>
              </w:rPr>
              <w:t>2015</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3,81</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2,81</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2,68</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-1,68</w:t>
            </w: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000000"/>
                <w:sz w:val="24"/>
                <w:szCs w:val="24"/>
                <w:lang w:eastAsia="el-GR"/>
              </w:rPr>
            </w:pPr>
            <w:r w:rsidRPr="00A95A7A">
              <w:rPr>
                <w:rFonts w:ascii="Times New Roman" w:eastAsia="Times New Roman" w:hAnsi="Times New Roman" w:cs="Times New Roman"/>
                <w:bCs/>
                <w:color w:val="000000"/>
                <w:sz w:val="24"/>
                <w:szCs w:val="24"/>
                <w:lang w:val="en-US" w:eastAsia="el-GR"/>
              </w:rPr>
              <w:t>2016</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0.81</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0.37</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0.82</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-0.38</w:t>
            </w:r>
          </w:p>
        </w:tc>
      </w:tr>
      <w:tr w:rsidR="00E515C1" w:rsidRPr="00C82822" w:rsidTr="00E515C1">
        <w:trPr>
          <w:trHeight w:hRule="exact" w:val="315"/>
          <w:jc w:val="cent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bCs/>
                <w:color w:val="000000"/>
                <w:sz w:val="24"/>
                <w:szCs w:val="24"/>
                <w:lang w:eastAsia="el-GR"/>
              </w:rPr>
            </w:pPr>
            <w:r w:rsidRPr="00A95A7A">
              <w:rPr>
                <w:rFonts w:ascii="Times New Roman" w:eastAsia="Times New Roman" w:hAnsi="Times New Roman" w:cs="Times New Roman"/>
                <w:bCs/>
                <w:color w:val="000000"/>
                <w:sz w:val="24"/>
                <w:szCs w:val="24"/>
                <w:lang w:val="en-US" w:eastAsia="el-GR"/>
              </w:rPr>
              <w:t>2017</w:t>
            </w:r>
          </w:p>
        </w:tc>
        <w:tc>
          <w:tcPr>
            <w:tcW w:w="846"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0,52</w:t>
            </w:r>
          </w:p>
        </w:tc>
        <w:tc>
          <w:tcPr>
            <w:tcW w:w="108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0,21</w:t>
            </w:r>
          </w:p>
        </w:tc>
        <w:tc>
          <w:tcPr>
            <w:tcW w:w="11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29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0,48</w:t>
            </w:r>
          </w:p>
        </w:tc>
        <w:tc>
          <w:tcPr>
            <w:tcW w:w="1430"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0,01</w:t>
            </w:r>
          </w:p>
        </w:tc>
        <w:tc>
          <w:tcPr>
            <w:tcW w:w="1723" w:type="dxa"/>
            <w:tcBorders>
              <w:top w:val="nil"/>
              <w:left w:val="nil"/>
              <w:bottom w:val="single" w:sz="4" w:space="0" w:color="auto"/>
              <w:right w:val="single" w:sz="4" w:space="0" w:color="auto"/>
            </w:tcBorders>
            <w:shd w:val="clear" w:color="auto" w:fill="auto"/>
            <w:vAlign w:val="center"/>
            <w:hideMark/>
          </w:tcPr>
          <w:p w:rsidR="00471E85" w:rsidRPr="00A95A7A" w:rsidRDefault="00471E85" w:rsidP="00471E8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-0,18</w:t>
            </w:r>
          </w:p>
        </w:tc>
      </w:tr>
    </w:tbl>
    <w:p w:rsidR="00471E85" w:rsidRDefault="00E515C1" w:rsidP="001C7A04">
      <w:pPr>
        <w:spacing w:after="0"/>
        <w:jc w:val="both"/>
        <w:rPr>
          <w:rFonts w:ascii="Times New Roman" w:hAnsi="Times New Roman" w:cs="Times New Roman"/>
          <w:sz w:val="20"/>
          <w:szCs w:val="20"/>
          <w:lang w:val="en-US"/>
        </w:rPr>
      </w:pPr>
      <w:r w:rsidRPr="00E515C1">
        <w:rPr>
          <w:rFonts w:ascii="Times New Roman" w:hAnsi="Times New Roman" w:cs="Times New Roman"/>
          <w:sz w:val="20"/>
          <w:szCs w:val="20"/>
          <w:lang w:val="en-US"/>
        </w:rPr>
        <w:t>Source Bank</w:t>
      </w:r>
      <w:r w:rsidR="005D72FB">
        <w:rPr>
          <w:rFonts w:ascii="Times New Roman" w:hAnsi="Times New Roman" w:cs="Times New Roman"/>
          <w:sz w:val="20"/>
          <w:szCs w:val="20"/>
          <w:lang w:val="en-US"/>
        </w:rPr>
        <w:t>'s</w:t>
      </w:r>
      <w:r w:rsidRPr="00E515C1">
        <w:rPr>
          <w:rFonts w:ascii="Times New Roman" w:hAnsi="Times New Roman" w:cs="Times New Roman"/>
          <w:sz w:val="20"/>
          <w:szCs w:val="20"/>
          <w:lang w:val="en-US"/>
        </w:rPr>
        <w:t xml:space="preserve"> publications based on Pillar III of Basel Committee II and III - Edit and Own research</w:t>
      </w:r>
    </w:p>
    <w:p w:rsidR="00A95A7A" w:rsidRDefault="00A95A7A" w:rsidP="001509E5">
      <w:pPr>
        <w:pStyle w:val="ab"/>
        <w:spacing w:after="0" w:line="360" w:lineRule="auto"/>
        <w:jc w:val="center"/>
        <w:rPr>
          <w:rFonts w:ascii="Times New Roman" w:hAnsi="Times New Roman" w:cs="Times New Roman"/>
          <w:color w:val="auto"/>
          <w:sz w:val="24"/>
          <w:szCs w:val="24"/>
          <w:lang w:val="en-US"/>
        </w:rPr>
      </w:pPr>
    </w:p>
    <w:p w:rsidR="00A95A7A" w:rsidRDefault="00A95A7A" w:rsidP="001509E5">
      <w:pPr>
        <w:pStyle w:val="ab"/>
        <w:spacing w:after="0" w:line="360" w:lineRule="auto"/>
        <w:jc w:val="center"/>
        <w:rPr>
          <w:rFonts w:ascii="Times New Roman" w:hAnsi="Times New Roman" w:cs="Times New Roman"/>
          <w:color w:val="auto"/>
          <w:sz w:val="24"/>
          <w:szCs w:val="24"/>
          <w:lang w:val="en-US"/>
        </w:rPr>
      </w:pPr>
    </w:p>
    <w:p w:rsidR="00A95A7A" w:rsidRDefault="00A95A7A" w:rsidP="001509E5">
      <w:pPr>
        <w:pStyle w:val="ab"/>
        <w:spacing w:after="0" w:line="360" w:lineRule="auto"/>
        <w:jc w:val="center"/>
        <w:rPr>
          <w:rFonts w:ascii="Times New Roman" w:hAnsi="Times New Roman" w:cs="Times New Roman"/>
          <w:color w:val="auto"/>
          <w:sz w:val="24"/>
          <w:szCs w:val="24"/>
          <w:lang w:val="en-US"/>
        </w:rPr>
      </w:pPr>
    </w:p>
    <w:p w:rsidR="00A95A7A" w:rsidRDefault="00A95A7A" w:rsidP="001509E5">
      <w:pPr>
        <w:pStyle w:val="ab"/>
        <w:spacing w:after="0" w:line="360" w:lineRule="auto"/>
        <w:jc w:val="center"/>
        <w:rPr>
          <w:rFonts w:ascii="Times New Roman" w:hAnsi="Times New Roman" w:cs="Times New Roman"/>
          <w:color w:val="auto"/>
          <w:sz w:val="24"/>
          <w:szCs w:val="24"/>
          <w:lang w:val="en-US"/>
        </w:rPr>
      </w:pPr>
    </w:p>
    <w:p w:rsidR="00A95A7A" w:rsidRDefault="00A95A7A" w:rsidP="001509E5">
      <w:pPr>
        <w:pStyle w:val="ab"/>
        <w:spacing w:after="0" w:line="360" w:lineRule="auto"/>
        <w:jc w:val="center"/>
        <w:rPr>
          <w:rFonts w:ascii="Times New Roman" w:hAnsi="Times New Roman" w:cs="Times New Roman"/>
          <w:color w:val="auto"/>
          <w:sz w:val="24"/>
          <w:szCs w:val="24"/>
          <w:lang w:val="en-US"/>
        </w:rPr>
      </w:pPr>
    </w:p>
    <w:p w:rsidR="00A95A7A" w:rsidRDefault="00A95A7A" w:rsidP="001509E5">
      <w:pPr>
        <w:pStyle w:val="ab"/>
        <w:spacing w:after="0" w:line="360" w:lineRule="auto"/>
        <w:jc w:val="center"/>
        <w:rPr>
          <w:rFonts w:ascii="Times New Roman" w:hAnsi="Times New Roman" w:cs="Times New Roman"/>
          <w:color w:val="auto"/>
          <w:sz w:val="24"/>
          <w:szCs w:val="24"/>
          <w:lang w:val="en-US"/>
        </w:rPr>
      </w:pPr>
    </w:p>
    <w:p w:rsidR="00A95A7A" w:rsidRDefault="00A95A7A" w:rsidP="00A95A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table 5 below we present the results for </w:t>
      </w:r>
      <w:r w:rsidRPr="00A95A7A">
        <w:rPr>
          <w:rFonts w:ascii="Times New Roman" w:hAnsi="Times New Roman" w:cs="Times New Roman"/>
          <w:sz w:val="24"/>
          <w:szCs w:val="24"/>
          <w:lang w:val="en-US"/>
        </w:rPr>
        <w:t xml:space="preserve">the total and sub-categories of the </w:t>
      </w:r>
      <w:r>
        <w:rPr>
          <w:rFonts w:ascii="Times New Roman" w:hAnsi="Times New Roman" w:cs="Times New Roman"/>
          <w:sz w:val="24"/>
          <w:szCs w:val="24"/>
          <w:lang w:val="en-US"/>
        </w:rPr>
        <w:t xml:space="preserve">VaR for </w:t>
      </w:r>
      <w:r w:rsidRPr="00A95A7A">
        <w:rPr>
          <w:rFonts w:ascii="Times New Roman" w:hAnsi="Times New Roman" w:cs="Times New Roman"/>
          <w:sz w:val="24"/>
          <w:szCs w:val="24"/>
          <w:lang w:val="en-US"/>
        </w:rPr>
        <w:t>portfolio</w:t>
      </w:r>
      <w:r>
        <w:rPr>
          <w:rFonts w:ascii="Times New Roman" w:hAnsi="Times New Roman" w:cs="Times New Roman"/>
          <w:sz w:val="24"/>
          <w:szCs w:val="24"/>
          <w:lang w:val="en-US"/>
        </w:rPr>
        <w:t xml:space="preserve"> of National Bank of Greece.</w:t>
      </w:r>
    </w:p>
    <w:p w:rsidR="00A95A7A" w:rsidRPr="00A95A7A" w:rsidRDefault="00A95A7A" w:rsidP="001509E5">
      <w:pPr>
        <w:pStyle w:val="ab"/>
        <w:spacing w:after="0" w:line="360" w:lineRule="auto"/>
        <w:jc w:val="center"/>
        <w:rPr>
          <w:rFonts w:ascii="Times New Roman" w:hAnsi="Times New Roman" w:cs="Times New Roman"/>
          <w:b w:val="0"/>
          <w:color w:val="auto"/>
          <w:sz w:val="24"/>
          <w:szCs w:val="24"/>
          <w:lang w:val="en-US"/>
        </w:rPr>
      </w:pPr>
    </w:p>
    <w:p w:rsidR="001509E5" w:rsidRPr="00E515C1" w:rsidRDefault="001509E5" w:rsidP="001509E5">
      <w:pPr>
        <w:pStyle w:val="ab"/>
        <w:spacing w:after="0" w:line="360" w:lineRule="auto"/>
        <w:jc w:val="center"/>
        <w:rPr>
          <w:rFonts w:ascii="Times New Roman" w:hAnsi="Times New Roman" w:cs="Times New Roman"/>
          <w:b w:val="0"/>
          <w:color w:val="auto"/>
          <w:sz w:val="24"/>
          <w:szCs w:val="24"/>
          <w:lang w:val="en-US"/>
        </w:rPr>
      </w:pPr>
      <w:r>
        <w:rPr>
          <w:rFonts w:ascii="Times New Roman" w:hAnsi="Times New Roman" w:cs="Times New Roman"/>
          <w:color w:val="auto"/>
          <w:sz w:val="24"/>
          <w:szCs w:val="24"/>
          <w:lang w:val="en-US"/>
        </w:rPr>
        <w:t>Table</w:t>
      </w:r>
      <w:r w:rsidRPr="00E515C1">
        <w:rPr>
          <w:rFonts w:ascii="Times New Roman" w:hAnsi="Times New Roman" w:cs="Times New Roman"/>
          <w:color w:val="auto"/>
          <w:sz w:val="24"/>
          <w:szCs w:val="24"/>
          <w:lang w:val="en-US"/>
        </w:rPr>
        <w:t xml:space="preserve"> </w:t>
      </w:r>
      <w:r w:rsidR="00A95A7A">
        <w:rPr>
          <w:rFonts w:ascii="Times New Roman" w:hAnsi="Times New Roman" w:cs="Times New Roman"/>
          <w:color w:val="auto"/>
          <w:sz w:val="24"/>
          <w:szCs w:val="24"/>
          <w:lang w:val="en-US"/>
        </w:rPr>
        <w:t>5</w:t>
      </w:r>
      <w:r w:rsidRPr="00E515C1">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VaR</w:t>
      </w:r>
      <w:r w:rsidRPr="00E515C1">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National</w:t>
      </w:r>
      <w:r w:rsidRPr="00E515C1">
        <w:rPr>
          <w:rFonts w:ascii="Times New Roman" w:hAnsi="Times New Roman" w:cs="Times New Roman"/>
          <w:color w:val="auto"/>
          <w:sz w:val="24"/>
          <w:szCs w:val="24"/>
          <w:lang w:val="en-US"/>
        </w:rPr>
        <w:t xml:space="preserve"> Bank</w:t>
      </w:r>
      <w:r w:rsidR="00D4000A">
        <w:rPr>
          <w:rFonts w:ascii="Times New Roman" w:hAnsi="Times New Roman" w:cs="Times New Roman"/>
          <w:color w:val="auto"/>
          <w:sz w:val="24"/>
          <w:szCs w:val="24"/>
          <w:lang w:val="en-US"/>
        </w:rPr>
        <w:t xml:space="preserve"> Group -</w:t>
      </w:r>
      <w:r w:rsidRPr="00E515C1">
        <w:rPr>
          <w:rFonts w:ascii="Times New Roman" w:hAnsi="Times New Roman" w:cs="Times New Roman"/>
          <w:color w:val="auto"/>
          <w:sz w:val="24"/>
          <w:szCs w:val="24"/>
          <w:lang w:val="en-US"/>
        </w:rPr>
        <w:t xml:space="preserve"> Trading Portfolio </w:t>
      </w:r>
      <w:r>
        <w:rPr>
          <w:rFonts w:ascii="Times New Roman" w:hAnsi="Times New Roman" w:cs="Times New Roman"/>
          <w:color w:val="auto"/>
          <w:sz w:val="24"/>
          <w:szCs w:val="24"/>
          <w:lang w:val="en-US"/>
        </w:rPr>
        <w:t>in million Euros</w:t>
      </w:r>
    </w:p>
    <w:tbl>
      <w:tblPr>
        <w:tblW w:w="7920" w:type="dxa"/>
        <w:tblInd w:w="95" w:type="dxa"/>
        <w:tblLook w:val="04A0"/>
      </w:tblPr>
      <w:tblGrid>
        <w:gridCol w:w="842"/>
        <w:gridCol w:w="799"/>
        <w:gridCol w:w="1016"/>
        <w:gridCol w:w="821"/>
        <w:gridCol w:w="1236"/>
        <w:gridCol w:w="1483"/>
        <w:gridCol w:w="1723"/>
      </w:tblGrid>
      <w:tr w:rsidR="001509E5" w:rsidRPr="00052F49" w:rsidTr="00C212AE">
        <w:trPr>
          <w:trHeight w:hRule="exact" w:val="803"/>
        </w:trPr>
        <w:tc>
          <w:tcPr>
            <w:tcW w:w="902"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1509E5" w:rsidRPr="00A95A7A" w:rsidRDefault="001509E5" w:rsidP="001509E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Years</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1509E5" w:rsidRPr="00A95A7A" w:rsidRDefault="001509E5" w:rsidP="001509E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Total VaR</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1509E5" w:rsidRPr="00A95A7A" w:rsidRDefault="001509E5" w:rsidP="001509E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Interest Rate Risk</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1509E5" w:rsidRPr="00A95A7A" w:rsidRDefault="001509E5" w:rsidP="001509E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Stock Risk</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1509E5" w:rsidRPr="00A95A7A" w:rsidRDefault="001509E5" w:rsidP="001509E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Foreign Exchange Risk</w:t>
            </w:r>
          </w:p>
        </w:tc>
        <w:tc>
          <w:tcPr>
            <w:tcW w:w="1230"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1509E5" w:rsidRPr="00A95A7A" w:rsidRDefault="001509E5" w:rsidP="001509E5">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 xml:space="preserve">VaR </w:t>
            </w:r>
            <w:r w:rsidR="00F279AC" w:rsidRPr="00A95A7A">
              <w:rPr>
                <w:rFonts w:ascii="Times New Roman" w:eastAsia="Times New Roman" w:hAnsi="Times New Roman" w:cs="Times New Roman"/>
                <w:b/>
                <w:bCs/>
                <w:sz w:val="24"/>
                <w:szCs w:val="24"/>
                <w:lang w:val="en-US" w:eastAsia="el-GR"/>
              </w:rPr>
              <w:t>Commercial Portfolio</w:t>
            </w:r>
            <w:r w:rsidRPr="00A95A7A">
              <w:rPr>
                <w:rFonts w:ascii="Times New Roman" w:eastAsia="Times New Roman" w:hAnsi="Times New Roman" w:cs="Times New Roman"/>
                <w:b/>
                <w:bCs/>
                <w:sz w:val="24"/>
                <w:szCs w:val="24"/>
                <w:lang w:eastAsia="el-GR"/>
              </w:rPr>
              <w:t xml:space="preserve"> Risk</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1509E5" w:rsidRPr="00A95A7A" w:rsidRDefault="001509E5" w:rsidP="001509E5">
            <w:pPr>
              <w:spacing w:after="0" w:line="240" w:lineRule="auto"/>
              <w:jc w:val="center"/>
              <w:rPr>
                <w:rFonts w:ascii="Times New Roman" w:eastAsia="Times New Roman" w:hAnsi="Times New Roman" w:cs="Times New Roman"/>
                <w:b/>
                <w:bCs/>
                <w:sz w:val="24"/>
                <w:szCs w:val="24"/>
                <w:lang w:val="en-US" w:eastAsia="el-GR"/>
              </w:rPr>
            </w:pPr>
            <w:r w:rsidRPr="00A95A7A">
              <w:rPr>
                <w:rFonts w:ascii="Times New Roman" w:eastAsia="Times New Roman" w:hAnsi="Times New Roman" w:cs="Times New Roman"/>
                <w:b/>
                <w:bCs/>
                <w:sz w:val="24"/>
                <w:szCs w:val="24"/>
                <w:lang w:val="en-US" w:eastAsia="el-GR"/>
              </w:rPr>
              <w:t>Reduction Due to Portfolio Diversification</w:t>
            </w:r>
          </w:p>
        </w:tc>
      </w:tr>
      <w:tr w:rsidR="001509E5" w:rsidRPr="00052F49" w:rsidTr="00C212AE">
        <w:trPr>
          <w:trHeight w:val="276"/>
        </w:trPr>
        <w:tc>
          <w:tcPr>
            <w:tcW w:w="902" w:type="dxa"/>
            <w:vMerge/>
            <w:tcBorders>
              <w:top w:val="single" w:sz="4" w:space="0" w:color="auto"/>
              <w:left w:val="single" w:sz="4" w:space="0" w:color="auto"/>
              <w:bottom w:val="single" w:sz="4" w:space="0" w:color="auto"/>
              <w:right w:val="single" w:sz="4" w:space="0" w:color="auto"/>
            </w:tcBorders>
            <w:vAlign w:val="center"/>
            <w:hideMark/>
          </w:tcPr>
          <w:p w:rsidR="001509E5" w:rsidRPr="00A95A7A" w:rsidRDefault="001509E5" w:rsidP="001509E5">
            <w:pPr>
              <w:spacing w:after="0" w:line="240" w:lineRule="auto"/>
              <w:rPr>
                <w:rFonts w:ascii="Times New Roman" w:eastAsia="Times New Roman" w:hAnsi="Times New Roman" w:cs="Times New Roman"/>
                <w:b/>
                <w:bCs/>
                <w:sz w:val="24"/>
                <w:szCs w:val="24"/>
                <w:lang w:val="en-US" w:eastAsia="el-G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509E5" w:rsidRPr="00A95A7A" w:rsidRDefault="001509E5" w:rsidP="001509E5">
            <w:pPr>
              <w:spacing w:after="0" w:line="240" w:lineRule="auto"/>
              <w:rPr>
                <w:rFonts w:ascii="Times New Roman" w:eastAsia="Times New Roman" w:hAnsi="Times New Roman" w:cs="Times New Roman"/>
                <w:b/>
                <w:bCs/>
                <w:sz w:val="24"/>
                <w:szCs w:val="24"/>
                <w:lang w:val="en-US"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509E5" w:rsidRPr="00A95A7A" w:rsidRDefault="001509E5" w:rsidP="001509E5">
            <w:pPr>
              <w:spacing w:after="0" w:line="240" w:lineRule="auto"/>
              <w:rPr>
                <w:rFonts w:ascii="Times New Roman" w:eastAsia="Times New Roman" w:hAnsi="Times New Roman" w:cs="Times New Roman"/>
                <w:b/>
                <w:bCs/>
                <w:sz w:val="24"/>
                <w:szCs w:val="24"/>
                <w:lang w:val="en-US" w:eastAsia="el-GR"/>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509E5" w:rsidRPr="00A95A7A" w:rsidRDefault="001509E5" w:rsidP="001509E5">
            <w:pPr>
              <w:spacing w:after="0" w:line="240" w:lineRule="auto"/>
              <w:rPr>
                <w:rFonts w:ascii="Times New Roman" w:eastAsia="Times New Roman" w:hAnsi="Times New Roman" w:cs="Times New Roman"/>
                <w:b/>
                <w:bCs/>
                <w:sz w:val="24"/>
                <w:szCs w:val="24"/>
                <w:lang w:val="en-US" w:eastAsia="el-GR"/>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1509E5" w:rsidRPr="00A95A7A" w:rsidRDefault="001509E5" w:rsidP="001509E5">
            <w:pPr>
              <w:spacing w:after="0" w:line="240" w:lineRule="auto"/>
              <w:rPr>
                <w:rFonts w:ascii="Times New Roman" w:eastAsia="Times New Roman" w:hAnsi="Times New Roman" w:cs="Times New Roman"/>
                <w:b/>
                <w:bCs/>
                <w:sz w:val="24"/>
                <w:szCs w:val="24"/>
                <w:lang w:val="en-US" w:eastAsia="el-GR"/>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1509E5" w:rsidRPr="00A95A7A" w:rsidRDefault="001509E5" w:rsidP="001509E5">
            <w:pPr>
              <w:spacing w:after="0" w:line="240" w:lineRule="auto"/>
              <w:rPr>
                <w:rFonts w:ascii="Times New Roman" w:eastAsia="Times New Roman" w:hAnsi="Times New Roman" w:cs="Times New Roman"/>
                <w:b/>
                <w:bCs/>
                <w:sz w:val="24"/>
                <w:szCs w:val="24"/>
                <w:lang w:val="en-US" w:eastAsia="el-GR"/>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1509E5" w:rsidRPr="00A95A7A" w:rsidRDefault="001509E5" w:rsidP="001509E5">
            <w:pPr>
              <w:spacing w:after="0" w:line="240" w:lineRule="auto"/>
              <w:rPr>
                <w:rFonts w:ascii="Times New Roman" w:eastAsia="Times New Roman" w:hAnsi="Times New Roman" w:cs="Times New Roman"/>
                <w:b/>
                <w:bCs/>
                <w:sz w:val="24"/>
                <w:szCs w:val="24"/>
                <w:lang w:val="en-US" w:eastAsia="el-GR"/>
              </w:rPr>
            </w:pP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2010</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13.2</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12.9</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1.07</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1.06</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-1.83</w:t>
            </w: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2011</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9.2</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7.7</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3.02</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1.03</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-2.55</w:t>
            </w: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2012</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11.9</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10.9</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1.05</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2.4</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noWrap/>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-2.45</w:t>
            </w: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2013</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4.9</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3.9</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1.2</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2.1</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noWrap/>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-2.3</w:t>
            </w: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2014</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2.7</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2.2</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0.9</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0.6</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noWrap/>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2015</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5.8</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5.4</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0.7</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1.3</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noWrap/>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-1.7</w:t>
            </w: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2016</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8,7</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8,4</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0,8</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0,6</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noWrap/>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-1.1</w:t>
            </w:r>
          </w:p>
        </w:tc>
      </w:tr>
      <w:tr w:rsidR="001509E5" w:rsidRPr="001509E5" w:rsidTr="001509E5">
        <w:trPr>
          <w:trHeight w:hRule="exact" w:val="315"/>
        </w:trPr>
        <w:tc>
          <w:tcPr>
            <w:tcW w:w="902" w:type="dxa"/>
            <w:tcBorders>
              <w:top w:val="nil"/>
              <w:left w:val="single" w:sz="4" w:space="0" w:color="auto"/>
              <w:bottom w:val="single" w:sz="4" w:space="0" w:color="auto"/>
              <w:right w:val="single" w:sz="4" w:space="0" w:color="auto"/>
            </w:tcBorders>
            <w:shd w:val="clear" w:color="auto" w:fill="auto"/>
            <w:hideMark/>
          </w:tcPr>
          <w:p w:rsidR="001509E5" w:rsidRPr="00A95A7A" w:rsidRDefault="001509E5" w:rsidP="001509E5">
            <w:pPr>
              <w:spacing w:after="0" w:line="240" w:lineRule="auto"/>
              <w:jc w:val="right"/>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2017</w:t>
            </w:r>
          </w:p>
        </w:tc>
        <w:tc>
          <w:tcPr>
            <w:tcW w:w="88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0.689</w:t>
            </w:r>
          </w:p>
        </w:tc>
        <w:tc>
          <w:tcPr>
            <w:tcW w:w="1016"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0.119</w:t>
            </w:r>
          </w:p>
        </w:tc>
        <w:tc>
          <w:tcPr>
            <w:tcW w:w="891"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0.104</w:t>
            </w:r>
          </w:p>
        </w:tc>
        <w:tc>
          <w:tcPr>
            <w:tcW w:w="1278"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0.277</w:t>
            </w:r>
          </w:p>
        </w:tc>
        <w:tc>
          <w:tcPr>
            <w:tcW w:w="1230" w:type="dxa"/>
            <w:tcBorders>
              <w:top w:val="nil"/>
              <w:left w:val="nil"/>
              <w:bottom w:val="single" w:sz="4" w:space="0" w:color="auto"/>
              <w:right w:val="single" w:sz="4" w:space="0" w:color="auto"/>
            </w:tcBorders>
            <w:shd w:val="clear" w:color="auto" w:fill="auto"/>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noWrap/>
            <w:vAlign w:val="center"/>
            <w:hideMark/>
          </w:tcPr>
          <w:p w:rsidR="001509E5" w:rsidRPr="00A95A7A" w:rsidRDefault="001509E5" w:rsidP="001509E5">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0.189</w:t>
            </w:r>
          </w:p>
        </w:tc>
      </w:tr>
    </w:tbl>
    <w:p w:rsidR="005D72FB" w:rsidRPr="00E515C1" w:rsidRDefault="005D72FB" w:rsidP="005D72FB">
      <w:pPr>
        <w:spacing w:after="0"/>
        <w:jc w:val="both"/>
        <w:rPr>
          <w:rFonts w:ascii="Times New Roman" w:hAnsi="Times New Roman" w:cs="Times New Roman"/>
          <w:sz w:val="20"/>
          <w:szCs w:val="20"/>
          <w:lang w:val="en-US"/>
        </w:rPr>
      </w:pPr>
      <w:r w:rsidRPr="00E515C1">
        <w:rPr>
          <w:rFonts w:ascii="Times New Roman" w:hAnsi="Times New Roman" w:cs="Times New Roman"/>
          <w:sz w:val="20"/>
          <w:szCs w:val="20"/>
          <w:lang w:val="en-US"/>
        </w:rPr>
        <w:t>Source Bank</w:t>
      </w:r>
      <w:r>
        <w:rPr>
          <w:rFonts w:ascii="Times New Roman" w:hAnsi="Times New Roman" w:cs="Times New Roman"/>
          <w:sz w:val="20"/>
          <w:szCs w:val="20"/>
          <w:lang w:val="en-US"/>
        </w:rPr>
        <w:t>'s</w:t>
      </w:r>
      <w:r w:rsidRPr="00E515C1">
        <w:rPr>
          <w:rFonts w:ascii="Times New Roman" w:hAnsi="Times New Roman" w:cs="Times New Roman"/>
          <w:sz w:val="20"/>
          <w:szCs w:val="20"/>
          <w:lang w:val="en-US"/>
        </w:rPr>
        <w:t xml:space="preserve"> publications based on Pillar III of Basel Committee II and III - Edit and Own research</w:t>
      </w:r>
    </w:p>
    <w:p w:rsidR="0087227A" w:rsidRDefault="0087227A" w:rsidP="001C7A04">
      <w:pPr>
        <w:spacing w:after="0"/>
        <w:jc w:val="both"/>
        <w:rPr>
          <w:rFonts w:ascii="Times New Roman" w:hAnsi="Times New Roman" w:cs="Times New Roman"/>
          <w:sz w:val="24"/>
          <w:szCs w:val="24"/>
          <w:lang w:val="en-US"/>
        </w:rPr>
      </w:pPr>
    </w:p>
    <w:p w:rsidR="00A95A7A" w:rsidRDefault="00A95A7A" w:rsidP="00A95A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table 6 below we present the results for </w:t>
      </w:r>
      <w:r w:rsidRPr="00A95A7A">
        <w:rPr>
          <w:rFonts w:ascii="Times New Roman" w:hAnsi="Times New Roman" w:cs="Times New Roman"/>
          <w:sz w:val="24"/>
          <w:szCs w:val="24"/>
          <w:lang w:val="en-US"/>
        </w:rPr>
        <w:t xml:space="preserve">the total and sub-categories of the </w:t>
      </w:r>
      <w:r>
        <w:rPr>
          <w:rFonts w:ascii="Times New Roman" w:hAnsi="Times New Roman" w:cs="Times New Roman"/>
          <w:sz w:val="24"/>
          <w:szCs w:val="24"/>
          <w:lang w:val="en-US"/>
        </w:rPr>
        <w:t xml:space="preserve">VaR for </w:t>
      </w:r>
      <w:r w:rsidRPr="00A95A7A">
        <w:rPr>
          <w:rFonts w:ascii="Times New Roman" w:hAnsi="Times New Roman" w:cs="Times New Roman"/>
          <w:sz w:val="24"/>
          <w:szCs w:val="24"/>
          <w:lang w:val="en-US"/>
        </w:rPr>
        <w:t>portfolio</w:t>
      </w:r>
      <w:r>
        <w:rPr>
          <w:rFonts w:ascii="Times New Roman" w:hAnsi="Times New Roman" w:cs="Times New Roman"/>
          <w:sz w:val="24"/>
          <w:szCs w:val="24"/>
          <w:lang w:val="en-US"/>
        </w:rPr>
        <w:t xml:space="preserve"> of Eurobank.</w:t>
      </w:r>
    </w:p>
    <w:p w:rsidR="00A95A7A" w:rsidRDefault="00A95A7A" w:rsidP="001C7A04">
      <w:pPr>
        <w:spacing w:after="0"/>
        <w:jc w:val="both"/>
        <w:rPr>
          <w:rFonts w:ascii="Times New Roman" w:hAnsi="Times New Roman" w:cs="Times New Roman"/>
          <w:sz w:val="24"/>
          <w:szCs w:val="24"/>
          <w:lang w:val="en-US"/>
        </w:rPr>
      </w:pPr>
    </w:p>
    <w:p w:rsidR="005D72FB" w:rsidRPr="00E515C1" w:rsidRDefault="005D72FB" w:rsidP="005D72FB">
      <w:pPr>
        <w:pStyle w:val="ab"/>
        <w:spacing w:after="0" w:line="360" w:lineRule="auto"/>
        <w:jc w:val="center"/>
        <w:rPr>
          <w:rFonts w:ascii="Times New Roman" w:hAnsi="Times New Roman" w:cs="Times New Roman"/>
          <w:b w:val="0"/>
          <w:color w:val="auto"/>
          <w:sz w:val="24"/>
          <w:szCs w:val="24"/>
          <w:lang w:val="en-US"/>
        </w:rPr>
      </w:pPr>
      <w:r>
        <w:rPr>
          <w:rFonts w:ascii="Times New Roman" w:hAnsi="Times New Roman" w:cs="Times New Roman"/>
          <w:color w:val="auto"/>
          <w:sz w:val="24"/>
          <w:szCs w:val="24"/>
          <w:lang w:val="en-US"/>
        </w:rPr>
        <w:t>Table</w:t>
      </w:r>
      <w:r w:rsidRPr="00E515C1">
        <w:rPr>
          <w:rFonts w:ascii="Times New Roman" w:hAnsi="Times New Roman" w:cs="Times New Roman"/>
          <w:color w:val="auto"/>
          <w:sz w:val="24"/>
          <w:szCs w:val="24"/>
          <w:lang w:val="en-US"/>
        </w:rPr>
        <w:t xml:space="preserve"> </w:t>
      </w:r>
      <w:r w:rsidR="00A95A7A">
        <w:rPr>
          <w:rFonts w:ascii="Times New Roman" w:hAnsi="Times New Roman" w:cs="Times New Roman"/>
          <w:color w:val="auto"/>
          <w:sz w:val="24"/>
          <w:szCs w:val="24"/>
          <w:lang w:val="en-US"/>
        </w:rPr>
        <w:t>6</w:t>
      </w:r>
      <w:r w:rsidRPr="00E515C1">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VaR</w:t>
      </w:r>
      <w:r w:rsidRPr="00E515C1">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Eurob</w:t>
      </w:r>
      <w:r w:rsidRPr="00E515C1">
        <w:rPr>
          <w:rFonts w:ascii="Times New Roman" w:hAnsi="Times New Roman" w:cs="Times New Roman"/>
          <w:color w:val="auto"/>
          <w:sz w:val="24"/>
          <w:szCs w:val="24"/>
          <w:lang w:val="en-US"/>
        </w:rPr>
        <w:t>ank</w:t>
      </w:r>
      <w:r w:rsidR="00D4000A">
        <w:rPr>
          <w:rFonts w:ascii="Times New Roman" w:hAnsi="Times New Roman" w:cs="Times New Roman"/>
          <w:color w:val="auto"/>
          <w:sz w:val="24"/>
          <w:szCs w:val="24"/>
          <w:lang w:val="en-US"/>
        </w:rPr>
        <w:t xml:space="preserve"> Group - </w:t>
      </w:r>
      <w:r w:rsidRPr="00E515C1">
        <w:rPr>
          <w:rFonts w:ascii="Times New Roman" w:hAnsi="Times New Roman" w:cs="Times New Roman"/>
          <w:color w:val="auto"/>
          <w:sz w:val="24"/>
          <w:szCs w:val="24"/>
          <w:lang w:val="en-US"/>
        </w:rPr>
        <w:t xml:space="preserve">Trading Portfolio </w:t>
      </w:r>
      <w:r>
        <w:rPr>
          <w:rFonts w:ascii="Times New Roman" w:hAnsi="Times New Roman" w:cs="Times New Roman"/>
          <w:color w:val="auto"/>
          <w:sz w:val="24"/>
          <w:szCs w:val="24"/>
          <w:lang w:val="en-US"/>
        </w:rPr>
        <w:t>in million Euros</w:t>
      </w:r>
    </w:p>
    <w:tbl>
      <w:tblPr>
        <w:tblW w:w="7986" w:type="dxa"/>
        <w:tblInd w:w="95" w:type="dxa"/>
        <w:tblLook w:val="04A0"/>
      </w:tblPr>
      <w:tblGrid>
        <w:gridCol w:w="853"/>
        <w:gridCol w:w="830"/>
        <w:gridCol w:w="1016"/>
        <w:gridCol w:w="819"/>
        <w:gridCol w:w="1262"/>
        <w:gridCol w:w="1483"/>
        <w:gridCol w:w="1723"/>
      </w:tblGrid>
      <w:tr w:rsidR="005D72FB" w:rsidRPr="00052F49" w:rsidTr="005D72FB">
        <w:trPr>
          <w:trHeight w:hRule="exact" w:val="705"/>
        </w:trPr>
        <w:tc>
          <w:tcPr>
            <w:tcW w:w="864"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Years</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Total VaR</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Interest Rate Risk</w:t>
            </w:r>
          </w:p>
        </w:tc>
        <w:tc>
          <w:tcPr>
            <w:tcW w:w="827"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Stock Risk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Foreign Exchange Risk</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F279AC">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 xml:space="preserve">VaR </w:t>
            </w:r>
            <w:r w:rsidR="00F279AC" w:rsidRPr="00A95A7A">
              <w:rPr>
                <w:rFonts w:ascii="Times New Roman" w:eastAsia="Times New Roman" w:hAnsi="Times New Roman" w:cs="Times New Roman"/>
                <w:b/>
                <w:bCs/>
                <w:sz w:val="24"/>
                <w:szCs w:val="24"/>
                <w:lang w:val="en-US" w:eastAsia="el-GR"/>
              </w:rPr>
              <w:t>Com</w:t>
            </w:r>
            <w:r w:rsidRPr="00A95A7A">
              <w:rPr>
                <w:rFonts w:ascii="Times New Roman" w:eastAsia="Times New Roman" w:hAnsi="Times New Roman" w:cs="Times New Roman"/>
                <w:b/>
                <w:bCs/>
                <w:sz w:val="24"/>
                <w:szCs w:val="24"/>
                <w:lang w:val="en-US" w:eastAsia="el-GR"/>
              </w:rPr>
              <w:t>m</w:t>
            </w:r>
            <w:r w:rsidR="00F279AC" w:rsidRPr="00A95A7A">
              <w:rPr>
                <w:rFonts w:ascii="Times New Roman" w:eastAsia="Times New Roman" w:hAnsi="Times New Roman" w:cs="Times New Roman"/>
                <w:b/>
                <w:bCs/>
                <w:sz w:val="24"/>
                <w:szCs w:val="24"/>
                <w:lang w:val="en-US" w:eastAsia="el-GR"/>
              </w:rPr>
              <w:t>ercial Portfolio</w:t>
            </w:r>
            <w:r w:rsidRPr="00A95A7A">
              <w:rPr>
                <w:rFonts w:ascii="Times New Roman" w:eastAsia="Times New Roman" w:hAnsi="Times New Roman" w:cs="Times New Roman"/>
                <w:b/>
                <w:bCs/>
                <w:sz w:val="24"/>
                <w:szCs w:val="24"/>
                <w:lang w:eastAsia="el-GR"/>
              </w:rPr>
              <w:t xml:space="preserve"> Risk</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val="en-US" w:eastAsia="el-GR"/>
              </w:rPr>
            </w:pPr>
            <w:r w:rsidRPr="00A95A7A">
              <w:rPr>
                <w:rFonts w:ascii="Times New Roman" w:eastAsia="Times New Roman" w:hAnsi="Times New Roman" w:cs="Times New Roman"/>
                <w:b/>
                <w:bCs/>
                <w:sz w:val="24"/>
                <w:szCs w:val="24"/>
                <w:lang w:val="en-US" w:eastAsia="el-GR"/>
              </w:rPr>
              <w:t>Reduction Due to Portfolio Diversification</w:t>
            </w:r>
          </w:p>
        </w:tc>
      </w:tr>
      <w:tr w:rsidR="005D72FB" w:rsidRPr="00052F49" w:rsidTr="00C82822">
        <w:trPr>
          <w:trHeight w:val="389"/>
        </w:trPr>
        <w:tc>
          <w:tcPr>
            <w:tcW w:w="864"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2010</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2011</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3</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2012</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2013</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2014</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2015</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2016</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23"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r>
      <w:tr w:rsidR="005D72FB" w:rsidRPr="005D72FB" w:rsidTr="005D72FB">
        <w:trPr>
          <w:trHeight w:hRule="exac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2017</w:t>
            </w:r>
          </w:p>
        </w:tc>
        <w:tc>
          <w:tcPr>
            <w:tcW w:w="85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0,85</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0,29</w:t>
            </w:r>
          </w:p>
        </w:tc>
        <w:tc>
          <w:tcPr>
            <w:tcW w:w="827"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0,48</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0,8</w:t>
            </w:r>
          </w:p>
        </w:tc>
        <w:tc>
          <w:tcPr>
            <w:tcW w:w="1723"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-0.72</w:t>
            </w:r>
          </w:p>
        </w:tc>
      </w:tr>
    </w:tbl>
    <w:p w:rsidR="005D72FB" w:rsidRDefault="005D72FB" w:rsidP="001C7A04">
      <w:pPr>
        <w:spacing w:after="0"/>
        <w:jc w:val="both"/>
        <w:rPr>
          <w:rFonts w:ascii="Times New Roman" w:hAnsi="Times New Roman" w:cs="Times New Roman"/>
          <w:sz w:val="24"/>
          <w:szCs w:val="24"/>
          <w:lang w:val="en-US"/>
        </w:rPr>
      </w:pPr>
      <w:r w:rsidRPr="00E515C1">
        <w:rPr>
          <w:rFonts w:ascii="Times New Roman" w:hAnsi="Times New Roman" w:cs="Times New Roman"/>
          <w:sz w:val="20"/>
          <w:szCs w:val="20"/>
          <w:lang w:val="en-US"/>
        </w:rPr>
        <w:t>Source Bank</w:t>
      </w:r>
      <w:r>
        <w:rPr>
          <w:rFonts w:ascii="Times New Roman" w:hAnsi="Times New Roman" w:cs="Times New Roman"/>
          <w:sz w:val="20"/>
          <w:szCs w:val="20"/>
          <w:lang w:val="en-US"/>
        </w:rPr>
        <w:t>'s</w:t>
      </w:r>
      <w:r w:rsidRPr="00E515C1">
        <w:rPr>
          <w:rFonts w:ascii="Times New Roman" w:hAnsi="Times New Roman" w:cs="Times New Roman"/>
          <w:sz w:val="20"/>
          <w:szCs w:val="20"/>
          <w:lang w:val="en-US"/>
        </w:rPr>
        <w:t xml:space="preserve"> publications based on Pillar III of Basel Committee II and III - Edit and Own research</w:t>
      </w:r>
    </w:p>
    <w:p w:rsidR="005D72FB" w:rsidRDefault="005D72FB" w:rsidP="001C7A04">
      <w:pPr>
        <w:spacing w:after="0"/>
        <w:jc w:val="both"/>
        <w:rPr>
          <w:rFonts w:ascii="Times New Roman" w:hAnsi="Times New Roman" w:cs="Times New Roman"/>
          <w:sz w:val="24"/>
          <w:szCs w:val="24"/>
          <w:lang w:val="en-US"/>
        </w:rPr>
      </w:pPr>
    </w:p>
    <w:p w:rsidR="00A95A7A" w:rsidRDefault="00A95A7A" w:rsidP="00A95A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table 7 below we present the results for </w:t>
      </w:r>
      <w:r w:rsidRPr="00A95A7A">
        <w:rPr>
          <w:rFonts w:ascii="Times New Roman" w:hAnsi="Times New Roman" w:cs="Times New Roman"/>
          <w:sz w:val="24"/>
          <w:szCs w:val="24"/>
          <w:lang w:val="en-US"/>
        </w:rPr>
        <w:t xml:space="preserve">the total and sub-categories of the </w:t>
      </w:r>
      <w:r>
        <w:rPr>
          <w:rFonts w:ascii="Times New Roman" w:hAnsi="Times New Roman" w:cs="Times New Roman"/>
          <w:sz w:val="24"/>
          <w:szCs w:val="24"/>
          <w:lang w:val="en-US"/>
        </w:rPr>
        <w:t xml:space="preserve">VaR for </w:t>
      </w:r>
      <w:r w:rsidRPr="00A95A7A">
        <w:rPr>
          <w:rFonts w:ascii="Times New Roman" w:hAnsi="Times New Roman" w:cs="Times New Roman"/>
          <w:sz w:val="24"/>
          <w:szCs w:val="24"/>
          <w:lang w:val="en-US"/>
        </w:rPr>
        <w:t>portfolio</w:t>
      </w:r>
      <w:r>
        <w:rPr>
          <w:rFonts w:ascii="Times New Roman" w:hAnsi="Times New Roman" w:cs="Times New Roman"/>
          <w:sz w:val="24"/>
          <w:szCs w:val="24"/>
          <w:lang w:val="en-US"/>
        </w:rPr>
        <w:t xml:space="preserve"> of Alpha Bank.</w:t>
      </w:r>
    </w:p>
    <w:p w:rsidR="00C212AE" w:rsidRDefault="00C212AE" w:rsidP="001C7A04">
      <w:pPr>
        <w:spacing w:after="0"/>
        <w:jc w:val="both"/>
        <w:rPr>
          <w:rFonts w:ascii="Times New Roman" w:hAnsi="Times New Roman" w:cs="Times New Roman"/>
          <w:sz w:val="24"/>
          <w:szCs w:val="24"/>
          <w:lang w:val="en-US"/>
        </w:rPr>
      </w:pPr>
    </w:p>
    <w:p w:rsidR="00A95A7A" w:rsidRDefault="00A95A7A" w:rsidP="001C7A04">
      <w:pPr>
        <w:spacing w:after="0"/>
        <w:jc w:val="both"/>
        <w:rPr>
          <w:rFonts w:ascii="Times New Roman" w:hAnsi="Times New Roman" w:cs="Times New Roman"/>
          <w:sz w:val="24"/>
          <w:szCs w:val="24"/>
          <w:lang w:val="en-US"/>
        </w:rPr>
      </w:pPr>
    </w:p>
    <w:p w:rsidR="00A95A7A" w:rsidRDefault="00A95A7A" w:rsidP="001C7A04">
      <w:pPr>
        <w:spacing w:after="0"/>
        <w:jc w:val="both"/>
        <w:rPr>
          <w:rFonts w:ascii="Times New Roman" w:hAnsi="Times New Roman" w:cs="Times New Roman"/>
          <w:sz w:val="24"/>
          <w:szCs w:val="24"/>
          <w:lang w:val="en-US"/>
        </w:rPr>
      </w:pPr>
    </w:p>
    <w:p w:rsidR="00A95A7A" w:rsidRDefault="00A95A7A" w:rsidP="001C7A04">
      <w:pPr>
        <w:spacing w:after="0"/>
        <w:jc w:val="both"/>
        <w:rPr>
          <w:rFonts w:ascii="Times New Roman" w:hAnsi="Times New Roman" w:cs="Times New Roman"/>
          <w:sz w:val="24"/>
          <w:szCs w:val="24"/>
          <w:lang w:val="en-US"/>
        </w:rPr>
      </w:pPr>
    </w:p>
    <w:p w:rsidR="00A95A7A" w:rsidRDefault="00A95A7A" w:rsidP="001C7A04">
      <w:pPr>
        <w:spacing w:after="0"/>
        <w:jc w:val="both"/>
        <w:rPr>
          <w:rFonts w:ascii="Times New Roman" w:hAnsi="Times New Roman" w:cs="Times New Roman"/>
          <w:sz w:val="24"/>
          <w:szCs w:val="24"/>
          <w:lang w:val="en-US"/>
        </w:rPr>
      </w:pPr>
    </w:p>
    <w:p w:rsidR="00A95A7A" w:rsidRDefault="00A95A7A" w:rsidP="001C7A04">
      <w:pPr>
        <w:spacing w:after="0"/>
        <w:jc w:val="both"/>
        <w:rPr>
          <w:rFonts w:ascii="Times New Roman" w:hAnsi="Times New Roman" w:cs="Times New Roman"/>
          <w:sz w:val="24"/>
          <w:szCs w:val="24"/>
          <w:lang w:val="en-US"/>
        </w:rPr>
      </w:pPr>
    </w:p>
    <w:p w:rsidR="005D72FB" w:rsidRPr="00E515C1" w:rsidRDefault="005D72FB" w:rsidP="005D72FB">
      <w:pPr>
        <w:pStyle w:val="ab"/>
        <w:spacing w:after="0" w:line="360" w:lineRule="auto"/>
        <w:jc w:val="center"/>
        <w:rPr>
          <w:rFonts w:ascii="Times New Roman" w:hAnsi="Times New Roman" w:cs="Times New Roman"/>
          <w:b w:val="0"/>
          <w:color w:val="auto"/>
          <w:sz w:val="24"/>
          <w:szCs w:val="24"/>
          <w:lang w:val="en-US"/>
        </w:rPr>
      </w:pPr>
      <w:r>
        <w:rPr>
          <w:rFonts w:ascii="Times New Roman" w:hAnsi="Times New Roman" w:cs="Times New Roman"/>
          <w:color w:val="auto"/>
          <w:sz w:val="24"/>
          <w:szCs w:val="24"/>
          <w:lang w:val="en-US"/>
        </w:rPr>
        <w:t>Table</w:t>
      </w:r>
      <w:r w:rsidRPr="00E515C1">
        <w:rPr>
          <w:rFonts w:ascii="Times New Roman" w:hAnsi="Times New Roman" w:cs="Times New Roman"/>
          <w:color w:val="auto"/>
          <w:sz w:val="24"/>
          <w:szCs w:val="24"/>
          <w:lang w:val="en-US"/>
        </w:rPr>
        <w:t xml:space="preserve"> </w:t>
      </w:r>
      <w:r w:rsidR="00A95A7A">
        <w:rPr>
          <w:rFonts w:ascii="Times New Roman" w:hAnsi="Times New Roman" w:cs="Times New Roman"/>
          <w:color w:val="auto"/>
          <w:sz w:val="24"/>
          <w:szCs w:val="24"/>
          <w:lang w:val="en-US"/>
        </w:rPr>
        <w:t>7</w:t>
      </w:r>
      <w:r w:rsidRPr="00E515C1">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VaR</w:t>
      </w:r>
      <w:r w:rsidRPr="00E515C1">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Alpha B</w:t>
      </w:r>
      <w:r w:rsidR="00D4000A">
        <w:rPr>
          <w:rFonts w:ascii="Times New Roman" w:hAnsi="Times New Roman" w:cs="Times New Roman"/>
          <w:color w:val="auto"/>
          <w:sz w:val="24"/>
          <w:szCs w:val="24"/>
          <w:lang w:val="en-US"/>
        </w:rPr>
        <w:t>ank Group -</w:t>
      </w:r>
      <w:r w:rsidRPr="00E515C1">
        <w:rPr>
          <w:rFonts w:ascii="Times New Roman" w:hAnsi="Times New Roman" w:cs="Times New Roman"/>
          <w:color w:val="auto"/>
          <w:sz w:val="24"/>
          <w:szCs w:val="24"/>
          <w:lang w:val="en-US"/>
        </w:rPr>
        <w:t xml:space="preserve"> Trading Portfolio </w:t>
      </w:r>
      <w:r>
        <w:rPr>
          <w:rFonts w:ascii="Times New Roman" w:hAnsi="Times New Roman" w:cs="Times New Roman"/>
          <w:color w:val="auto"/>
          <w:sz w:val="24"/>
          <w:szCs w:val="24"/>
          <w:lang w:val="en-US"/>
        </w:rPr>
        <w:t>in million Euros</w:t>
      </w:r>
    </w:p>
    <w:tbl>
      <w:tblPr>
        <w:tblW w:w="7951" w:type="dxa"/>
        <w:tblInd w:w="95" w:type="dxa"/>
        <w:tblLayout w:type="fixed"/>
        <w:tblLook w:val="04A0"/>
      </w:tblPr>
      <w:tblGrid>
        <w:gridCol w:w="854"/>
        <w:gridCol w:w="816"/>
        <w:gridCol w:w="1016"/>
        <w:gridCol w:w="836"/>
        <w:gridCol w:w="1245"/>
        <w:gridCol w:w="1430"/>
        <w:gridCol w:w="1754"/>
      </w:tblGrid>
      <w:tr w:rsidR="005D72FB" w:rsidRPr="00052F49" w:rsidTr="005D72FB">
        <w:trPr>
          <w:trHeight w:hRule="exact" w:val="705"/>
        </w:trPr>
        <w:tc>
          <w:tcPr>
            <w:tcW w:w="854"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Years</w:t>
            </w:r>
          </w:p>
        </w:tc>
        <w:tc>
          <w:tcPr>
            <w:tcW w:w="816"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Total VaR</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Interest Rate Risk</w:t>
            </w:r>
          </w:p>
        </w:tc>
        <w:tc>
          <w:tcPr>
            <w:tcW w:w="836"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Stock Risk</w:t>
            </w:r>
          </w:p>
        </w:tc>
        <w:tc>
          <w:tcPr>
            <w:tcW w:w="1245"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VaR Foreign Exchange Risk</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eastAsia="el-GR"/>
              </w:rPr>
            </w:pPr>
            <w:r w:rsidRPr="00A95A7A">
              <w:rPr>
                <w:rFonts w:ascii="Times New Roman" w:eastAsia="Times New Roman" w:hAnsi="Times New Roman" w:cs="Times New Roman"/>
                <w:b/>
                <w:bCs/>
                <w:sz w:val="24"/>
                <w:szCs w:val="24"/>
                <w:lang w:eastAsia="el-GR"/>
              </w:rPr>
              <w:t xml:space="preserve">VaR </w:t>
            </w:r>
            <w:r w:rsidR="00F279AC" w:rsidRPr="00A95A7A">
              <w:rPr>
                <w:rFonts w:ascii="Times New Roman" w:eastAsia="Times New Roman" w:hAnsi="Times New Roman" w:cs="Times New Roman"/>
                <w:b/>
                <w:bCs/>
                <w:sz w:val="24"/>
                <w:szCs w:val="24"/>
                <w:lang w:val="en-US" w:eastAsia="el-GR"/>
              </w:rPr>
              <w:t>Commercial Portfolio</w:t>
            </w:r>
            <w:r w:rsidRPr="00A95A7A">
              <w:rPr>
                <w:rFonts w:ascii="Times New Roman" w:eastAsia="Times New Roman" w:hAnsi="Times New Roman" w:cs="Times New Roman"/>
                <w:b/>
                <w:bCs/>
                <w:sz w:val="24"/>
                <w:szCs w:val="24"/>
                <w:lang w:eastAsia="el-GR"/>
              </w:rPr>
              <w:t xml:space="preserve"> Risk</w:t>
            </w:r>
          </w:p>
        </w:tc>
        <w:tc>
          <w:tcPr>
            <w:tcW w:w="1754"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5D72FB" w:rsidRPr="00A95A7A" w:rsidRDefault="005D72FB" w:rsidP="005D72FB">
            <w:pPr>
              <w:spacing w:after="0" w:line="240" w:lineRule="auto"/>
              <w:jc w:val="center"/>
              <w:rPr>
                <w:rFonts w:ascii="Times New Roman" w:eastAsia="Times New Roman" w:hAnsi="Times New Roman" w:cs="Times New Roman"/>
                <w:b/>
                <w:bCs/>
                <w:sz w:val="24"/>
                <w:szCs w:val="24"/>
                <w:lang w:val="en-US" w:eastAsia="el-GR"/>
              </w:rPr>
            </w:pPr>
            <w:r w:rsidRPr="00A95A7A">
              <w:rPr>
                <w:rFonts w:ascii="Times New Roman" w:eastAsia="Times New Roman" w:hAnsi="Times New Roman" w:cs="Times New Roman"/>
                <w:b/>
                <w:bCs/>
                <w:sz w:val="24"/>
                <w:szCs w:val="24"/>
                <w:lang w:val="en-US" w:eastAsia="el-GR"/>
              </w:rPr>
              <w:t>Reduction Due to Portfolio Diversification</w:t>
            </w:r>
          </w:p>
        </w:tc>
      </w:tr>
      <w:tr w:rsidR="005D72FB" w:rsidRPr="00052F49" w:rsidTr="00C212AE">
        <w:trPr>
          <w:trHeight w:val="432"/>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5D72FB" w:rsidRPr="00A95A7A" w:rsidRDefault="005D72FB" w:rsidP="005D72FB">
            <w:pPr>
              <w:spacing w:after="0" w:line="240" w:lineRule="auto"/>
              <w:rPr>
                <w:rFonts w:ascii="Times New Roman" w:eastAsia="Times New Roman" w:hAnsi="Times New Roman" w:cs="Times New Roman"/>
                <w:b/>
                <w:bCs/>
                <w:sz w:val="24"/>
                <w:szCs w:val="24"/>
                <w:lang w:val="en-US" w:eastAsia="el-GR"/>
              </w:rPr>
            </w:pP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242021"/>
                <w:sz w:val="24"/>
                <w:szCs w:val="24"/>
                <w:lang w:eastAsia="el-GR"/>
              </w:rPr>
            </w:pPr>
            <w:r w:rsidRPr="00A95A7A">
              <w:rPr>
                <w:rFonts w:ascii="Times New Roman" w:eastAsia="Times New Roman" w:hAnsi="Times New Roman" w:cs="Times New Roman"/>
                <w:color w:val="242021"/>
                <w:sz w:val="24"/>
                <w:szCs w:val="24"/>
                <w:lang w:eastAsia="el-GR"/>
              </w:rPr>
              <w:t>2010</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3.5</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0.8</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1.4</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3.3</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54"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w:t>
            </w: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2011</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3.4</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1.1</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0.2</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3.3</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54"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-1.2</w:t>
            </w: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2012</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2.4</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1.3</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0,7</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1,2</w:t>
            </w:r>
          </w:p>
        </w:tc>
        <w:tc>
          <w:tcPr>
            <w:tcW w:w="1754"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-0.8</w:t>
            </w: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2013</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2.3</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2.1</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0.3</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0.9</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c>
          <w:tcPr>
            <w:tcW w:w="1754"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-1</w:t>
            </w: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2014</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6.7</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1</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0.05</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6.6</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54"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-0.95</w:t>
            </w: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2015</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6.7</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0.4</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0.07</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6.6</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54"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-0.37</w:t>
            </w: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2016</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3.7</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0.3</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0.08</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3.7</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54" w:type="dxa"/>
            <w:tcBorders>
              <w:top w:val="nil"/>
              <w:left w:val="nil"/>
              <w:bottom w:val="single" w:sz="4" w:space="0" w:color="auto"/>
              <w:right w:val="single" w:sz="4" w:space="0" w:color="auto"/>
            </w:tcBorders>
            <w:shd w:val="clear" w:color="auto" w:fill="auto"/>
            <w:noWrap/>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-0.38</w:t>
            </w:r>
          </w:p>
        </w:tc>
      </w:tr>
      <w:tr w:rsidR="005D72FB" w:rsidRPr="005D72FB" w:rsidTr="005D72FB">
        <w:trPr>
          <w:trHeight w:hRule="exact" w:val="31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2017</w:t>
            </w:r>
          </w:p>
        </w:tc>
        <w:tc>
          <w:tcPr>
            <w:tcW w:w="8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4</w:t>
            </w:r>
          </w:p>
        </w:tc>
        <w:tc>
          <w:tcPr>
            <w:tcW w:w="101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w:t>
            </w:r>
          </w:p>
        </w:tc>
        <w:tc>
          <w:tcPr>
            <w:tcW w:w="836"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245"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2</w:t>
            </w:r>
          </w:p>
        </w:tc>
        <w:tc>
          <w:tcPr>
            <w:tcW w:w="1430"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val="en-US" w:eastAsia="el-GR"/>
              </w:rPr>
              <w:t>0</w:t>
            </w:r>
          </w:p>
        </w:tc>
        <w:tc>
          <w:tcPr>
            <w:tcW w:w="1754" w:type="dxa"/>
            <w:tcBorders>
              <w:top w:val="nil"/>
              <w:left w:val="nil"/>
              <w:bottom w:val="single" w:sz="4" w:space="0" w:color="auto"/>
              <w:right w:val="single" w:sz="4" w:space="0" w:color="auto"/>
            </w:tcBorders>
            <w:shd w:val="clear" w:color="auto" w:fill="auto"/>
            <w:vAlign w:val="center"/>
            <w:hideMark/>
          </w:tcPr>
          <w:p w:rsidR="005D72FB" w:rsidRPr="00A95A7A" w:rsidRDefault="005D72FB" w:rsidP="005D72FB">
            <w:pPr>
              <w:spacing w:after="0" w:line="240" w:lineRule="auto"/>
              <w:jc w:val="center"/>
              <w:rPr>
                <w:rFonts w:ascii="Times New Roman" w:eastAsia="Times New Roman" w:hAnsi="Times New Roman" w:cs="Times New Roman"/>
                <w:color w:val="000000"/>
                <w:sz w:val="24"/>
                <w:szCs w:val="24"/>
                <w:lang w:eastAsia="el-GR"/>
              </w:rPr>
            </w:pPr>
            <w:r w:rsidRPr="00A95A7A">
              <w:rPr>
                <w:rFonts w:ascii="Times New Roman" w:eastAsia="Times New Roman" w:hAnsi="Times New Roman" w:cs="Times New Roman"/>
                <w:color w:val="000000"/>
                <w:sz w:val="24"/>
                <w:szCs w:val="24"/>
                <w:lang w:eastAsia="el-GR"/>
              </w:rPr>
              <w:t>0</w:t>
            </w:r>
          </w:p>
        </w:tc>
      </w:tr>
    </w:tbl>
    <w:p w:rsidR="005D72FB" w:rsidRDefault="00C82822" w:rsidP="001C7A04">
      <w:pPr>
        <w:spacing w:after="0"/>
        <w:jc w:val="both"/>
        <w:rPr>
          <w:rFonts w:ascii="Times New Roman" w:hAnsi="Times New Roman" w:cs="Times New Roman"/>
          <w:sz w:val="24"/>
          <w:szCs w:val="24"/>
          <w:lang w:val="en-US"/>
        </w:rPr>
      </w:pPr>
      <w:r w:rsidRPr="00E515C1">
        <w:rPr>
          <w:rFonts w:ascii="Times New Roman" w:hAnsi="Times New Roman" w:cs="Times New Roman"/>
          <w:sz w:val="20"/>
          <w:szCs w:val="20"/>
          <w:lang w:val="en-US"/>
        </w:rPr>
        <w:t>Source Bank</w:t>
      </w:r>
      <w:r>
        <w:rPr>
          <w:rFonts w:ascii="Times New Roman" w:hAnsi="Times New Roman" w:cs="Times New Roman"/>
          <w:sz w:val="20"/>
          <w:szCs w:val="20"/>
          <w:lang w:val="en-US"/>
        </w:rPr>
        <w:t>'s</w:t>
      </w:r>
      <w:r w:rsidRPr="00E515C1">
        <w:rPr>
          <w:rFonts w:ascii="Times New Roman" w:hAnsi="Times New Roman" w:cs="Times New Roman"/>
          <w:sz w:val="20"/>
          <w:szCs w:val="20"/>
          <w:lang w:val="en-US"/>
        </w:rPr>
        <w:t xml:space="preserve"> publications based on Pillar III of Basel Committee II and III - Edit and Own research</w:t>
      </w:r>
    </w:p>
    <w:p w:rsidR="00C82822" w:rsidRDefault="00C82822" w:rsidP="00D4000A">
      <w:pPr>
        <w:spacing w:after="0"/>
        <w:jc w:val="both"/>
        <w:rPr>
          <w:rFonts w:ascii="Times New Roman" w:hAnsi="Times New Roman" w:cs="Times New Roman"/>
          <w:sz w:val="24"/>
          <w:szCs w:val="24"/>
          <w:lang w:val="en-US"/>
        </w:rPr>
      </w:pPr>
    </w:p>
    <w:p w:rsidR="00304E89" w:rsidRDefault="00D4000A" w:rsidP="00D400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figure 2 below we can observe the total VaR of the 4 Greek systemic banks after all Mergers and Acquisitions after the </w:t>
      </w:r>
      <w:r w:rsidR="00304E89">
        <w:rPr>
          <w:rFonts w:ascii="Times New Roman" w:hAnsi="Times New Roman" w:cs="Times New Roman"/>
          <w:sz w:val="24"/>
          <w:szCs w:val="24"/>
          <w:lang w:val="en-US"/>
        </w:rPr>
        <w:t>i</w:t>
      </w:r>
      <w:r>
        <w:rPr>
          <w:rFonts w:ascii="Times New Roman" w:hAnsi="Times New Roman" w:cs="Times New Roman"/>
          <w:sz w:val="24"/>
          <w:szCs w:val="24"/>
          <w:lang w:val="en-US"/>
        </w:rPr>
        <w:t xml:space="preserve">mplementation </w:t>
      </w:r>
      <w:r w:rsidR="00304E89">
        <w:rPr>
          <w:rFonts w:ascii="Times New Roman" w:hAnsi="Times New Roman" w:cs="Times New Roman"/>
          <w:sz w:val="24"/>
          <w:szCs w:val="24"/>
          <w:lang w:val="en-US"/>
        </w:rPr>
        <w:t>of the global financial crisis in Greek Economy.</w:t>
      </w:r>
      <w:r w:rsidR="00BB5311">
        <w:rPr>
          <w:rFonts w:ascii="Times New Roman" w:hAnsi="Times New Roman" w:cs="Times New Roman"/>
          <w:sz w:val="24"/>
          <w:szCs w:val="24"/>
          <w:lang w:val="en-US"/>
        </w:rPr>
        <w:t xml:space="preserve"> More stable bank is </w:t>
      </w:r>
      <w:r w:rsidR="005F4A40">
        <w:rPr>
          <w:rFonts w:ascii="Times New Roman" w:hAnsi="Times New Roman" w:cs="Times New Roman"/>
          <w:sz w:val="24"/>
          <w:szCs w:val="24"/>
          <w:lang w:val="en-US"/>
        </w:rPr>
        <w:t>Eurobank from volatility option</w:t>
      </w:r>
      <w:r w:rsidR="00BB5311">
        <w:rPr>
          <w:rFonts w:ascii="Times New Roman" w:hAnsi="Times New Roman" w:cs="Times New Roman"/>
          <w:sz w:val="24"/>
          <w:szCs w:val="24"/>
          <w:lang w:val="en-US"/>
        </w:rPr>
        <w:t>.</w:t>
      </w:r>
    </w:p>
    <w:p w:rsidR="00C212AE" w:rsidRDefault="00C212AE" w:rsidP="00D4000A">
      <w:pPr>
        <w:spacing w:after="0"/>
        <w:jc w:val="both"/>
        <w:rPr>
          <w:rFonts w:ascii="Times New Roman" w:hAnsi="Times New Roman" w:cs="Times New Roman"/>
          <w:sz w:val="24"/>
          <w:szCs w:val="24"/>
          <w:lang w:val="en-US"/>
        </w:rPr>
      </w:pPr>
    </w:p>
    <w:p w:rsidR="005D72FB" w:rsidRPr="005D72FB" w:rsidRDefault="00D4000A" w:rsidP="00304E89">
      <w:pPr>
        <w:spacing w:after="0"/>
        <w:jc w:val="center"/>
        <w:rPr>
          <w:rFonts w:ascii="Times New Roman" w:hAnsi="Times New Roman" w:cs="Times New Roman"/>
          <w:sz w:val="24"/>
          <w:szCs w:val="24"/>
          <w:lang w:val="en-US"/>
        </w:rPr>
      </w:pPr>
      <w:r w:rsidRPr="00304E89">
        <w:rPr>
          <w:rFonts w:ascii="Times New Roman" w:hAnsi="Times New Roman" w:cs="Times New Roman"/>
          <w:b/>
          <w:sz w:val="24"/>
          <w:szCs w:val="24"/>
          <w:lang w:val="en-US"/>
        </w:rPr>
        <w:t>Figure 2</w:t>
      </w:r>
      <w:r w:rsidR="00304E89">
        <w:rPr>
          <w:rFonts w:ascii="Times New Roman" w:hAnsi="Times New Roman" w:cs="Times New Roman"/>
          <w:b/>
          <w:sz w:val="24"/>
          <w:szCs w:val="24"/>
          <w:lang w:val="en-US"/>
        </w:rPr>
        <w:t>:</w:t>
      </w:r>
      <w:r w:rsidRPr="00304E89">
        <w:rPr>
          <w:rFonts w:ascii="Times New Roman" w:hAnsi="Times New Roman" w:cs="Times New Roman"/>
          <w:b/>
          <w:sz w:val="24"/>
          <w:szCs w:val="24"/>
          <w:lang w:val="en-US"/>
        </w:rPr>
        <w:t xml:space="preserve"> Total VaR of Greek Systemic Banks 2010-2017 </w:t>
      </w:r>
      <w:r w:rsidRPr="00D4000A">
        <w:rPr>
          <w:rFonts w:ascii="Times New Roman" w:hAnsi="Times New Roman" w:cs="Times New Roman"/>
          <w:noProof/>
          <w:sz w:val="24"/>
          <w:szCs w:val="24"/>
          <w:lang w:eastAsia="el-GR"/>
        </w:rPr>
        <w:drawing>
          <wp:inline distT="0" distB="0" distL="0" distR="0">
            <wp:extent cx="5277126" cy="2695492"/>
            <wp:effectExtent l="0" t="0" r="0" b="0"/>
            <wp:docPr id="4"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557B" w:rsidRPr="00304E89" w:rsidRDefault="00304E89" w:rsidP="001C7A04">
      <w:pPr>
        <w:spacing w:after="0"/>
        <w:jc w:val="both"/>
        <w:rPr>
          <w:rFonts w:ascii="Times New Roman" w:hAnsi="Times New Roman" w:cs="Times New Roman"/>
          <w:sz w:val="20"/>
          <w:szCs w:val="20"/>
          <w:lang w:val="en-US"/>
        </w:rPr>
      </w:pPr>
      <w:r w:rsidRPr="00304E89">
        <w:rPr>
          <w:rFonts w:ascii="Times New Roman" w:hAnsi="Times New Roman" w:cs="Times New Roman"/>
          <w:sz w:val="20"/>
          <w:szCs w:val="20"/>
          <w:lang w:val="en-US"/>
        </w:rPr>
        <w:t xml:space="preserve">Source: Tables </w:t>
      </w:r>
      <w:r w:rsidR="00A95A7A">
        <w:rPr>
          <w:rFonts w:ascii="Times New Roman" w:hAnsi="Times New Roman" w:cs="Times New Roman"/>
          <w:sz w:val="20"/>
          <w:szCs w:val="20"/>
          <w:lang w:val="en-US"/>
        </w:rPr>
        <w:t>4</w:t>
      </w:r>
      <w:r w:rsidRPr="00304E89">
        <w:rPr>
          <w:rFonts w:ascii="Times New Roman" w:hAnsi="Times New Roman" w:cs="Times New Roman"/>
          <w:sz w:val="20"/>
          <w:szCs w:val="20"/>
          <w:lang w:val="en-US"/>
        </w:rPr>
        <w:t>-</w:t>
      </w:r>
      <w:r w:rsidR="00A95A7A">
        <w:rPr>
          <w:rFonts w:ascii="Times New Roman" w:hAnsi="Times New Roman" w:cs="Times New Roman"/>
          <w:sz w:val="20"/>
          <w:szCs w:val="20"/>
          <w:lang w:val="en-US"/>
        </w:rPr>
        <w:t>7</w:t>
      </w:r>
    </w:p>
    <w:p w:rsidR="00304E89" w:rsidRDefault="00304E89" w:rsidP="001C7A04">
      <w:pPr>
        <w:spacing w:after="0"/>
        <w:jc w:val="both"/>
        <w:rPr>
          <w:rFonts w:ascii="Times New Roman" w:hAnsi="Times New Roman" w:cs="Times New Roman"/>
          <w:sz w:val="24"/>
          <w:szCs w:val="24"/>
          <w:lang w:val="en-US"/>
        </w:rPr>
      </w:pPr>
    </w:p>
    <w:p w:rsidR="00D4000A" w:rsidRDefault="00D4000A" w:rsidP="001C7A04">
      <w:pPr>
        <w:spacing w:after="0"/>
        <w:jc w:val="both"/>
        <w:rPr>
          <w:rFonts w:ascii="Times New Roman" w:hAnsi="Times New Roman" w:cs="Times New Roman"/>
          <w:sz w:val="24"/>
          <w:szCs w:val="24"/>
          <w:lang w:val="en-US"/>
        </w:rPr>
      </w:pPr>
      <w:r w:rsidRPr="00D4000A">
        <w:rPr>
          <w:rFonts w:ascii="Times New Roman" w:hAnsi="Times New Roman" w:cs="Times New Roman"/>
          <w:sz w:val="24"/>
          <w:szCs w:val="24"/>
          <w:lang w:val="en-US"/>
        </w:rPr>
        <w:t xml:space="preserve">As shown </w:t>
      </w:r>
      <w:r w:rsidR="00DE4F05">
        <w:rPr>
          <w:rFonts w:ascii="Times New Roman" w:hAnsi="Times New Roman" w:cs="Times New Roman"/>
          <w:sz w:val="24"/>
          <w:szCs w:val="24"/>
          <w:lang w:val="en-US"/>
        </w:rPr>
        <w:t xml:space="preserve">in the </w:t>
      </w:r>
      <w:r w:rsidRPr="00D4000A">
        <w:rPr>
          <w:rFonts w:ascii="Times New Roman" w:hAnsi="Times New Roman" w:cs="Times New Roman"/>
          <w:sz w:val="24"/>
          <w:szCs w:val="24"/>
          <w:lang w:val="en-US"/>
        </w:rPr>
        <w:t>above</w:t>
      </w:r>
      <w:r w:rsidR="00DE4F05">
        <w:rPr>
          <w:rFonts w:ascii="Times New Roman" w:hAnsi="Times New Roman" w:cs="Times New Roman"/>
          <w:sz w:val="24"/>
          <w:szCs w:val="24"/>
          <w:lang w:val="en-US"/>
        </w:rPr>
        <w:t xml:space="preserve"> figure 2</w:t>
      </w:r>
      <w:r w:rsidRPr="00D4000A">
        <w:rPr>
          <w:rFonts w:ascii="Times New Roman" w:hAnsi="Times New Roman" w:cs="Times New Roman"/>
          <w:sz w:val="24"/>
          <w:szCs w:val="24"/>
          <w:lang w:val="en-US"/>
        </w:rPr>
        <w:t>, Eurobank has the smallest results in predicting market risk value for the 4 systemic banks and therefore has the lowest market risk capital over time. Piraeus Bank also seems to have low capital and in the last two years it has the smallest of all banks (0.52 for 2017). National Bank and Alpha Bank are in a much better position and they have much higher capital than the other two (Piraeus and Eurobank). National Bank presents the biggest funds over time but Alpha Bank has more stability over time and its funds are quite high (in 2017 they reach 4 million Euros).</w:t>
      </w:r>
      <w:r w:rsidR="00DE4F05">
        <w:rPr>
          <w:rFonts w:ascii="Times New Roman" w:hAnsi="Times New Roman" w:cs="Times New Roman"/>
          <w:sz w:val="24"/>
          <w:szCs w:val="24"/>
          <w:lang w:val="en-US"/>
        </w:rPr>
        <w:t xml:space="preserve"> The VaR with the most intents volatility is the one of </w:t>
      </w:r>
      <w:r w:rsidR="002E6D9F">
        <w:rPr>
          <w:rFonts w:ascii="Times New Roman" w:hAnsi="Times New Roman" w:cs="Times New Roman"/>
          <w:sz w:val="24"/>
          <w:szCs w:val="24"/>
          <w:lang w:val="en-US"/>
        </w:rPr>
        <w:t xml:space="preserve">National </w:t>
      </w:r>
      <w:r w:rsidR="002E6D9F">
        <w:rPr>
          <w:rFonts w:ascii="Times New Roman" w:hAnsi="Times New Roman" w:cs="Times New Roman"/>
          <w:sz w:val="24"/>
          <w:szCs w:val="24"/>
          <w:lang w:val="en-US"/>
        </w:rPr>
        <w:lastRenderedPageBreak/>
        <w:t>Bank</w:t>
      </w:r>
      <w:r w:rsidR="00DE4F05">
        <w:rPr>
          <w:rFonts w:ascii="Times New Roman" w:hAnsi="Times New Roman" w:cs="Times New Roman"/>
          <w:sz w:val="24"/>
          <w:szCs w:val="24"/>
          <w:lang w:val="en-US"/>
        </w:rPr>
        <w:t>.</w:t>
      </w:r>
      <w:r w:rsidR="00375965">
        <w:rPr>
          <w:rFonts w:ascii="Times New Roman" w:hAnsi="Times New Roman" w:cs="Times New Roman"/>
          <w:sz w:val="24"/>
          <w:szCs w:val="24"/>
          <w:lang w:val="en-US"/>
        </w:rPr>
        <w:t xml:space="preserve"> In the year 2017 the </w:t>
      </w:r>
      <w:r w:rsidR="00DB5518">
        <w:rPr>
          <w:rFonts w:ascii="Times New Roman" w:hAnsi="Times New Roman" w:cs="Times New Roman"/>
          <w:sz w:val="24"/>
          <w:szCs w:val="24"/>
          <w:lang w:val="en-US"/>
        </w:rPr>
        <w:t>three</w:t>
      </w:r>
      <w:r w:rsidR="00375965">
        <w:rPr>
          <w:rFonts w:ascii="Times New Roman" w:hAnsi="Times New Roman" w:cs="Times New Roman"/>
          <w:sz w:val="24"/>
          <w:szCs w:val="24"/>
          <w:lang w:val="en-US"/>
        </w:rPr>
        <w:t xml:space="preserve"> </w:t>
      </w:r>
      <w:r w:rsidR="00DB5518">
        <w:rPr>
          <w:rFonts w:ascii="Times New Roman" w:hAnsi="Times New Roman" w:cs="Times New Roman"/>
          <w:sz w:val="24"/>
          <w:szCs w:val="24"/>
          <w:lang w:val="en-US"/>
        </w:rPr>
        <w:t>Greek B</w:t>
      </w:r>
      <w:r w:rsidR="00375965">
        <w:rPr>
          <w:rFonts w:ascii="Times New Roman" w:hAnsi="Times New Roman" w:cs="Times New Roman"/>
          <w:sz w:val="24"/>
          <w:szCs w:val="24"/>
          <w:lang w:val="en-US"/>
        </w:rPr>
        <w:t>ank</w:t>
      </w:r>
      <w:r w:rsidR="00DB5518">
        <w:rPr>
          <w:rFonts w:ascii="Times New Roman" w:hAnsi="Times New Roman" w:cs="Times New Roman"/>
          <w:sz w:val="24"/>
          <w:szCs w:val="24"/>
          <w:lang w:val="en-US"/>
        </w:rPr>
        <w:t>s have the lowest VaR except Alpha Bank, something that Alpha Bank need to be considered.</w:t>
      </w:r>
    </w:p>
    <w:p w:rsidR="00D4000A" w:rsidRDefault="00D4000A" w:rsidP="001C7A04">
      <w:pPr>
        <w:spacing w:after="0"/>
        <w:jc w:val="both"/>
        <w:rPr>
          <w:rFonts w:ascii="Times New Roman" w:hAnsi="Times New Roman" w:cs="Times New Roman"/>
          <w:sz w:val="24"/>
          <w:szCs w:val="24"/>
          <w:lang w:val="en-US"/>
        </w:rPr>
      </w:pPr>
    </w:p>
    <w:p w:rsidR="00D4000A" w:rsidRPr="00304E89" w:rsidRDefault="00304E89" w:rsidP="001C7A04">
      <w:pPr>
        <w:spacing w:after="0"/>
        <w:jc w:val="both"/>
        <w:rPr>
          <w:rFonts w:ascii="Times New Roman" w:hAnsi="Times New Roman" w:cs="Times New Roman"/>
          <w:b/>
          <w:sz w:val="24"/>
          <w:szCs w:val="24"/>
          <w:lang w:val="en-US"/>
        </w:rPr>
      </w:pPr>
      <w:r w:rsidRPr="00304E89">
        <w:rPr>
          <w:rFonts w:ascii="Times New Roman" w:hAnsi="Times New Roman" w:cs="Times New Roman"/>
          <w:b/>
          <w:sz w:val="24"/>
          <w:szCs w:val="24"/>
          <w:lang w:val="en-US"/>
        </w:rPr>
        <w:t>Conclusion</w:t>
      </w:r>
    </w:p>
    <w:p w:rsidR="00D4000A" w:rsidRDefault="00375965" w:rsidP="00375965">
      <w:pPr>
        <w:spacing w:after="0"/>
        <w:jc w:val="both"/>
        <w:rPr>
          <w:rFonts w:ascii="Times New Roman" w:hAnsi="Times New Roman" w:cs="Times New Roman"/>
          <w:sz w:val="24"/>
          <w:szCs w:val="24"/>
          <w:lang w:val="en-US"/>
        </w:rPr>
      </w:pPr>
      <w:r w:rsidRPr="00375965">
        <w:rPr>
          <w:rFonts w:ascii="Times New Roman" w:hAnsi="Times New Roman" w:cs="Times New Roman"/>
          <w:sz w:val="24"/>
          <w:szCs w:val="24"/>
          <w:lang w:val="en-US"/>
        </w:rPr>
        <w:t xml:space="preserve">Prior to the crisis and </w:t>
      </w:r>
      <w:r w:rsidR="001A1839">
        <w:rPr>
          <w:rFonts w:ascii="Times New Roman" w:hAnsi="Times New Roman" w:cs="Times New Roman"/>
          <w:sz w:val="24"/>
          <w:szCs w:val="24"/>
          <w:lang w:val="en-US"/>
        </w:rPr>
        <w:t xml:space="preserve">in </w:t>
      </w:r>
      <w:r w:rsidRPr="00375965">
        <w:rPr>
          <w:rFonts w:ascii="Times New Roman" w:hAnsi="Times New Roman" w:cs="Times New Roman"/>
          <w:sz w:val="24"/>
          <w:szCs w:val="24"/>
          <w:lang w:val="en-US"/>
        </w:rPr>
        <w:t>the late 1990s, and especially since the early 2000s, due to the use of the euro as a national currency, which greatly exacerbated the currency risk, the banking system in Greece showed strong growth and dynamics. Greek banks have been a dominant player in the Balkans. Given the low interest rates, the country's entry into the Euro zone and domestic prosperity, the Greek banks were dominant in the region until the crisis.</w:t>
      </w:r>
      <w:r w:rsidR="00C212AE">
        <w:rPr>
          <w:rFonts w:ascii="Times New Roman" w:hAnsi="Times New Roman" w:cs="Times New Roman"/>
          <w:sz w:val="24"/>
          <w:szCs w:val="24"/>
          <w:lang w:val="en-US"/>
        </w:rPr>
        <w:t xml:space="preserve"> </w:t>
      </w:r>
      <w:r w:rsidRPr="00375965">
        <w:rPr>
          <w:rFonts w:ascii="Times New Roman" w:hAnsi="Times New Roman" w:cs="Times New Roman"/>
          <w:sz w:val="24"/>
          <w:szCs w:val="24"/>
          <w:lang w:val="en-US"/>
        </w:rPr>
        <w:t>Many report the unsatisfactory risk assessment during this period, which has led banks to the need for recapitalization in 2011 and the PSI. Red loans are still one of the biggest problems for the Greek banking system and this shows that risk management has not been the best in previous years.</w:t>
      </w:r>
    </w:p>
    <w:p w:rsidR="009E3DED" w:rsidRDefault="00C82822" w:rsidP="001C7A04">
      <w:pPr>
        <w:spacing w:after="0"/>
        <w:jc w:val="both"/>
        <w:rPr>
          <w:rFonts w:ascii="Times New Roman" w:hAnsi="Times New Roman" w:cs="Times New Roman"/>
          <w:sz w:val="24"/>
          <w:szCs w:val="24"/>
          <w:lang w:val="en-US"/>
        </w:rPr>
      </w:pPr>
      <w:r w:rsidRPr="00C82822">
        <w:rPr>
          <w:rFonts w:ascii="Times New Roman" w:hAnsi="Times New Roman" w:cs="Times New Roman"/>
          <w:sz w:val="24"/>
          <w:szCs w:val="24"/>
          <w:lang w:val="en-US"/>
        </w:rPr>
        <w:t>Since 2012, the Greek banking system has made a significant effort to liquidate the loss-making banks through acquisitions by other major Greek banks. This effort was made on the one hand in order to strengthen the capital adequacy of the Greek banks and to protect them from aggressive acquisitions and on the other hand to reduce the risks undertaken. This is how the four Greek systemic banks were created. These lucrative banks were either Greek or foreign but operating in the Greek market and were greatly affected by the global financial crisis that hit Greece in 2009. At the same time, the four Greek systemic banks absorbed the losses and risks arising from them of the lucrative domestic banks, but also to increase their capital adequacy according to the pillars of the Basel Committee III began selling their subsidiary banks abroad. They also began to sell other types of businesses that held their portfolio both abroad and domestically with the first and foremost insurance companies.</w:t>
      </w:r>
      <w:r>
        <w:rPr>
          <w:rFonts w:ascii="Times New Roman" w:hAnsi="Times New Roman" w:cs="Times New Roman"/>
          <w:sz w:val="24"/>
          <w:szCs w:val="24"/>
          <w:lang w:val="en-US"/>
        </w:rPr>
        <w:t xml:space="preserve"> All this efforts started to bring the </w:t>
      </w:r>
      <w:r w:rsidRPr="00C82822">
        <w:rPr>
          <w:rFonts w:ascii="Times New Roman" w:hAnsi="Times New Roman" w:cs="Times New Roman"/>
          <w:sz w:val="24"/>
          <w:szCs w:val="24"/>
          <w:lang w:val="en-US"/>
        </w:rPr>
        <w:t>desirably</w:t>
      </w:r>
      <w:r>
        <w:rPr>
          <w:rFonts w:ascii="Times New Roman" w:hAnsi="Times New Roman" w:cs="Times New Roman"/>
          <w:sz w:val="24"/>
          <w:szCs w:val="24"/>
          <w:lang w:val="en-US"/>
        </w:rPr>
        <w:t xml:space="preserve"> results in case of VaR as we can see from the above figure 2.</w:t>
      </w:r>
    </w:p>
    <w:p w:rsidR="00D4000A" w:rsidRDefault="009E3DED" w:rsidP="001C7A04">
      <w:pPr>
        <w:spacing w:after="0"/>
        <w:jc w:val="both"/>
        <w:rPr>
          <w:rFonts w:ascii="Times New Roman" w:hAnsi="Times New Roman" w:cs="Times New Roman"/>
          <w:sz w:val="24"/>
          <w:szCs w:val="24"/>
          <w:lang w:val="en-US"/>
        </w:rPr>
      </w:pPr>
      <w:r w:rsidRPr="009E3DED">
        <w:rPr>
          <w:rFonts w:ascii="Times New Roman" w:hAnsi="Times New Roman" w:cs="Times New Roman"/>
          <w:sz w:val="24"/>
          <w:szCs w:val="24"/>
          <w:lang w:val="en-US"/>
        </w:rPr>
        <w:t>Adherence to these rules for risk and capital adequacy is considered necessary by industry researchers, as the issue of red loans is still a major problem for Greek banks and an ongoing threat to their smooth operation. At the same time, this factor adversely affects the credit ratings of rating agencies.</w:t>
      </w:r>
    </w:p>
    <w:p w:rsidR="009E3DED" w:rsidRDefault="009E3DED" w:rsidP="001C7A04">
      <w:pPr>
        <w:spacing w:after="0"/>
        <w:jc w:val="both"/>
        <w:rPr>
          <w:rFonts w:ascii="Times New Roman" w:hAnsi="Times New Roman" w:cs="Times New Roman"/>
          <w:sz w:val="24"/>
          <w:szCs w:val="24"/>
          <w:lang w:val="en-US"/>
        </w:rPr>
      </w:pPr>
    </w:p>
    <w:p w:rsidR="00F07EC0" w:rsidRPr="00DA0851" w:rsidRDefault="00DA0851" w:rsidP="00BA5E9D">
      <w:pPr>
        <w:spacing w:after="0"/>
        <w:jc w:val="both"/>
        <w:rPr>
          <w:rFonts w:ascii="Times New Roman" w:hAnsi="Times New Roman" w:cs="Times New Roman"/>
          <w:b/>
          <w:sz w:val="24"/>
          <w:szCs w:val="24"/>
          <w:lang w:val="en-US"/>
        </w:rPr>
      </w:pPr>
      <w:r w:rsidRPr="00DA0851">
        <w:rPr>
          <w:rFonts w:ascii="Times New Roman" w:hAnsi="Times New Roman" w:cs="Times New Roman"/>
          <w:b/>
          <w:sz w:val="24"/>
          <w:szCs w:val="24"/>
          <w:lang w:val="en-US"/>
        </w:rPr>
        <w:t>References</w:t>
      </w:r>
    </w:p>
    <w:p w:rsidR="00DA0851" w:rsidRPr="00D10315" w:rsidRDefault="00315015" w:rsidP="00BA5E9D">
      <w:pPr>
        <w:spacing w:after="0"/>
        <w:jc w:val="both"/>
        <w:outlineLvl w:val="0"/>
        <w:rPr>
          <w:rFonts w:ascii="Times New Roman" w:hAnsi="Times New Roman" w:cs="Times New Roman"/>
          <w:color w:val="000000" w:themeColor="text1"/>
          <w:sz w:val="24"/>
          <w:szCs w:val="24"/>
          <w:lang w:val="en-US"/>
        </w:rPr>
      </w:pPr>
      <w:hyperlink r:id="rId17" w:history="1">
        <w:r w:rsidR="00DA0851" w:rsidRPr="00D10315">
          <w:rPr>
            <w:rStyle w:val="-"/>
            <w:rFonts w:ascii="Times New Roman" w:hAnsi="Times New Roman" w:cs="Times New Roman"/>
            <w:iCs/>
            <w:color w:val="000000" w:themeColor="text1"/>
            <w:sz w:val="24"/>
            <w:szCs w:val="24"/>
            <w:u w:val="none"/>
            <w:lang w:val="en-US"/>
          </w:rPr>
          <w:t>Barth</w:t>
        </w:r>
      </w:hyperlink>
      <w:r w:rsidR="00A1097F" w:rsidRPr="00D10315">
        <w:rPr>
          <w:rFonts w:ascii="Times New Roman" w:hAnsi="Times New Roman" w:cs="Times New Roman"/>
          <w:iCs/>
          <w:color w:val="000000" w:themeColor="text1"/>
          <w:sz w:val="24"/>
          <w:szCs w:val="24"/>
          <w:lang w:val="en-US"/>
        </w:rPr>
        <w:t xml:space="preserve"> J., </w:t>
      </w:r>
      <w:hyperlink r:id="rId18" w:history="1">
        <w:r w:rsidR="00DA0851" w:rsidRPr="00D10315">
          <w:rPr>
            <w:rStyle w:val="-"/>
            <w:rFonts w:ascii="Times New Roman" w:hAnsi="Times New Roman" w:cs="Times New Roman"/>
            <w:iCs/>
            <w:color w:val="000000" w:themeColor="text1"/>
            <w:sz w:val="24"/>
            <w:szCs w:val="24"/>
            <w:u w:val="none"/>
            <w:lang w:val="en-US"/>
          </w:rPr>
          <w:t>Caprio</w:t>
        </w:r>
      </w:hyperlink>
      <w:r w:rsidR="00A1097F" w:rsidRPr="00D10315">
        <w:rPr>
          <w:rFonts w:ascii="Times New Roman" w:hAnsi="Times New Roman" w:cs="Times New Roman"/>
          <w:iCs/>
          <w:color w:val="000000" w:themeColor="text1"/>
          <w:sz w:val="24"/>
          <w:szCs w:val="24"/>
          <w:lang w:val="en-US"/>
        </w:rPr>
        <w:t xml:space="preserve"> G.,</w:t>
      </w:r>
      <w:r w:rsidR="00DA0851" w:rsidRPr="00D10315">
        <w:rPr>
          <w:rFonts w:ascii="Times New Roman" w:hAnsi="Times New Roman" w:cs="Times New Roman"/>
          <w:color w:val="000000" w:themeColor="text1"/>
          <w:sz w:val="24"/>
          <w:szCs w:val="24"/>
          <w:lang w:val="en-US"/>
        </w:rPr>
        <w:t xml:space="preserve"> and</w:t>
      </w:r>
      <w:r w:rsidR="00A1097F" w:rsidRPr="00D10315">
        <w:rPr>
          <w:rFonts w:ascii="Times New Roman" w:hAnsi="Times New Roman" w:cs="Times New Roman"/>
          <w:color w:val="000000" w:themeColor="text1"/>
          <w:sz w:val="24"/>
          <w:szCs w:val="24"/>
          <w:lang w:val="en-US"/>
        </w:rPr>
        <w:t xml:space="preserve"> </w:t>
      </w:r>
      <w:hyperlink r:id="rId19" w:history="1">
        <w:r w:rsidR="00DA0851" w:rsidRPr="00D10315">
          <w:rPr>
            <w:rStyle w:val="-"/>
            <w:rFonts w:ascii="Times New Roman" w:hAnsi="Times New Roman" w:cs="Times New Roman"/>
            <w:iCs/>
            <w:color w:val="000000" w:themeColor="text1"/>
            <w:sz w:val="24"/>
            <w:szCs w:val="24"/>
            <w:u w:val="none"/>
            <w:lang w:val="en-US"/>
          </w:rPr>
          <w:t>Ross Levine</w:t>
        </w:r>
      </w:hyperlink>
      <w:r w:rsidR="00A1097F" w:rsidRPr="00D10315">
        <w:rPr>
          <w:rFonts w:ascii="Times New Roman" w:hAnsi="Times New Roman" w:cs="Times New Roman"/>
          <w:iCs/>
          <w:color w:val="000000" w:themeColor="text1"/>
          <w:sz w:val="24"/>
          <w:szCs w:val="24"/>
          <w:lang w:val="en-US"/>
        </w:rPr>
        <w:t xml:space="preserve"> R., (2004). "</w:t>
      </w:r>
      <w:r w:rsidR="00A1097F" w:rsidRPr="00DA0851">
        <w:rPr>
          <w:rFonts w:ascii="Times New Roman" w:eastAsia="Times New Roman" w:hAnsi="Times New Roman" w:cs="Times New Roman"/>
          <w:bCs/>
          <w:color w:val="000000" w:themeColor="text1"/>
          <w:kern w:val="36"/>
          <w:sz w:val="24"/>
          <w:szCs w:val="24"/>
          <w:lang w:val="en-US" w:eastAsia="el-GR"/>
        </w:rPr>
        <w:t xml:space="preserve">Bank regulation and supervision: </w:t>
      </w:r>
      <w:r w:rsidR="00A1097F" w:rsidRPr="00D10315">
        <w:rPr>
          <w:rFonts w:ascii="Times New Roman" w:eastAsia="Times New Roman" w:hAnsi="Times New Roman" w:cs="Times New Roman"/>
          <w:bCs/>
          <w:color w:val="000000" w:themeColor="text1"/>
          <w:kern w:val="36"/>
          <w:sz w:val="24"/>
          <w:szCs w:val="24"/>
          <w:lang w:val="en-US" w:eastAsia="el-GR"/>
        </w:rPr>
        <w:tab/>
      </w:r>
      <w:r w:rsidR="00A1097F" w:rsidRPr="00DA0851">
        <w:rPr>
          <w:rFonts w:ascii="Times New Roman" w:eastAsia="Times New Roman" w:hAnsi="Times New Roman" w:cs="Times New Roman"/>
          <w:bCs/>
          <w:color w:val="000000" w:themeColor="text1"/>
          <w:kern w:val="36"/>
          <w:sz w:val="24"/>
          <w:szCs w:val="24"/>
          <w:lang w:val="en-US" w:eastAsia="el-GR"/>
        </w:rPr>
        <w:t>what works best?</w:t>
      </w:r>
      <w:r w:rsidR="00A1097F" w:rsidRPr="00D10315">
        <w:rPr>
          <w:rFonts w:ascii="Times New Roman" w:eastAsia="Times New Roman" w:hAnsi="Times New Roman" w:cs="Times New Roman"/>
          <w:bCs/>
          <w:color w:val="000000" w:themeColor="text1"/>
          <w:kern w:val="36"/>
          <w:sz w:val="24"/>
          <w:szCs w:val="24"/>
          <w:lang w:val="en-US" w:eastAsia="el-GR"/>
        </w:rPr>
        <w:t xml:space="preserve">" </w:t>
      </w:r>
      <w:hyperlink r:id="rId20" w:history="1">
        <w:r w:rsidR="00DA0851" w:rsidRPr="00D10315">
          <w:rPr>
            <w:rStyle w:val="-"/>
            <w:rFonts w:ascii="Times New Roman" w:hAnsi="Times New Roman" w:cs="Times New Roman"/>
            <w:i/>
            <w:iCs/>
            <w:color w:val="000000" w:themeColor="text1"/>
            <w:sz w:val="24"/>
            <w:szCs w:val="24"/>
            <w:u w:val="none"/>
            <w:lang w:val="en-US"/>
          </w:rPr>
          <w:t>Journal of Financial Intermediation</w:t>
        </w:r>
      </w:hyperlink>
      <w:r w:rsidR="00DA0851" w:rsidRPr="00D10315">
        <w:rPr>
          <w:rFonts w:ascii="Times New Roman" w:hAnsi="Times New Roman" w:cs="Times New Roman"/>
          <w:color w:val="000000" w:themeColor="text1"/>
          <w:sz w:val="24"/>
          <w:szCs w:val="24"/>
          <w:lang w:val="en-US"/>
        </w:rPr>
        <w:t xml:space="preserve">, 2004, vol. 13, issue 2, </w:t>
      </w:r>
      <w:r w:rsidR="00A1097F" w:rsidRPr="00D10315">
        <w:rPr>
          <w:rFonts w:ascii="Times New Roman" w:hAnsi="Times New Roman" w:cs="Times New Roman"/>
          <w:color w:val="000000" w:themeColor="text1"/>
          <w:sz w:val="24"/>
          <w:szCs w:val="24"/>
          <w:lang w:val="en-US"/>
        </w:rPr>
        <w:tab/>
      </w:r>
      <w:r w:rsidR="00DA0851" w:rsidRPr="00D10315">
        <w:rPr>
          <w:rFonts w:ascii="Times New Roman" w:hAnsi="Times New Roman" w:cs="Times New Roman"/>
          <w:color w:val="000000" w:themeColor="text1"/>
          <w:sz w:val="24"/>
          <w:szCs w:val="24"/>
          <w:lang w:val="en-US"/>
        </w:rPr>
        <w:t>205-248</w:t>
      </w:r>
    </w:p>
    <w:p w:rsidR="00E5128A" w:rsidRPr="00E5128A" w:rsidRDefault="00E5128A" w:rsidP="00BA5E9D">
      <w:pPr>
        <w:pStyle w:val="a3"/>
        <w:spacing w:line="276" w:lineRule="auto"/>
        <w:jc w:val="both"/>
        <w:rPr>
          <w:rFonts w:ascii="Times New Roman" w:hAnsi="Times New Roman"/>
          <w:color w:val="000000" w:themeColor="text1"/>
          <w:sz w:val="24"/>
          <w:szCs w:val="24"/>
          <w:lang w:val="en-US"/>
        </w:rPr>
      </w:pPr>
      <w:r w:rsidRPr="00E5128A">
        <w:rPr>
          <w:rFonts w:ascii="Times New Roman" w:hAnsi="Times New Roman"/>
          <w:sz w:val="24"/>
          <w:szCs w:val="24"/>
          <w:lang w:val="en-US"/>
        </w:rPr>
        <w:t xml:space="preserve">Berkowitz J. and O’Brien J., (2002). </w:t>
      </w:r>
      <w:r>
        <w:rPr>
          <w:rFonts w:ascii="Times New Roman" w:hAnsi="Times New Roman"/>
          <w:sz w:val="24"/>
          <w:szCs w:val="24"/>
          <w:lang w:val="en-US"/>
        </w:rPr>
        <w:t>"</w:t>
      </w:r>
      <w:r w:rsidRPr="00E5128A">
        <w:rPr>
          <w:rFonts w:ascii="Times New Roman" w:hAnsi="Times New Roman"/>
          <w:sz w:val="24"/>
          <w:szCs w:val="24"/>
          <w:lang w:val="en-US"/>
        </w:rPr>
        <w:t xml:space="preserve">How Accurate are Value-at-Risk Models at </w:t>
      </w:r>
      <w:r>
        <w:rPr>
          <w:rFonts w:ascii="Times New Roman" w:hAnsi="Times New Roman"/>
          <w:sz w:val="24"/>
          <w:szCs w:val="24"/>
          <w:lang w:val="en-US"/>
        </w:rPr>
        <w:tab/>
      </w:r>
      <w:r w:rsidRPr="00E5128A">
        <w:rPr>
          <w:rFonts w:ascii="Times New Roman" w:hAnsi="Times New Roman"/>
          <w:sz w:val="24"/>
          <w:szCs w:val="24"/>
          <w:lang w:val="en-US"/>
        </w:rPr>
        <w:t>Commercial Banks?</w:t>
      </w:r>
      <w:r>
        <w:rPr>
          <w:rFonts w:ascii="Times New Roman" w:hAnsi="Times New Roman"/>
          <w:sz w:val="24"/>
          <w:szCs w:val="24"/>
          <w:lang w:val="en-US"/>
        </w:rPr>
        <w:t>"</w:t>
      </w:r>
      <w:r w:rsidRPr="00E5128A">
        <w:rPr>
          <w:rFonts w:ascii="Times New Roman" w:hAnsi="Times New Roman"/>
          <w:sz w:val="24"/>
          <w:szCs w:val="24"/>
          <w:lang w:val="en-US"/>
        </w:rPr>
        <w:t xml:space="preserve"> Journal of Finance, 57:1093–1112, 2002.</w:t>
      </w:r>
    </w:p>
    <w:p w:rsidR="003F0A49" w:rsidRPr="00D10315" w:rsidRDefault="003F0A49" w:rsidP="00BA5E9D">
      <w:pPr>
        <w:pStyle w:val="a3"/>
        <w:spacing w:line="276" w:lineRule="auto"/>
        <w:jc w:val="both"/>
        <w:rPr>
          <w:rFonts w:ascii="Times New Roman" w:hAnsi="Times New Roman"/>
          <w:color w:val="000000" w:themeColor="text1"/>
          <w:sz w:val="24"/>
          <w:szCs w:val="24"/>
          <w:lang w:val="en-US"/>
        </w:rPr>
      </w:pPr>
      <w:r w:rsidRPr="00D10315">
        <w:rPr>
          <w:rFonts w:ascii="Times New Roman" w:hAnsi="Times New Roman"/>
          <w:color w:val="000000" w:themeColor="text1"/>
          <w:sz w:val="24"/>
          <w:szCs w:val="24"/>
          <w:lang w:val="en-US"/>
        </w:rPr>
        <w:t xml:space="preserve">Bessis, J. (2003). "Risk management in banking" (2nd edition). Wiley, Chichester </w:t>
      </w:r>
    </w:p>
    <w:p w:rsidR="00BA5E9D" w:rsidRDefault="00BA5E9D" w:rsidP="00BA5E9D">
      <w:pPr>
        <w:spacing w:after="0"/>
        <w:jc w:val="both"/>
        <w:rPr>
          <w:rFonts w:ascii="Times New Roman" w:hAnsi="Times New Roman" w:cs="Times New Roman"/>
          <w:color w:val="000000" w:themeColor="text1"/>
          <w:sz w:val="24"/>
          <w:szCs w:val="24"/>
          <w:lang w:val="en-US"/>
        </w:rPr>
      </w:pPr>
      <w:r w:rsidRPr="008F695B">
        <w:rPr>
          <w:rFonts w:ascii="Times New Roman" w:hAnsi="Times New Roman" w:cs="Times New Roman"/>
          <w:sz w:val="24"/>
          <w:szCs w:val="24"/>
          <w:lang w:val="en-US"/>
        </w:rPr>
        <w:t>Borghese, R.J. and Borgese, P.F.</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 (2002), </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M&amp;A from Planning to Integration: </w:t>
      </w:r>
      <w:r>
        <w:rPr>
          <w:rFonts w:ascii="Times New Roman" w:hAnsi="Times New Roman" w:cs="Times New Roman"/>
          <w:sz w:val="24"/>
          <w:szCs w:val="24"/>
          <w:lang w:val="en-US"/>
        </w:rPr>
        <w:tab/>
      </w:r>
      <w:r w:rsidRPr="008F695B">
        <w:rPr>
          <w:rFonts w:ascii="Times New Roman" w:hAnsi="Times New Roman" w:cs="Times New Roman"/>
          <w:sz w:val="24"/>
          <w:szCs w:val="24"/>
          <w:lang w:val="en-US"/>
        </w:rPr>
        <w:t>Executing Acquisitions and Increasing Shareholder Value</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 McGraw-Hill, </w:t>
      </w:r>
      <w:r>
        <w:rPr>
          <w:rFonts w:ascii="Times New Roman" w:hAnsi="Times New Roman" w:cs="Times New Roman"/>
          <w:sz w:val="24"/>
          <w:szCs w:val="24"/>
          <w:lang w:val="en-US"/>
        </w:rPr>
        <w:tab/>
      </w:r>
      <w:r w:rsidRPr="008F695B">
        <w:rPr>
          <w:rFonts w:ascii="Times New Roman" w:hAnsi="Times New Roman" w:cs="Times New Roman"/>
          <w:sz w:val="24"/>
          <w:szCs w:val="24"/>
          <w:lang w:val="en-US"/>
        </w:rPr>
        <w:t>New York, NY</w:t>
      </w:r>
      <w:r w:rsidR="00870446">
        <w:rPr>
          <w:rFonts w:ascii="Times New Roman" w:hAnsi="Times New Roman" w:cs="Times New Roman"/>
          <w:sz w:val="24"/>
          <w:szCs w:val="24"/>
          <w:lang w:val="en-US"/>
        </w:rPr>
        <w:t>.</w:t>
      </w:r>
    </w:p>
    <w:p w:rsidR="007D1334" w:rsidRPr="00347CA8" w:rsidRDefault="007D1334" w:rsidP="00BA5E9D">
      <w:pPr>
        <w:spacing w:after="0"/>
        <w:jc w:val="both"/>
        <w:rPr>
          <w:rFonts w:ascii="Times New Roman" w:hAnsi="Times New Roman" w:cs="Times New Roman"/>
          <w:sz w:val="24"/>
          <w:szCs w:val="24"/>
          <w:lang w:val="en-US"/>
        </w:rPr>
      </w:pPr>
      <w:r w:rsidRPr="007D1334">
        <w:rPr>
          <w:rFonts w:ascii="Times New Roman" w:hAnsi="Times New Roman" w:cs="Times New Roman"/>
          <w:sz w:val="24"/>
          <w:szCs w:val="24"/>
          <w:lang w:val="en-US"/>
        </w:rPr>
        <w:t xml:space="preserve">Čorkalo </w:t>
      </w:r>
      <w:r w:rsidR="00FF7C82" w:rsidRPr="007D1334">
        <w:rPr>
          <w:rFonts w:ascii="Times New Roman" w:hAnsi="Times New Roman" w:cs="Times New Roman"/>
          <w:sz w:val="24"/>
          <w:szCs w:val="24"/>
          <w:lang w:val="en-US"/>
        </w:rPr>
        <w:t>Š</w:t>
      </w:r>
      <w:r w:rsidR="00FF7C82">
        <w:rPr>
          <w:rFonts w:ascii="Times New Roman" w:hAnsi="Times New Roman" w:cs="Times New Roman"/>
          <w:sz w:val="24"/>
          <w:szCs w:val="24"/>
          <w:lang w:val="en-US"/>
        </w:rPr>
        <w:t>.,</w:t>
      </w:r>
      <w:r w:rsidR="00FF7C82" w:rsidRPr="007D1334">
        <w:rPr>
          <w:rFonts w:ascii="Times New Roman" w:hAnsi="Times New Roman" w:cs="Times New Roman"/>
          <w:sz w:val="24"/>
          <w:szCs w:val="24"/>
          <w:lang w:val="en-US"/>
        </w:rPr>
        <w:t xml:space="preserve"> </w:t>
      </w:r>
      <w:r w:rsidRPr="007D1334">
        <w:rPr>
          <w:rFonts w:ascii="Times New Roman" w:hAnsi="Times New Roman" w:cs="Times New Roman"/>
          <w:sz w:val="24"/>
          <w:szCs w:val="24"/>
          <w:lang w:val="en-US"/>
        </w:rPr>
        <w:t xml:space="preserve">(2011). </w:t>
      </w:r>
      <w:r>
        <w:rPr>
          <w:rFonts w:ascii="Times New Roman" w:hAnsi="Times New Roman" w:cs="Times New Roman"/>
          <w:sz w:val="24"/>
          <w:szCs w:val="24"/>
          <w:lang w:val="en-US"/>
        </w:rPr>
        <w:t>"</w:t>
      </w:r>
      <w:r w:rsidRPr="007D1334">
        <w:rPr>
          <w:rFonts w:ascii="Times New Roman" w:hAnsi="Times New Roman" w:cs="Times New Roman"/>
          <w:sz w:val="24"/>
          <w:szCs w:val="24"/>
          <w:lang w:val="en-US"/>
        </w:rPr>
        <w:t xml:space="preserve">Comparison of </w:t>
      </w:r>
      <w:r>
        <w:rPr>
          <w:rFonts w:ascii="Times New Roman" w:hAnsi="Times New Roman" w:cs="Times New Roman"/>
          <w:sz w:val="24"/>
          <w:szCs w:val="24"/>
          <w:lang w:val="en-US"/>
        </w:rPr>
        <w:t>V</w:t>
      </w:r>
      <w:r w:rsidRPr="007D1334">
        <w:rPr>
          <w:rFonts w:ascii="Times New Roman" w:hAnsi="Times New Roman" w:cs="Times New Roman"/>
          <w:sz w:val="24"/>
          <w:szCs w:val="24"/>
          <w:lang w:val="en-US"/>
        </w:rPr>
        <w:t xml:space="preserve">alue at </w:t>
      </w:r>
      <w:r>
        <w:rPr>
          <w:rFonts w:ascii="Times New Roman" w:hAnsi="Times New Roman" w:cs="Times New Roman"/>
          <w:sz w:val="24"/>
          <w:szCs w:val="24"/>
          <w:lang w:val="en-US"/>
        </w:rPr>
        <w:t>R</w:t>
      </w:r>
      <w:r w:rsidRPr="007D1334">
        <w:rPr>
          <w:rFonts w:ascii="Times New Roman" w:hAnsi="Times New Roman" w:cs="Times New Roman"/>
          <w:sz w:val="24"/>
          <w:szCs w:val="24"/>
          <w:lang w:val="en-US"/>
        </w:rPr>
        <w:t xml:space="preserve">isk </w:t>
      </w:r>
      <w:r>
        <w:rPr>
          <w:rFonts w:ascii="Times New Roman" w:hAnsi="Times New Roman" w:cs="Times New Roman"/>
          <w:sz w:val="24"/>
          <w:szCs w:val="24"/>
          <w:lang w:val="en-US"/>
        </w:rPr>
        <w:t>A</w:t>
      </w:r>
      <w:r w:rsidRPr="007D1334">
        <w:rPr>
          <w:rFonts w:ascii="Times New Roman" w:hAnsi="Times New Roman" w:cs="Times New Roman"/>
          <w:sz w:val="24"/>
          <w:szCs w:val="24"/>
          <w:lang w:val="en-US"/>
        </w:rPr>
        <w:t xml:space="preserve">pproaches on a </w:t>
      </w:r>
      <w:r>
        <w:rPr>
          <w:rFonts w:ascii="Times New Roman" w:hAnsi="Times New Roman" w:cs="Times New Roman"/>
          <w:sz w:val="24"/>
          <w:szCs w:val="24"/>
          <w:lang w:val="en-US"/>
        </w:rPr>
        <w:t>S</w:t>
      </w:r>
      <w:r w:rsidRPr="007D1334">
        <w:rPr>
          <w:rFonts w:ascii="Times New Roman" w:hAnsi="Times New Roman" w:cs="Times New Roman"/>
          <w:sz w:val="24"/>
          <w:szCs w:val="24"/>
          <w:lang w:val="en-US"/>
        </w:rPr>
        <w:t xml:space="preserve">tock </w:t>
      </w:r>
      <w:r>
        <w:rPr>
          <w:rFonts w:ascii="Times New Roman" w:hAnsi="Times New Roman" w:cs="Times New Roman"/>
          <w:sz w:val="24"/>
          <w:szCs w:val="24"/>
          <w:lang w:val="en-US"/>
        </w:rPr>
        <w:t>P</w:t>
      </w:r>
      <w:r w:rsidRPr="007D1334">
        <w:rPr>
          <w:rFonts w:ascii="Times New Roman" w:hAnsi="Times New Roman" w:cs="Times New Roman"/>
          <w:sz w:val="24"/>
          <w:szCs w:val="24"/>
          <w:lang w:val="en-US"/>
        </w:rPr>
        <w:t>ortfolio</w:t>
      </w:r>
      <w:r>
        <w:rPr>
          <w:rFonts w:ascii="Times New Roman" w:hAnsi="Times New Roman" w:cs="Times New Roman"/>
          <w:sz w:val="24"/>
          <w:szCs w:val="24"/>
          <w:lang w:val="en-US"/>
        </w:rPr>
        <w:t xml:space="preserve">". </w:t>
      </w:r>
      <w:r w:rsidR="00347CA8">
        <w:rPr>
          <w:rFonts w:ascii="Times New Roman" w:hAnsi="Times New Roman" w:cs="Times New Roman"/>
          <w:sz w:val="24"/>
          <w:szCs w:val="24"/>
          <w:lang w:val="en-US"/>
        </w:rPr>
        <w:tab/>
      </w:r>
      <w:r w:rsidR="00347CA8" w:rsidRPr="002629B6">
        <w:rPr>
          <w:rFonts w:ascii="Times New Roman" w:hAnsi="Times New Roman" w:cs="Times New Roman"/>
          <w:sz w:val="24"/>
          <w:szCs w:val="24"/>
          <w:lang w:val="en-US"/>
        </w:rPr>
        <w:t>Croatian Operational Research Review (CRORR), Vol. 2</w:t>
      </w:r>
    </w:p>
    <w:p w:rsidR="001908CD" w:rsidRPr="001908CD" w:rsidRDefault="001908CD" w:rsidP="00BA5E9D">
      <w:pPr>
        <w:spacing w:after="0"/>
        <w:jc w:val="both"/>
        <w:rPr>
          <w:rFonts w:ascii="Times New Roman" w:hAnsi="Times New Roman" w:cs="Times New Roman"/>
          <w:sz w:val="24"/>
          <w:szCs w:val="24"/>
          <w:lang w:val="en-US"/>
        </w:rPr>
      </w:pPr>
      <w:r w:rsidRPr="001908CD">
        <w:rPr>
          <w:rFonts w:ascii="Times New Roman" w:hAnsi="Times New Roman" w:cs="Times New Roman"/>
          <w:sz w:val="24"/>
          <w:szCs w:val="24"/>
          <w:lang w:val="en-US"/>
        </w:rPr>
        <w:lastRenderedPageBreak/>
        <w:t xml:space="preserve">Damodaran A., (2008). "Strategic Risk Taking: A Framework for Risk Management". </w:t>
      </w:r>
      <w:r>
        <w:rPr>
          <w:rFonts w:ascii="Times New Roman" w:hAnsi="Times New Roman" w:cs="Times New Roman"/>
          <w:sz w:val="24"/>
          <w:szCs w:val="24"/>
          <w:lang w:val="en-US"/>
        </w:rPr>
        <w:tab/>
      </w:r>
      <w:r w:rsidRPr="001908CD">
        <w:rPr>
          <w:rFonts w:ascii="Times New Roman" w:hAnsi="Times New Roman" w:cs="Times New Roman"/>
          <w:sz w:val="24"/>
          <w:szCs w:val="24"/>
          <w:lang w:val="en-US"/>
        </w:rPr>
        <w:t>Wharton School Publishing, Pearson Education, New Jersey, 2008.</w:t>
      </w:r>
    </w:p>
    <w:p w:rsidR="005763D6" w:rsidRPr="005763D6" w:rsidRDefault="005763D6" w:rsidP="005763D6">
      <w:pPr>
        <w:pStyle w:val="Web"/>
        <w:shd w:val="clear" w:color="auto" w:fill="FFFFFF"/>
        <w:spacing w:before="0" w:beforeAutospacing="0" w:after="0" w:afterAutospacing="0" w:line="276" w:lineRule="auto"/>
        <w:jc w:val="both"/>
        <w:rPr>
          <w:lang w:val="en-US"/>
        </w:rPr>
      </w:pPr>
      <w:r w:rsidRPr="005763D6">
        <w:rPr>
          <w:lang w:val="en-US"/>
        </w:rPr>
        <w:t xml:space="preserve">Dowd, K. (2002). </w:t>
      </w:r>
      <w:r>
        <w:rPr>
          <w:lang w:val="en-US"/>
        </w:rPr>
        <w:t>"</w:t>
      </w:r>
      <w:r w:rsidRPr="005763D6">
        <w:rPr>
          <w:iCs/>
          <w:lang w:val="en-US"/>
        </w:rPr>
        <w:t>Measuring Market Risk</w:t>
      </w:r>
      <w:r>
        <w:rPr>
          <w:iCs/>
          <w:lang w:val="en-US"/>
        </w:rPr>
        <w:t>."</w:t>
      </w:r>
      <w:r w:rsidRPr="005763D6">
        <w:rPr>
          <w:i/>
          <w:iCs/>
          <w:lang w:val="en-US"/>
        </w:rPr>
        <w:t xml:space="preserve"> </w:t>
      </w:r>
      <w:r w:rsidRPr="005763D6">
        <w:rPr>
          <w:lang w:val="en-US"/>
        </w:rPr>
        <w:t>New York: John Wiley and Sons Ltd</w:t>
      </w:r>
    </w:p>
    <w:p w:rsidR="00ED1678" w:rsidRPr="00ED1678" w:rsidRDefault="00ED1678" w:rsidP="00BA5E9D">
      <w:pPr>
        <w:spacing w:after="0"/>
        <w:jc w:val="both"/>
        <w:rPr>
          <w:rFonts w:ascii="Times New Roman" w:hAnsi="Times New Roman" w:cs="Times New Roman"/>
          <w:sz w:val="24"/>
          <w:szCs w:val="24"/>
          <w:lang w:val="en-US"/>
        </w:rPr>
      </w:pPr>
      <w:r w:rsidRPr="00ED1678">
        <w:rPr>
          <w:rFonts w:ascii="Times New Roman" w:hAnsi="Times New Roman" w:cs="Times New Roman"/>
          <w:sz w:val="24"/>
          <w:szCs w:val="24"/>
          <w:lang w:val="en-US"/>
        </w:rPr>
        <w:t xml:space="preserve">Huizinga P., Nelissen M., Vennet V., </w:t>
      </w:r>
      <w:r>
        <w:rPr>
          <w:rFonts w:ascii="Times New Roman" w:hAnsi="Times New Roman" w:cs="Times New Roman"/>
          <w:sz w:val="24"/>
          <w:szCs w:val="24"/>
          <w:lang w:val="en-US"/>
        </w:rPr>
        <w:t>(</w:t>
      </w:r>
      <w:r w:rsidRPr="00ED1678">
        <w:rPr>
          <w:rFonts w:ascii="Times New Roman" w:hAnsi="Times New Roman" w:cs="Times New Roman"/>
          <w:sz w:val="24"/>
          <w:szCs w:val="24"/>
          <w:lang w:val="en-US"/>
        </w:rPr>
        <w:t>2001</w:t>
      </w:r>
      <w:r>
        <w:rPr>
          <w:rFonts w:ascii="Times New Roman" w:hAnsi="Times New Roman" w:cs="Times New Roman"/>
          <w:sz w:val="24"/>
          <w:szCs w:val="24"/>
          <w:lang w:val="en-US"/>
        </w:rPr>
        <w:t>)</w:t>
      </w:r>
      <w:r w:rsidRPr="00ED167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ED1678">
        <w:rPr>
          <w:rFonts w:ascii="Times New Roman" w:hAnsi="Times New Roman" w:cs="Times New Roman"/>
          <w:sz w:val="24"/>
          <w:szCs w:val="24"/>
          <w:lang w:val="en-US"/>
        </w:rPr>
        <w:t xml:space="preserve">Efficiency Effects of </w:t>
      </w:r>
      <w:r>
        <w:rPr>
          <w:rFonts w:ascii="Times New Roman" w:hAnsi="Times New Roman" w:cs="Times New Roman"/>
          <w:sz w:val="24"/>
          <w:szCs w:val="24"/>
          <w:lang w:val="en-US"/>
        </w:rPr>
        <w:t>B</w:t>
      </w:r>
      <w:r w:rsidRPr="00ED1678">
        <w:rPr>
          <w:rFonts w:ascii="Times New Roman" w:hAnsi="Times New Roman" w:cs="Times New Roman"/>
          <w:sz w:val="24"/>
          <w:szCs w:val="24"/>
          <w:lang w:val="en-US"/>
        </w:rPr>
        <w:t xml:space="preserve">anks </w:t>
      </w:r>
      <w:r>
        <w:rPr>
          <w:rFonts w:ascii="Times New Roman" w:hAnsi="Times New Roman" w:cs="Times New Roman"/>
          <w:sz w:val="24"/>
          <w:szCs w:val="24"/>
          <w:lang w:val="en-US"/>
        </w:rPr>
        <w:t>M</w:t>
      </w:r>
      <w:r w:rsidRPr="00ED1678">
        <w:rPr>
          <w:rFonts w:ascii="Times New Roman" w:hAnsi="Times New Roman" w:cs="Times New Roman"/>
          <w:sz w:val="24"/>
          <w:szCs w:val="24"/>
          <w:lang w:val="en-US"/>
        </w:rPr>
        <w:t xml:space="preserve">ergers </w:t>
      </w:r>
      <w:r>
        <w:rPr>
          <w:rFonts w:ascii="Times New Roman" w:hAnsi="Times New Roman" w:cs="Times New Roman"/>
          <w:sz w:val="24"/>
          <w:szCs w:val="24"/>
          <w:lang w:val="en-US"/>
        </w:rPr>
        <w:t>&amp;</w:t>
      </w:r>
      <w:r w:rsidRPr="00ED1678">
        <w:rPr>
          <w:rFonts w:ascii="Times New Roman" w:hAnsi="Times New Roman" w:cs="Times New Roman"/>
          <w:sz w:val="24"/>
          <w:szCs w:val="24"/>
          <w:lang w:val="en-US"/>
        </w:rPr>
        <w:t xml:space="preserve"> </w:t>
      </w:r>
      <w:r>
        <w:rPr>
          <w:rFonts w:ascii="Times New Roman" w:hAnsi="Times New Roman" w:cs="Times New Roman"/>
          <w:sz w:val="24"/>
          <w:szCs w:val="24"/>
          <w:lang w:val="en-US"/>
        </w:rPr>
        <w:tab/>
        <w:t>A</w:t>
      </w:r>
      <w:r w:rsidRPr="00ED1678">
        <w:rPr>
          <w:rFonts w:ascii="Times New Roman" w:hAnsi="Times New Roman" w:cs="Times New Roman"/>
          <w:sz w:val="24"/>
          <w:szCs w:val="24"/>
          <w:lang w:val="en-US"/>
        </w:rPr>
        <w:t>cquisitions in Europe</w:t>
      </w:r>
      <w:r>
        <w:rPr>
          <w:rFonts w:ascii="Times New Roman" w:hAnsi="Times New Roman" w:cs="Times New Roman"/>
          <w:sz w:val="24"/>
          <w:szCs w:val="24"/>
          <w:lang w:val="en-US"/>
        </w:rPr>
        <w:t>"</w:t>
      </w:r>
      <w:r w:rsidRPr="00ED1678">
        <w:rPr>
          <w:rFonts w:ascii="Times New Roman" w:hAnsi="Times New Roman" w:cs="Times New Roman"/>
          <w:sz w:val="24"/>
          <w:szCs w:val="24"/>
          <w:lang w:val="en-US"/>
        </w:rPr>
        <w:t xml:space="preserve">. </w:t>
      </w:r>
      <w:r w:rsidRPr="00ED1678">
        <w:rPr>
          <w:rFonts w:ascii="Times New Roman" w:hAnsi="Times New Roman" w:cs="Times New Roman"/>
          <w:i/>
          <w:sz w:val="24"/>
          <w:szCs w:val="24"/>
          <w:lang w:val="en-US"/>
        </w:rPr>
        <w:t>Discussion paper Ti-2001 088/3</w:t>
      </w:r>
      <w:r w:rsidRPr="00ED1678">
        <w:rPr>
          <w:rFonts w:ascii="Times New Roman" w:hAnsi="Times New Roman" w:cs="Times New Roman"/>
          <w:sz w:val="24"/>
          <w:szCs w:val="24"/>
          <w:lang w:val="en-US"/>
        </w:rPr>
        <w:t xml:space="preserve"> Tinbergen Institute</w:t>
      </w:r>
      <w:r w:rsidR="00E7510A">
        <w:rPr>
          <w:rFonts w:ascii="Times New Roman" w:hAnsi="Times New Roman" w:cs="Times New Roman"/>
          <w:sz w:val="24"/>
          <w:szCs w:val="24"/>
          <w:lang w:val="en-US"/>
        </w:rPr>
        <w:t>.</w:t>
      </w:r>
    </w:p>
    <w:p w:rsidR="00BA5E9D" w:rsidRPr="008F695B" w:rsidRDefault="00BA5E9D" w:rsidP="00BA5E9D">
      <w:pPr>
        <w:spacing w:after="0"/>
        <w:jc w:val="both"/>
        <w:rPr>
          <w:rFonts w:ascii="Times New Roman" w:hAnsi="Times New Roman" w:cs="Times New Roman"/>
          <w:sz w:val="24"/>
          <w:szCs w:val="24"/>
          <w:lang w:val="en-US"/>
        </w:rPr>
      </w:pPr>
      <w:r w:rsidRPr="008F695B">
        <w:rPr>
          <w:rFonts w:ascii="Times New Roman" w:hAnsi="Times New Roman" w:cs="Times New Roman"/>
          <w:sz w:val="24"/>
          <w:szCs w:val="24"/>
          <w:lang w:val="en-US"/>
        </w:rPr>
        <w:t>Hubbard, N.</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 (1999). </w:t>
      </w:r>
      <w:r>
        <w:rPr>
          <w:rFonts w:ascii="Times New Roman" w:hAnsi="Times New Roman" w:cs="Times New Roman"/>
          <w:sz w:val="24"/>
          <w:szCs w:val="24"/>
          <w:lang w:val="en-US"/>
        </w:rPr>
        <w:t>"</w:t>
      </w:r>
      <w:r w:rsidRPr="008F695B">
        <w:rPr>
          <w:rFonts w:ascii="Times New Roman" w:hAnsi="Times New Roman" w:cs="Times New Roman"/>
          <w:sz w:val="24"/>
          <w:szCs w:val="24"/>
          <w:lang w:val="en-US"/>
        </w:rPr>
        <w:t>Acquisition: Strategy and implementation</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 </w:t>
      </w:r>
      <w:r w:rsidRPr="007E5912">
        <w:rPr>
          <w:rFonts w:ascii="Times New Roman" w:hAnsi="Times New Roman" w:cs="Times New Roman"/>
          <w:sz w:val="24"/>
          <w:szCs w:val="24"/>
          <w:lang w:val="en-US"/>
        </w:rPr>
        <w:t xml:space="preserve">London: </w:t>
      </w:r>
      <w:r>
        <w:rPr>
          <w:rFonts w:ascii="Times New Roman" w:hAnsi="Times New Roman" w:cs="Times New Roman"/>
          <w:sz w:val="24"/>
          <w:szCs w:val="24"/>
          <w:lang w:val="en-US"/>
        </w:rPr>
        <w:tab/>
      </w:r>
      <w:r w:rsidRPr="007E5912">
        <w:rPr>
          <w:rFonts w:ascii="Times New Roman" w:hAnsi="Times New Roman" w:cs="Times New Roman"/>
          <w:sz w:val="24"/>
          <w:szCs w:val="24"/>
          <w:lang w:val="en-US"/>
        </w:rPr>
        <w:t>Macmillan</w:t>
      </w:r>
    </w:p>
    <w:p w:rsidR="00F07EC0" w:rsidRPr="00D10315" w:rsidRDefault="00AD0CBE" w:rsidP="00BA5E9D">
      <w:pPr>
        <w:spacing w:after="0"/>
        <w:jc w:val="both"/>
        <w:rPr>
          <w:rFonts w:ascii="Times New Roman" w:hAnsi="Times New Roman" w:cs="Times New Roman"/>
          <w:color w:val="000000" w:themeColor="text1"/>
          <w:sz w:val="24"/>
          <w:szCs w:val="24"/>
          <w:lang w:val="en-US"/>
        </w:rPr>
      </w:pPr>
      <w:r w:rsidRPr="00D10315">
        <w:rPr>
          <w:rFonts w:ascii="Times New Roman" w:hAnsi="Times New Roman" w:cs="Times New Roman"/>
          <w:color w:val="000000" w:themeColor="text1"/>
          <w:sz w:val="24"/>
          <w:szCs w:val="24"/>
          <w:lang w:val="en-US"/>
        </w:rPr>
        <w:t>Jorion P., (200</w:t>
      </w:r>
      <w:r w:rsidR="001908CD">
        <w:rPr>
          <w:rFonts w:ascii="Times New Roman" w:hAnsi="Times New Roman" w:cs="Times New Roman"/>
          <w:color w:val="000000" w:themeColor="text1"/>
          <w:sz w:val="24"/>
          <w:szCs w:val="24"/>
          <w:lang w:val="en-US"/>
        </w:rPr>
        <w:t>7</w:t>
      </w:r>
      <w:r w:rsidRPr="00D10315">
        <w:rPr>
          <w:rFonts w:ascii="Times New Roman" w:hAnsi="Times New Roman" w:cs="Times New Roman"/>
          <w:color w:val="000000" w:themeColor="text1"/>
          <w:sz w:val="24"/>
          <w:szCs w:val="24"/>
          <w:lang w:val="en-US"/>
        </w:rPr>
        <w:t xml:space="preserve">). "Value at Risk" </w:t>
      </w:r>
      <w:r w:rsidR="001908CD">
        <w:rPr>
          <w:rFonts w:ascii="Times New Roman" w:hAnsi="Times New Roman" w:cs="Times New Roman"/>
          <w:color w:val="000000" w:themeColor="text1"/>
          <w:sz w:val="24"/>
          <w:szCs w:val="24"/>
          <w:lang w:val="en-US"/>
        </w:rPr>
        <w:t>3</w:t>
      </w:r>
      <w:r w:rsidRPr="00D10315">
        <w:rPr>
          <w:rFonts w:ascii="Times New Roman" w:hAnsi="Times New Roman" w:cs="Times New Roman"/>
          <w:color w:val="000000" w:themeColor="text1"/>
          <w:sz w:val="24"/>
          <w:szCs w:val="24"/>
          <w:lang w:val="en-US"/>
        </w:rPr>
        <w:t>nd Edition McGraw Hill USA</w:t>
      </w:r>
    </w:p>
    <w:p w:rsidR="001908CD" w:rsidRPr="001908CD" w:rsidRDefault="001908CD" w:rsidP="00BA5E9D">
      <w:pPr>
        <w:pStyle w:val="a3"/>
        <w:spacing w:line="276" w:lineRule="auto"/>
        <w:jc w:val="both"/>
        <w:rPr>
          <w:rFonts w:ascii="Times New Roman" w:hAnsi="Times New Roman"/>
          <w:color w:val="000000" w:themeColor="text1"/>
          <w:sz w:val="24"/>
          <w:szCs w:val="24"/>
          <w:lang w:val="en-US"/>
        </w:rPr>
      </w:pPr>
      <w:r w:rsidRPr="001908CD">
        <w:rPr>
          <w:rFonts w:ascii="Times New Roman" w:hAnsi="Times New Roman"/>
          <w:sz w:val="24"/>
          <w:szCs w:val="24"/>
          <w:lang w:val="en-US"/>
        </w:rPr>
        <w:t>Morgan</w:t>
      </w:r>
      <w:r>
        <w:rPr>
          <w:rFonts w:ascii="Times New Roman" w:hAnsi="Times New Roman"/>
          <w:sz w:val="24"/>
          <w:szCs w:val="24"/>
          <w:lang w:val="en-US"/>
        </w:rPr>
        <w:t xml:space="preserve"> J</w:t>
      </w:r>
      <w:r w:rsidRPr="001908CD">
        <w:rPr>
          <w:rFonts w:ascii="Times New Roman" w:hAnsi="Times New Roman"/>
          <w:sz w:val="24"/>
          <w:szCs w:val="24"/>
          <w:lang w:val="en-US"/>
        </w:rPr>
        <w:t xml:space="preserve">. </w:t>
      </w:r>
      <w:r>
        <w:rPr>
          <w:rFonts w:ascii="Times New Roman" w:hAnsi="Times New Roman"/>
          <w:sz w:val="24"/>
          <w:szCs w:val="24"/>
          <w:lang w:val="en-US"/>
        </w:rPr>
        <w:t>(1996). "</w:t>
      </w:r>
      <w:r w:rsidRPr="001908CD">
        <w:rPr>
          <w:rFonts w:ascii="Times New Roman" w:hAnsi="Times New Roman"/>
          <w:sz w:val="24"/>
          <w:szCs w:val="24"/>
          <w:lang w:val="en-US"/>
        </w:rPr>
        <w:t>RiskMetrics - Technical Document</w:t>
      </w:r>
      <w:r>
        <w:rPr>
          <w:rFonts w:ascii="Times New Roman" w:hAnsi="Times New Roman"/>
          <w:sz w:val="24"/>
          <w:szCs w:val="24"/>
          <w:lang w:val="en-US"/>
        </w:rPr>
        <w:t>"</w:t>
      </w:r>
      <w:r w:rsidRPr="001908CD">
        <w:rPr>
          <w:rFonts w:ascii="Times New Roman" w:hAnsi="Times New Roman"/>
          <w:sz w:val="24"/>
          <w:szCs w:val="24"/>
          <w:lang w:val="en-US"/>
        </w:rPr>
        <w:t xml:space="preserve">. Technical Report Fourth </w:t>
      </w:r>
      <w:r>
        <w:rPr>
          <w:rFonts w:ascii="Times New Roman" w:hAnsi="Times New Roman"/>
          <w:sz w:val="24"/>
          <w:szCs w:val="24"/>
          <w:lang w:val="en-US"/>
        </w:rPr>
        <w:tab/>
      </w:r>
      <w:r w:rsidRPr="001908CD">
        <w:rPr>
          <w:rFonts w:ascii="Times New Roman" w:hAnsi="Times New Roman"/>
          <w:sz w:val="24"/>
          <w:szCs w:val="24"/>
          <w:lang w:val="en-US"/>
        </w:rPr>
        <w:t>Edition, 1996.</w:t>
      </w:r>
    </w:p>
    <w:p w:rsidR="00214104" w:rsidRPr="00137FAB" w:rsidRDefault="00214104" w:rsidP="00214104">
      <w:pPr>
        <w:spacing w:after="0"/>
        <w:jc w:val="both"/>
        <w:rPr>
          <w:rFonts w:ascii="Times New Roman" w:hAnsi="Times New Roman" w:cs="Times New Roman"/>
          <w:color w:val="000000" w:themeColor="text1"/>
          <w:sz w:val="24"/>
          <w:szCs w:val="24"/>
          <w:lang w:val="en-US"/>
        </w:rPr>
      </w:pPr>
      <w:r w:rsidRPr="00137FAB">
        <w:rPr>
          <w:rFonts w:ascii="Times New Roman" w:hAnsi="Times New Roman" w:cs="Times New Roman"/>
          <w:sz w:val="24"/>
          <w:szCs w:val="24"/>
          <w:lang w:val="en-US"/>
        </w:rPr>
        <w:t xml:space="preserve">Manganelli </w:t>
      </w:r>
      <w:r>
        <w:rPr>
          <w:rFonts w:ascii="Times New Roman" w:hAnsi="Times New Roman" w:cs="Times New Roman"/>
          <w:sz w:val="24"/>
          <w:szCs w:val="24"/>
          <w:lang w:val="en-US"/>
        </w:rPr>
        <w:t>S</w:t>
      </w:r>
      <w:r w:rsidRPr="00137FAB">
        <w:rPr>
          <w:rFonts w:ascii="Times New Roman" w:hAnsi="Times New Roman" w:cs="Times New Roman"/>
          <w:sz w:val="24"/>
          <w:szCs w:val="24"/>
          <w:lang w:val="en-US"/>
        </w:rPr>
        <w:t xml:space="preserve">., and </w:t>
      </w:r>
      <w:r w:rsidRPr="00CC4821">
        <w:rPr>
          <w:rFonts w:ascii="Times New Roman" w:hAnsi="Times New Roman" w:cs="Times New Roman"/>
          <w:sz w:val="24"/>
          <w:szCs w:val="24"/>
          <w:lang w:val="en-US"/>
        </w:rPr>
        <w:t>Engle F.</w:t>
      </w:r>
      <w:r>
        <w:rPr>
          <w:lang w:val="en-US"/>
        </w:rPr>
        <w:t xml:space="preserve"> </w:t>
      </w:r>
      <w:r>
        <w:rPr>
          <w:rFonts w:ascii="Times New Roman" w:hAnsi="Times New Roman" w:cs="Times New Roman"/>
          <w:sz w:val="24"/>
          <w:szCs w:val="24"/>
          <w:lang w:val="en-US"/>
        </w:rPr>
        <w:t>R.,</w:t>
      </w:r>
      <w:r w:rsidRPr="00137FAB">
        <w:rPr>
          <w:rFonts w:ascii="Times New Roman" w:hAnsi="Times New Roman" w:cs="Times New Roman"/>
          <w:sz w:val="24"/>
          <w:szCs w:val="24"/>
          <w:lang w:val="en-US"/>
        </w:rPr>
        <w:t xml:space="preserve"> (2001).</w:t>
      </w:r>
      <w:r>
        <w:rPr>
          <w:lang w:val="en-US"/>
        </w:rPr>
        <w:t xml:space="preserve"> "</w:t>
      </w:r>
      <w:r w:rsidRPr="00137FAB">
        <w:rPr>
          <w:rFonts w:ascii="Times New Roman" w:hAnsi="Times New Roman" w:cs="Times New Roman"/>
          <w:sz w:val="24"/>
          <w:szCs w:val="24"/>
          <w:lang w:val="en-US"/>
        </w:rPr>
        <w:t xml:space="preserve">Value at </w:t>
      </w:r>
      <w:r>
        <w:rPr>
          <w:rFonts w:ascii="Times New Roman" w:hAnsi="Times New Roman" w:cs="Times New Roman"/>
          <w:sz w:val="24"/>
          <w:szCs w:val="24"/>
          <w:lang w:val="en-US"/>
        </w:rPr>
        <w:t>R</w:t>
      </w:r>
      <w:r w:rsidRPr="00137FAB">
        <w:rPr>
          <w:rFonts w:ascii="Times New Roman" w:hAnsi="Times New Roman" w:cs="Times New Roman"/>
          <w:sz w:val="24"/>
          <w:szCs w:val="24"/>
          <w:lang w:val="en-US"/>
        </w:rPr>
        <w:t xml:space="preserve">isk </w:t>
      </w:r>
      <w:r>
        <w:rPr>
          <w:rFonts w:ascii="Times New Roman" w:hAnsi="Times New Roman" w:cs="Times New Roman"/>
          <w:sz w:val="24"/>
          <w:szCs w:val="24"/>
          <w:lang w:val="en-US"/>
        </w:rPr>
        <w:t>M</w:t>
      </w:r>
      <w:r w:rsidRPr="00137FAB">
        <w:rPr>
          <w:rFonts w:ascii="Times New Roman" w:hAnsi="Times New Roman" w:cs="Times New Roman"/>
          <w:sz w:val="24"/>
          <w:szCs w:val="24"/>
          <w:lang w:val="en-US"/>
        </w:rPr>
        <w:t xml:space="preserve">odels in </w:t>
      </w:r>
      <w:r>
        <w:rPr>
          <w:rFonts w:ascii="Times New Roman" w:hAnsi="Times New Roman" w:cs="Times New Roman"/>
          <w:sz w:val="24"/>
          <w:szCs w:val="24"/>
          <w:lang w:val="en-US"/>
        </w:rPr>
        <w:t>F</w:t>
      </w:r>
      <w:r w:rsidRPr="00137FAB">
        <w:rPr>
          <w:rFonts w:ascii="Times New Roman" w:hAnsi="Times New Roman" w:cs="Times New Roman"/>
          <w:sz w:val="24"/>
          <w:szCs w:val="24"/>
          <w:lang w:val="en-US"/>
        </w:rPr>
        <w:t>inance</w:t>
      </w:r>
      <w:r>
        <w:rPr>
          <w:rFonts w:ascii="Times New Roman" w:hAnsi="Times New Roman" w:cs="Times New Roman"/>
          <w:sz w:val="24"/>
          <w:szCs w:val="24"/>
          <w:lang w:val="en-US"/>
        </w:rPr>
        <w:t>" Working Paper No.75 European Central Bank, August, 2001.</w:t>
      </w:r>
    </w:p>
    <w:p w:rsidR="00D10315" w:rsidRPr="00D10315" w:rsidRDefault="00D10315" w:rsidP="00BA5E9D">
      <w:pPr>
        <w:pStyle w:val="a3"/>
        <w:spacing w:line="276" w:lineRule="auto"/>
        <w:jc w:val="both"/>
        <w:rPr>
          <w:rFonts w:ascii="Times New Roman" w:hAnsi="Times New Roman"/>
          <w:color w:val="000000" w:themeColor="text1"/>
          <w:sz w:val="24"/>
          <w:szCs w:val="24"/>
          <w:lang w:val="en-US"/>
        </w:rPr>
      </w:pPr>
      <w:r w:rsidRPr="00D10315">
        <w:rPr>
          <w:rFonts w:ascii="Times New Roman" w:hAnsi="Times New Roman"/>
          <w:color w:val="000000" w:themeColor="text1"/>
          <w:sz w:val="24"/>
          <w:szCs w:val="24"/>
          <w:lang w:val="en-US"/>
        </w:rPr>
        <w:t>Nirmala S., Aruna.</w:t>
      </w:r>
      <w:r w:rsidR="00BA5E9D">
        <w:rPr>
          <w:rFonts w:ascii="Times New Roman" w:hAnsi="Times New Roman"/>
          <w:color w:val="000000" w:themeColor="text1"/>
          <w:sz w:val="24"/>
          <w:szCs w:val="24"/>
          <w:lang w:val="en-US"/>
        </w:rPr>
        <w:t xml:space="preserve"> </w:t>
      </w:r>
      <w:r w:rsidRPr="00D10315">
        <w:rPr>
          <w:rFonts w:ascii="Times New Roman" w:hAnsi="Times New Roman"/>
          <w:color w:val="000000" w:themeColor="text1"/>
          <w:sz w:val="24"/>
          <w:szCs w:val="24"/>
          <w:lang w:val="en-US"/>
        </w:rPr>
        <w:t xml:space="preserve">G., (2013). "A Literature Review of Mergers and Acquisitions". </w:t>
      </w:r>
      <w:r w:rsidR="00BA5E9D">
        <w:rPr>
          <w:rFonts w:ascii="Times New Roman" w:hAnsi="Times New Roman"/>
          <w:color w:val="000000" w:themeColor="text1"/>
          <w:sz w:val="24"/>
          <w:szCs w:val="24"/>
          <w:lang w:val="en-US"/>
        </w:rPr>
        <w:tab/>
      </w:r>
      <w:r w:rsidRPr="00D10315">
        <w:rPr>
          <w:rFonts w:ascii="Times New Roman" w:hAnsi="Times New Roman"/>
          <w:i/>
          <w:color w:val="000000" w:themeColor="text1"/>
          <w:sz w:val="24"/>
          <w:szCs w:val="24"/>
          <w:lang w:val="en-US"/>
        </w:rPr>
        <w:t>International Journal of Management &amp; Information Technology</w:t>
      </w:r>
      <w:r w:rsidRPr="00D10315">
        <w:rPr>
          <w:rFonts w:ascii="Times New Roman" w:hAnsi="Times New Roman"/>
          <w:color w:val="000000" w:themeColor="text1"/>
          <w:sz w:val="24"/>
          <w:szCs w:val="24"/>
          <w:lang w:val="en-US"/>
        </w:rPr>
        <w:t xml:space="preserve"> </w:t>
      </w:r>
      <w:r w:rsidRPr="00ED1678">
        <w:rPr>
          <w:rFonts w:ascii="Times New Roman" w:hAnsi="Times New Roman"/>
          <w:color w:val="000000" w:themeColor="text1"/>
          <w:sz w:val="24"/>
          <w:szCs w:val="24"/>
          <w:lang w:val="en-US"/>
        </w:rPr>
        <w:t xml:space="preserve">Vol. 5, </w:t>
      </w:r>
      <w:r w:rsidR="00ED1678">
        <w:rPr>
          <w:rFonts w:ascii="Times New Roman" w:hAnsi="Times New Roman"/>
          <w:color w:val="000000" w:themeColor="text1"/>
          <w:sz w:val="24"/>
          <w:szCs w:val="24"/>
          <w:lang w:val="en-US"/>
        </w:rPr>
        <w:t>Is.</w:t>
      </w:r>
      <w:r w:rsidRPr="00ED1678">
        <w:rPr>
          <w:rFonts w:ascii="Times New Roman" w:hAnsi="Times New Roman"/>
          <w:color w:val="000000" w:themeColor="text1"/>
          <w:sz w:val="24"/>
          <w:szCs w:val="24"/>
          <w:lang w:val="en-US"/>
        </w:rPr>
        <w:t xml:space="preserve"> 1</w:t>
      </w:r>
    </w:p>
    <w:p w:rsidR="008973BA" w:rsidRPr="008973BA" w:rsidRDefault="008973BA" w:rsidP="008973BA">
      <w:pPr>
        <w:pStyle w:val="a3"/>
        <w:jc w:val="both"/>
        <w:rPr>
          <w:rFonts w:ascii="Times New Roman" w:hAnsi="Times New Roman"/>
          <w:sz w:val="24"/>
          <w:szCs w:val="24"/>
          <w:lang w:val="en-US"/>
        </w:rPr>
      </w:pPr>
      <w:r w:rsidRPr="008973BA">
        <w:rPr>
          <w:rFonts w:ascii="Times New Roman" w:hAnsi="Times New Roman"/>
          <w:sz w:val="24"/>
          <w:szCs w:val="24"/>
          <w:lang w:val="en-US"/>
        </w:rPr>
        <w:t xml:space="preserve">Noulas A., (2019). "Financial Management Investment and Financing Decisions". </w:t>
      </w:r>
      <w:r>
        <w:rPr>
          <w:rFonts w:ascii="Times New Roman" w:hAnsi="Times New Roman"/>
          <w:sz w:val="24"/>
          <w:szCs w:val="24"/>
          <w:lang w:val="en-US"/>
        </w:rPr>
        <w:tab/>
      </w:r>
      <w:r w:rsidRPr="008973BA">
        <w:rPr>
          <w:rFonts w:ascii="Times New Roman" w:hAnsi="Times New Roman"/>
          <w:sz w:val="24"/>
          <w:szCs w:val="24"/>
          <w:lang w:val="en-US"/>
        </w:rPr>
        <w:t>Tziolas Publishing Athens, Greece.</w:t>
      </w:r>
    </w:p>
    <w:p w:rsidR="008559C1" w:rsidRPr="008559C1" w:rsidRDefault="008559C1" w:rsidP="008559C1">
      <w:pPr>
        <w:spacing w:after="0"/>
        <w:jc w:val="both"/>
        <w:rPr>
          <w:rFonts w:ascii="Times New Roman" w:hAnsi="Times New Roman" w:cs="Times New Roman"/>
          <w:color w:val="000000" w:themeColor="text1"/>
          <w:sz w:val="24"/>
          <w:szCs w:val="24"/>
          <w:lang w:val="en-US"/>
        </w:rPr>
      </w:pPr>
      <w:r w:rsidRPr="008559C1">
        <w:rPr>
          <w:rFonts w:ascii="Times New Roman" w:hAnsi="Times New Roman" w:cs="Times New Roman"/>
          <w:sz w:val="24"/>
          <w:szCs w:val="24"/>
          <w:lang w:val="en-US"/>
        </w:rPr>
        <w:t>Pearson N. D.</w:t>
      </w:r>
      <w:r>
        <w:rPr>
          <w:rFonts w:ascii="Times New Roman" w:hAnsi="Times New Roman" w:cs="Times New Roman"/>
          <w:sz w:val="24"/>
          <w:szCs w:val="24"/>
          <w:lang w:val="en-US"/>
        </w:rPr>
        <w:t>,</w:t>
      </w:r>
      <w:r w:rsidRPr="008559C1">
        <w:rPr>
          <w:rFonts w:ascii="Times New Roman" w:hAnsi="Times New Roman" w:cs="Times New Roman"/>
          <w:sz w:val="24"/>
          <w:szCs w:val="24"/>
          <w:lang w:val="en-US"/>
        </w:rPr>
        <w:t xml:space="preserve"> and Smithson C.</w:t>
      </w:r>
      <w:r>
        <w:rPr>
          <w:rFonts w:ascii="Times New Roman" w:hAnsi="Times New Roman" w:cs="Times New Roman"/>
          <w:sz w:val="24"/>
          <w:szCs w:val="24"/>
          <w:lang w:val="en-US"/>
        </w:rPr>
        <w:t>, (2002).</w:t>
      </w:r>
      <w:r w:rsidRPr="008559C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559C1">
        <w:rPr>
          <w:rFonts w:ascii="Times New Roman" w:hAnsi="Times New Roman" w:cs="Times New Roman"/>
          <w:sz w:val="24"/>
          <w:szCs w:val="24"/>
          <w:lang w:val="en-US"/>
        </w:rPr>
        <w:t>VaR: The State of Play</w:t>
      </w:r>
      <w:r>
        <w:rPr>
          <w:rFonts w:ascii="Times New Roman" w:hAnsi="Times New Roman" w:cs="Times New Roman"/>
          <w:sz w:val="24"/>
          <w:szCs w:val="24"/>
          <w:lang w:val="en-US"/>
        </w:rPr>
        <w:t>"</w:t>
      </w:r>
      <w:r w:rsidRPr="008559C1">
        <w:rPr>
          <w:rFonts w:ascii="Times New Roman" w:hAnsi="Times New Roman" w:cs="Times New Roman"/>
          <w:sz w:val="24"/>
          <w:szCs w:val="24"/>
          <w:lang w:val="en-US"/>
        </w:rPr>
        <w:t xml:space="preserve">. Review of </w:t>
      </w:r>
      <w:r>
        <w:rPr>
          <w:rFonts w:ascii="Times New Roman" w:hAnsi="Times New Roman" w:cs="Times New Roman"/>
          <w:sz w:val="24"/>
          <w:szCs w:val="24"/>
          <w:lang w:val="en-US"/>
        </w:rPr>
        <w:tab/>
      </w:r>
      <w:r w:rsidRPr="008559C1">
        <w:rPr>
          <w:rFonts w:ascii="Times New Roman" w:hAnsi="Times New Roman" w:cs="Times New Roman"/>
          <w:sz w:val="24"/>
          <w:szCs w:val="24"/>
          <w:lang w:val="en-US"/>
        </w:rPr>
        <w:t>Financial Eco</w:t>
      </w:r>
      <w:r>
        <w:rPr>
          <w:rFonts w:ascii="Times New Roman" w:hAnsi="Times New Roman" w:cs="Times New Roman"/>
          <w:sz w:val="24"/>
          <w:szCs w:val="24"/>
          <w:lang w:val="en-US"/>
        </w:rPr>
        <w:t>nomics, 11(3):175–189</w:t>
      </w:r>
      <w:r w:rsidRPr="008559C1">
        <w:rPr>
          <w:rFonts w:ascii="Times New Roman" w:hAnsi="Times New Roman" w:cs="Times New Roman"/>
          <w:sz w:val="24"/>
          <w:szCs w:val="24"/>
          <w:lang w:val="en-US"/>
        </w:rPr>
        <w:t>.</w:t>
      </w:r>
    </w:p>
    <w:p w:rsidR="00917E5B" w:rsidRDefault="00917E5B" w:rsidP="00BA5E9D">
      <w:pPr>
        <w:spacing w:after="0"/>
        <w:jc w:val="both"/>
        <w:rPr>
          <w:rFonts w:ascii="Times New Roman" w:hAnsi="Times New Roman" w:cs="Times New Roman"/>
          <w:sz w:val="24"/>
          <w:szCs w:val="24"/>
          <w:lang w:val="en-US"/>
        </w:rPr>
      </w:pPr>
      <w:r w:rsidRPr="00917E5B">
        <w:rPr>
          <w:rFonts w:ascii="Times New Roman" w:hAnsi="Times New Roman" w:cs="Times New Roman"/>
          <w:sz w:val="24"/>
          <w:szCs w:val="24"/>
          <w:lang w:val="en-US"/>
        </w:rPr>
        <w:t xml:space="preserve">Pekkala, </w:t>
      </w:r>
      <w:r>
        <w:rPr>
          <w:rFonts w:ascii="Times New Roman" w:hAnsi="Times New Roman" w:cs="Times New Roman"/>
          <w:sz w:val="24"/>
          <w:szCs w:val="24"/>
          <w:lang w:val="en-US"/>
        </w:rPr>
        <w:t>T., (</w:t>
      </w:r>
      <w:r w:rsidRPr="00917E5B">
        <w:rPr>
          <w:rFonts w:ascii="Times New Roman" w:hAnsi="Times New Roman" w:cs="Times New Roman"/>
          <w:sz w:val="24"/>
          <w:szCs w:val="24"/>
          <w:lang w:val="en-US"/>
        </w:rPr>
        <w:t>2010</w:t>
      </w:r>
      <w:r>
        <w:rPr>
          <w:rFonts w:ascii="Times New Roman" w:hAnsi="Times New Roman" w:cs="Times New Roman"/>
          <w:sz w:val="24"/>
          <w:szCs w:val="24"/>
          <w:lang w:val="en-US"/>
        </w:rPr>
        <w:t xml:space="preserve">). </w:t>
      </w:r>
      <w:r w:rsidRPr="00917E5B">
        <w:rPr>
          <w:rFonts w:ascii="Times New Roman" w:hAnsi="Times New Roman" w:cs="Times New Roman"/>
          <w:sz w:val="24"/>
          <w:szCs w:val="24"/>
          <w:lang w:val="en-US"/>
        </w:rPr>
        <w:t xml:space="preserve">"Value at Risk in Bank Risk Management" Mat-2.4108 </w:t>
      </w:r>
      <w:r>
        <w:rPr>
          <w:rFonts w:ascii="Times New Roman" w:hAnsi="Times New Roman" w:cs="Times New Roman"/>
          <w:sz w:val="24"/>
          <w:szCs w:val="24"/>
          <w:lang w:val="en-US"/>
        </w:rPr>
        <w:tab/>
      </w:r>
      <w:r w:rsidRPr="00917E5B">
        <w:rPr>
          <w:rFonts w:ascii="Times New Roman" w:hAnsi="Times New Roman" w:cs="Times New Roman"/>
          <w:sz w:val="24"/>
          <w:szCs w:val="24"/>
          <w:lang w:val="en-US"/>
        </w:rPr>
        <w:t xml:space="preserve">Independent Research Projects </w:t>
      </w:r>
      <w:r>
        <w:rPr>
          <w:rFonts w:ascii="Times New Roman" w:hAnsi="Times New Roman" w:cs="Times New Roman"/>
          <w:sz w:val="24"/>
          <w:szCs w:val="24"/>
          <w:lang w:val="en-US"/>
        </w:rPr>
        <w:t>in Applied Mathematics Helsinki.</w:t>
      </w:r>
    </w:p>
    <w:p w:rsidR="005763D6" w:rsidRPr="005763D6" w:rsidRDefault="005763D6" w:rsidP="00BA5E9D">
      <w:pPr>
        <w:spacing w:after="0"/>
        <w:jc w:val="both"/>
        <w:rPr>
          <w:rFonts w:ascii="Times New Roman" w:hAnsi="Times New Roman" w:cs="Times New Roman"/>
          <w:color w:val="000000" w:themeColor="text1"/>
          <w:sz w:val="24"/>
          <w:szCs w:val="24"/>
          <w:lang w:val="en-US"/>
        </w:rPr>
      </w:pPr>
      <w:r w:rsidRPr="005763D6">
        <w:rPr>
          <w:rFonts w:ascii="Times New Roman" w:hAnsi="Times New Roman" w:cs="Times New Roman"/>
          <w:sz w:val="24"/>
          <w:szCs w:val="24"/>
          <w:lang w:val="en-US"/>
        </w:rPr>
        <w:t>Reuse S., (2013).</w:t>
      </w:r>
      <w:r>
        <w:rPr>
          <w:lang w:val="en-US"/>
        </w:rPr>
        <w:t xml:space="preserve"> "</w:t>
      </w:r>
      <w:r w:rsidRPr="005763D6">
        <w:rPr>
          <w:rFonts w:ascii="Times New Roman" w:hAnsi="Times New Roman" w:cs="Times New Roman"/>
          <w:color w:val="000000" w:themeColor="text1"/>
          <w:sz w:val="24"/>
          <w:szCs w:val="24"/>
          <w:lang w:val="en-US"/>
        </w:rPr>
        <w:t>Risk measurement with the key figure</w:t>
      </w:r>
      <w:r>
        <w:rPr>
          <w:rFonts w:ascii="Times New Roman" w:hAnsi="Times New Roman" w:cs="Times New Roman"/>
          <w:color w:val="000000" w:themeColor="text1"/>
          <w:sz w:val="24"/>
          <w:szCs w:val="24"/>
          <w:lang w:val="en-US"/>
        </w:rPr>
        <w:t xml:space="preserve"> Value at Risk" </w:t>
      </w:r>
      <w:r>
        <w:rPr>
          <w:rFonts w:ascii="Times New Roman" w:hAnsi="Times New Roman" w:cs="Times New Roman"/>
          <w:color w:val="000000" w:themeColor="text1"/>
          <w:sz w:val="24"/>
          <w:szCs w:val="24"/>
          <w:lang w:val="en-US"/>
        </w:rPr>
        <w:tab/>
        <w:t>Bankfachklasse e-journal Vol. 10 pp 25-27 Springer.</w:t>
      </w:r>
    </w:p>
    <w:p w:rsidR="005B4043" w:rsidRDefault="005B4043" w:rsidP="00BA5E9D">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Sherman A., </w:t>
      </w:r>
      <w:r w:rsidR="00BA5E9D">
        <w:rPr>
          <w:rFonts w:ascii="Times New Roman" w:hAnsi="Times New Roman" w:cs="Times New Roman"/>
          <w:color w:val="000000" w:themeColor="text1"/>
          <w:sz w:val="24"/>
          <w:szCs w:val="24"/>
          <w:lang w:val="en-US"/>
        </w:rPr>
        <w:t xml:space="preserve">Hart M., (2006). "Mergers and Acquisitions from A to Z" 2nd Edition by </w:t>
      </w:r>
      <w:r w:rsidR="00BA5E9D">
        <w:rPr>
          <w:rFonts w:ascii="Times New Roman" w:hAnsi="Times New Roman" w:cs="Times New Roman"/>
          <w:color w:val="000000" w:themeColor="text1"/>
          <w:sz w:val="24"/>
          <w:szCs w:val="24"/>
          <w:lang w:val="en-US"/>
        </w:rPr>
        <w:tab/>
        <w:t>American Management Association (AMACOM) New York USA.</w:t>
      </w:r>
    </w:p>
    <w:p w:rsidR="0028102F" w:rsidRPr="0028102F" w:rsidRDefault="0028102F" w:rsidP="0028102F">
      <w:pPr>
        <w:spacing w:after="0"/>
        <w:jc w:val="both"/>
        <w:rPr>
          <w:rFonts w:ascii="Times New Roman" w:hAnsi="Times New Roman" w:cs="Times New Roman"/>
          <w:sz w:val="24"/>
          <w:szCs w:val="24"/>
          <w:lang w:val="en-US"/>
        </w:rPr>
      </w:pPr>
      <w:r w:rsidRPr="0028102F">
        <w:rPr>
          <w:rFonts w:ascii="Times New Roman" w:hAnsi="Times New Roman" w:cs="Times New Roman"/>
          <w:sz w:val="24"/>
          <w:szCs w:val="24"/>
          <w:lang w:val="en-US"/>
        </w:rPr>
        <w:t xml:space="preserve">Tsay </w:t>
      </w:r>
      <w:r>
        <w:rPr>
          <w:rFonts w:ascii="Times New Roman" w:hAnsi="Times New Roman" w:cs="Times New Roman"/>
          <w:sz w:val="24"/>
          <w:szCs w:val="24"/>
          <w:lang w:val="en-US"/>
        </w:rPr>
        <w:t xml:space="preserve">S. </w:t>
      </w:r>
      <w:r w:rsidRPr="0028102F">
        <w:rPr>
          <w:rFonts w:ascii="Times New Roman" w:hAnsi="Times New Roman" w:cs="Times New Roman"/>
          <w:sz w:val="24"/>
          <w:szCs w:val="24"/>
          <w:lang w:val="en-US"/>
        </w:rPr>
        <w:t>R</w:t>
      </w:r>
      <w:r>
        <w:rPr>
          <w:rFonts w:ascii="Times New Roman" w:hAnsi="Times New Roman" w:cs="Times New Roman"/>
          <w:sz w:val="24"/>
          <w:szCs w:val="24"/>
          <w:lang w:val="en-US"/>
        </w:rPr>
        <w:t>.,</w:t>
      </w:r>
      <w:r w:rsidRPr="0028102F">
        <w:rPr>
          <w:rFonts w:ascii="Times New Roman" w:hAnsi="Times New Roman" w:cs="Times New Roman"/>
          <w:sz w:val="24"/>
          <w:szCs w:val="24"/>
          <w:lang w:val="en-US"/>
        </w:rPr>
        <w:t xml:space="preserve"> (2005). "Analysis of Financial Time Series". 2nd edn A Wiley</w:t>
      </w:r>
      <w:r>
        <w:rPr>
          <w:rFonts w:ascii="Times New Roman" w:hAnsi="Times New Roman" w:cs="Times New Roman"/>
          <w:sz w:val="24"/>
          <w:szCs w:val="24"/>
          <w:lang w:val="en-US"/>
        </w:rPr>
        <w:t xml:space="preserve"> </w:t>
      </w:r>
      <w:r w:rsidRPr="0028102F">
        <w:rPr>
          <w:rFonts w:ascii="Times New Roman" w:hAnsi="Times New Roman" w:cs="Times New Roman"/>
          <w:sz w:val="24"/>
          <w:szCs w:val="24"/>
          <w:lang w:val="en-US"/>
        </w:rPr>
        <w:t xml:space="preserve">Interscience Publication </w:t>
      </w:r>
      <w:r w:rsidR="00C212AE">
        <w:rPr>
          <w:rFonts w:ascii="Times New Roman" w:hAnsi="Times New Roman" w:cs="Times New Roman"/>
          <w:sz w:val="24"/>
          <w:szCs w:val="24"/>
          <w:lang w:val="en-US"/>
        </w:rPr>
        <w:t>J</w:t>
      </w:r>
      <w:r w:rsidR="00C212AE" w:rsidRPr="0028102F">
        <w:rPr>
          <w:rFonts w:ascii="Times New Roman" w:hAnsi="Times New Roman" w:cs="Times New Roman"/>
          <w:sz w:val="24"/>
          <w:szCs w:val="24"/>
          <w:lang w:val="en-US"/>
        </w:rPr>
        <w:t xml:space="preserve">ohn </w:t>
      </w:r>
      <w:r w:rsidR="00C212AE">
        <w:rPr>
          <w:rFonts w:ascii="Times New Roman" w:hAnsi="Times New Roman" w:cs="Times New Roman"/>
          <w:sz w:val="24"/>
          <w:szCs w:val="24"/>
          <w:lang w:val="en-US"/>
        </w:rPr>
        <w:t>W</w:t>
      </w:r>
      <w:r w:rsidR="00C212AE" w:rsidRPr="0028102F">
        <w:rPr>
          <w:rFonts w:ascii="Times New Roman" w:hAnsi="Times New Roman" w:cs="Times New Roman"/>
          <w:sz w:val="24"/>
          <w:szCs w:val="24"/>
          <w:lang w:val="en-US"/>
        </w:rPr>
        <w:t xml:space="preserve">iley &amp; </w:t>
      </w:r>
      <w:r w:rsidR="00C212AE">
        <w:rPr>
          <w:rFonts w:ascii="Times New Roman" w:hAnsi="Times New Roman" w:cs="Times New Roman"/>
          <w:sz w:val="24"/>
          <w:szCs w:val="24"/>
          <w:lang w:val="en-US"/>
        </w:rPr>
        <w:t>S</w:t>
      </w:r>
      <w:r w:rsidR="00C212AE" w:rsidRPr="0028102F">
        <w:rPr>
          <w:rFonts w:ascii="Times New Roman" w:hAnsi="Times New Roman" w:cs="Times New Roman"/>
          <w:sz w:val="24"/>
          <w:szCs w:val="24"/>
          <w:lang w:val="en-US"/>
        </w:rPr>
        <w:t xml:space="preserve">ons, </w:t>
      </w:r>
      <w:r w:rsidR="00C212AE">
        <w:rPr>
          <w:rFonts w:ascii="Times New Roman" w:hAnsi="Times New Roman" w:cs="Times New Roman"/>
          <w:sz w:val="24"/>
          <w:szCs w:val="24"/>
          <w:lang w:val="en-US"/>
        </w:rPr>
        <w:t>I</w:t>
      </w:r>
      <w:r w:rsidR="00C212AE" w:rsidRPr="0028102F">
        <w:rPr>
          <w:rFonts w:ascii="Times New Roman" w:hAnsi="Times New Roman" w:cs="Times New Roman"/>
          <w:sz w:val="24"/>
          <w:szCs w:val="24"/>
          <w:lang w:val="en-US"/>
        </w:rPr>
        <w:t>nc</w:t>
      </w:r>
      <w:r w:rsidR="00C212AE">
        <w:rPr>
          <w:rFonts w:ascii="Times New Roman" w:hAnsi="Times New Roman" w:cs="Times New Roman"/>
          <w:sz w:val="24"/>
          <w:szCs w:val="24"/>
          <w:lang w:val="en-US"/>
        </w:rPr>
        <w:t>.</w:t>
      </w:r>
      <w:r w:rsidR="00C212AE" w:rsidRPr="0028102F">
        <w:rPr>
          <w:rFonts w:ascii="Times New Roman" w:hAnsi="Times New Roman" w:cs="Times New Roman"/>
          <w:sz w:val="24"/>
          <w:szCs w:val="24"/>
          <w:lang w:val="en-US"/>
        </w:rPr>
        <w:t xml:space="preserve"> </w:t>
      </w:r>
      <w:r w:rsidRPr="0028102F">
        <w:rPr>
          <w:rFonts w:ascii="Times New Roman" w:hAnsi="Times New Roman" w:cs="Times New Roman"/>
          <w:sz w:val="24"/>
          <w:szCs w:val="24"/>
          <w:lang w:val="en-US"/>
        </w:rPr>
        <w:t>Canada.</w:t>
      </w:r>
    </w:p>
    <w:p w:rsidR="00BA5E9D" w:rsidRPr="008F695B" w:rsidRDefault="00BA5E9D" w:rsidP="00BA5E9D">
      <w:pPr>
        <w:spacing w:after="0"/>
        <w:jc w:val="both"/>
        <w:rPr>
          <w:rFonts w:ascii="Times New Roman" w:hAnsi="Times New Roman" w:cs="Times New Roman"/>
          <w:sz w:val="24"/>
          <w:szCs w:val="24"/>
          <w:lang w:val="en-US"/>
        </w:rPr>
      </w:pPr>
      <w:r w:rsidRPr="008F695B">
        <w:rPr>
          <w:rFonts w:ascii="Times New Roman" w:hAnsi="Times New Roman" w:cs="Times New Roman"/>
          <w:sz w:val="24"/>
          <w:szCs w:val="24"/>
          <w:lang w:val="en-US"/>
        </w:rPr>
        <w:t>Weston, J. F., Mitchell, M. L., &amp; Mulherin, J. H.</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 (2004)</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xml:space="preserve">Takeovers, Restructuring, </w:t>
      </w:r>
      <w:r>
        <w:rPr>
          <w:rFonts w:ascii="Times New Roman" w:hAnsi="Times New Roman" w:cs="Times New Roman"/>
          <w:sz w:val="24"/>
          <w:szCs w:val="24"/>
          <w:lang w:val="en-US"/>
        </w:rPr>
        <w:tab/>
      </w:r>
      <w:r w:rsidRPr="008F695B">
        <w:rPr>
          <w:rFonts w:ascii="Times New Roman" w:hAnsi="Times New Roman" w:cs="Times New Roman"/>
          <w:sz w:val="24"/>
          <w:szCs w:val="24"/>
          <w:lang w:val="en-US"/>
        </w:rPr>
        <w:t>and Corporate Governance</w:t>
      </w:r>
      <w:r>
        <w:rPr>
          <w:rFonts w:ascii="Times New Roman" w:hAnsi="Times New Roman" w:cs="Times New Roman"/>
          <w:sz w:val="24"/>
          <w:szCs w:val="24"/>
          <w:lang w:val="en-US"/>
        </w:rPr>
        <w:t>"</w:t>
      </w:r>
      <w:r w:rsidRPr="008F695B">
        <w:rPr>
          <w:rFonts w:ascii="Times New Roman" w:hAnsi="Times New Roman" w:cs="Times New Roman"/>
          <w:sz w:val="24"/>
          <w:szCs w:val="24"/>
          <w:lang w:val="en-US"/>
        </w:rPr>
        <w:t>. Upper Saddle River: Perason Education Inc.</w:t>
      </w:r>
    </w:p>
    <w:p w:rsidR="005B4043" w:rsidRPr="00622452" w:rsidRDefault="00622452" w:rsidP="00BA5E9D">
      <w:pPr>
        <w:spacing w:after="0"/>
        <w:jc w:val="both"/>
        <w:rPr>
          <w:rFonts w:ascii="Times New Roman" w:hAnsi="Times New Roman" w:cs="Times New Roman"/>
          <w:color w:val="000000" w:themeColor="text1"/>
          <w:sz w:val="24"/>
          <w:szCs w:val="24"/>
          <w:lang w:val="en-US"/>
        </w:rPr>
      </w:pPr>
      <w:r w:rsidRPr="00622452">
        <w:rPr>
          <w:rFonts w:ascii="Times New Roman" w:hAnsi="Times New Roman" w:cs="Times New Roman"/>
          <w:sz w:val="24"/>
          <w:szCs w:val="24"/>
          <w:lang w:val="en-US"/>
        </w:rPr>
        <w:t xml:space="preserve">White, E.N., </w:t>
      </w:r>
      <w:r>
        <w:rPr>
          <w:rFonts w:ascii="Times New Roman" w:hAnsi="Times New Roman" w:cs="Times New Roman"/>
          <w:sz w:val="24"/>
          <w:szCs w:val="24"/>
          <w:lang w:val="en-US"/>
        </w:rPr>
        <w:t>(</w:t>
      </w:r>
      <w:r w:rsidRPr="00622452">
        <w:rPr>
          <w:rFonts w:ascii="Times New Roman" w:hAnsi="Times New Roman" w:cs="Times New Roman"/>
          <w:sz w:val="24"/>
          <w:szCs w:val="24"/>
          <w:lang w:val="en-US"/>
        </w:rPr>
        <w:t>1985</w:t>
      </w:r>
      <w:r>
        <w:rPr>
          <w:rFonts w:ascii="Times New Roman" w:hAnsi="Times New Roman" w:cs="Times New Roman"/>
          <w:sz w:val="24"/>
          <w:szCs w:val="24"/>
          <w:lang w:val="en-US"/>
        </w:rPr>
        <w:t>)</w:t>
      </w:r>
      <w:r w:rsidRPr="0062245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22452">
        <w:rPr>
          <w:rFonts w:ascii="Times New Roman" w:hAnsi="Times New Roman" w:cs="Times New Roman"/>
          <w:sz w:val="24"/>
          <w:szCs w:val="24"/>
          <w:lang w:val="en-US"/>
        </w:rPr>
        <w:t>The Merger Movement in Banking, 1919-1933</w:t>
      </w:r>
      <w:r>
        <w:rPr>
          <w:rFonts w:ascii="Times New Roman" w:hAnsi="Times New Roman" w:cs="Times New Roman"/>
          <w:sz w:val="24"/>
          <w:szCs w:val="24"/>
          <w:lang w:val="en-US"/>
        </w:rPr>
        <w:t>"</w:t>
      </w:r>
      <w:r w:rsidRPr="00622452">
        <w:rPr>
          <w:rFonts w:ascii="Times New Roman" w:hAnsi="Times New Roman" w:cs="Times New Roman"/>
          <w:sz w:val="24"/>
          <w:szCs w:val="24"/>
          <w:lang w:val="en-US"/>
        </w:rPr>
        <w:t xml:space="preserve">, </w:t>
      </w:r>
      <w:r w:rsidRPr="00622452">
        <w:rPr>
          <w:rFonts w:ascii="Times New Roman" w:hAnsi="Times New Roman" w:cs="Times New Roman"/>
          <w:i/>
          <w:sz w:val="24"/>
          <w:szCs w:val="24"/>
          <w:lang w:val="en-US"/>
        </w:rPr>
        <w:t xml:space="preserve">The Journal of </w:t>
      </w:r>
      <w:r w:rsidRPr="00622452">
        <w:rPr>
          <w:rFonts w:ascii="Times New Roman" w:hAnsi="Times New Roman" w:cs="Times New Roman"/>
          <w:i/>
          <w:sz w:val="24"/>
          <w:szCs w:val="24"/>
          <w:lang w:val="en-US"/>
        </w:rPr>
        <w:tab/>
        <w:t>Economic History</w:t>
      </w:r>
      <w:r w:rsidRPr="006224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w:t>
      </w:r>
      <w:r w:rsidRPr="00622452">
        <w:rPr>
          <w:rFonts w:ascii="Times New Roman" w:hAnsi="Times New Roman" w:cs="Times New Roman"/>
          <w:sz w:val="24"/>
          <w:szCs w:val="24"/>
          <w:lang w:val="en-US"/>
        </w:rPr>
        <w:t xml:space="preserve">45, </w:t>
      </w:r>
      <w:r>
        <w:rPr>
          <w:rFonts w:ascii="Times New Roman" w:hAnsi="Times New Roman" w:cs="Times New Roman"/>
          <w:sz w:val="24"/>
          <w:szCs w:val="24"/>
          <w:lang w:val="en-US"/>
        </w:rPr>
        <w:t xml:space="preserve">Issue </w:t>
      </w:r>
      <w:r w:rsidRPr="00622452">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pp. </w:t>
      </w:r>
      <w:r w:rsidRPr="00622452">
        <w:rPr>
          <w:rFonts w:ascii="Times New Roman" w:hAnsi="Times New Roman" w:cs="Times New Roman"/>
          <w:sz w:val="24"/>
          <w:szCs w:val="24"/>
          <w:lang w:val="en-US"/>
        </w:rPr>
        <w:t>285-291</w:t>
      </w:r>
    </w:p>
    <w:p w:rsidR="00D10315" w:rsidRPr="008941DB" w:rsidRDefault="008941DB" w:rsidP="00BA5E9D">
      <w:pPr>
        <w:spacing w:after="0"/>
        <w:jc w:val="both"/>
        <w:rPr>
          <w:rFonts w:ascii="Times New Roman" w:hAnsi="Times New Roman" w:cs="Times New Roman"/>
          <w:b/>
          <w:sz w:val="24"/>
          <w:szCs w:val="24"/>
          <w:lang w:val="en-US"/>
        </w:rPr>
      </w:pPr>
      <w:r w:rsidRPr="008941DB">
        <w:rPr>
          <w:rFonts w:ascii="Times New Roman" w:hAnsi="Times New Roman" w:cs="Times New Roman"/>
          <w:b/>
          <w:sz w:val="24"/>
          <w:szCs w:val="24"/>
          <w:lang w:val="en-US"/>
        </w:rPr>
        <w:t>Internet Sites</w:t>
      </w:r>
    </w:p>
    <w:p w:rsidR="00E6546B" w:rsidRPr="00E6546B" w:rsidRDefault="00315015" w:rsidP="00E6546B">
      <w:pPr>
        <w:pStyle w:val="a3"/>
        <w:rPr>
          <w:rFonts w:ascii="Times New Roman" w:hAnsi="Times New Roman"/>
          <w:sz w:val="24"/>
          <w:szCs w:val="24"/>
          <w:lang w:val="en-US"/>
        </w:rPr>
      </w:pPr>
      <w:hyperlink r:id="rId21" w:history="1">
        <w:r w:rsidR="00E6546B" w:rsidRPr="00E6546B">
          <w:rPr>
            <w:rStyle w:val="-"/>
            <w:rFonts w:ascii="Times New Roman" w:hAnsi="Times New Roman"/>
            <w:color w:val="auto"/>
            <w:sz w:val="24"/>
            <w:szCs w:val="24"/>
            <w:u w:val="none"/>
            <w:lang w:val="en-US"/>
          </w:rPr>
          <w:t>https://www.hba.gr/UplDocs/90yearsEET/apologiamos_eet_GR_F_onepage_web.pdf</w:t>
        </w:r>
      </w:hyperlink>
    </w:p>
    <w:p w:rsidR="00D10315" w:rsidRDefault="00622452" w:rsidP="00BA5E9D">
      <w:pPr>
        <w:spacing w:after="0"/>
        <w:jc w:val="both"/>
        <w:rPr>
          <w:rFonts w:ascii="Times New Roman" w:hAnsi="Times New Roman" w:cs="Times New Roman"/>
          <w:sz w:val="24"/>
          <w:szCs w:val="24"/>
          <w:lang w:val="en-US"/>
        </w:rPr>
      </w:pPr>
      <w:r w:rsidRPr="00622452">
        <w:rPr>
          <w:rFonts w:ascii="Times New Roman" w:hAnsi="Times New Roman" w:cs="Times New Roman"/>
          <w:sz w:val="24"/>
          <w:szCs w:val="24"/>
          <w:lang w:val="en-US"/>
        </w:rPr>
        <w:t>https://www2.deloitte.com</w:t>
      </w:r>
    </w:p>
    <w:p w:rsidR="008941DB" w:rsidRPr="00C212AE" w:rsidRDefault="00315015" w:rsidP="008941DB">
      <w:pPr>
        <w:pStyle w:val="a3"/>
        <w:jc w:val="both"/>
        <w:rPr>
          <w:rFonts w:ascii="Times New Roman" w:hAnsi="Times New Roman"/>
          <w:color w:val="000000" w:themeColor="text1"/>
          <w:sz w:val="24"/>
          <w:szCs w:val="24"/>
          <w:lang w:val="en-US"/>
        </w:rPr>
      </w:pPr>
      <w:hyperlink r:id="rId22" w:history="1">
        <w:r w:rsidR="00D974D4" w:rsidRPr="00C212AE">
          <w:rPr>
            <w:rStyle w:val="-"/>
            <w:rFonts w:ascii="Times New Roman" w:hAnsi="Times New Roman"/>
            <w:color w:val="000000" w:themeColor="text1"/>
            <w:sz w:val="24"/>
            <w:szCs w:val="24"/>
            <w:u w:val="none"/>
            <w:lang w:val="en-US"/>
          </w:rPr>
          <w:t>https://www.investopedia.com/ask/answers/033115/how-can-you-calculate-value-risk-var-excel.asp</w:t>
        </w:r>
      </w:hyperlink>
      <w:r w:rsidR="00C212AE" w:rsidRPr="00C212AE">
        <w:rPr>
          <w:rFonts w:ascii="Times New Roman" w:hAnsi="Times New Roman"/>
          <w:sz w:val="24"/>
          <w:szCs w:val="24"/>
          <w:lang w:val="en-US"/>
        </w:rPr>
        <w:t xml:space="preserve">   and   </w:t>
      </w:r>
      <w:hyperlink r:id="rId23" w:history="1">
        <w:r w:rsidR="008941DB" w:rsidRPr="00C212AE">
          <w:rPr>
            <w:rStyle w:val="-"/>
            <w:rFonts w:ascii="Times New Roman" w:hAnsi="Times New Roman"/>
            <w:color w:val="000000" w:themeColor="text1"/>
            <w:sz w:val="24"/>
            <w:szCs w:val="24"/>
            <w:u w:val="none"/>
            <w:lang w:val="en-US"/>
          </w:rPr>
          <w:t>https://www.investopedia.com/terms/v/var.asp</w:t>
        </w:r>
      </w:hyperlink>
    </w:p>
    <w:p w:rsidR="00622452" w:rsidRPr="00622452" w:rsidRDefault="00315015" w:rsidP="00622452">
      <w:pPr>
        <w:spacing w:after="0" w:line="240" w:lineRule="auto"/>
        <w:rPr>
          <w:rFonts w:ascii="Times New Roman" w:eastAsia="Times New Roman" w:hAnsi="Times New Roman" w:cs="Times New Roman"/>
          <w:color w:val="000000" w:themeColor="text1"/>
          <w:sz w:val="24"/>
          <w:szCs w:val="24"/>
          <w:shd w:val="clear" w:color="auto" w:fill="FFFFFF"/>
          <w:lang w:val="en-US" w:eastAsia="el-GR"/>
        </w:rPr>
      </w:pPr>
      <w:r w:rsidRPr="00622452">
        <w:rPr>
          <w:rFonts w:ascii="Times New Roman" w:eastAsia="Times New Roman" w:hAnsi="Times New Roman" w:cs="Times New Roman"/>
          <w:color w:val="000000" w:themeColor="text1"/>
          <w:sz w:val="24"/>
          <w:szCs w:val="24"/>
          <w:lang w:eastAsia="el-GR"/>
        </w:rPr>
        <w:fldChar w:fldCharType="begin"/>
      </w:r>
      <w:r w:rsidR="00622452" w:rsidRPr="00622452">
        <w:rPr>
          <w:rFonts w:ascii="Times New Roman" w:eastAsia="Times New Roman" w:hAnsi="Times New Roman" w:cs="Times New Roman"/>
          <w:color w:val="000000" w:themeColor="text1"/>
          <w:sz w:val="24"/>
          <w:szCs w:val="24"/>
          <w:lang w:val="en-US" w:eastAsia="el-GR"/>
        </w:rPr>
        <w:instrText xml:space="preserve"> HYPERLINK "https://www.pwc.com/gr/en.html" </w:instrText>
      </w:r>
      <w:r w:rsidRPr="00622452">
        <w:rPr>
          <w:rFonts w:ascii="Times New Roman" w:eastAsia="Times New Roman" w:hAnsi="Times New Roman" w:cs="Times New Roman"/>
          <w:color w:val="000000" w:themeColor="text1"/>
          <w:sz w:val="24"/>
          <w:szCs w:val="24"/>
          <w:lang w:eastAsia="el-GR"/>
        </w:rPr>
        <w:fldChar w:fldCharType="separate"/>
      </w:r>
      <w:r w:rsidR="00622452" w:rsidRPr="00D974D4">
        <w:rPr>
          <w:rFonts w:ascii="Times New Roman" w:eastAsia="Times New Roman" w:hAnsi="Times New Roman" w:cs="Times New Roman"/>
          <w:color w:val="000000" w:themeColor="text1"/>
          <w:sz w:val="24"/>
          <w:szCs w:val="24"/>
          <w:lang w:val="en-US" w:eastAsia="el-GR"/>
        </w:rPr>
        <w:t>https://www.pwc.com</w:t>
      </w:r>
    </w:p>
    <w:p w:rsidR="001C7A04" w:rsidRPr="001C7A04" w:rsidRDefault="00315015" w:rsidP="001C7A04">
      <w:pPr>
        <w:pStyle w:val="a3"/>
        <w:jc w:val="both"/>
        <w:rPr>
          <w:rFonts w:ascii="Times New Roman" w:hAnsi="Times New Roman"/>
          <w:sz w:val="24"/>
          <w:szCs w:val="24"/>
          <w:lang w:val="en-US"/>
        </w:rPr>
      </w:pPr>
      <w:r w:rsidRPr="00622452">
        <w:rPr>
          <w:rFonts w:ascii="Times New Roman" w:eastAsia="Times New Roman" w:hAnsi="Times New Roman"/>
          <w:color w:val="000000" w:themeColor="text1"/>
          <w:sz w:val="24"/>
          <w:szCs w:val="24"/>
          <w:lang w:eastAsia="el-GR"/>
        </w:rPr>
        <w:fldChar w:fldCharType="end"/>
      </w:r>
      <w:r w:rsidR="001C7A04" w:rsidRPr="001C7A04">
        <w:rPr>
          <w:rFonts w:ascii="Times New Roman" w:hAnsi="Times New Roman"/>
          <w:sz w:val="24"/>
          <w:szCs w:val="24"/>
          <w:lang w:val="en-US"/>
        </w:rPr>
        <w:t>www.bankingnews.gr</w:t>
      </w:r>
    </w:p>
    <w:p w:rsidR="00214104" w:rsidRPr="00214104" w:rsidRDefault="004C6190" w:rsidP="00C212AE">
      <w:pPr>
        <w:pStyle w:val="a3"/>
        <w:rPr>
          <w:rFonts w:ascii="Times New Roman" w:hAnsi="Times New Roman"/>
          <w:sz w:val="24"/>
          <w:szCs w:val="24"/>
          <w:lang w:val="en-US"/>
        </w:rPr>
      </w:pPr>
      <w:r w:rsidRPr="004C6190">
        <w:rPr>
          <w:rFonts w:ascii="Times New Roman" w:hAnsi="Times New Roman"/>
          <w:sz w:val="24"/>
          <w:szCs w:val="24"/>
          <w:lang w:val="en-US"/>
        </w:rPr>
        <w:t>www.bis.org</w:t>
      </w:r>
      <w:r w:rsidR="00C212AE">
        <w:rPr>
          <w:rFonts w:ascii="Times New Roman" w:hAnsi="Times New Roman"/>
          <w:sz w:val="24"/>
          <w:szCs w:val="24"/>
          <w:lang w:val="en-US"/>
        </w:rPr>
        <w:t xml:space="preserve"> and </w:t>
      </w:r>
      <w:hyperlink r:id="rId24" w:history="1">
        <w:r w:rsidR="00214104" w:rsidRPr="00214104">
          <w:rPr>
            <w:rStyle w:val="-"/>
            <w:rFonts w:ascii="Times New Roman" w:hAnsi="Times New Roman"/>
            <w:color w:val="auto"/>
            <w:sz w:val="24"/>
            <w:szCs w:val="24"/>
            <w:u w:val="none"/>
            <w:lang w:val="en-US"/>
          </w:rPr>
          <w:t>www.bis.org/bcbs/</w:t>
        </w:r>
      </w:hyperlink>
    </w:p>
    <w:p w:rsidR="00247E07" w:rsidRPr="00247E07" w:rsidRDefault="00247E07" w:rsidP="00247E07">
      <w:pPr>
        <w:pStyle w:val="a3"/>
        <w:jc w:val="both"/>
        <w:rPr>
          <w:rFonts w:ascii="Times New Roman" w:hAnsi="Times New Roman"/>
          <w:sz w:val="24"/>
          <w:szCs w:val="24"/>
          <w:lang w:val="en-US"/>
        </w:rPr>
      </w:pPr>
      <w:r w:rsidRPr="00247E07">
        <w:rPr>
          <w:rFonts w:ascii="Times New Roman" w:hAnsi="Times New Roman"/>
          <w:sz w:val="24"/>
          <w:szCs w:val="24"/>
          <w:lang w:val="en-US"/>
        </w:rPr>
        <w:t xml:space="preserve">ISO / IEC Guide 73 </w:t>
      </w:r>
      <w:hyperlink r:id="rId25" w:history="1">
        <w:r w:rsidRPr="00247E07">
          <w:rPr>
            <w:rStyle w:val="-"/>
            <w:rFonts w:ascii="Times New Roman" w:hAnsi="Times New Roman"/>
            <w:color w:val="auto"/>
            <w:sz w:val="24"/>
            <w:szCs w:val="24"/>
            <w:u w:val="none"/>
            <w:lang w:val="en-US"/>
          </w:rPr>
          <w:t>https://www.iso.org/standard/44651.html</w:t>
        </w:r>
      </w:hyperlink>
    </w:p>
    <w:p w:rsidR="008941DB" w:rsidRPr="002240CA" w:rsidRDefault="00315015" w:rsidP="00622452">
      <w:pPr>
        <w:spacing w:after="0"/>
        <w:jc w:val="both"/>
        <w:rPr>
          <w:rFonts w:ascii="Times New Roman" w:hAnsi="Times New Roman" w:cs="Times New Roman"/>
          <w:color w:val="000000" w:themeColor="text1"/>
          <w:sz w:val="24"/>
          <w:szCs w:val="24"/>
          <w:lang w:val="en-US"/>
        </w:rPr>
      </w:pPr>
      <w:hyperlink r:id="rId26" w:history="1">
        <w:r w:rsidR="002240CA" w:rsidRPr="002240CA">
          <w:rPr>
            <w:rStyle w:val="-"/>
            <w:rFonts w:ascii="Times New Roman" w:hAnsi="Times New Roman" w:cs="Times New Roman"/>
            <w:color w:val="auto"/>
            <w:sz w:val="24"/>
            <w:szCs w:val="24"/>
            <w:u w:val="none"/>
            <w:lang w:val="en-US"/>
          </w:rPr>
          <w:t>https://www.standardandpoors.com/</w:t>
        </w:r>
      </w:hyperlink>
    </w:p>
    <w:p w:rsidR="00DE4F05" w:rsidRDefault="00DE4F05" w:rsidP="00DE4F05">
      <w:pPr>
        <w:pStyle w:val="a3"/>
        <w:jc w:val="both"/>
        <w:rPr>
          <w:rFonts w:ascii="Times New Roman" w:hAnsi="Times New Roman"/>
          <w:sz w:val="24"/>
          <w:szCs w:val="24"/>
          <w:lang w:val="en-US"/>
        </w:rPr>
      </w:pPr>
      <w:r w:rsidRPr="00DE4F05">
        <w:rPr>
          <w:rFonts w:ascii="Times New Roman" w:hAnsi="Times New Roman"/>
          <w:sz w:val="24"/>
          <w:szCs w:val="24"/>
          <w:lang w:val="en-US"/>
        </w:rPr>
        <w:t xml:space="preserve">Annual Financial Reports of Piraeus Bank </w:t>
      </w:r>
      <w:r>
        <w:rPr>
          <w:rFonts w:ascii="Times New Roman" w:hAnsi="Times New Roman"/>
          <w:sz w:val="24"/>
          <w:szCs w:val="24"/>
          <w:lang w:val="en-US"/>
        </w:rPr>
        <w:t>(</w:t>
      </w:r>
      <w:r w:rsidRPr="00DE4F05">
        <w:rPr>
          <w:rFonts w:ascii="Times New Roman" w:hAnsi="Times New Roman"/>
          <w:sz w:val="24"/>
          <w:szCs w:val="24"/>
          <w:lang w:val="en-US"/>
        </w:rPr>
        <w:t>www.piraeusbank.gr</w:t>
      </w:r>
      <w:r>
        <w:rPr>
          <w:rFonts w:ascii="Times New Roman" w:hAnsi="Times New Roman"/>
          <w:sz w:val="24"/>
          <w:szCs w:val="24"/>
          <w:lang w:val="en-US"/>
        </w:rPr>
        <w:t>)</w:t>
      </w:r>
      <w:r w:rsidRPr="00DE4F05">
        <w:rPr>
          <w:rFonts w:ascii="Times New Roman" w:hAnsi="Times New Roman"/>
          <w:sz w:val="24"/>
          <w:szCs w:val="24"/>
          <w:lang w:val="en-US"/>
        </w:rPr>
        <w:t xml:space="preserve">, </w:t>
      </w:r>
    </w:p>
    <w:p w:rsidR="00DE4F05" w:rsidRDefault="00DE4F05" w:rsidP="00DE4F05">
      <w:pPr>
        <w:pStyle w:val="a3"/>
        <w:jc w:val="both"/>
        <w:rPr>
          <w:rFonts w:ascii="Times New Roman" w:hAnsi="Times New Roman"/>
          <w:sz w:val="24"/>
          <w:szCs w:val="24"/>
          <w:lang w:val="en-US"/>
        </w:rPr>
      </w:pPr>
      <w:r w:rsidRPr="00DE4F05">
        <w:rPr>
          <w:rFonts w:ascii="Times New Roman" w:hAnsi="Times New Roman"/>
          <w:sz w:val="24"/>
          <w:szCs w:val="24"/>
          <w:lang w:val="en-US"/>
        </w:rPr>
        <w:t xml:space="preserve">Annual Financial Reports of National Bank (www.nbg.gr), </w:t>
      </w:r>
    </w:p>
    <w:p w:rsidR="00DE4F05" w:rsidRDefault="00DE4F05" w:rsidP="00DE4F05">
      <w:pPr>
        <w:pStyle w:val="a3"/>
        <w:jc w:val="both"/>
        <w:rPr>
          <w:rFonts w:ascii="Times New Roman" w:hAnsi="Times New Roman"/>
          <w:sz w:val="24"/>
          <w:szCs w:val="24"/>
          <w:lang w:val="en-US"/>
        </w:rPr>
      </w:pPr>
      <w:r w:rsidRPr="00DE4F05">
        <w:rPr>
          <w:rFonts w:ascii="Times New Roman" w:hAnsi="Times New Roman"/>
          <w:sz w:val="24"/>
          <w:szCs w:val="24"/>
          <w:lang w:val="en-US"/>
        </w:rPr>
        <w:t xml:space="preserve">Annual Financial Reports of Eurobank (www.eurobank.gr) </w:t>
      </w:r>
    </w:p>
    <w:p w:rsidR="008941DB" w:rsidRPr="002240CA" w:rsidRDefault="00DE4F05" w:rsidP="00C212AE">
      <w:pPr>
        <w:pStyle w:val="a3"/>
        <w:jc w:val="both"/>
        <w:rPr>
          <w:rFonts w:ascii="Times New Roman" w:hAnsi="Times New Roman"/>
          <w:sz w:val="24"/>
          <w:szCs w:val="24"/>
          <w:lang w:val="en-US"/>
        </w:rPr>
      </w:pPr>
      <w:r w:rsidRPr="00DE4F05">
        <w:rPr>
          <w:rFonts w:ascii="Times New Roman" w:hAnsi="Times New Roman"/>
          <w:sz w:val="24"/>
          <w:szCs w:val="24"/>
          <w:lang w:val="en-US"/>
        </w:rPr>
        <w:t>Annual Financial Reports of Alpha Bank (www.alphabank.gr).</w:t>
      </w:r>
    </w:p>
    <w:sectPr w:rsidR="008941DB" w:rsidRPr="002240CA" w:rsidSect="00421501">
      <w:footerReference w:type="default" r:id="rId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A5" w:rsidRDefault="00D41FA5" w:rsidP="00D10315">
      <w:pPr>
        <w:spacing w:after="0" w:line="240" w:lineRule="auto"/>
      </w:pPr>
      <w:r>
        <w:separator/>
      </w:r>
    </w:p>
  </w:endnote>
  <w:endnote w:type="continuationSeparator" w:id="0">
    <w:p w:rsidR="00D41FA5" w:rsidRDefault="00D41FA5" w:rsidP="00D10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FSquareSansPro-Medium">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4686"/>
      <w:docPartObj>
        <w:docPartGallery w:val="Page Numbers (Bottom of Page)"/>
        <w:docPartUnique/>
      </w:docPartObj>
    </w:sdtPr>
    <w:sdtEndPr>
      <w:rPr>
        <w:rFonts w:ascii="Times New Roman" w:hAnsi="Times New Roman" w:cs="Times New Roman"/>
        <w:sz w:val="20"/>
        <w:szCs w:val="20"/>
      </w:rPr>
    </w:sdtEndPr>
    <w:sdtContent>
      <w:p w:rsidR="002629B6" w:rsidRDefault="00315015">
        <w:pPr>
          <w:pStyle w:val="a8"/>
          <w:jc w:val="right"/>
        </w:pPr>
        <w:r w:rsidRPr="003754CC">
          <w:rPr>
            <w:rFonts w:ascii="Times New Roman" w:hAnsi="Times New Roman" w:cs="Times New Roman"/>
            <w:sz w:val="20"/>
            <w:szCs w:val="20"/>
          </w:rPr>
          <w:fldChar w:fldCharType="begin"/>
        </w:r>
        <w:r w:rsidR="002629B6" w:rsidRPr="003754CC">
          <w:rPr>
            <w:rFonts w:ascii="Times New Roman" w:hAnsi="Times New Roman" w:cs="Times New Roman"/>
            <w:sz w:val="20"/>
            <w:szCs w:val="20"/>
          </w:rPr>
          <w:instrText xml:space="preserve"> PAGE   \* MERGEFORMAT </w:instrText>
        </w:r>
        <w:r w:rsidRPr="003754CC">
          <w:rPr>
            <w:rFonts w:ascii="Times New Roman" w:hAnsi="Times New Roman" w:cs="Times New Roman"/>
            <w:sz w:val="20"/>
            <w:szCs w:val="20"/>
          </w:rPr>
          <w:fldChar w:fldCharType="separate"/>
        </w:r>
        <w:r w:rsidR="001A1839">
          <w:rPr>
            <w:rFonts w:ascii="Times New Roman" w:hAnsi="Times New Roman" w:cs="Times New Roman"/>
            <w:noProof/>
            <w:sz w:val="20"/>
            <w:szCs w:val="20"/>
          </w:rPr>
          <w:t>10</w:t>
        </w:r>
        <w:r w:rsidRPr="003754CC">
          <w:rPr>
            <w:rFonts w:ascii="Times New Roman" w:hAnsi="Times New Roman" w:cs="Times New Roman"/>
            <w:sz w:val="20"/>
            <w:szCs w:val="20"/>
          </w:rPr>
          <w:fldChar w:fldCharType="end"/>
        </w:r>
      </w:p>
    </w:sdtContent>
  </w:sdt>
  <w:p w:rsidR="002629B6" w:rsidRDefault="002629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A5" w:rsidRDefault="00D41FA5" w:rsidP="00D10315">
      <w:pPr>
        <w:spacing w:after="0" w:line="240" w:lineRule="auto"/>
      </w:pPr>
      <w:r>
        <w:separator/>
      </w:r>
    </w:p>
  </w:footnote>
  <w:footnote w:type="continuationSeparator" w:id="0">
    <w:p w:rsidR="00D41FA5" w:rsidRDefault="00D41FA5" w:rsidP="00D10315">
      <w:pPr>
        <w:spacing w:after="0" w:line="240" w:lineRule="auto"/>
      </w:pPr>
      <w:r>
        <w:continuationSeparator/>
      </w:r>
    </w:p>
  </w:footnote>
  <w:footnote w:id="1">
    <w:p w:rsidR="002629B6" w:rsidRPr="008973BA" w:rsidRDefault="002629B6" w:rsidP="008973BA">
      <w:pPr>
        <w:pStyle w:val="a3"/>
        <w:jc w:val="both"/>
        <w:rPr>
          <w:rFonts w:ascii="Times New Roman" w:hAnsi="Times New Roman"/>
          <w:sz w:val="18"/>
          <w:szCs w:val="18"/>
          <w:lang w:val="en-US"/>
        </w:rPr>
      </w:pPr>
      <w:r w:rsidRPr="008973BA">
        <w:rPr>
          <w:rStyle w:val="a4"/>
          <w:rFonts w:ascii="Times New Roman" w:hAnsi="Times New Roman"/>
          <w:sz w:val="18"/>
          <w:szCs w:val="18"/>
        </w:rPr>
        <w:footnoteRef/>
      </w:r>
      <w:r w:rsidRPr="008973BA">
        <w:rPr>
          <w:rFonts w:ascii="Times New Roman" w:hAnsi="Times New Roman"/>
          <w:sz w:val="18"/>
          <w:szCs w:val="18"/>
          <w:lang w:val="en-US"/>
        </w:rPr>
        <w:t xml:space="preserve"> Noulas A., (2019). "Financial Management Investment and Financing Decisions". Tziolas Publishing Athens, Greece.</w:t>
      </w:r>
    </w:p>
  </w:footnote>
  <w:footnote w:id="2">
    <w:p w:rsidR="002629B6" w:rsidRPr="00247E07" w:rsidRDefault="002629B6" w:rsidP="00247E07">
      <w:pPr>
        <w:pStyle w:val="a3"/>
        <w:jc w:val="both"/>
        <w:rPr>
          <w:rFonts w:ascii="Times New Roman" w:hAnsi="Times New Roman"/>
          <w:sz w:val="18"/>
          <w:szCs w:val="18"/>
          <w:lang w:val="en-US"/>
        </w:rPr>
      </w:pPr>
      <w:r w:rsidRPr="00247E07">
        <w:rPr>
          <w:rStyle w:val="a4"/>
          <w:rFonts w:ascii="Times New Roman" w:hAnsi="Times New Roman"/>
          <w:sz w:val="18"/>
          <w:szCs w:val="18"/>
        </w:rPr>
        <w:footnoteRef/>
      </w:r>
      <w:r w:rsidRPr="00247E07">
        <w:rPr>
          <w:rFonts w:ascii="Times New Roman" w:hAnsi="Times New Roman"/>
          <w:sz w:val="18"/>
          <w:szCs w:val="18"/>
          <w:lang w:val="en-US"/>
        </w:rPr>
        <w:t xml:space="preserve"> ISO / IEC Guide </w:t>
      </w:r>
      <w:r>
        <w:rPr>
          <w:rFonts w:ascii="Times New Roman" w:hAnsi="Times New Roman"/>
          <w:sz w:val="18"/>
          <w:szCs w:val="18"/>
          <w:lang w:val="en-US"/>
        </w:rPr>
        <w:t xml:space="preserve">73 </w:t>
      </w:r>
      <w:hyperlink r:id="rId1" w:history="1">
        <w:r w:rsidRPr="00247E07">
          <w:rPr>
            <w:rStyle w:val="-"/>
            <w:rFonts w:ascii="Times New Roman" w:hAnsi="Times New Roman"/>
            <w:color w:val="auto"/>
            <w:sz w:val="18"/>
            <w:szCs w:val="18"/>
            <w:lang w:val="en-US"/>
          </w:rPr>
          <w:t>https://www.iso.org/standard/44651.html</w:t>
        </w:r>
      </w:hyperlink>
    </w:p>
  </w:footnote>
  <w:footnote w:id="3">
    <w:p w:rsidR="002629B6" w:rsidRPr="004C6190" w:rsidRDefault="002629B6">
      <w:pPr>
        <w:pStyle w:val="a3"/>
        <w:rPr>
          <w:rFonts w:ascii="Times New Roman" w:hAnsi="Times New Roman"/>
          <w:sz w:val="18"/>
          <w:szCs w:val="18"/>
          <w:lang w:val="en-US"/>
        </w:rPr>
      </w:pPr>
      <w:r w:rsidRPr="004C6190">
        <w:rPr>
          <w:rStyle w:val="a4"/>
          <w:rFonts w:ascii="Times New Roman" w:hAnsi="Times New Roman"/>
          <w:sz w:val="18"/>
          <w:szCs w:val="18"/>
        </w:rPr>
        <w:footnoteRef/>
      </w:r>
      <w:r w:rsidRPr="0028102F">
        <w:rPr>
          <w:rFonts w:ascii="Times New Roman" w:hAnsi="Times New Roman"/>
          <w:sz w:val="18"/>
          <w:szCs w:val="18"/>
          <w:lang w:val="en-US"/>
        </w:rPr>
        <w:t xml:space="preserve"> </w:t>
      </w:r>
      <w:r w:rsidRPr="004C6190">
        <w:rPr>
          <w:rFonts w:ascii="Times New Roman" w:hAnsi="Times New Roman"/>
          <w:sz w:val="18"/>
          <w:szCs w:val="18"/>
          <w:lang w:val="en-US"/>
        </w:rPr>
        <w:t>www.bis.org</w:t>
      </w:r>
    </w:p>
  </w:footnote>
  <w:footnote w:id="4">
    <w:p w:rsidR="002629B6" w:rsidRPr="008941DB" w:rsidRDefault="002629B6">
      <w:pPr>
        <w:pStyle w:val="a3"/>
        <w:rPr>
          <w:rFonts w:ascii="Times New Roman" w:hAnsi="Times New Roman"/>
          <w:color w:val="000000" w:themeColor="text1"/>
          <w:sz w:val="18"/>
          <w:szCs w:val="18"/>
          <w:lang w:val="en-US"/>
        </w:rPr>
      </w:pPr>
      <w:r w:rsidRPr="008941DB">
        <w:rPr>
          <w:rStyle w:val="a4"/>
          <w:rFonts w:ascii="Times New Roman" w:hAnsi="Times New Roman"/>
          <w:sz w:val="18"/>
          <w:szCs w:val="18"/>
        </w:rPr>
        <w:footnoteRef/>
      </w:r>
      <w:r w:rsidRPr="0028102F">
        <w:rPr>
          <w:rFonts w:ascii="Times New Roman" w:hAnsi="Times New Roman"/>
          <w:sz w:val="18"/>
          <w:szCs w:val="18"/>
          <w:lang w:val="en-US"/>
        </w:rPr>
        <w:t xml:space="preserve"> </w:t>
      </w:r>
      <w:hyperlink r:id="rId2" w:history="1">
        <w:r w:rsidRPr="0028102F">
          <w:rPr>
            <w:rStyle w:val="-"/>
            <w:rFonts w:ascii="Times New Roman" w:hAnsi="Times New Roman"/>
            <w:color w:val="000000" w:themeColor="text1"/>
            <w:sz w:val="18"/>
            <w:szCs w:val="18"/>
            <w:u w:val="none"/>
            <w:lang w:val="en-US"/>
          </w:rPr>
          <w:t>https://www.investopedia.com/terms/v/var.asp</w:t>
        </w:r>
      </w:hyperlink>
    </w:p>
  </w:footnote>
  <w:footnote w:id="5">
    <w:p w:rsidR="002629B6" w:rsidRPr="00214104" w:rsidRDefault="002629B6" w:rsidP="00214104">
      <w:pPr>
        <w:pStyle w:val="a3"/>
        <w:jc w:val="both"/>
        <w:rPr>
          <w:rFonts w:ascii="Times New Roman" w:hAnsi="Times New Roman"/>
          <w:sz w:val="18"/>
          <w:szCs w:val="18"/>
          <w:lang w:val="en-US"/>
        </w:rPr>
      </w:pPr>
      <w:r w:rsidRPr="00214104">
        <w:rPr>
          <w:rStyle w:val="a4"/>
          <w:rFonts w:ascii="Times New Roman" w:hAnsi="Times New Roman"/>
          <w:sz w:val="18"/>
          <w:szCs w:val="18"/>
        </w:rPr>
        <w:footnoteRef/>
      </w:r>
      <w:r w:rsidRPr="00214104">
        <w:rPr>
          <w:rFonts w:ascii="Times New Roman" w:hAnsi="Times New Roman"/>
          <w:sz w:val="18"/>
          <w:szCs w:val="18"/>
          <w:lang w:val="en-US"/>
        </w:rPr>
        <w:t xml:space="preserve"> </w:t>
      </w:r>
      <w:hyperlink r:id="rId3" w:history="1">
        <w:r w:rsidRPr="00214104">
          <w:rPr>
            <w:rStyle w:val="-"/>
            <w:rFonts w:ascii="Times New Roman" w:hAnsi="Times New Roman"/>
            <w:color w:val="auto"/>
            <w:sz w:val="18"/>
            <w:szCs w:val="18"/>
            <w:u w:val="none"/>
            <w:lang w:val="en-US"/>
          </w:rPr>
          <w:t>https://www.bis.org/bcbs/</w:t>
        </w:r>
      </w:hyperlink>
    </w:p>
  </w:footnote>
  <w:footnote w:id="6">
    <w:p w:rsidR="002629B6" w:rsidRPr="00622452" w:rsidRDefault="002629B6">
      <w:pPr>
        <w:pStyle w:val="a3"/>
        <w:rPr>
          <w:rFonts w:ascii="Times New Roman" w:hAnsi="Times New Roman"/>
          <w:sz w:val="18"/>
          <w:szCs w:val="18"/>
          <w:lang w:val="en-US"/>
        </w:rPr>
      </w:pPr>
      <w:r w:rsidRPr="00622452">
        <w:rPr>
          <w:rStyle w:val="a4"/>
          <w:rFonts w:ascii="Times New Roman" w:hAnsi="Times New Roman"/>
          <w:sz w:val="18"/>
          <w:szCs w:val="18"/>
        </w:rPr>
        <w:footnoteRef/>
      </w:r>
      <w:r w:rsidRPr="00622452">
        <w:rPr>
          <w:rFonts w:ascii="Times New Roman" w:hAnsi="Times New Roman"/>
          <w:sz w:val="18"/>
          <w:szCs w:val="18"/>
          <w:lang w:val="en-US"/>
        </w:rPr>
        <w:t xml:space="preserve"> </w:t>
      </w:r>
      <w:r w:rsidRPr="00DB1F29">
        <w:rPr>
          <w:rFonts w:ascii="Times New Roman" w:hAnsi="Times New Roman"/>
          <w:sz w:val="16"/>
          <w:szCs w:val="16"/>
          <w:lang w:val="en-US"/>
        </w:rPr>
        <w:t>White, E.N., 1985, “The Merger Movement in Banking, 1919-1933”, The Journal of Economic History, 45, 2, 285-291</w:t>
      </w:r>
    </w:p>
  </w:footnote>
  <w:footnote w:id="7">
    <w:p w:rsidR="002629B6" w:rsidRPr="00D10315" w:rsidRDefault="002629B6" w:rsidP="00D10315">
      <w:pPr>
        <w:pStyle w:val="a3"/>
        <w:jc w:val="both"/>
        <w:rPr>
          <w:rFonts w:ascii="Times New Roman" w:hAnsi="Times New Roman"/>
          <w:sz w:val="18"/>
          <w:szCs w:val="18"/>
          <w:lang w:val="en-US"/>
        </w:rPr>
      </w:pPr>
      <w:r w:rsidRPr="00D10315">
        <w:rPr>
          <w:rStyle w:val="a4"/>
          <w:rFonts w:ascii="Times New Roman" w:hAnsi="Times New Roman"/>
          <w:sz w:val="18"/>
          <w:szCs w:val="18"/>
        </w:rPr>
        <w:footnoteRef/>
      </w:r>
      <w:r w:rsidRPr="00D10315">
        <w:rPr>
          <w:rFonts w:ascii="Times New Roman" w:hAnsi="Times New Roman"/>
          <w:sz w:val="18"/>
          <w:szCs w:val="18"/>
          <w:lang w:val="en-US"/>
        </w:rPr>
        <w:t xml:space="preserve"> Nirmala S., Aruna.</w:t>
      </w:r>
      <w:r>
        <w:rPr>
          <w:rFonts w:ascii="Times New Roman" w:hAnsi="Times New Roman"/>
          <w:sz w:val="18"/>
          <w:szCs w:val="18"/>
          <w:lang w:val="en-US"/>
        </w:rPr>
        <w:t xml:space="preserve"> </w:t>
      </w:r>
      <w:r w:rsidRPr="00D10315">
        <w:rPr>
          <w:rFonts w:ascii="Times New Roman" w:hAnsi="Times New Roman"/>
          <w:sz w:val="18"/>
          <w:szCs w:val="18"/>
          <w:lang w:val="en-US"/>
        </w:rPr>
        <w:t>G., (</w:t>
      </w:r>
      <w:r>
        <w:rPr>
          <w:rFonts w:ascii="Times New Roman" w:hAnsi="Times New Roman"/>
          <w:sz w:val="18"/>
          <w:szCs w:val="18"/>
          <w:lang w:val="en-US"/>
        </w:rPr>
        <w:t>2013</w:t>
      </w:r>
      <w:r w:rsidRPr="00D10315">
        <w:rPr>
          <w:rFonts w:ascii="Times New Roman" w:hAnsi="Times New Roman"/>
          <w:sz w:val="18"/>
          <w:szCs w:val="18"/>
          <w:lang w:val="en-US"/>
        </w:rPr>
        <w:t xml:space="preserve">). "A Literature Review of Mergers and Acquisitions". International Journal of Management &amp; Information Technology </w:t>
      </w:r>
      <w:r w:rsidRPr="00F95FB4">
        <w:rPr>
          <w:rFonts w:ascii="Times New Roman" w:hAnsi="Times New Roman"/>
          <w:sz w:val="18"/>
          <w:szCs w:val="18"/>
          <w:lang w:val="en-US"/>
        </w:rPr>
        <w:t>Vol. 5, No. 1</w:t>
      </w:r>
    </w:p>
  </w:footnote>
  <w:footnote w:id="8">
    <w:p w:rsidR="002629B6" w:rsidRPr="00A46F5C" w:rsidRDefault="002629B6" w:rsidP="00ED1678">
      <w:pPr>
        <w:pStyle w:val="a3"/>
        <w:jc w:val="both"/>
        <w:rPr>
          <w:rFonts w:ascii="Times New Roman" w:hAnsi="Times New Roman"/>
          <w:sz w:val="16"/>
          <w:szCs w:val="16"/>
          <w:lang w:val="en-US"/>
        </w:rPr>
      </w:pPr>
      <w:r w:rsidRPr="00A46F5C">
        <w:rPr>
          <w:rStyle w:val="a4"/>
          <w:rFonts w:ascii="Times New Roman" w:hAnsi="Times New Roman"/>
          <w:sz w:val="16"/>
          <w:szCs w:val="16"/>
        </w:rPr>
        <w:footnoteRef/>
      </w:r>
      <w:r w:rsidRPr="00A46F5C">
        <w:rPr>
          <w:rFonts w:ascii="Times New Roman" w:hAnsi="Times New Roman"/>
          <w:sz w:val="16"/>
          <w:szCs w:val="16"/>
          <w:lang w:val="en-US"/>
        </w:rPr>
        <w:t xml:space="preserve"> Huizinga P., Nelissen M., Vennet V., 2001, “Efficiency Effects of banks mergers and acquisitions in Europe”. </w:t>
      </w:r>
      <w:r w:rsidRPr="008A7A3F">
        <w:rPr>
          <w:rFonts w:ascii="Times New Roman" w:hAnsi="Times New Roman"/>
          <w:sz w:val="16"/>
          <w:szCs w:val="16"/>
          <w:lang w:val="en-US"/>
        </w:rPr>
        <w:t>Discussion paper Ti-2001 088/3 Tinbergen Institute</w:t>
      </w:r>
    </w:p>
  </w:footnote>
  <w:footnote w:id="9">
    <w:p w:rsidR="002629B6" w:rsidRPr="001C7A04" w:rsidRDefault="002629B6" w:rsidP="001C7A04">
      <w:pPr>
        <w:pStyle w:val="a3"/>
        <w:jc w:val="both"/>
        <w:rPr>
          <w:rFonts w:ascii="Times New Roman" w:hAnsi="Times New Roman"/>
          <w:sz w:val="18"/>
          <w:szCs w:val="18"/>
          <w:lang w:val="en-US"/>
        </w:rPr>
      </w:pPr>
      <w:r w:rsidRPr="001C7A04">
        <w:rPr>
          <w:rStyle w:val="a4"/>
          <w:rFonts w:ascii="Times New Roman" w:hAnsi="Times New Roman"/>
          <w:sz w:val="18"/>
          <w:szCs w:val="18"/>
        </w:rPr>
        <w:footnoteRef/>
      </w:r>
      <w:r w:rsidRPr="001C7A04">
        <w:rPr>
          <w:rFonts w:ascii="Times New Roman" w:hAnsi="Times New Roman"/>
          <w:sz w:val="18"/>
          <w:szCs w:val="18"/>
          <w:lang w:val="en-US"/>
        </w:rPr>
        <w:t xml:space="preserve"> www.bankingnews.gr</w:t>
      </w:r>
    </w:p>
  </w:footnote>
  <w:footnote w:id="10">
    <w:p w:rsidR="002629B6" w:rsidRPr="00E6546B" w:rsidRDefault="002629B6">
      <w:pPr>
        <w:pStyle w:val="a3"/>
        <w:rPr>
          <w:rFonts w:ascii="Times New Roman" w:hAnsi="Times New Roman"/>
          <w:sz w:val="18"/>
          <w:szCs w:val="18"/>
          <w:lang w:val="en-US"/>
        </w:rPr>
      </w:pPr>
      <w:r w:rsidRPr="00E6546B">
        <w:rPr>
          <w:rStyle w:val="a4"/>
          <w:rFonts w:ascii="Times New Roman" w:hAnsi="Times New Roman"/>
          <w:sz w:val="18"/>
          <w:szCs w:val="18"/>
        </w:rPr>
        <w:footnoteRef/>
      </w:r>
      <w:r w:rsidRPr="00E6546B">
        <w:rPr>
          <w:rFonts w:ascii="Times New Roman" w:hAnsi="Times New Roman"/>
          <w:sz w:val="18"/>
          <w:szCs w:val="18"/>
          <w:lang w:val="en-US"/>
        </w:rPr>
        <w:t xml:space="preserve"> </w:t>
      </w:r>
      <w:hyperlink r:id="rId4" w:history="1">
        <w:r w:rsidRPr="00E6546B">
          <w:rPr>
            <w:rStyle w:val="-"/>
            <w:rFonts w:ascii="Times New Roman" w:hAnsi="Times New Roman"/>
            <w:color w:val="auto"/>
            <w:sz w:val="18"/>
            <w:szCs w:val="18"/>
            <w:u w:val="none"/>
            <w:lang w:val="en-US"/>
          </w:rPr>
          <w:t>https://www.hba.gr/UplDocs/90yearsEET/apologiamos_eet_GR_F_onepage_web.pdf</w:t>
        </w:r>
      </w:hyperlink>
    </w:p>
  </w:footnote>
  <w:footnote w:id="11">
    <w:p w:rsidR="002629B6" w:rsidRPr="00D974D4" w:rsidRDefault="002629B6" w:rsidP="00F95FB4">
      <w:pPr>
        <w:pStyle w:val="a3"/>
        <w:jc w:val="both"/>
        <w:rPr>
          <w:rFonts w:ascii="Times New Roman" w:hAnsi="Times New Roman"/>
          <w:color w:val="000000" w:themeColor="text1"/>
          <w:sz w:val="18"/>
          <w:szCs w:val="18"/>
          <w:lang w:val="en-US"/>
        </w:rPr>
      </w:pPr>
      <w:r w:rsidRPr="00D974D4">
        <w:rPr>
          <w:rStyle w:val="a4"/>
          <w:rFonts w:ascii="Times New Roman" w:hAnsi="Times New Roman"/>
          <w:sz w:val="18"/>
          <w:szCs w:val="18"/>
        </w:rPr>
        <w:footnoteRef/>
      </w:r>
      <w:r w:rsidRPr="00D974D4">
        <w:rPr>
          <w:rFonts w:ascii="Times New Roman" w:hAnsi="Times New Roman"/>
          <w:sz w:val="18"/>
          <w:szCs w:val="18"/>
          <w:lang w:val="en-US"/>
        </w:rPr>
        <w:t xml:space="preserve"> </w:t>
      </w:r>
      <w:hyperlink r:id="rId5" w:history="1">
        <w:r w:rsidRPr="00D974D4">
          <w:rPr>
            <w:rStyle w:val="-"/>
            <w:rFonts w:ascii="Times New Roman" w:hAnsi="Times New Roman"/>
            <w:color w:val="000000" w:themeColor="text1"/>
            <w:sz w:val="18"/>
            <w:szCs w:val="18"/>
            <w:u w:val="none"/>
            <w:lang w:val="en-US"/>
          </w:rPr>
          <w:t>https://www.investopedia.com/ask/answers/033115/how-can-you-calculate-value-risk-var-excel.asp</w:t>
        </w:r>
      </w:hyperlink>
    </w:p>
  </w:footnote>
  <w:footnote w:id="12">
    <w:p w:rsidR="002629B6" w:rsidRPr="00DE4F05" w:rsidRDefault="002629B6" w:rsidP="00DE4F05">
      <w:pPr>
        <w:pStyle w:val="a3"/>
        <w:jc w:val="both"/>
        <w:rPr>
          <w:rFonts w:ascii="Times New Roman" w:hAnsi="Times New Roman"/>
          <w:sz w:val="18"/>
          <w:szCs w:val="18"/>
          <w:lang w:val="en-US"/>
        </w:rPr>
      </w:pPr>
      <w:r w:rsidRPr="00DE4F05">
        <w:rPr>
          <w:rStyle w:val="a4"/>
          <w:rFonts w:ascii="Times New Roman" w:hAnsi="Times New Roman"/>
          <w:sz w:val="18"/>
          <w:szCs w:val="18"/>
        </w:rPr>
        <w:footnoteRef/>
      </w:r>
      <w:r w:rsidRPr="00DE4F05">
        <w:rPr>
          <w:rFonts w:ascii="Times New Roman" w:hAnsi="Times New Roman"/>
          <w:sz w:val="18"/>
          <w:szCs w:val="18"/>
          <w:lang w:val="en-US"/>
        </w:rPr>
        <w:t xml:space="preserve"> Annual Financial Reports of Piraeus Bank (www.piraeusbank.gr), National Bank (www.nbg.gr), Eurobank (www.eurobank.gr) and Alpha Bank (www.alphabank.gr)</w:t>
      </w:r>
      <w:r>
        <w:rPr>
          <w:rFonts w:ascii="Times New Roman" w:hAnsi="Times New Roman"/>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435"/>
    <w:multiLevelType w:val="hybridMultilevel"/>
    <w:tmpl w:val="05A0338E"/>
    <w:lvl w:ilvl="0" w:tplc="1EC274BC">
      <w:start w:val="1"/>
      <w:numFmt w:val="bullet"/>
      <w:lvlText w:val=""/>
      <w:lvlJc w:val="left"/>
      <w:pPr>
        <w:tabs>
          <w:tab w:val="num" w:pos="720"/>
        </w:tabs>
        <w:ind w:left="720" w:hanging="360"/>
      </w:pPr>
      <w:rPr>
        <w:rFonts w:ascii="Wingdings" w:hAnsi="Wingdings" w:hint="default"/>
      </w:rPr>
    </w:lvl>
    <w:lvl w:ilvl="1" w:tplc="C7D81F10" w:tentative="1">
      <w:start w:val="1"/>
      <w:numFmt w:val="bullet"/>
      <w:lvlText w:val=""/>
      <w:lvlJc w:val="left"/>
      <w:pPr>
        <w:tabs>
          <w:tab w:val="num" w:pos="1440"/>
        </w:tabs>
        <w:ind w:left="1440" w:hanging="360"/>
      </w:pPr>
      <w:rPr>
        <w:rFonts w:ascii="Wingdings" w:hAnsi="Wingdings" w:hint="default"/>
      </w:rPr>
    </w:lvl>
    <w:lvl w:ilvl="2" w:tplc="1A1E731A" w:tentative="1">
      <w:start w:val="1"/>
      <w:numFmt w:val="bullet"/>
      <w:lvlText w:val=""/>
      <w:lvlJc w:val="left"/>
      <w:pPr>
        <w:tabs>
          <w:tab w:val="num" w:pos="2160"/>
        </w:tabs>
        <w:ind w:left="2160" w:hanging="360"/>
      </w:pPr>
      <w:rPr>
        <w:rFonts w:ascii="Wingdings" w:hAnsi="Wingdings" w:hint="default"/>
      </w:rPr>
    </w:lvl>
    <w:lvl w:ilvl="3" w:tplc="46EA0666" w:tentative="1">
      <w:start w:val="1"/>
      <w:numFmt w:val="bullet"/>
      <w:lvlText w:val=""/>
      <w:lvlJc w:val="left"/>
      <w:pPr>
        <w:tabs>
          <w:tab w:val="num" w:pos="2880"/>
        </w:tabs>
        <w:ind w:left="2880" w:hanging="360"/>
      </w:pPr>
      <w:rPr>
        <w:rFonts w:ascii="Wingdings" w:hAnsi="Wingdings" w:hint="default"/>
      </w:rPr>
    </w:lvl>
    <w:lvl w:ilvl="4" w:tplc="E0BA0352" w:tentative="1">
      <w:start w:val="1"/>
      <w:numFmt w:val="bullet"/>
      <w:lvlText w:val=""/>
      <w:lvlJc w:val="left"/>
      <w:pPr>
        <w:tabs>
          <w:tab w:val="num" w:pos="3600"/>
        </w:tabs>
        <w:ind w:left="3600" w:hanging="360"/>
      </w:pPr>
      <w:rPr>
        <w:rFonts w:ascii="Wingdings" w:hAnsi="Wingdings" w:hint="default"/>
      </w:rPr>
    </w:lvl>
    <w:lvl w:ilvl="5" w:tplc="C75001EE" w:tentative="1">
      <w:start w:val="1"/>
      <w:numFmt w:val="bullet"/>
      <w:lvlText w:val=""/>
      <w:lvlJc w:val="left"/>
      <w:pPr>
        <w:tabs>
          <w:tab w:val="num" w:pos="4320"/>
        </w:tabs>
        <w:ind w:left="4320" w:hanging="360"/>
      </w:pPr>
      <w:rPr>
        <w:rFonts w:ascii="Wingdings" w:hAnsi="Wingdings" w:hint="default"/>
      </w:rPr>
    </w:lvl>
    <w:lvl w:ilvl="6" w:tplc="71B49A48" w:tentative="1">
      <w:start w:val="1"/>
      <w:numFmt w:val="bullet"/>
      <w:lvlText w:val=""/>
      <w:lvlJc w:val="left"/>
      <w:pPr>
        <w:tabs>
          <w:tab w:val="num" w:pos="5040"/>
        </w:tabs>
        <w:ind w:left="5040" w:hanging="360"/>
      </w:pPr>
      <w:rPr>
        <w:rFonts w:ascii="Wingdings" w:hAnsi="Wingdings" w:hint="default"/>
      </w:rPr>
    </w:lvl>
    <w:lvl w:ilvl="7" w:tplc="6BDE9AD0" w:tentative="1">
      <w:start w:val="1"/>
      <w:numFmt w:val="bullet"/>
      <w:lvlText w:val=""/>
      <w:lvlJc w:val="left"/>
      <w:pPr>
        <w:tabs>
          <w:tab w:val="num" w:pos="5760"/>
        </w:tabs>
        <w:ind w:left="5760" w:hanging="360"/>
      </w:pPr>
      <w:rPr>
        <w:rFonts w:ascii="Wingdings" w:hAnsi="Wingdings" w:hint="default"/>
      </w:rPr>
    </w:lvl>
    <w:lvl w:ilvl="8" w:tplc="B7DCEDAC" w:tentative="1">
      <w:start w:val="1"/>
      <w:numFmt w:val="bullet"/>
      <w:lvlText w:val=""/>
      <w:lvlJc w:val="left"/>
      <w:pPr>
        <w:tabs>
          <w:tab w:val="num" w:pos="6480"/>
        </w:tabs>
        <w:ind w:left="6480" w:hanging="360"/>
      </w:pPr>
      <w:rPr>
        <w:rFonts w:ascii="Wingdings" w:hAnsi="Wingdings" w:hint="default"/>
      </w:rPr>
    </w:lvl>
  </w:abstractNum>
  <w:abstractNum w:abstractNumId="1">
    <w:nsid w:val="312C0FFB"/>
    <w:multiLevelType w:val="hybridMultilevel"/>
    <w:tmpl w:val="60180F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3C4204"/>
    <w:multiLevelType w:val="hybridMultilevel"/>
    <w:tmpl w:val="8494BECC"/>
    <w:lvl w:ilvl="0" w:tplc="3828E242">
      <w:start w:val="1"/>
      <w:numFmt w:val="bullet"/>
      <w:lvlText w:val=""/>
      <w:lvlJc w:val="left"/>
      <w:pPr>
        <w:tabs>
          <w:tab w:val="num" w:pos="360"/>
        </w:tabs>
        <w:ind w:left="360" w:hanging="360"/>
      </w:pPr>
      <w:rPr>
        <w:rFonts w:ascii="Wingdings" w:hAnsi="Wingdings" w:hint="default"/>
      </w:rPr>
    </w:lvl>
    <w:lvl w:ilvl="1" w:tplc="A46650B8" w:tentative="1">
      <w:start w:val="1"/>
      <w:numFmt w:val="bullet"/>
      <w:lvlText w:val=""/>
      <w:lvlJc w:val="left"/>
      <w:pPr>
        <w:tabs>
          <w:tab w:val="num" w:pos="1440"/>
        </w:tabs>
        <w:ind w:left="1440" w:hanging="360"/>
      </w:pPr>
      <w:rPr>
        <w:rFonts w:ascii="Wingdings" w:hAnsi="Wingdings" w:hint="default"/>
      </w:rPr>
    </w:lvl>
    <w:lvl w:ilvl="2" w:tplc="F34C4E2C" w:tentative="1">
      <w:start w:val="1"/>
      <w:numFmt w:val="bullet"/>
      <w:lvlText w:val=""/>
      <w:lvlJc w:val="left"/>
      <w:pPr>
        <w:tabs>
          <w:tab w:val="num" w:pos="2160"/>
        </w:tabs>
        <w:ind w:left="2160" w:hanging="360"/>
      </w:pPr>
      <w:rPr>
        <w:rFonts w:ascii="Wingdings" w:hAnsi="Wingdings" w:hint="default"/>
      </w:rPr>
    </w:lvl>
    <w:lvl w:ilvl="3" w:tplc="8376A5F2" w:tentative="1">
      <w:start w:val="1"/>
      <w:numFmt w:val="bullet"/>
      <w:lvlText w:val=""/>
      <w:lvlJc w:val="left"/>
      <w:pPr>
        <w:tabs>
          <w:tab w:val="num" w:pos="2880"/>
        </w:tabs>
        <w:ind w:left="2880" w:hanging="360"/>
      </w:pPr>
      <w:rPr>
        <w:rFonts w:ascii="Wingdings" w:hAnsi="Wingdings" w:hint="default"/>
      </w:rPr>
    </w:lvl>
    <w:lvl w:ilvl="4" w:tplc="C86E9C50" w:tentative="1">
      <w:start w:val="1"/>
      <w:numFmt w:val="bullet"/>
      <w:lvlText w:val=""/>
      <w:lvlJc w:val="left"/>
      <w:pPr>
        <w:tabs>
          <w:tab w:val="num" w:pos="3600"/>
        </w:tabs>
        <w:ind w:left="3600" w:hanging="360"/>
      </w:pPr>
      <w:rPr>
        <w:rFonts w:ascii="Wingdings" w:hAnsi="Wingdings" w:hint="default"/>
      </w:rPr>
    </w:lvl>
    <w:lvl w:ilvl="5" w:tplc="10C26012" w:tentative="1">
      <w:start w:val="1"/>
      <w:numFmt w:val="bullet"/>
      <w:lvlText w:val=""/>
      <w:lvlJc w:val="left"/>
      <w:pPr>
        <w:tabs>
          <w:tab w:val="num" w:pos="4320"/>
        </w:tabs>
        <w:ind w:left="4320" w:hanging="360"/>
      </w:pPr>
      <w:rPr>
        <w:rFonts w:ascii="Wingdings" w:hAnsi="Wingdings" w:hint="default"/>
      </w:rPr>
    </w:lvl>
    <w:lvl w:ilvl="6" w:tplc="E6468D54" w:tentative="1">
      <w:start w:val="1"/>
      <w:numFmt w:val="bullet"/>
      <w:lvlText w:val=""/>
      <w:lvlJc w:val="left"/>
      <w:pPr>
        <w:tabs>
          <w:tab w:val="num" w:pos="5040"/>
        </w:tabs>
        <w:ind w:left="5040" w:hanging="360"/>
      </w:pPr>
      <w:rPr>
        <w:rFonts w:ascii="Wingdings" w:hAnsi="Wingdings" w:hint="default"/>
      </w:rPr>
    </w:lvl>
    <w:lvl w:ilvl="7" w:tplc="4F12D38E" w:tentative="1">
      <w:start w:val="1"/>
      <w:numFmt w:val="bullet"/>
      <w:lvlText w:val=""/>
      <w:lvlJc w:val="left"/>
      <w:pPr>
        <w:tabs>
          <w:tab w:val="num" w:pos="5760"/>
        </w:tabs>
        <w:ind w:left="5760" w:hanging="360"/>
      </w:pPr>
      <w:rPr>
        <w:rFonts w:ascii="Wingdings" w:hAnsi="Wingdings" w:hint="default"/>
      </w:rPr>
    </w:lvl>
    <w:lvl w:ilvl="8" w:tplc="75024F32" w:tentative="1">
      <w:start w:val="1"/>
      <w:numFmt w:val="bullet"/>
      <w:lvlText w:val=""/>
      <w:lvlJc w:val="left"/>
      <w:pPr>
        <w:tabs>
          <w:tab w:val="num" w:pos="6480"/>
        </w:tabs>
        <w:ind w:left="6480" w:hanging="360"/>
      </w:pPr>
      <w:rPr>
        <w:rFonts w:ascii="Wingdings" w:hAnsi="Wingdings" w:hint="default"/>
      </w:rPr>
    </w:lvl>
  </w:abstractNum>
  <w:abstractNum w:abstractNumId="3">
    <w:nsid w:val="65FC3279"/>
    <w:multiLevelType w:val="hybridMultilevel"/>
    <w:tmpl w:val="1D24728E"/>
    <w:lvl w:ilvl="0" w:tplc="320AFCE6">
      <w:start w:val="1"/>
      <w:numFmt w:val="bullet"/>
      <w:lvlText w:val=""/>
      <w:lvlJc w:val="left"/>
      <w:pPr>
        <w:tabs>
          <w:tab w:val="num" w:pos="720"/>
        </w:tabs>
        <w:ind w:left="720" w:hanging="360"/>
      </w:pPr>
      <w:rPr>
        <w:rFonts w:ascii="Wingdings" w:hAnsi="Wingdings" w:hint="default"/>
      </w:rPr>
    </w:lvl>
    <w:lvl w:ilvl="1" w:tplc="A5C4F2E0" w:tentative="1">
      <w:start w:val="1"/>
      <w:numFmt w:val="bullet"/>
      <w:lvlText w:val=""/>
      <w:lvlJc w:val="left"/>
      <w:pPr>
        <w:tabs>
          <w:tab w:val="num" w:pos="1440"/>
        </w:tabs>
        <w:ind w:left="1440" w:hanging="360"/>
      </w:pPr>
      <w:rPr>
        <w:rFonts w:ascii="Wingdings" w:hAnsi="Wingdings" w:hint="default"/>
      </w:rPr>
    </w:lvl>
    <w:lvl w:ilvl="2" w:tplc="18DCF002" w:tentative="1">
      <w:start w:val="1"/>
      <w:numFmt w:val="bullet"/>
      <w:lvlText w:val=""/>
      <w:lvlJc w:val="left"/>
      <w:pPr>
        <w:tabs>
          <w:tab w:val="num" w:pos="2160"/>
        </w:tabs>
        <w:ind w:left="2160" w:hanging="360"/>
      </w:pPr>
      <w:rPr>
        <w:rFonts w:ascii="Wingdings" w:hAnsi="Wingdings" w:hint="default"/>
      </w:rPr>
    </w:lvl>
    <w:lvl w:ilvl="3" w:tplc="45F2D64A" w:tentative="1">
      <w:start w:val="1"/>
      <w:numFmt w:val="bullet"/>
      <w:lvlText w:val=""/>
      <w:lvlJc w:val="left"/>
      <w:pPr>
        <w:tabs>
          <w:tab w:val="num" w:pos="2880"/>
        </w:tabs>
        <w:ind w:left="2880" w:hanging="360"/>
      </w:pPr>
      <w:rPr>
        <w:rFonts w:ascii="Wingdings" w:hAnsi="Wingdings" w:hint="default"/>
      </w:rPr>
    </w:lvl>
    <w:lvl w:ilvl="4" w:tplc="9728824C" w:tentative="1">
      <w:start w:val="1"/>
      <w:numFmt w:val="bullet"/>
      <w:lvlText w:val=""/>
      <w:lvlJc w:val="left"/>
      <w:pPr>
        <w:tabs>
          <w:tab w:val="num" w:pos="3600"/>
        </w:tabs>
        <w:ind w:left="3600" w:hanging="360"/>
      </w:pPr>
      <w:rPr>
        <w:rFonts w:ascii="Wingdings" w:hAnsi="Wingdings" w:hint="default"/>
      </w:rPr>
    </w:lvl>
    <w:lvl w:ilvl="5" w:tplc="1500E746" w:tentative="1">
      <w:start w:val="1"/>
      <w:numFmt w:val="bullet"/>
      <w:lvlText w:val=""/>
      <w:lvlJc w:val="left"/>
      <w:pPr>
        <w:tabs>
          <w:tab w:val="num" w:pos="4320"/>
        </w:tabs>
        <w:ind w:left="4320" w:hanging="360"/>
      </w:pPr>
      <w:rPr>
        <w:rFonts w:ascii="Wingdings" w:hAnsi="Wingdings" w:hint="default"/>
      </w:rPr>
    </w:lvl>
    <w:lvl w:ilvl="6" w:tplc="FCF8801A" w:tentative="1">
      <w:start w:val="1"/>
      <w:numFmt w:val="bullet"/>
      <w:lvlText w:val=""/>
      <w:lvlJc w:val="left"/>
      <w:pPr>
        <w:tabs>
          <w:tab w:val="num" w:pos="5040"/>
        </w:tabs>
        <w:ind w:left="5040" w:hanging="360"/>
      </w:pPr>
      <w:rPr>
        <w:rFonts w:ascii="Wingdings" w:hAnsi="Wingdings" w:hint="default"/>
      </w:rPr>
    </w:lvl>
    <w:lvl w:ilvl="7" w:tplc="01849694" w:tentative="1">
      <w:start w:val="1"/>
      <w:numFmt w:val="bullet"/>
      <w:lvlText w:val=""/>
      <w:lvlJc w:val="left"/>
      <w:pPr>
        <w:tabs>
          <w:tab w:val="num" w:pos="5760"/>
        </w:tabs>
        <w:ind w:left="5760" w:hanging="360"/>
      </w:pPr>
      <w:rPr>
        <w:rFonts w:ascii="Wingdings" w:hAnsi="Wingdings" w:hint="default"/>
      </w:rPr>
    </w:lvl>
    <w:lvl w:ilvl="8" w:tplc="34F285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407A3"/>
    <w:rsid w:val="00015675"/>
    <w:rsid w:val="00015EEB"/>
    <w:rsid w:val="00052F49"/>
    <w:rsid w:val="00063D88"/>
    <w:rsid w:val="000E3532"/>
    <w:rsid w:val="000F0718"/>
    <w:rsid w:val="000F6699"/>
    <w:rsid w:val="0013767D"/>
    <w:rsid w:val="00137FAB"/>
    <w:rsid w:val="001509E5"/>
    <w:rsid w:val="00167813"/>
    <w:rsid w:val="001908CD"/>
    <w:rsid w:val="001A1839"/>
    <w:rsid w:val="001A557B"/>
    <w:rsid w:val="001C41E9"/>
    <w:rsid w:val="001C7A04"/>
    <w:rsid w:val="001E7213"/>
    <w:rsid w:val="00206909"/>
    <w:rsid w:val="00214104"/>
    <w:rsid w:val="002240CA"/>
    <w:rsid w:val="00247E07"/>
    <w:rsid w:val="002629B6"/>
    <w:rsid w:val="002716CC"/>
    <w:rsid w:val="0028102F"/>
    <w:rsid w:val="0028247C"/>
    <w:rsid w:val="002919C1"/>
    <w:rsid w:val="002E6D9F"/>
    <w:rsid w:val="00304E89"/>
    <w:rsid w:val="00315015"/>
    <w:rsid w:val="00337426"/>
    <w:rsid w:val="00347CA8"/>
    <w:rsid w:val="00347EA6"/>
    <w:rsid w:val="003754CC"/>
    <w:rsid w:val="00375965"/>
    <w:rsid w:val="003978AF"/>
    <w:rsid w:val="003D58BD"/>
    <w:rsid w:val="003F0A49"/>
    <w:rsid w:val="00421501"/>
    <w:rsid w:val="00451A79"/>
    <w:rsid w:val="0045566B"/>
    <w:rsid w:val="00471E85"/>
    <w:rsid w:val="004C6190"/>
    <w:rsid w:val="004D149B"/>
    <w:rsid w:val="00520EC7"/>
    <w:rsid w:val="005407A3"/>
    <w:rsid w:val="005763D6"/>
    <w:rsid w:val="00595FE5"/>
    <w:rsid w:val="005B2664"/>
    <w:rsid w:val="005B4012"/>
    <w:rsid w:val="005B4043"/>
    <w:rsid w:val="005D72FB"/>
    <w:rsid w:val="005F4A40"/>
    <w:rsid w:val="0061260C"/>
    <w:rsid w:val="00614BBE"/>
    <w:rsid w:val="00622452"/>
    <w:rsid w:val="00627F00"/>
    <w:rsid w:val="00652090"/>
    <w:rsid w:val="006F06F2"/>
    <w:rsid w:val="007507AC"/>
    <w:rsid w:val="007843AD"/>
    <w:rsid w:val="007D1334"/>
    <w:rsid w:val="00805A8D"/>
    <w:rsid w:val="008559C1"/>
    <w:rsid w:val="00870446"/>
    <w:rsid w:val="0087227A"/>
    <w:rsid w:val="008941DB"/>
    <w:rsid w:val="008973BA"/>
    <w:rsid w:val="00905B0E"/>
    <w:rsid w:val="00917E5B"/>
    <w:rsid w:val="00935E41"/>
    <w:rsid w:val="00943677"/>
    <w:rsid w:val="009444A4"/>
    <w:rsid w:val="0099008C"/>
    <w:rsid w:val="009917A9"/>
    <w:rsid w:val="00994A45"/>
    <w:rsid w:val="009E3DED"/>
    <w:rsid w:val="00A1097F"/>
    <w:rsid w:val="00A22C8A"/>
    <w:rsid w:val="00A315C5"/>
    <w:rsid w:val="00A95A7A"/>
    <w:rsid w:val="00AA635E"/>
    <w:rsid w:val="00AD0CBE"/>
    <w:rsid w:val="00AD104B"/>
    <w:rsid w:val="00AE480C"/>
    <w:rsid w:val="00B61ED8"/>
    <w:rsid w:val="00B9061E"/>
    <w:rsid w:val="00BA5E9D"/>
    <w:rsid w:val="00BB5311"/>
    <w:rsid w:val="00BC22D7"/>
    <w:rsid w:val="00BD572C"/>
    <w:rsid w:val="00C212AE"/>
    <w:rsid w:val="00C435E6"/>
    <w:rsid w:val="00C70B17"/>
    <w:rsid w:val="00C71B3C"/>
    <w:rsid w:val="00C77402"/>
    <w:rsid w:val="00C82822"/>
    <w:rsid w:val="00CC4821"/>
    <w:rsid w:val="00D10315"/>
    <w:rsid w:val="00D14CD4"/>
    <w:rsid w:val="00D4000A"/>
    <w:rsid w:val="00D41FA5"/>
    <w:rsid w:val="00D86AC8"/>
    <w:rsid w:val="00D974D4"/>
    <w:rsid w:val="00DA0851"/>
    <w:rsid w:val="00DB5518"/>
    <w:rsid w:val="00DC42DD"/>
    <w:rsid w:val="00DE4F05"/>
    <w:rsid w:val="00E15E20"/>
    <w:rsid w:val="00E346D8"/>
    <w:rsid w:val="00E36473"/>
    <w:rsid w:val="00E5128A"/>
    <w:rsid w:val="00E515C1"/>
    <w:rsid w:val="00E60E64"/>
    <w:rsid w:val="00E6521B"/>
    <w:rsid w:val="00E6546B"/>
    <w:rsid w:val="00E7510A"/>
    <w:rsid w:val="00ED1678"/>
    <w:rsid w:val="00F0434E"/>
    <w:rsid w:val="00F07EC0"/>
    <w:rsid w:val="00F279AC"/>
    <w:rsid w:val="00F53533"/>
    <w:rsid w:val="00F539AB"/>
    <w:rsid w:val="00F64E03"/>
    <w:rsid w:val="00F95FB4"/>
    <w:rsid w:val="00FF7C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01"/>
  </w:style>
  <w:style w:type="paragraph" w:styleId="1">
    <w:name w:val="heading 1"/>
    <w:basedOn w:val="a"/>
    <w:link w:val="1Char"/>
    <w:uiPriority w:val="9"/>
    <w:qFormat/>
    <w:rsid w:val="00DA0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085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DA08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A0851"/>
    <w:rPr>
      <w:color w:val="0000FF"/>
      <w:u w:val="single"/>
    </w:rPr>
  </w:style>
  <w:style w:type="paragraph" w:styleId="a3">
    <w:name w:val="footnote text"/>
    <w:basedOn w:val="a"/>
    <w:link w:val="Char"/>
    <w:uiPriority w:val="99"/>
    <w:unhideWhenUsed/>
    <w:rsid w:val="003F0A49"/>
    <w:pPr>
      <w:spacing w:after="0" w:line="240" w:lineRule="auto"/>
    </w:pPr>
    <w:rPr>
      <w:rFonts w:ascii="Calibri" w:eastAsia="Calibri" w:hAnsi="Calibri" w:cs="Times New Roman"/>
      <w:sz w:val="20"/>
      <w:szCs w:val="20"/>
    </w:rPr>
  </w:style>
  <w:style w:type="character" w:customStyle="1" w:styleId="Char">
    <w:name w:val="Κείμενο υποσημείωσης Char"/>
    <w:basedOn w:val="a0"/>
    <w:link w:val="a3"/>
    <w:uiPriority w:val="99"/>
    <w:rsid w:val="003F0A49"/>
    <w:rPr>
      <w:rFonts w:ascii="Calibri" w:eastAsia="Calibri" w:hAnsi="Calibri" w:cs="Times New Roman"/>
      <w:sz w:val="20"/>
      <w:szCs w:val="20"/>
    </w:rPr>
  </w:style>
  <w:style w:type="character" w:styleId="a4">
    <w:name w:val="footnote reference"/>
    <w:basedOn w:val="a0"/>
    <w:uiPriority w:val="99"/>
    <w:semiHidden/>
    <w:unhideWhenUsed/>
    <w:rsid w:val="00D10315"/>
    <w:rPr>
      <w:vertAlign w:val="superscript"/>
    </w:rPr>
  </w:style>
  <w:style w:type="paragraph" w:styleId="a5">
    <w:name w:val="Balloon Text"/>
    <w:basedOn w:val="a"/>
    <w:link w:val="Char0"/>
    <w:uiPriority w:val="99"/>
    <w:semiHidden/>
    <w:unhideWhenUsed/>
    <w:rsid w:val="008941D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8941DB"/>
    <w:rPr>
      <w:rFonts w:ascii="Tahoma" w:hAnsi="Tahoma" w:cs="Tahoma"/>
      <w:sz w:val="16"/>
      <w:szCs w:val="16"/>
    </w:rPr>
  </w:style>
  <w:style w:type="character" w:styleId="HTML">
    <w:name w:val="HTML Cite"/>
    <w:basedOn w:val="a0"/>
    <w:uiPriority w:val="99"/>
    <w:semiHidden/>
    <w:unhideWhenUsed/>
    <w:rsid w:val="00622452"/>
    <w:rPr>
      <w:i/>
      <w:iCs/>
    </w:rPr>
  </w:style>
  <w:style w:type="character" w:styleId="a6">
    <w:name w:val="Emphasis"/>
    <w:basedOn w:val="a0"/>
    <w:uiPriority w:val="20"/>
    <w:qFormat/>
    <w:rsid w:val="00C77402"/>
    <w:rPr>
      <w:i/>
      <w:iCs/>
    </w:rPr>
  </w:style>
  <w:style w:type="character" w:customStyle="1" w:styleId="katex-mathml">
    <w:name w:val="katex-mathml"/>
    <w:basedOn w:val="a0"/>
    <w:rsid w:val="00D974D4"/>
  </w:style>
  <w:style w:type="character" w:customStyle="1" w:styleId="mord">
    <w:name w:val="mord"/>
    <w:basedOn w:val="a0"/>
    <w:rsid w:val="00D974D4"/>
  </w:style>
  <w:style w:type="character" w:customStyle="1" w:styleId="vlist-s">
    <w:name w:val="vlist-s"/>
    <w:basedOn w:val="a0"/>
    <w:rsid w:val="00D974D4"/>
  </w:style>
  <w:style w:type="character" w:customStyle="1" w:styleId="mrel">
    <w:name w:val="mrel"/>
    <w:basedOn w:val="a0"/>
    <w:rsid w:val="00D974D4"/>
  </w:style>
  <w:style w:type="character" w:customStyle="1" w:styleId="mopen">
    <w:name w:val="mopen"/>
    <w:basedOn w:val="a0"/>
    <w:rsid w:val="00D974D4"/>
  </w:style>
  <w:style w:type="character" w:customStyle="1" w:styleId="mspace">
    <w:name w:val="mspace"/>
    <w:basedOn w:val="a0"/>
    <w:rsid w:val="00D974D4"/>
  </w:style>
  <w:style w:type="character" w:customStyle="1" w:styleId="mbin">
    <w:name w:val="mbin"/>
    <w:basedOn w:val="a0"/>
    <w:rsid w:val="00D974D4"/>
  </w:style>
  <w:style w:type="paragraph" w:styleId="a7">
    <w:name w:val="header"/>
    <w:basedOn w:val="a"/>
    <w:link w:val="Char1"/>
    <w:uiPriority w:val="99"/>
    <w:semiHidden/>
    <w:unhideWhenUsed/>
    <w:rsid w:val="003D58BD"/>
    <w:pPr>
      <w:tabs>
        <w:tab w:val="center" w:pos="4153"/>
        <w:tab w:val="right" w:pos="8306"/>
      </w:tabs>
      <w:spacing w:after="0" w:line="240" w:lineRule="auto"/>
    </w:pPr>
  </w:style>
  <w:style w:type="character" w:customStyle="1" w:styleId="Char1">
    <w:name w:val="Κεφαλίδα Char"/>
    <w:basedOn w:val="a0"/>
    <w:link w:val="a7"/>
    <w:uiPriority w:val="99"/>
    <w:semiHidden/>
    <w:rsid w:val="003D58BD"/>
  </w:style>
  <w:style w:type="paragraph" w:styleId="a8">
    <w:name w:val="footer"/>
    <w:basedOn w:val="a"/>
    <w:link w:val="Char2"/>
    <w:uiPriority w:val="99"/>
    <w:unhideWhenUsed/>
    <w:rsid w:val="003D58BD"/>
    <w:pPr>
      <w:tabs>
        <w:tab w:val="center" w:pos="4153"/>
        <w:tab w:val="right" w:pos="8306"/>
      </w:tabs>
      <w:spacing w:after="0" w:line="240" w:lineRule="auto"/>
    </w:pPr>
  </w:style>
  <w:style w:type="character" w:customStyle="1" w:styleId="Char2">
    <w:name w:val="Υποσέλιδο Char"/>
    <w:basedOn w:val="a0"/>
    <w:link w:val="a8"/>
    <w:uiPriority w:val="99"/>
    <w:rsid w:val="003D58BD"/>
  </w:style>
  <w:style w:type="paragraph" w:customStyle="1" w:styleId="Default">
    <w:name w:val="Default"/>
    <w:rsid w:val="00F95FB4"/>
    <w:pPr>
      <w:autoSpaceDE w:val="0"/>
      <w:autoSpaceDN w:val="0"/>
      <w:adjustRightInd w:val="0"/>
      <w:spacing w:after="0" w:line="240" w:lineRule="auto"/>
    </w:pPr>
    <w:rPr>
      <w:rFonts w:ascii="Arial" w:hAnsi="Arial" w:cs="Arial"/>
      <w:color w:val="000000"/>
      <w:sz w:val="24"/>
      <w:szCs w:val="24"/>
    </w:rPr>
  </w:style>
  <w:style w:type="table" w:styleId="a9">
    <w:name w:val="Table Grid"/>
    <w:basedOn w:val="a1"/>
    <w:uiPriority w:val="59"/>
    <w:rsid w:val="00F9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35E41"/>
    <w:pPr>
      <w:ind w:left="720"/>
      <w:contextualSpacing/>
    </w:pPr>
  </w:style>
  <w:style w:type="paragraph" w:styleId="ab">
    <w:name w:val="caption"/>
    <w:basedOn w:val="a"/>
    <w:next w:val="a"/>
    <w:uiPriority w:val="35"/>
    <w:unhideWhenUsed/>
    <w:qFormat/>
    <w:rsid w:val="00471E85"/>
    <w:pPr>
      <w:spacing w:line="240" w:lineRule="auto"/>
    </w:pPr>
    <w:rPr>
      <w:rFonts w:eastAsiaTheme="minorEastAsia"/>
      <w:b/>
      <w:bCs/>
      <w:color w:val="4F81BD" w:themeColor="accent1"/>
      <w:sz w:val="18"/>
      <w:szCs w:val="18"/>
      <w:lang w:eastAsia="el-GR"/>
    </w:rPr>
  </w:style>
  <w:style w:type="character" w:customStyle="1" w:styleId="fontstyle01">
    <w:name w:val="fontstyle01"/>
    <w:basedOn w:val="a0"/>
    <w:rsid w:val="00471E85"/>
    <w:rPr>
      <w:rFonts w:ascii="PFSquareSansPro-Medium" w:hAnsi="PFSquareSansPro-Medium" w:hint="default"/>
      <w:b w:val="0"/>
      <w:bCs w:val="0"/>
      <w:i w:val="0"/>
      <w:iCs w:val="0"/>
      <w:color w:val="242021"/>
      <w:sz w:val="18"/>
      <w:szCs w:val="18"/>
    </w:rPr>
  </w:style>
  <w:style w:type="table" w:customStyle="1" w:styleId="-11">
    <w:name w:val="Ανοιχτόχρωμη λίστα - ΄Εμφαση 11"/>
    <w:basedOn w:val="a1"/>
    <w:uiPriority w:val="61"/>
    <w:rsid w:val="00471E85"/>
    <w:pPr>
      <w:spacing w:after="0" w:line="240" w:lineRule="auto"/>
    </w:pPr>
    <w:rPr>
      <w:rFonts w:eastAsiaTheme="minorEastAsia"/>
      <w:lang w:eastAsia="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91781411">
      <w:bodyDiv w:val="1"/>
      <w:marLeft w:val="0"/>
      <w:marRight w:val="0"/>
      <w:marTop w:val="0"/>
      <w:marBottom w:val="0"/>
      <w:divBdr>
        <w:top w:val="none" w:sz="0" w:space="0" w:color="auto"/>
        <w:left w:val="none" w:sz="0" w:space="0" w:color="auto"/>
        <w:bottom w:val="none" w:sz="0" w:space="0" w:color="auto"/>
        <w:right w:val="none" w:sz="0" w:space="0" w:color="auto"/>
      </w:divBdr>
    </w:div>
    <w:div w:id="123081105">
      <w:bodyDiv w:val="1"/>
      <w:marLeft w:val="0"/>
      <w:marRight w:val="0"/>
      <w:marTop w:val="0"/>
      <w:marBottom w:val="0"/>
      <w:divBdr>
        <w:top w:val="none" w:sz="0" w:space="0" w:color="auto"/>
        <w:left w:val="none" w:sz="0" w:space="0" w:color="auto"/>
        <w:bottom w:val="none" w:sz="0" w:space="0" w:color="auto"/>
        <w:right w:val="none" w:sz="0" w:space="0" w:color="auto"/>
      </w:divBdr>
    </w:div>
    <w:div w:id="135224727">
      <w:bodyDiv w:val="1"/>
      <w:marLeft w:val="0"/>
      <w:marRight w:val="0"/>
      <w:marTop w:val="0"/>
      <w:marBottom w:val="0"/>
      <w:divBdr>
        <w:top w:val="none" w:sz="0" w:space="0" w:color="auto"/>
        <w:left w:val="none" w:sz="0" w:space="0" w:color="auto"/>
        <w:bottom w:val="none" w:sz="0" w:space="0" w:color="auto"/>
        <w:right w:val="none" w:sz="0" w:space="0" w:color="auto"/>
      </w:divBdr>
    </w:div>
    <w:div w:id="223756853">
      <w:bodyDiv w:val="1"/>
      <w:marLeft w:val="0"/>
      <w:marRight w:val="0"/>
      <w:marTop w:val="0"/>
      <w:marBottom w:val="0"/>
      <w:divBdr>
        <w:top w:val="none" w:sz="0" w:space="0" w:color="auto"/>
        <w:left w:val="none" w:sz="0" w:space="0" w:color="auto"/>
        <w:bottom w:val="none" w:sz="0" w:space="0" w:color="auto"/>
        <w:right w:val="none" w:sz="0" w:space="0" w:color="auto"/>
      </w:divBdr>
      <w:divsChild>
        <w:div w:id="2057779939">
          <w:marLeft w:val="547"/>
          <w:marRight w:val="0"/>
          <w:marTop w:val="134"/>
          <w:marBottom w:val="0"/>
          <w:divBdr>
            <w:top w:val="none" w:sz="0" w:space="0" w:color="auto"/>
            <w:left w:val="none" w:sz="0" w:space="0" w:color="auto"/>
            <w:bottom w:val="none" w:sz="0" w:space="0" w:color="auto"/>
            <w:right w:val="none" w:sz="0" w:space="0" w:color="auto"/>
          </w:divBdr>
        </w:div>
        <w:div w:id="827095613">
          <w:marLeft w:val="547"/>
          <w:marRight w:val="0"/>
          <w:marTop w:val="134"/>
          <w:marBottom w:val="0"/>
          <w:divBdr>
            <w:top w:val="none" w:sz="0" w:space="0" w:color="auto"/>
            <w:left w:val="none" w:sz="0" w:space="0" w:color="auto"/>
            <w:bottom w:val="none" w:sz="0" w:space="0" w:color="auto"/>
            <w:right w:val="none" w:sz="0" w:space="0" w:color="auto"/>
          </w:divBdr>
        </w:div>
        <w:div w:id="400032115">
          <w:marLeft w:val="547"/>
          <w:marRight w:val="0"/>
          <w:marTop w:val="134"/>
          <w:marBottom w:val="0"/>
          <w:divBdr>
            <w:top w:val="none" w:sz="0" w:space="0" w:color="auto"/>
            <w:left w:val="none" w:sz="0" w:space="0" w:color="auto"/>
            <w:bottom w:val="none" w:sz="0" w:space="0" w:color="auto"/>
            <w:right w:val="none" w:sz="0" w:space="0" w:color="auto"/>
          </w:divBdr>
        </w:div>
        <w:div w:id="613176859">
          <w:marLeft w:val="547"/>
          <w:marRight w:val="0"/>
          <w:marTop w:val="134"/>
          <w:marBottom w:val="0"/>
          <w:divBdr>
            <w:top w:val="none" w:sz="0" w:space="0" w:color="auto"/>
            <w:left w:val="none" w:sz="0" w:space="0" w:color="auto"/>
            <w:bottom w:val="none" w:sz="0" w:space="0" w:color="auto"/>
            <w:right w:val="none" w:sz="0" w:space="0" w:color="auto"/>
          </w:divBdr>
        </w:div>
        <w:div w:id="2073773687">
          <w:marLeft w:val="547"/>
          <w:marRight w:val="0"/>
          <w:marTop w:val="134"/>
          <w:marBottom w:val="0"/>
          <w:divBdr>
            <w:top w:val="none" w:sz="0" w:space="0" w:color="auto"/>
            <w:left w:val="none" w:sz="0" w:space="0" w:color="auto"/>
            <w:bottom w:val="none" w:sz="0" w:space="0" w:color="auto"/>
            <w:right w:val="none" w:sz="0" w:space="0" w:color="auto"/>
          </w:divBdr>
        </w:div>
        <w:div w:id="1649548555">
          <w:marLeft w:val="547"/>
          <w:marRight w:val="0"/>
          <w:marTop w:val="134"/>
          <w:marBottom w:val="0"/>
          <w:divBdr>
            <w:top w:val="none" w:sz="0" w:space="0" w:color="auto"/>
            <w:left w:val="none" w:sz="0" w:space="0" w:color="auto"/>
            <w:bottom w:val="none" w:sz="0" w:space="0" w:color="auto"/>
            <w:right w:val="none" w:sz="0" w:space="0" w:color="auto"/>
          </w:divBdr>
        </w:div>
        <w:div w:id="1290434198">
          <w:marLeft w:val="547"/>
          <w:marRight w:val="0"/>
          <w:marTop w:val="134"/>
          <w:marBottom w:val="0"/>
          <w:divBdr>
            <w:top w:val="none" w:sz="0" w:space="0" w:color="auto"/>
            <w:left w:val="none" w:sz="0" w:space="0" w:color="auto"/>
            <w:bottom w:val="none" w:sz="0" w:space="0" w:color="auto"/>
            <w:right w:val="none" w:sz="0" w:space="0" w:color="auto"/>
          </w:divBdr>
        </w:div>
        <w:div w:id="363095948">
          <w:marLeft w:val="547"/>
          <w:marRight w:val="0"/>
          <w:marTop w:val="134"/>
          <w:marBottom w:val="0"/>
          <w:divBdr>
            <w:top w:val="none" w:sz="0" w:space="0" w:color="auto"/>
            <w:left w:val="none" w:sz="0" w:space="0" w:color="auto"/>
            <w:bottom w:val="none" w:sz="0" w:space="0" w:color="auto"/>
            <w:right w:val="none" w:sz="0" w:space="0" w:color="auto"/>
          </w:divBdr>
        </w:div>
      </w:divsChild>
    </w:div>
    <w:div w:id="483204089">
      <w:bodyDiv w:val="1"/>
      <w:marLeft w:val="0"/>
      <w:marRight w:val="0"/>
      <w:marTop w:val="0"/>
      <w:marBottom w:val="0"/>
      <w:divBdr>
        <w:top w:val="none" w:sz="0" w:space="0" w:color="auto"/>
        <w:left w:val="none" w:sz="0" w:space="0" w:color="auto"/>
        <w:bottom w:val="none" w:sz="0" w:space="0" w:color="auto"/>
        <w:right w:val="none" w:sz="0" w:space="0" w:color="auto"/>
      </w:divBdr>
    </w:div>
    <w:div w:id="681587074">
      <w:bodyDiv w:val="1"/>
      <w:marLeft w:val="0"/>
      <w:marRight w:val="0"/>
      <w:marTop w:val="0"/>
      <w:marBottom w:val="0"/>
      <w:divBdr>
        <w:top w:val="none" w:sz="0" w:space="0" w:color="auto"/>
        <w:left w:val="none" w:sz="0" w:space="0" w:color="auto"/>
        <w:bottom w:val="none" w:sz="0" w:space="0" w:color="auto"/>
        <w:right w:val="none" w:sz="0" w:space="0" w:color="auto"/>
      </w:divBdr>
      <w:divsChild>
        <w:div w:id="432242634">
          <w:marLeft w:val="0"/>
          <w:marRight w:val="0"/>
          <w:marTop w:val="0"/>
          <w:marBottom w:val="0"/>
          <w:divBdr>
            <w:top w:val="none" w:sz="0" w:space="0" w:color="auto"/>
            <w:left w:val="none" w:sz="0" w:space="0" w:color="auto"/>
            <w:bottom w:val="none" w:sz="0" w:space="0" w:color="auto"/>
            <w:right w:val="none" w:sz="0" w:space="0" w:color="auto"/>
          </w:divBdr>
        </w:div>
      </w:divsChild>
    </w:div>
    <w:div w:id="925263583">
      <w:bodyDiv w:val="1"/>
      <w:marLeft w:val="0"/>
      <w:marRight w:val="0"/>
      <w:marTop w:val="0"/>
      <w:marBottom w:val="0"/>
      <w:divBdr>
        <w:top w:val="none" w:sz="0" w:space="0" w:color="auto"/>
        <w:left w:val="none" w:sz="0" w:space="0" w:color="auto"/>
        <w:bottom w:val="none" w:sz="0" w:space="0" w:color="auto"/>
        <w:right w:val="none" w:sz="0" w:space="0" w:color="auto"/>
      </w:divBdr>
    </w:div>
    <w:div w:id="973952687">
      <w:bodyDiv w:val="1"/>
      <w:marLeft w:val="0"/>
      <w:marRight w:val="0"/>
      <w:marTop w:val="0"/>
      <w:marBottom w:val="0"/>
      <w:divBdr>
        <w:top w:val="none" w:sz="0" w:space="0" w:color="auto"/>
        <w:left w:val="none" w:sz="0" w:space="0" w:color="auto"/>
        <w:bottom w:val="none" w:sz="0" w:space="0" w:color="auto"/>
        <w:right w:val="none" w:sz="0" w:space="0" w:color="auto"/>
      </w:divBdr>
    </w:div>
    <w:div w:id="1369256017">
      <w:bodyDiv w:val="1"/>
      <w:marLeft w:val="0"/>
      <w:marRight w:val="0"/>
      <w:marTop w:val="0"/>
      <w:marBottom w:val="0"/>
      <w:divBdr>
        <w:top w:val="none" w:sz="0" w:space="0" w:color="auto"/>
        <w:left w:val="none" w:sz="0" w:space="0" w:color="auto"/>
        <w:bottom w:val="none" w:sz="0" w:space="0" w:color="auto"/>
        <w:right w:val="none" w:sz="0" w:space="0" w:color="auto"/>
      </w:divBdr>
      <w:divsChild>
        <w:div w:id="1517500232">
          <w:marLeft w:val="0"/>
          <w:marRight w:val="0"/>
          <w:marTop w:val="0"/>
          <w:marBottom w:val="0"/>
          <w:divBdr>
            <w:top w:val="none" w:sz="0" w:space="0" w:color="auto"/>
            <w:left w:val="none" w:sz="0" w:space="0" w:color="auto"/>
            <w:bottom w:val="none" w:sz="0" w:space="0" w:color="auto"/>
            <w:right w:val="none" w:sz="0" w:space="0" w:color="auto"/>
          </w:divBdr>
        </w:div>
        <w:div w:id="1418747283">
          <w:marLeft w:val="0"/>
          <w:marRight w:val="0"/>
          <w:marTop w:val="0"/>
          <w:marBottom w:val="0"/>
          <w:divBdr>
            <w:top w:val="none" w:sz="0" w:space="0" w:color="auto"/>
            <w:left w:val="none" w:sz="0" w:space="0" w:color="auto"/>
            <w:bottom w:val="none" w:sz="0" w:space="0" w:color="auto"/>
            <w:right w:val="none" w:sz="0" w:space="0" w:color="auto"/>
          </w:divBdr>
        </w:div>
        <w:div w:id="1822505196">
          <w:marLeft w:val="0"/>
          <w:marRight w:val="0"/>
          <w:marTop w:val="0"/>
          <w:marBottom w:val="0"/>
          <w:divBdr>
            <w:top w:val="none" w:sz="0" w:space="0" w:color="auto"/>
            <w:left w:val="none" w:sz="0" w:space="0" w:color="auto"/>
            <w:bottom w:val="none" w:sz="0" w:space="0" w:color="auto"/>
            <w:right w:val="none" w:sz="0" w:space="0" w:color="auto"/>
          </w:divBdr>
        </w:div>
      </w:divsChild>
    </w:div>
    <w:div w:id="1392579985">
      <w:bodyDiv w:val="1"/>
      <w:marLeft w:val="0"/>
      <w:marRight w:val="0"/>
      <w:marTop w:val="0"/>
      <w:marBottom w:val="0"/>
      <w:divBdr>
        <w:top w:val="none" w:sz="0" w:space="0" w:color="auto"/>
        <w:left w:val="none" w:sz="0" w:space="0" w:color="auto"/>
        <w:bottom w:val="none" w:sz="0" w:space="0" w:color="auto"/>
        <w:right w:val="none" w:sz="0" w:space="0" w:color="auto"/>
      </w:divBdr>
    </w:div>
    <w:div w:id="1567452474">
      <w:bodyDiv w:val="1"/>
      <w:marLeft w:val="0"/>
      <w:marRight w:val="0"/>
      <w:marTop w:val="0"/>
      <w:marBottom w:val="0"/>
      <w:divBdr>
        <w:top w:val="none" w:sz="0" w:space="0" w:color="auto"/>
        <w:left w:val="none" w:sz="0" w:space="0" w:color="auto"/>
        <w:bottom w:val="none" w:sz="0" w:space="0" w:color="auto"/>
        <w:right w:val="none" w:sz="0" w:space="0" w:color="auto"/>
      </w:divBdr>
    </w:div>
    <w:div w:id="1622374679">
      <w:bodyDiv w:val="1"/>
      <w:marLeft w:val="0"/>
      <w:marRight w:val="0"/>
      <w:marTop w:val="0"/>
      <w:marBottom w:val="0"/>
      <w:divBdr>
        <w:top w:val="none" w:sz="0" w:space="0" w:color="auto"/>
        <w:left w:val="none" w:sz="0" w:space="0" w:color="auto"/>
        <w:bottom w:val="none" w:sz="0" w:space="0" w:color="auto"/>
        <w:right w:val="none" w:sz="0" w:space="0" w:color="auto"/>
      </w:divBdr>
    </w:div>
    <w:div w:id="1714186765">
      <w:bodyDiv w:val="1"/>
      <w:marLeft w:val="0"/>
      <w:marRight w:val="0"/>
      <w:marTop w:val="0"/>
      <w:marBottom w:val="0"/>
      <w:divBdr>
        <w:top w:val="none" w:sz="0" w:space="0" w:color="auto"/>
        <w:left w:val="none" w:sz="0" w:space="0" w:color="auto"/>
        <w:bottom w:val="none" w:sz="0" w:space="0" w:color="auto"/>
        <w:right w:val="none" w:sz="0" w:space="0" w:color="auto"/>
      </w:divBdr>
    </w:div>
    <w:div w:id="2058771503">
      <w:bodyDiv w:val="1"/>
      <w:marLeft w:val="0"/>
      <w:marRight w:val="0"/>
      <w:marTop w:val="0"/>
      <w:marBottom w:val="0"/>
      <w:divBdr>
        <w:top w:val="none" w:sz="0" w:space="0" w:color="auto"/>
        <w:left w:val="none" w:sz="0" w:space="0" w:color="auto"/>
        <w:bottom w:val="none" w:sz="0" w:space="0" w:color="auto"/>
        <w:right w:val="none" w:sz="0" w:space="0" w:color="auto"/>
      </w:divBdr>
      <w:divsChild>
        <w:div w:id="1644584282">
          <w:marLeft w:val="547"/>
          <w:marRight w:val="0"/>
          <w:marTop w:val="154"/>
          <w:marBottom w:val="0"/>
          <w:divBdr>
            <w:top w:val="none" w:sz="0" w:space="0" w:color="auto"/>
            <w:left w:val="none" w:sz="0" w:space="0" w:color="auto"/>
            <w:bottom w:val="none" w:sz="0" w:space="0" w:color="auto"/>
            <w:right w:val="none" w:sz="0" w:space="0" w:color="auto"/>
          </w:divBdr>
        </w:div>
        <w:div w:id="2084906860">
          <w:marLeft w:val="547"/>
          <w:marRight w:val="0"/>
          <w:marTop w:val="154"/>
          <w:marBottom w:val="0"/>
          <w:divBdr>
            <w:top w:val="none" w:sz="0" w:space="0" w:color="auto"/>
            <w:left w:val="none" w:sz="0" w:space="0" w:color="auto"/>
            <w:bottom w:val="none" w:sz="0" w:space="0" w:color="auto"/>
            <w:right w:val="none" w:sz="0" w:space="0" w:color="auto"/>
          </w:divBdr>
        </w:div>
      </w:divsChild>
    </w:div>
    <w:div w:id="2120371646">
      <w:bodyDiv w:val="1"/>
      <w:marLeft w:val="0"/>
      <w:marRight w:val="0"/>
      <w:marTop w:val="0"/>
      <w:marBottom w:val="0"/>
      <w:divBdr>
        <w:top w:val="none" w:sz="0" w:space="0" w:color="auto"/>
        <w:left w:val="none" w:sz="0" w:space="0" w:color="auto"/>
        <w:bottom w:val="none" w:sz="0" w:space="0" w:color="auto"/>
        <w:right w:val="none" w:sz="0" w:space="0" w:color="auto"/>
      </w:divBdr>
      <w:divsChild>
        <w:div w:id="778647048">
          <w:marLeft w:val="547"/>
          <w:marRight w:val="0"/>
          <w:marTop w:val="154"/>
          <w:marBottom w:val="0"/>
          <w:divBdr>
            <w:top w:val="none" w:sz="0" w:space="0" w:color="auto"/>
            <w:left w:val="none" w:sz="0" w:space="0" w:color="auto"/>
            <w:bottom w:val="none" w:sz="0" w:space="0" w:color="auto"/>
            <w:right w:val="none" w:sz="0" w:space="0" w:color="auto"/>
          </w:divBdr>
        </w:div>
        <w:div w:id="1586307580">
          <w:marLeft w:val="547"/>
          <w:marRight w:val="0"/>
          <w:marTop w:val="154"/>
          <w:marBottom w:val="0"/>
          <w:divBdr>
            <w:top w:val="none" w:sz="0" w:space="0" w:color="auto"/>
            <w:left w:val="none" w:sz="0" w:space="0" w:color="auto"/>
            <w:bottom w:val="none" w:sz="0" w:space="0" w:color="auto"/>
            <w:right w:val="none" w:sz="0" w:space="0" w:color="auto"/>
          </w:divBdr>
        </w:div>
        <w:div w:id="15285662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ommercialbank.asp" TargetMode="External"/><Relationship Id="rId13" Type="http://schemas.openxmlformats.org/officeDocument/2006/relationships/image" Target="media/image3.png"/><Relationship Id="rId18" Type="http://schemas.openxmlformats.org/officeDocument/2006/relationships/hyperlink" Target="https://econpapers.repec.org/RAS/pca519.htm" TargetMode="External"/><Relationship Id="rId26" Type="http://schemas.openxmlformats.org/officeDocument/2006/relationships/hyperlink" Target="https://www.standardandpoors.com/" TargetMode="External"/><Relationship Id="rId3" Type="http://schemas.openxmlformats.org/officeDocument/2006/relationships/styles" Target="styles.xml"/><Relationship Id="rId21" Type="http://schemas.openxmlformats.org/officeDocument/2006/relationships/hyperlink" Target="https://www.hba.gr/UplDocs/90yearsEET/apologiamos_eet_GR_F_onepage_web.pdf" TargetMode="External"/><Relationship Id="rId7" Type="http://schemas.openxmlformats.org/officeDocument/2006/relationships/endnotes" Target="endnotes.xml"/><Relationship Id="rId12" Type="http://schemas.openxmlformats.org/officeDocument/2006/relationships/hyperlink" Target="https://www.investopedia.com/terms/p/portfolio.asp" TargetMode="External"/><Relationship Id="rId17" Type="http://schemas.openxmlformats.org/officeDocument/2006/relationships/hyperlink" Target="https://econpapers.repec.org/RAS/pba1477.htm" TargetMode="External"/><Relationship Id="rId25" Type="http://schemas.openxmlformats.org/officeDocument/2006/relationships/hyperlink" Target="https://www.iso.org/standard/44651.html"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econpapers.repec.org/article/eeejfin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bis.org/bcbs/" TargetMode="External"/><Relationship Id="rId5" Type="http://schemas.openxmlformats.org/officeDocument/2006/relationships/webSettings" Target="webSettings.xml"/><Relationship Id="rId15" Type="http://schemas.openxmlformats.org/officeDocument/2006/relationships/hyperlink" Target="https://www.standardandpoors.com/" TargetMode="External"/><Relationship Id="rId23" Type="http://schemas.openxmlformats.org/officeDocument/2006/relationships/hyperlink" Target="https://www.investopedia.com/terms/v/var.asp" TargetMode="External"/><Relationship Id="rId28" Type="http://schemas.openxmlformats.org/officeDocument/2006/relationships/fontTable" Target="fontTable.xml"/><Relationship Id="rId10" Type="http://schemas.openxmlformats.org/officeDocument/2006/relationships/hyperlink" Target="http://salserver.org.aalto.fi/vanhat_sivut/Opinnot/Mat-2.4108/pdf-files/epek10.pdf" TargetMode="External"/><Relationship Id="rId19" Type="http://schemas.openxmlformats.org/officeDocument/2006/relationships/hyperlink" Target="https://econpapers.repec.org/RAS/ple6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investopedia.com/ask/answers/033115/how-can-you-calculate-value-risk-var-excel.asp"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is.org/bcbs/" TargetMode="External"/><Relationship Id="rId2" Type="http://schemas.openxmlformats.org/officeDocument/2006/relationships/hyperlink" Target="https://www.investopedia.com/terms/v/var.asp" TargetMode="External"/><Relationship Id="rId1" Type="http://schemas.openxmlformats.org/officeDocument/2006/relationships/hyperlink" Target="https://www.iso.org/standard/44651.html" TargetMode="External"/><Relationship Id="rId5" Type="http://schemas.openxmlformats.org/officeDocument/2006/relationships/hyperlink" Target="https://www.investopedia.com/ask/answers/033115/how-can-you-calculate-value-risk-var-excel.asp" TargetMode="External"/><Relationship Id="rId4" Type="http://schemas.openxmlformats.org/officeDocument/2006/relationships/hyperlink" Target="https://www.hba.gr/UplDocs/90yearsEET/apologiamos_eet_GR_F_onepage_web.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42"/>
  <c:chart>
    <c:title>
      <c:tx>
        <c:rich>
          <a:bodyPr/>
          <a:lstStyle/>
          <a:p>
            <a:pPr>
              <a:defRPr/>
            </a:pPr>
            <a:r>
              <a:rPr lang="en-US" sz="1400"/>
              <a:t>Total</a:t>
            </a:r>
            <a:r>
              <a:rPr lang="el-GR" sz="1400" baseline="0"/>
              <a:t> </a:t>
            </a:r>
            <a:r>
              <a:rPr lang="en-US" sz="1400" baseline="0"/>
              <a:t>VaR of Greek Systemic Banks</a:t>
            </a:r>
            <a:endParaRPr lang="el-GR" sz="1400"/>
          </a:p>
        </c:rich>
      </c:tx>
    </c:title>
    <c:plotArea>
      <c:layout>
        <c:manualLayout>
          <c:layoutTarget val="inner"/>
          <c:xMode val="edge"/>
          <c:yMode val="edge"/>
          <c:x val="6.2372627609274534E-2"/>
          <c:y val="0.11981158605174354"/>
          <c:w val="0.92471248721028521"/>
          <c:h val="0.68520997375328085"/>
        </c:manualLayout>
      </c:layout>
      <c:lineChart>
        <c:grouping val="standard"/>
        <c:ser>
          <c:idx val="0"/>
          <c:order val="0"/>
          <c:tx>
            <c:strRef>
              <c:f>'Φύλλο1'!$B$1</c:f>
              <c:strCache>
                <c:ptCount val="1"/>
                <c:pt idx="0">
                  <c:v>Piraeus</c:v>
                </c:pt>
              </c:strCache>
            </c:strRef>
          </c:tx>
          <c:cat>
            <c:numRef>
              <c:f>'Φύλλο1'!$A$2:$A$9</c:f>
              <c:numCache>
                <c:formatCode>General</c:formatCode>
                <c:ptCount val="8"/>
                <c:pt idx="0">
                  <c:v>2010</c:v>
                </c:pt>
                <c:pt idx="1">
                  <c:v>2011</c:v>
                </c:pt>
                <c:pt idx="2">
                  <c:v>2012</c:v>
                </c:pt>
                <c:pt idx="3">
                  <c:v>2013</c:v>
                </c:pt>
                <c:pt idx="4">
                  <c:v>2014</c:v>
                </c:pt>
                <c:pt idx="5">
                  <c:v>2015</c:v>
                </c:pt>
                <c:pt idx="6">
                  <c:v>2016</c:v>
                </c:pt>
                <c:pt idx="7">
                  <c:v>2017</c:v>
                </c:pt>
              </c:numCache>
            </c:numRef>
          </c:cat>
          <c:val>
            <c:numRef>
              <c:f>'Φύλλο1'!$B$2:$B$9</c:f>
              <c:numCache>
                <c:formatCode>General</c:formatCode>
                <c:ptCount val="8"/>
                <c:pt idx="0">
                  <c:v>4.05</c:v>
                </c:pt>
                <c:pt idx="1">
                  <c:v>8.81</c:v>
                </c:pt>
                <c:pt idx="2">
                  <c:v>1.32</c:v>
                </c:pt>
                <c:pt idx="3">
                  <c:v>1.27</c:v>
                </c:pt>
                <c:pt idx="4">
                  <c:v>4.1499999999999995</c:v>
                </c:pt>
                <c:pt idx="5">
                  <c:v>3.8099999999999987</c:v>
                </c:pt>
                <c:pt idx="6">
                  <c:v>0.81</c:v>
                </c:pt>
                <c:pt idx="7">
                  <c:v>0.52</c:v>
                </c:pt>
              </c:numCache>
            </c:numRef>
          </c:val>
        </c:ser>
        <c:ser>
          <c:idx val="1"/>
          <c:order val="1"/>
          <c:tx>
            <c:strRef>
              <c:f>'Φύλλο1'!$C$1</c:f>
              <c:strCache>
                <c:ptCount val="1"/>
                <c:pt idx="0">
                  <c:v>NBG</c:v>
                </c:pt>
              </c:strCache>
            </c:strRef>
          </c:tx>
          <c:cat>
            <c:numRef>
              <c:f>'Φύλλο1'!$A$2:$A$9</c:f>
              <c:numCache>
                <c:formatCode>General</c:formatCode>
                <c:ptCount val="8"/>
                <c:pt idx="0">
                  <c:v>2010</c:v>
                </c:pt>
                <c:pt idx="1">
                  <c:v>2011</c:v>
                </c:pt>
                <c:pt idx="2">
                  <c:v>2012</c:v>
                </c:pt>
                <c:pt idx="3">
                  <c:v>2013</c:v>
                </c:pt>
                <c:pt idx="4">
                  <c:v>2014</c:v>
                </c:pt>
                <c:pt idx="5">
                  <c:v>2015</c:v>
                </c:pt>
                <c:pt idx="6">
                  <c:v>2016</c:v>
                </c:pt>
                <c:pt idx="7">
                  <c:v>2017</c:v>
                </c:pt>
              </c:numCache>
            </c:numRef>
          </c:cat>
          <c:val>
            <c:numRef>
              <c:f>'Φύλλο1'!$C$2:$C$9</c:f>
              <c:numCache>
                <c:formatCode>General</c:formatCode>
                <c:ptCount val="8"/>
                <c:pt idx="0">
                  <c:v>13.2</c:v>
                </c:pt>
                <c:pt idx="1">
                  <c:v>9.2000000000000011</c:v>
                </c:pt>
                <c:pt idx="2">
                  <c:v>11.9</c:v>
                </c:pt>
                <c:pt idx="3">
                  <c:v>4.9000000000000004</c:v>
                </c:pt>
                <c:pt idx="4">
                  <c:v>2.7</c:v>
                </c:pt>
                <c:pt idx="5">
                  <c:v>5.8</c:v>
                </c:pt>
                <c:pt idx="6">
                  <c:v>8.7000000000000011</c:v>
                </c:pt>
                <c:pt idx="7">
                  <c:v>0.70000000000000062</c:v>
                </c:pt>
              </c:numCache>
            </c:numRef>
          </c:val>
        </c:ser>
        <c:ser>
          <c:idx val="2"/>
          <c:order val="2"/>
          <c:tx>
            <c:strRef>
              <c:f>'Φύλλο1'!$D$1</c:f>
              <c:strCache>
                <c:ptCount val="1"/>
                <c:pt idx="0">
                  <c:v>Eurobank</c:v>
                </c:pt>
              </c:strCache>
            </c:strRef>
          </c:tx>
          <c:cat>
            <c:numRef>
              <c:f>'Φύλλο1'!$A$2:$A$9</c:f>
              <c:numCache>
                <c:formatCode>General</c:formatCode>
                <c:ptCount val="8"/>
                <c:pt idx="0">
                  <c:v>2010</c:v>
                </c:pt>
                <c:pt idx="1">
                  <c:v>2011</c:v>
                </c:pt>
                <c:pt idx="2">
                  <c:v>2012</c:v>
                </c:pt>
                <c:pt idx="3">
                  <c:v>2013</c:v>
                </c:pt>
                <c:pt idx="4">
                  <c:v>2014</c:v>
                </c:pt>
                <c:pt idx="5">
                  <c:v>2015</c:v>
                </c:pt>
                <c:pt idx="6">
                  <c:v>2016</c:v>
                </c:pt>
                <c:pt idx="7">
                  <c:v>2017</c:v>
                </c:pt>
              </c:numCache>
            </c:numRef>
          </c:cat>
          <c:val>
            <c:numRef>
              <c:f>'Φύλλο1'!$D$2:$D$9</c:f>
              <c:numCache>
                <c:formatCode>General</c:formatCode>
                <c:ptCount val="8"/>
                <c:pt idx="0">
                  <c:v>3</c:v>
                </c:pt>
                <c:pt idx="1">
                  <c:v>3</c:v>
                </c:pt>
                <c:pt idx="2">
                  <c:v>2</c:v>
                </c:pt>
                <c:pt idx="3">
                  <c:v>2</c:v>
                </c:pt>
                <c:pt idx="4">
                  <c:v>1</c:v>
                </c:pt>
                <c:pt idx="5">
                  <c:v>1</c:v>
                </c:pt>
                <c:pt idx="6">
                  <c:v>1</c:v>
                </c:pt>
                <c:pt idx="7">
                  <c:v>0.85000000000000064</c:v>
                </c:pt>
              </c:numCache>
            </c:numRef>
          </c:val>
        </c:ser>
        <c:ser>
          <c:idx val="3"/>
          <c:order val="3"/>
          <c:tx>
            <c:strRef>
              <c:f>'Φύλλο1'!$E$1</c:f>
              <c:strCache>
                <c:ptCount val="1"/>
                <c:pt idx="0">
                  <c:v>Alpha Bank</c:v>
                </c:pt>
              </c:strCache>
            </c:strRef>
          </c:tx>
          <c:cat>
            <c:numRef>
              <c:f>'Φύλλο1'!$A$2:$A$9</c:f>
              <c:numCache>
                <c:formatCode>General</c:formatCode>
                <c:ptCount val="8"/>
                <c:pt idx="0">
                  <c:v>2010</c:v>
                </c:pt>
                <c:pt idx="1">
                  <c:v>2011</c:v>
                </c:pt>
                <c:pt idx="2">
                  <c:v>2012</c:v>
                </c:pt>
                <c:pt idx="3">
                  <c:v>2013</c:v>
                </c:pt>
                <c:pt idx="4">
                  <c:v>2014</c:v>
                </c:pt>
                <c:pt idx="5">
                  <c:v>2015</c:v>
                </c:pt>
                <c:pt idx="6">
                  <c:v>2016</c:v>
                </c:pt>
                <c:pt idx="7">
                  <c:v>2017</c:v>
                </c:pt>
              </c:numCache>
            </c:numRef>
          </c:cat>
          <c:val>
            <c:numRef>
              <c:f>'Φύλλο1'!$E$2:$E$9</c:f>
              <c:numCache>
                <c:formatCode>General</c:formatCode>
                <c:ptCount val="8"/>
                <c:pt idx="0">
                  <c:v>3.5</c:v>
                </c:pt>
                <c:pt idx="1">
                  <c:v>3.4</c:v>
                </c:pt>
                <c:pt idx="2">
                  <c:v>2.4</c:v>
                </c:pt>
                <c:pt idx="3">
                  <c:v>2.2999999999999998</c:v>
                </c:pt>
                <c:pt idx="4">
                  <c:v>6.7</c:v>
                </c:pt>
                <c:pt idx="5">
                  <c:v>6.7</c:v>
                </c:pt>
                <c:pt idx="6">
                  <c:v>3.7</c:v>
                </c:pt>
                <c:pt idx="7">
                  <c:v>4</c:v>
                </c:pt>
              </c:numCache>
            </c:numRef>
          </c:val>
        </c:ser>
        <c:marker val="1"/>
        <c:axId val="75011200"/>
        <c:axId val="75012736"/>
      </c:lineChart>
      <c:catAx>
        <c:axId val="75011200"/>
        <c:scaling>
          <c:orientation val="minMax"/>
        </c:scaling>
        <c:axPos val="b"/>
        <c:numFmt formatCode="General" sourceLinked="1"/>
        <c:majorTickMark val="none"/>
        <c:tickLblPos val="nextTo"/>
        <c:crossAx val="75012736"/>
        <c:crosses val="autoZero"/>
        <c:auto val="1"/>
        <c:lblAlgn val="ctr"/>
        <c:lblOffset val="100"/>
      </c:catAx>
      <c:valAx>
        <c:axId val="75012736"/>
        <c:scaling>
          <c:orientation val="minMax"/>
        </c:scaling>
        <c:axPos val="l"/>
        <c:majorGridlines/>
        <c:numFmt formatCode="General" sourceLinked="1"/>
        <c:majorTickMark val="none"/>
        <c:tickLblPos val="nextTo"/>
        <c:spPr>
          <a:ln w="9525">
            <a:noFill/>
          </a:ln>
        </c:spPr>
        <c:crossAx val="75011200"/>
        <c:crosses val="autoZero"/>
        <c:crossBetween val="between"/>
      </c:valAx>
    </c:plotArea>
    <c:legend>
      <c:legendPos val="b"/>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18C9D-DA87-4D61-AFF2-DDF687E4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6207</Words>
  <Characters>33523</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2019-12-25T09:01:00Z</dcterms:created>
  <dcterms:modified xsi:type="dcterms:W3CDTF">2019-12-26T09:54:00Z</dcterms:modified>
</cp:coreProperties>
</file>