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88405" w14:textId="77777777" w:rsidR="00AA2D64" w:rsidRDefault="00AA2D64" w:rsidP="00AA2D64">
      <w:pPr>
        <w:jc w:val="center"/>
      </w:pPr>
    </w:p>
    <w:p w14:paraId="76B5DC7C" w14:textId="06B02931" w:rsidR="00AA2D64" w:rsidRPr="00456D4C" w:rsidRDefault="00387222" w:rsidP="00456D4C">
      <w:pPr>
        <w:spacing w:after="0" w:line="240" w:lineRule="auto"/>
        <w:jc w:val="center"/>
        <w:rPr>
          <w:rFonts w:ascii="Times" w:eastAsia="Times New Roman" w:hAnsi="Times"/>
          <w:sz w:val="20"/>
          <w:szCs w:val="20"/>
        </w:rPr>
      </w:pPr>
      <w:r>
        <w:rPr>
          <w:rFonts w:ascii="Times New Roman" w:eastAsia="Times New Roman" w:hAnsi="Times New Roman"/>
          <w:color w:val="000000"/>
          <w:sz w:val="44"/>
          <w:szCs w:val="44"/>
        </w:rPr>
        <w:t>Using Risk Disclosures o</w:t>
      </w:r>
      <w:r w:rsidR="00456D4C" w:rsidRPr="00456D4C">
        <w:rPr>
          <w:rFonts w:ascii="Times New Roman" w:eastAsia="Times New Roman" w:hAnsi="Times New Roman"/>
          <w:color w:val="000000"/>
          <w:sz w:val="44"/>
          <w:szCs w:val="44"/>
        </w:rPr>
        <w:t xml:space="preserve">f Large GCC Bank </w:t>
      </w:r>
      <w:r w:rsidR="001F4463" w:rsidRPr="00456D4C">
        <w:rPr>
          <w:rFonts w:ascii="Times New Roman" w:eastAsia="Times New Roman" w:hAnsi="Times New Roman"/>
          <w:color w:val="000000"/>
          <w:sz w:val="44"/>
          <w:szCs w:val="44"/>
        </w:rPr>
        <w:t>To Evaluate Information Content</w:t>
      </w:r>
      <w:r w:rsidR="002F59F5" w:rsidRPr="00827EE7">
        <w:rPr>
          <w:b/>
          <w:sz w:val="44"/>
        </w:rPr>
        <w:t>?</w:t>
      </w:r>
      <w:r w:rsidR="002F59F5" w:rsidRPr="00827EE7">
        <w:rPr>
          <w:b/>
          <w:sz w:val="52"/>
          <w:szCs w:val="32"/>
        </w:rPr>
        <w:t xml:space="preserve"> </w:t>
      </w:r>
      <w:bookmarkStart w:id="0" w:name="_GoBack"/>
      <w:bookmarkEnd w:id="0"/>
    </w:p>
    <w:p w14:paraId="39D87FD4" w14:textId="77777777" w:rsidR="00507276" w:rsidRDefault="00507276" w:rsidP="00827EE7">
      <w:pPr>
        <w:spacing w:after="0" w:line="240" w:lineRule="auto"/>
        <w:jc w:val="center"/>
        <w:rPr>
          <w:b/>
          <w:sz w:val="52"/>
          <w:szCs w:val="32"/>
        </w:rPr>
      </w:pPr>
    </w:p>
    <w:p w14:paraId="41ACA861" w14:textId="77777777" w:rsidR="007C6415" w:rsidRPr="007937A2" w:rsidRDefault="007C6415" w:rsidP="00827EE7">
      <w:pPr>
        <w:spacing w:after="0" w:line="240" w:lineRule="auto"/>
        <w:jc w:val="center"/>
        <w:rPr>
          <w:sz w:val="24"/>
          <w:szCs w:val="32"/>
        </w:rPr>
      </w:pPr>
      <w:r w:rsidRPr="007937A2">
        <w:rPr>
          <w:sz w:val="24"/>
          <w:szCs w:val="32"/>
        </w:rPr>
        <w:t>Abstract</w:t>
      </w:r>
    </w:p>
    <w:p w14:paraId="17C46C34" w14:textId="7449D374" w:rsidR="007C6415" w:rsidRPr="008B2B8D" w:rsidRDefault="007C6415" w:rsidP="008B2B8D">
      <w:pPr>
        <w:spacing w:after="0" w:line="240" w:lineRule="auto"/>
        <w:jc w:val="both"/>
        <w:rPr>
          <w:sz w:val="24"/>
          <w:szCs w:val="32"/>
        </w:rPr>
      </w:pPr>
      <w:r w:rsidRPr="008B2B8D">
        <w:rPr>
          <w:sz w:val="24"/>
          <w:szCs w:val="32"/>
        </w:rPr>
        <w:t xml:space="preserve">This paper evaluates the risk disclosure made by GCC banks based on the belief that the information they release </w:t>
      </w:r>
      <w:r w:rsidR="00103B9B">
        <w:rPr>
          <w:sz w:val="24"/>
          <w:szCs w:val="32"/>
        </w:rPr>
        <w:t xml:space="preserve">is </w:t>
      </w:r>
      <w:r w:rsidR="00103B9B" w:rsidRPr="008B2B8D">
        <w:rPr>
          <w:sz w:val="24"/>
          <w:szCs w:val="32"/>
        </w:rPr>
        <w:t>meaningful to</w:t>
      </w:r>
      <w:r w:rsidRPr="008B2B8D">
        <w:rPr>
          <w:sz w:val="24"/>
          <w:szCs w:val="32"/>
        </w:rPr>
        <w:t xml:space="preserve"> investors</w:t>
      </w:r>
      <w:r w:rsidR="0089117B">
        <w:rPr>
          <w:sz w:val="24"/>
          <w:szCs w:val="32"/>
        </w:rPr>
        <w:t>, regulators,</w:t>
      </w:r>
      <w:r w:rsidRPr="008B2B8D">
        <w:rPr>
          <w:sz w:val="24"/>
          <w:szCs w:val="32"/>
        </w:rPr>
        <w:t xml:space="preserve"> and market participants. We</w:t>
      </w:r>
      <w:r w:rsidR="00974113">
        <w:rPr>
          <w:sz w:val="24"/>
          <w:szCs w:val="32"/>
        </w:rPr>
        <w:t xml:space="preserve"> researchers</w:t>
      </w:r>
      <w:r w:rsidRPr="008B2B8D">
        <w:rPr>
          <w:sz w:val="24"/>
          <w:szCs w:val="32"/>
        </w:rPr>
        <w:t xml:space="preserve"> assess how well their disclosure captures variation in risk exposure, across banks and over time. We find that both the Core Capital and Market Risk Capital Ratios are </w:t>
      </w:r>
      <w:r w:rsidR="0089117B">
        <w:rPr>
          <w:sz w:val="24"/>
          <w:szCs w:val="32"/>
        </w:rPr>
        <w:t>key</w:t>
      </w:r>
      <w:r w:rsidRPr="008B2B8D">
        <w:rPr>
          <w:sz w:val="24"/>
          <w:szCs w:val="32"/>
        </w:rPr>
        <w:t xml:space="preserve"> indicators. </w:t>
      </w:r>
      <w:r w:rsidR="0089117B">
        <w:rPr>
          <w:sz w:val="24"/>
          <w:szCs w:val="32"/>
        </w:rPr>
        <w:t>S</w:t>
      </w:r>
      <w:r w:rsidRPr="008B2B8D">
        <w:rPr>
          <w:sz w:val="24"/>
          <w:szCs w:val="32"/>
        </w:rPr>
        <w:t>pecifically, these ratios contain informa</w:t>
      </w:r>
      <w:r w:rsidR="00974113">
        <w:rPr>
          <w:sz w:val="24"/>
          <w:szCs w:val="32"/>
        </w:rPr>
        <w:t>tion not reflected in at least five</w:t>
      </w:r>
      <w:r w:rsidRPr="008B2B8D">
        <w:rPr>
          <w:sz w:val="24"/>
          <w:szCs w:val="32"/>
        </w:rPr>
        <w:t xml:space="preserve"> </w:t>
      </w:r>
      <w:r w:rsidR="0089117B">
        <w:rPr>
          <w:sz w:val="24"/>
          <w:szCs w:val="32"/>
        </w:rPr>
        <w:t xml:space="preserve">traditional </w:t>
      </w:r>
      <w:r w:rsidRPr="008B2B8D">
        <w:rPr>
          <w:sz w:val="24"/>
          <w:szCs w:val="32"/>
        </w:rPr>
        <w:t xml:space="preserve">risk metrics about the size of </w:t>
      </w:r>
      <w:r w:rsidR="00593EB7">
        <w:rPr>
          <w:sz w:val="24"/>
          <w:szCs w:val="32"/>
        </w:rPr>
        <w:t xml:space="preserve">a bank </w:t>
      </w:r>
      <w:r w:rsidRPr="008B2B8D">
        <w:rPr>
          <w:sz w:val="24"/>
          <w:szCs w:val="32"/>
        </w:rPr>
        <w:t xml:space="preserve">(1) trading account, (2) derivatives positions (3) Value-at-Risk, (4) individual risk components (credit, market and operational), and (5) volume of risk-weighted assets.  These observations lead us to conclude that </w:t>
      </w:r>
      <w:r w:rsidR="0089117B">
        <w:rPr>
          <w:sz w:val="24"/>
          <w:szCs w:val="32"/>
        </w:rPr>
        <w:t xml:space="preserve">disclosing these ratios </w:t>
      </w:r>
      <w:r w:rsidRPr="008B2B8D">
        <w:rPr>
          <w:sz w:val="24"/>
          <w:szCs w:val="32"/>
        </w:rPr>
        <w:t>add</w:t>
      </w:r>
      <w:r w:rsidR="0089117B">
        <w:rPr>
          <w:sz w:val="24"/>
          <w:szCs w:val="32"/>
        </w:rPr>
        <w:t>s</w:t>
      </w:r>
      <w:r w:rsidRPr="008B2B8D">
        <w:rPr>
          <w:sz w:val="24"/>
          <w:szCs w:val="32"/>
        </w:rPr>
        <w:t xml:space="preserve"> transparency </w:t>
      </w:r>
      <w:r w:rsidR="0089117B">
        <w:rPr>
          <w:sz w:val="24"/>
          <w:szCs w:val="32"/>
        </w:rPr>
        <w:t xml:space="preserve">to </w:t>
      </w:r>
      <w:r w:rsidRPr="008B2B8D">
        <w:rPr>
          <w:sz w:val="24"/>
          <w:szCs w:val="32"/>
        </w:rPr>
        <w:t xml:space="preserve">GCC banks </w:t>
      </w:r>
      <w:r w:rsidR="0089117B">
        <w:rPr>
          <w:sz w:val="24"/>
          <w:szCs w:val="32"/>
        </w:rPr>
        <w:t xml:space="preserve">because their level </w:t>
      </w:r>
      <w:r w:rsidRPr="008B2B8D">
        <w:rPr>
          <w:sz w:val="24"/>
          <w:szCs w:val="32"/>
        </w:rPr>
        <w:t>is both informative and meaningful</w:t>
      </w:r>
      <w:r w:rsidR="00E20F10">
        <w:rPr>
          <w:sz w:val="24"/>
          <w:szCs w:val="32"/>
        </w:rPr>
        <w:t xml:space="preserve"> to evaluate risk across banks and over time</w:t>
      </w:r>
      <w:r w:rsidRPr="008B2B8D">
        <w:rPr>
          <w:sz w:val="24"/>
          <w:szCs w:val="32"/>
        </w:rPr>
        <w:t>.</w:t>
      </w:r>
      <w:r w:rsidR="000A6890" w:rsidRPr="008B2B8D">
        <w:rPr>
          <w:sz w:val="24"/>
          <w:szCs w:val="32"/>
        </w:rPr>
        <w:t xml:space="preserve"> </w:t>
      </w:r>
      <w:r w:rsidRPr="008B2B8D">
        <w:rPr>
          <w:sz w:val="24"/>
          <w:szCs w:val="32"/>
        </w:rPr>
        <w:t xml:space="preserve">  </w:t>
      </w:r>
      <w:r w:rsidR="00974113">
        <w:rPr>
          <w:sz w:val="24"/>
          <w:szCs w:val="32"/>
        </w:rPr>
        <w:t>This</w:t>
      </w:r>
      <w:r w:rsidRPr="008B2B8D">
        <w:rPr>
          <w:sz w:val="24"/>
          <w:szCs w:val="32"/>
        </w:rPr>
        <w:t xml:space="preserve"> paper complements and reinforces current supervisory efforts</w:t>
      </w:r>
      <w:r w:rsidR="008B2B8D">
        <w:rPr>
          <w:sz w:val="24"/>
          <w:szCs w:val="32"/>
        </w:rPr>
        <w:t xml:space="preserve"> in the </w:t>
      </w:r>
      <w:r w:rsidR="00F159D8">
        <w:rPr>
          <w:sz w:val="24"/>
          <w:szCs w:val="32"/>
        </w:rPr>
        <w:t xml:space="preserve">GCC </w:t>
      </w:r>
      <w:r w:rsidR="00F159D8" w:rsidRPr="008B2B8D">
        <w:rPr>
          <w:sz w:val="24"/>
          <w:szCs w:val="32"/>
        </w:rPr>
        <w:t>to</w:t>
      </w:r>
      <w:r w:rsidRPr="008B2B8D">
        <w:rPr>
          <w:sz w:val="24"/>
          <w:szCs w:val="32"/>
        </w:rPr>
        <w:t xml:space="preserve"> foster safe and sound </w:t>
      </w:r>
      <w:r w:rsidR="00593EB7">
        <w:rPr>
          <w:sz w:val="24"/>
          <w:szCs w:val="32"/>
        </w:rPr>
        <w:t>institutions</w:t>
      </w:r>
      <w:r w:rsidRPr="008B2B8D">
        <w:rPr>
          <w:sz w:val="24"/>
          <w:szCs w:val="32"/>
        </w:rPr>
        <w:t xml:space="preserve"> and a stable banking system.  </w:t>
      </w:r>
      <w:r w:rsidR="000A6890" w:rsidRPr="008B2B8D">
        <w:rPr>
          <w:sz w:val="24"/>
          <w:szCs w:val="32"/>
        </w:rPr>
        <w:t xml:space="preserve"> </w:t>
      </w:r>
    </w:p>
    <w:p w14:paraId="6577CDFF" w14:textId="77777777" w:rsidR="007C6415" w:rsidRPr="008B2B8D" w:rsidRDefault="007C6415" w:rsidP="00827EE7">
      <w:pPr>
        <w:spacing w:after="0" w:line="240" w:lineRule="auto"/>
        <w:jc w:val="center"/>
        <w:rPr>
          <w:b/>
          <w:sz w:val="28"/>
          <w:szCs w:val="32"/>
        </w:rPr>
      </w:pPr>
    </w:p>
    <w:p w14:paraId="402697F0" w14:textId="77777777" w:rsidR="00C67716" w:rsidRPr="007937A2" w:rsidRDefault="00C67716" w:rsidP="0089463E">
      <w:pPr>
        <w:numPr>
          <w:ilvl w:val="0"/>
          <w:numId w:val="1"/>
        </w:numPr>
        <w:rPr>
          <w:b/>
          <w:sz w:val="26"/>
          <w:szCs w:val="26"/>
        </w:rPr>
      </w:pPr>
      <w:r w:rsidRPr="007937A2">
        <w:rPr>
          <w:b/>
          <w:sz w:val="26"/>
          <w:szCs w:val="26"/>
        </w:rPr>
        <w:t>Introduction and Objective</w:t>
      </w:r>
    </w:p>
    <w:p w14:paraId="239FA609" w14:textId="4F41F8B5" w:rsidR="00A358D7" w:rsidRPr="007937A2" w:rsidRDefault="005E50DD" w:rsidP="00C35422">
      <w:pPr>
        <w:rPr>
          <w:color w:val="D9D9D9"/>
          <w:sz w:val="26"/>
          <w:szCs w:val="26"/>
        </w:rPr>
      </w:pPr>
      <w:r w:rsidRPr="007937A2">
        <w:rPr>
          <w:sz w:val="26"/>
          <w:szCs w:val="26"/>
        </w:rPr>
        <w:t>One of the important lessons</w:t>
      </w:r>
      <w:r w:rsidR="00974113">
        <w:rPr>
          <w:sz w:val="26"/>
          <w:szCs w:val="26"/>
        </w:rPr>
        <w:t xml:space="preserve"> learned</w:t>
      </w:r>
      <w:r w:rsidRPr="007937A2">
        <w:rPr>
          <w:sz w:val="26"/>
          <w:szCs w:val="26"/>
        </w:rPr>
        <w:t xml:space="preserve"> from the financial crisis is the recognition that the financial system need</w:t>
      </w:r>
      <w:r w:rsidR="00593EB7">
        <w:rPr>
          <w:sz w:val="26"/>
          <w:szCs w:val="26"/>
        </w:rPr>
        <w:t>s</w:t>
      </w:r>
      <w:r w:rsidRPr="007937A2">
        <w:rPr>
          <w:sz w:val="26"/>
          <w:szCs w:val="26"/>
        </w:rPr>
        <w:t xml:space="preserve"> to be much more resilient.  A key factor to strengthen market discipline is t</w:t>
      </w:r>
      <w:r w:rsidR="00AD15C7">
        <w:rPr>
          <w:sz w:val="26"/>
          <w:szCs w:val="26"/>
        </w:rPr>
        <w:t xml:space="preserve">o require </w:t>
      </w:r>
      <w:r w:rsidRPr="007937A2">
        <w:rPr>
          <w:sz w:val="26"/>
          <w:szCs w:val="26"/>
        </w:rPr>
        <w:t xml:space="preserve">more frequent </w:t>
      </w:r>
      <w:r w:rsidR="00AD15C7">
        <w:rPr>
          <w:sz w:val="26"/>
          <w:szCs w:val="26"/>
        </w:rPr>
        <w:t xml:space="preserve">and meaningful bank </w:t>
      </w:r>
      <w:r w:rsidRPr="007937A2">
        <w:rPr>
          <w:sz w:val="26"/>
          <w:szCs w:val="26"/>
        </w:rPr>
        <w:t>disclosure</w:t>
      </w:r>
      <w:r w:rsidR="00C35422" w:rsidRPr="007937A2">
        <w:rPr>
          <w:sz w:val="26"/>
          <w:szCs w:val="26"/>
        </w:rPr>
        <w:t xml:space="preserve">. </w:t>
      </w:r>
    </w:p>
    <w:p w14:paraId="3EB16490" w14:textId="784D8BF3" w:rsidR="00161CBE" w:rsidRPr="007937A2" w:rsidRDefault="00161CBE" w:rsidP="00161CBE">
      <w:pPr>
        <w:rPr>
          <w:sz w:val="26"/>
          <w:szCs w:val="26"/>
        </w:rPr>
      </w:pPr>
      <w:r w:rsidRPr="007937A2">
        <w:rPr>
          <w:sz w:val="26"/>
          <w:szCs w:val="26"/>
        </w:rPr>
        <w:t xml:space="preserve">The Basel committee has made considerable progress to push and promote </w:t>
      </w:r>
      <w:r w:rsidR="00AD15C7">
        <w:rPr>
          <w:sz w:val="26"/>
          <w:szCs w:val="26"/>
        </w:rPr>
        <w:t xml:space="preserve">public </w:t>
      </w:r>
      <w:r w:rsidRPr="007937A2">
        <w:rPr>
          <w:sz w:val="26"/>
          <w:szCs w:val="26"/>
        </w:rPr>
        <w:t>disclosure and ensure banks capture the</w:t>
      </w:r>
      <w:r w:rsidR="00AD15C7">
        <w:rPr>
          <w:sz w:val="26"/>
          <w:szCs w:val="26"/>
        </w:rPr>
        <w:t>ir</w:t>
      </w:r>
      <w:r w:rsidRPr="007937A2">
        <w:rPr>
          <w:sz w:val="26"/>
          <w:szCs w:val="26"/>
        </w:rPr>
        <w:t xml:space="preserve"> risk in a prudent manner.  </w:t>
      </w:r>
      <w:r w:rsidR="0037730B" w:rsidRPr="007937A2">
        <w:rPr>
          <w:sz w:val="26"/>
          <w:szCs w:val="26"/>
        </w:rPr>
        <w:t xml:space="preserve">The original Basel Capital Accord of 1988 only set minimum capital requirements against credit risk (Basel Committee on Banking Supervision, 1988). The accord was amended in 1996 to include a charge for market risk (Basel Committee on Banking Supervision, 1996). </w:t>
      </w:r>
      <w:r w:rsidR="00387222">
        <w:rPr>
          <w:sz w:val="26"/>
          <w:szCs w:val="26"/>
        </w:rPr>
        <w:t xml:space="preserve"> </w:t>
      </w:r>
      <w:r w:rsidR="0037730B" w:rsidRPr="007937A2">
        <w:rPr>
          <w:sz w:val="26"/>
          <w:szCs w:val="26"/>
        </w:rPr>
        <w:t>Basel II extend</w:t>
      </w:r>
      <w:r w:rsidR="00AD15C7">
        <w:rPr>
          <w:sz w:val="26"/>
          <w:szCs w:val="26"/>
        </w:rPr>
        <w:t>ed</w:t>
      </w:r>
      <w:r w:rsidR="0037730B" w:rsidRPr="007937A2">
        <w:rPr>
          <w:sz w:val="26"/>
          <w:szCs w:val="26"/>
        </w:rPr>
        <w:t xml:space="preserve"> capital requirements to operational risk (Basel Committee on Banking Supervision, 2006). </w:t>
      </w:r>
      <w:r w:rsidR="00AD15C7" w:rsidRPr="00AD15C7">
        <w:rPr>
          <w:sz w:val="26"/>
          <w:szCs w:val="26"/>
        </w:rPr>
        <w:t xml:space="preserve">Basel III </w:t>
      </w:r>
      <w:r w:rsidR="00AD15C7">
        <w:rPr>
          <w:sz w:val="26"/>
          <w:szCs w:val="26"/>
        </w:rPr>
        <w:t xml:space="preserve">highlighted the importance of </w:t>
      </w:r>
      <w:r w:rsidR="00AD15C7" w:rsidRPr="00AD15C7">
        <w:rPr>
          <w:sz w:val="26"/>
          <w:szCs w:val="26"/>
        </w:rPr>
        <w:t>stress testing and market liquidity risk. Basel III rules do not</w:t>
      </w:r>
      <w:r w:rsidR="00EE612E">
        <w:rPr>
          <w:sz w:val="26"/>
          <w:szCs w:val="26"/>
        </w:rPr>
        <w:t>,</w:t>
      </w:r>
      <w:r w:rsidR="00AD15C7" w:rsidRPr="00AD15C7">
        <w:rPr>
          <w:sz w:val="26"/>
          <w:szCs w:val="26"/>
        </w:rPr>
        <w:t xml:space="preserve"> for the most part</w:t>
      </w:r>
      <w:r w:rsidR="00EE612E">
        <w:rPr>
          <w:sz w:val="26"/>
          <w:szCs w:val="26"/>
        </w:rPr>
        <w:t>,</w:t>
      </w:r>
      <w:r w:rsidR="00AD15C7" w:rsidRPr="00AD15C7">
        <w:rPr>
          <w:sz w:val="26"/>
          <w:szCs w:val="26"/>
        </w:rPr>
        <w:t xml:space="preserve"> supersede the guidelines </w:t>
      </w:r>
      <w:r w:rsidR="00AD15C7">
        <w:rPr>
          <w:sz w:val="26"/>
          <w:szCs w:val="26"/>
        </w:rPr>
        <w:t xml:space="preserve">of </w:t>
      </w:r>
      <w:r w:rsidR="00AD15C7" w:rsidRPr="00AD15C7">
        <w:rPr>
          <w:sz w:val="26"/>
          <w:szCs w:val="26"/>
        </w:rPr>
        <w:t>Basel I and II but work alongside them.</w:t>
      </w:r>
      <w:r w:rsidR="00AD15C7">
        <w:rPr>
          <w:sz w:val="26"/>
          <w:szCs w:val="26"/>
        </w:rPr>
        <w:t xml:space="preserve"> The key rules of Basel III </w:t>
      </w:r>
      <w:r w:rsidR="00AD15C7" w:rsidRPr="00AD15C7">
        <w:rPr>
          <w:sz w:val="26"/>
          <w:szCs w:val="26"/>
        </w:rPr>
        <w:t>w</w:t>
      </w:r>
      <w:r w:rsidR="00AD15C7">
        <w:rPr>
          <w:sz w:val="26"/>
          <w:szCs w:val="26"/>
        </w:rPr>
        <w:t>ere</w:t>
      </w:r>
      <w:r w:rsidR="00AD15C7" w:rsidRPr="00AD15C7">
        <w:rPr>
          <w:sz w:val="26"/>
          <w:szCs w:val="26"/>
        </w:rPr>
        <w:t xml:space="preserve"> agreed upon by the members of the Basel Committee on Banking Supervision in 2010–11, and w</w:t>
      </w:r>
      <w:r w:rsidR="00D96927">
        <w:rPr>
          <w:sz w:val="26"/>
          <w:szCs w:val="26"/>
        </w:rPr>
        <w:t>ere</w:t>
      </w:r>
      <w:r w:rsidR="00AD15C7" w:rsidRPr="00AD15C7">
        <w:rPr>
          <w:sz w:val="26"/>
          <w:szCs w:val="26"/>
        </w:rPr>
        <w:t xml:space="preserve"> scheduled to be introduced from 2013 until 2015</w:t>
      </w:r>
      <w:r w:rsidR="00D96927">
        <w:rPr>
          <w:sz w:val="26"/>
          <w:szCs w:val="26"/>
        </w:rPr>
        <w:t xml:space="preserve"> but their implementation has now been delayed </w:t>
      </w:r>
      <w:r w:rsidR="00AD15C7" w:rsidRPr="00AD15C7">
        <w:rPr>
          <w:sz w:val="26"/>
          <w:szCs w:val="26"/>
        </w:rPr>
        <w:t>until March 2018.</w:t>
      </w:r>
      <w:r w:rsidR="00F662A8">
        <w:rPr>
          <w:sz w:val="26"/>
          <w:szCs w:val="26"/>
        </w:rPr>
        <w:t xml:space="preserve"> </w:t>
      </w:r>
      <w:r w:rsidR="00AD15C7" w:rsidRPr="00AD15C7">
        <w:rPr>
          <w:sz w:val="26"/>
          <w:szCs w:val="26"/>
        </w:rPr>
        <w:t xml:space="preserve"> The</w:t>
      </w:r>
      <w:r w:rsidR="00D96927">
        <w:rPr>
          <w:sz w:val="26"/>
          <w:szCs w:val="26"/>
        </w:rPr>
        <w:t>se rules</w:t>
      </w:r>
      <w:r w:rsidR="00AD15C7" w:rsidRPr="00AD15C7">
        <w:rPr>
          <w:sz w:val="26"/>
          <w:szCs w:val="26"/>
        </w:rPr>
        <w:t xml:space="preserve"> w</w:t>
      </w:r>
      <w:r w:rsidR="00D96927">
        <w:rPr>
          <w:sz w:val="26"/>
          <w:szCs w:val="26"/>
        </w:rPr>
        <w:t>ere</w:t>
      </w:r>
      <w:r w:rsidR="00AD15C7" w:rsidRPr="00AD15C7">
        <w:rPr>
          <w:sz w:val="26"/>
          <w:szCs w:val="26"/>
        </w:rPr>
        <w:t xml:space="preserve"> developed in response to the deficiencies in financial regulation revealed by the financial crisis</w:t>
      </w:r>
      <w:r w:rsidR="00D96927">
        <w:rPr>
          <w:sz w:val="26"/>
          <w:szCs w:val="26"/>
        </w:rPr>
        <w:t xml:space="preserve"> and were intended</w:t>
      </w:r>
      <w:r w:rsidR="00AD15C7" w:rsidRPr="00AD15C7">
        <w:rPr>
          <w:sz w:val="26"/>
          <w:szCs w:val="26"/>
        </w:rPr>
        <w:t xml:space="preserve"> to </w:t>
      </w:r>
      <w:r w:rsidR="00AD15C7" w:rsidRPr="00AD15C7">
        <w:rPr>
          <w:sz w:val="26"/>
          <w:szCs w:val="26"/>
        </w:rPr>
        <w:lastRenderedPageBreak/>
        <w:t>strengthen bank capital requirements</w:t>
      </w:r>
      <w:r w:rsidR="00D96927">
        <w:rPr>
          <w:sz w:val="26"/>
          <w:szCs w:val="26"/>
        </w:rPr>
        <w:t xml:space="preserve">, </w:t>
      </w:r>
      <w:r w:rsidR="00AD15C7" w:rsidRPr="00AD15C7">
        <w:rPr>
          <w:sz w:val="26"/>
          <w:szCs w:val="26"/>
        </w:rPr>
        <w:t>increas</w:t>
      </w:r>
      <w:r w:rsidR="00D96927">
        <w:rPr>
          <w:sz w:val="26"/>
          <w:szCs w:val="26"/>
        </w:rPr>
        <w:t>e</w:t>
      </w:r>
      <w:r w:rsidR="00AD15C7" w:rsidRPr="00AD15C7">
        <w:rPr>
          <w:sz w:val="26"/>
          <w:szCs w:val="26"/>
        </w:rPr>
        <w:t xml:space="preserve"> liquidity</w:t>
      </w:r>
      <w:r w:rsidR="00EE612E">
        <w:rPr>
          <w:sz w:val="26"/>
          <w:szCs w:val="26"/>
        </w:rPr>
        <w:t>,</w:t>
      </w:r>
      <w:r w:rsidR="00AD15C7" w:rsidRPr="00AD15C7">
        <w:rPr>
          <w:sz w:val="26"/>
          <w:szCs w:val="26"/>
        </w:rPr>
        <w:t xml:space="preserve"> and decreas</w:t>
      </w:r>
      <w:r w:rsidR="00D96927">
        <w:rPr>
          <w:sz w:val="26"/>
          <w:szCs w:val="26"/>
        </w:rPr>
        <w:t>e</w:t>
      </w:r>
      <w:r w:rsidR="00AD15C7" w:rsidRPr="00AD15C7">
        <w:rPr>
          <w:sz w:val="26"/>
          <w:szCs w:val="26"/>
        </w:rPr>
        <w:t xml:space="preserve"> </w:t>
      </w:r>
      <w:r w:rsidR="00D96927">
        <w:rPr>
          <w:sz w:val="26"/>
          <w:szCs w:val="26"/>
        </w:rPr>
        <w:t>le</w:t>
      </w:r>
      <w:r w:rsidR="00AD15C7" w:rsidRPr="00AD15C7">
        <w:rPr>
          <w:sz w:val="26"/>
          <w:szCs w:val="26"/>
        </w:rPr>
        <w:t>verage.</w:t>
      </w:r>
      <w:r w:rsidR="00D96927">
        <w:rPr>
          <w:sz w:val="26"/>
          <w:szCs w:val="26"/>
        </w:rPr>
        <w:t xml:space="preserve"> </w:t>
      </w:r>
      <w:r w:rsidR="00F662A8">
        <w:rPr>
          <w:sz w:val="26"/>
          <w:szCs w:val="26"/>
        </w:rPr>
        <w:t xml:space="preserve"> </w:t>
      </w:r>
      <w:r w:rsidRPr="007937A2">
        <w:rPr>
          <w:sz w:val="26"/>
          <w:szCs w:val="26"/>
        </w:rPr>
        <w:t xml:space="preserve">With the introduction of a tougher definition and </w:t>
      </w:r>
      <w:r w:rsidR="000467A1" w:rsidRPr="007937A2">
        <w:rPr>
          <w:sz w:val="26"/>
          <w:szCs w:val="26"/>
        </w:rPr>
        <w:t>level of capital under Basel III, pressures</w:t>
      </w:r>
      <w:r w:rsidR="00EE612E">
        <w:rPr>
          <w:sz w:val="26"/>
          <w:szCs w:val="26"/>
        </w:rPr>
        <w:t xml:space="preserve"> are exerted</w:t>
      </w:r>
      <w:r w:rsidR="000467A1" w:rsidRPr="007937A2">
        <w:rPr>
          <w:sz w:val="26"/>
          <w:szCs w:val="26"/>
        </w:rPr>
        <w:t xml:space="preserve"> on</w:t>
      </w:r>
      <w:r w:rsidRPr="007937A2">
        <w:rPr>
          <w:sz w:val="26"/>
          <w:szCs w:val="26"/>
        </w:rPr>
        <w:t xml:space="preserve"> banks </w:t>
      </w:r>
      <w:r w:rsidR="00D96927">
        <w:rPr>
          <w:sz w:val="26"/>
          <w:szCs w:val="26"/>
        </w:rPr>
        <w:t xml:space="preserve">today </w:t>
      </w:r>
      <w:r w:rsidRPr="007937A2">
        <w:rPr>
          <w:sz w:val="26"/>
          <w:szCs w:val="26"/>
        </w:rPr>
        <w:t xml:space="preserve">to understate their risk-weighted assets.  </w:t>
      </w:r>
    </w:p>
    <w:p w14:paraId="366BB21E" w14:textId="205A6372" w:rsidR="008513BA" w:rsidRPr="007937A2" w:rsidRDefault="003F77CD" w:rsidP="00161CBE">
      <w:pPr>
        <w:rPr>
          <w:sz w:val="26"/>
          <w:szCs w:val="26"/>
        </w:rPr>
      </w:pPr>
      <w:r w:rsidRPr="007937A2">
        <w:rPr>
          <w:sz w:val="26"/>
          <w:szCs w:val="26"/>
        </w:rPr>
        <w:t xml:space="preserve">Specifically, the </w:t>
      </w:r>
      <w:r w:rsidR="0089463E" w:rsidRPr="007937A2">
        <w:rPr>
          <w:sz w:val="26"/>
          <w:szCs w:val="26"/>
        </w:rPr>
        <w:t xml:space="preserve">current </w:t>
      </w:r>
      <w:r w:rsidRPr="007937A2">
        <w:rPr>
          <w:sz w:val="26"/>
          <w:szCs w:val="26"/>
        </w:rPr>
        <w:t>risk rating system suf</w:t>
      </w:r>
      <w:r w:rsidR="00D801E1" w:rsidRPr="007937A2">
        <w:rPr>
          <w:sz w:val="26"/>
          <w:szCs w:val="26"/>
        </w:rPr>
        <w:t xml:space="preserve">fers from several </w:t>
      </w:r>
      <w:r w:rsidR="006F4813">
        <w:rPr>
          <w:sz w:val="26"/>
          <w:szCs w:val="26"/>
        </w:rPr>
        <w:t>gaps</w:t>
      </w:r>
      <w:r w:rsidR="00D801E1" w:rsidRPr="007937A2">
        <w:rPr>
          <w:rStyle w:val="FootnoteReference"/>
          <w:sz w:val="26"/>
          <w:szCs w:val="26"/>
        </w:rPr>
        <w:footnoteReference w:id="2"/>
      </w:r>
      <w:r w:rsidR="00D801E1" w:rsidRPr="007937A2">
        <w:rPr>
          <w:sz w:val="26"/>
          <w:szCs w:val="26"/>
        </w:rPr>
        <w:t xml:space="preserve">.  </w:t>
      </w:r>
      <w:r w:rsidR="00D96927">
        <w:rPr>
          <w:sz w:val="26"/>
          <w:szCs w:val="26"/>
        </w:rPr>
        <w:t xml:space="preserve">One flaw </w:t>
      </w:r>
      <w:r w:rsidR="00C35B7E">
        <w:rPr>
          <w:sz w:val="26"/>
          <w:szCs w:val="26"/>
        </w:rPr>
        <w:t xml:space="preserve">of </w:t>
      </w:r>
      <w:r w:rsidR="00C35B7E" w:rsidRPr="007937A2">
        <w:rPr>
          <w:sz w:val="26"/>
          <w:szCs w:val="26"/>
        </w:rPr>
        <w:t>the</w:t>
      </w:r>
      <w:r w:rsidR="00116FAE" w:rsidRPr="007937A2">
        <w:rPr>
          <w:sz w:val="26"/>
          <w:szCs w:val="26"/>
        </w:rPr>
        <w:t xml:space="preserve"> current market risk framework</w:t>
      </w:r>
      <w:r w:rsidR="00D96927">
        <w:rPr>
          <w:sz w:val="26"/>
          <w:szCs w:val="26"/>
        </w:rPr>
        <w:t xml:space="preserve"> allows</w:t>
      </w:r>
      <w:r w:rsidR="00116FAE" w:rsidRPr="007937A2">
        <w:rPr>
          <w:sz w:val="26"/>
          <w:szCs w:val="26"/>
        </w:rPr>
        <w:t xml:space="preserve"> </w:t>
      </w:r>
      <w:r w:rsidR="00C35B7E" w:rsidRPr="007937A2">
        <w:rPr>
          <w:sz w:val="26"/>
          <w:szCs w:val="26"/>
        </w:rPr>
        <w:t>banks to</w:t>
      </w:r>
      <w:r w:rsidR="00116FAE" w:rsidRPr="007937A2">
        <w:rPr>
          <w:sz w:val="26"/>
          <w:szCs w:val="26"/>
        </w:rPr>
        <w:t xml:space="preserve"> arbitrage between the</w:t>
      </w:r>
      <w:r w:rsidR="00333FB1" w:rsidRPr="007937A2">
        <w:rPr>
          <w:sz w:val="26"/>
          <w:szCs w:val="26"/>
        </w:rPr>
        <w:t>ir</w:t>
      </w:r>
      <w:r w:rsidR="00116FAE" w:rsidRPr="007937A2">
        <w:rPr>
          <w:sz w:val="26"/>
          <w:szCs w:val="26"/>
        </w:rPr>
        <w:t xml:space="preserve"> banking and </w:t>
      </w:r>
      <w:r w:rsidR="000467A1" w:rsidRPr="007937A2">
        <w:rPr>
          <w:sz w:val="26"/>
          <w:szCs w:val="26"/>
        </w:rPr>
        <w:t>trading portfolio</w:t>
      </w:r>
      <w:r w:rsidR="00333FB1" w:rsidRPr="007937A2">
        <w:rPr>
          <w:sz w:val="26"/>
          <w:szCs w:val="26"/>
        </w:rPr>
        <w:t>s</w:t>
      </w:r>
      <w:r w:rsidR="00116FAE" w:rsidRPr="007937A2">
        <w:rPr>
          <w:sz w:val="26"/>
          <w:szCs w:val="26"/>
        </w:rPr>
        <w:t xml:space="preserve"> and retain certain flexibility in how they measure exposure, how they </w:t>
      </w:r>
      <w:r w:rsidR="00475DE8">
        <w:rPr>
          <w:sz w:val="26"/>
          <w:szCs w:val="26"/>
        </w:rPr>
        <w:t>approach</w:t>
      </w:r>
      <w:r w:rsidR="00116FAE" w:rsidRPr="007937A2">
        <w:rPr>
          <w:sz w:val="26"/>
          <w:szCs w:val="26"/>
        </w:rPr>
        <w:t xml:space="preserve"> risk-weighting their assets, and how they engage in </w:t>
      </w:r>
      <w:r w:rsidR="000467A1" w:rsidRPr="007937A2">
        <w:rPr>
          <w:sz w:val="26"/>
          <w:szCs w:val="26"/>
        </w:rPr>
        <w:t xml:space="preserve">hedging and risk </w:t>
      </w:r>
      <w:r w:rsidR="00116FAE" w:rsidRPr="007937A2">
        <w:rPr>
          <w:sz w:val="26"/>
          <w:szCs w:val="26"/>
        </w:rPr>
        <w:t xml:space="preserve">mitigation activities.  </w:t>
      </w:r>
      <w:r w:rsidR="00D96927">
        <w:rPr>
          <w:sz w:val="26"/>
          <w:szCs w:val="26"/>
        </w:rPr>
        <w:t>Another weakness of the current rules is that</w:t>
      </w:r>
      <w:r w:rsidR="00116FAE" w:rsidRPr="007937A2">
        <w:rPr>
          <w:sz w:val="26"/>
          <w:szCs w:val="26"/>
        </w:rPr>
        <w:t>, f</w:t>
      </w:r>
      <w:r w:rsidR="00D801E1" w:rsidRPr="007937A2">
        <w:rPr>
          <w:sz w:val="26"/>
          <w:szCs w:val="26"/>
        </w:rPr>
        <w:t xml:space="preserve">rom the regulatory perspective, instead of the 8% hard capital banks </w:t>
      </w:r>
      <w:r w:rsidR="00D96927">
        <w:rPr>
          <w:sz w:val="26"/>
          <w:szCs w:val="26"/>
        </w:rPr>
        <w:t>a</w:t>
      </w:r>
      <w:r w:rsidR="00D801E1" w:rsidRPr="007937A2">
        <w:rPr>
          <w:sz w:val="26"/>
          <w:szCs w:val="26"/>
        </w:rPr>
        <w:t>re</w:t>
      </w:r>
      <w:r w:rsidR="000467A1" w:rsidRPr="007937A2">
        <w:rPr>
          <w:sz w:val="26"/>
          <w:szCs w:val="26"/>
        </w:rPr>
        <w:t xml:space="preserve"> required to hold under Basel II</w:t>
      </w:r>
      <w:r w:rsidR="00D801E1" w:rsidRPr="007937A2">
        <w:rPr>
          <w:sz w:val="26"/>
          <w:szCs w:val="26"/>
        </w:rPr>
        <w:t xml:space="preserve">, many banks </w:t>
      </w:r>
      <w:r w:rsidR="00D96927">
        <w:rPr>
          <w:sz w:val="26"/>
          <w:szCs w:val="26"/>
        </w:rPr>
        <w:t xml:space="preserve">are </w:t>
      </w:r>
      <w:r w:rsidR="00D801E1" w:rsidRPr="007937A2">
        <w:rPr>
          <w:sz w:val="26"/>
          <w:szCs w:val="26"/>
        </w:rPr>
        <w:t>h</w:t>
      </w:r>
      <w:r w:rsidR="00D96927">
        <w:rPr>
          <w:sz w:val="26"/>
          <w:szCs w:val="26"/>
        </w:rPr>
        <w:t>olding</w:t>
      </w:r>
      <w:r w:rsidR="00D801E1" w:rsidRPr="007937A2">
        <w:rPr>
          <w:sz w:val="26"/>
          <w:szCs w:val="26"/>
        </w:rPr>
        <w:t xml:space="preserve"> only 2%</w:t>
      </w:r>
      <w:r w:rsidR="000467A1" w:rsidRPr="007937A2">
        <w:rPr>
          <w:sz w:val="26"/>
          <w:szCs w:val="26"/>
        </w:rPr>
        <w:t xml:space="preserve"> </w:t>
      </w:r>
      <w:r w:rsidR="00333FB1" w:rsidRPr="007937A2">
        <w:rPr>
          <w:sz w:val="26"/>
          <w:szCs w:val="26"/>
        </w:rPr>
        <w:t xml:space="preserve">in </w:t>
      </w:r>
      <w:r w:rsidR="000467A1" w:rsidRPr="007937A2">
        <w:rPr>
          <w:sz w:val="26"/>
          <w:szCs w:val="26"/>
        </w:rPr>
        <w:t>hard capital</w:t>
      </w:r>
      <w:r w:rsidR="00ED6DF4">
        <w:rPr>
          <w:sz w:val="26"/>
          <w:szCs w:val="26"/>
        </w:rPr>
        <w:t xml:space="preserve"> because of </w:t>
      </w:r>
      <w:r w:rsidR="00D801E1" w:rsidRPr="007937A2">
        <w:rPr>
          <w:sz w:val="26"/>
          <w:szCs w:val="26"/>
        </w:rPr>
        <w:t xml:space="preserve">regulatory adjustments </w:t>
      </w:r>
      <w:r w:rsidR="00ED6DF4">
        <w:rPr>
          <w:sz w:val="26"/>
          <w:szCs w:val="26"/>
        </w:rPr>
        <w:t xml:space="preserve">they are permitted to make </w:t>
      </w:r>
      <w:r w:rsidR="00475DE8">
        <w:rPr>
          <w:sz w:val="26"/>
          <w:szCs w:val="26"/>
        </w:rPr>
        <w:t>to items such as “goodwill.”</w:t>
      </w:r>
      <w:r w:rsidR="00ED6DF4">
        <w:rPr>
          <w:sz w:val="26"/>
          <w:szCs w:val="26"/>
        </w:rPr>
        <w:t xml:space="preserve"> </w:t>
      </w:r>
      <w:r w:rsidR="0089463E" w:rsidRPr="007937A2">
        <w:rPr>
          <w:sz w:val="26"/>
          <w:szCs w:val="26"/>
        </w:rPr>
        <w:t xml:space="preserve"> </w:t>
      </w:r>
      <w:r w:rsidR="00D801E1" w:rsidRPr="007937A2">
        <w:rPr>
          <w:sz w:val="26"/>
          <w:szCs w:val="26"/>
        </w:rPr>
        <w:t>A</w:t>
      </w:r>
      <w:r w:rsidR="00116FAE" w:rsidRPr="007937A2">
        <w:rPr>
          <w:sz w:val="26"/>
          <w:szCs w:val="26"/>
        </w:rPr>
        <w:t xml:space="preserve"> third </w:t>
      </w:r>
      <w:r w:rsidR="00D801E1" w:rsidRPr="007937A2">
        <w:rPr>
          <w:sz w:val="26"/>
          <w:szCs w:val="26"/>
        </w:rPr>
        <w:t xml:space="preserve">deficiency </w:t>
      </w:r>
      <w:r w:rsidR="0089463E" w:rsidRPr="007937A2">
        <w:rPr>
          <w:sz w:val="26"/>
          <w:szCs w:val="26"/>
        </w:rPr>
        <w:t>is</w:t>
      </w:r>
      <w:r w:rsidR="00D801E1" w:rsidRPr="007937A2">
        <w:rPr>
          <w:sz w:val="26"/>
          <w:szCs w:val="26"/>
        </w:rPr>
        <w:t xml:space="preserve"> </w:t>
      </w:r>
      <w:r w:rsidR="00ED6DF4">
        <w:rPr>
          <w:sz w:val="26"/>
          <w:szCs w:val="26"/>
        </w:rPr>
        <w:t xml:space="preserve">attributed to </w:t>
      </w:r>
      <w:r w:rsidR="00D801E1" w:rsidRPr="007937A2">
        <w:rPr>
          <w:sz w:val="26"/>
          <w:szCs w:val="26"/>
        </w:rPr>
        <w:t xml:space="preserve">the set </w:t>
      </w:r>
      <w:r w:rsidR="00ED6DF4">
        <w:rPr>
          <w:sz w:val="26"/>
          <w:szCs w:val="26"/>
        </w:rPr>
        <w:t xml:space="preserve">of </w:t>
      </w:r>
      <w:r w:rsidR="00D801E1" w:rsidRPr="007937A2">
        <w:rPr>
          <w:sz w:val="26"/>
          <w:szCs w:val="26"/>
        </w:rPr>
        <w:t xml:space="preserve">capital rules </w:t>
      </w:r>
      <w:r w:rsidR="00475DE8">
        <w:rPr>
          <w:sz w:val="26"/>
          <w:szCs w:val="26"/>
        </w:rPr>
        <w:t>that</w:t>
      </w:r>
      <w:r w:rsidR="00ED6DF4">
        <w:rPr>
          <w:sz w:val="26"/>
          <w:szCs w:val="26"/>
        </w:rPr>
        <w:t xml:space="preserve"> </w:t>
      </w:r>
      <w:r w:rsidR="00D801E1" w:rsidRPr="007937A2">
        <w:rPr>
          <w:sz w:val="26"/>
          <w:szCs w:val="26"/>
        </w:rPr>
        <w:t>govern</w:t>
      </w:r>
      <w:r w:rsidR="00475DE8">
        <w:rPr>
          <w:sz w:val="26"/>
          <w:szCs w:val="26"/>
        </w:rPr>
        <w:t>s</w:t>
      </w:r>
      <w:r w:rsidR="00D801E1" w:rsidRPr="007937A2">
        <w:rPr>
          <w:sz w:val="26"/>
          <w:szCs w:val="26"/>
        </w:rPr>
        <w:t xml:space="preserve"> trading book exposures.  In the U</w:t>
      </w:r>
      <w:r w:rsidR="00475DE8">
        <w:rPr>
          <w:sz w:val="26"/>
          <w:szCs w:val="26"/>
        </w:rPr>
        <w:t xml:space="preserve">. </w:t>
      </w:r>
      <w:r w:rsidR="00D801E1" w:rsidRPr="007937A2">
        <w:rPr>
          <w:sz w:val="26"/>
          <w:szCs w:val="26"/>
        </w:rPr>
        <w:t>S</w:t>
      </w:r>
      <w:r w:rsidR="00475DE8">
        <w:rPr>
          <w:sz w:val="26"/>
          <w:szCs w:val="26"/>
        </w:rPr>
        <w:t>.</w:t>
      </w:r>
      <w:r w:rsidR="00D801E1" w:rsidRPr="007937A2">
        <w:rPr>
          <w:sz w:val="26"/>
          <w:szCs w:val="26"/>
        </w:rPr>
        <w:t>, banks could build massive illiquid credit exposures in their portfolios</w:t>
      </w:r>
      <w:r w:rsidR="00116FAE" w:rsidRPr="007937A2">
        <w:rPr>
          <w:sz w:val="26"/>
          <w:szCs w:val="26"/>
        </w:rPr>
        <w:t xml:space="preserve"> without violating their </w:t>
      </w:r>
      <w:r w:rsidR="00AB5594" w:rsidRPr="007937A2">
        <w:rPr>
          <w:sz w:val="26"/>
          <w:szCs w:val="26"/>
        </w:rPr>
        <w:t>risk capital measure based on the value-at-risk</w:t>
      </w:r>
      <w:r w:rsidR="001D730C" w:rsidRPr="007937A2">
        <w:rPr>
          <w:rStyle w:val="FootnoteReference"/>
          <w:sz w:val="26"/>
          <w:szCs w:val="26"/>
        </w:rPr>
        <w:footnoteReference w:id="3"/>
      </w:r>
      <w:r w:rsidR="00AB5594" w:rsidRPr="007937A2">
        <w:rPr>
          <w:sz w:val="26"/>
          <w:szCs w:val="26"/>
        </w:rPr>
        <w:t xml:space="preserve"> (</w:t>
      </w:r>
      <w:proofErr w:type="spellStart"/>
      <w:r w:rsidR="00D801E1" w:rsidRPr="007937A2">
        <w:rPr>
          <w:sz w:val="26"/>
          <w:szCs w:val="26"/>
        </w:rPr>
        <w:t>VaR</w:t>
      </w:r>
      <w:proofErr w:type="spellEnd"/>
      <w:r w:rsidR="00AB5594" w:rsidRPr="007937A2">
        <w:rPr>
          <w:sz w:val="26"/>
          <w:szCs w:val="26"/>
        </w:rPr>
        <w:t>) regime</w:t>
      </w:r>
      <w:r w:rsidR="00116FAE" w:rsidRPr="007937A2">
        <w:rPr>
          <w:sz w:val="26"/>
          <w:szCs w:val="26"/>
        </w:rPr>
        <w:t>.  As a result, today significant apprehension</w:t>
      </w:r>
      <w:r w:rsidR="00475DE8">
        <w:rPr>
          <w:sz w:val="26"/>
          <w:szCs w:val="26"/>
        </w:rPr>
        <w:t xml:space="preserve"> exists</w:t>
      </w:r>
      <w:r w:rsidR="00116FAE" w:rsidRPr="007937A2">
        <w:rPr>
          <w:sz w:val="26"/>
          <w:szCs w:val="26"/>
        </w:rPr>
        <w:t xml:space="preserve"> about the value of the risk information </w:t>
      </w:r>
      <w:r w:rsidR="00EC6F68" w:rsidRPr="007937A2">
        <w:rPr>
          <w:sz w:val="26"/>
          <w:szCs w:val="26"/>
        </w:rPr>
        <w:t xml:space="preserve">banks </w:t>
      </w:r>
      <w:r w:rsidR="00116FAE" w:rsidRPr="007937A2">
        <w:rPr>
          <w:sz w:val="26"/>
          <w:szCs w:val="26"/>
        </w:rPr>
        <w:t>disclose in the</w:t>
      </w:r>
      <w:r w:rsidR="00EC6F68" w:rsidRPr="007937A2">
        <w:rPr>
          <w:sz w:val="26"/>
          <w:szCs w:val="26"/>
        </w:rPr>
        <w:t>ir</w:t>
      </w:r>
      <w:r w:rsidR="00116FAE" w:rsidRPr="007937A2">
        <w:rPr>
          <w:sz w:val="26"/>
          <w:szCs w:val="26"/>
        </w:rPr>
        <w:t xml:space="preserve"> financial statements</w:t>
      </w:r>
      <w:r w:rsidR="00C67716" w:rsidRPr="007937A2">
        <w:rPr>
          <w:sz w:val="26"/>
          <w:szCs w:val="26"/>
        </w:rPr>
        <w:t xml:space="preserve">. </w:t>
      </w:r>
    </w:p>
    <w:p w14:paraId="5C9CFF84" w14:textId="05BDC661" w:rsidR="002F3DAD" w:rsidRPr="007937A2" w:rsidRDefault="002F3DAD" w:rsidP="002F3DAD">
      <w:pPr>
        <w:rPr>
          <w:sz w:val="26"/>
          <w:szCs w:val="26"/>
        </w:rPr>
      </w:pPr>
      <w:r w:rsidRPr="007937A2">
        <w:rPr>
          <w:sz w:val="26"/>
          <w:szCs w:val="26"/>
        </w:rPr>
        <w:t>In October 2012, the U</w:t>
      </w:r>
      <w:r w:rsidR="00024085">
        <w:rPr>
          <w:sz w:val="26"/>
          <w:szCs w:val="26"/>
        </w:rPr>
        <w:t xml:space="preserve">. </w:t>
      </w:r>
      <w:r w:rsidRPr="007937A2">
        <w:rPr>
          <w:sz w:val="26"/>
          <w:szCs w:val="26"/>
        </w:rPr>
        <w:t>S</w:t>
      </w:r>
      <w:r w:rsidR="00024085">
        <w:rPr>
          <w:sz w:val="26"/>
          <w:szCs w:val="26"/>
        </w:rPr>
        <w:t>.</w:t>
      </w:r>
      <w:r w:rsidRPr="007937A2">
        <w:rPr>
          <w:sz w:val="26"/>
          <w:szCs w:val="26"/>
        </w:rPr>
        <w:t xml:space="preserve"> Financial Stability Board (FSB) published a report presenting a series of recommendations on how banks can enhance </w:t>
      </w:r>
      <w:r w:rsidR="00ED6DF4">
        <w:rPr>
          <w:sz w:val="26"/>
          <w:szCs w:val="26"/>
        </w:rPr>
        <w:t xml:space="preserve">their </w:t>
      </w:r>
      <w:r w:rsidRPr="007937A2">
        <w:rPr>
          <w:sz w:val="26"/>
          <w:szCs w:val="26"/>
        </w:rPr>
        <w:t>risk disclosure</w:t>
      </w:r>
      <w:r w:rsidRPr="007937A2">
        <w:rPr>
          <w:rStyle w:val="FootnoteReference"/>
          <w:sz w:val="26"/>
          <w:szCs w:val="26"/>
        </w:rPr>
        <w:footnoteReference w:id="4"/>
      </w:r>
      <w:r w:rsidRPr="007937A2">
        <w:rPr>
          <w:sz w:val="26"/>
          <w:szCs w:val="26"/>
        </w:rPr>
        <w:t xml:space="preserve">.  The FSB believes that banks can better serve the broader economy if investors gain a better understanding of </w:t>
      </w:r>
      <w:r w:rsidR="00ED6DF4">
        <w:rPr>
          <w:sz w:val="26"/>
          <w:szCs w:val="26"/>
        </w:rPr>
        <w:t>their</w:t>
      </w:r>
      <w:r w:rsidRPr="007937A2">
        <w:rPr>
          <w:sz w:val="26"/>
          <w:szCs w:val="26"/>
        </w:rPr>
        <w:t xml:space="preserve"> risks and of the complexity of their business models. This</w:t>
      </w:r>
      <w:r w:rsidR="00024085">
        <w:rPr>
          <w:sz w:val="26"/>
          <w:szCs w:val="26"/>
        </w:rPr>
        <w:t xml:space="preserve"> recommendation</w:t>
      </w:r>
      <w:r w:rsidRPr="007937A2">
        <w:rPr>
          <w:sz w:val="26"/>
          <w:szCs w:val="26"/>
        </w:rPr>
        <w:t xml:space="preserve"> will help restore trust in the financial system and make the cost of capital for banks more reflective of their real risks. The need for investors to understand banks’ risks and how they manage them is more important when losses following a bank default are borne by the bank’s investors and government bailout is not an option. The FSB report concluded that a major step towards restoring confidence in the banking </w:t>
      </w:r>
      <w:r w:rsidRPr="007937A2">
        <w:rPr>
          <w:sz w:val="26"/>
          <w:szCs w:val="26"/>
        </w:rPr>
        <w:lastRenderedPageBreak/>
        <w:t>system</w:t>
      </w:r>
      <w:r w:rsidR="00024085">
        <w:rPr>
          <w:sz w:val="26"/>
          <w:szCs w:val="26"/>
        </w:rPr>
        <w:t xml:space="preserve"> can be accomplished</w:t>
      </w:r>
      <w:r w:rsidRPr="007937A2">
        <w:rPr>
          <w:sz w:val="26"/>
          <w:szCs w:val="26"/>
        </w:rPr>
        <w:t xml:space="preserve"> through enhanced disclosure of risks undertaken by individual institutions. </w:t>
      </w:r>
    </w:p>
    <w:p w14:paraId="0E0343E5" w14:textId="77177598" w:rsidR="008513BA" w:rsidRPr="007937A2" w:rsidRDefault="008513BA" w:rsidP="00161CBE">
      <w:pPr>
        <w:rPr>
          <w:sz w:val="26"/>
          <w:szCs w:val="26"/>
        </w:rPr>
      </w:pPr>
      <w:r w:rsidRPr="007937A2">
        <w:rPr>
          <w:sz w:val="26"/>
          <w:szCs w:val="26"/>
        </w:rPr>
        <w:t xml:space="preserve">The story of the banks </w:t>
      </w:r>
      <w:r w:rsidR="000E0D15" w:rsidRPr="007937A2">
        <w:rPr>
          <w:sz w:val="26"/>
          <w:szCs w:val="26"/>
        </w:rPr>
        <w:t xml:space="preserve">in the Gulf Cooperation Council (GCC) region </w:t>
      </w:r>
      <w:r w:rsidRPr="007937A2">
        <w:rPr>
          <w:sz w:val="26"/>
          <w:szCs w:val="26"/>
        </w:rPr>
        <w:t xml:space="preserve">is vastly different </w:t>
      </w:r>
      <w:r w:rsidR="0089463E" w:rsidRPr="007937A2">
        <w:rPr>
          <w:sz w:val="26"/>
          <w:szCs w:val="26"/>
        </w:rPr>
        <w:t xml:space="preserve">from </w:t>
      </w:r>
      <w:r w:rsidR="00CB38D7">
        <w:rPr>
          <w:sz w:val="26"/>
          <w:szCs w:val="26"/>
        </w:rPr>
        <w:t>its</w:t>
      </w:r>
      <w:r w:rsidR="004F3E73" w:rsidRPr="007937A2">
        <w:rPr>
          <w:sz w:val="26"/>
          <w:szCs w:val="26"/>
        </w:rPr>
        <w:t xml:space="preserve"> counterparts in the </w:t>
      </w:r>
      <w:r w:rsidRPr="007937A2">
        <w:rPr>
          <w:sz w:val="26"/>
          <w:szCs w:val="26"/>
        </w:rPr>
        <w:t>U</w:t>
      </w:r>
      <w:r w:rsidR="00CB38D7">
        <w:rPr>
          <w:sz w:val="26"/>
          <w:szCs w:val="26"/>
        </w:rPr>
        <w:t xml:space="preserve">. </w:t>
      </w:r>
      <w:r w:rsidRPr="007937A2">
        <w:rPr>
          <w:sz w:val="26"/>
          <w:szCs w:val="26"/>
        </w:rPr>
        <w:t>S</w:t>
      </w:r>
      <w:r w:rsidR="00CB38D7">
        <w:rPr>
          <w:sz w:val="26"/>
          <w:szCs w:val="26"/>
        </w:rPr>
        <w:t>.</w:t>
      </w:r>
      <w:r w:rsidRPr="007937A2">
        <w:rPr>
          <w:sz w:val="26"/>
          <w:szCs w:val="26"/>
        </w:rPr>
        <w:t xml:space="preserve"> and Europe</w:t>
      </w:r>
      <w:r w:rsidR="00116FAE" w:rsidRPr="007937A2">
        <w:rPr>
          <w:sz w:val="26"/>
          <w:szCs w:val="26"/>
        </w:rPr>
        <w:t xml:space="preserve"> </w:t>
      </w:r>
      <w:r w:rsidRPr="007937A2">
        <w:rPr>
          <w:sz w:val="26"/>
          <w:szCs w:val="26"/>
        </w:rPr>
        <w:t xml:space="preserve">because </w:t>
      </w:r>
      <w:r w:rsidR="00CB38D7">
        <w:rPr>
          <w:sz w:val="26"/>
          <w:szCs w:val="26"/>
        </w:rPr>
        <w:t>its</w:t>
      </w:r>
      <w:r w:rsidRPr="007937A2">
        <w:rPr>
          <w:sz w:val="26"/>
          <w:szCs w:val="26"/>
        </w:rPr>
        <w:t xml:space="preserve"> capitalization generally exceeds </w:t>
      </w:r>
      <w:r w:rsidR="00CB38D7">
        <w:rPr>
          <w:sz w:val="26"/>
          <w:szCs w:val="26"/>
        </w:rPr>
        <w:t>its</w:t>
      </w:r>
      <w:r w:rsidRPr="007937A2">
        <w:rPr>
          <w:sz w:val="26"/>
          <w:szCs w:val="26"/>
        </w:rPr>
        <w:t xml:space="preserve"> international peers</w:t>
      </w:r>
      <w:r w:rsidRPr="007937A2">
        <w:rPr>
          <w:rStyle w:val="FootnoteReference"/>
          <w:sz w:val="26"/>
          <w:szCs w:val="26"/>
        </w:rPr>
        <w:footnoteReference w:id="5"/>
      </w:r>
      <w:r w:rsidRPr="007937A2">
        <w:rPr>
          <w:sz w:val="26"/>
          <w:szCs w:val="26"/>
        </w:rPr>
        <w:t xml:space="preserve">.  The risk-adjusted capital (RAC) of GCC banks, a measure of capital adequacy, ranged </w:t>
      </w:r>
      <w:proofErr w:type="gramStart"/>
      <w:r w:rsidRPr="007937A2">
        <w:rPr>
          <w:sz w:val="26"/>
          <w:szCs w:val="26"/>
        </w:rPr>
        <w:t>between 12</w:t>
      </w:r>
      <w:r w:rsidR="000E3FED" w:rsidRPr="007937A2">
        <w:rPr>
          <w:sz w:val="26"/>
          <w:szCs w:val="26"/>
        </w:rPr>
        <w:t>%</w:t>
      </w:r>
      <w:r w:rsidRPr="007937A2">
        <w:rPr>
          <w:sz w:val="26"/>
          <w:szCs w:val="26"/>
        </w:rPr>
        <w:t xml:space="preserve"> to 13% at the end of 2011</w:t>
      </w:r>
      <w:proofErr w:type="gramEnd"/>
      <w:r w:rsidRPr="007937A2">
        <w:rPr>
          <w:sz w:val="26"/>
          <w:szCs w:val="26"/>
        </w:rPr>
        <w:t>. This</w:t>
      </w:r>
      <w:r w:rsidR="00CB38D7">
        <w:rPr>
          <w:sz w:val="26"/>
          <w:szCs w:val="26"/>
        </w:rPr>
        <w:t xml:space="preserve"> percentage of risk</w:t>
      </w:r>
      <w:r w:rsidRPr="007937A2">
        <w:rPr>
          <w:sz w:val="26"/>
          <w:szCs w:val="26"/>
        </w:rPr>
        <w:t xml:space="preserve"> compares with 7.4% average risk-adjusted capital of the 100 largest banks </w:t>
      </w:r>
      <w:r w:rsidR="00641A1B" w:rsidRPr="007937A2">
        <w:rPr>
          <w:sz w:val="26"/>
          <w:szCs w:val="26"/>
        </w:rPr>
        <w:t xml:space="preserve">worldwide </w:t>
      </w:r>
      <w:r w:rsidR="0001104A" w:rsidRPr="007937A2">
        <w:rPr>
          <w:sz w:val="26"/>
          <w:szCs w:val="26"/>
        </w:rPr>
        <w:t xml:space="preserve">when they were measured </w:t>
      </w:r>
      <w:r w:rsidR="000E3FED" w:rsidRPr="007937A2">
        <w:rPr>
          <w:sz w:val="26"/>
          <w:szCs w:val="26"/>
        </w:rPr>
        <w:t xml:space="preserve">at the end of </w:t>
      </w:r>
      <w:r w:rsidRPr="007937A2">
        <w:rPr>
          <w:sz w:val="26"/>
          <w:szCs w:val="26"/>
        </w:rPr>
        <w:t xml:space="preserve">September 2011.  </w:t>
      </w:r>
      <w:r w:rsidR="00641A1B" w:rsidRPr="007937A2">
        <w:rPr>
          <w:sz w:val="26"/>
          <w:szCs w:val="26"/>
        </w:rPr>
        <w:t>The higher capitalization</w:t>
      </w:r>
      <w:r w:rsidR="00456D4C">
        <w:rPr>
          <w:sz w:val="26"/>
          <w:szCs w:val="26"/>
        </w:rPr>
        <w:t xml:space="preserve"> ratio</w:t>
      </w:r>
      <w:r w:rsidR="00641A1B" w:rsidRPr="007937A2">
        <w:rPr>
          <w:sz w:val="26"/>
          <w:szCs w:val="26"/>
        </w:rPr>
        <w:t xml:space="preserve"> is driven</w:t>
      </w:r>
      <w:r w:rsidR="000E3FED" w:rsidRPr="007937A2">
        <w:rPr>
          <w:sz w:val="26"/>
          <w:szCs w:val="26"/>
        </w:rPr>
        <w:t>,</w:t>
      </w:r>
      <w:r w:rsidR="00641A1B" w:rsidRPr="007937A2">
        <w:rPr>
          <w:sz w:val="26"/>
          <w:szCs w:val="26"/>
        </w:rPr>
        <w:t xml:space="preserve"> in part</w:t>
      </w:r>
      <w:r w:rsidR="000E3FED" w:rsidRPr="007937A2">
        <w:rPr>
          <w:sz w:val="26"/>
          <w:szCs w:val="26"/>
        </w:rPr>
        <w:t>,</w:t>
      </w:r>
      <w:r w:rsidR="00641A1B" w:rsidRPr="007937A2">
        <w:rPr>
          <w:sz w:val="26"/>
          <w:szCs w:val="26"/>
        </w:rPr>
        <w:t xml:space="preserve"> by </w:t>
      </w:r>
      <w:r w:rsidRPr="007937A2">
        <w:rPr>
          <w:sz w:val="26"/>
          <w:szCs w:val="26"/>
        </w:rPr>
        <w:t xml:space="preserve">bank regulators in the GCC (except Saudi Arabia) </w:t>
      </w:r>
      <w:r w:rsidR="00641A1B" w:rsidRPr="007937A2">
        <w:rPr>
          <w:sz w:val="26"/>
          <w:szCs w:val="26"/>
        </w:rPr>
        <w:t xml:space="preserve">who </w:t>
      </w:r>
      <w:r w:rsidRPr="007937A2">
        <w:rPr>
          <w:sz w:val="26"/>
          <w:szCs w:val="26"/>
        </w:rPr>
        <w:t xml:space="preserve">require that all institutions maintain a regulatory capital adequacy ratio above 10%.  </w:t>
      </w:r>
      <w:r w:rsidR="00CA2B8B" w:rsidRPr="007937A2">
        <w:rPr>
          <w:sz w:val="26"/>
          <w:szCs w:val="26"/>
        </w:rPr>
        <w:t xml:space="preserve">Another distinction between GCC banks and their Western counterparts is the critical role these institutions play in </w:t>
      </w:r>
      <w:r w:rsidR="00A475E9" w:rsidRPr="007937A2">
        <w:rPr>
          <w:sz w:val="26"/>
          <w:szCs w:val="26"/>
        </w:rPr>
        <w:t>the real economy and the funding they provide for project finance.  In most, if not all</w:t>
      </w:r>
      <w:r w:rsidR="004B68C2">
        <w:rPr>
          <w:sz w:val="26"/>
          <w:szCs w:val="26"/>
        </w:rPr>
        <w:t xml:space="preserve"> GCC countries,</w:t>
      </w:r>
      <w:r w:rsidR="00A475E9" w:rsidRPr="007937A2">
        <w:rPr>
          <w:sz w:val="26"/>
          <w:szCs w:val="26"/>
        </w:rPr>
        <w:t xml:space="preserve"> underdeveloped capital markets suggest that limited alternative</w:t>
      </w:r>
      <w:r w:rsidR="00110AF5" w:rsidRPr="007937A2">
        <w:rPr>
          <w:sz w:val="26"/>
          <w:szCs w:val="26"/>
        </w:rPr>
        <w:t>s</w:t>
      </w:r>
      <w:r w:rsidR="00CB38D7">
        <w:rPr>
          <w:sz w:val="26"/>
          <w:szCs w:val="26"/>
        </w:rPr>
        <w:t xml:space="preserve"> are available</w:t>
      </w:r>
      <w:r w:rsidR="00110AF5" w:rsidRPr="007937A2">
        <w:rPr>
          <w:sz w:val="26"/>
          <w:szCs w:val="26"/>
        </w:rPr>
        <w:t xml:space="preserve"> to non-bank financing for infrastructure and other long-term projects.  The size of the funding is </w:t>
      </w:r>
      <w:r w:rsidR="00ED6DF4">
        <w:rPr>
          <w:sz w:val="26"/>
          <w:szCs w:val="26"/>
        </w:rPr>
        <w:t>often substantial</w:t>
      </w:r>
      <w:r w:rsidR="00110AF5" w:rsidRPr="007937A2">
        <w:rPr>
          <w:sz w:val="26"/>
          <w:szCs w:val="26"/>
        </w:rPr>
        <w:t>.  Today over $2.5 trillion worth of construction projects</w:t>
      </w:r>
      <w:r w:rsidR="00D94088">
        <w:rPr>
          <w:sz w:val="26"/>
          <w:szCs w:val="26"/>
        </w:rPr>
        <w:t xml:space="preserve"> are projected in</w:t>
      </w:r>
      <w:r w:rsidR="00110AF5" w:rsidRPr="007937A2">
        <w:rPr>
          <w:sz w:val="26"/>
          <w:szCs w:val="26"/>
        </w:rPr>
        <w:t xml:space="preserve"> the GCC.  Judging from past experience, approximately 60% of these projects are expected to be financed with bank lending</w:t>
      </w:r>
      <w:r w:rsidR="000E747A" w:rsidRPr="007937A2">
        <w:rPr>
          <w:rStyle w:val="FootnoteReference"/>
          <w:sz w:val="26"/>
          <w:szCs w:val="26"/>
        </w:rPr>
        <w:footnoteReference w:id="6"/>
      </w:r>
      <w:r w:rsidR="00110AF5" w:rsidRPr="007937A2">
        <w:rPr>
          <w:sz w:val="26"/>
          <w:szCs w:val="26"/>
        </w:rPr>
        <w:t>.  With the Basel III requirements</w:t>
      </w:r>
      <w:r w:rsidR="00ED6DF4">
        <w:rPr>
          <w:sz w:val="26"/>
          <w:szCs w:val="26"/>
        </w:rPr>
        <w:t xml:space="preserve"> on liquidity</w:t>
      </w:r>
      <w:r w:rsidR="00110AF5" w:rsidRPr="007937A2">
        <w:rPr>
          <w:sz w:val="26"/>
          <w:szCs w:val="26"/>
        </w:rPr>
        <w:t xml:space="preserve">, the GCC banks will </w:t>
      </w:r>
      <w:r w:rsidR="00ED6DF4">
        <w:rPr>
          <w:sz w:val="26"/>
          <w:szCs w:val="26"/>
        </w:rPr>
        <w:t xml:space="preserve">likely </w:t>
      </w:r>
      <w:r w:rsidR="00110AF5" w:rsidRPr="007937A2">
        <w:rPr>
          <w:sz w:val="26"/>
          <w:szCs w:val="26"/>
        </w:rPr>
        <w:t>find these projects more difficult to fin</w:t>
      </w:r>
      <w:r w:rsidR="00FC6EF9" w:rsidRPr="007937A2">
        <w:rPr>
          <w:sz w:val="26"/>
          <w:szCs w:val="26"/>
        </w:rPr>
        <w:t>a</w:t>
      </w:r>
      <w:r w:rsidR="00110AF5" w:rsidRPr="007937A2">
        <w:rPr>
          <w:sz w:val="26"/>
          <w:szCs w:val="26"/>
        </w:rPr>
        <w:t>nce</w:t>
      </w:r>
      <w:r w:rsidR="00FC6EF9" w:rsidRPr="007937A2">
        <w:rPr>
          <w:sz w:val="26"/>
          <w:szCs w:val="26"/>
        </w:rPr>
        <w:t xml:space="preserve">.  </w:t>
      </w:r>
      <w:r w:rsidR="00ED6DF4">
        <w:rPr>
          <w:sz w:val="26"/>
          <w:szCs w:val="26"/>
        </w:rPr>
        <w:t>Specifically, u</w:t>
      </w:r>
      <w:r w:rsidR="00FC6EF9" w:rsidRPr="007937A2">
        <w:rPr>
          <w:sz w:val="26"/>
          <w:szCs w:val="26"/>
        </w:rPr>
        <w:t xml:space="preserve">nder Basel III, banks will be required to revamp their short-term liquidity position to make them more resilient to the </w:t>
      </w:r>
      <w:r w:rsidR="00ED6DF4">
        <w:rPr>
          <w:sz w:val="26"/>
          <w:szCs w:val="26"/>
        </w:rPr>
        <w:t xml:space="preserve">potential </w:t>
      </w:r>
      <w:r w:rsidR="00FC6EF9" w:rsidRPr="007937A2">
        <w:rPr>
          <w:sz w:val="26"/>
          <w:szCs w:val="26"/>
        </w:rPr>
        <w:t xml:space="preserve">closure of the money markets. The new </w:t>
      </w:r>
      <w:r w:rsidR="00ED6DF4">
        <w:rPr>
          <w:sz w:val="26"/>
          <w:szCs w:val="26"/>
        </w:rPr>
        <w:t>rules</w:t>
      </w:r>
      <w:r w:rsidR="00FC6EF9" w:rsidRPr="007937A2">
        <w:rPr>
          <w:sz w:val="26"/>
          <w:szCs w:val="26"/>
        </w:rPr>
        <w:t xml:space="preserve"> introduce a liquidity coverage ratio that measures a bank's ability to convert assets into cash within 30 days.  With this requirement, banks are likely to </w:t>
      </w:r>
      <w:r w:rsidR="001A61C4" w:rsidRPr="007937A2">
        <w:rPr>
          <w:sz w:val="26"/>
          <w:szCs w:val="26"/>
        </w:rPr>
        <w:t>f</w:t>
      </w:r>
      <w:r w:rsidR="00FC6EF9" w:rsidRPr="007937A2">
        <w:rPr>
          <w:sz w:val="26"/>
          <w:szCs w:val="26"/>
        </w:rPr>
        <w:t xml:space="preserve">avor more tradable assets such as government bonds </w:t>
      </w:r>
      <w:r w:rsidR="008D0108">
        <w:rPr>
          <w:sz w:val="26"/>
          <w:szCs w:val="26"/>
        </w:rPr>
        <w:t xml:space="preserve">and avoid illiquid </w:t>
      </w:r>
      <w:r w:rsidR="00FC6EF9" w:rsidRPr="007937A2">
        <w:rPr>
          <w:sz w:val="26"/>
          <w:szCs w:val="26"/>
        </w:rPr>
        <w:t xml:space="preserve">corporate loans and long-term project financing.  </w:t>
      </w:r>
      <w:r w:rsidR="00110AF5" w:rsidRPr="007937A2">
        <w:rPr>
          <w:sz w:val="26"/>
          <w:szCs w:val="26"/>
        </w:rPr>
        <w:t xml:space="preserve">  </w:t>
      </w:r>
      <w:r w:rsidR="00CA2B8B" w:rsidRPr="007937A2">
        <w:rPr>
          <w:sz w:val="26"/>
          <w:szCs w:val="26"/>
        </w:rPr>
        <w:t xml:space="preserve"> </w:t>
      </w:r>
    </w:p>
    <w:p w14:paraId="2E5072F9" w14:textId="59B9E458" w:rsidR="00266E5C" w:rsidRPr="007937A2" w:rsidRDefault="004D62B3" w:rsidP="00161CBE">
      <w:pPr>
        <w:rPr>
          <w:sz w:val="26"/>
          <w:szCs w:val="26"/>
        </w:rPr>
      </w:pPr>
      <w:r>
        <w:rPr>
          <w:sz w:val="26"/>
          <w:szCs w:val="26"/>
        </w:rPr>
        <w:t>Another feature of GCC banks is that, d</w:t>
      </w:r>
      <w:r w:rsidR="00641A1B" w:rsidRPr="007937A2">
        <w:rPr>
          <w:sz w:val="26"/>
          <w:szCs w:val="26"/>
        </w:rPr>
        <w:t>espite</w:t>
      </w:r>
      <w:r w:rsidR="000467A1" w:rsidRPr="007937A2">
        <w:rPr>
          <w:sz w:val="26"/>
          <w:szCs w:val="26"/>
        </w:rPr>
        <w:t xml:space="preserve"> a higher capitalization</w:t>
      </w:r>
      <w:r w:rsidR="00641A1B" w:rsidRPr="007937A2">
        <w:rPr>
          <w:sz w:val="26"/>
          <w:szCs w:val="26"/>
        </w:rPr>
        <w:t xml:space="preserve">, </w:t>
      </w:r>
      <w:r>
        <w:rPr>
          <w:sz w:val="26"/>
          <w:szCs w:val="26"/>
        </w:rPr>
        <w:t xml:space="preserve">they </w:t>
      </w:r>
      <w:r w:rsidR="00641A1B" w:rsidRPr="007937A2">
        <w:rPr>
          <w:sz w:val="26"/>
          <w:szCs w:val="26"/>
        </w:rPr>
        <w:t xml:space="preserve">tend to suffer from a </w:t>
      </w:r>
      <w:r w:rsidR="008D0108">
        <w:rPr>
          <w:sz w:val="26"/>
          <w:szCs w:val="26"/>
        </w:rPr>
        <w:t>high</w:t>
      </w:r>
      <w:r w:rsidR="00641A1B" w:rsidRPr="007937A2">
        <w:rPr>
          <w:sz w:val="26"/>
          <w:szCs w:val="26"/>
        </w:rPr>
        <w:t xml:space="preserve"> risk </w:t>
      </w:r>
      <w:r w:rsidR="008D0108">
        <w:rPr>
          <w:sz w:val="26"/>
          <w:szCs w:val="26"/>
        </w:rPr>
        <w:t>concentration</w:t>
      </w:r>
      <w:r w:rsidR="00641A1B" w:rsidRPr="007937A2">
        <w:rPr>
          <w:sz w:val="26"/>
          <w:szCs w:val="26"/>
        </w:rPr>
        <w:t>. Their risk profile include</w:t>
      </w:r>
      <w:r>
        <w:rPr>
          <w:sz w:val="26"/>
          <w:szCs w:val="26"/>
        </w:rPr>
        <w:t>s</w:t>
      </w:r>
      <w:r w:rsidR="00641A1B" w:rsidRPr="007937A2">
        <w:rPr>
          <w:sz w:val="26"/>
          <w:szCs w:val="26"/>
        </w:rPr>
        <w:t xml:space="preserve"> sizable single-name</w:t>
      </w:r>
      <w:r w:rsidR="000467A1" w:rsidRPr="007937A2">
        <w:rPr>
          <w:sz w:val="26"/>
          <w:szCs w:val="26"/>
        </w:rPr>
        <w:t xml:space="preserve"> borrowers</w:t>
      </w:r>
      <w:r w:rsidR="00641A1B" w:rsidRPr="007937A2">
        <w:rPr>
          <w:sz w:val="26"/>
          <w:szCs w:val="26"/>
        </w:rPr>
        <w:t>, sector</w:t>
      </w:r>
      <w:r w:rsidR="000467A1" w:rsidRPr="007937A2">
        <w:rPr>
          <w:sz w:val="26"/>
          <w:szCs w:val="26"/>
        </w:rPr>
        <w:t xml:space="preserve"> concentration, and geographic </w:t>
      </w:r>
      <w:r w:rsidR="00641A1B" w:rsidRPr="007937A2">
        <w:rPr>
          <w:sz w:val="26"/>
          <w:szCs w:val="26"/>
        </w:rPr>
        <w:t xml:space="preserve">concentration in countries that have higher economic </w:t>
      </w:r>
      <w:r w:rsidR="000467A1" w:rsidRPr="007937A2">
        <w:rPr>
          <w:sz w:val="26"/>
          <w:szCs w:val="26"/>
        </w:rPr>
        <w:t>risk</w:t>
      </w:r>
      <w:r w:rsidR="0001104A" w:rsidRPr="007937A2">
        <w:rPr>
          <w:sz w:val="26"/>
          <w:szCs w:val="26"/>
        </w:rPr>
        <w:t>s</w:t>
      </w:r>
      <w:r w:rsidR="000467A1" w:rsidRPr="007937A2">
        <w:rPr>
          <w:sz w:val="26"/>
          <w:szCs w:val="26"/>
        </w:rPr>
        <w:t xml:space="preserve"> than more mature markets </w:t>
      </w:r>
      <w:r w:rsidR="00641A1B" w:rsidRPr="007937A2">
        <w:rPr>
          <w:sz w:val="26"/>
          <w:szCs w:val="26"/>
        </w:rPr>
        <w:t>in the</w:t>
      </w:r>
      <w:r w:rsidR="000467A1" w:rsidRPr="007937A2">
        <w:rPr>
          <w:sz w:val="26"/>
          <w:szCs w:val="26"/>
        </w:rPr>
        <w:t xml:space="preserve"> </w:t>
      </w:r>
      <w:r w:rsidR="00641A1B" w:rsidRPr="007937A2">
        <w:rPr>
          <w:sz w:val="26"/>
          <w:szCs w:val="26"/>
        </w:rPr>
        <w:t>U</w:t>
      </w:r>
      <w:r w:rsidR="00D94088">
        <w:rPr>
          <w:sz w:val="26"/>
          <w:szCs w:val="26"/>
        </w:rPr>
        <w:t xml:space="preserve">. </w:t>
      </w:r>
      <w:r w:rsidR="00641A1B" w:rsidRPr="007937A2">
        <w:rPr>
          <w:sz w:val="26"/>
          <w:szCs w:val="26"/>
        </w:rPr>
        <w:t>S</w:t>
      </w:r>
      <w:r w:rsidR="00D94088">
        <w:rPr>
          <w:sz w:val="26"/>
          <w:szCs w:val="26"/>
        </w:rPr>
        <w:t>.</w:t>
      </w:r>
      <w:r w:rsidR="00641A1B" w:rsidRPr="007937A2">
        <w:rPr>
          <w:sz w:val="26"/>
          <w:szCs w:val="26"/>
        </w:rPr>
        <w:t xml:space="preserve"> and Europe.  </w:t>
      </w:r>
      <w:r w:rsidR="00116FAE" w:rsidRPr="007937A2">
        <w:rPr>
          <w:sz w:val="26"/>
          <w:szCs w:val="26"/>
        </w:rPr>
        <w:t xml:space="preserve">While </w:t>
      </w:r>
      <w:r w:rsidR="00641A1B" w:rsidRPr="007937A2">
        <w:rPr>
          <w:sz w:val="26"/>
          <w:szCs w:val="26"/>
        </w:rPr>
        <w:t>the</w:t>
      </w:r>
      <w:r w:rsidR="00AB5594" w:rsidRPr="007937A2">
        <w:rPr>
          <w:sz w:val="26"/>
          <w:szCs w:val="26"/>
        </w:rPr>
        <w:t xml:space="preserve"> top banks</w:t>
      </w:r>
      <w:r w:rsidR="00641A1B" w:rsidRPr="007937A2">
        <w:rPr>
          <w:sz w:val="26"/>
          <w:szCs w:val="26"/>
        </w:rPr>
        <w:t xml:space="preserve"> in the GCC </w:t>
      </w:r>
      <w:r w:rsidR="00AB5594" w:rsidRPr="007937A2">
        <w:rPr>
          <w:sz w:val="26"/>
          <w:szCs w:val="26"/>
        </w:rPr>
        <w:t>have come a long way in disclosing specific risk metrics abou</w:t>
      </w:r>
      <w:r w:rsidR="000467A1" w:rsidRPr="007937A2">
        <w:rPr>
          <w:sz w:val="26"/>
          <w:szCs w:val="26"/>
        </w:rPr>
        <w:t xml:space="preserve">t their </w:t>
      </w:r>
      <w:r w:rsidR="004E45AC" w:rsidRPr="007937A2">
        <w:rPr>
          <w:sz w:val="26"/>
          <w:szCs w:val="26"/>
        </w:rPr>
        <w:t>portfolio</w:t>
      </w:r>
      <w:r w:rsidR="000E3FED" w:rsidRPr="007937A2">
        <w:rPr>
          <w:sz w:val="26"/>
          <w:szCs w:val="26"/>
        </w:rPr>
        <w:t>s</w:t>
      </w:r>
      <w:r w:rsidR="00AB5594" w:rsidRPr="007937A2">
        <w:rPr>
          <w:sz w:val="26"/>
          <w:szCs w:val="26"/>
        </w:rPr>
        <w:t xml:space="preserve">, </w:t>
      </w:r>
      <w:r w:rsidR="00AB5594" w:rsidRPr="007937A2">
        <w:rPr>
          <w:sz w:val="26"/>
          <w:szCs w:val="26"/>
        </w:rPr>
        <w:lastRenderedPageBreak/>
        <w:t xml:space="preserve">the value of this information </w:t>
      </w:r>
      <w:r w:rsidR="00D246A3" w:rsidRPr="007937A2">
        <w:rPr>
          <w:sz w:val="26"/>
          <w:szCs w:val="26"/>
        </w:rPr>
        <w:t xml:space="preserve">and its accuracy is open to question because the change in transparency is not organic to the institution but is driven primarily by the Central Bank or the regulator where the bank operates. </w:t>
      </w:r>
      <w:r w:rsidR="00AB5594" w:rsidRPr="007937A2">
        <w:rPr>
          <w:sz w:val="26"/>
          <w:szCs w:val="26"/>
        </w:rPr>
        <w:t xml:space="preserve"> </w:t>
      </w:r>
      <w:r w:rsidR="0089463E" w:rsidRPr="007937A2">
        <w:rPr>
          <w:sz w:val="26"/>
          <w:szCs w:val="26"/>
        </w:rPr>
        <w:t xml:space="preserve">To put </w:t>
      </w:r>
      <w:r w:rsidR="00D94A06">
        <w:rPr>
          <w:sz w:val="26"/>
          <w:szCs w:val="26"/>
        </w:rPr>
        <w:t>world market-risk disclosures</w:t>
      </w:r>
      <w:r w:rsidR="0089463E" w:rsidRPr="007937A2">
        <w:rPr>
          <w:sz w:val="26"/>
          <w:szCs w:val="26"/>
        </w:rPr>
        <w:t xml:space="preserve"> in perspective, a recent study by the World </w:t>
      </w:r>
      <w:r w:rsidR="004B68C2">
        <w:rPr>
          <w:sz w:val="26"/>
          <w:szCs w:val="26"/>
        </w:rPr>
        <w:t>Bank (Huang, 2006</w:t>
      </w:r>
      <w:r w:rsidR="0089463E" w:rsidRPr="007937A2">
        <w:rPr>
          <w:sz w:val="26"/>
          <w:szCs w:val="26"/>
        </w:rPr>
        <w:t>) of 180 countries worldwide</w:t>
      </w:r>
      <w:r w:rsidR="0089463E" w:rsidRPr="007937A2">
        <w:rPr>
          <w:rStyle w:val="FootnoteReference"/>
          <w:sz w:val="26"/>
          <w:szCs w:val="26"/>
        </w:rPr>
        <w:footnoteReference w:id="7"/>
      </w:r>
      <w:r w:rsidR="0089463E" w:rsidRPr="007937A2">
        <w:rPr>
          <w:sz w:val="26"/>
          <w:szCs w:val="26"/>
        </w:rPr>
        <w:t xml:space="preserve">, found that Kuwaiti banks ranked </w:t>
      </w:r>
      <w:r w:rsidR="00F159D8" w:rsidRPr="007937A2">
        <w:rPr>
          <w:sz w:val="26"/>
          <w:szCs w:val="26"/>
        </w:rPr>
        <w:t>62</w:t>
      </w:r>
      <w:r w:rsidR="00F159D8" w:rsidRPr="00387222">
        <w:rPr>
          <w:sz w:val="26"/>
          <w:szCs w:val="26"/>
          <w:vertAlign w:val="superscript"/>
        </w:rPr>
        <w:t xml:space="preserve">nd </w:t>
      </w:r>
      <w:r w:rsidR="00F159D8" w:rsidRPr="007937A2">
        <w:rPr>
          <w:sz w:val="26"/>
          <w:szCs w:val="26"/>
        </w:rPr>
        <w:t>worldwide</w:t>
      </w:r>
      <w:r w:rsidR="0089463E" w:rsidRPr="007937A2">
        <w:rPr>
          <w:sz w:val="26"/>
          <w:szCs w:val="26"/>
        </w:rPr>
        <w:t xml:space="preserve"> in terms of their disclosures.  The ranking included disclosure indices for loans, earning assets, deposits, and income.</w:t>
      </w:r>
      <w:r w:rsidR="00F662A8">
        <w:rPr>
          <w:sz w:val="26"/>
          <w:szCs w:val="26"/>
        </w:rPr>
        <w:t xml:space="preserve"> </w:t>
      </w:r>
      <w:r w:rsidR="0089463E" w:rsidRPr="007937A2">
        <w:rPr>
          <w:sz w:val="26"/>
          <w:szCs w:val="26"/>
        </w:rPr>
        <w:t xml:space="preserve"> The ranking for Saudi Arabia was 54</w:t>
      </w:r>
      <w:r w:rsidR="00030525" w:rsidRPr="00387222">
        <w:rPr>
          <w:sz w:val="26"/>
          <w:szCs w:val="26"/>
          <w:vertAlign w:val="superscript"/>
        </w:rPr>
        <w:t>th</w:t>
      </w:r>
      <w:r w:rsidR="00030525">
        <w:rPr>
          <w:sz w:val="26"/>
          <w:szCs w:val="26"/>
        </w:rPr>
        <w:t>,</w:t>
      </w:r>
      <w:r w:rsidR="0089463E" w:rsidRPr="007937A2">
        <w:rPr>
          <w:sz w:val="26"/>
          <w:szCs w:val="26"/>
        </w:rPr>
        <w:t xml:space="preserve"> while Lebanon was ranked 26</w:t>
      </w:r>
      <w:r w:rsidR="00030525" w:rsidRPr="00387222">
        <w:rPr>
          <w:sz w:val="26"/>
          <w:szCs w:val="26"/>
          <w:vertAlign w:val="superscript"/>
        </w:rPr>
        <w:t>th</w:t>
      </w:r>
      <w:r w:rsidR="0089463E" w:rsidRPr="007937A2">
        <w:rPr>
          <w:sz w:val="26"/>
          <w:szCs w:val="26"/>
        </w:rPr>
        <w:t xml:space="preserve">. </w:t>
      </w:r>
      <w:r w:rsidR="00F662A8">
        <w:rPr>
          <w:sz w:val="26"/>
          <w:szCs w:val="26"/>
        </w:rPr>
        <w:t xml:space="preserve"> </w:t>
      </w:r>
      <w:r w:rsidR="0089463E" w:rsidRPr="007937A2">
        <w:rPr>
          <w:sz w:val="26"/>
          <w:szCs w:val="26"/>
        </w:rPr>
        <w:t>Qatar</w:t>
      </w:r>
      <w:r w:rsidR="00BA7111">
        <w:rPr>
          <w:sz w:val="26"/>
          <w:szCs w:val="26"/>
        </w:rPr>
        <w:t xml:space="preserve"> and Bahrain were ranked among</w:t>
      </w:r>
      <w:r w:rsidR="0089463E" w:rsidRPr="007937A2">
        <w:rPr>
          <w:sz w:val="26"/>
          <w:szCs w:val="26"/>
        </w:rPr>
        <w:t xml:space="preserve"> the highest in the GCC. </w:t>
      </w:r>
    </w:p>
    <w:p w14:paraId="39B96922" w14:textId="7BE6E4D7" w:rsidR="00B51A1F" w:rsidRPr="007937A2" w:rsidRDefault="00266E5C" w:rsidP="00B51A1F">
      <w:pPr>
        <w:rPr>
          <w:sz w:val="26"/>
          <w:szCs w:val="26"/>
        </w:rPr>
      </w:pPr>
      <w:r w:rsidRPr="007937A2">
        <w:rPr>
          <w:sz w:val="26"/>
          <w:szCs w:val="26"/>
        </w:rPr>
        <w:t xml:space="preserve">Against this </w:t>
      </w:r>
      <w:r w:rsidR="00F159D8" w:rsidRPr="007937A2">
        <w:rPr>
          <w:sz w:val="26"/>
          <w:szCs w:val="26"/>
        </w:rPr>
        <w:t>backdrop</w:t>
      </w:r>
      <w:r w:rsidR="004E45AC" w:rsidRPr="007937A2">
        <w:rPr>
          <w:sz w:val="26"/>
          <w:szCs w:val="26"/>
        </w:rPr>
        <w:t>, we</w:t>
      </w:r>
      <w:r w:rsidR="00BA7111">
        <w:rPr>
          <w:sz w:val="26"/>
          <w:szCs w:val="26"/>
        </w:rPr>
        <w:t xml:space="preserve"> as researchers</w:t>
      </w:r>
      <w:r w:rsidR="004E45AC" w:rsidRPr="007937A2">
        <w:rPr>
          <w:sz w:val="26"/>
          <w:szCs w:val="26"/>
        </w:rPr>
        <w:t xml:space="preserve"> propose a study </w:t>
      </w:r>
      <w:r w:rsidRPr="007937A2">
        <w:rPr>
          <w:sz w:val="26"/>
          <w:szCs w:val="26"/>
        </w:rPr>
        <w:t>to analyze the value of the risk disclosures of the top banks in the GCC</w:t>
      </w:r>
      <w:r w:rsidR="00376536" w:rsidRPr="007937A2">
        <w:rPr>
          <w:sz w:val="26"/>
          <w:szCs w:val="26"/>
        </w:rPr>
        <w:t xml:space="preserve">.  </w:t>
      </w:r>
      <w:r w:rsidR="00B51A1F" w:rsidRPr="007937A2">
        <w:rPr>
          <w:sz w:val="26"/>
          <w:szCs w:val="26"/>
        </w:rPr>
        <w:t>We ask</w:t>
      </w:r>
      <w:r w:rsidR="00D94088">
        <w:rPr>
          <w:sz w:val="26"/>
          <w:szCs w:val="26"/>
        </w:rPr>
        <w:t xml:space="preserve"> the following question</w:t>
      </w:r>
      <w:r w:rsidR="00974113">
        <w:rPr>
          <w:sz w:val="26"/>
          <w:szCs w:val="26"/>
        </w:rPr>
        <w:t xml:space="preserve">:  </w:t>
      </w:r>
      <w:r w:rsidR="00B51A1F" w:rsidRPr="007937A2">
        <w:rPr>
          <w:sz w:val="26"/>
          <w:szCs w:val="26"/>
        </w:rPr>
        <w:t xml:space="preserve">Do capital </w:t>
      </w:r>
      <w:r w:rsidR="0059272D" w:rsidRPr="007937A2">
        <w:rPr>
          <w:sz w:val="26"/>
          <w:szCs w:val="26"/>
        </w:rPr>
        <w:t xml:space="preserve">ratio </w:t>
      </w:r>
      <w:r w:rsidR="00B51A1F" w:rsidRPr="007937A2">
        <w:rPr>
          <w:sz w:val="26"/>
          <w:szCs w:val="26"/>
        </w:rPr>
        <w:t xml:space="preserve">figures </w:t>
      </w:r>
      <w:r w:rsidR="008D0108">
        <w:rPr>
          <w:sz w:val="26"/>
          <w:szCs w:val="26"/>
        </w:rPr>
        <w:t xml:space="preserve">that banks disclose </w:t>
      </w:r>
      <w:r w:rsidR="00B51A1F" w:rsidRPr="007937A2">
        <w:rPr>
          <w:sz w:val="26"/>
          <w:szCs w:val="26"/>
        </w:rPr>
        <w:t xml:space="preserve">provide information about the evolution of </w:t>
      </w:r>
      <w:r w:rsidR="008D0108">
        <w:rPr>
          <w:sz w:val="26"/>
          <w:szCs w:val="26"/>
        </w:rPr>
        <w:t xml:space="preserve">their </w:t>
      </w:r>
      <w:r w:rsidR="00B51A1F" w:rsidRPr="007937A2">
        <w:rPr>
          <w:sz w:val="26"/>
          <w:szCs w:val="26"/>
        </w:rPr>
        <w:t xml:space="preserve">risk exposures over time </w:t>
      </w:r>
      <w:r w:rsidR="00975B99" w:rsidRPr="007937A2">
        <w:rPr>
          <w:sz w:val="26"/>
          <w:szCs w:val="26"/>
        </w:rPr>
        <w:t xml:space="preserve">or across </w:t>
      </w:r>
      <w:r w:rsidR="008D0108">
        <w:rPr>
          <w:sz w:val="26"/>
          <w:szCs w:val="26"/>
        </w:rPr>
        <w:t>institutions</w:t>
      </w:r>
      <w:r w:rsidR="00975B99" w:rsidRPr="007937A2">
        <w:rPr>
          <w:sz w:val="26"/>
          <w:szCs w:val="26"/>
        </w:rPr>
        <w:t xml:space="preserve"> </w:t>
      </w:r>
      <w:r w:rsidR="00B51A1F" w:rsidRPr="007937A2">
        <w:rPr>
          <w:sz w:val="26"/>
          <w:szCs w:val="26"/>
        </w:rPr>
        <w:t xml:space="preserve">beyond </w:t>
      </w:r>
      <w:r w:rsidR="008D0108">
        <w:rPr>
          <w:sz w:val="26"/>
          <w:szCs w:val="26"/>
        </w:rPr>
        <w:t xml:space="preserve">what they </w:t>
      </w:r>
      <w:r w:rsidR="004D62B3">
        <w:rPr>
          <w:sz w:val="26"/>
          <w:szCs w:val="26"/>
        </w:rPr>
        <w:t xml:space="preserve">already </w:t>
      </w:r>
      <w:r w:rsidR="00B51A1F" w:rsidRPr="007937A2">
        <w:rPr>
          <w:sz w:val="26"/>
          <w:szCs w:val="26"/>
        </w:rPr>
        <w:t xml:space="preserve">report? </w:t>
      </w:r>
    </w:p>
    <w:p w14:paraId="19030D01" w14:textId="77777777" w:rsidR="00FF6831" w:rsidRPr="007937A2" w:rsidRDefault="00FF6831" w:rsidP="007937A2">
      <w:pPr>
        <w:numPr>
          <w:ilvl w:val="0"/>
          <w:numId w:val="1"/>
        </w:numPr>
        <w:rPr>
          <w:b/>
          <w:sz w:val="26"/>
          <w:szCs w:val="26"/>
        </w:rPr>
      </w:pPr>
      <w:r w:rsidRPr="007937A2">
        <w:rPr>
          <w:b/>
          <w:sz w:val="26"/>
          <w:szCs w:val="26"/>
        </w:rPr>
        <w:t>Literature Review</w:t>
      </w:r>
    </w:p>
    <w:p w14:paraId="25169610" w14:textId="72EF2E78" w:rsidR="00EE2A6B" w:rsidRPr="007937A2" w:rsidRDefault="0041738C" w:rsidP="007937A2">
      <w:pPr>
        <w:rPr>
          <w:sz w:val="26"/>
          <w:szCs w:val="26"/>
        </w:rPr>
      </w:pPr>
      <w:r w:rsidRPr="007937A2">
        <w:rPr>
          <w:sz w:val="26"/>
          <w:szCs w:val="26"/>
        </w:rPr>
        <w:t xml:space="preserve">The literature on risk disclosures by banks is relatively broad. </w:t>
      </w:r>
      <w:r w:rsidR="00EE2A6B" w:rsidRPr="007937A2">
        <w:rPr>
          <w:sz w:val="26"/>
          <w:szCs w:val="26"/>
        </w:rPr>
        <w:t xml:space="preserve"> For </w:t>
      </w:r>
      <w:r w:rsidR="00CD0185">
        <w:rPr>
          <w:sz w:val="26"/>
          <w:szCs w:val="26"/>
        </w:rPr>
        <w:t>example</w:t>
      </w:r>
      <w:r w:rsidR="00EE2A6B" w:rsidRPr="007937A2">
        <w:rPr>
          <w:sz w:val="26"/>
          <w:szCs w:val="26"/>
        </w:rPr>
        <w:t xml:space="preserve">, </w:t>
      </w:r>
      <w:proofErr w:type="spellStart"/>
      <w:r w:rsidR="00EE2A6B" w:rsidRPr="007937A2">
        <w:rPr>
          <w:sz w:val="26"/>
          <w:szCs w:val="26"/>
        </w:rPr>
        <w:t>Jorion</w:t>
      </w:r>
      <w:proofErr w:type="spellEnd"/>
      <w:r w:rsidR="00EE2A6B" w:rsidRPr="007937A2">
        <w:rPr>
          <w:sz w:val="26"/>
          <w:szCs w:val="26"/>
        </w:rPr>
        <w:t xml:space="preserve"> (2002) shows that disclosed </w:t>
      </w:r>
      <w:proofErr w:type="spellStart"/>
      <w:r w:rsidR="00EE2A6B" w:rsidRPr="007937A2">
        <w:rPr>
          <w:sz w:val="26"/>
          <w:szCs w:val="26"/>
        </w:rPr>
        <w:t>VaRs</w:t>
      </w:r>
      <w:proofErr w:type="spellEnd"/>
      <w:r w:rsidR="00EE2A6B" w:rsidRPr="007937A2">
        <w:rPr>
          <w:sz w:val="26"/>
          <w:szCs w:val="26"/>
        </w:rPr>
        <w:t xml:space="preserve"> help to predict the variability of future revenues.</w:t>
      </w:r>
      <w:r w:rsidR="00CD0185">
        <w:rPr>
          <w:sz w:val="26"/>
          <w:szCs w:val="26"/>
        </w:rPr>
        <w:t xml:space="preserve">  </w:t>
      </w:r>
      <w:r w:rsidR="00472392" w:rsidRPr="007937A2">
        <w:rPr>
          <w:sz w:val="26"/>
          <w:szCs w:val="26"/>
        </w:rPr>
        <w:t xml:space="preserve">The opaqueness of bank assets and </w:t>
      </w:r>
      <w:r w:rsidR="00CD0185">
        <w:rPr>
          <w:sz w:val="26"/>
          <w:szCs w:val="26"/>
        </w:rPr>
        <w:t>disclosure is discussed by</w:t>
      </w:r>
      <w:r w:rsidR="00472392" w:rsidRPr="007937A2">
        <w:rPr>
          <w:sz w:val="26"/>
          <w:szCs w:val="26"/>
        </w:rPr>
        <w:t xml:space="preserve"> Flannery </w:t>
      </w:r>
      <w:r w:rsidR="00472392" w:rsidRPr="00387222">
        <w:rPr>
          <w:sz w:val="26"/>
          <w:szCs w:val="26"/>
        </w:rPr>
        <w:t>et al</w:t>
      </w:r>
      <w:r w:rsidR="004B68C2" w:rsidRPr="00387222">
        <w:rPr>
          <w:sz w:val="26"/>
          <w:szCs w:val="26"/>
        </w:rPr>
        <w:t>.</w:t>
      </w:r>
      <w:r w:rsidR="00472392" w:rsidRPr="007937A2">
        <w:rPr>
          <w:sz w:val="26"/>
          <w:szCs w:val="26"/>
        </w:rPr>
        <w:t xml:space="preserve"> (2004) in the context of U</w:t>
      </w:r>
      <w:r w:rsidR="008D54CC">
        <w:rPr>
          <w:sz w:val="26"/>
          <w:szCs w:val="26"/>
        </w:rPr>
        <w:t xml:space="preserve">. </w:t>
      </w:r>
      <w:r w:rsidR="00472392" w:rsidRPr="007937A2">
        <w:rPr>
          <w:sz w:val="26"/>
          <w:szCs w:val="26"/>
        </w:rPr>
        <w:t>S</w:t>
      </w:r>
      <w:r w:rsidR="008D54CC">
        <w:rPr>
          <w:sz w:val="26"/>
          <w:szCs w:val="26"/>
        </w:rPr>
        <w:t>.</w:t>
      </w:r>
      <w:r w:rsidR="00472392" w:rsidRPr="007937A2">
        <w:rPr>
          <w:sz w:val="26"/>
          <w:szCs w:val="26"/>
        </w:rPr>
        <w:t xml:space="preserve"> banks.  </w:t>
      </w:r>
      <w:r w:rsidR="00104F1C" w:rsidRPr="007937A2">
        <w:rPr>
          <w:sz w:val="26"/>
          <w:szCs w:val="26"/>
        </w:rPr>
        <w:t>B</w:t>
      </w:r>
      <w:r w:rsidR="00A85E4A">
        <w:rPr>
          <w:sz w:val="26"/>
          <w:szCs w:val="26"/>
        </w:rPr>
        <w:t>erkowitz and O’Brien (2002</w:t>
      </w:r>
      <w:r w:rsidR="00EE2A6B" w:rsidRPr="007937A2">
        <w:rPr>
          <w:sz w:val="26"/>
          <w:szCs w:val="26"/>
        </w:rPr>
        <w:t>) published the first direct evidence on the performance of U</w:t>
      </w:r>
      <w:r w:rsidR="008D54CC">
        <w:rPr>
          <w:sz w:val="26"/>
          <w:szCs w:val="26"/>
        </w:rPr>
        <w:t xml:space="preserve">. </w:t>
      </w:r>
      <w:r w:rsidR="00EE2A6B" w:rsidRPr="007937A2">
        <w:rPr>
          <w:sz w:val="26"/>
          <w:szCs w:val="26"/>
        </w:rPr>
        <w:t>S</w:t>
      </w:r>
      <w:r w:rsidR="008D54CC">
        <w:rPr>
          <w:sz w:val="26"/>
          <w:szCs w:val="26"/>
        </w:rPr>
        <w:t>.</w:t>
      </w:r>
      <w:r w:rsidR="00EE2A6B" w:rsidRPr="007937A2">
        <w:rPr>
          <w:sz w:val="26"/>
          <w:szCs w:val="26"/>
        </w:rPr>
        <w:t xml:space="preserve"> banks’ internal </w:t>
      </w:r>
      <w:proofErr w:type="spellStart"/>
      <w:r w:rsidR="00EE2A6B" w:rsidRPr="007937A2">
        <w:rPr>
          <w:sz w:val="26"/>
          <w:szCs w:val="26"/>
        </w:rPr>
        <w:t>VaR</w:t>
      </w:r>
      <w:proofErr w:type="spellEnd"/>
      <w:r w:rsidR="00EE2A6B" w:rsidRPr="007937A2">
        <w:rPr>
          <w:sz w:val="26"/>
          <w:szCs w:val="26"/>
        </w:rPr>
        <w:t xml:space="preserve"> models. </w:t>
      </w:r>
      <w:r w:rsidR="00CD0185">
        <w:rPr>
          <w:sz w:val="26"/>
          <w:szCs w:val="26"/>
        </w:rPr>
        <w:t xml:space="preserve"> </w:t>
      </w:r>
      <w:r w:rsidR="00EE2A6B" w:rsidRPr="007937A2">
        <w:rPr>
          <w:sz w:val="26"/>
          <w:szCs w:val="26"/>
        </w:rPr>
        <w:t>The</w:t>
      </w:r>
      <w:r w:rsidR="00CD0185">
        <w:rPr>
          <w:sz w:val="26"/>
          <w:szCs w:val="26"/>
        </w:rPr>
        <w:t>se authors</w:t>
      </w:r>
      <w:r w:rsidR="00EE2A6B" w:rsidRPr="007937A2">
        <w:rPr>
          <w:sz w:val="26"/>
          <w:szCs w:val="26"/>
        </w:rPr>
        <w:t xml:space="preserve"> show that aggregate </w:t>
      </w:r>
      <w:proofErr w:type="spellStart"/>
      <w:r w:rsidR="00EE2A6B" w:rsidRPr="007937A2">
        <w:rPr>
          <w:sz w:val="26"/>
          <w:szCs w:val="26"/>
        </w:rPr>
        <w:t>VaR</w:t>
      </w:r>
      <w:proofErr w:type="spellEnd"/>
      <w:r w:rsidR="00EE2A6B" w:rsidRPr="007937A2">
        <w:rPr>
          <w:sz w:val="26"/>
          <w:szCs w:val="26"/>
        </w:rPr>
        <w:t xml:space="preserve"> estimates are conservative and that they do not outperform forecasts based on simple econometric models, such as a GARCH model applied to </w:t>
      </w:r>
      <w:r w:rsidR="0052668D">
        <w:rPr>
          <w:sz w:val="26"/>
          <w:szCs w:val="26"/>
        </w:rPr>
        <w:t>profit</w:t>
      </w:r>
      <w:r w:rsidR="008D0108">
        <w:rPr>
          <w:sz w:val="26"/>
          <w:szCs w:val="26"/>
        </w:rPr>
        <w:t>s</w:t>
      </w:r>
      <w:r w:rsidR="0052668D">
        <w:rPr>
          <w:sz w:val="26"/>
          <w:szCs w:val="26"/>
        </w:rPr>
        <w:t xml:space="preserve"> and Losses (</w:t>
      </w:r>
      <w:r w:rsidR="00EE2A6B" w:rsidRPr="007937A2">
        <w:rPr>
          <w:sz w:val="26"/>
          <w:szCs w:val="26"/>
        </w:rPr>
        <w:t>P&amp;Ls</w:t>
      </w:r>
      <w:r w:rsidR="0052668D">
        <w:rPr>
          <w:sz w:val="26"/>
          <w:szCs w:val="26"/>
        </w:rPr>
        <w:t>)</w:t>
      </w:r>
      <w:r w:rsidR="008D0108">
        <w:rPr>
          <w:sz w:val="26"/>
          <w:szCs w:val="26"/>
        </w:rPr>
        <w:t xml:space="preserve"> of a bank</w:t>
      </w:r>
      <w:r w:rsidR="00EE2A6B" w:rsidRPr="007937A2">
        <w:rPr>
          <w:sz w:val="26"/>
          <w:szCs w:val="26"/>
        </w:rPr>
        <w:t xml:space="preserve">. </w:t>
      </w:r>
      <w:r w:rsidR="00CD0185">
        <w:rPr>
          <w:sz w:val="26"/>
          <w:szCs w:val="26"/>
        </w:rPr>
        <w:t xml:space="preserve"> </w:t>
      </w:r>
      <w:r w:rsidR="00EE2A6B" w:rsidRPr="007937A2">
        <w:rPr>
          <w:sz w:val="26"/>
          <w:szCs w:val="26"/>
        </w:rPr>
        <w:t xml:space="preserve">Using a sample of international banks, </w:t>
      </w:r>
      <w:proofErr w:type="spellStart"/>
      <w:r w:rsidR="00EE2A6B" w:rsidRPr="007937A2">
        <w:rPr>
          <w:sz w:val="26"/>
          <w:szCs w:val="26"/>
        </w:rPr>
        <w:t>Perignon</w:t>
      </w:r>
      <w:proofErr w:type="spellEnd"/>
      <w:r w:rsidR="00EE2A6B" w:rsidRPr="007937A2">
        <w:rPr>
          <w:sz w:val="26"/>
          <w:szCs w:val="26"/>
        </w:rPr>
        <w:t xml:space="preserve"> and Smith (2007) report that </w:t>
      </w:r>
      <w:r w:rsidR="008D0108">
        <w:rPr>
          <w:sz w:val="26"/>
          <w:szCs w:val="26"/>
        </w:rPr>
        <w:t xml:space="preserve">the </w:t>
      </w:r>
      <w:proofErr w:type="spellStart"/>
      <w:r w:rsidR="00EE2A6B" w:rsidRPr="007937A2">
        <w:rPr>
          <w:sz w:val="26"/>
          <w:szCs w:val="26"/>
        </w:rPr>
        <w:t>VaR</w:t>
      </w:r>
      <w:proofErr w:type="spellEnd"/>
      <w:r w:rsidR="00EE2A6B" w:rsidRPr="007937A2">
        <w:rPr>
          <w:sz w:val="26"/>
          <w:szCs w:val="26"/>
        </w:rPr>
        <w:t xml:space="preserve"> computed using historical simulation contains little information about future trading revenue vol</w:t>
      </w:r>
      <w:r w:rsidR="00A85E4A">
        <w:rPr>
          <w:sz w:val="26"/>
          <w:szCs w:val="26"/>
        </w:rPr>
        <w:t xml:space="preserve">atility.  Berkowitz </w:t>
      </w:r>
      <w:r w:rsidR="00A85E4A" w:rsidRPr="00387222">
        <w:rPr>
          <w:sz w:val="26"/>
          <w:szCs w:val="26"/>
        </w:rPr>
        <w:t>et al.</w:t>
      </w:r>
      <w:r w:rsidR="00A85E4A">
        <w:rPr>
          <w:sz w:val="26"/>
          <w:szCs w:val="26"/>
        </w:rPr>
        <w:t xml:space="preserve"> (2009</w:t>
      </w:r>
      <w:r w:rsidR="00EE2A6B" w:rsidRPr="007937A2">
        <w:rPr>
          <w:sz w:val="26"/>
          <w:szCs w:val="26"/>
        </w:rPr>
        <w:t xml:space="preserve">) use daily </w:t>
      </w:r>
      <w:proofErr w:type="spellStart"/>
      <w:r w:rsidR="00EE2A6B" w:rsidRPr="007937A2">
        <w:rPr>
          <w:sz w:val="26"/>
          <w:szCs w:val="26"/>
        </w:rPr>
        <w:t>VaR</w:t>
      </w:r>
      <w:proofErr w:type="spellEnd"/>
      <w:r w:rsidR="00EE2A6B" w:rsidRPr="007937A2">
        <w:rPr>
          <w:sz w:val="26"/>
          <w:szCs w:val="26"/>
        </w:rPr>
        <w:t xml:space="preserve"> and P&amp;L data generated by </w:t>
      </w:r>
      <w:r w:rsidR="000B5AF9">
        <w:rPr>
          <w:sz w:val="26"/>
          <w:szCs w:val="26"/>
        </w:rPr>
        <w:t xml:space="preserve">four </w:t>
      </w:r>
      <w:r w:rsidR="00EE2A6B" w:rsidRPr="007937A2">
        <w:rPr>
          <w:sz w:val="26"/>
          <w:szCs w:val="26"/>
        </w:rPr>
        <w:t xml:space="preserve">separate business lines </w:t>
      </w:r>
      <w:r w:rsidR="00104F1C" w:rsidRPr="007937A2">
        <w:rPr>
          <w:sz w:val="26"/>
          <w:szCs w:val="26"/>
        </w:rPr>
        <w:t>from</w:t>
      </w:r>
      <w:r w:rsidR="00EE2A6B" w:rsidRPr="007937A2">
        <w:rPr>
          <w:sz w:val="26"/>
          <w:szCs w:val="26"/>
        </w:rPr>
        <w:t xml:space="preserve"> a large international commercial bank.</w:t>
      </w:r>
      <w:r w:rsidR="00CD0185">
        <w:rPr>
          <w:sz w:val="26"/>
          <w:szCs w:val="26"/>
        </w:rPr>
        <w:t xml:space="preserve">  These researchers</w:t>
      </w:r>
      <w:r w:rsidR="00EE2A6B" w:rsidRPr="007937A2">
        <w:rPr>
          <w:sz w:val="26"/>
          <w:szCs w:val="26"/>
        </w:rPr>
        <w:t xml:space="preserve"> find that the </w:t>
      </w:r>
      <w:r w:rsidR="00DA7D2B" w:rsidRPr="007937A2">
        <w:rPr>
          <w:sz w:val="26"/>
          <w:szCs w:val="26"/>
        </w:rPr>
        <w:t xml:space="preserve">accuracy of the </w:t>
      </w:r>
      <w:proofErr w:type="spellStart"/>
      <w:r w:rsidR="00DA7D2B" w:rsidRPr="007937A2">
        <w:rPr>
          <w:sz w:val="26"/>
          <w:szCs w:val="26"/>
        </w:rPr>
        <w:t>VaR</w:t>
      </w:r>
      <w:proofErr w:type="spellEnd"/>
      <w:r w:rsidR="00DA7D2B" w:rsidRPr="007937A2">
        <w:rPr>
          <w:sz w:val="26"/>
          <w:szCs w:val="26"/>
        </w:rPr>
        <w:t xml:space="preserve"> is rejected in </w:t>
      </w:r>
      <w:r w:rsidR="000B5AF9">
        <w:rPr>
          <w:sz w:val="26"/>
          <w:szCs w:val="26"/>
        </w:rPr>
        <w:t xml:space="preserve">two </w:t>
      </w:r>
      <w:r w:rsidR="00DA7D2B" w:rsidRPr="007937A2">
        <w:rPr>
          <w:sz w:val="26"/>
          <w:szCs w:val="26"/>
        </w:rPr>
        <w:t>of the</w:t>
      </w:r>
      <w:r w:rsidR="00104F1C" w:rsidRPr="007937A2">
        <w:rPr>
          <w:sz w:val="26"/>
          <w:szCs w:val="26"/>
        </w:rPr>
        <w:t xml:space="preserve"> </w:t>
      </w:r>
      <w:r w:rsidR="000B5AF9">
        <w:rPr>
          <w:sz w:val="26"/>
          <w:szCs w:val="26"/>
        </w:rPr>
        <w:t xml:space="preserve">four </w:t>
      </w:r>
      <w:r w:rsidR="00DA7D2B" w:rsidRPr="007937A2">
        <w:rPr>
          <w:sz w:val="26"/>
          <w:szCs w:val="26"/>
        </w:rPr>
        <w:t xml:space="preserve">separate business lines of the bank.  Since </w:t>
      </w:r>
      <w:r w:rsidR="00F159D8" w:rsidRPr="007937A2">
        <w:rPr>
          <w:sz w:val="26"/>
          <w:szCs w:val="26"/>
        </w:rPr>
        <w:t xml:space="preserve">the Basle Accord currently adopts no formal back-testing method for </w:t>
      </w:r>
      <w:proofErr w:type="spellStart"/>
      <w:r w:rsidR="00F159D8" w:rsidRPr="007937A2">
        <w:rPr>
          <w:sz w:val="26"/>
          <w:szCs w:val="26"/>
        </w:rPr>
        <w:t>VaR</w:t>
      </w:r>
      <w:proofErr w:type="spellEnd"/>
      <w:r w:rsidR="00F159D8" w:rsidRPr="007937A2">
        <w:rPr>
          <w:sz w:val="26"/>
          <w:szCs w:val="26"/>
        </w:rPr>
        <w:t xml:space="preserve"> accuracy</w:t>
      </w:r>
      <w:r w:rsidR="00CD0185">
        <w:rPr>
          <w:sz w:val="26"/>
          <w:szCs w:val="26"/>
        </w:rPr>
        <w:t xml:space="preserve">, </w:t>
      </w:r>
      <w:r w:rsidR="004A10C6" w:rsidRPr="004A10C6">
        <w:rPr>
          <w:sz w:val="26"/>
          <w:szCs w:val="26"/>
        </w:rPr>
        <w:t>it</w:t>
      </w:r>
      <w:r w:rsidR="00CD0185">
        <w:rPr>
          <w:sz w:val="26"/>
          <w:szCs w:val="26"/>
        </w:rPr>
        <w:t xml:space="preserve"> </w:t>
      </w:r>
      <w:r w:rsidR="00DA7D2B" w:rsidRPr="007937A2">
        <w:rPr>
          <w:sz w:val="26"/>
          <w:szCs w:val="26"/>
        </w:rPr>
        <w:t>recommend</w:t>
      </w:r>
      <w:r w:rsidR="00CD0185" w:rsidRPr="004A10C6">
        <w:rPr>
          <w:sz w:val="26"/>
          <w:szCs w:val="26"/>
        </w:rPr>
        <w:t>(s)</w:t>
      </w:r>
      <w:r w:rsidR="00CD0185">
        <w:rPr>
          <w:sz w:val="26"/>
          <w:szCs w:val="26"/>
        </w:rPr>
        <w:t xml:space="preserve"> improving the regulatory scheme and</w:t>
      </w:r>
      <w:r w:rsidR="00F159D8">
        <w:rPr>
          <w:sz w:val="26"/>
          <w:szCs w:val="26"/>
        </w:rPr>
        <w:t xml:space="preserve"> </w:t>
      </w:r>
      <w:r w:rsidR="00CD0185">
        <w:rPr>
          <w:sz w:val="26"/>
          <w:szCs w:val="26"/>
        </w:rPr>
        <w:t>providing</w:t>
      </w:r>
      <w:r w:rsidR="00DA7D2B" w:rsidRPr="007937A2">
        <w:rPr>
          <w:sz w:val="26"/>
          <w:szCs w:val="26"/>
        </w:rPr>
        <w:t xml:space="preserve"> guidance about which unified </w:t>
      </w:r>
      <w:proofErr w:type="spellStart"/>
      <w:r w:rsidR="00DA7D2B" w:rsidRPr="007937A2">
        <w:rPr>
          <w:sz w:val="26"/>
          <w:szCs w:val="26"/>
        </w:rPr>
        <w:t>VaR</w:t>
      </w:r>
      <w:proofErr w:type="spellEnd"/>
      <w:r w:rsidR="00DA7D2B" w:rsidRPr="007937A2">
        <w:rPr>
          <w:sz w:val="26"/>
          <w:szCs w:val="26"/>
        </w:rPr>
        <w:t xml:space="preserve"> calculation method to </w:t>
      </w:r>
      <w:r w:rsidR="00104F1C" w:rsidRPr="007937A2">
        <w:rPr>
          <w:sz w:val="26"/>
          <w:szCs w:val="26"/>
        </w:rPr>
        <w:t>use</w:t>
      </w:r>
      <w:r w:rsidR="00DA7D2B" w:rsidRPr="007937A2">
        <w:rPr>
          <w:sz w:val="26"/>
          <w:szCs w:val="26"/>
        </w:rPr>
        <w:t xml:space="preserve">.  </w:t>
      </w:r>
    </w:p>
    <w:p w14:paraId="6E87AE37" w14:textId="0853C78F" w:rsidR="00266ED7" w:rsidRPr="007937A2" w:rsidRDefault="00266ED7" w:rsidP="00266ED7">
      <w:pPr>
        <w:rPr>
          <w:sz w:val="26"/>
          <w:szCs w:val="26"/>
        </w:rPr>
      </w:pPr>
      <w:r w:rsidRPr="007937A2">
        <w:rPr>
          <w:sz w:val="26"/>
          <w:szCs w:val="26"/>
        </w:rPr>
        <w:lastRenderedPageBreak/>
        <w:t>Using a sample of 24 U.</w:t>
      </w:r>
      <w:r w:rsidR="008E72F0">
        <w:rPr>
          <w:sz w:val="26"/>
          <w:szCs w:val="26"/>
        </w:rPr>
        <w:t xml:space="preserve"> </w:t>
      </w:r>
      <w:r w:rsidRPr="007937A2">
        <w:rPr>
          <w:sz w:val="26"/>
          <w:szCs w:val="26"/>
        </w:rPr>
        <w:t>S. commercial banks, Chen and Gao (2010) examine the relation</w:t>
      </w:r>
      <w:r w:rsidR="00AD331C">
        <w:rPr>
          <w:sz w:val="26"/>
          <w:szCs w:val="26"/>
        </w:rPr>
        <w:t>ship</w:t>
      </w:r>
      <w:r w:rsidRPr="007937A2">
        <w:rPr>
          <w:sz w:val="26"/>
          <w:szCs w:val="26"/>
        </w:rPr>
        <w:t xml:space="preserve"> between </w:t>
      </w:r>
      <w:r w:rsidR="001E50B8">
        <w:rPr>
          <w:sz w:val="26"/>
          <w:szCs w:val="26"/>
        </w:rPr>
        <w:t xml:space="preserve">the </w:t>
      </w:r>
      <w:r w:rsidRPr="007937A2">
        <w:rPr>
          <w:sz w:val="26"/>
          <w:szCs w:val="26"/>
        </w:rPr>
        <w:t xml:space="preserve">VAR of trading activities </w:t>
      </w:r>
      <w:r w:rsidR="001E50B8">
        <w:rPr>
          <w:sz w:val="26"/>
          <w:szCs w:val="26"/>
        </w:rPr>
        <w:t xml:space="preserve">of a bank </w:t>
      </w:r>
      <w:r w:rsidRPr="007937A2">
        <w:rPr>
          <w:sz w:val="26"/>
          <w:szCs w:val="26"/>
        </w:rPr>
        <w:t xml:space="preserve">and </w:t>
      </w:r>
      <w:r w:rsidR="001E50B8">
        <w:rPr>
          <w:sz w:val="26"/>
          <w:szCs w:val="26"/>
        </w:rPr>
        <w:t>its</w:t>
      </w:r>
      <w:r w:rsidRPr="007937A2">
        <w:rPr>
          <w:sz w:val="26"/>
          <w:szCs w:val="26"/>
        </w:rPr>
        <w:t xml:space="preserve"> cost of equity capital. </w:t>
      </w:r>
      <w:r w:rsidR="00F662A8">
        <w:rPr>
          <w:sz w:val="26"/>
          <w:szCs w:val="26"/>
        </w:rPr>
        <w:t xml:space="preserve"> </w:t>
      </w:r>
      <w:r w:rsidRPr="007937A2">
        <w:rPr>
          <w:sz w:val="26"/>
          <w:szCs w:val="26"/>
        </w:rPr>
        <w:t>T</w:t>
      </w:r>
      <w:r w:rsidR="00BD3D6C" w:rsidRPr="007937A2">
        <w:rPr>
          <w:sz w:val="26"/>
          <w:szCs w:val="26"/>
        </w:rPr>
        <w:t xml:space="preserve">hey find support for the claim </w:t>
      </w:r>
      <w:r w:rsidRPr="007937A2">
        <w:rPr>
          <w:sz w:val="26"/>
          <w:szCs w:val="26"/>
        </w:rPr>
        <w:t xml:space="preserve">that VAR captures </w:t>
      </w:r>
      <w:r w:rsidR="001E50B8">
        <w:rPr>
          <w:sz w:val="26"/>
          <w:szCs w:val="26"/>
        </w:rPr>
        <w:t xml:space="preserve">the </w:t>
      </w:r>
      <w:r w:rsidRPr="007937A2">
        <w:rPr>
          <w:sz w:val="26"/>
          <w:szCs w:val="26"/>
        </w:rPr>
        <w:t>trading risk</w:t>
      </w:r>
      <w:r w:rsidR="001E50B8">
        <w:rPr>
          <w:sz w:val="26"/>
          <w:szCs w:val="26"/>
        </w:rPr>
        <w:t xml:space="preserve"> of a bank effectively</w:t>
      </w:r>
      <w:r w:rsidRPr="007937A2">
        <w:rPr>
          <w:sz w:val="26"/>
          <w:szCs w:val="26"/>
        </w:rPr>
        <w:t>.</w:t>
      </w:r>
      <w:r w:rsidR="00BD3D6C" w:rsidRPr="007937A2">
        <w:rPr>
          <w:sz w:val="26"/>
          <w:szCs w:val="26"/>
        </w:rPr>
        <w:t xml:space="preserve">  </w:t>
      </w:r>
      <w:r w:rsidR="00472392" w:rsidRPr="007937A2">
        <w:rPr>
          <w:sz w:val="26"/>
          <w:szCs w:val="26"/>
        </w:rPr>
        <w:t xml:space="preserve"> </w:t>
      </w:r>
    </w:p>
    <w:p w14:paraId="3FADE3A6" w14:textId="3E0CAEEF" w:rsidR="001E50B8" w:rsidRDefault="00472392" w:rsidP="00F662A8">
      <w:pPr>
        <w:rPr>
          <w:sz w:val="26"/>
          <w:szCs w:val="26"/>
        </w:rPr>
      </w:pPr>
      <w:r w:rsidRPr="007937A2">
        <w:rPr>
          <w:sz w:val="26"/>
          <w:szCs w:val="26"/>
        </w:rPr>
        <w:t>The risk disclosures of U</w:t>
      </w:r>
      <w:r w:rsidR="008E72F0">
        <w:rPr>
          <w:sz w:val="26"/>
          <w:szCs w:val="26"/>
        </w:rPr>
        <w:t xml:space="preserve">. </w:t>
      </w:r>
      <w:r w:rsidRPr="007937A2">
        <w:rPr>
          <w:sz w:val="26"/>
          <w:szCs w:val="26"/>
        </w:rPr>
        <w:t>S</w:t>
      </w:r>
      <w:r w:rsidR="008E72F0">
        <w:rPr>
          <w:sz w:val="26"/>
          <w:szCs w:val="26"/>
        </w:rPr>
        <w:t>.</w:t>
      </w:r>
      <w:r w:rsidRPr="007937A2">
        <w:rPr>
          <w:sz w:val="26"/>
          <w:szCs w:val="26"/>
        </w:rPr>
        <w:t xml:space="preserve"> and Intern</w:t>
      </w:r>
      <w:r w:rsidR="0052668D">
        <w:rPr>
          <w:sz w:val="26"/>
          <w:szCs w:val="26"/>
        </w:rPr>
        <w:t>ational banks have been</w:t>
      </w:r>
      <w:r w:rsidR="00AD331C">
        <w:rPr>
          <w:sz w:val="26"/>
          <w:szCs w:val="26"/>
        </w:rPr>
        <w:t xml:space="preserve"> examined by</w:t>
      </w:r>
      <w:r w:rsidRPr="007937A2">
        <w:rPr>
          <w:sz w:val="26"/>
          <w:szCs w:val="26"/>
        </w:rPr>
        <w:t xml:space="preserve"> </w:t>
      </w:r>
      <w:proofErr w:type="spellStart"/>
      <w:r w:rsidRPr="007937A2">
        <w:rPr>
          <w:sz w:val="26"/>
          <w:szCs w:val="26"/>
        </w:rPr>
        <w:t>Perignon</w:t>
      </w:r>
      <w:proofErr w:type="spellEnd"/>
      <w:r w:rsidRPr="007937A2">
        <w:rPr>
          <w:sz w:val="26"/>
          <w:szCs w:val="26"/>
        </w:rPr>
        <w:t xml:space="preserve"> and Smith (2009) who study both the level and accuracy of their reported </w:t>
      </w:r>
      <w:proofErr w:type="spellStart"/>
      <w:r w:rsidRPr="007937A2">
        <w:rPr>
          <w:sz w:val="26"/>
          <w:szCs w:val="26"/>
        </w:rPr>
        <w:t>VaR</w:t>
      </w:r>
      <w:proofErr w:type="spellEnd"/>
      <w:r w:rsidRPr="007937A2">
        <w:rPr>
          <w:sz w:val="26"/>
          <w:szCs w:val="26"/>
        </w:rPr>
        <w:t xml:space="preserve"> figures.  Using </w:t>
      </w:r>
      <w:r w:rsidR="001E50B8">
        <w:rPr>
          <w:sz w:val="26"/>
          <w:szCs w:val="26"/>
        </w:rPr>
        <w:t xml:space="preserve">a </w:t>
      </w:r>
      <w:r w:rsidRPr="007937A2">
        <w:rPr>
          <w:sz w:val="26"/>
          <w:szCs w:val="26"/>
        </w:rPr>
        <w:t xml:space="preserve">panel data over the period </w:t>
      </w:r>
      <w:r w:rsidR="00AD331C">
        <w:rPr>
          <w:sz w:val="26"/>
          <w:szCs w:val="26"/>
        </w:rPr>
        <w:t>1996–</w:t>
      </w:r>
      <w:r w:rsidRPr="007937A2">
        <w:rPr>
          <w:sz w:val="26"/>
          <w:szCs w:val="26"/>
        </w:rPr>
        <w:t xml:space="preserve">2005, the authors find an overall upward trend in the quantity of information released to the public. </w:t>
      </w:r>
      <w:r w:rsidR="00AD331C">
        <w:rPr>
          <w:sz w:val="26"/>
          <w:szCs w:val="26"/>
        </w:rPr>
        <w:t xml:space="preserve"> </w:t>
      </w:r>
      <w:r w:rsidRPr="007937A2">
        <w:rPr>
          <w:sz w:val="26"/>
          <w:szCs w:val="26"/>
        </w:rPr>
        <w:t xml:space="preserve">However, the quality of </w:t>
      </w:r>
      <w:proofErr w:type="spellStart"/>
      <w:r w:rsidRPr="007937A2">
        <w:rPr>
          <w:sz w:val="26"/>
          <w:szCs w:val="26"/>
        </w:rPr>
        <w:t>VaR</w:t>
      </w:r>
      <w:proofErr w:type="spellEnd"/>
      <w:r w:rsidRPr="007937A2">
        <w:rPr>
          <w:sz w:val="26"/>
          <w:szCs w:val="26"/>
        </w:rPr>
        <w:t xml:space="preserve"> disclosure shows no sign of improvement over time.  </w:t>
      </w:r>
    </w:p>
    <w:p w14:paraId="66335BFB" w14:textId="079FD906" w:rsidR="00871DC3" w:rsidRPr="007937A2" w:rsidRDefault="00472392" w:rsidP="00F662A8">
      <w:pPr>
        <w:rPr>
          <w:sz w:val="26"/>
          <w:szCs w:val="26"/>
        </w:rPr>
      </w:pPr>
      <w:r w:rsidRPr="007937A2">
        <w:rPr>
          <w:sz w:val="26"/>
          <w:szCs w:val="26"/>
        </w:rPr>
        <w:t xml:space="preserve">Studies on bank disclosure in </w:t>
      </w:r>
      <w:r w:rsidR="00104F1C" w:rsidRPr="007937A2">
        <w:rPr>
          <w:sz w:val="26"/>
          <w:szCs w:val="26"/>
        </w:rPr>
        <w:t xml:space="preserve">other </w:t>
      </w:r>
      <w:r w:rsidRPr="007937A2">
        <w:rPr>
          <w:sz w:val="26"/>
          <w:szCs w:val="26"/>
        </w:rPr>
        <w:t xml:space="preserve">countries include Hossain (2008) for banks in India, and </w:t>
      </w:r>
      <w:proofErr w:type="spellStart"/>
      <w:r w:rsidRPr="007937A2">
        <w:rPr>
          <w:sz w:val="26"/>
          <w:szCs w:val="26"/>
        </w:rPr>
        <w:t>Frolov</w:t>
      </w:r>
      <w:proofErr w:type="spellEnd"/>
      <w:r w:rsidRPr="007937A2">
        <w:rPr>
          <w:sz w:val="26"/>
          <w:szCs w:val="26"/>
        </w:rPr>
        <w:t xml:space="preserve"> (2006)</w:t>
      </w:r>
      <w:r w:rsidR="00AD331C">
        <w:rPr>
          <w:sz w:val="26"/>
          <w:szCs w:val="26"/>
        </w:rPr>
        <w:t>,</w:t>
      </w:r>
      <w:r w:rsidRPr="007937A2">
        <w:rPr>
          <w:sz w:val="26"/>
          <w:szCs w:val="26"/>
        </w:rPr>
        <w:t xml:space="preserve"> in Japan.   </w:t>
      </w:r>
      <w:r w:rsidR="00871DC3" w:rsidRPr="007937A2">
        <w:rPr>
          <w:sz w:val="26"/>
          <w:szCs w:val="26"/>
        </w:rPr>
        <w:t xml:space="preserve">More recent studies on the risk disclosure of banks in </w:t>
      </w:r>
      <w:r w:rsidR="0052668D">
        <w:rPr>
          <w:sz w:val="26"/>
          <w:szCs w:val="26"/>
        </w:rPr>
        <w:t xml:space="preserve">the </w:t>
      </w:r>
      <w:r w:rsidR="00871DC3" w:rsidRPr="007937A2">
        <w:rPr>
          <w:sz w:val="26"/>
          <w:szCs w:val="26"/>
        </w:rPr>
        <w:t xml:space="preserve">MENA </w:t>
      </w:r>
      <w:r w:rsidR="0052668D">
        <w:rPr>
          <w:sz w:val="26"/>
          <w:szCs w:val="26"/>
        </w:rPr>
        <w:t xml:space="preserve">countries </w:t>
      </w:r>
      <w:r w:rsidR="00871DC3" w:rsidRPr="007937A2">
        <w:rPr>
          <w:sz w:val="26"/>
          <w:szCs w:val="26"/>
        </w:rPr>
        <w:t xml:space="preserve">include Abu El </w:t>
      </w:r>
      <w:proofErr w:type="spellStart"/>
      <w:r w:rsidR="00871DC3" w:rsidRPr="007937A2">
        <w:rPr>
          <w:sz w:val="26"/>
          <w:szCs w:val="26"/>
        </w:rPr>
        <w:t>Hajja</w:t>
      </w:r>
      <w:proofErr w:type="spellEnd"/>
      <w:r w:rsidR="00871DC3" w:rsidRPr="007937A2">
        <w:rPr>
          <w:sz w:val="26"/>
          <w:szCs w:val="26"/>
        </w:rPr>
        <w:t xml:space="preserve"> and Al Hayek (2012</w:t>
      </w:r>
      <w:r w:rsidR="00974380" w:rsidRPr="007937A2">
        <w:rPr>
          <w:sz w:val="26"/>
          <w:szCs w:val="26"/>
        </w:rPr>
        <w:t>)</w:t>
      </w:r>
      <w:r w:rsidRPr="007937A2">
        <w:rPr>
          <w:sz w:val="26"/>
          <w:szCs w:val="26"/>
        </w:rPr>
        <w:t>,</w:t>
      </w:r>
      <w:r w:rsidR="00974380" w:rsidRPr="007937A2">
        <w:rPr>
          <w:sz w:val="26"/>
          <w:szCs w:val="26"/>
        </w:rPr>
        <w:t xml:space="preserve"> </w:t>
      </w:r>
      <w:r w:rsidR="00871DC3" w:rsidRPr="007937A2">
        <w:rPr>
          <w:sz w:val="26"/>
          <w:szCs w:val="26"/>
        </w:rPr>
        <w:t>who assess the operational risk disclos</w:t>
      </w:r>
      <w:r w:rsidR="00104F1C" w:rsidRPr="007937A2">
        <w:rPr>
          <w:sz w:val="26"/>
          <w:szCs w:val="26"/>
        </w:rPr>
        <w:t>ed</w:t>
      </w:r>
      <w:r w:rsidR="00871DC3" w:rsidRPr="007937A2">
        <w:rPr>
          <w:sz w:val="26"/>
          <w:szCs w:val="26"/>
        </w:rPr>
        <w:t xml:space="preserve"> </w:t>
      </w:r>
      <w:r w:rsidR="00104F1C" w:rsidRPr="007937A2">
        <w:rPr>
          <w:sz w:val="26"/>
          <w:szCs w:val="26"/>
        </w:rPr>
        <w:t xml:space="preserve">by </w:t>
      </w:r>
      <w:r w:rsidR="00871DC3" w:rsidRPr="007937A2">
        <w:rPr>
          <w:sz w:val="26"/>
          <w:szCs w:val="26"/>
        </w:rPr>
        <w:t>Jordanian banks</w:t>
      </w:r>
      <w:r w:rsidR="009E5EC9" w:rsidRPr="007937A2">
        <w:rPr>
          <w:sz w:val="26"/>
          <w:szCs w:val="26"/>
        </w:rPr>
        <w:t xml:space="preserve">.  The authors find </w:t>
      </w:r>
      <w:r w:rsidR="00871DC3" w:rsidRPr="007937A2">
        <w:rPr>
          <w:sz w:val="26"/>
          <w:szCs w:val="26"/>
        </w:rPr>
        <w:t>evidence that Jordanian banks primarily meet the requirement</w:t>
      </w:r>
      <w:r w:rsidR="009E5EC9" w:rsidRPr="007937A2">
        <w:rPr>
          <w:sz w:val="26"/>
          <w:szCs w:val="26"/>
        </w:rPr>
        <w:t>s</w:t>
      </w:r>
      <w:r w:rsidR="00871DC3" w:rsidRPr="007937A2">
        <w:rPr>
          <w:sz w:val="26"/>
          <w:szCs w:val="26"/>
        </w:rPr>
        <w:t xml:space="preserve"> of </w:t>
      </w:r>
      <w:r w:rsidR="009E5EC9" w:rsidRPr="007937A2">
        <w:rPr>
          <w:sz w:val="26"/>
          <w:szCs w:val="26"/>
        </w:rPr>
        <w:t xml:space="preserve">the </w:t>
      </w:r>
      <w:r w:rsidR="00871DC3" w:rsidRPr="007937A2">
        <w:rPr>
          <w:sz w:val="26"/>
          <w:szCs w:val="26"/>
        </w:rPr>
        <w:t xml:space="preserve">central bank of Jordan </w:t>
      </w:r>
      <w:r w:rsidR="009E5EC9" w:rsidRPr="007937A2">
        <w:rPr>
          <w:sz w:val="26"/>
          <w:szCs w:val="26"/>
        </w:rPr>
        <w:t xml:space="preserve">despite the existence of </w:t>
      </w:r>
      <w:r w:rsidR="00871DC3" w:rsidRPr="007937A2">
        <w:rPr>
          <w:sz w:val="26"/>
          <w:szCs w:val="26"/>
        </w:rPr>
        <w:t>many discrepancies.</w:t>
      </w:r>
      <w:r w:rsidRPr="007937A2">
        <w:rPr>
          <w:sz w:val="26"/>
          <w:szCs w:val="26"/>
        </w:rPr>
        <w:t xml:space="preserve">  </w:t>
      </w:r>
    </w:p>
    <w:p w14:paraId="5B5C8A84" w14:textId="704AFA94" w:rsidR="0074019E" w:rsidRPr="007937A2" w:rsidRDefault="008E72F0" w:rsidP="0074019E">
      <w:pPr>
        <w:rPr>
          <w:sz w:val="26"/>
          <w:szCs w:val="26"/>
        </w:rPr>
      </w:pPr>
      <w:r>
        <w:rPr>
          <w:sz w:val="26"/>
          <w:szCs w:val="26"/>
        </w:rPr>
        <w:t>This</w:t>
      </w:r>
      <w:r w:rsidR="00472392" w:rsidRPr="007937A2">
        <w:rPr>
          <w:sz w:val="26"/>
          <w:szCs w:val="26"/>
        </w:rPr>
        <w:t xml:space="preserve"> paper complements the existing literature on </w:t>
      </w:r>
      <w:r w:rsidR="001E50B8">
        <w:rPr>
          <w:sz w:val="26"/>
          <w:szCs w:val="26"/>
        </w:rPr>
        <w:t xml:space="preserve">risk </w:t>
      </w:r>
      <w:r w:rsidR="00974380" w:rsidRPr="007937A2">
        <w:rPr>
          <w:sz w:val="26"/>
          <w:szCs w:val="26"/>
        </w:rPr>
        <w:t>d</w:t>
      </w:r>
      <w:r w:rsidR="00472392" w:rsidRPr="007937A2">
        <w:rPr>
          <w:sz w:val="26"/>
          <w:szCs w:val="26"/>
        </w:rPr>
        <w:t xml:space="preserve">isclosure </w:t>
      </w:r>
      <w:r w:rsidR="002C49A3" w:rsidRPr="007937A2">
        <w:rPr>
          <w:sz w:val="26"/>
          <w:szCs w:val="26"/>
        </w:rPr>
        <w:t xml:space="preserve">by examining banks in the GCC </w:t>
      </w:r>
      <w:r w:rsidR="00472392" w:rsidRPr="007937A2">
        <w:rPr>
          <w:sz w:val="26"/>
          <w:szCs w:val="26"/>
        </w:rPr>
        <w:t>without restricting itself to focus only on operational risk</w:t>
      </w:r>
      <w:r w:rsidR="004944E5" w:rsidRPr="007937A2">
        <w:rPr>
          <w:sz w:val="26"/>
          <w:szCs w:val="26"/>
        </w:rPr>
        <w:t xml:space="preserve"> </w:t>
      </w:r>
      <w:r w:rsidR="00104F1C" w:rsidRPr="007937A2">
        <w:rPr>
          <w:sz w:val="26"/>
          <w:szCs w:val="26"/>
        </w:rPr>
        <w:t xml:space="preserve">because, on average, this category </w:t>
      </w:r>
      <w:r w:rsidR="004944E5" w:rsidRPr="007937A2">
        <w:rPr>
          <w:sz w:val="26"/>
          <w:szCs w:val="26"/>
        </w:rPr>
        <w:t xml:space="preserve">only </w:t>
      </w:r>
      <w:r w:rsidR="00104F1C" w:rsidRPr="007937A2">
        <w:rPr>
          <w:sz w:val="26"/>
          <w:szCs w:val="26"/>
        </w:rPr>
        <w:t xml:space="preserve">represents </w:t>
      </w:r>
      <w:r w:rsidR="004944E5" w:rsidRPr="007937A2">
        <w:rPr>
          <w:sz w:val="26"/>
          <w:szCs w:val="26"/>
        </w:rPr>
        <w:t>10% of the total risk that banks disclose</w:t>
      </w:r>
      <w:r w:rsidR="00472392" w:rsidRPr="007937A2">
        <w:rPr>
          <w:sz w:val="26"/>
          <w:szCs w:val="26"/>
        </w:rPr>
        <w:t xml:space="preserve">.  </w:t>
      </w:r>
      <w:r w:rsidR="00104F1C" w:rsidRPr="007937A2">
        <w:rPr>
          <w:sz w:val="26"/>
          <w:szCs w:val="26"/>
        </w:rPr>
        <w:t xml:space="preserve">In the GCC, the major risks that banks </w:t>
      </w:r>
      <w:r w:rsidR="00974380" w:rsidRPr="007937A2">
        <w:rPr>
          <w:sz w:val="26"/>
          <w:szCs w:val="26"/>
        </w:rPr>
        <w:t>face</w:t>
      </w:r>
      <w:r w:rsidR="00104F1C" w:rsidRPr="007937A2">
        <w:rPr>
          <w:sz w:val="26"/>
          <w:szCs w:val="26"/>
        </w:rPr>
        <w:t xml:space="preserve"> are either credit or market driven.  </w:t>
      </w:r>
      <w:r w:rsidR="004944E5" w:rsidRPr="007937A2">
        <w:rPr>
          <w:sz w:val="26"/>
          <w:szCs w:val="26"/>
        </w:rPr>
        <w:t>Large banks in the GCC have been required to hold capital sufficient to cover the market risks in their trading portfolios.</w:t>
      </w:r>
      <w:r w:rsidR="00AD331C">
        <w:rPr>
          <w:sz w:val="26"/>
          <w:szCs w:val="26"/>
        </w:rPr>
        <w:t xml:space="preserve"> </w:t>
      </w:r>
      <w:r w:rsidR="004944E5" w:rsidRPr="007937A2">
        <w:rPr>
          <w:sz w:val="26"/>
          <w:szCs w:val="26"/>
        </w:rPr>
        <w:t xml:space="preserve"> The capital amounts that each bank must hold, disclosed to the public in their annual and quarterly reports, appear to offer new information about the market</w:t>
      </w:r>
      <w:r w:rsidR="00AD331C">
        <w:rPr>
          <w:sz w:val="26"/>
          <w:szCs w:val="26"/>
        </w:rPr>
        <w:t>-</w:t>
      </w:r>
      <w:r w:rsidR="004944E5" w:rsidRPr="007937A2">
        <w:rPr>
          <w:sz w:val="26"/>
          <w:szCs w:val="26"/>
        </w:rPr>
        <w:t xml:space="preserve"> risk exposure undertaken by these banks.</w:t>
      </w:r>
      <w:r w:rsidR="00695C17" w:rsidRPr="007937A2">
        <w:rPr>
          <w:sz w:val="26"/>
          <w:szCs w:val="26"/>
        </w:rPr>
        <w:t xml:space="preserve"> </w:t>
      </w:r>
      <w:r w:rsidR="00A45444" w:rsidRPr="007937A2">
        <w:rPr>
          <w:sz w:val="26"/>
          <w:szCs w:val="26"/>
        </w:rPr>
        <w:t xml:space="preserve"> </w:t>
      </w:r>
      <w:r w:rsidR="00695C17" w:rsidRPr="007937A2">
        <w:rPr>
          <w:sz w:val="26"/>
          <w:szCs w:val="26"/>
        </w:rPr>
        <w:t>Our</w:t>
      </w:r>
      <w:r w:rsidR="004944E5" w:rsidRPr="007937A2">
        <w:rPr>
          <w:sz w:val="26"/>
          <w:szCs w:val="26"/>
        </w:rPr>
        <w:t xml:space="preserve"> empirical analysis </w:t>
      </w:r>
      <w:r w:rsidR="00695C17" w:rsidRPr="007937A2">
        <w:rPr>
          <w:sz w:val="26"/>
          <w:szCs w:val="26"/>
        </w:rPr>
        <w:t xml:space="preserve">evaluates whether </w:t>
      </w:r>
      <w:r w:rsidR="004944E5" w:rsidRPr="007937A2">
        <w:rPr>
          <w:sz w:val="26"/>
          <w:szCs w:val="26"/>
        </w:rPr>
        <w:t>th</w:t>
      </w:r>
      <w:r w:rsidR="00D62326">
        <w:rPr>
          <w:sz w:val="26"/>
          <w:szCs w:val="26"/>
        </w:rPr>
        <w:t>is</w:t>
      </w:r>
      <w:r w:rsidR="004944E5" w:rsidRPr="007937A2">
        <w:rPr>
          <w:sz w:val="26"/>
          <w:szCs w:val="26"/>
        </w:rPr>
        <w:t xml:space="preserve"> information </w:t>
      </w:r>
      <w:r w:rsidR="00D62326">
        <w:rPr>
          <w:sz w:val="26"/>
          <w:szCs w:val="26"/>
        </w:rPr>
        <w:t>is useful.</w:t>
      </w:r>
      <w:r w:rsidR="00695C17" w:rsidRPr="007937A2">
        <w:rPr>
          <w:sz w:val="26"/>
          <w:szCs w:val="26"/>
        </w:rPr>
        <w:t xml:space="preserve">  We assess whether the market risk capital </w:t>
      </w:r>
      <w:r w:rsidR="001009BE" w:rsidRPr="007937A2">
        <w:rPr>
          <w:sz w:val="26"/>
          <w:szCs w:val="26"/>
        </w:rPr>
        <w:t xml:space="preserve">ratio and the core capital ratio </w:t>
      </w:r>
      <w:r w:rsidR="00695C17" w:rsidRPr="007937A2">
        <w:rPr>
          <w:sz w:val="26"/>
          <w:szCs w:val="26"/>
        </w:rPr>
        <w:t xml:space="preserve">provide information about differences in exposure across institutions </w:t>
      </w:r>
      <w:r w:rsidR="00A45444" w:rsidRPr="007937A2">
        <w:rPr>
          <w:sz w:val="26"/>
          <w:szCs w:val="26"/>
        </w:rPr>
        <w:t xml:space="preserve">or over time </w:t>
      </w:r>
      <w:r w:rsidR="00695C17" w:rsidRPr="007937A2">
        <w:rPr>
          <w:sz w:val="26"/>
          <w:szCs w:val="26"/>
        </w:rPr>
        <w:t xml:space="preserve">conveyed </w:t>
      </w:r>
      <w:r w:rsidR="001009BE" w:rsidRPr="007937A2">
        <w:rPr>
          <w:sz w:val="26"/>
          <w:szCs w:val="26"/>
        </w:rPr>
        <w:t xml:space="preserve">through </w:t>
      </w:r>
      <w:r w:rsidR="00695C17" w:rsidRPr="007937A2">
        <w:rPr>
          <w:sz w:val="26"/>
          <w:szCs w:val="26"/>
        </w:rPr>
        <w:t xml:space="preserve">the </w:t>
      </w:r>
      <w:r w:rsidR="0074019E" w:rsidRPr="007937A2">
        <w:rPr>
          <w:sz w:val="26"/>
          <w:szCs w:val="26"/>
        </w:rPr>
        <w:t>following metrics</w:t>
      </w:r>
      <w:r w:rsidR="00974113">
        <w:rPr>
          <w:sz w:val="26"/>
          <w:szCs w:val="26"/>
        </w:rPr>
        <w:t xml:space="preserve">:  </w:t>
      </w:r>
      <w:r w:rsidR="0091566A">
        <w:rPr>
          <w:sz w:val="26"/>
          <w:szCs w:val="26"/>
        </w:rPr>
        <w:t xml:space="preserve">(1) </w:t>
      </w:r>
      <w:r w:rsidR="00695C17" w:rsidRPr="007937A2">
        <w:rPr>
          <w:sz w:val="26"/>
          <w:szCs w:val="26"/>
        </w:rPr>
        <w:t>relative size of the bank trading account</w:t>
      </w:r>
      <w:r w:rsidR="0091566A">
        <w:rPr>
          <w:sz w:val="26"/>
          <w:szCs w:val="26"/>
        </w:rPr>
        <w:t xml:space="preserve"> and (2) </w:t>
      </w:r>
      <w:r w:rsidR="00695C17" w:rsidRPr="007937A2">
        <w:rPr>
          <w:sz w:val="26"/>
          <w:szCs w:val="26"/>
        </w:rPr>
        <w:t>derivative positions</w:t>
      </w:r>
      <w:r w:rsidR="00A45444" w:rsidRPr="007937A2">
        <w:rPr>
          <w:sz w:val="26"/>
          <w:szCs w:val="26"/>
        </w:rPr>
        <w:t xml:space="preserve">, </w:t>
      </w:r>
      <w:r w:rsidR="0091566A">
        <w:rPr>
          <w:sz w:val="26"/>
          <w:szCs w:val="26"/>
        </w:rPr>
        <w:t xml:space="preserve">(3) </w:t>
      </w:r>
      <w:r w:rsidR="00A45444" w:rsidRPr="007937A2">
        <w:rPr>
          <w:sz w:val="26"/>
          <w:szCs w:val="26"/>
        </w:rPr>
        <w:t xml:space="preserve">disclosures about </w:t>
      </w:r>
      <w:proofErr w:type="spellStart"/>
      <w:r w:rsidR="00A45444" w:rsidRPr="007937A2">
        <w:rPr>
          <w:sz w:val="26"/>
          <w:szCs w:val="26"/>
        </w:rPr>
        <w:t>VaR</w:t>
      </w:r>
      <w:proofErr w:type="spellEnd"/>
      <w:r w:rsidR="00A45444" w:rsidRPr="007937A2">
        <w:rPr>
          <w:sz w:val="26"/>
          <w:szCs w:val="26"/>
        </w:rPr>
        <w:t xml:space="preserve">, </w:t>
      </w:r>
      <w:r w:rsidR="0091566A">
        <w:rPr>
          <w:sz w:val="26"/>
          <w:szCs w:val="26"/>
        </w:rPr>
        <w:t xml:space="preserve">(4) </w:t>
      </w:r>
      <w:r w:rsidR="00A45444" w:rsidRPr="007937A2">
        <w:rPr>
          <w:sz w:val="26"/>
          <w:szCs w:val="26"/>
        </w:rPr>
        <w:t xml:space="preserve">other risks, and </w:t>
      </w:r>
      <w:r w:rsidR="0091566A">
        <w:rPr>
          <w:sz w:val="26"/>
          <w:szCs w:val="26"/>
        </w:rPr>
        <w:t xml:space="preserve">(5) </w:t>
      </w:r>
      <w:r w:rsidR="00A45444" w:rsidRPr="007937A2">
        <w:rPr>
          <w:sz w:val="26"/>
          <w:szCs w:val="26"/>
        </w:rPr>
        <w:t xml:space="preserve">risk-weighted assets. </w:t>
      </w:r>
      <w:r w:rsidR="001009BE" w:rsidRPr="007937A2">
        <w:rPr>
          <w:sz w:val="26"/>
          <w:szCs w:val="26"/>
        </w:rPr>
        <w:t xml:space="preserve"> Specifically, </w:t>
      </w:r>
      <w:r w:rsidR="0074019E" w:rsidRPr="007937A2">
        <w:rPr>
          <w:sz w:val="26"/>
          <w:szCs w:val="26"/>
        </w:rPr>
        <w:t>if the market risk or core capital ratios are uncorrelated with the risk metrics that banks disclose, we consider this</w:t>
      </w:r>
      <w:r w:rsidR="004A10C6">
        <w:rPr>
          <w:sz w:val="26"/>
          <w:szCs w:val="26"/>
        </w:rPr>
        <w:t xml:space="preserve"> data</w:t>
      </w:r>
      <w:r w:rsidR="0074019E" w:rsidRPr="007937A2">
        <w:rPr>
          <w:sz w:val="26"/>
          <w:szCs w:val="26"/>
        </w:rPr>
        <w:t xml:space="preserve"> as initial evidence that these ratios contain information not reflected in the</w:t>
      </w:r>
      <w:r w:rsidR="00684C19" w:rsidRPr="007937A2">
        <w:rPr>
          <w:sz w:val="26"/>
          <w:szCs w:val="26"/>
        </w:rPr>
        <w:t xml:space="preserve"> risk metrics</w:t>
      </w:r>
      <w:r w:rsidR="0074019E" w:rsidRPr="007937A2">
        <w:rPr>
          <w:sz w:val="26"/>
          <w:szCs w:val="26"/>
        </w:rPr>
        <w:t>.</w:t>
      </w:r>
      <w:r w:rsidR="00CD1F7C">
        <w:rPr>
          <w:sz w:val="26"/>
          <w:szCs w:val="26"/>
        </w:rPr>
        <w:t xml:space="preserve"> </w:t>
      </w:r>
      <w:r w:rsidR="004A10C6">
        <w:rPr>
          <w:sz w:val="26"/>
          <w:szCs w:val="26"/>
        </w:rPr>
        <w:t xml:space="preserve"> </w:t>
      </w:r>
      <w:r w:rsidR="00CD1F7C">
        <w:rPr>
          <w:sz w:val="26"/>
          <w:szCs w:val="26"/>
        </w:rPr>
        <w:t>As a result, the disclosures of these capital ratios would help investors and regulators distinguish between the risks of these banks</w:t>
      </w:r>
      <w:r w:rsidR="00D62326">
        <w:rPr>
          <w:sz w:val="26"/>
          <w:szCs w:val="26"/>
        </w:rPr>
        <w:t xml:space="preserve"> and realign the cost of capital of each institution with the risks it </w:t>
      </w:r>
      <w:r w:rsidR="0098188B">
        <w:rPr>
          <w:sz w:val="26"/>
          <w:szCs w:val="26"/>
        </w:rPr>
        <w:t>carries</w:t>
      </w:r>
      <w:r w:rsidR="00D62326">
        <w:rPr>
          <w:sz w:val="26"/>
          <w:szCs w:val="26"/>
        </w:rPr>
        <w:t xml:space="preserve">. </w:t>
      </w:r>
    </w:p>
    <w:p w14:paraId="55670706" w14:textId="58038C50" w:rsidR="00974380" w:rsidRPr="007937A2" w:rsidRDefault="00A45444" w:rsidP="00695C17">
      <w:pPr>
        <w:rPr>
          <w:sz w:val="26"/>
          <w:szCs w:val="26"/>
        </w:rPr>
      </w:pPr>
      <w:r w:rsidRPr="007937A2">
        <w:rPr>
          <w:sz w:val="26"/>
          <w:szCs w:val="26"/>
        </w:rPr>
        <w:lastRenderedPageBreak/>
        <w:t>The paper takes a lead in</w:t>
      </w:r>
      <w:r w:rsidR="004A10C6">
        <w:rPr>
          <w:sz w:val="26"/>
          <w:szCs w:val="26"/>
        </w:rPr>
        <w:t xml:space="preserve"> the disclosures of these ratios</w:t>
      </w:r>
      <w:r w:rsidR="00A85E4A" w:rsidRPr="007937A2">
        <w:rPr>
          <w:sz w:val="26"/>
          <w:szCs w:val="26"/>
        </w:rPr>
        <w:t>,</w:t>
      </w:r>
      <w:r w:rsidR="004A10C6">
        <w:rPr>
          <w:sz w:val="26"/>
          <w:szCs w:val="26"/>
        </w:rPr>
        <w:t xml:space="preserve"> as this research</w:t>
      </w:r>
      <w:r w:rsidRPr="007937A2">
        <w:rPr>
          <w:sz w:val="26"/>
          <w:szCs w:val="26"/>
        </w:rPr>
        <w:t xml:space="preserve"> is the first attempt to evaluate the risk disclosure of banks in the GCC.  For comparative purposes</w:t>
      </w:r>
      <w:r w:rsidR="004A10C6">
        <w:rPr>
          <w:sz w:val="26"/>
          <w:szCs w:val="26"/>
        </w:rPr>
        <w:t>,</w:t>
      </w:r>
      <w:r w:rsidRPr="007937A2">
        <w:rPr>
          <w:sz w:val="26"/>
          <w:szCs w:val="26"/>
        </w:rPr>
        <w:t xml:space="preserve"> </w:t>
      </w:r>
      <w:r w:rsidR="004A10C6">
        <w:rPr>
          <w:sz w:val="26"/>
          <w:szCs w:val="26"/>
        </w:rPr>
        <w:t xml:space="preserve">this study encompasses </w:t>
      </w:r>
      <w:r w:rsidRPr="007937A2">
        <w:rPr>
          <w:sz w:val="26"/>
          <w:szCs w:val="26"/>
        </w:rPr>
        <w:t xml:space="preserve">two other large institutions in the MENA region with a long banking history </w:t>
      </w:r>
      <w:r w:rsidR="004A10C6">
        <w:rPr>
          <w:sz w:val="26"/>
          <w:szCs w:val="26"/>
        </w:rPr>
        <w:t>in which</w:t>
      </w:r>
      <w:r w:rsidRPr="007937A2">
        <w:rPr>
          <w:sz w:val="26"/>
          <w:szCs w:val="26"/>
        </w:rPr>
        <w:t xml:space="preserve"> the regulatory authorities were early to emb</w:t>
      </w:r>
      <w:r w:rsidR="004B68C2">
        <w:rPr>
          <w:sz w:val="26"/>
          <w:szCs w:val="26"/>
        </w:rPr>
        <w:t>race the guidelines of the Basel</w:t>
      </w:r>
      <w:r w:rsidR="004A10C6">
        <w:rPr>
          <w:sz w:val="26"/>
          <w:szCs w:val="26"/>
        </w:rPr>
        <w:t xml:space="preserve"> Accord:</w:t>
      </w:r>
      <w:r w:rsidRPr="007937A2">
        <w:rPr>
          <w:sz w:val="26"/>
          <w:szCs w:val="26"/>
        </w:rPr>
        <w:t xml:space="preserve">  These</w:t>
      </w:r>
      <w:r w:rsidR="004A10C6">
        <w:rPr>
          <w:sz w:val="26"/>
          <w:szCs w:val="26"/>
        </w:rPr>
        <w:t xml:space="preserve"> institutions</w:t>
      </w:r>
      <w:r w:rsidRPr="007937A2">
        <w:rPr>
          <w:sz w:val="26"/>
          <w:szCs w:val="26"/>
        </w:rPr>
        <w:t xml:space="preserve"> are the Arab Bank in Jordan and Audi Bank in Lebanon.  </w:t>
      </w:r>
    </w:p>
    <w:p w14:paraId="6C8555E2" w14:textId="77777777" w:rsidR="00C67716" w:rsidRPr="007937A2" w:rsidRDefault="00C67716" w:rsidP="0089463E">
      <w:pPr>
        <w:numPr>
          <w:ilvl w:val="0"/>
          <w:numId w:val="1"/>
        </w:numPr>
        <w:autoSpaceDE w:val="0"/>
        <w:autoSpaceDN w:val="0"/>
        <w:adjustRightInd w:val="0"/>
        <w:jc w:val="both"/>
        <w:rPr>
          <w:b/>
          <w:sz w:val="26"/>
          <w:szCs w:val="26"/>
        </w:rPr>
      </w:pPr>
      <w:r w:rsidRPr="007937A2">
        <w:rPr>
          <w:b/>
          <w:sz w:val="26"/>
          <w:szCs w:val="26"/>
        </w:rPr>
        <w:t>Data and Methodology</w:t>
      </w:r>
    </w:p>
    <w:p w14:paraId="523C9DBC" w14:textId="07B129BB" w:rsidR="00641A1B" w:rsidRPr="007937A2" w:rsidRDefault="00641A1B" w:rsidP="00B51A1F">
      <w:pPr>
        <w:autoSpaceDE w:val="0"/>
        <w:autoSpaceDN w:val="0"/>
        <w:adjustRightInd w:val="0"/>
        <w:jc w:val="both"/>
        <w:rPr>
          <w:sz w:val="26"/>
          <w:szCs w:val="26"/>
        </w:rPr>
      </w:pPr>
      <w:r w:rsidRPr="007937A2">
        <w:rPr>
          <w:sz w:val="26"/>
          <w:szCs w:val="26"/>
        </w:rPr>
        <w:t>The top banks in the GCC we investigate are</w:t>
      </w:r>
      <w:r w:rsidR="008E72F0">
        <w:rPr>
          <w:sz w:val="26"/>
          <w:szCs w:val="26"/>
        </w:rPr>
        <w:t xml:space="preserve"> as follows</w:t>
      </w:r>
      <w:r w:rsidRPr="007937A2">
        <w:rPr>
          <w:sz w:val="26"/>
          <w:szCs w:val="26"/>
        </w:rPr>
        <w:t>:</w:t>
      </w:r>
    </w:p>
    <w:p w14:paraId="7A7C1F04" w14:textId="77777777" w:rsidR="00641A1B" w:rsidRPr="007937A2" w:rsidRDefault="00641A1B" w:rsidP="007937A2">
      <w:pPr>
        <w:numPr>
          <w:ilvl w:val="0"/>
          <w:numId w:val="4"/>
        </w:numPr>
        <w:autoSpaceDE w:val="0"/>
        <w:autoSpaceDN w:val="0"/>
        <w:adjustRightInd w:val="0"/>
        <w:spacing w:after="0" w:line="240" w:lineRule="auto"/>
        <w:jc w:val="both"/>
        <w:rPr>
          <w:sz w:val="26"/>
          <w:szCs w:val="26"/>
        </w:rPr>
      </w:pPr>
      <w:r w:rsidRPr="007937A2">
        <w:rPr>
          <w:sz w:val="26"/>
          <w:szCs w:val="26"/>
        </w:rPr>
        <w:t>Qatar National Bank, Qatar</w:t>
      </w:r>
    </w:p>
    <w:p w14:paraId="06BEE7F9" w14:textId="77777777" w:rsidR="00641A1B" w:rsidRPr="007937A2" w:rsidRDefault="00641A1B" w:rsidP="007937A2">
      <w:pPr>
        <w:numPr>
          <w:ilvl w:val="0"/>
          <w:numId w:val="4"/>
        </w:numPr>
        <w:autoSpaceDE w:val="0"/>
        <w:autoSpaceDN w:val="0"/>
        <w:adjustRightInd w:val="0"/>
        <w:spacing w:after="0" w:line="240" w:lineRule="auto"/>
        <w:jc w:val="both"/>
        <w:rPr>
          <w:sz w:val="26"/>
          <w:szCs w:val="26"/>
        </w:rPr>
      </w:pPr>
      <w:r w:rsidRPr="007937A2">
        <w:rPr>
          <w:sz w:val="26"/>
          <w:szCs w:val="26"/>
        </w:rPr>
        <w:t xml:space="preserve">National Commercial Bank, Saudi Arabia </w:t>
      </w:r>
    </w:p>
    <w:p w14:paraId="64D5F753" w14:textId="77777777" w:rsidR="00641A1B" w:rsidRPr="007937A2" w:rsidRDefault="00641A1B" w:rsidP="007937A2">
      <w:pPr>
        <w:numPr>
          <w:ilvl w:val="0"/>
          <w:numId w:val="4"/>
        </w:numPr>
        <w:autoSpaceDE w:val="0"/>
        <w:autoSpaceDN w:val="0"/>
        <w:adjustRightInd w:val="0"/>
        <w:spacing w:after="0" w:line="240" w:lineRule="auto"/>
        <w:jc w:val="both"/>
        <w:rPr>
          <w:sz w:val="26"/>
          <w:szCs w:val="26"/>
        </w:rPr>
      </w:pPr>
      <w:r w:rsidRPr="007937A2">
        <w:rPr>
          <w:sz w:val="26"/>
          <w:szCs w:val="26"/>
        </w:rPr>
        <w:t xml:space="preserve">National Bank of Abu Dhabi, Abu Dhabi  </w:t>
      </w:r>
    </w:p>
    <w:p w14:paraId="7F7E0A02" w14:textId="77777777" w:rsidR="00641A1B" w:rsidRPr="007937A2" w:rsidRDefault="00641A1B" w:rsidP="007937A2">
      <w:pPr>
        <w:numPr>
          <w:ilvl w:val="0"/>
          <w:numId w:val="4"/>
        </w:numPr>
        <w:autoSpaceDE w:val="0"/>
        <w:autoSpaceDN w:val="0"/>
        <w:adjustRightInd w:val="0"/>
        <w:spacing w:after="0" w:line="240" w:lineRule="auto"/>
        <w:jc w:val="both"/>
        <w:rPr>
          <w:sz w:val="26"/>
          <w:szCs w:val="26"/>
        </w:rPr>
      </w:pPr>
      <w:r w:rsidRPr="007937A2">
        <w:rPr>
          <w:sz w:val="26"/>
          <w:szCs w:val="26"/>
        </w:rPr>
        <w:t>Samba, Saudi Arabia</w:t>
      </w:r>
    </w:p>
    <w:p w14:paraId="2152ED48" w14:textId="77777777" w:rsidR="00641A1B" w:rsidRPr="007937A2" w:rsidRDefault="00641A1B" w:rsidP="007937A2">
      <w:pPr>
        <w:numPr>
          <w:ilvl w:val="0"/>
          <w:numId w:val="4"/>
        </w:numPr>
        <w:autoSpaceDE w:val="0"/>
        <w:autoSpaceDN w:val="0"/>
        <w:adjustRightInd w:val="0"/>
        <w:spacing w:after="0" w:line="240" w:lineRule="auto"/>
        <w:jc w:val="both"/>
        <w:rPr>
          <w:sz w:val="26"/>
          <w:szCs w:val="26"/>
        </w:rPr>
      </w:pPr>
      <w:r w:rsidRPr="007937A2">
        <w:rPr>
          <w:sz w:val="26"/>
          <w:szCs w:val="26"/>
        </w:rPr>
        <w:t xml:space="preserve">National Bank of Kuwait, Kuwait   </w:t>
      </w:r>
    </w:p>
    <w:p w14:paraId="0565B50F" w14:textId="77777777" w:rsidR="00641A1B" w:rsidRPr="007937A2" w:rsidRDefault="00641A1B" w:rsidP="007937A2">
      <w:pPr>
        <w:numPr>
          <w:ilvl w:val="0"/>
          <w:numId w:val="4"/>
        </w:numPr>
        <w:autoSpaceDE w:val="0"/>
        <w:autoSpaceDN w:val="0"/>
        <w:adjustRightInd w:val="0"/>
        <w:spacing w:after="0" w:line="240" w:lineRule="auto"/>
        <w:jc w:val="both"/>
        <w:rPr>
          <w:sz w:val="26"/>
          <w:szCs w:val="26"/>
        </w:rPr>
      </w:pPr>
      <w:proofErr w:type="spellStart"/>
      <w:r w:rsidRPr="007937A2">
        <w:rPr>
          <w:sz w:val="26"/>
          <w:szCs w:val="26"/>
        </w:rPr>
        <w:t>Riyad</w:t>
      </w:r>
      <w:proofErr w:type="spellEnd"/>
      <w:r w:rsidRPr="007937A2">
        <w:rPr>
          <w:sz w:val="26"/>
          <w:szCs w:val="26"/>
        </w:rPr>
        <w:t xml:space="preserve"> Bank</w:t>
      </w:r>
      <w:r w:rsidR="002F59F5" w:rsidRPr="007937A2">
        <w:rPr>
          <w:sz w:val="26"/>
          <w:szCs w:val="26"/>
        </w:rPr>
        <w:t>, Saudi Arabia</w:t>
      </w:r>
      <w:r w:rsidRPr="007937A2">
        <w:rPr>
          <w:sz w:val="26"/>
          <w:szCs w:val="26"/>
        </w:rPr>
        <w:t xml:space="preserve"> </w:t>
      </w:r>
    </w:p>
    <w:p w14:paraId="29DFA205" w14:textId="77777777" w:rsidR="000D5516" w:rsidRPr="007937A2" w:rsidRDefault="000D5516" w:rsidP="000D5516">
      <w:pPr>
        <w:autoSpaceDE w:val="0"/>
        <w:autoSpaceDN w:val="0"/>
        <w:adjustRightInd w:val="0"/>
        <w:spacing w:after="0" w:line="240" w:lineRule="auto"/>
        <w:jc w:val="both"/>
        <w:rPr>
          <w:sz w:val="26"/>
          <w:szCs w:val="26"/>
        </w:rPr>
      </w:pPr>
    </w:p>
    <w:p w14:paraId="03575BAF" w14:textId="77A7D590" w:rsidR="000D5516" w:rsidRPr="007937A2" w:rsidRDefault="000D5516" w:rsidP="000D5516">
      <w:pPr>
        <w:autoSpaceDE w:val="0"/>
        <w:autoSpaceDN w:val="0"/>
        <w:adjustRightInd w:val="0"/>
        <w:spacing w:after="0" w:line="240" w:lineRule="auto"/>
        <w:jc w:val="both"/>
        <w:rPr>
          <w:sz w:val="26"/>
          <w:szCs w:val="26"/>
        </w:rPr>
      </w:pPr>
      <w:r w:rsidRPr="007937A2">
        <w:rPr>
          <w:sz w:val="26"/>
          <w:szCs w:val="26"/>
        </w:rPr>
        <w:t>We complement this analysis by evaluating the risk data of two non-GCC large banks from countries in MENA with a long tradition in banking. They are</w:t>
      </w:r>
      <w:r w:rsidR="004A10C6">
        <w:rPr>
          <w:sz w:val="26"/>
          <w:szCs w:val="26"/>
        </w:rPr>
        <w:t xml:space="preserve"> as follows</w:t>
      </w:r>
      <w:r w:rsidRPr="007937A2">
        <w:rPr>
          <w:sz w:val="26"/>
          <w:szCs w:val="26"/>
        </w:rPr>
        <w:t>:</w:t>
      </w:r>
    </w:p>
    <w:p w14:paraId="4964EF16" w14:textId="77777777" w:rsidR="000D5516" w:rsidRPr="007937A2" w:rsidRDefault="000D5516" w:rsidP="000D5516">
      <w:pPr>
        <w:autoSpaceDE w:val="0"/>
        <w:autoSpaceDN w:val="0"/>
        <w:adjustRightInd w:val="0"/>
        <w:spacing w:after="0" w:line="240" w:lineRule="auto"/>
        <w:jc w:val="both"/>
        <w:rPr>
          <w:sz w:val="26"/>
          <w:szCs w:val="26"/>
        </w:rPr>
      </w:pPr>
    </w:p>
    <w:p w14:paraId="403506C5" w14:textId="77777777" w:rsidR="002F59F5" w:rsidRPr="007937A2" w:rsidRDefault="000D5516" w:rsidP="007937A2">
      <w:pPr>
        <w:numPr>
          <w:ilvl w:val="0"/>
          <w:numId w:val="4"/>
        </w:numPr>
        <w:autoSpaceDE w:val="0"/>
        <w:autoSpaceDN w:val="0"/>
        <w:adjustRightInd w:val="0"/>
        <w:spacing w:after="0" w:line="240" w:lineRule="auto"/>
        <w:jc w:val="both"/>
        <w:rPr>
          <w:sz w:val="26"/>
          <w:szCs w:val="26"/>
        </w:rPr>
      </w:pPr>
      <w:r w:rsidRPr="007937A2">
        <w:rPr>
          <w:sz w:val="26"/>
          <w:szCs w:val="26"/>
        </w:rPr>
        <w:t>Audi Bank, Lebanon</w:t>
      </w:r>
    </w:p>
    <w:p w14:paraId="4D517CFF" w14:textId="77777777" w:rsidR="000D5516" w:rsidRPr="007937A2" w:rsidRDefault="000D5516" w:rsidP="007937A2">
      <w:pPr>
        <w:numPr>
          <w:ilvl w:val="0"/>
          <w:numId w:val="4"/>
        </w:numPr>
        <w:autoSpaceDE w:val="0"/>
        <w:autoSpaceDN w:val="0"/>
        <w:adjustRightInd w:val="0"/>
        <w:spacing w:after="0" w:line="240" w:lineRule="auto"/>
        <w:jc w:val="both"/>
        <w:rPr>
          <w:sz w:val="26"/>
          <w:szCs w:val="26"/>
        </w:rPr>
      </w:pPr>
      <w:r w:rsidRPr="007937A2">
        <w:rPr>
          <w:sz w:val="26"/>
          <w:szCs w:val="26"/>
        </w:rPr>
        <w:t>Arab Bank, Jordan</w:t>
      </w:r>
    </w:p>
    <w:p w14:paraId="4A351CC6" w14:textId="77777777" w:rsidR="00267E8B" w:rsidRPr="007937A2" w:rsidRDefault="00267E8B" w:rsidP="007937A2">
      <w:pPr>
        <w:autoSpaceDE w:val="0"/>
        <w:autoSpaceDN w:val="0"/>
        <w:adjustRightInd w:val="0"/>
        <w:spacing w:after="0" w:line="240" w:lineRule="auto"/>
        <w:ind w:left="720"/>
        <w:jc w:val="both"/>
        <w:rPr>
          <w:sz w:val="26"/>
          <w:szCs w:val="26"/>
        </w:rPr>
      </w:pPr>
    </w:p>
    <w:p w14:paraId="729DC579" w14:textId="3C8BBD2C" w:rsidR="00B51A1F" w:rsidRPr="007937A2" w:rsidRDefault="008B44D0" w:rsidP="004A10C6">
      <w:pPr>
        <w:autoSpaceDE w:val="0"/>
        <w:autoSpaceDN w:val="0"/>
        <w:adjustRightInd w:val="0"/>
        <w:rPr>
          <w:sz w:val="26"/>
          <w:szCs w:val="26"/>
        </w:rPr>
      </w:pPr>
      <w:r w:rsidRPr="007937A2">
        <w:rPr>
          <w:sz w:val="26"/>
          <w:szCs w:val="26"/>
        </w:rPr>
        <w:t xml:space="preserve">Our source of data </w:t>
      </w:r>
      <w:r w:rsidR="00F433C5" w:rsidRPr="007937A2">
        <w:rPr>
          <w:sz w:val="26"/>
          <w:szCs w:val="26"/>
        </w:rPr>
        <w:t>is</w:t>
      </w:r>
      <w:r w:rsidRPr="007937A2">
        <w:rPr>
          <w:sz w:val="26"/>
          <w:szCs w:val="26"/>
        </w:rPr>
        <w:t xml:space="preserve"> derived from publicly disclosed regulatory report information on minimum regulatory capital requirements of the </w:t>
      </w:r>
      <w:r w:rsidR="000B5AF9">
        <w:rPr>
          <w:sz w:val="26"/>
          <w:szCs w:val="26"/>
        </w:rPr>
        <w:t>eight</w:t>
      </w:r>
      <w:r w:rsidR="00F433C5" w:rsidRPr="007937A2">
        <w:rPr>
          <w:sz w:val="26"/>
          <w:szCs w:val="26"/>
        </w:rPr>
        <w:t xml:space="preserve"> </w:t>
      </w:r>
      <w:r w:rsidRPr="007937A2">
        <w:rPr>
          <w:sz w:val="26"/>
          <w:szCs w:val="26"/>
        </w:rPr>
        <w:t xml:space="preserve">banks </w:t>
      </w:r>
      <w:r w:rsidR="004A10C6">
        <w:rPr>
          <w:sz w:val="26"/>
          <w:szCs w:val="26"/>
        </w:rPr>
        <w:t xml:space="preserve">previously </w:t>
      </w:r>
      <w:r w:rsidRPr="007937A2">
        <w:rPr>
          <w:sz w:val="26"/>
          <w:szCs w:val="26"/>
        </w:rPr>
        <w:t xml:space="preserve">mentioned. </w:t>
      </w:r>
      <w:r w:rsidR="004A10C6">
        <w:rPr>
          <w:sz w:val="26"/>
          <w:szCs w:val="26"/>
        </w:rPr>
        <w:t xml:space="preserve"> </w:t>
      </w:r>
      <w:r w:rsidRPr="007937A2">
        <w:rPr>
          <w:sz w:val="26"/>
          <w:szCs w:val="26"/>
        </w:rPr>
        <w:t xml:space="preserve">Since 2004, the banks in the GCC have been </w:t>
      </w:r>
      <w:r w:rsidR="00116FAE" w:rsidRPr="007937A2">
        <w:rPr>
          <w:sz w:val="26"/>
          <w:szCs w:val="26"/>
        </w:rPr>
        <w:t xml:space="preserve">subjected </w:t>
      </w:r>
      <w:r w:rsidRPr="007937A2">
        <w:rPr>
          <w:sz w:val="26"/>
          <w:szCs w:val="26"/>
        </w:rPr>
        <w:t>to a new set of regulatory</w:t>
      </w:r>
      <w:r w:rsidR="004A10C6">
        <w:rPr>
          <w:sz w:val="26"/>
          <w:szCs w:val="26"/>
        </w:rPr>
        <w:t>,</w:t>
      </w:r>
      <w:r w:rsidRPr="007937A2">
        <w:rPr>
          <w:sz w:val="26"/>
          <w:szCs w:val="26"/>
        </w:rPr>
        <w:t xml:space="preserve"> minimum capital standards intended to cover the market risk in their trading portfolios. </w:t>
      </w:r>
      <w:r w:rsidR="00F433C5" w:rsidRPr="007937A2">
        <w:rPr>
          <w:sz w:val="26"/>
          <w:szCs w:val="26"/>
        </w:rPr>
        <w:t xml:space="preserve"> This information is provided annually, s</w:t>
      </w:r>
      <w:r w:rsidRPr="007937A2">
        <w:rPr>
          <w:sz w:val="26"/>
          <w:szCs w:val="26"/>
        </w:rPr>
        <w:t>o our analysis cover</w:t>
      </w:r>
      <w:r w:rsidR="0091566A">
        <w:rPr>
          <w:sz w:val="26"/>
          <w:szCs w:val="26"/>
        </w:rPr>
        <w:t>s</w:t>
      </w:r>
      <w:r w:rsidRPr="007937A2">
        <w:rPr>
          <w:sz w:val="26"/>
          <w:szCs w:val="26"/>
        </w:rPr>
        <w:t xml:space="preserve"> </w:t>
      </w:r>
      <w:r w:rsidR="00F159D8" w:rsidRPr="007937A2">
        <w:rPr>
          <w:sz w:val="26"/>
          <w:szCs w:val="26"/>
        </w:rPr>
        <w:t>eight</w:t>
      </w:r>
      <w:r w:rsidR="0091566A">
        <w:rPr>
          <w:sz w:val="26"/>
          <w:szCs w:val="26"/>
        </w:rPr>
        <w:t xml:space="preserve"> </w:t>
      </w:r>
      <w:r w:rsidR="00F159D8" w:rsidRPr="007937A2">
        <w:rPr>
          <w:sz w:val="26"/>
          <w:szCs w:val="26"/>
        </w:rPr>
        <w:t>year</w:t>
      </w:r>
      <w:r w:rsidR="0091566A">
        <w:rPr>
          <w:sz w:val="26"/>
          <w:szCs w:val="26"/>
        </w:rPr>
        <w:t>s</w:t>
      </w:r>
      <w:r w:rsidR="004A10C6">
        <w:rPr>
          <w:sz w:val="26"/>
          <w:szCs w:val="26"/>
        </w:rPr>
        <w:t xml:space="preserve"> (2004–</w:t>
      </w:r>
      <w:r w:rsidRPr="007937A2">
        <w:rPr>
          <w:sz w:val="26"/>
          <w:szCs w:val="26"/>
        </w:rPr>
        <w:t xml:space="preserve">2012) of observations.  </w:t>
      </w:r>
    </w:p>
    <w:p w14:paraId="29ADA23A" w14:textId="2264A387" w:rsidR="00D246A3" w:rsidRPr="007937A2" w:rsidRDefault="00376536" w:rsidP="00161CBE">
      <w:pPr>
        <w:rPr>
          <w:sz w:val="26"/>
          <w:szCs w:val="26"/>
        </w:rPr>
      </w:pPr>
      <w:r w:rsidRPr="007937A2">
        <w:rPr>
          <w:sz w:val="26"/>
          <w:szCs w:val="26"/>
        </w:rPr>
        <w:t xml:space="preserve">The analysis </w:t>
      </w:r>
      <w:r w:rsidR="00AB5594" w:rsidRPr="007937A2">
        <w:rPr>
          <w:sz w:val="26"/>
          <w:szCs w:val="26"/>
        </w:rPr>
        <w:t>examine</w:t>
      </w:r>
      <w:r w:rsidR="00F433C5" w:rsidRPr="007937A2">
        <w:rPr>
          <w:sz w:val="26"/>
          <w:szCs w:val="26"/>
        </w:rPr>
        <w:t xml:space="preserve">s two </w:t>
      </w:r>
      <w:r w:rsidR="00AB5594" w:rsidRPr="007937A2">
        <w:rPr>
          <w:sz w:val="26"/>
          <w:szCs w:val="26"/>
        </w:rPr>
        <w:t>risk metrics banks currently disclose</w:t>
      </w:r>
      <w:r w:rsidR="00054CE4" w:rsidRPr="007937A2">
        <w:rPr>
          <w:sz w:val="26"/>
          <w:szCs w:val="26"/>
        </w:rPr>
        <w:t>.  Th</w:t>
      </w:r>
      <w:r w:rsidR="00AB5594" w:rsidRPr="007937A2">
        <w:rPr>
          <w:sz w:val="26"/>
          <w:szCs w:val="26"/>
        </w:rPr>
        <w:t>e</w:t>
      </w:r>
      <w:r w:rsidR="00D246A3" w:rsidRPr="007937A2">
        <w:rPr>
          <w:sz w:val="26"/>
          <w:szCs w:val="26"/>
        </w:rPr>
        <w:t xml:space="preserve">se </w:t>
      </w:r>
      <w:r w:rsidR="00647A9F" w:rsidRPr="007937A2">
        <w:rPr>
          <w:sz w:val="26"/>
          <w:szCs w:val="26"/>
        </w:rPr>
        <w:t xml:space="preserve">metrics </w:t>
      </w:r>
      <w:r w:rsidR="004610E9" w:rsidRPr="007937A2">
        <w:rPr>
          <w:sz w:val="26"/>
          <w:szCs w:val="26"/>
        </w:rPr>
        <w:t xml:space="preserve">represent </w:t>
      </w:r>
      <w:r w:rsidR="00F340F1" w:rsidRPr="007937A2">
        <w:rPr>
          <w:sz w:val="26"/>
          <w:szCs w:val="26"/>
        </w:rPr>
        <w:t xml:space="preserve">the dependent variables of </w:t>
      </w:r>
      <w:r w:rsidR="000B5AF9">
        <w:rPr>
          <w:sz w:val="26"/>
          <w:szCs w:val="26"/>
        </w:rPr>
        <w:t>two</w:t>
      </w:r>
      <w:r w:rsidR="004610E9" w:rsidRPr="007937A2">
        <w:rPr>
          <w:sz w:val="26"/>
          <w:szCs w:val="26"/>
        </w:rPr>
        <w:t xml:space="preserve"> </w:t>
      </w:r>
      <w:r w:rsidR="00F340F1" w:rsidRPr="007937A2">
        <w:rPr>
          <w:sz w:val="26"/>
          <w:szCs w:val="26"/>
        </w:rPr>
        <w:t xml:space="preserve">proposed </w:t>
      </w:r>
      <w:r w:rsidR="00974380" w:rsidRPr="007937A2">
        <w:rPr>
          <w:sz w:val="26"/>
          <w:szCs w:val="26"/>
        </w:rPr>
        <w:t xml:space="preserve">regression </w:t>
      </w:r>
      <w:r w:rsidR="00F340F1" w:rsidRPr="007937A2">
        <w:rPr>
          <w:sz w:val="26"/>
          <w:szCs w:val="26"/>
        </w:rPr>
        <w:t>model</w:t>
      </w:r>
      <w:r w:rsidR="004610E9" w:rsidRPr="007937A2">
        <w:rPr>
          <w:sz w:val="26"/>
          <w:szCs w:val="26"/>
        </w:rPr>
        <w:t>s</w:t>
      </w:r>
      <w:r w:rsidR="00F340F1" w:rsidRPr="007937A2">
        <w:rPr>
          <w:sz w:val="26"/>
          <w:szCs w:val="26"/>
        </w:rPr>
        <w:t>:</w:t>
      </w:r>
    </w:p>
    <w:p w14:paraId="05355ADF" w14:textId="4C37845A" w:rsidR="00F433C5" w:rsidRPr="007937A2" w:rsidRDefault="00F433C5" w:rsidP="00F433C5">
      <w:pPr>
        <w:numPr>
          <w:ilvl w:val="0"/>
          <w:numId w:val="2"/>
        </w:numPr>
        <w:rPr>
          <w:sz w:val="26"/>
          <w:szCs w:val="26"/>
        </w:rPr>
      </w:pPr>
      <w:r w:rsidRPr="007937A2">
        <w:rPr>
          <w:sz w:val="26"/>
          <w:szCs w:val="26"/>
        </w:rPr>
        <w:t xml:space="preserve">Market Risk </w:t>
      </w:r>
      <w:r w:rsidR="00D76031" w:rsidRPr="007937A2">
        <w:rPr>
          <w:sz w:val="26"/>
          <w:szCs w:val="26"/>
        </w:rPr>
        <w:t xml:space="preserve">to Capital </w:t>
      </w:r>
      <w:r w:rsidR="00E758BD" w:rsidRPr="007937A2">
        <w:rPr>
          <w:sz w:val="26"/>
          <w:szCs w:val="26"/>
        </w:rPr>
        <w:t>Ratio</w:t>
      </w:r>
      <w:r w:rsidR="00974113">
        <w:rPr>
          <w:sz w:val="26"/>
          <w:szCs w:val="26"/>
        </w:rPr>
        <w:t xml:space="preserve">:  </w:t>
      </w:r>
      <w:r w:rsidR="004A10C6">
        <w:rPr>
          <w:sz w:val="26"/>
          <w:szCs w:val="26"/>
        </w:rPr>
        <w:t>e</w:t>
      </w:r>
      <w:r w:rsidRPr="007937A2">
        <w:rPr>
          <w:sz w:val="26"/>
          <w:szCs w:val="26"/>
        </w:rPr>
        <w:t xml:space="preserve">quals the minimum regulatory capital for market risk divided by total </w:t>
      </w:r>
      <w:r w:rsidR="00D76031" w:rsidRPr="007937A2">
        <w:rPr>
          <w:sz w:val="26"/>
          <w:szCs w:val="26"/>
        </w:rPr>
        <w:t>capital</w:t>
      </w:r>
      <w:r w:rsidRPr="007937A2">
        <w:rPr>
          <w:sz w:val="26"/>
          <w:szCs w:val="26"/>
        </w:rPr>
        <w:t xml:space="preserve">.  The market risk is defined as the risk of loss from adverse movements in financial rates and prices, such as interest rates, exchange </w:t>
      </w:r>
      <w:r w:rsidRPr="007937A2">
        <w:rPr>
          <w:sz w:val="26"/>
          <w:szCs w:val="26"/>
        </w:rPr>
        <w:lastRenderedPageBreak/>
        <w:t xml:space="preserve">rates, equity and commodity prices.  This measure is consistent with the definition provided by </w:t>
      </w:r>
      <w:proofErr w:type="spellStart"/>
      <w:r w:rsidRPr="007937A2">
        <w:rPr>
          <w:sz w:val="26"/>
          <w:szCs w:val="26"/>
        </w:rPr>
        <w:t>Hirtle</w:t>
      </w:r>
      <w:proofErr w:type="spellEnd"/>
      <w:r w:rsidRPr="007937A2">
        <w:rPr>
          <w:sz w:val="26"/>
          <w:szCs w:val="26"/>
        </w:rPr>
        <w:t xml:space="preserve"> (2003).  </w:t>
      </w:r>
    </w:p>
    <w:p w14:paraId="6AEBE1A5" w14:textId="1902506D" w:rsidR="00F340F1" w:rsidRPr="007937A2" w:rsidRDefault="00E758BD" w:rsidP="00F433C5">
      <w:pPr>
        <w:numPr>
          <w:ilvl w:val="0"/>
          <w:numId w:val="2"/>
        </w:numPr>
        <w:rPr>
          <w:sz w:val="26"/>
          <w:szCs w:val="26"/>
        </w:rPr>
      </w:pPr>
      <w:r w:rsidRPr="007937A2">
        <w:rPr>
          <w:sz w:val="26"/>
          <w:szCs w:val="26"/>
        </w:rPr>
        <w:t>Core Capital Ratio</w:t>
      </w:r>
      <w:r w:rsidR="00974113">
        <w:rPr>
          <w:sz w:val="26"/>
          <w:szCs w:val="26"/>
        </w:rPr>
        <w:t xml:space="preserve">:  </w:t>
      </w:r>
      <w:r w:rsidRPr="007937A2">
        <w:rPr>
          <w:sz w:val="26"/>
          <w:szCs w:val="26"/>
        </w:rPr>
        <w:t>t</w:t>
      </w:r>
      <w:r w:rsidR="00F433C5" w:rsidRPr="007937A2">
        <w:rPr>
          <w:sz w:val="26"/>
          <w:szCs w:val="26"/>
        </w:rPr>
        <w:t>he minimum amount of capital that a bank must have on ha</w:t>
      </w:r>
      <w:r w:rsidR="004B68C2">
        <w:rPr>
          <w:sz w:val="26"/>
          <w:szCs w:val="26"/>
        </w:rPr>
        <w:t>nd in order to comply with Basel</w:t>
      </w:r>
      <w:r w:rsidR="00F433C5" w:rsidRPr="007937A2">
        <w:rPr>
          <w:sz w:val="26"/>
          <w:szCs w:val="26"/>
        </w:rPr>
        <w:t xml:space="preserve"> guidelines and local authorit</w:t>
      </w:r>
      <w:r w:rsidR="00F2707E" w:rsidRPr="007937A2">
        <w:rPr>
          <w:sz w:val="26"/>
          <w:szCs w:val="26"/>
        </w:rPr>
        <w:t>y</w:t>
      </w:r>
      <w:r w:rsidR="00F433C5" w:rsidRPr="007937A2">
        <w:rPr>
          <w:sz w:val="26"/>
          <w:szCs w:val="26"/>
        </w:rPr>
        <w:t xml:space="preserve"> regulations.  </w:t>
      </w:r>
    </w:p>
    <w:p w14:paraId="763C5F77" w14:textId="4F847506" w:rsidR="00E64466" w:rsidRPr="007937A2" w:rsidRDefault="00E64466" w:rsidP="00054CE4">
      <w:pPr>
        <w:rPr>
          <w:sz w:val="26"/>
          <w:szCs w:val="26"/>
        </w:rPr>
      </w:pPr>
      <w:r w:rsidRPr="007937A2">
        <w:rPr>
          <w:sz w:val="26"/>
          <w:szCs w:val="26"/>
        </w:rPr>
        <w:t xml:space="preserve">The independent variables of the </w:t>
      </w:r>
      <w:r w:rsidR="00647A9F" w:rsidRPr="007937A2">
        <w:rPr>
          <w:sz w:val="26"/>
          <w:szCs w:val="26"/>
        </w:rPr>
        <w:t>model</w:t>
      </w:r>
      <w:r w:rsidR="004610E9" w:rsidRPr="007937A2">
        <w:rPr>
          <w:sz w:val="26"/>
          <w:szCs w:val="26"/>
        </w:rPr>
        <w:t>s</w:t>
      </w:r>
      <w:r w:rsidR="00647A9F" w:rsidRPr="007937A2">
        <w:rPr>
          <w:sz w:val="26"/>
          <w:szCs w:val="26"/>
        </w:rPr>
        <w:t xml:space="preserve"> </w:t>
      </w:r>
      <w:r w:rsidR="00F1519F" w:rsidRPr="007937A2">
        <w:rPr>
          <w:sz w:val="26"/>
          <w:szCs w:val="26"/>
        </w:rPr>
        <w:t xml:space="preserve">consist of </w:t>
      </w:r>
      <w:r w:rsidR="00974380" w:rsidRPr="007937A2">
        <w:rPr>
          <w:sz w:val="26"/>
          <w:szCs w:val="26"/>
        </w:rPr>
        <w:t xml:space="preserve">the following </w:t>
      </w:r>
      <w:r w:rsidR="0053026F" w:rsidRPr="007937A2">
        <w:rPr>
          <w:sz w:val="26"/>
          <w:szCs w:val="26"/>
        </w:rPr>
        <w:t>five</w:t>
      </w:r>
      <w:r w:rsidR="00F1519F" w:rsidRPr="007937A2">
        <w:rPr>
          <w:sz w:val="26"/>
          <w:szCs w:val="26"/>
        </w:rPr>
        <w:t xml:space="preserve"> risk metrics</w:t>
      </w:r>
      <w:r w:rsidR="00974113">
        <w:rPr>
          <w:sz w:val="26"/>
          <w:szCs w:val="26"/>
        </w:rPr>
        <w:t xml:space="preserve">:  </w:t>
      </w:r>
    </w:p>
    <w:p w14:paraId="0527410F" w14:textId="5D296078" w:rsidR="00F340F1" w:rsidRPr="007937A2" w:rsidRDefault="00F340F1" w:rsidP="007937A2">
      <w:pPr>
        <w:numPr>
          <w:ilvl w:val="0"/>
          <w:numId w:val="6"/>
        </w:numPr>
        <w:rPr>
          <w:sz w:val="26"/>
          <w:szCs w:val="26"/>
        </w:rPr>
      </w:pPr>
      <w:r w:rsidRPr="007937A2">
        <w:rPr>
          <w:sz w:val="26"/>
          <w:szCs w:val="26"/>
        </w:rPr>
        <w:t>Trading</w:t>
      </w:r>
      <w:r w:rsidR="00D76031" w:rsidRPr="007937A2">
        <w:rPr>
          <w:sz w:val="26"/>
          <w:szCs w:val="26"/>
        </w:rPr>
        <w:t xml:space="preserve"> to Assets Ratio</w:t>
      </w:r>
      <w:r w:rsidR="00974113">
        <w:rPr>
          <w:sz w:val="26"/>
          <w:szCs w:val="26"/>
        </w:rPr>
        <w:t xml:space="preserve">:  </w:t>
      </w:r>
      <w:r w:rsidRPr="004A10C6">
        <w:rPr>
          <w:sz w:val="26"/>
          <w:szCs w:val="26"/>
        </w:rPr>
        <w:t>e</w:t>
      </w:r>
      <w:r w:rsidRPr="007937A2">
        <w:rPr>
          <w:sz w:val="26"/>
          <w:szCs w:val="26"/>
        </w:rPr>
        <w:t xml:space="preserve">quals trading account assets </w:t>
      </w:r>
      <w:r w:rsidRPr="007937A2">
        <w:rPr>
          <w:i/>
          <w:sz w:val="26"/>
          <w:szCs w:val="26"/>
        </w:rPr>
        <w:t>plus</w:t>
      </w:r>
      <w:r w:rsidRPr="007937A2">
        <w:rPr>
          <w:sz w:val="26"/>
          <w:szCs w:val="26"/>
        </w:rPr>
        <w:t xml:space="preserve"> liabilities divided by total assets. </w:t>
      </w:r>
      <w:r w:rsidR="004A10C6">
        <w:rPr>
          <w:sz w:val="26"/>
          <w:szCs w:val="26"/>
        </w:rPr>
        <w:t xml:space="preserve"> </w:t>
      </w:r>
      <w:r w:rsidR="001211B1" w:rsidRPr="007937A2">
        <w:rPr>
          <w:sz w:val="26"/>
          <w:szCs w:val="26"/>
        </w:rPr>
        <w:t xml:space="preserve">This </w:t>
      </w:r>
      <w:r w:rsidR="007A57F3">
        <w:rPr>
          <w:sz w:val="26"/>
          <w:szCs w:val="26"/>
        </w:rPr>
        <w:t xml:space="preserve">ratio </w:t>
      </w:r>
      <w:r w:rsidR="001211B1" w:rsidRPr="007937A2">
        <w:rPr>
          <w:sz w:val="26"/>
          <w:szCs w:val="26"/>
        </w:rPr>
        <w:t xml:space="preserve">includes securities </w:t>
      </w:r>
      <w:r w:rsidR="0091566A">
        <w:rPr>
          <w:sz w:val="26"/>
          <w:szCs w:val="26"/>
        </w:rPr>
        <w:t>a</w:t>
      </w:r>
      <w:r w:rsidR="001211B1" w:rsidRPr="007937A2">
        <w:rPr>
          <w:sz w:val="26"/>
          <w:szCs w:val="26"/>
        </w:rPr>
        <w:t xml:space="preserve"> bank has purchased with the intent of selling them within a short period of time (usually less than one year).</w:t>
      </w:r>
    </w:p>
    <w:p w14:paraId="4DF7946C" w14:textId="35771BD1" w:rsidR="00F433C5" w:rsidRPr="007937A2" w:rsidRDefault="00F340F1" w:rsidP="007937A2">
      <w:pPr>
        <w:numPr>
          <w:ilvl w:val="0"/>
          <w:numId w:val="6"/>
        </w:numPr>
        <w:rPr>
          <w:sz w:val="26"/>
          <w:szCs w:val="26"/>
        </w:rPr>
      </w:pPr>
      <w:r w:rsidRPr="007937A2">
        <w:rPr>
          <w:sz w:val="26"/>
          <w:szCs w:val="26"/>
        </w:rPr>
        <w:t>Derivatives</w:t>
      </w:r>
      <w:r w:rsidR="00D76031" w:rsidRPr="007937A2">
        <w:rPr>
          <w:sz w:val="26"/>
          <w:szCs w:val="26"/>
        </w:rPr>
        <w:t xml:space="preserve"> to Assets Ratio</w:t>
      </w:r>
      <w:r w:rsidR="00974113">
        <w:rPr>
          <w:sz w:val="26"/>
          <w:szCs w:val="26"/>
        </w:rPr>
        <w:t xml:space="preserve">:  </w:t>
      </w:r>
      <w:r w:rsidRPr="007937A2">
        <w:rPr>
          <w:sz w:val="26"/>
          <w:szCs w:val="26"/>
        </w:rPr>
        <w:t xml:space="preserve"> </w:t>
      </w:r>
      <w:r w:rsidRPr="007A57F3">
        <w:rPr>
          <w:sz w:val="26"/>
          <w:szCs w:val="26"/>
        </w:rPr>
        <w:t>e</w:t>
      </w:r>
      <w:r w:rsidRPr="007937A2">
        <w:rPr>
          <w:sz w:val="26"/>
          <w:szCs w:val="26"/>
        </w:rPr>
        <w:t>qual</w:t>
      </w:r>
      <w:r w:rsidR="004B68C2">
        <w:rPr>
          <w:sz w:val="26"/>
          <w:szCs w:val="26"/>
        </w:rPr>
        <w:t>s</w:t>
      </w:r>
      <w:r w:rsidRPr="007937A2">
        <w:rPr>
          <w:sz w:val="26"/>
          <w:szCs w:val="26"/>
        </w:rPr>
        <w:t xml:space="preserve"> the </w:t>
      </w:r>
      <w:r w:rsidR="001211B1" w:rsidRPr="007937A2">
        <w:rPr>
          <w:sz w:val="26"/>
          <w:szCs w:val="26"/>
        </w:rPr>
        <w:t xml:space="preserve">sum of the </w:t>
      </w:r>
      <w:r w:rsidR="004B68C2">
        <w:rPr>
          <w:sz w:val="26"/>
          <w:szCs w:val="26"/>
        </w:rPr>
        <w:t>gross n</w:t>
      </w:r>
      <w:r w:rsidR="0091566A">
        <w:rPr>
          <w:sz w:val="26"/>
          <w:szCs w:val="26"/>
        </w:rPr>
        <w:t>o</w:t>
      </w:r>
      <w:r w:rsidRPr="007937A2">
        <w:rPr>
          <w:sz w:val="26"/>
          <w:szCs w:val="26"/>
        </w:rPr>
        <w:t xml:space="preserve">tional amount of derivatives contracts </w:t>
      </w:r>
      <w:r w:rsidR="001211B1" w:rsidRPr="007937A2">
        <w:rPr>
          <w:sz w:val="26"/>
          <w:szCs w:val="26"/>
        </w:rPr>
        <w:t xml:space="preserve">(long and short positions) </w:t>
      </w:r>
      <w:r w:rsidRPr="007937A2">
        <w:rPr>
          <w:sz w:val="26"/>
          <w:szCs w:val="26"/>
        </w:rPr>
        <w:t xml:space="preserve">divided by total assets. </w:t>
      </w:r>
    </w:p>
    <w:p w14:paraId="2E05C103" w14:textId="1766C997" w:rsidR="00F433C5" w:rsidRPr="007937A2" w:rsidRDefault="00F433C5" w:rsidP="007937A2">
      <w:pPr>
        <w:numPr>
          <w:ilvl w:val="0"/>
          <w:numId w:val="6"/>
        </w:numPr>
        <w:rPr>
          <w:sz w:val="26"/>
          <w:szCs w:val="26"/>
        </w:rPr>
      </w:pPr>
      <w:r w:rsidRPr="007937A2">
        <w:rPr>
          <w:sz w:val="26"/>
          <w:szCs w:val="26"/>
        </w:rPr>
        <w:t>Value-at-Risk (</w:t>
      </w:r>
      <w:proofErr w:type="spellStart"/>
      <w:r w:rsidRPr="007937A2">
        <w:rPr>
          <w:sz w:val="26"/>
          <w:szCs w:val="26"/>
        </w:rPr>
        <w:t>VaR</w:t>
      </w:r>
      <w:proofErr w:type="spellEnd"/>
      <w:r w:rsidRPr="007937A2">
        <w:rPr>
          <w:sz w:val="26"/>
          <w:szCs w:val="26"/>
        </w:rPr>
        <w:t>)</w:t>
      </w:r>
      <w:r w:rsidR="00D76031" w:rsidRPr="007937A2">
        <w:rPr>
          <w:sz w:val="26"/>
          <w:szCs w:val="26"/>
        </w:rPr>
        <w:t xml:space="preserve"> Ratio</w:t>
      </w:r>
      <w:r w:rsidR="00974113">
        <w:rPr>
          <w:sz w:val="26"/>
          <w:szCs w:val="26"/>
        </w:rPr>
        <w:t xml:space="preserve">:  </w:t>
      </w:r>
      <w:r w:rsidR="001211B1" w:rsidRPr="007937A2">
        <w:rPr>
          <w:sz w:val="26"/>
          <w:szCs w:val="26"/>
        </w:rPr>
        <w:t>A measure and quantification of the level of financial risk within the bank portfolio over a specific time frame</w:t>
      </w:r>
      <w:r w:rsidR="00E575C9" w:rsidRPr="007937A2">
        <w:rPr>
          <w:sz w:val="26"/>
          <w:szCs w:val="26"/>
        </w:rPr>
        <w:t>, generally 6</w:t>
      </w:r>
      <w:r w:rsidR="00E758BD" w:rsidRPr="007937A2">
        <w:rPr>
          <w:sz w:val="26"/>
          <w:szCs w:val="26"/>
        </w:rPr>
        <w:t>0 days, divided by total assets</w:t>
      </w:r>
      <w:r w:rsidR="007A57F3">
        <w:rPr>
          <w:sz w:val="26"/>
          <w:szCs w:val="26"/>
        </w:rPr>
        <w:t>.</w:t>
      </w:r>
    </w:p>
    <w:p w14:paraId="2DCA5866" w14:textId="3E9AC550" w:rsidR="00E758BD" w:rsidRPr="007937A2" w:rsidRDefault="00E758BD" w:rsidP="007937A2">
      <w:pPr>
        <w:numPr>
          <w:ilvl w:val="0"/>
          <w:numId w:val="6"/>
        </w:numPr>
        <w:rPr>
          <w:sz w:val="26"/>
          <w:szCs w:val="26"/>
        </w:rPr>
      </w:pPr>
      <w:r w:rsidRPr="007937A2">
        <w:rPr>
          <w:sz w:val="26"/>
          <w:szCs w:val="26"/>
        </w:rPr>
        <w:t xml:space="preserve">All Risks </w:t>
      </w:r>
      <w:r w:rsidR="00D76031" w:rsidRPr="007937A2">
        <w:rPr>
          <w:sz w:val="26"/>
          <w:szCs w:val="26"/>
        </w:rPr>
        <w:t xml:space="preserve">to Assets </w:t>
      </w:r>
      <w:r w:rsidRPr="007937A2">
        <w:rPr>
          <w:sz w:val="26"/>
          <w:szCs w:val="26"/>
        </w:rPr>
        <w:t>Ratio</w:t>
      </w:r>
      <w:r w:rsidR="00974113">
        <w:rPr>
          <w:sz w:val="26"/>
          <w:szCs w:val="26"/>
        </w:rPr>
        <w:t xml:space="preserve">:  </w:t>
      </w:r>
      <w:r w:rsidR="007A57F3">
        <w:rPr>
          <w:sz w:val="26"/>
          <w:szCs w:val="26"/>
        </w:rPr>
        <w:t>T</w:t>
      </w:r>
      <w:r w:rsidRPr="007937A2">
        <w:rPr>
          <w:sz w:val="26"/>
          <w:szCs w:val="26"/>
        </w:rPr>
        <w:t>he sum of credit, operational, and market risks to which the bank is exposed divided by total assets</w:t>
      </w:r>
      <w:r w:rsidR="007A57F3">
        <w:rPr>
          <w:sz w:val="26"/>
          <w:szCs w:val="26"/>
        </w:rPr>
        <w:t>.</w:t>
      </w:r>
    </w:p>
    <w:p w14:paraId="46ADFF65" w14:textId="529065A7" w:rsidR="00F340F1" w:rsidRPr="007937A2" w:rsidRDefault="00E758BD" w:rsidP="007937A2">
      <w:pPr>
        <w:numPr>
          <w:ilvl w:val="0"/>
          <w:numId w:val="6"/>
        </w:numPr>
        <w:rPr>
          <w:sz w:val="26"/>
          <w:szCs w:val="26"/>
        </w:rPr>
      </w:pPr>
      <w:r w:rsidRPr="007937A2">
        <w:rPr>
          <w:sz w:val="26"/>
          <w:szCs w:val="26"/>
        </w:rPr>
        <w:t>Risk Weighted Assets</w:t>
      </w:r>
      <w:r w:rsidR="00D76031" w:rsidRPr="007937A2">
        <w:rPr>
          <w:sz w:val="26"/>
          <w:szCs w:val="26"/>
        </w:rPr>
        <w:t xml:space="preserve"> Ratio</w:t>
      </w:r>
      <w:r w:rsidR="00974113">
        <w:rPr>
          <w:sz w:val="26"/>
          <w:szCs w:val="26"/>
        </w:rPr>
        <w:t xml:space="preserve">:  </w:t>
      </w:r>
      <w:r w:rsidRPr="007937A2">
        <w:rPr>
          <w:sz w:val="26"/>
          <w:szCs w:val="26"/>
        </w:rPr>
        <w:t xml:space="preserve"> equals assets or off-balance sheet exposures, weighted according to risk. </w:t>
      </w:r>
      <w:r w:rsidR="007A57F3">
        <w:rPr>
          <w:sz w:val="26"/>
          <w:szCs w:val="26"/>
        </w:rPr>
        <w:t xml:space="preserve"> </w:t>
      </w:r>
      <w:r w:rsidRPr="007937A2">
        <w:rPr>
          <w:sz w:val="26"/>
          <w:szCs w:val="26"/>
        </w:rPr>
        <w:t>This calculation is used in determining the capital requirement or Capit</w:t>
      </w:r>
      <w:r w:rsidR="00F159D8">
        <w:rPr>
          <w:sz w:val="26"/>
          <w:szCs w:val="26"/>
        </w:rPr>
        <w:t xml:space="preserve">al Adequacy Ratio for a bank.  </w:t>
      </w:r>
      <w:r w:rsidRPr="007937A2">
        <w:rPr>
          <w:sz w:val="26"/>
          <w:szCs w:val="26"/>
        </w:rPr>
        <w:t xml:space="preserve">The </w:t>
      </w:r>
      <w:r w:rsidR="007577BB">
        <w:rPr>
          <w:sz w:val="26"/>
          <w:szCs w:val="26"/>
        </w:rPr>
        <w:t xml:space="preserve">Capital Adequacy Ratio </w:t>
      </w:r>
      <w:r w:rsidRPr="007937A2">
        <w:rPr>
          <w:sz w:val="26"/>
          <w:szCs w:val="26"/>
        </w:rPr>
        <w:t>is divided by total assets to yield a percent.</w:t>
      </w:r>
    </w:p>
    <w:p w14:paraId="1C2BA454" w14:textId="08989E79" w:rsidR="00C33D57" w:rsidRPr="007937A2" w:rsidRDefault="00C33D57" w:rsidP="007937A2">
      <w:pPr>
        <w:pStyle w:val="BodyText"/>
        <w:tabs>
          <w:tab w:val="left" w:pos="720"/>
        </w:tabs>
        <w:rPr>
          <w:rFonts w:ascii="Calibri" w:hAnsi="Calibri"/>
          <w:sz w:val="26"/>
          <w:szCs w:val="26"/>
        </w:rPr>
      </w:pPr>
      <w:r w:rsidRPr="007937A2">
        <w:rPr>
          <w:rFonts w:ascii="Calibri" w:hAnsi="Calibri"/>
          <w:sz w:val="26"/>
          <w:szCs w:val="26"/>
        </w:rPr>
        <w:t xml:space="preserve">Because our data contains information on cross sectional units (banks) observed over time, a panel data estimation technique is adopted. </w:t>
      </w:r>
      <w:r w:rsidR="007A57F3">
        <w:rPr>
          <w:rFonts w:ascii="Calibri" w:hAnsi="Calibri"/>
          <w:sz w:val="26"/>
          <w:szCs w:val="26"/>
        </w:rPr>
        <w:t xml:space="preserve"> </w:t>
      </w:r>
      <w:r w:rsidR="00956965">
        <w:rPr>
          <w:rFonts w:ascii="Calibri" w:hAnsi="Calibri"/>
          <w:sz w:val="26"/>
          <w:szCs w:val="26"/>
        </w:rPr>
        <w:t>Using this technique</w:t>
      </w:r>
      <w:r w:rsidRPr="007937A2">
        <w:rPr>
          <w:rFonts w:ascii="Calibri" w:hAnsi="Calibri"/>
          <w:sz w:val="26"/>
          <w:szCs w:val="26"/>
        </w:rPr>
        <w:t xml:space="preserve"> allows us to perform statistical analysis either over time (fixed-effects) or across banks (random effects).  The model takes the </w:t>
      </w:r>
      <w:r w:rsidR="00084A3E">
        <w:rPr>
          <w:rFonts w:ascii="Calibri" w:hAnsi="Calibri"/>
          <w:sz w:val="26"/>
          <w:szCs w:val="26"/>
        </w:rPr>
        <w:t xml:space="preserve">following </w:t>
      </w:r>
      <w:r w:rsidRPr="007937A2">
        <w:rPr>
          <w:rFonts w:ascii="Calibri" w:hAnsi="Calibri"/>
          <w:sz w:val="26"/>
          <w:szCs w:val="26"/>
        </w:rPr>
        <w:t>form:</w:t>
      </w:r>
    </w:p>
    <w:p w14:paraId="514BEDCD" w14:textId="77777777" w:rsidR="00C33D57" w:rsidRPr="007937A2" w:rsidRDefault="00C33D57" w:rsidP="007937A2">
      <w:pPr>
        <w:pStyle w:val="BodyText"/>
        <w:tabs>
          <w:tab w:val="left" w:pos="720"/>
        </w:tabs>
        <w:rPr>
          <w:rFonts w:ascii="Calibri" w:hAnsi="Calibri"/>
          <w:sz w:val="26"/>
          <w:szCs w:val="26"/>
        </w:rPr>
      </w:pPr>
    </w:p>
    <w:p w14:paraId="68EEAFA8" w14:textId="0B523204" w:rsidR="00D76031" w:rsidRPr="00966B79" w:rsidRDefault="00D76031" w:rsidP="007937A2">
      <w:pPr>
        <w:pStyle w:val="BodyText"/>
        <w:tabs>
          <w:tab w:val="left" w:pos="720"/>
        </w:tabs>
        <w:rPr>
          <w:rFonts w:ascii="Calibri" w:hAnsi="Calibri"/>
          <w:sz w:val="26"/>
          <w:szCs w:val="26"/>
        </w:rPr>
      </w:pPr>
      <w:r w:rsidRPr="007937A2">
        <w:rPr>
          <w:sz w:val="26"/>
          <w:szCs w:val="26"/>
        </w:rPr>
        <w:tab/>
      </w:r>
      <w:r w:rsidR="0091566A" w:rsidRPr="007937A2">
        <w:rPr>
          <w:position w:val="-12"/>
          <w:sz w:val="26"/>
          <w:szCs w:val="26"/>
        </w:rPr>
        <w:object w:dxaOrig="3940" w:dyaOrig="380" w14:anchorId="0303F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pt;height:25pt" o:ole="" fillcolor="window">
            <v:imagedata r:id="rId10" o:title=""/>
          </v:shape>
          <o:OLEObject Type="Embed" ProgID="Equation.3" ShapeID="_x0000_i1025" DrawAspect="Content" ObjectID="_1348654904" r:id="rId11"/>
        </w:object>
      </w:r>
      <w:r w:rsidRPr="007937A2">
        <w:rPr>
          <w:sz w:val="26"/>
          <w:szCs w:val="26"/>
        </w:rPr>
        <w:tab/>
      </w:r>
      <w:r w:rsidRPr="007937A2">
        <w:rPr>
          <w:sz w:val="26"/>
          <w:szCs w:val="26"/>
        </w:rPr>
        <w:tab/>
      </w:r>
      <w:r w:rsidR="0091566A">
        <w:rPr>
          <w:sz w:val="26"/>
          <w:szCs w:val="26"/>
        </w:rPr>
        <w:tab/>
      </w:r>
      <w:r w:rsidRPr="00966B79">
        <w:rPr>
          <w:rFonts w:ascii="Calibri" w:hAnsi="Calibri"/>
          <w:sz w:val="26"/>
          <w:szCs w:val="26"/>
        </w:rPr>
        <w:t>(A)</w:t>
      </w:r>
    </w:p>
    <w:p w14:paraId="27D5A63C" w14:textId="77777777" w:rsidR="00F2707E" w:rsidRPr="007937A2" w:rsidRDefault="00F2707E" w:rsidP="007937A2">
      <w:pPr>
        <w:pStyle w:val="BodyText"/>
        <w:tabs>
          <w:tab w:val="left" w:pos="720"/>
        </w:tabs>
        <w:rPr>
          <w:rFonts w:ascii="Calibri" w:hAnsi="Calibri"/>
          <w:sz w:val="26"/>
          <w:szCs w:val="26"/>
        </w:rPr>
      </w:pPr>
    </w:p>
    <w:p w14:paraId="4A571C58" w14:textId="2028CADD" w:rsidR="00C33D57" w:rsidRPr="007937A2" w:rsidRDefault="00D76031" w:rsidP="007937A2">
      <w:pPr>
        <w:pStyle w:val="BodyText"/>
        <w:tabs>
          <w:tab w:val="left" w:pos="720"/>
        </w:tabs>
        <w:rPr>
          <w:sz w:val="26"/>
          <w:szCs w:val="26"/>
        </w:rPr>
      </w:pPr>
      <w:r w:rsidRPr="007937A2">
        <w:rPr>
          <w:rFonts w:ascii="Calibri" w:hAnsi="Calibri"/>
          <w:sz w:val="26"/>
          <w:szCs w:val="26"/>
        </w:rPr>
        <w:tab/>
      </w:r>
      <w:r w:rsidR="0091566A" w:rsidRPr="007937A2">
        <w:rPr>
          <w:rFonts w:ascii="Calibri" w:hAnsi="Calibri"/>
          <w:position w:val="-12"/>
          <w:sz w:val="26"/>
          <w:szCs w:val="26"/>
        </w:rPr>
        <w:object w:dxaOrig="5240" w:dyaOrig="380" w14:anchorId="491F6153">
          <v:shape id="_x0000_i1026" type="#_x0000_t75" style="width:325pt;height:22pt" o:ole="" fillcolor="window">
            <v:imagedata r:id="rId12" o:title=""/>
          </v:shape>
          <o:OLEObject Type="Embed" ProgID="Equation.3" ShapeID="_x0000_i1026" DrawAspect="Content" ObjectID="_1348654905" r:id="rId13"/>
        </w:object>
      </w:r>
      <w:r w:rsidR="00C33D57" w:rsidRPr="007937A2">
        <w:rPr>
          <w:rFonts w:ascii="Calibri" w:hAnsi="Calibri"/>
          <w:sz w:val="26"/>
          <w:szCs w:val="26"/>
        </w:rPr>
        <w:tab/>
      </w:r>
      <w:r w:rsidR="00C33D57" w:rsidRPr="00966B79">
        <w:rPr>
          <w:rFonts w:ascii="Calibri" w:hAnsi="Calibri"/>
          <w:sz w:val="26"/>
          <w:szCs w:val="26"/>
        </w:rPr>
        <w:t>(</w:t>
      </w:r>
      <w:r w:rsidRPr="00966B79">
        <w:rPr>
          <w:rFonts w:ascii="Calibri" w:hAnsi="Calibri"/>
          <w:sz w:val="26"/>
          <w:szCs w:val="26"/>
        </w:rPr>
        <w:t>B</w:t>
      </w:r>
      <w:r w:rsidR="00C33D57" w:rsidRPr="00966B79">
        <w:rPr>
          <w:rFonts w:ascii="Calibri" w:hAnsi="Calibri"/>
          <w:sz w:val="26"/>
          <w:szCs w:val="26"/>
        </w:rPr>
        <w:t>)</w:t>
      </w:r>
      <w:r w:rsidR="00C33D57" w:rsidRPr="007937A2">
        <w:rPr>
          <w:sz w:val="26"/>
          <w:szCs w:val="26"/>
        </w:rPr>
        <w:t xml:space="preserve"> </w:t>
      </w:r>
    </w:p>
    <w:p w14:paraId="0AE73FED" w14:textId="77777777" w:rsidR="00F2707E" w:rsidRPr="007937A2" w:rsidRDefault="00F2707E" w:rsidP="007937A2">
      <w:pPr>
        <w:rPr>
          <w:sz w:val="26"/>
          <w:szCs w:val="26"/>
        </w:rPr>
      </w:pPr>
    </w:p>
    <w:p w14:paraId="648C2669" w14:textId="33A29129" w:rsidR="00C33D57" w:rsidRPr="007937A2" w:rsidRDefault="00C33D57" w:rsidP="007937A2">
      <w:pPr>
        <w:rPr>
          <w:sz w:val="26"/>
          <w:szCs w:val="26"/>
        </w:rPr>
      </w:pPr>
      <w:r w:rsidRPr="007937A2">
        <w:rPr>
          <w:sz w:val="26"/>
          <w:szCs w:val="26"/>
        </w:rPr>
        <w:t xml:space="preserve">where </w:t>
      </w:r>
      <w:proofErr w:type="spellStart"/>
      <w:r w:rsidR="007A57F3">
        <w:rPr>
          <w:i/>
          <w:iCs/>
          <w:sz w:val="26"/>
          <w:szCs w:val="26"/>
        </w:rPr>
        <w:t>i</w:t>
      </w:r>
      <w:proofErr w:type="spellEnd"/>
      <w:r w:rsidR="007A57F3">
        <w:rPr>
          <w:i/>
          <w:iCs/>
          <w:sz w:val="26"/>
          <w:szCs w:val="26"/>
        </w:rPr>
        <w:t xml:space="preserve"> = 1,2, . . . </w:t>
      </w:r>
      <w:r w:rsidRPr="007937A2">
        <w:rPr>
          <w:i/>
          <w:iCs/>
          <w:sz w:val="26"/>
          <w:szCs w:val="26"/>
        </w:rPr>
        <w:t>N</w:t>
      </w:r>
      <w:r w:rsidRPr="007937A2">
        <w:rPr>
          <w:sz w:val="26"/>
          <w:szCs w:val="26"/>
        </w:rPr>
        <w:t xml:space="preserve"> cross sections  and periods </w:t>
      </w:r>
      <w:r w:rsidR="007A57F3">
        <w:rPr>
          <w:i/>
          <w:iCs/>
          <w:sz w:val="26"/>
          <w:szCs w:val="26"/>
        </w:rPr>
        <w:t xml:space="preserve">t =1,2, . . . </w:t>
      </w:r>
      <w:r w:rsidRPr="007937A2">
        <w:rPr>
          <w:i/>
          <w:iCs/>
          <w:sz w:val="26"/>
          <w:szCs w:val="26"/>
        </w:rPr>
        <w:t>T</w:t>
      </w:r>
      <w:r w:rsidRPr="007937A2">
        <w:rPr>
          <w:sz w:val="26"/>
          <w:szCs w:val="26"/>
        </w:rPr>
        <w:t xml:space="preserve">, with </w:t>
      </w:r>
      <w:r w:rsidRPr="007937A2">
        <w:rPr>
          <w:i/>
          <w:iCs/>
          <w:sz w:val="26"/>
          <w:szCs w:val="26"/>
        </w:rPr>
        <w:t>T = 12</w:t>
      </w:r>
      <w:r w:rsidR="007A57F3">
        <w:rPr>
          <w:sz w:val="26"/>
          <w:szCs w:val="26"/>
        </w:rPr>
        <w:t xml:space="preserve"> annual periods (2004–</w:t>
      </w:r>
      <w:r w:rsidRPr="007937A2">
        <w:rPr>
          <w:sz w:val="26"/>
          <w:szCs w:val="26"/>
        </w:rPr>
        <w:t xml:space="preserve">2012) and </w:t>
      </w:r>
      <w:r w:rsidRPr="007937A2">
        <w:rPr>
          <w:i/>
          <w:iCs/>
          <w:sz w:val="26"/>
          <w:szCs w:val="26"/>
        </w:rPr>
        <w:t xml:space="preserve">N = </w:t>
      </w:r>
      <w:r w:rsidRPr="007937A2">
        <w:rPr>
          <w:sz w:val="26"/>
          <w:szCs w:val="26"/>
        </w:rPr>
        <w:t>(8 banks)</w:t>
      </w:r>
      <w:r w:rsidRPr="007937A2">
        <w:rPr>
          <w:bCs/>
          <w:iCs/>
          <w:sz w:val="26"/>
          <w:szCs w:val="26"/>
        </w:rPr>
        <w:t xml:space="preserve">, and </w:t>
      </w:r>
      <w:proofErr w:type="spellStart"/>
      <w:r w:rsidRPr="007937A2">
        <w:rPr>
          <w:b/>
          <w:i/>
          <w:sz w:val="26"/>
          <w:szCs w:val="26"/>
        </w:rPr>
        <w:t>x</w:t>
      </w:r>
      <w:r w:rsidRPr="007937A2">
        <w:rPr>
          <w:b/>
          <w:i/>
          <w:sz w:val="26"/>
          <w:szCs w:val="26"/>
          <w:vertAlign w:val="subscript"/>
        </w:rPr>
        <w:t>it</w:t>
      </w:r>
      <w:proofErr w:type="spellEnd"/>
      <w:r w:rsidRPr="007937A2">
        <w:rPr>
          <w:bCs/>
          <w:iCs/>
          <w:sz w:val="26"/>
          <w:szCs w:val="26"/>
        </w:rPr>
        <w:t xml:space="preserve"> is a vector of independent variables</w:t>
      </w:r>
      <w:r w:rsidR="00684C19" w:rsidRPr="007937A2">
        <w:rPr>
          <w:bCs/>
          <w:iCs/>
          <w:sz w:val="26"/>
          <w:szCs w:val="26"/>
        </w:rPr>
        <w:t xml:space="preserve"> </w:t>
      </w:r>
      <w:r w:rsidR="00F1519F" w:rsidRPr="007937A2">
        <w:rPr>
          <w:bCs/>
          <w:iCs/>
          <w:sz w:val="26"/>
          <w:szCs w:val="26"/>
        </w:rPr>
        <w:t xml:space="preserve">or risk </w:t>
      </w:r>
      <w:r w:rsidR="00F1519F" w:rsidRPr="007937A2">
        <w:rPr>
          <w:bCs/>
          <w:iCs/>
          <w:sz w:val="26"/>
          <w:szCs w:val="26"/>
        </w:rPr>
        <w:lastRenderedPageBreak/>
        <w:t xml:space="preserve">metrics </w:t>
      </w:r>
      <w:r w:rsidR="003F5254">
        <w:rPr>
          <w:bCs/>
          <w:iCs/>
          <w:sz w:val="26"/>
          <w:szCs w:val="26"/>
        </w:rPr>
        <w:t>chosen from variables one (1)</w:t>
      </w:r>
      <w:r w:rsidR="00684C19" w:rsidRPr="007937A2">
        <w:rPr>
          <w:bCs/>
          <w:iCs/>
          <w:sz w:val="26"/>
          <w:szCs w:val="26"/>
        </w:rPr>
        <w:t xml:space="preserve"> through </w:t>
      </w:r>
      <w:r w:rsidR="003F5254">
        <w:rPr>
          <w:bCs/>
          <w:iCs/>
          <w:sz w:val="26"/>
          <w:szCs w:val="26"/>
        </w:rPr>
        <w:t>five (5)</w:t>
      </w:r>
      <w:r w:rsidR="00684C19" w:rsidRPr="007937A2">
        <w:rPr>
          <w:bCs/>
          <w:iCs/>
          <w:sz w:val="26"/>
          <w:szCs w:val="26"/>
        </w:rPr>
        <w:t xml:space="preserve"> above</w:t>
      </w:r>
      <w:r w:rsidRPr="007937A2">
        <w:rPr>
          <w:bCs/>
          <w:iCs/>
          <w:color w:val="000000"/>
          <w:sz w:val="26"/>
          <w:szCs w:val="26"/>
        </w:rPr>
        <w:t>.</w:t>
      </w:r>
      <w:r w:rsidRPr="007937A2">
        <w:rPr>
          <w:color w:val="000000"/>
          <w:sz w:val="26"/>
          <w:szCs w:val="26"/>
        </w:rPr>
        <w:t xml:space="preserve"> </w:t>
      </w:r>
      <w:r w:rsidRPr="007937A2">
        <w:rPr>
          <w:sz w:val="26"/>
          <w:szCs w:val="26"/>
        </w:rPr>
        <w:t xml:space="preserve"> </w:t>
      </w:r>
      <w:r w:rsidR="007A57F3">
        <w:rPr>
          <w:sz w:val="26"/>
          <w:szCs w:val="26"/>
        </w:rPr>
        <w:t>Two</w:t>
      </w:r>
      <w:r w:rsidR="00FB0924" w:rsidRPr="007937A2">
        <w:rPr>
          <w:sz w:val="26"/>
          <w:szCs w:val="26"/>
        </w:rPr>
        <w:t xml:space="preserve"> possible ways</w:t>
      </w:r>
      <w:r w:rsidR="007A57F3">
        <w:rPr>
          <w:sz w:val="26"/>
          <w:szCs w:val="26"/>
        </w:rPr>
        <w:t xml:space="preserve"> exist</w:t>
      </w:r>
      <w:r w:rsidR="00FB0924" w:rsidRPr="007937A2">
        <w:rPr>
          <w:sz w:val="26"/>
          <w:szCs w:val="26"/>
        </w:rPr>
        <w:t xml:space="preserve"> to estimate regressions A and B.  Assuming that </w:t>
      </w:r>
      <w:r w:rsidR="00FB0924" w:rsidRPr="007937A2">
        <w:rPr>
          <w:i/>
          <w:sz w:val="26"/>
          <w:szCs w:val="26"/>
        </w:rPr>
        <w:sym w:font="Symbol" w:char="F061"/>
      </w:r>
      <w:r w:rsidR="00FB0924" w:rsidRPr="007937A2">
        <w:rPr>
          <w:i/>
          <w:sz w:val="26"/>
          <w:szCs w:val="26"/>
          <w:vertAlign w:val="subscript"/>
        </w:rPr>
        <w:t>it</w:t>
      </w:r>
      <w:r w:rsidR="00FB0924" w:rsidRPr="007937A2">
        <w:rPr>
          <w:sz w:val="26"/>
          <w:szCs w:val="26"/>
        </w:rPr>
        <w:t xml:space="preserve"> is fixed over time, but differs across banks (cross-sections), each regression can be estimated using fixed effects.  Furthermore, if </w:t>
      </w:r>
      <w:r w:rsidR="00FB0924" w:rsidRPr="007937A2">
        <w:rPr>
          <w:i/>
          <w:sz w:val="26"/>
          <w:szCs w:val="26"/>
        </w:rPr>
        <w:sym w:font="Symbol" w:char="F061"/>
      </w:r>
      <w:r w:rsidR="00FB0924" w:rsidRPr="007937A2">
        <w:rPr>
          <w:i/>
          <w:sz w:val="26"/>
          <w:szCs w:val="26"/>
          <w:vertAlign w:val="subscript"/>
        </w:rPr>
        <w:t>it</w:t>
      </w:r>
      <w:r w:rsidR="00FB0924" w:rsidRPr="007937A2">
        <w:rPr>
          <w:sz w:val="26"/>
          <w:szCs w:val="26"/>
        </w:rPr>
        <w:t xml:space="preserve"> can be decomposed into a common constant </w:t>
      </w:r>
      <w:r w:rsidR="00FB0924" w:rsidRPr="007937A2">
        <w:rPr>
          <w:i/>
          <w:sz w:val="26"/>
          <w:szCs w:val="26"/>
        </w:rPr>
        <w:sym w:font="Symbol" w:char="F061"/>
      </w:r>
      <w:r w:rsidR="00FB0924" w:rsidRPr="007937A2">
        <w:rPr>
          <w:sz w:val="26"/>
          <w:szCs w:val="26"/>
        </w:rPr>
        <w:t xml:space="preserve">  and a bank specific random variable (</w:t>
      </w:r>
      <w:r w:rsidR="00FB0924" w:rsidRPr="007937A2">
        <w:rPr>
          <w:i/>
          <w:sz w:val="26"/>
          <w:szCs w:val="26"/>
        </w:rPr>
        <w:sym w:font="Symbol" w:char="F078"/>
      </w:r>
      <w:r w:rsidR="00FB0924" w:rsidRPr="007937A2">
        <w:rPr>
          <w:i/>
          <w:sz w:val="26"/>
          <w:szCs w:val="26"/>
          <w:vertAlign w:val="subscript"/>
        </w:rPr>
        <w:t>i</w:t>
      </w:r>
      <w:r w:rsidR="00FB0924" w:rsidRPr="007937A2">
        <w:rPr>
          <w:sz w:val="26"/>
          <w:szCs w:val="26"/>
        </w:rPr>
        <w:t xml:space="preserve">) so that </w:t>
      </w:r>
      <w:r w:rsidR="00FB0924" w:rsidRPr="007937A2">
        <w:rPr>
          <w:i/>
          <w:sz w:val="26"/>
          <w:szCs w:val="26"/>
        </w:rPr>
        <w:sym w:font="Symbol" w:char="F061"/>
      </w:r>
      <w:r w:rsidR="00FB0924" w:rsidRPr="007937A2">
        <w:rPr>
          <w:i/>
          <w:sz w:val="26"/>
          <w:szCs w:val="26"/>
          <w:vertAlign w:val="subscript"/>
        </w:rPr>
        <w:t>it</w:t>
      </w:r>
      <w:r w:rsidR="00FB0924" w:rsidRPr="007937A2">
        <w:rPr>
          <w:sz w:val="26"/>
          <w:szCs w:val="26"/>
        </w:rPr>
        <w:t xml:space="preserve">  = </w:t>
      </w:r>
      <w:r w:rsidR="00FB0924" w:rsidRPr="007937A2">
        <w:rPr>
          <w:i/>
          <w:sz w:val="26"/>
          <w:szCs w:val="26"/>
        </w:rPr>
        <w:sym w:font="Symbol" w:char="F061"/>
      </w:r>
      <w:r w:rsidR="00FB0924" w:rsidRPr="007937A2">
        <w:rPr>
          <w:sz w:val="26"/>
          <w:szCs w:val="26"/>
        </w:rPr>
        <w:t xml:space="preserve"> + </w:t>
      </w:r>
      <w:r w:rsidR="00FB0924" w:rsidRPr="007937A2">
        <w:rPr>
          <w:i/>
          <w:sz w:val="26"/>
          <w:szCs w:val="26"/>
        </w:rPr>
        <w:sym w:font="Symbol" w:char="F078"/>
      </w:r>
      <w:r w:rsidR="00FB0924" w:rsidRPr="007937A2">
        <w:rPr>
          <w:i/>
          <w:sz w:val="26"/>
          <w:szCs w:val="26"/>
          <w:vertAlign w:val="subscript"/>
        </w:rPr>
        <w:t>i</w:t>
      </w:r>
      <w:r w:rsidR="00FB0924" w:rsidRPr="007937A2">
        <w:rPr>
          <w:sz w:val="26"/>
          <w:szCs w:val="26"/>
        </w:rPr>
        <w:t xml:space="preserve"> , then each regression can be estimated with random effects.   </w:t>
      </w:r>
    </w:p>
    <w:p w14:paraId="79964C03" w14:textId="55712996" w:rsidR="00FF6831" w:rsidRPr="007937A2" w:rsidRDefault="00684C19" w:rsidP="00616063">
      <w:pPr>
        <w:rPr>
          <w:b/>
          <w:sz w:val="26"/>
          <w:szCs w:val="26"/>
        </w:rPr>
      </w:pPr>
      <w:r w:rsidRPr="007937A2">
        <w:rPr>
          <w:sz w:val="26"/>
          <w:szCs w:val="26"/>
        </w:rPr>
        <w:t xml:space="preserve">We run regressions </w:t>
      </w:r>
      <w:r w:rsidR="0091566A">
        <w:rPr>
          <w:sz w:val="26"/>
          <w:szCs w:val="26"/>
        </w:rPr>
        <w:t xml:space="preserve">(A) and (B) </w:t>
      </w:r>
      <w:r w:rsidRPr="007937A2">
        <w:rPr>
          <w:sz w:val="26"/>
          <w:szCs w:val="26"/>
        </w:rPr>
        <w:t>across banks using average values for each institution over the sample period (across</w:t>
      </w:r>
      <w:r w:rsidR="00F1519F" w:rsidRPr="007937A2">
        <w:rPr>
          <w:sz w:val="26"/>
          <w:szCs w:val="26"/>
        </w:rPr>
        <w:t>-</w:t>
      </w:r>
      <w:r w:rsidRPr="007937A2">
        <w:rPr>
          <w:sz w:val="26"/>
          <w:szCs w:val="26"/>
        </w:rPr>
        <w:t xml:space="preserve">banks) and, using a fixed-effects specification, we run </w:t>
      </w:r>
      <w:r w:rsidR="00186F4C">
        <w:rPr>
          <w:sz w:val="26"/>
          <w:szCs w:val="26"/>
        </w:rPr>
        <w:t>regressions</w:t>
      </w:r>
      <w:r w:rsidRPr="007937A2">
        <w:rPr>
          <w:sz w:val="26"/>
          <w:szCs w:val="26"/>
        </w:rPr>
        <w:t xml:space="preserve"> for each bank over time (within</w:t>
      </w:r>
      <w:r w:rsidR="00F1519F" w:rsidRPr="007937A2">
        <w:rPr>
          <w:sz w:val="26"/>
          <w:szCs w:val="26"/>
        </w:rPr>
        <w:t xml:space="preserve"> </w:t>
      </w:r>
      <w:r w:rsidRPr="007937A2">
        <w:rPr>
          <w:sz w:val="26"/>
          <w:szCs w:val="26"/>
        </w:rPr>
        <w:t xml:space="preserve">banks). </w:t>
      </w:r>
      <w:r w:rsidR="00186F4C">
        <w:rPr>
          <w:sz w:val="26"/>
          <w:szCs w:val="26"/>
        </w:rPr>
        <w:t xml:space="preserve"> </w:t>
      </w:r>
      <w:r w:rsidRPr="007937A2">
        <w:rPr>
          <w:sz w:val="26"/>
          <w:szCs w:val="26"/>
        </w:rPr>
        <w:t>The within</w:t>
      </w:r>
      <w:r w:rsidR="00F1519F" w:rsidRPr="007937A2">
        <w:rPr>
          <w:sz w:val="26"/>
          <w:szCs w:val="26"/>
        </w:rPr>
        <w:t>-banks</w:t>
      </w:r>
      <w:r w:rsidR="00186F4C">
        <w:rPr>
          <w:sz w:val="26"/>
          <w:szCs w:val="26"/>
        </w:rPr>
        <w:t xml:space="preserve"> sample period</w:t>
      </w:r>
      <w:r w:rsidRPr="007937A2">
        <w:rPr>
          <w:sz w:val="26"/>
          <w:szCs w:val="26"/>
        </w:rPr>
        <w:t xml:space="preserve"> can be interpreted as capturing the average correlation between the </w:t>
      </w:r>
      <w:r w:rsidR="00F1519F" w:rsidRPr="007937A2">
        <w:rPr>
          <w:sz w:val="26"/>
          <w:szCs w:val="26"/>
        </w:rPr>
        <w:t xml:space="preserve">capital ratios and each of the </w:t>
      </w:r>
      <w:r w:rsidR="003F5254">
        <w:rPr>
          <w:sz w:val="26"/>
          <w:szCs w:val="26"/>
        </w:rPr>
        <w:t xml:space="preserve">five </w:t>
      </w:r>
      <w:r w:rsidR="00F1519F" w:rsidRPr="007937A2">
        <w:rPr>
          <w:sz w:val="26"/>
          <w:szCs w:val="26"/>
        </w:rPr>
        <w:t xml:space="preserve">risk metrics over time. </w:t>
      </w:r>
      <w:r w:rsidR="00186F4C">
        <w:rPr>
          <w:sz w:val="26"/>
          <w:szCs w:val="26"/>
        </w:rPr>
        <w:t xml:space="preserve"> </w:t>
      </w:r>
      <w:r w:rsidR="00F1519F" w:rsidRPr="007937A2">
        <w:rPr>
          <w:sz w:val="26"/>
          <w:szCs w:val="26"/>
        </w:rPr>
        <w:t xml:space="preserve">The across-banks sample period is interpreted as the correlation between the capital ratios and each of the </w:t>
      </w:r>
      <w:r w:rsidR="003F5254">
        <w:rPr>
          <w:sz w:val="26"/>
          <w:szCs w:val="26"/>
        </w:rPr>
        <w:t>five</w:t>
      </w:r>
      <w:r w:rsidR="00F1519F" w:rsidRPr="007937A2">
        <w:rPr>
          <w:sz w:val="26"/>
          <w:szCs w:val="26"/>
        </w:rPr>
        <w:t xml:space="preserve"> risk metrics across different banks in the study. </w:t>
      </w:r>
      <w:r w:rsidR="00C461EF" w:rsidRPr="007937A2">
        <w:rPr>
          <w:sz w:val="26"/>
          <w:szCs w:val="26"/>
        </w:rPr>
        <w:t xml:space="preserve"> A statistically significant variable would suggest a high degree of correlation with the dependent variable and therefore the information provided by the independent variable is </w:t>
      </w:r>
      <w:r w:rsidR="00C461EF" w:rsidRPr="007937A2">
        <w:rPr>
          <w:i/>
          <w:sz w:val="26"/>
          <w:szCs w:val="26"/>
        </w:rPr>
        <w:t>not</w:t>
      </w:r>
      <w:r w:rsidR="00C461EF" w:rsidRPr="007937A2">
        <w:rPr>
          <w:sz w:val="26"/>
          <w:szCs w:val="26"/>
        </w:rPr>
        <w:t xml:space="preserve"> adding value to market participants.  In this case</w:t>
      </w:r>
      <w:r w:rsidR="000A6890">
        <w:rPr>
          <w:sz w:val="26"/>
          <w:szCs w:val="26"/>
        </w:rPr>
        <w:t>,</w:t>
      </w:r>
      <w:r w:rsidR="00C461EF" w:rsidRPr="007937A2">
        <w:rPr>
          <w:sz w:val="26"/>
          <w:szCs w:val="26"/>
        </w:rPr>
        <w:t xml:space="preserve"> disclosure of this risk metric by the bank</w:t>
      </w:r>
      <w:r w:rsidR="000A6890" w:rsidRPr="007937A2">
        <w:rPr>
          <w:sz w:val="26"/>
          <w:szCs w:val="26"/>
        </w:rPr>
        <w:t xml:space="preserve"> </w:t>
      </w:r>
      <w:r w:rsidR="00C461EF" w:rsidRPr="007937A2">
        <w:rPr>
          <w:sz w:val="26"/>
          <w:szCs w:val="26"/>
        </w:rPr>
        <w:t>is not informative</w:t>
      </w:r>
      <w:r w:rsidR="000A6890">
        <w:rPr>
          <w:sz w:val="26"/>
          <w:szCs w:val="26"/>
        </w:rPr>
        <w:t>,</w:t>
      </w:r>
      <w:r w:rsidR="00C461EF" w:rsidRPr="007937A2">
        <w:rPr>
          <w:sz w:val="26"/>
          <w:szCs w:val="26"/>
        </w:rPr>
        <w:t xml:space="preserve"> nor meaningful.</w:t>
      </w:r>
    </w:p>
    <w:p w14:paraId="15EF1896" w14:textId="77777777" w:rsidR="0022401F" w:rsidRPr="007937A2" w:rsidRDefault="0022401F" w:rsidP="007937A2">
      <w:pPr>
        <w:numPr>
          <w:ilvl w:val="0"/>
          <w:numId w:val="1"/>
        </w:numPr>
        <w:jc w:val="both"/>
        <w:rPr>
          <w:b/>
          <w:sz w:val="26"/>
          <w:szCs w:val="26"/>
        </w:rPr>
      </w:pPr>
      <w:r w:rsidRPr="007937A2">
        <w:rPr>
          <w:b/>
          <w:sz w:val="26"/>
          <w:szCs w:val="26"/>
        </w:rPr>
        <w:t>Empirical Results</w:t>
      </w:r>
    </w:p>
    <w:p w14:paraId="108EF1F6" w14:textId="520DB14F" w:rsidR="00935526" w:rsidRPr="007937A2" w:rsidRDefault="001D27C9" w:rsidP="00F662A8">
      <w:pPr>
        <w:rPr>
          <w:sz w:val="26"/>
          <w:szCs w:val="26"/>
        </w:rPr>
      </w:pPr>
      <w:r>
        <w:rPr>
          <w:sz w:val="26"/>
          <w:szCs w:val="26"/>
        </w:rPr>
        <w:t>Table 1 compares the Core Requirements for banks across Basle I, II, and III.</w:t>
      </w:r>
      <w:r w:rsidR="00186F4C">
        <w:rPr>
          <w:sz w:val="26"/>
          <w:szCs w:val="26"/>
        </w:rPr>
        <w:t xml:space="preserve"> </w:t>
      </w:r>
      <w:r>
        <w:rPr>
          <w:sz w:val="26"/>
          <w:szCs w:val="26"/>
        </w:rPr>
        <w:t xml:space="preserve"> The same table shows the gradual increase in the number of ratios that banks have been required to meet.  Several ratios under Basel III are not yet enforced but will be required from banks after 2018.  </w:t>
      </w:r>
      <w:r w:rsidR="0022401F" w:rsidRPr="007937A2">
        <w:rPr>
          <w:sz w:val="26"/>
          <w:szCs w:val="26"/>
        </w:rPr>
        <w:t xml:space="preserve">Table </w:t>
      </w:r>
      <w:r w:rsidR="004218A7">
        <w:rPr>
          <w:sz w:val="26"/>
          <w:szCs w:val="26"/>
        </w:rPr>
        <w:t>2</w:t>
      </w:r>
      <w:r w:rsidR="0022401F" w:rsidRPr="007937A2">
        <w:rPr>
          <w:sz w:val="26"/>
          <w:szCs w:val="26"/>
        </w:rPr>
        <w:t xml:space="preserve"> shows the descriptive statistics of our sample data</w:t>
      </w:r>
      <w:r w:rsidR="00935526" w:rsidRPr="007937A2">
        <w:rPr>
          <w:sz w:val="26"/>
          <w:szCs w:val="26"/>
        </w:rPr>
        <w:t>.  From that table</w:t>
      </w:r>
      <w:r w:rsidR="00F8463A">
        <w:rPr>
          <w:sz w:val="26"/>
          <w:szCs w:val="26"/>
        </w:rPr>
        <w:t>,</w:t>
      </w:r>
      <w:r w:rsidR="00935526" w:rsidRPr="007937A2">
        <w:rPr>
          <w:sz w:val="26"/>
          <w:szCs w:val="26"/>
        </w:rPr>
        <w:t xml:space="preserve"> we notice that the</w:t>
      </w:r>
      <w:r w:rsidR="000A6890" w:rsidRPr="007937A2">
        <w:rPr>
          <w:sz w:val="26"/>
          <w:szCs w:val="26"/>
        </w:rPr>
        <w:t xml:space="preserve"> </w:t>
      </w:r>
      <w:r w:rsidR="00935526" w:rsidRPr="007937A2">
        <w:rPr>
          <w:sz w:val="26"/>
          <w:szCs w:val="26"/>
        </w:rPr>
        <w:t xml:space="preserve">capital requirement for market risk represents a small share of the total regulatory capital for most banks. </w:t>
      </w:r>
      <w:r w:rsidR="00186F4C">
        <w:rPr>
          <w:sz w:val="26"/>
          <w:szCs w:val="26"/>
        </w:rPr>
        <w:t xml:space="preserve"> </w:t>
      </w:r>
      <w:r w:rsidR="00935526" w:rsidRPr="007937A2">
        <w:rPr>
          <w:sz w:val="26"/>
          <w:szCs w:val="26"/>
        </w:rPr>
        <w:t xml:space="preserve">Depending on the bank and the reporting year, market risk capital represents between 0.01% and 38% </w:t>
      </w:r>
      <w:r w:rsidR="005454B2" w:rsidRPr="007937A2">
        <w:rPr>
          <w:sz w:val="26"/>
          <w:szCs w:val="26"/>
        </w:rPr>
        <w:t>(3% for the median bank) of the total capital of a bank</w:t>
      </w:r>
      <w:r w:rsidR="00935526" w:rsidRPr="007937A2">
        <w:rPr>
          <w:sz w:val="26"/>
          <w:szCs w:val="26"/>
        </w:rPr>
        <w:t xml:space="preserve">. </w:t>
      </w:r>
      <w:r w:rsidR="000E4917" w:rsidRPr="007937A2">
        <w:rPr>
          <w:sz w:val="26"/>
          <w:szCs w:val="26"/>
        </w:rPr>
        <w:t xml:space="preserve"> Another observation is that the GCC banks did not report the market risk capital prior to 2004 even though the standards </w:t>
      </w:r>
      <w:r w:rsidR="00935526" w:rsidRPr="007937A2">
        <w:rPr>
          <w:sz w:val="26"/>
          <w:szCs w:val="26"/>
        </w:rPr>
        <w:t xml:space="preserve">came into effect </w:t>
      </w:r>
      <w:r w:rsidR="000E4917" w:rsidRPr="007937A2">
        <w:rPr>
          <w:sz w:val="26"/>
          <w:szCs w:val="26"/>
        </w:rPr>
        <w:t>in the U</w:t>
      </w:r>
      <w:r w:rsidR="00C060EA">
        <w:rPr>
          <w:sz w:val="26"/>
          <w:szCs w:val="26"/>
        </w:rPr>
        <w:t xml:space="preserve">. </w:t>
      </w:r>
      <w:r w:rsidR="000E4917" w:rsidRPr="007937A2">
        <w:rPr>
          <w:sz w:val="26"/>
          <w:szCs w:val="26"/>
        </w:rPr>
        <w:t>S</w:t>
      </w:r>
      <w:r w:rsidR="00C060EA">
        <w:rPr>
          <w:sz w:val="26"/>
          <w:szCs w:val="26"/>
        </w:rPr>
        <w:t>.</w:t>
      </w:r>
      <w:r w:rsidR="000E4917" w:rsidRPr="007937A2">
        <w:rPr>
          <w:sz w:val="26"/>
          <w:szCs w:val="26"/>
        </w:rPr>
        <w:t xml:space="preserve"> in </w:t>
      </w:r>
      <w:r w:rsidR="00935526" w:rsidRPr="007937A2">
        <w:rPr>
          <w:sz w:val="26"/>
          <w:szCs w:val="26"/>
        </w:rPr>
        <w:t>1998.</w:t>
      </w:r>
      <w:r w:rsidR="00CE4DE6" w:rsidRPr="007937A2">
        <w:rPr>
          <w:sz w:val="26"/>
          <w:szCs w:val="26"/>
        </w:rPr>
        <w:t xml:space="preserve"> </w:t>
      </w:r>
      <w:r w:rsidR="00186F4C">
        <w:rPr>
          <w:sz w:val="26"/>
          <w:szCs w:val="26"/>
        </w:rPr>
        <w:t xml:space="preserve"> </w:t>
      </w:r>
      <w:r w:rsidR="00C060EA">
        <w:rPr>
          <w:sz w:val="26"/>
          <w:szCs w:val="26"/>
        </w:rPr>
        <w:t>M</w:t>
      </w:r>
      <w:r w:rsidR="00CE4DE6" w:rsidRPr="007937A2">
        <w:rPr>
          <w:sz w:val="26"/>
          <w:szCs w:val="26"/>
        </w:rPr>
        <w:t>a</w:t>
      </w:r>
      <w:r w:rsidR="000A6890">
        <w:rPr>
          <w:sz w:val="26"/>
          <w:szCs w:val="26"/>
        </w:rPr>
        <w:t>n</w:t>
      </w:r>
      <w:r w:rsidR="00CE4DE6" w:rsidRPr="007937A2">
        <w:rPr>
          <w:sz w:val="26"/>
          <w:szCs w:val="26"/>
        </w:rPr>
        <w:t>y gaps in the data</w:t>
      </w:r>
      <w:r w:rsidR="00C060EA">
        <w:rPr>
          <w:sz w:val="26"/>
          <w:szCs w:val="26"/>
        </w:rPr>
        <w:t xml:space="preserve"> exist</w:t>
      </w:r>
      <w:r w:rsidR="00CE4DE6" w:rsidRPr="007937A2">
        <w:rPr>
          <w:sz w:val="26"/>
          <w:szCs w:val="26"/>
        </w:rPr>
        <w:t xml:space="preserve"> because banks are not consistent in reporting their information.</w:t>
      </w:r>
    </w:p>
    <w:p w14:paraId="56E51813" w14:textId="21733993" w:rsidR="000E4917" w:rsidRPr="007937A2" w:rsidRDefault="000E4917" w:rsidP="00F662A8">
      <w:pPr>
        <w:rPr>
          <w:sz w:val="26"/>
          <w:szCs w:val="26"/>
        </w:rPr>
      </w:pPr>
      <w:r w:rsidRPr="007937A2">
        <w:rPr>
          <w:sz w:val="26"/>
          <w:szCs w:val="26"/>
        </w:rPr>
        <w:t xml:space="preserve">With the exception of the Qatar National Bank, all the institutions in our sample report a line item for Credit Risk in their annual report.   In addition, the </w:t>
      </w:r>
      <w:r w:rsidRPr="00626A92">
        <w:rPr>
          <w:sz w:val="26"/>
          <w:szCs w:val="26"/>
        </w:rPr>
        <w:t>market risk disclosures</w:t>
      </w:r>
      <w:r w:rsidRPr="007937A2">
        <w:rPr>
          <w:sz w:val="26"/>
          <w:szCs w:val="26"/>
        </w:rPr>
        <w:t xml:space="preserve"> were introduced as a supplement to the existing capital standards for credit risk primarily for banks with large trading portfolios. </w:t>
      </w:r>
      <w:r w:rsidR="00626A92">
        <w:rPr>
          <w:sz w:val="26"/>
          <w:szCs w:val="26"/>
        </w:rPr>
        <w:t xml:space="preserve"> </w:t>
      </w:r>
      <w:r w:rsidRPr="007937A2">
        <w:rPr>
          <w:sz w:val="26"/>
          <w:szCs w:val="26"/>
        </w:rPr>
        <w:t>The disclosure</w:t>
      </w:r>
      <w:r w:rsidR="0056124D">
        <w:rPr>
          <w:sz w:val="26"/>
          <w:szCs w:val="26"/>
        </w:rPr>
        <w:t>s</w:t>
      </w:r>
      <w:r w:rsidRPr="007937A2">
        <w:rPr>
          <w:sz w:val="26"/>
          <w:szCs w:val="26"/>
        </w:rPr>
        <w:t xml:space="preserve"> for market risk are not </w:t>
      </w:r>
      <w:r w:rsidRPr="007937A2">
        <w:rPr>
          <w:sz w:val="26"/>
          <w:szCs w:val="26"/>
        </w:rPr>
        <w:lastRenderedPageBreak/>
        <w:t>based on a specific regulatory formula or a</w:t>
      </w:r>
      <w:r w:rsidR="004B68C2">
        <w:rPr>
          <w:sz w:val="26"/>
          <w:szCs w:val="26"/>
        </w:rPr>
        <w:t xml:space="preserve"> standardized risk weight</w:t>
      </w:r>
      <w:r w:rsidRPr="007937A2">
        <w:rPr>
          <w:sz w:val="26"/>
          <w:szCs w:val="26"/>
        </w:rPr>
        <w:t xml:space="preserve">.  Instead the market risk figures are the result of the internal risk management models that a bank uses and therefore they are expected to reflect more accurately the actual risks a bank is facing.  </w:t>
      </w:r>
    </w:p>
    <w:p w14:paraId="2F249AEF" w14:textId="6ECD6F05" w:rsidR="00451F48" w:rsidRPr="007937A2" w:rsidRDefault="00451F48" w:rsidP="00F662A8">
      <w:pPr>
        <w:rPr>
          <w:sz w:val="26"/>
          <w:szCs w:val="26"/>
        </w:rPr>
      </w:pPr>
      <w:r>
        <w:rPr>
          <w:sz w:val="26"/>
          <w:szCs w:val="26"/>
        </w:rPr>
        <w:t xml:space="preserve">We provide a formal definition of the individual </w:t>
      </w:r>
      <w:r w:rsidRPr="007937A2">
        <w:rPr>
          <w:sz w:val="26"/>
          <w:szCs w:val="26"/>
        </w:rPr>
        <w:t xml:space="preserve">variables used in the study </w:t>
      </w:r>
      <w:r>
        <w:rPr>
          <w:sz w:val="26"/>
          <w:szCs w:val="26"/>
        </w:rPr>
        <w:t xml:space="preserve">in </w:t>
      </w:r>
      <w:r w:rsidRPr="007937A2">
        <w:rPr>
          <w:sz w:val="26"/>
          <w:szCs w:val="26"/>
        </w:rPr>
        <w:t xml:space="preserve">Table </w:t>
      </w:r>
      <w:r>
        <w:rPr>
          <w:sz w:val="26"/>
          <w:szCs w:val="26"/>
        </w:rPr>
        <w:t>4</w:t>
      </w:r>
      <w:r w:rsidRPr="007937A2">
        <w:rPr>
          <w:sz w:val="26"/>
          <w:szCs w:val="26"/>
        </w:rPr>
        <w:t>.</w:t>
      </w:r>
    </w:p>
    <w:p w14:paraId="15FA65FC" w14:textId="75BD95C2" w:rsidR="00456D4C" w:rsidRPr="00542FFD" w:rsidRDefault="004218A7" w:rsidP="00F662A8">
      <w:pPr>
        <w:rPr>
          <w:rFonts w:asciiTheme="majorHAnsi" w:hAnsiTheme="majorHAnsi"/>
          <w:sz w:val="26"/>
          <w:szCs w:val="26"/>
        </w:rPr>
      </w:pPr>
      <w:r>
        <w:rPr>
          <w:sz w:val="26"/>
          <w:szCs w:val="26"/>
        </w:rPr>
        <w:t>Figures</w:t>
      </w:r>
      <w:r w:rsidR="00626A92">
        <w:rPr>
          <w:sz w:val="26"/>
          <w:szCs w:val="26"/>
        </w:rPr>
        <w:t xml:space="preserve"> 1–</w:t>
      </w:r>
      <w:r w:rsidR="000E4917" w:rsidRPr="007937A2">
        <w:rPr>
          <w:sz w:val="26"/>
          <w:szCs w:val="26"/>
        </w:rPr>
        <w:t xml:space="preserve">4 </w:t>
      </w:r>
      <w:r w:rsidR="00F501C6" w:rsidRPr="007937A2">
        <w:rPr>
          <w:sz w:val="26"/>
          <w:szCs w:val="26"/>
        </w:rPr>
        <w:t>provide</w:t>
      </w:r>
      <w:r w:rsidR="000E4917" w:rsidRPr="007937A2">
        <w:rPr>
          <w:sz w:val="26"/>
          <w:szCs w:val="26"/>
        </w:rPr>
        <w:t xml:space="preserve"> a plot of the risk ratios for several key banks during the study period. </w:t>
      </w:r>
      <w:r w:rsidR="00626A92">
        <w:rPr>
          <w:sz w:val="26"/>
          <w:szCs w:val="26"/>
        </w:rPr>
        <w:t xml:space="preserve"> </w:t>
      </w:r>
      <w:r w:rsidR="000E4917" w:rsidRPr="007937A2">
        <w:rPr>
          <w:sz w:val="26"/>
          <w:szCs w:val="26"/>
        </w:rPr>
        <w:t xml:space="preserve">Table </w:t>
      </w:r>
      <w:r>
        <w:rPr>
          <w:sz w:val="26"/>
          <w:szCs w:val="26"/>
        </w:rPr>
        <w:t>3</w:t>
      </w:r>
      <w:r w:rsidR="00626A92">
        <w:rPr>
          <w:sz w:val="26"/>
          <w:szCs w:val="26"/>
        </w:rPr>
        <w:t xml:space="preserve"> shows the evolution of c</w:t>
      </w:r>
      <w:r w:rsidR="000E4917" w:rsidRPr="007937A2">
        <w:rPr>
          <w:sz w:val="26"/>
          <w:szCs w:val="26"/>
        </w:rPr>
        <w:t xml:space="preserve">apital ratios over time for GCC and non-GCC banks, </w:t>
      </w:r>
      <w:r w:rsidR="00626A92">
        <w:rPr>
          <w:sz w:val="26"/>
          <w:szCs w:val="26"/>
        </w:rPr>
        <w:t>in which</w:t>
      </w:r>
      <w:r w:rsidR="000E4917" w:rsidRPr="007937A2">
        <w:rPr>
          <w:sz w:val="26"/>
          <w:szCs w:val="26"/>
        </w:rPr>
        <w:t xml:space="preserve"> it is clear that the former category has enjoyed a higher ratio since 2004. </w:t>
      </w:r>
      <w:r w:rsidR="00456D4C" w:rsidRPr="00542FFD">
        <w:rPr>
          <w:rFonts w:asciiTheme="majorHAnsi" w:hAnsiTheme="majorHAnsi"/>
          <w:sz w:val="26"/>
          <w:szCs w:val="26"/>
        </w:rPr>
        <w:t>The</w:t>
      </w:r>
      <w:r w:rsidR="00542FFD" w:rsidRPr="00542FFD">
        <w:rPr>
          <w:rFonts w:asciiTheme="majorHAnsi" w:hAnsiTheme="majorHAnsi"/>
          <w:sz w:val="26"/>
          <w:szCs w:val="26"/>
        </w:rPr>
        <w:t xml:space="preserve"> </w:t>
      </w:r>
      <w:r w:rsidR="00A55B09">
        <w:rPr>
          <w:rFonts w:asciiTheme="majorHAnsi" w:hAnsiTheme="majorHAnsi"/>
          <w:sz w:val="26"/>
          <w:szCs w:val="26"/>
        </w:rPr>
        <w:t xml:space="preserve">difference in </w:t>
      </w:r>
      <w:r w:rsidR="00542FFD" w:rsidRPr="00542FFD">
        <w:rPr>
          <w:rFonts w:asciiTheme="majorHAnsi" w:hAnsiTheme="majorHAnsi"/>
          <w:sz w:val="26"/>
          <w:szCs w:val="26"/>
        </w:rPr>
        <w:t>capital ratio</w:t>
      </w:r>
      <w:r w:rsidR="00A55B09">
        <w:rPr>
          <w:rFonts w:asciiTheme="majorHAnsi" w:hAnsiTheme="majorHAnsi"/>
          <w:sz w:val="26"/>
          <w:szCs w:val="26"/>
        </w:rPr>
        <w:t>s</w:t>
      </w:r>
      <w:r w:rsidR="00542FFD" w:rsidRPr="00542FFD">
        <w:rPr>
          <w:rFonts w:asciiTheme="majorHAnsi" w:hAnsiTheme="majorHAnsi"/>
          <w:sz w:val="26"/>
          <w:szCs w:val="26"/>
        </w:rPr>
        <w:t xml:space="preserve"> for banks </w:t>
      </w:r>
      <w:r w:rsidR="00A55B09">
        <w:rPr>
          <w:rFonts w:asciiTheme="majorHAnsi" w:hAnsiTheme="majorHAnsi"/>
          <w:sz w:val="26"/>
          <w:szCs w:val="26"/>
        </w:rPr>
        <w:t xml:space="preserve">in the GCC </w:t>
      </w:r>
      <w:r w:rsidR="00542FFD" w:rsidRPr="00542FFD">
        <w:rPr>
          <w:rFonts w:asciiTheme="majorHAnsi" w:hAnsiTheme="majorHAnsi"/>
          <w:sz w:val="26"/>
          <w:szCs w:val="26"/>
        </w:rPr>
        <w:t xml:space="preserve">relative to </w:t>
      </w:r>
      <w:r w:rsidR="00A55B09">
        <w:rPr>
          <w:rFonts w:asciiTheme="majorHAnsi" w:hAnsiTheme="majorHAnsi"/>
          <w:sz w:val="26"/>
          <w:szCs w:val="26"/>
        </w:rPr>
        <w:t>banks elsewhere</w:t>
      </w:r>
      <w:r w:rsidR="00542FFD" w:rsidRPr="00542FFD">
        <w:rPr>
          <w:rFonts w:asciiTheme="majorHAnsi" w:hAnsiTheme="majorHAnsi"/>
          <w:sz w:val="26"/>
          <w:szCs w:val="26"/>
        </w:rPr>
        <w:t xml:space="preserve"> was </w:t>
      </w:r>
      <w:r w:rsidR="00542FFD" w:rsidRPr="00542FFD">
        <w:rPr>
          <w:rFonts w:asciiTheme="majorHAnsi" w:hAnsiTheme="majorHAnsi" w:cs="Tahoma"/>
          <w:sz w:val="26"/>
          <w:szCs w:val="26"/>
        </w:rPr>
        <w:t xml:space="preserve">negative before 2008 and positive after 2008 signifying </w:t>
      </w:r>
      <w:r w:rsidR="00A55B09">
        <w:rPr>
          <w:rFonts w:asciiTheme="majorHAnsi" w:hAnsiTheme="majorHAnsi" w:cs="Tahoma"/>
          <w:sz w:val="26"/>
          <w:szCs w:val="26"/>
        </w:rPr>
        <w:t xml:space="preserve">how </w:t>
      </w:r>
      <w:r w:rsidR="00542FFD" w:rsidRPr="00542FFD">
        <w:rPr>
          <w:rFonts w:asciiTheme="majorHAnsi" w:hAnsiTheme="majorHAnsi" w:cs="Tahoma"/>
          <w:sz w:val="26"/>
          <w:szCs w:val="26"/>
        </w:rPr>
        <w:t xml:space="preserve">the financial crisis </w:t>
      </w:r>
      <w:r w:rsidR="00A55B09">
        <w:rPr>
          <w:rFonts w:asciiTheme="majorHAnsi" w:hAnsiTheme="majorHAnsi" w:cs="Tahoma"/>
          <w:sz w:val="26"/>
          <w:szCs w:val="26"/>
        </w:rPr>
        <w:t xml:space="preserve">prompted </w:t>
      </w:r>
      <w:r w:rsidR="00542FFD" w:rsidRPr="00542FFD">
        <w:rPr>
          <w:rFonts w:asciiTheme="majorHAnsi" w:hAnsiTheme="majorHAnsi" w:cs="Tahoma"/>
          <w:sz w:val="26"/>
          <w:szCs w:val="26"/>
        </w:rPr>
        <w:t>GCC banks</w:t>
      </w:r>
      <w:r w:rsidR="00542FFD">
        <w:rPr>
          <w:rFonts w:asciiTheme="majorHAnsi" w:hAnsiTheme="majorHAnsi" w:cs="Tahoma"/>
          <w:sz w:val="26"/>
          <w:szCs w:val="26"/>
        </w:rPr>
        <w:t xml:space="preserve"> </w:t>
      </w:r>
      <w:r w:rsidR="00A55B09">
        <w:rPr>
          <w:rFonts w:asciiTheme="majorHAnsi" w:hAnsiTheme="majorHAnsi" w:cs="Tahoma"/>
          <w:sz w:val="26"/>
          <w:szCs w:val="26"/>
        </w:rPr>
        <w:t xml:space="preserve">to enhance their </w:t>
      </w:r>
      <w:r w:rsidR="00542FFD">
        <w:rPr>
          <w:rFonts w:asciiTheme="majorHAnsi" w:hAnsiTheme="majorHAnsi" w:cs="Tahoma"/>
          <w:sz w:val="26"/>
          <w:szCs w:val="26"/>
        </w:rPr>
        <w:t>safety</w:t>
      </w:r>
      <w:r w:rsidR="00542FFD" w:rsidRPr="00542FFD">
        <w:rPr>
          <w:rFonts w:asciiTheme="majorHAnsi" w:hAnsiTheme="majorHAnsi" w:cs="Tahoma"/>
          <w:sz w:val="26"/>
          <w:szCs w:val="26"/>
        </w:rPr>
        <w:t>.</w:t>
      </w:r>
      <w:r w:rsidR="00542FFD" w:rsidRPr="00542FFD">
        <w:rPr>
          <w:rFonts w:ascii="Tahoma" w:hAnsi="Tahoma" w:cs="Tahoma"/>
          <w:sz w:val="26"/>
          <w:szCs w:val="26"/>
        </w:rPr>
        <w:t xml:space="preserve"> </w:t>
      </w:r>
      <w:r w:rsidR="00072116">
        <w:rPr>
          <w:rFonts w:asciiTheme="majorHAnsi" w:hAnsiTheme="majorHAnsi" w:cs="Tahoma"/>
          <w:sz w:val="26"/>
          <w:szCs w:val="26"/>
        </w:rPr>
        <w:t>This</w:t>
      </w:r>
      <w:r w:rsidR="00626A92">
        <w:rPr>
          <w:rFonts w:asciiTheme="majorHAnsi" w:hAnsiTheme="majorHAnsi" w:cs="Tahoma"/>
          <w:sz w:val="26"/>
          <w:szCs w:val="26"/>
        </w:rPr>
        <w:t xml:space="preserve"> fact</w:t>
      </w:r>
      <w:r w:rsidR="00072116">
        <w:rPr>
          <w:rFonts w:asciiTheme="majorHAnsi" w:hAnsiTheme="majorHAnsi" w:cs="Tahoma"/>
          <w:sz w:val="26"/>
          <w:szCs w:val="26"/>
        </w:rPr>
        <w:t xml:space="preserve"> </w:t>
      </w:r>
      <w:r w:rsidR="00A55B09">
        <w:rPr>
          <w:rFonts w:asciiTheme="majorHAnsi" w:hAnsiTheme="majorHAnsi" w:cs="Tahoma"/>
          <w:sz w:val="26"/>
          <w:szCs w:val="26"/>
        </w:rPr>
        <w:t xml:space="preserve">suggests </w:t>
      </w:r>
      <w:r w:rsidR="00542FFD" w:rsidRPr="00542FFD">
        <w:rPr>
          <w:rFonts w:asciiTheme="majorHAnsi" w:hAnsiTheme="majorHAnsi" w:cs="Tahoma"/>
          <w:sz w:val="26"/>
          <w:szCs w:val="26"/>
        </w:rPr>
        <w:t>that the GCC banks became more conservative, less risk tolerant</w:t>
      </w:r>
      <w:r w:rsidR="00A55B09">
        <w:rPr>
          <w:rFonts w:asciiTheme="majorHAnsi" w:hAnsiTheme="majorHAnsi" w:cs="Tahoma"/>
          <w:sz w:val="26"/>
          <w:szCs w:val="26"/>
        </w:rPr>
        <w:t>,</w:t>
      </w:r>
      <w:r w:rsidR="00542FFD" w:rsidRPr="00542FFD">
        <w:rPr>
          <w:rFonts w:asciiTheme="majorHAnsi" w:hAnsiTheme="majorHAnsi" w:cs="Tahoma"/>
          <w:sz w:val="26"/>
          <w:szCs w:val="26"/>
        </w:rPr>
        <w:t xml:space="preserve"> and </w:t>
      </w:r>
      <w:r w:rsidR="00A55B09">
        <w:rPr>
          <w:rFonts w:asciiTheme="majorHAnsi" w:hAnsiTheme="majorHAnsi" w:cs="Tahoma"/>
          <w:sz w:val="26"/>
          <w:szCs w:val="26"/>
        </w:rPr>
        <w:t xml:space="preserve">increased their </w:t>
      </w:r>
      <w:r w:rsidR="00542FFD" w:rsidRPr="00542FFD">
        <w:rPr>
          <w:rFonts w:asciiTheme="majorHAnsi" w:hAnsiTheme="majorHAnsi" w:cs="Tahoma"/>
          <w:sz w:val="26"/>
          <w:szCs w:val="26"/>
        </w:rPr>
        <w:t>compliance with Basel III requirements</w:t>
      </w:r>
      <w:r w:rsidR="00626A92">
        <w:rPr>
          <w:rFonts w:asciiTheme="majorHAnsi" w:hAnsiTheme="majorHAnsi" w:cs="Tahoma"/>
          <w:sz w:val="26"/>
          <w:szCs w:val="26"/>
        </w:rPr>
        <w:t xml:space="preserve"> after 2008.</w:t>
      </w:r>
    </w:p>
    <w:p w14:paraId="07BB99E4" w14:textId="44EDD93D" w:rsidR="00935526" w:rsidRPr="007937A2" w:rsidRDefault="000E4917" w:rsidP="00F662A8">
      <w:pPr>
        <w:rPr>
          <w:sz w:val="26"/>
          <w:szCs w:val="26"/>
        </w:rPr>
      </w:pPr>
      <w:r w:rsidRPr="007937A2">
        <w:rPr>
          <w:sz w:val="26"/>
          <w:szCs w:val="26"/>
        </w:rPr>
        <w:t xml:space="preserve">We now turn to evaluating </w:t>
      </w:r>
      <w:r w:rsidR="00935526" w:rsidRPr="007937A2">
        <w:rPr>
          <w:sz w:val="26"/>
          <w:szCs w:val="26"/>
        </w:rPr>
        <w:t xml:space="preserve">the information contained in the market risk capital amounts </w:t>
      </w:r>
      <w:r w:rsidRPr="007937A2">
        <w:rPr>
          <w:sz w:val="26"/>
          <w:szCs w:val="26"/>
        </w:rPr>
        <w:t>that banks report</w:t>
      </w:r>
      <w:r w:rsidR="00935526" w:rsidRPr="007937A2">
        <w:rPr>
          <w:sz w:val="26"/>
          <w:szCs w:val="26"/>
        </w:rPr>
        <w:t xml:space="preserve">. </w:t>
      </w:r>
      <w:r w:rsidR="00F8627C">
        <w:rPr>
          <w:sz w:val="26"/>
          <w:szCs w:val="26"/>
        </w:rPr>
        <w:t xml:space="preserve"> </w:t>
      </w:r>
      <w:r w:rsidRPr="007937A2">
        <w:rPr>
          <w:sz w:val="26"/>
          <w:szCs w:val="26"/>
        </w:rPr>
        <w:t xml:space="preserve">Our goal is to </w:t>
      </w:r>
      <w:r w:rsidR="00935526" w:rsidRPr="007937A2">
        <w:rPr>
          <w:sz w:val="26"/>
          <w:szCs w:val="26"/>
        </w:rPr>
        <w:t xml:space="preserve">assess the </w:t>
      </w:r>
      <w:r w:rsidRPr="007937A2">
        <w:rPr>
          <w:sz w:val="26"/>
          <w:szCs w:val="26"/>
        </w:rPr>
        <w:t xml:space="preserve">relation </w:t>
      </w:r>
      <w:r w:rsidR="00935526" w:rsidRPr="007937A2">
        <w:rPr>
          <w:sz w:val="26"/>
          <w:szCs w:val="26"/>
        </w:rPr>
        <w:t xml:space="preserve">between the market risk capital </w:t>
      </w:r>
      <w:r w:rsidRPr="007937A2">
        <w:rPr>
          <w:sz w:val="26"/>
          <w:szCs w:val="26"/>
        </w:rPr>
        <w:t xml:space="preserve">and </w:t>
      </w:r>
      <w:r w:rsidR="00451F48">
        <w:rPr>
          <w:sz w:val="26"/>
          <w:szCs w:val="26"/>
        </w:rPr>
        <w:t xml:space="preserve">the </w:t>
      </w:r>
      <w:r w:rsidRPr="007937A2">
        <w:rPr>
          <w:sz w:val="26"/>
          <w:szCs w:val="26"/>
        </w:rPr>
        <w:t xml:space="preserve">regulatory </w:t>
      </w:r>
      <w:r w:rsidR="00935526" w:rsidRPr="007937A2">
        <w:rPr>
          <w:sz w:val="26"/>
          <w:szCs w:val="26"/>
        </w:rPr>
        <w:t xml:space="preserve">information on </w:t>
      </w:r>
      <w:r w:rsidR="00451F48">
        <w:rPr>
          <w:sz w:val="26"/>
          <w:szCs w:val="26"/>
        </w:rPr>
        <w:t xml:space="preserve">the size of a bank </w:t>
      </w:r>
      <w:r w:rsidR="00935526" w:rsidRPr="007937A2">
        <w:rPr>
          <w:sz w:val="26"/>
          <w:szCs w:val="26"/>
        </w:rPr>
        <w:t>tradin</w:t>
      </w:r>
      <w:r w:rsidRPr="007937A2">
        <w:rPr>
          <w:sz w:val="26"/>
          <w:szCs w:val="26"/>
        </w:rPr>
        <w:t xml:space="preserve">g, </w:t>
      </w:r>
      <w:r w:rsidR="00451F48">
        <w:rPr>
          <w:sz w:val="26"/>
          <w:szCs w:val="26"/>
        </w:rPr>
        <w:t xml:space="preserve">its </w:t>
      </w:r>
      <w:r w:rsidRPr="007937A2">
        <w:rPr>
          <w:sz w:val="26"/>
          <w:szCs w:val="26"/>
        </w:rPr>
        <w:t xml:space="preserve">derivative positions, and other </w:t>
      </w:r>
      <w:r w:rsidR="0040259D" w:rsidRPr="007937A2">
        <w:rPr>
          <w:sz w:val="26"/>
          <w:szCs w:val="26"/>
        </w:rPr>
        <w:t xml:space="preserve">independent measures of </w:t>
      </w:r>
      <w:r w:rsidR="00935526" w:rsidRPr="007937A2">
        <w:rPr>
          <w:sz w:val="26"/>
          <w:szCs w:val="26"/>
        </w:rPr>
        <w:t xml:space="preserve">risk. </w:t>
      </w:r>
      <w:r w:rsidR="0040259D" w:rsidRPr="007937A2">
        <w:rPr>
          <w:sz w:val="26"/>
          <w:szCs w:val="26"/>
        </w:rPr>
        <w:t xml:space="preserve"> We make this </w:t>
      </w:r>
      <w:r w:rsidR="00935526" w:rsidRPr="007937A2">
        <w:rPr>
          <w:sz w:val="26"/>
          <w:szCs w:val="26"/>
        </w:rPr>
        <w:t xml:space="preserve">assessment </w:t>
      </w:r>
      <w:r w:rsidR="00F8627C">
        <w:rPr>
          <w:sz w:val="26"/>
          <w:szCs w:val="26"/>
        </w:rPr>
        <w:t>over time using fixed effects</w:t>
      </w:r>
      <w:r w:rsidR="0040259D" w:rsidRPr="007937A2">
        <w:rPr>
          <w:sz w:val="26"/>
          <w:szCs w:val="26"/>
        </w:rPr>
        <w:t xml:space="preserve"> and </w:t>
      </w:r>
      <w:r w:rsidR="00935526" w:rsidRPr="007937A2">
        <w:rPr>
          <w:sz w:val="26"/>
          <w:szCs w:val="26"/>
        </w:rPr>
        <w:t>across banks</w:t>
      </w:r>
      <w:r w:rsidR="0040259D" w:rsidRPr="007937A2">
        <w:rPr>
          <w:sz w:val="26"/>
          <w:szCs w:val="26"/>
        </w:rPr>
        <w:t xml:space="preserve"> using random effects.</w:t>
      </w:r>
    </w:p>
    <w:p w14:paraId="0BB3230A" w14:textId="6F522428" w:rsidR="007A5AA1" w:rsidRDefault="009E46D8" w:rsidP="00F662A8">
      <w:pPr>
        <w:rPr>
          <w:sz w:val="26"/>
          <w:szCs w:val="26"/>
        </w:rPr>
      </w:pPr>
      <w:r w:rsidRPr="007937A2">
        <w:rPr>
          <w:sz w:val="26"/>
          <w:szCs w:val="26"/>
        </w:rPr>
        <w:t xml:space="preserve">The panel study estimation results are summarized in Tables </w:t>
      </w:r>
      <w:r w:rsidR="004218A7">
        <w:rPr>
          <w:sz w:val="26"/>
          <w:szCs w:val="26"/>
        </w:rPr>
        <w:t>5</w:t>
      </w:r>
      <w:r w:rsidRPr="007937A2">
        <w:rPr>
          <w:sz w:val="26"/>
          <w:szCs w:val="26"/>
        </w:rPr>
        <w:t xml:space="preserve"> and </w:t>
      </w:r>
      <w:r w:rsidR="004218A7">
        <w:rPr>
          <w:sz w:val="26"/>
          <w:szCs w:val="26"/>
        </w:rPr>
        <w:t>6</w:t>
      </w:r>
      <w:r w:rsidRPr="007937A2">
        <w:rPr>
          <w:sz w:val="26"/>
          <w:szCs w:val="26"/>
        </w:rPr>
        <w:t xml:space="preserve">.  </w:t>
      </w:r>
      <w:r w:rsidR="00C672EE" w:rsidRPr="007937A2">
        <w:rPr>
          <w:sz w:val="26"/>
          <w:szCs w:val="26"/>
        </w:rPr>
        <w:t>Regression</w:t>
      </w:r>
      <w:r w:rsidRPr="007937A2">
        <w:rPr>
          <w:sz w:val="26"/>
          <w:szCs w:val="26"/>
        </w:rPr>
        <w:t xml:space="preserve"> </w:t>
      </w:r>
      <w:r w:rsidR="00D76031" w:rsidRPr="007937A2">
        <w:rPr>
          <w:sz w:val="26"/>
          <w:szCs w:val="26"/>
        </w:rPr>
        <w:t xml:space="preserve">(A) </w:t>
      </w:r>
      <w:r w:rsidRPr="007937A2">
        <w:rPr>
          <w:sz w:val="26"/>
          <w:szCs w:val="26"/>
        </w:rPr>
        <w:t xml:space="preserve">is reported in Table </w:t>
      </w:r>
      <w:r w:rsidR="004218A7">
        <w:rPr>
          <w:sz w:val="26"/>
          <w:szCs w:val="26"/>
        </w:rPr>
        <w:t>5</w:t>
      </w:r>
      <w:r w:rsidR="00C672EE" w:rsidRPr="007937A2">
        <w:rPr>
          <w:sz w:val="26"/>
          <w:szCs w:val="26"/>
        </w:rPr>
        <w:t xml:space="preserve"> and t</w:t>
      </w:r>
      <w:r w:rsidR="0053026F" w:rsidRPr="007937A2">
        <w:rPr>
          <w:sz w:val="26"/>
          <w:szCs w:val="26"/>
        </w:rPr>
        <w:t>en</w:t>
      </w:r>
      <w:r w:rsidR="00F8627C">
        <w:rPr>
          <w:sz w:val="26"/>
          <w:szCs w:val="26"/>
        </w:rPr>
        <w:t xml:space="preserve"> (10)</w:t>
      </w:r>
      <w:r w:rsidR="00C672EE" w:rsidRPr="007937A2">
        <w:rPr>
          <w:sz w:val="26"/>
          <w:szCs w:val="26"/>
        </w:rPr>
        <w:t xml:space="preserve"> individual regressions are run, </w:t>
      </w:r>
      <w:r w:rsidR="0053026F" w:rsidRPr="007937A2">
        <w:rPr>
          <w:sz w:val="26"/>
          <w:szCs w:val="26"/>
        </w:rPr>
        <w:t>five</w:t>
      </w:r>
      <w:r w:rsidR="00F8627C">
        <w:rPr>
          <w:sz w:val="26"/>
          <w:szCs w:val="26"/>
        </w:rPr>
        <w:t xml:space="preserve"> (5)</w:t>
      </w:r>
      <w:r w:rsidR="00C672EE" w:rsidRPr="007937A2">
        <w:rPr>
          <w:sz w:val="26"/>
          <w:szCs w:val="26"/>
        </w:rPr>
        <w:t xml:space="preserve"> for each of the fixed and random effect</w:t>
      </w:r>
      <w:r w:rsidR="008B7857" w:rsidRPr="007937A2">
        <w:rPr>
          <w:sz w:val="26"/>
          <w:szCs w:val="26"/>
        </w:rPr>
        <w:t>s</w:t>
      </w:r>
      <w:r w:rsidR="00C672EE" w:rsidRPr="007937A2">
        <w:rPr>
          <w:sz w:val="26"/>
          <w:szCs w:val="26"/>
        </w:rPr>
        <w:t xml:space="preserve"> model</w:t>
      </w:r>
      <w:r w:rsidRPr="007937A2">
        <w:rPr>
          <w:sz w:val="26"/>
          <w:szCs w:val="26"/>
        </w:rPr>
        <w:t xml:space="preserve">. </w:t>
      </w:r>
      <w:r w:rsidR="00F8627C">
        <w:rPr>
          <w:sz w:val="26"/>
          <w:szCs w:val="26"/>
        </w:rPr>
        <w:t xml:space="preserve"> </w:t>
      </w:r>
      <w:r w:rsidR="00C672EE" w:rsidRPr="007937A2">
        <w:rPr>
          <w:sz w:val="26"/>
          <w:szCs w:val="26"/>
        </w:rPr>
        <w:t xml:space="preserve">The dependent variable in Table </w:t>
      </w:r>
      <w:r w:rsidR="004218A7">
        <w:rPr>
          <w:sz w:val="26"/>
          <w:szCs w:val="26"/>
        </w:rPr>
        <w:t>5</w:t>
      </w:r>
      <w:r w:rsidR="00C672EE" w:rsidRPr="007937A2">
        <w:rPr>
          <w:sz w:val="26"/>
          <w:szCs w:val="26"/>
        </w:rPr>
        <w:t xml:space="preserve"> </w:t>
      </w:r>
      <w:r w:rsidR="00451F48">
        <w:rPr>
          <w:sz w:val="26"/>
          <w:szCs w:val="26"/>
        </w:rPr>
        <w:t xml:space="preserve">reflects </w:t>
      </w:r>
      <w:r w:rsidR="00C672EE" w:rsidRPr="007937A2">
        <w:rPr>
          <w:sz w:val="26"/>
          <w:szCs w:val="26"/>
        </w:rPr>
        <w:t xml:space="preserve">regression (A) and consists of the </w:t>
      </w:r>
      <w:r w:rsidR="007A292B">
        <w:rPr>
          <w:sz w:val="26"/>
          <w:szCs w:val="26"/>
        </w:rPr>
        <w:t>C</w:t>
      </w:r>
      <w:r w:rsidR="00C672EE" w:rsidRPr="007937A2">
        <w:rPr>
          <w:sz w:val="26"/>
          <w:szCs w:val="26"/>
        </w:rPr>
        <w:t xml:space="preserve">ore </w:t>
      </w:r>
      <w:r w:rsidR="007A292B">
        <w:rPr>
          <w:sz w:val="26"/>
          <w:szCs w:val="26"/>
        </w:rPr>
        <w:t>C</w:t>
      </w:r>
      <w:r w:rsidR="00C672EE" w:rsidRPr="007937A2">
        <w:rPr>
          <w:sz w:val="26"/>
          <w:szCs w:val="26"/>
        </w:rPr>
        <w:t xml:space="preserve">apital </w:t>
      </w:r>
      <w:r w:rsidR="007A292B">
        <w:rPr>
          <w:sz w:val="26"/>
          <w:szCs w:val="26"/>
        </w:rPr>
        <w:t>R</w:t>
      </w:r>
      <w:r w:rsidR="00C672EE" w:rsidRPr="007937A2">
        <w:rPr>
          <w:sz w:val="26"/>
          <w:szCs w:val="26"/>
        </w:rPr>
        <w:t xml:space="preserve">atio.  When we look at the results over time (fixed effects), </w:t>
      </w:r>
      <w:r w:rsidR="00F1519F" w:rsidRPr="007937A2">
        <w:rPr>
          <w:sz w:val="26"/>
          <w:szCs w:val="26"/>
        </w:rPr>
        <w:t xml:space="preserve">all </w:t>
      </w:r>
      <w:r w:rsidR="00C672EE" w:rsidRPr="007937A2">
        <w:rPr>
          <w:sz w:val="26"/>
          <w:szCs w:val="26"/>
        </w:rPr>
        <w:t xml:space="preserve">the </w:t>
      </w:r>
      <w:r w:rsidR="003F5254">
        <w:rPr>
          <w:sz w:val="26"/>
          <w:szCs w:val="26"/>
        </w:rPr>
        <w:t xml:space="preserve">five </w:t>
      </w:r>
      <w:r w:rsidR="00C672EE" w:rsidRPr="007937A2">
        <w:rPr>
          <w:sz w:val="26"/>
          <w:szCs w:val="26"/>
        </w:rPr>
        <w:t xml:space="preserve">risk metrics that banks disclose </w:t>
      </w:r>
      <w:r w:rsidR="00B46E69">
        <w:rPr>
          <w:sz w:val="26"/>
          <w:szCs w:val="26"/>
        </w:rPr>
        <w:t>are statistically insignificant with respect to the dependent variable</w:t>
      </w:r>
      <w:r w:rsidR="00C672EE" w:rsidRPr="007937A2">
        <w:rPr>
          <w:sz w:val="26"/>
          <w:szCs w:val="26"/>
        </w:rPr>
        <w:t xml:space="preserve">.  </w:t>
      </w:r>
      <w:r w:rsidR="007D57ED">
        <w:rPr>
          <w:sz w:val="26"/>
          <w:szCs w:val="26"/>
        </w:rPr>
        <w:t xml:space="preserve">Except for the regression constant, the p-values for the </w:t>
      </w:r>
      <w:r w:rsidR="007D57ED" w:rsidRPr="007937A2">
        <w:rPr>
          <w:sz w:val="26"/>
          <w:szCs w:val="26"/>
        </w:rPr>
        <w:t xml:space="preserve">(1) derivative positions, (2) trading account, (3) Value-at-Risk, (4) </w:t>
      </w:r>
      <w:r w:rsidR="004F1021">
        <w:rPr>
          <w:sz w:val="26"/>
          <w:szCs w:val="26"/>
        </w:rPr>
        <w:t xml:space="preserve">All Risks (the sum of credit, market, and operational </w:t>
      </w:r>
      <w:r w:rsidR="007D57ED" w:rsidRPr="007937A2">
        <w:rPr>
          <w:sz w:val="26"/>
          <w:szCs w:val="26"/>
        </w:rPr>
        <w:t>risk components), and (5) relative volume of risk-weighted assets</w:t>
      </w:r>
      <w:r w:rsidR="007D57ED">
        <w:rPr>
          <w:sz w:val="26"/>
          <w:szCs w:val="26"/>
        </w:rPr>
        <w:t xml:space="preserve"> are all high.  Therefore</w:t>
      </w:r>
      <w:r w:rsidR="00EB74AF">
        <w:rPr>
          <w:sz w:val="26"/>
          <w:szCs w:val="26"/>
        </w:rPr>
        <w:t>,</w:t>
      </w:r>
      <w:r w:rsidR="007D57ED">
        <w:rPr>
          <w:sz w:val="26"/>
          <w:szCs w:val="26"/>
        </w:rPr>
        <w:t xml:space="preserve"> t</w:t>
      </w:r>
      <w:r w:rsidR="00C672EE" w:rsidRPr="007937A2">
        <w:rPr>
          <w:sz w:val="26"/>
          <w:szCs w:val="26"/>
        </w:rPr>
        <w:t xml:space="preserve">he information conveyed </w:t>
      </w:r>
      <w:r w:rsidR="008E4DF3">
        <w:rPr>
          <w:sz w:val="26"/>
          <w:szCs w:val="26"/>
        </w:rPr>
        <w:t xml:space="preserve">in </w:t>
      </w:r>
      <w:r w:rsidR="003F5254">
        <w:rPr>
          <w:sz w:val="26"/>
          <w:szCs w:val="26"/>
        </w:rPr>
        <w:t>these five independent</w:t>
      </w:r>
      <w:r w:rsidR="007D57ED">
        <w:rPr>
          <w:sz w:val="26"/>
          <w:szCs w:val="26"/>
        </w:rPr>
        <w:t xml:space="preserve"> variables</w:t>
      </w:r>
      <w:r w:rsidR="003C3920" w:rsidRPr="007937A2">
        <w:rPr>
          <w:sz w:val="26"/>
          <w:szCs w:val="26"/>
        </w:rPr>
        <w:t xml:space="preserve"> </w:t>
      </w:r>
      <w:r w:rsidR="008E4DF3">
        <w:rPr>
          <w:sz w:val="26"/>
          <w:szCs w:val="26"/>
        </w:rPr>
        <w:t xml:space="preserve">is </w:t>
      </w:r>
      <w:r w:rsidR="00F1519F" w:rsidRPr="007937A2">
        <w:rPr>
          <w:sz w:val="26"/>
          <w:szCs w:val="26"/>
        </w:rPr>
        <w:t xml:space="preserve">uncorrelated with the core capital ratio. </w:t>
      </w:r>
      <w:r w:rsidR="001F1A43" w:rsidRPr="007937A2">
        <w:rPr>
          <w:sz w:val="26"/>
          <w:szCs w:val="26"/>
        </w:rPr>
        <w:t xml:space="preserve"> This</w:t>
      </w:r>
      <w:r w:rsidR="003F5254">
        <w:rPr>
          <w:sz w:val="26"/>
          <w:szCs w:val="26"/>
        </w:rPr>
        <w:t xml:space="preserve"> result</w:t>
      </w:r>
      <w:r w:rsidR="001F1A43" w:rsidRPr="007937A2">
        <w:rPr>
          <w:sz w:val="26"/>
          <w:szCs w:val="26"/>
        </w:rPr>
        <w:t xml:space="preserve"> suggests that the</w:t>
      </w:r>
      <w:r w:rsidR="00B46E69">
        <w:rPr>
          <w:sz w:val="26"/>
          <w:szCs w:val="26"/>
        </w:rPr>
        <w:t xml:space="preserve"> level of the core capital ratio has an additional </w:t>
      </w:r>
      <w:r w:rsidR="001F1A43" w:rsidRPr="007937A2">
        <w:rPr>
          <w:sz w:val="26"/>
          <w:szCs w:val="26"/>
        </w:rPr>
        <w:t xml:space="preserve">value </w:t>
      </w:r>
      <w:r w:rsidR="007A292B" w:rsidRPr="007937A2">
        <w:rPr>
          <w:sz w:val="26"/>
          <w:szCs w:val="26"/>
        </w:rPr>
        <w:t xml:space="preserve">to </w:t>
      </w:r>
      <w:r w:rsidR="007A292B">
        <w:rPr>
          <w:sz w:val="26"/>
          <w:szCs w:val="26"/>
        </w:rPr>
        <w:t xml:space="preserve">the public beyond what is </w:t>
      </w:r>
      <w:r w:rsidR="001F1A43" w:rsidRPr="007937A2">
        <w:rPr>
          <w:sz w:val="26"/>
          <w:szCs w:val="26"/>
        </w:rPr>
        <w:t>disclos</w:t>
      </w:r>
      <w:r w:rsidR="007A292B">
        <w:rPr>
          <w:sz w:val="26"/>
          <w:szCs w:val="26"/>
        </w:rPr>
        <w:t>ed in</w:t>
      </w:r>
      <w:r w:rsidR="001F1A43" w:rsidRPr="007937A2">
        <w:rPr>
          <w:sz w:val="26"/>
          <w:szCs w:val="26"/>
        </w:rPr>
        <w:t xml:space="preserve"> these </w:t>
      </w:r>
      <w:r w:rsidR="003F5254">
        <w:rPr>
          <w:sz w:val="26"/>
          <w:szCs w:val="26"/>
        </w:rPr>
        <w:t>five</w:t>
      </w:r>
      <w:r w:rsidR="001F1A43" w:rsidRPr="007937A2">
        <w:rPr>
          <w:sz w:val="26"/>
          <w:szCs w:val="26"/>
        </w:rPr>
        <w:t xml:space="preserve"> risk metrics</w:t>
      </w:r>
      <w:r w:rsidR="003C3920" w:rsidRPr="007937A2">
        <w:rPr>
          <w:sz w:val="26"/>
          <w:szCs w:val="26"/>
        </w:rPr>
        <w:t xml:space="preserve">. </w:t>
      </w:r>
      <w:r w:rsidR="00F8627C">
        <w:rPr>
          <w:sz w:val="26"/>
          <w:szCs w:val="26"/>
        </w:rPr>
        <w:t xml:space="preserve"> </w:t>
      </w:r>
      <w:r w:rsidR="00B46E69">
        <w:rPr>
          <w:sz w:val="26"/>
          <w:szCs w:val="26"/>
        </w:rPr>
        <w:t>So, c</w:t>
      </w:r>
      <w:r w:rsidR="003C3920" w:rsidRPr="007937A2">
        <w:rPr>
          <w:sz w:val="26"/>
          <w:szCs w:val="26"/>
        </w:rPr>
        <w:t xml:space="preserve">omparing the changes over time </w:t>
      </w:r>
      <w:r w:rsidR="001F1A43" w:rsidRPr="007937A2">
        <w:rPr>
          <w:sz w:val="26"/>
          <w:szCs w:val="26"/>
        </w:rPr>
        <w:t>for</w:t>
      </w:r>
      <w:r w:rsidR="003C3920" w:rsidRPr="007937A2">
        <w:rPr>
          <w:sz w:val="26"/>
          <w:szCs w:val="26"/>
        </w:rPr>
        <w:t xml:space="preserve"> each of th</w:t>
      </w:r>
      <w:r w:rsidR="001F1A43" w:rsidRPr="007937A2">
        <w:rPr>
          <w:sz w:val="26"/>
          <w:szCs w:val="26"/>
        </w:rPr>
        <w:t>e</w:t>
      </w:r>
      <w:r w:rsidR="003C3920" w:rsidRPr="007937A2">
        <w:rPr>
          <w:sz w:val="26"/>
          <w:szCs w:val="26"/>
        </w:rPr>
        <w:t xml:space="preserve">se </w:t>
      </w:r>
      <w:r w:rsidR="003F5254">
        <w:rPr>
          <w:sz w:val="26"/>
          <w:szCs w:val="26"/>
        </w:rPr>
        <w:t>five</w:t>
      </w:r>
      <w:r w:rsidR="007A292B">
        <w:rPr>
          <w:sz w:val="26"/>
          <w:szCs w:val="26"/>
        </w:rPr>
        <w:t xml:space="preserve"> </w:t>
      </w:r>
      <w:r w:rsidR="003C3920" w:rsidRPr="007937A2">
        <w:rPr>
          <w:sz w:val="26"/>
          <w:szCs w:val="26"/>
        </w:rPr>
        <w:t xml:space="preserve">factors </w:t>
      </w:r>
      <w:r w:rsidR="007A292B">
        <w:rPr>
          <w:sz w:val="26"/>
          <w:szCs w:val="26"/>
        </w:rPr>
        <w:t xml:space="preserve">is insufficient and regulators and investors should also seek </w:t>
      </w:r>
      <w:r w:rsidR="001F1A43" w:rsidRPr="007937A2">
        <w:rPr>
          <w:sz w:val="26"/>
          <w:szCs w:val="26"/>
        </w:rPr>
        <w:t>the evolution of the core capital ratio year-to year</w:t>
      </w:r>
      <w:r w:rsidR="003C3920" w:rsidRPr="007937A2">
        <w:rPr>
          <w:sz w:val="26"/>
          <w:szCs w:val="26"/>
        </w:rPr>
        <w:t xml:space="preserve">. </w:t>
      </w:r>
      <w:r w:rsidR="00F8627C">
        <w:rPr>
          <w:sz w:val="26"/>
          <w:szCs w:val="26"/>
        </w:rPr>
        <w:t xml:space="preserve"> </w:t>
      </w:r>
      <w:r w:rsidR="001F1A43" w:rsidRPr="007937A2">
        <w:rPr>
          <w:sz w:val="26"/>
          <w:szCs w:val="26"/>
        </w:rPr>
        <w:t xml:space="preserve">As a result, banks </w:t>
      </w:r>
      <w:r w:rsidR="00F8627C">
        <w:rPr>
          <w:sz w:val="26"/>
          <w:szCs w:val="26"/>
        </w:rPr>
        <w:t>that</w:t>
      </w:r>
      <w:r w:rsidR="007A292B">
        <w:rPr>
          <w:sz w:val="26"/>
          <w:szCs w:val="26"/>
        </w:rPr>
        <w:t xml:space="preserve"> disclose their </w:t>
      </w:r>
      <w:r w:rsidR="007A292B">
        <w:rPr>
          <w:sz w:val="26"/>
          <w:szCs w:val="26"/>
        </w:rPr>
        <w:lastRenderedPageBreak/>
        <w:t xml:space="preserve">capital ratios </w:t>
      </w:r>
      <w:r w:rsidR="007A292B" w:rsidRPr="00616063">
        <w:rPr>
          <w:i/>
          <w:sz w:val="26"/>
          <w:szCs w:val="26"/>
        </w:rPr>
        <w:t>and</w:t>
      </w:r>
      <w:r w:rsidR="007A292B">
        <w:rPr>
          <w:sz w:val="26"/>
          <w:szCs w:val="26"/>
        </w:rPr>
        <w:t xml:space="preserve"> </w:t>
      </w:r>
      <w:r w:rsidR="00B46E69">
        <w:rPr>
          <w:sz w:val="26"/>
          <w:szCs w:val="26"/>
        </w:rPr>
        <w:t xml:space="preserve">these </w:t>
      </w:r>
      <w:r w:rsidR="003F5254">
        <w:rPr>
          <w:sz w:val="26"/>
          <w:szCs w:val="26"/>
        </w:rPr>
        <w:t>five</w:t>
      </w:r>
      <w:r w:rsidR="007A292B">
        <w:rPr>
          <w:sz w:val="26"/>
          <w:szCs w:val="26"/>
        </w:rPr>
        <w:t xml:space="preserve"> risk metrics </w:t>
      </w:r>
      <w:r w:rsidR="001F1A43" w:rsidRPr="007937A2">
        <w:rPr>
          <w:sz w:val="26"/>
          <w:szCs w:val="26"/>
        </w:rPr>
        <w:t xml:space="preserve">are </w:t>
      </w:r>
      <w:r w:rsidR="003C3920" w:rsidRPr="007937A2">
        <w:rPr>
          <w:sz w:val="26"/>
          <w:szCs w:val="26"/>
        </w:rPr>
        <w:t xml:space="preserve">more transparent. </w:t>
      </w:r>
      <w:r w:rsidR="00F8627C">
        <w:rPr>
          <w:sz w:val="26"/>
          <w:szCs w:val="26"/>
        </w:rPr>
        <w:t xml:space="preserve"> </w:t>
      </w:r>
      <w:r w:rsidR="001F1A43" w:rsidRPr="007937A2">
        <w:rPr>
          <w:sz w:val="26"/>
          <w:szCs w:val="26"/>
        </w:rPr>
        <w:t xml:space="preserve">This added transparency is </w:t>
      </w:r>
      <w:r w:rsidR="007A5AA1">
        <w:rPr>
          <w:sz w:val="26"/>
          <w:szCs w:val="26"/>
        </w:rPr>
        <w:t xml:space="preserve">non-trivial.  It is </w:t>
      </w:r>
      <w:r w:rsidR="001F1A43" w:rsidRPr="007937A2">
        <w:rPr>
          <w:sz w:val="26"/>
          <w:szCs w:val="26"/>
        </w:rPr>
        <w:t xml:space="preserve">informative and meaningful. </w:t>
      </w:r>
    </w:p>
    <w:p w14:paraId="430B7135" w14:textId="5A286916" w:rsidR="009E46D8" w:rsidRPr="007937A2" w:rsidRDefault="00B46E69" w:rsidP="00F662A8">
      <w:pPr>
        <w:rPr>
          <w:sz w:val="26"/>
          <w:szCs w:val="26"/>
        </w:rPr>
      </w:pPr>
      <w:r w:rsidRPr="00E10361">
        <w:rPr>
          <w:sz w:val="26"/>
          <w:szCs w:val="26"/>
        </w:rPr>
        <w:t>A</w:t>
      </w:r>
      <w:r w:rsidR="007D57ED">
        <w:rPr>
          <w:sz w:val="26"/>
          <w:szCs w:val="26"/>
        </w:rPr>
        <w:t xml:space="preserve"> different story emerges </w:t>
      </w:r>
      <w:r>
        <w:rPr>
          <w:sz w:val="26"/>
          <w:szCs w:val="26"/>
        </w:rPr>
        <w:t xml:space="preserve">however, </w:t>
      </w:r>
      <w:r w:rsidR="007D57ED">
        <w:rPr>
          <w:sz w:val="26"/>
          <w:szCs w:val="26"/>
        </w:rPr>
        <w:t>w</w:t>
      </w:r>
      <w:r w:rsidR="001F1A43" w:rsidRPr="007937A2">
        <w:rPr>
          <w:sz w:val="26"/>
          <w:szCs w:val="26"/>
        </w:rPr>
        <w:t>hen we look at the result</w:t>
      </w:r>
      <w:r w:rsidR="0053026F" w:rsidRPr="007937A2">
        <w:rPr>
          <w:sz w:val="26"/>
          <w:szCs w:val="26"/>
        </w:rPr>
        <w:t>s</w:t>
      </w:r>
      <w:r w:rsidR="001F1A43" w:rsidRPr="007937A2">
        <w:rPr>
          <w:sz w:val="26"/>
          <w:szCs w:val="26"/>
        </w:rPr>
        <w:t xml:space="preserve"> across banks (random effects)</w:t>
      </w:r>
      <w:r w:rsidR="007A292B">
        <w:rPr>
          <w:sz w:val="26"/>
          <w:szCs w:val="26"/>
        </w:rPr>
        <w:t xml:space="preserve">. </w:t>
      </w:r>
      <w:r w:rsidR="00E10361">
        <w:rPr>
          <w:sz w:val="26"/>
          <w:szCs w:val="26"/>
        </w:rPr>
        <w:t xml:space="preserve"> </w:t>
      </w:r>
      <w:r w:rsidR="007A292B">
        <w:rPr>
          <w:sz w:val="26"/>
          <w:szCs w:val="26"/>
        </w:rPr>
        <w:t xml:space="preserve">From that perspective, our results show that </w:t>
      </w:r>
      <w:r w:rsidR="007A5AA1">
        <w:rPr>
          <w:sz w:val="26"/>
          <w:szCs w:val="26"/>
        </w:rPr>
        <w:t xml:space="preserve">not all the </w:t>
      </w:r>
      <w:r w:rsidR="003F5254">
        <w:rPr>
          <w:sz w:val="26"/>
          <w:szCs w:val="26"/>
        </w:rPr>
        <w:t xml:space="preserve">five </w:t>
      </w:r>
      <w:r w:rsidR="001F1A43" w:rsidRPr="007937A2">
        <w:rPr>
          <w:sz w:val="26"/>
          <w:szCs w:val="26"/>
        </w:rPr>
        <w:t xml:space="preserve">risk metrics </w:t>
      </w:r>
      <w:r w:rsidR="007A5AA1">
        <w:rPr>
          <w:sz w:val="26"/>
          <w:szCs w:val="26"/>
        </w:rPr>
        <w:t>are useful because, in some cases, their effects are already reflected in the Capital Ratio</w:t>
      </w:r>
      <w:r w:rsidR="001F1A43" w:rsidRPr="007937A2">
        <w:rPr>
          <w:sz w:val="26"/>
          <w:szCs w:val="26"/>
        </w:rPr>
        <w:t xml:space="preserve">.  For example, the </w:t>
      </w:r>
      <w:r w:rsidR="0053026F" w:rsidRPr="007937A2">
        <w:rPr>
          <w:sz w:val="26"/>
          <w:szCs w:val="26"/>
        </w:rPr>
        <w:t xml:space="preserve">size of the </w:t>
      </w:r>
      <w:r w:rsidR="001F1A43" w:rsidRPr="007937A2">
        <w:rPr>
          <w:sz w:val="26"/>
          <w:szCs w:val="26"/>
        </w:rPr>
        <w:t xml:space="preserve">derivatives </w:t>
      </w:r>
      <w:r w:rsidR="0053026F" w:rsidRPr="007937A2">
        <w:rPr>
          <w:sz w:val="26"/>
          <w:szCs w:val="26"/>
        </w:rPr>
        <w:t xml:space="preserve">and trading accounts </w:t>
      </w:r>
      <w:r w:rsidR="001F1A43" w:rsidRPr="007937A2">
        <w:rPr>
          <w:sz w:val="26"/>
          <w:szCs w:val="26"/>
        </w:rPr>
        <w:t xml:space="preserve">are both correlated and significant with the Capital Ratio.  </w:t>
      </w:r>
      <w:r w:rsidR="007A5AA1">
        <w:rPr>
          <w:sz w:val="26"/>
          <w:szCs w:val="26"/>
        </w:rPr>
        <w:t>So</w:t>
      </w:r>
      <w:r w:rsidR="001F1A43" w:rsidRPr="007937A2">
        <w:rPr>
          <w:sz w:val="26"/>
          <w:szCs w:val="26"/>
        </w:rPr>
        <w:t xml:space="preserve"> these variables are not </w:t>
      </w:r>
      <w:r w:rsidR="007A5AA1">
        <w:rPr>
          <w:sz w:val="26"/>
          <w:szCs w:val="26"/>
        </w:rPr>
        <w:t xml:space="preserve">providing relevant information </w:t>
      </w:r>
      <w:r w:rsidR="001F1A43" w:rsidRPr="007937A2">
        <w:rPr>
          <w:sz w:val="26"/>
          <w:szCs w:val="26"/>
        </w:rPr>
        <w:t xml:space="preserve">across banks to market </w:t>
      </w:r>
      <w:r w:rsidR="007A5AA1">
        <w:rPr>
          <w:sz w:val="26"/>
          <w:szCs w:val="26"/>
        </w:rPr>
        <w:t xml:space="preserve">regulators and market </w:t>
      </w:r>
      <w:r w:rsidR="001F1A43" w:rsidRPr="007937A2">
        <w:rPr>
          <w:sz w:val="26"/>
          <w:szCs w:val="26"/>
        </w:rPr>
        <w:t xml:space="preserve">participants.  These two risk metrics </w:t>
      </w:r>
      <w:r w:rsidR="007A5AA1">
        <w:rPr>
          <w:sz w:val="26"/>
          <w:szCs w:val="26"/>
        </w:rPr>
        <w:t>are</w:t>
      </w:r>
      <w:r w:rsidR="00CE4DE6" w:rsidRPr="007937A2">
        <w:rPr>
          <w:sz w:val="26"/>
          <w:szCs w:val="26"/>
        </w:rPr>
        <w:t xml:space="preserve"> </w:t>
      </w:r>
      <w:r w:rsidR="001F1A43" w:rsidRPr="007937A2">
        <w:rPr>
          <w:sz w:val="26"/>
          <w:szCs w:val="26"/>
        </w:rPr>
        <w:t xml:space="preserve">not useful to compare banks across one another and the </w:t>
      </w:r>
      <w:r w:rsidR="009548E9" w:rsidRPr="007937A2">
        <w:rPr>
          <w:sz w:val="26"/>
          <w:szCs w:val="26"/>
        </w:rPr>
        <w:t xml:space="preserve">variation of the </w:t>
      </w:r>
      <w:r w:rsidR="001F1A43" w:rsidRPr="007937A2">
        <w:rPr>
          <w:sz w:val="26"/>
          <w:szCs w:val="26"/>
        </w:rPr>
        <w:t xml:space="preserve">core capital ratio </w:t>
      </w:r>
      <w:r w:rsidR="009548E9" w:rsidRPr="007937A2">
        <w:rPr>
          <w:sz w:val="26"/>
          <w:szCs w:val="26"/>
        </w:rPr>
        <w:t>already reflects their information</w:t>
      </w:r>
      <w:r w:rsidR="001F1A43" w:rsidRPr="007937A2">
        <w:rPr>
          <w:sz w:val="26"/>
          <w:szCs w:val="26"/>
        </w:rPr>
        <w:t xml:space="preserve">.  </w:t>
      </w:r>
      <w:r w:rsidR="00E74E2F" w:rsidRPr="007937A2">
        <w:rPr>
          <w:sz w:val="26"/>
          <w:szCs w:val="26"/>
        </w:rPr>
        <w:t>The VaR, the All Risks Ratio</w:t>
      </w:r>
      <w:r w:rsidR="00CE4DE6" w:rsidRPr="007937A2">
        <w:rPr>
          <w:sz w:val="26"/>
          <w:szCs w:val="26"/>
        </w:rPr>
        <w:t>,</w:t>
      </w:r>
      <w:r w:rsidR="00E74E2F" w:rsidRPr="007937A2">
        <w:rPr>
          <w:sz w:val="26"/>
          <w:szCs w:val="26"/>
        </w:rPr>
        <w:t xml:space="preserve"> and Risk Weighted Assets continue to be useful and contribute to distinguish between the risks of individual banks</w:t>
      </w:r>
      <w:r w:rsidR="00CE4DE6" w:rsidRPr="007937A2">
        <w:rPr>
          <w:sz w:val="26"/>
          <w:szCs w:val="26"/>
        </w:rPr>
        <w:t>,</w:t>
      </w:r>
      <w:r w:rsidR="00E74E2F" w:rsidRPr="007937A2">
        <w:rPr>
          <w:sz w:val="26"/>
          <w:szCs w:val="26"/>
        </w:rPr>
        <w:t xml:space="preserve"> not only over time, but also across </w:t>
      </w:r>
      <w:r w:rsidR="00451F48">
        <w:rPr>
          <w:sz w:val="26"/>
          <w:szCs w:val="26"/>
        </w:rPr>
        <w:t>banks</w:t>
      </w:r>
      <w:r w:rsidR="00E74E2F" w:rsidRPr="007937A2">
        <w:rPr>
          <w:sz w:val="26"/>
          <w:szCs w:val="26"/>
        </w:rPr>
        <w:t xml:space="preserve">. </w:t>
      </w:r>
    </w:p>
    <w:p w14:paraId="3139DD13" w14:textId="1032CD72" w:rsidR="00F8463A" w:rsidRPr="007937A2" w:rsidRDefault="00D91C88" w:rsidP="00F662A8">
      <w:pPr>
        <w:rPr>
          <w:sz w:val="26"/>
          <w:szCs w:val="26"/>
        </w:rPr>
      </w:pPr>
      <w:r>
        <w:rPr>
          <w:sz w:val="26"/>
          <w:szCs w:val="26"/>
        </w:rPr>
        <w:t xml:space="preserve">The same preceding hypotheses are retested in </w:t>
      </w:r>
      <w:r w:rsidR="00E74E2F" w:rsidRPr="007937A2">
        <w:rPr>
          <w:sz w:val="26"/>
          <w:szCs w:val="26"/>
        </w:rPr>
        <w:t xml:space="preserve">Table </w:t>
      </w:r>
      <w:r w:rsidR="004218A7">
        <w:rPr>
          <w:sz w:val="26"/>
          <w:szCs w:val="26"/>
        </w:rPr>
        <w:t>6</w:t>
      </w:r>
      <w:r w:rsidR="00E74E2F" w:rsidRPr="007937A2">
        <w:rPr>
          <w:sz w:val="26"/>
          <w:szCs w:val="26"/>
        </w:rPr>
        <w:t xml:space="preserve"> </w:t>
      </w:r>
      <w:r w:rsidR="00F8463A">
        <w:rPr>
          <w:sz w:val="26"/>
          <w:szCs w:val="26"/>
        </w:rPr>
        <w:t xml:space="preserve">(Regression B) </w:t>
      </w:r>
      <w:r>
        <w:rPr>
          <w:sz w:val="26"/>
          <w:szCs w:val="26"/>
        </w:rPr>
        <w:t xml:space="preserve">by replacing the dependent variable with </w:t>
      </w:r>
      <w:r w:rsidRPr="007937A2">
        <w:rPr>
          <w:sz w:val="26"/>
          <w:szCs w:val="26"/>
        </w:rPr>
        <w:t xml:space="preserve">the </w:t>
      </w:r>
      <w:r w:rsidR="007A5AA1" w:rsidRPr="007937A2">
        <w:rPr>
          <w:sz w:val="26"/>
          <w:szCs w:val="26"/>
        </w:rPr>
        <w:t>Market Risk Capital Ratio</w:t>
      </w:r>
      <w:r w:rsidRPr="007937A2">
        <w:rPr>
          <w:sz w:val="26"/>
          <w:szCs w:val="26"/>
        </w:rPr>
        <w:t>, or the amount of capital banks are required to set aside for market risk</w:t>
      </w:r>
      <w:r>
        <w:rPr>
          <w:sz w:val="26"/>
          <w:szCs w:val="26"/>
        </w:rPr>
        <w:t>.  In that table, we test whether any benefit</w:t>
      </w:r>
      <w:r w:rsidR="000B5AF9">
        <w:rPr>
          <w:sz w:val="26"/>
          <w:szCs w:val="26"/>
        </w:rPr>
        <w:t xml:space="preserve"> exists</w:t>
      </w:r>
      <w:r w:rsidR="004F1021">
        <w:rPr>
          <w:sz w:val="26"/>
          <w:szCs w:val="26"/>
        </w:rPr>
        <w:t xml:space="preserve"> in</w:t>
      </w:r>
      <w:r>
        <w:rPr>
          <w:sz w:val="26"/>
          <w:szCs w:val="26"/>
        </w:rPr>
        <w:t xml:space="preserve"> </w:t>
      </w:r>
      <w:r w:rsidR="004F1021">
        <w:rPr>
          <w:sz w:val="26"/>
          <w:szCs w:val="26"/>
        </w:rPr>
        <w:t xml:space="preserve">reporting </w:t>
      </w:r>
      <w:r w:rsidR="00E74E2F" w:rsidRPr="007937A2">
        <w:rPr>
          <w:sz w:val="26"/>
          <w:szCs w:val="26"/>
        </w:rPr>
        <w:t>the</w:t>
      </w:r>
      <w:r>
        <w:rPr>
          <w:sz w:val="26"/>
          <w:szCs w:val="26"/>
        </w:rPr>
        <w:t xml:space="preserve"> same </w:t>
      </w:r>
      <w:r w:rsidR="003F5254">
        <w:rPr>
          <w:sz w:val="26"/>
          <w:szCs w:val="26"/>
        </w:rPr>
        <w:t xml:space="preserve">five </w:t>
      </w:r>
      <w:r w:rsidR="00E74E2F" w:rsidRPr="007937A2">
        <w:rPr>
          <w:sz w:val="26"/>
          <w:szCs w:val="26"/>
        </w:rPr>
        <w:t xml:space="preserve">risk metrics </w:t>
      </w:r>
      <w:r w:rsidR="004F1021">
        <w:rPr>
          <w:sz w:val="26"/>
          <w:szCs w:val="26"/>
        </w:rPr>
        <w:t xml:space="preserve">beyond what is currently reflected in </w:t>
      </w:r>
      <w:r w:rsidR="00E74E2F" w:rsidRPr="007937A2">
        <w:rPr>
          <w:sz w:val="26"/>
          <w:szCs w:val="26"/>
        </w:rPr>
        <w:t xml:space="preserve">the </w:t>
      </w:r>
      <w:r w:rsidR="007A5AA1" w:rsidRPr="007937A2">
        <w:rPr>
          <w:sz w:val="26"/>
          <w:szCs w:val="26"/>
        </w:rPr>
        <w:t>Market Risk Capital Ratio</w:t>
      </w:r>
      <w:r w:rsidR="00E74E2F" w:rsidRPr="007937A2">
        <w:rPr>
          <w:sz w:val="26"/>
          <w:szCs w:val="26"/>
        </w:rPr>
        <w:t xml:space="preserve">. </w:t>
      </w:r>
      <w:r w:rsidR="000B5AF9">
        <w:rPr>
          <w:sz w:val="26"/>
          <w:szCs w:val="26"/>
        </w:rPr>
        <w:t xml:space="preserve"> </w:t>
      </w:r>
      <w:r w:rsidR="004F1021">
        <w:rPr>
          <w:sz w:val="26"/>
          <w:szCs w:val="26"/>
        </w:rPr>
        <w:t>The results show that n</w:t>
      </w:r>
      <w:r w:rsidR="00E74E2F" w:rsidRPr="007937A2">
        <w:rPr>
          <w:sz w:val="26"/>
          <w:szCs w:val="26"/>
        </w:rPr>
        <w:t xml:space="preserve">one of the </w:t>
      </w:r>
      <w:r w:rsidR="003F5254">
        <w:rPr>
          <w:sz w:val="26"/>
          <w:szCs w:val="26"/>
        </w:rPr>
        <w:t>five</w:t>
      </w:r>
      <w:r>
        <w:rPr>
          <w:sz w:val="26"/>
          <w:szCs w:val="26"/>
        </w:rPr>
        <w:t xml:space="preserve"> </w:t>
      </w:r>
      <w:r w:rsidR="00E74E2F" w:rsidRPr="007937A2">
        <w:rPr>
          <w:sz w:val="26"/>
          <w:szCs w:val="26"/>
        </w:rPr>
        <w:t>risk metrics variable</w:t>
      </w:r>
      <w:r w:rsidR="00CE4DE6" w:rsidRPr="007937A2">
        <w:rPr>
          <w:sz w:val="26"/>
          <w:szCs w:val="26"/>
        </w:rPr>
        <w:t>s</w:t>
      </w:r>
      <w:r w:rsidR="00E74E2F" w:rsidRPr="007937A2">
        <w:rPr>
          <w:sz w:val="26"/>
          <w:szCs w:val="26"/>
        </w:rPr>
        <w:t xml:space="preserve"> is correlated with the dependent variable</w:t>
      </w:r>
      <w:r w:rsidR="00CE4DE6" w:rsidRPr="007937A2">
        <w:rPr>
          <w:sz w:val="26"/>
          <w:szCs w:val="26"/>
        </w:rPr>
        <w:t xml:space="preserve"> (s</w:t>
      </w:r>
      <w:r w:rsidR="00E74E2F" w:rsidRPr="007937A2">
        <w:rPr>
          <w:sz w:val="26"/>
          <w:szCs w:val="26"/>
        </w:rPr>
        <w:t xml:space="preserve">ometimes even the constant is not </w:t>
      </w:r>
      <w:r w:rsidR="00CE4DE6" w:rsidRPr="007937A2">
        <w:rPr>
          <w:sz w:val="26"/>
          <w:szCs w:val="26"/>
        </w:rPr>
        <w:t xml:space="preserve">statistically </w:t>
      </w:r>
      <w:r w:rsidR="00E74E2F" w:rsidRPr="007937A2">
        <w:rPr>
          <w:sz w:val="26"/>
          <w:szCs w:val="26"/>
        </w:rPr>
        <w:t>significant</w:t>
      </w:r>
      <w:r w:rsidR="00CE4DE6" w:rsidRPr="007937A2">
        <w:rPr>
          <w:sz w:val="26"/>
          <w:szCs w:val="26"/>
        </w:rPr>
        <w:t>)</w:t>
      </w:r>
      <w:r w:rsidR="00E74E2F" w:rsidRPr="007937A2">
        <w:rPr>
          <w:sz w:val="26"/>
          <w:szCs w:val="26"/>
        </w:rPr>
        <w:t>.  This</w:t>
      </w:r>
      <w:r w:rsidR="000B5AF9">
        <w:rPr>
          <w:sz w:val="26"/>
          <w:szCs w:val="26"/>
        </w:rPr>
        <w:t xml:space="preserve"> result</w:t>
      </w:r>
      <w:r w:rsidR="00E74E2F" w:rsidRPr="007937A2">
        <w:rPr>
          <w:sz w:val="26"/>
          <w:szCs w:val="26"/>
        </w:rPr>
        <w:t xml:space="preserve"> suggests that </w:t>
      </w:r>
      <w:r w:rsidR="00056C40" w:rsidRPr="007937A2">
        <w:rPr>
          <w:sz w:val="26"/>
          <w:szCs w:val="26"/>
        </w:rPr>
        <w:t xml:space="preserve">the variation in the </w:t>
      </w:r>
      <w:r w:rsidR="007A5AA1" w:rsidRPr="007937A2">
        <w:rPr>
          <w:sz w:val="26"/>
          <w:szCs w:val="26"/>
        </w:rPr>
        <w:t xml:space="preserve">Market Risk Capital Ratio </w:t>
      </w:r>
      <w:r w:rsidR="00056C40" w:rsidRPr="007937A2">
        <w:rPr>
          <w:sz w:val="26"/>
          <w:szCs w:val="26"/>
        </w:rPr>
        <w:t xml:space="preserve">over time and across banks is </w:t>
      </w:r>
      <w:r w:rsidR="00056C40" w:rsidRPr="000B5AF9">
        <w:rPr>
          <w:i/>
          <w:sz w:val="26"/>
          <w:szCs w:val="26"/>
        </w:rPr>
        <w:t>unexplained</w:t>
      </w:r>
      <w:r w:rsidR="00056C40" w:rsidRPr="007937A2">
        <w:rPr>
          <w:sz w:val="26"/>
          <w:szCs w:val="26"/>
        </w:rPr>
        <w:t xml:space="preserve"> by </w:t>
      </w:r>
      <w:r w:rsidR="00E74E2F" w:rsidRPr="007937A2">
        <w:rPr>
          <w:sz w:val="26"/>
          <w:szCs w:val="26"/>
        </w:rPr>
        <w:t xml:space="preserve">the size of </w:t>
      </w:r>
      <w:r w:rsidR="004F1021">
        <w:rPr>
          <w:sz w:val="26"/>
          <w:szCs w:val="26"/>
        </w:rPr>
        <w:t xml:space="preserve">a bank </w:t>
      </w:r>
      <w:r w:rsidR="00E74E2F" w:rsidRPr="007937A2">
        <w:rPr>
          <w:sz w:val="26"/>
          <w:szCs w:val="26"/>
        </w:rPr>
        <w:t>trading</w:t>
      </w:r>
      <w:r w:rsidR="004F1021">
        <w:rPr>
          <w:sz w:val="26"/>
          <w:szCs w:val="26"/>
        </w:rPr>
        <w:t xml:space="preserve"> account</w:t>
      </w:r>
      <w:r w:rsidR="00E74E2F" w:rsidRPr="007937A2">
        <w:rPr>
          <w:sz w:val="26"/>
          <w:szCs w:val="26"/>
        </w:rPr>
        <w:t>, derivatives</w:t>
      </w:r>
      <w:r w:rsidR="004F1021">
        <w:rPr>
          <w:sz w:val="26"/>
          <w:szCs w:val="26"/>
        </w:rPr>
        <w:t xml:space="preserve"> positions</w:t>
      </w:r>
      <w:r w:rsidR="00E74E2F" w:rsidRPr="007937A2">
        <w:rPr>
          <w:sz w:val="26"/>
          <w:szCs w:val="26"/>
        </w:rPr>
        <w:t>, VaR, All Risks</w:t>
      </w:r>
      <w:r w:rsidR="004F1021">
        <w:rPr>
          <w:sz w:val="26"/>
          <w:szCs w:val="26"/>
        </w:rPr>
        <w:t xml:space="preserve"> (the sum of credit, market, and operational </w:t>
      </w:r>
      <w:r w:rsidR="004F1021" w:rsidRPr="007937A2">
        <w:rPr>
          <w:sz w:val="26"/>
          <w:szCs w:val="26"/>
        </w:rPr>
        <w:t>risk components)</w:t>
      </w:r>
      <w:r w:rsidR="00E74E2F" w:rsidRPr="007937A2">
        <w:rPr>
          <w:sz w:val="26"/>
          <w:szCs w:val="26"/>
        </w:rPr>
        <w:t>, and Risk Weighted assets</w:t>
      </w:r>
      <w:r w:rsidR="00056C40" w:rsidRPr="007937A2">
        <w:rPr>
          <w:sz w:val="26"/>
          <w:szCs w:val="26"/>
        </w:rPr>
        <w:t xml:space="preserve">.  These </w:t>
      </w:r>
      <w:r w:rsidR="003F5254">
        <w:rPr>
          <w:sz w:val="26"/>
          <w:szCs w:val="26"/>
        </w:rPr>
        <w:t xml:space="preserve">five </w:t>
      </w:r>
      <w:r w:rsidR="00056C40" w:rsidRPr="007937A2">
        <w:rPr>
          <w:sz w:val="26"/>
          <w:szCs w:val="26"/>
        </w:rPr>
        <w:t xml:space="preserve">metrics </w:t>
      </w:r>
      <w:r w:rsidR="00E74E2F" w:rsidRPr="007937A2">
        <w:rPr>
          <w:sz w:val="26"/>
          <w:szCs w:val="26"/>
        </w:rPr>
        <w:t xml:space="preserve">are all useful, their disclosure </w:t>
      </w:r>
      <w:r w:rsidR="004F1021">
        <w:rPr>
          <w:sz w:val="26"/>
          <w:szCs w:val="26"/>
        </w:rPr>
        <w:t xml:space="preserve">is </w:t>
      </w:r>
      <w:r w:rsidR="00E74E2F" w:rsidRPr="007937A2">
        <w:rPr>
          <w:sz w:val="26"/>
          <w:szCs w:val="26"/>
        </w:rPr>
        <w:t xml:space="preserve">informative, and their </w:t>
      </w:r>
      <w:r w:rsidR="00F8463A">
        <w:rPr>
          <w:sz w:val="26"/>
          <w:szCs w:val="26"/>
        </w:rPr>
        <w:t>level</w:t>
      </w:r>
      <w:r w:rsidR="000B5AF9">
        <w:rPr>
          <w:sz w:val="26"/>
          <w:szCs w:val="26"/>
        </w:rPr>
        <w:t>s</w:t>
      </w:r>
      <w:r w:rsidR="00E74E2F" w:rsidRPr="007937A2">
        <w:rPr>
          <w:sz w:val="26"/>
          <w:szCs w:val="26"/>
        </w:rPr>
        <w:t xml:space="preserve"> </w:t>
      </w:r>
      <w:r w:rsidR="000B5AF9">
        <w:rPr>
          <w:sz w:val="26"/>
          <w:szCs w:val="26"/>
        </w:rPr>
        <w:t>are</w:t>
      </w:r>
      <w:r w:rsidR="004F1021">
        <w:rPr>
          <w:sz w:val="26"/>
          <w:szCs w:val="26"/>
        </w:rPr>
        <w:t xml:space="preserve"> </w:t>
      </w:r>
      <w:r w:rsidR="00E74E2F" w:rsidRPr="007937A2">
        <w:rPr>
          <w:sz w:val="26"/>
          <w:szCs w:val="26"/>
        </w:rPr>
        <w:t>mea</w:t>
      </w:r>
      <w:r w:rsidR="00C461EF" w:rsidRPr="007937A2">
        <w:rPr>
          <w:sz w:val="26"/>
          <w:szCs w:val="26"/>
        </w:rPr>
        <w:t xml:space="preserve">ningful. </w:t>
      </w:r>
      <w:r w:rsidR="000B5AF9">
        <w:rPr>
          <w:sz w:val="26"/>
          <w:szCs w:val="26"/>
        </w:rPr>
        <w:t xml:space="preserve"> </w:t>
      </w:r>
      <w:r w:rsidR="00056C40" w:rsidRPr="007937A2">
        <w:rPr>
          <w:sz w:val="26"/>
          <w:szCs w:val="26"/>
        </w:rPr>
        <w:t xml:space="preserve">They are not redundant </w:t>
      </w:r>
      <w:r w:rsidR="004923EF" w:rsidRPr="007937A2">
        <w:rPr>
          <w:sz w:val="26"/>
          <w:szCs w:val="26"/>
        </w:rPr>
        <w:t>and</w:t>
      </w:r>
      <w:r w:rsidR="00056C40" w:rsidRPr="007937A2">
        <w:rPr>
          <w:sz w:val="26"/>
          <w:szCs w:val="26"/>
        </w:rPr>
        <w:t xml:space="preserve"> complement the information in the </w:t>
      </w:r>
      <w:r w:rsidR="007A5AA1" w:rsidRPr="000B5AF9">
        <w:rPr>
          <w:sz w:val="26"/>
          <w:szCs w:val="26"/>
        </w:rPr>
        <w:t>Market Risk Capital Ratio</w:t>
      </w:r>
      <w:r w:rsidR="00056C40" w:rsidRPr="007937A2">
        <w:rPr>
          <w:sz w:val="26"/>
          <w:szCs w:val="26"/>
        </w:rPr>
        <w:t xml:space="preserve">. </w:t>
      </w:r>
      <w:r w:rsidR="000B5AF9">
        <w:rPr>
          <w:sz w:val="26"/>
          <w:szCs w:val="26"/>
        </w:rPr>
        <w:t xml:space="preserve"> </w:t>
      </w:r>
      <w:r w:rsidR="00C461EF" w:rsidRPr="007937A2">
        <w:rPr>
          <w:sz w:val="26"/>
          <w:szCs w:val="26"/>
        </w:rPr>
        <w:t>Th</w:t>
      </w:r>
      <w:r w:rsidR="00AB3DE6">
        <w:rPr>
          <w:sz w:val="26"/>
          <w:szCs w:val="26"/>
        </w:rPr>
        <w:t>is</w:t>
      </w:r>
      <w:r w:rsidR="00C461EF" w:rsidRPr="007937A2">
        <w:rPr>
          <w:sz w:val="26"/>
          <w:szCs w:val="26"/>
        </w:rPr>
        <w:t xml:space="preserve"> </w:t>
      </w:r>
      <w:r w:rsidR="00AB3DE6">
        <w:rPr>
          <w:sz w:val="26"/>
          <w:szCs w:val="26"/>
        </w:rPr>
        <w:t>conclusion</w:t>
      </w:r>
      <w:r w:rsidR="00C461EF" w:rsidRPr="007937A2">
        <w:rPr>
          <w:sz w:val="26"/>
          <w:szCs w:val="26"/>
        </w:rPr>
        <w:t xml:space="preserve"> appl</w:t>
      </w:r>
      <w:r w:rsidR="00AB3DE6">
        <w:rPr>
          <w:sz w:val="26"/>
          <w:szCs w:val="26"/>
        </w:rPr>
        <w:t>ies</w:t>
      </w:r>
      <w:r w:rsidR="00C461EF" w:rsidRPr="007937A2">
        <w:rPr>
          <w:sz w:val="26"/>
          <w:szCs w:val="26"/>
        </w:rPr>
        <w:t xml:space="preserve"> when we look at the variation of the </w:t>
      </w:r>
      <w:r w:rsidR="007158CD" w:rsidRPr="000B5AF9">
        <w:rPr>
          <w:sz w:val="26"/>
          <w:szCs w:val="26"/>
        </w:rPr>
        <w:t>Market Risk t</w:t>
      </w:r>
      <w:r w:rsidR="007A5AA1" w:rsidRPr="000B5AF9">
        <w:rPr>
          <w:sz w:val="26"/>
          <w:szCs w:val="26"/>
        </w:rPr>
        <w:t>o Capital Ratio</w:t>
      </w:r>
      <w:r w:rsidR="007A5AA1" w:rsidRPr="007937A2">
        <w:rPr>
          <w:sz w:val="26"/>
          <w:szCs w:val="26"/>
        </w:rPr>
        <w:t xml:space="preserve"> </w:t>
      </w:r>
      <w:r w:rsidR="00C461EF" w:rsidRPr="007937A2">
        <w:rPr>
          <w:sz w:val="26"/>
          <w:szCs w:val="26"/>
        </w:rPr>
        <w:t>over time or across banks</w:t>
      </w:r>
      <w:r w:rsidR="004F1021">
        <w:rPr>
          <w:sz w:val="26"/>
          <w:szCs w:val="26"/>
        </w:rPr>
        <w:t xml:space="preserve"> (both fixed and random effects)</w:t>
      </w:r>
      <w:r w:rsidR="00C461EF" w:rsidRPr="007937A2">
        <w:rPr>
          <w:sz w:val="26"/>
          <w:szCs w:val="26"/>
        </w:rPr>
        <w:t>.</w:t>
      </w:r>
      <w:r w:rsidR="00E74E2F" w:rsidRPr="007937A2">
        <w:rPr>
          <w:sz w:val="26"/>
          <w:szCs w:val="26"/>
        </w:rPr>
        <w:t xml:space="preserve"> </w:t>
      </w:r>
    </w:p>
    <w:p w14:paraId="6C6CA672" w14:textId="77777777" w:rsidR="00C67716" w:rsidRPr="007937A2" w:rsidRDefault="00E575C9" w:rsidP="007937A2">
      <w:pPr>
        <w:numPr>
          <w:ilvl w:val="0"/>
          <w:numId w:val="1"/>
        </w:numPr>
        <w:rPr>
          <w:b/>
          <w:sz w:val="26"/>
          <w:szCs w:val="26"/>
        </w:rPr>
      </w:pPr>
      <w:r w:rsidRPr="007937A2">
        <w:rPr>
          <w:b/>
          <w:sz w:val="26"/>
          <w:szCs w:val="26"/>
        </w:rPr>
        <w:t xml:space="preserve">Conclusion and </w:t>
      </w:r>
      <w:r w:rsidR="00C67716" w:rsidRPr="007937A2">
        <w:rPr>
          <w:b/>
          <w:sz w:val="26"/>
          <w:szCs w:val="26"/>
        </w:rPr>
        <w:t>Policy Implications</w:t>
      </w:r>
    </w:p>
    <w:p w14:paraId="1F3A450C" w14:textId="5F353E88" w:rsidR="00C978AA" w:rsidRPr="007937A2" w:rsidRDefault="00535CD4" w:rsidP="007937A2">
      <w:pPr>
        <w:rPr>
          <w:sz w:val="26"/>
          <w:szCs w:val="26"/>
        </w:rPr>
      </w:pPr>
      <w:r>
        <w:rPr>
          <w:sz w:val="26"/>
          <w:szCs w:val="26"/>
        </w:rPr>
        <w:t xml:space="preserve">Banks release a considerable volume of their financial data to the public.  Knowing which information is meaningful or redundant is useful to regulators, investors, and bank analysts. </w:t>
      </w:r>
      <w:r w:rsidR="000B5AF9">
        <w:rPr>
          <w:sz w:val="26"/>
          <w:szCs w:val="26"/>
        </w:rPr>
        <w:t xml:space="preserve"> </w:t>
      </w:r>
      <w:r w:rsidR="00AB3DE6">
        <w:rPr>
          <w:sz w:val="26"/>
          <w:szCs w:val="26"/>
        </w:rPr>
        <w:t>The</w:t>
      </w:r>
      <w:r w:rsidR="00C978AA" w:rsidRPr="007937A2">
        <w:rPr>
          <w:sz w:val="26"/>
          <w:szCs w:val="26"/>
        </w:rPr>
        <w:t xml:space="preserve"> emphasis on </w:t>
      </w:r>
      <w:r w:rsidR="00AB3DE6">
        <w:rPr>
          <w:sz w:val="26"/>
          <w:szCs w:val="26"/>
        </w:rPr>
        <w:t xml:space="preserve">the </w:t>
      </w:r>
      <w:r w:rsidR="00C978AA" w:rsidRPr="007937A2">
        <w:rPr>
          <w:sz w:val="26"/>
          <w:szCs w:val="26"/>
        </w:rPr>
        <w:t xml:space="preserve">risk disclosure </w:t>
      </w:r>
      <w:r w:rsidR="00AB3DE6">
        <w:rPr>
          <w:sz w:val="26"/>
          <w:szCs w:val="26"/>
        </w:rPr>
        <w:t>of</w:t>
      </w:r>
      <w:r w:rsidR="00C978AA" w:rsidRPr="007937A2">
        <w:rPr>
          <w:sz w:val="26"/>
          <w:szCs w:val="26"/>
        </w:rPr>
        <w:t xml:space="preserve"> GCC banks is predicated on the belief that the information the</w:t>
      </w:r>
      <w:r w:rsidR="000B5AF9">
        <w:rPr>
          <w:sz w:val="26"/>
          <w:szCs w:val="26"/>
        </w:rPr>
        <w:t>se banks</w:t>
      </w:r>
      <w:r w:rsidR="00AB3DE6">
        <w:rPr>
          <w:sz w:val="26"/>
          <w:szCs w:val="26"/>
        </w:rPr>
        <w:t xml:space="preserve"> </w:t>
      </w:r>
      <w:r>
        <w:rPr>
          <w:sz w:val="26"/>
          <w:szCs w:val="26"/>
        </w:rPr>
        <w:t xml:space="preserve">provide </w:t>
      </w:r>
      <w:r w:rsidR="00AB3DE6">
        <w:rPr>
          <w:sz w:val="26"/>
          <w:szCs w:val="26"/>
        </w:rPr>
        <w:t xml:space="preserve">in their annual </w:t>
      </w:r>
      <w:r w:rsidR="00412BFB">
        <w:rPr>
          <w:sz w:val="26"/>
          <w:szCs w:val="26"/>
        </w:rPr>
        <w:t xml:space="preserve">report </w:t>
      </w:r>
      <w:r>
        <w:rPr>
          <w:sz w:val="26"/>
          <w:szCs w:val="26"/>
        </w:rPr>
        <w:t>is</w:t>
      </w:r>
      <w:r w:rsidR="00C978AA" w:rsidRPr="007937A2">
        <w:rPr>
          <w:sz w:val="26"/>
          <w:szCs w:val="26"/>
        </w:rPr>
        <w:t xml:space="preserve"> meaningful to </w:t>
      </w:r>
      <w:r w:rsidR="00C978AA" w:rsidRPr="007937A2">
        <w:rPr>
          <w:sz w:val="26"/>
          <w:szCs w:val="26"/>
        </w:rPr>
        <w:lastRenderedPageBreak/>
        <w:t xml:space="preserve">investors and market participants. </w:t>
      </w:r>
      <w:r>
        <w:rPr>
          <w:sz w:val="26"/>
          <w:szCs w:val="26"/>
        </w:rPr>
        <w:t xml:space="preserve"> </w:t>
      </w:r>
      <w:r w:rsidR="00C978AA" w:rsidRPr="007937A2">
        <w:rPr>
          <w:sz w:val="26"/>
          <w:szCs w:val="26"/>
        </w:rPr>
        <w:t xml:space="preserve">Our paper evaluates </w:t>
      </w:r>
      <w:r w:rsidR="00AB3DE6">
        <w:rPr>
          <w:sz w:val="26"/>
          <w:szCs w:val="26"/>
        </w:rPr>
        <w:t xml:space="preserve">whether </w:t>
      </w:r>
      <w:r w:rsidR="00C978AA" w:rsidRPr="007937A2">
        <w:rPr>
          <w:sz w:val="26"/>
          <w:szCs w:val="26"/>
        </w:rPr>
        <w:t>th</w:t>
      </w:r>
      <w:r w:rsidR="00AB3DE6">
        <w:rPr>
          <w:sz w:val="26"/>
          <w:szCs w:val="26"/>
        </w:rPr>
        <w:t>is</w:t>
      </w:r>
      <w:r w:rsidR="00C978AA" w:rsidRPr="007937A2">
        <w:rPr>
          <w:sz w:val="26"/>
          <w:szCs w:val="26"/>
        </w:rPr>
        <w:t xml:space="preserve"> </w:t>
      </w:r>
      <w:r w:rsidR="00AB3DE6">
        <w:rPr>
          <w:sz w:val="26"/>
          <w:szCs w:val="26"/>
        </w:rPr>
        <w:t xml:space="preserve">disclosure is informative and </w:t>
      </w:r>
      <w:r w:rsidR="00C978AA" w:rsidRPr="007937A2">
        <w:rPr>
          <w:sz w:val="26"/>
          <w:szCs w:val="26"/>
        </w:rPr>
        <w:t>captures variation in risk exposures, across banks and over time.</w:t>
      </w:r>
    </w:p>
    <w:p w14:paraId="6FBAD741" w14:textId="698F63EC" w:rsidR="00651B9C" w:rsidRDefault="004B34BD" w:rsidP="007937A2">
      <w:pPr>
        <w:rPr>
          <w:sz w:val="26"/>
          <w:szCs w:val="26"/>
        </w:rPr>
      </w:pPr>
      <w:r>
        <w:rPr>
          <w:sz w:val="26"/>
          <w:szCs w:val="26"/>
        </w:rPr>
        <w:t>Our analysis focused on two key ratios</w:t>
      </w:r>
      <w:r w:rsidR="00974113">
        <w:rPr>
          <w:sz w:val="26"/>
          <w:szCs w:val="26"/>
        </w:rPr>
        <w:t xml:space="preserve">:  </w:t>
      </w:r>
      <w:r w:rsidR="00F4382E" w:rsidRPr="007937A2">
        <w:rPr>
          <w:sz w:val="26"/>
          <w:szCs w:val="26"/>
        </w:rPr>
        <w:t xml:space="preserve">the Core Capital and </w:t>
      </w:r>
      <w:r>
        <w:rPr>
          <w:sz w:val="26"/>
          <w:szCs w:val="26"/>
        </w:rPr>
        <w:t xml:space="preserve">the </w:t>
      </w:r>
      <w:r w:rsidR="00F4382E" w:rsidRPr="007937A2">
        <w:rPr>
          <w:sz w:val="26"/>
          <w:szCs w:val="26"/>
        </w:rPr>
        <w:t>Market Risk Capital Ratios</w:t>
      </w:r>
      <w:r>
        <w:rPr>
          <w:sz w:val="26"/>
          <w:szCs w:val="26"/>
        </w:rPr>
        <w:t>.  Our analysis revealed that these two ratios are</w:t>
      </w:r>
      <w:r w:rsidR="00F4382E" w:rsidRPr="007937A2">
        <w:rPr>
          <w:sz w:val="26"/>
          <w:szCs w:val="26"/>
        </w:rPr>
        <w:t xml:space="preserve"> important </w:t>
      </w:r>
      <w:r w:rsidR="00A46CEA" w:rsidRPr="007937A2">
        <w:rPr>
          <w:sz w:val="26"/>
          <w:szCs w:val="26"/>
        </w:rPr>
        <w:t>indicators of</w:t>
      </w:r>
      <w:r w:rsidR="00EB74AF">
        <w:rPr>
          <w:sz w:val="26"/>
          <w:szCs w:val="26"/>
        </w:rPr>
        <w:t xml:space="preserve"> leverage and </w:t>
      </w:r>
      <w:r w:rsidR="00A46CEA" w:rsidRPr="007937A2">
        <w:rPr>
          <w:sz w:val="26"/>
          <w:szCs w:val="26"/>
        </w:rPr>
        <w:t>risks</w:t>
      </w:r>
      <w:r w:rsidR="00412BFB">
        <w:rPr>
          <w:sz w:val="26"/>
          <w:szCs w:val="26"/>
        </w:rPr>
        <w:t xml:space="preserve"> because </w:t>
      </w:r>
      <w:r w:rsidR="00F4382E" w:rsidRPr="007937A2">
        <w:rPr>
          <w:sz w:val="26"/>
          <w:szCs w:val="26"/>
        </w:rPr>
        <w:t>the</w:t>
      </w:r>
      <w:r w:rsidR="00412BFB">
        <w:rPr>
          <w:sz w:val="26"/>
          <w:szCs w:val="26"/>
        </w:rPr>
        <w:t>y</w:t>
      </w:r>
      <w:r w:rsidR="00A46CEA" w:rsidRPr="007937A2">
        <w:rPr>
          <w:sz w:val="26"/>
          <w:szCs w:val="26"/>
        </w:rPr>
        <w:t xml:space="preserve"> </w:t>
      </w:r>
      <w:r w:rsidR="00F4382E" w:rsidRPr="007937A2">
        <w:rPr>
          <w:sz w:val="26"/>
          <w:szCs w:val="26"/>
        </w:rPr>
        <w:t xml:space="preserve">contain information not reflected in </w:t>
      </w:r>
      <w:r w:rsidR="00A46CEA" w:rsidRPr="007937A2">
        <w:rPr>
          <w:sz w:val="26"/>
          <w:szCs w:val="26"/>
        </w:rPr>
        <w:t xml:space="preserve">at least </w:t>
      </w:r>
      <w:r w:rsidR="003F5254">
        <w:rPr>
          <w:sz w:val="26"/>
          <w:szCs w:val="26"/>
        </w:rPr>
        <w:t xml:space="preserve">five </w:t>
      </w:r>
      <w:r w:rsidR="00412BFB">
        <w:rPr>
          <w:sz w:val="26"/>
          <w:szCs w:val="26"/>
        </w:rPr>
        <w:t xml:space="preserve">traditional </w:t>
      </w:r>
      <w:r w:rsidR="00A46CEA" w:rsidRPr="007937A2">
        <w:rPr>
          <w:sz w:val="26"/>
          <w:szCs w:val="26"/>
        </w:rPr>
        <w:t>risk metrics</w:t>
      </w:r>
      <w:r w:rsidR="00974113">
        <w:rPr>
          <w:sz w:val="26"/>
          <w:szCs w:val="26"/>
        </w:rPr>
        <w:t xml:space="preserve">:  </w:t>
      </w:r>
      <w:r w:rsidR="00A46CEA" w:rsidRPr="007937A2">
        <w:rPr>
          <w:sz w:val="26"/>
          <w:szCs w:val="26"/>
        </w:rPr>
        <w:t xml:space="preserve">the size of (1) the trading account, </w:t>
      </w:r>
      <w:r w:rsidR="00056C40" w:rsidRPr="007937A2">
        <w:rPr>
          <w:sz w:val="26"/>
          <w:szCs w:val="26"/>
        </w:rPr>
        <w:t xml:space="preserve">(2) derivatives positions </w:t>
      </w:r>
      <w:r w:rsidR="00A46CEA" w:rsidRPr="007937A2">
        <w:rPr>
          <w:sz w:val="26"/>
          <w:szCs w:val="26"/>
        </w:rPr>
        <w:t xml:space="preserve">(3) the Value-at-Risk, (4) the individual risk components (credit, </w:t>
      </w:r>
      <w:r w:rsidR="00C978AA" w:rsidRPr="007937A2">
        <w:rPr>
          <w:sz w:val="26"/>
          <w:szCs w:val="26"/>
        </w:rPr>
        <w:t xml:space="preserve">market </w:t>
      </w:r>
      <w:r w:rsidR="00A46CEA" w:rsidRPr="007937A2">
        <w:rPr>
          <w:sz w:val="26"/>
          <w:szCs w:val="26"/>
        </w:rPr>
        <w:t>and operational), and (</w:t>
      </w:r>
      <w:r w:rsidR="00056C40" w:rsidRPr="007937A2">
        <w:rPr>
          <w:sz w:val="26"/>
          <w:szCs w:val="26"/>
        </w:rPr>
        <w:t>5</w:t>
      </w:r>
      <w:r w:rsidR="00A46CEA" w:rsidRPr="007937A2">
        <w:rPr>
          <w:sz w:val="26"/>
          <w:szCs w:val="26"/>
        </w:rPr>
        <w:t xml:space="preserve">) the relative volume of risk-weighted assets.  </w:t>
      </w:r>
      <w:r w:rsidR="00412BFB">
        <w:rPr>
          <w:sz w:val="26"/>
          <w:szCs w:val="26"/>
        </w:rPr>
        <w:t xml:space="preserve">The variation </w:t>
      </w:r>
      <w:r w:rsidR="00056C40" w:rsidRPr="007937A2">
        <w:rPr>
          <w:sz w:val="26"/>
          <w:szCs w:val="26"/>
        </w:rPr>
        <w:t xml:space="preserve">in </w:t>
      </w:r>
      <w:r w:rsidR="00412BFB">
        <w:rPr>
          <w:sz w:val="26"/>
          <w:szCs w:val="26"/>
        </w:rPr>
        <w:t xml:space="preserve">these two </w:t>
      </w:r>
      <w:r w:rsidR="00056C40" w:rsidRPr="007937A2">
        <w:rPr>
          <w:sz w:val="26"/>
          <w:szCs w:val="26"/>
        </w:rPr>
        <w:t xml:space="preserve">capital ratios (Core capital and market risk to capital) </w:t>
      </w:r>
      <w:r w:rsidR="00412BFB">
        <w:rPr>
          <w:sz w:val="26"/>
          <w:szCs w:val="26"/>
        </w:rPr>
        <w:t>is</w:t>
      </w:r>
      <w:r w:rsidR="000B5AF9">
        <w:rPr>
          <w:sz w:val="26"/>
          <w:szCs w:val="26"/>
        </w:rPr>
        <w:t xml:space="preserve"> not explained by the last three</w:t>
      </w:r>
      <w:r w:rsidR="00056C40" w:rsidRPr="007937A2">
        <w:rPr>
          <w:sz w:val="26"/>
          <w:szCs w:val="26"/>
        </w:rPr>
        <w:t xml:space="preserve"> </w:t>
      </w:r>
      <w:r w:rsidR="00535CD4">
        <w:rPr>
          <w:sz w:val="26"/>
          <w:szCs w:val="26"/>
        </w:rPr>
        <w:t xml:space="preserve">risk </w:t>
      </w:r>
      <w:r w:rsidR="00056C40" w:rsidRPr="007937A2">
        <w:rPr>
          <w:sz w:val="26"/>
          <w:szCs w:val="26"/>
        </w:rPr>
        <w:t>metrics</w:t>
      </w:r>
      <w:r w:rsidR="00535CD4">
        <w:rPr>
          <w:sz w:val="26"/>
          <w:szCs w:val="26"/>
        </w:rPr>
        <w:t>.  T</w:t>
      </w:r>
      <w:r w:rsidR="00056C40" w:rsidRPr="007937A2">
        <w:rPr>
          <w:sz w:val="26"/>
          <w:szCs w:val="26"/>
        </w:rPr>
        <w:t>herefore</w:t>
      </w:r>
      <w:r w:rsidR="00535CD4">
        <w:rPr>
          <w:sz w:val="26"/>
          <w:szCs w:val="26"/>
        </w:rPr>
        <w:t>,</w:t>
      </w:r>
      <w:r w:rsidR="00056C40" w:rsidRPr="007937A2">
        <w:rPr>
          <w:sz w:val="26"/>
          <w:szCs w:val="26"/>
        </w:rPr>
        <w:t xml:space="preserve"> </w:t>
      </w:r>
      <w:r w:rsidR="004923EF" w:rsidRPr="007937A2">
        <w:rPr>
          <w:sz w:val="26"/>
          <w:szCs w:val="26"/>
        </w:rPr>
        <w:t xml:space="preserve"> the disclosure of these </w:t>
      </w:r>
      <w:r w:rsidR="005067F2">
        <w:rPr>
          <w:sz w:val="26"/>
          <w:szCs w:val="26"/>
        </w:rPr>
        <w:t xml:space="preserve">ratios </w:t>
      </w:r>
      <w:r w:rsidR="00535CD4">
        <w:rPr>
          <w:sz w:val="26"/>
          <w:szCs w:val="26"/>
        </w:rPr>
        <w:t xml:space="preserve">is </w:t>
      </w:r>
      <w:r w:rsidR="005067F2">
        <w:rPr>
          <w:sz w:val="26"/>
          <w:szCs w:val="26"/>
        </w:rPr>
        <w:t xml:space="preserve">useful </w:t>
      </w:r>
      <w:r w:rsidR="005067F2" w:rsidRPr="007937A2">
        <w:rPr>
          <w:sz w:val="26"/>
          <w:szCs w:val="26"/>
        </w:rPr>
        <w:t>to distinguish between individual banks</w:t>
      </w:r>
      <w:r w:rsidR="005067F2">
        <w:rPr>
          <w:sz w:val="26"/>
          <w:szCs w:val="26"/>
        </w:rPr>
        <w:t xml:space="preserve"> </w:t>
      </w:r>
      <w:r w:rsidR="006F4813">
        <w:rPr>
          <w:sz w:val="26"/>
          <w:szCs w:val="26"/>
        </w:rPr>
        <w:t>during</w:t>
      </w:r>
      <w:r w:rsidR="00535CD4">
        <w:rPr>
          <w:sz w:val="26"/>
          <w:szCs w:val="26"/>
        </w:rPr>
        <w:t xml:space="preserve"> a specific year, or evaluate one individual bank over time</w:t>
      </w:r>
      <w:r w:rsidR="006F4813">
        <w:rPr>
          <w:sz w:val="26"/>
          <w:szCs w:val="26"/>
        </w:rPr>
        <w:t>,</w:t>
      </w:r>
      <w:r w:rsidR="00535CD4">
        <w:rPr>
          <w:sz w:val="26"/>
          <w:szCs w:val="26"/>
        </w:rPr>
        <w:t xml:space="preserve"> </w:t>
      </w:r>
      <w:r w:rsidR="005067F2">
        <w:rPr>
          <w:sz w:val="26"/>
          <w:szCs w:val="26"/>
        </w:rPr>
        <w:t>because the</w:t>
      </w:r>
      <w:r w:rsidR="00F8463A">
        <w:rPr>
          <w:sz w:val="26"/>
          <w:szCs w:val="26"/>
        </w:rPr>
        <w:t xml:space="preserve">y reflect unique and useful </w:t>
      </w:r>
      <w:r w:rsidR="004923EF" w:rsidRPr="007937A2">
        <w:rPr>
          <w:sz w:val="26"/>
          <w:szCs w:val="26"/>
        </w:rPr>
        <w:t>informati</w:t>
      </w:r>
      <w:r w:rsidR="00F8463A">
        <w:rPr>
          <w:sz w:val="26"/>
          <w:szCs w:val="26"/>
        </w:rPr>
        <w:t>on</w:t>
      </w:r>
      <w:r w:rsidR="004923EF" w:rsidRPr="007937A2">
        <w:rPr>
          <w:sz w:val="26"/>
          <w:szCs w:val="26"/>
        </w:rPr>
        <w:t xml:space="preserve"> about </w:t>
      </w:r>
      <w:r w:rsidR="00F8463A">
        <w:rPr>
          <w:sz w:val="26"/>
          <w:szCs w:val="26"/>
        </w:rPr>
        <w:t xml:space="preserve">risk and </w:t>
      </w:r>
      <w:r w:rsidR="004923EF" w:rsidRPr="007937A2">
        <w:rPr>
          <w:sz w:val="26"/>
          <w:szCs w:val="26"/>
        </w:rPr>
        <w:t xml:space="preserve">the </w:t>
      </w:r>
      <w:r w:rsidR="00EB74AF">
        <w:rPr>
          <w:sz w:val="26"/>
          <w:szCs w:val="26"/>
        </w:rPr>
        <w:t>degree of leverage</w:t>
      </w:r>
      <w:r w:rsidR="004923EF" w:rsidRPr="007937A2">
        <w:rPr>
          <w:sz w:val="26"/>
          <w:szCs w:val="26"/>
        </w:rPr>
        <w:t xml:space="preserve">.  However, in some cases, it appears that </w:t>
      </w:r>
      <w:r w:rsidR="00535CD4">
        <w:rPr>
          <w:sz w:val="26"/>
          <w:szCs w:val="26"/>
        </w:rPr>
        <w:t xml:space="preserve">the </w:t>
      </w:r>
      <w:r w:rsidR="005067F2">
        <w:rPr>
          <w:sz w:val="26"/>
          <w:szCs w:val="26"/>
        </w:rPr>
        <w:t xml:space="preserve">disclosure of </w:t>
      </w:r>
      <w:r w:rsidR="004923EF" w:rsidRPr="007937A2">
        <w:rPr>
          <w:sz w:val="26"/>
          <w:szCs w:val="26"/>
        </w:rPr>
        <w:t>t</w:t>
      </w:r>
      <w:r w:rsidR="00056C40" w:rsidRPr="007937A2">
        <w:rPr>
          <w:sz w:val="26"/>
          <w:szCs w:val="26"/>
        </w:rPr>
        <w:t xml:space="preserve">he size of </w:t>
      </w:r>
      <w:r w:rsidR="005067F2">
        <w:rPr>
          <w:sz w:val="26"/>
          <w:szCs w:val="26"/>
        </w:rPr>
        <w:t xml:space="preserve">a bank </w:t>
      </w:r>
      <w:r w:rsidR="00056C40" w:rsidRPr="007937A2">
        <w:rPr>
          <w:sz w:val="26"/>
          <w:szCs w:val="26"/>
        </w:rPr>
        <w:t xml:space="preserve">trading account and derivatives positions </w:t>
      </w:r>
      <w:r w:rsidR="005067F2">
        <w:rPr>
          <w:sz w:val="26"/>
          <w:szCs w:val="26"/>
        </w:rPr>
        <w:t xml:space="preserve">is </w:t>
      </w:r>
      <w:r w:rsidR="006F4813">
        <w:rPr>
          <w:sz w:val="26"/>
          <w:szCs w:val="26"/>
        </w:rPr>
        <w:t xml:space="preserve">partially </w:t>
      </w:r>
      <w:r w:rsidR="00CD1F7C">
        <w:rPr>
          <w:sz w:val="26"/>
          <w:szCs w:val="26"/>
        </w:rPr>
        <w:t xml:space="preserve">redundant </w:t>
      </w:r>
      <w:r w:rsidR="005067F2">
        <w:rPr>
          <w:sz w:val="26"/>
          <w:szCs w:val="26"/>
        </w:rPr>
        <w:t xml:space="preserve">because this information is </w:t>
      </w:r>
      <w:r w:rsidR="00056C40" w:rsidRPr="007937A2">
        <w:rPr>
          <w:sz w:val="26"/>
          <w:szCs w:val="26"/>
        </w:rPr>
        <w:t xml:space="preserve">already reflected in the Core Capital Ratio. </w:t>
      </w:r>
      <w:r w:rsidR="004923EF" w:rsidRPr="007937A2">
        <w:rPr>
          <w:sz w:val="26"/>
          <w:szCs w:val="26"/>
        </w:rPr>
        <w:t xml:space="preserve"> That is, </w:t>
      </w:r>
      <w:r w:rsidR="008D0D8A">
        <w:rPr>
          <w:sz w:val="26"/>
          <w:szCs w:val="26"/>
        </w:rPr>
        <w:t>investors and regulators</w:t>
      </w:r>
      <w:r w:rsidR="00C978AA" w:rsidRPr="007937A2">
        <w:rPr>
          <w:sz w:val="26"/>
          <w:szCs w:val="26"/>
        </w:rPr>
        <w:t xml:space="preserve"> </w:t>
      </w:r>
      <w:r w:rsidR="004923EF" w:rsidRPr="007937A2">
        <w:rPr>
          <w:sz w:val="26"/>
          <w:szCs w:val="26"/>
        </w:rPr>
        <w:t xml:space="preserve">can tell a lot about the relative importance of the core capital required </w:t>
      </w:r>
      <w:r w:rsidR="008D0D8A">
        <w:rPr>
          <w:sz w:val="26"/>
          <w:szCs w:val="26"/>
        </w:rPr>
        <w:t>from</w:t>
      </w:r>
      <w:r w:rsidR="004923EF" w:rsidRPr="007937A2">
        <w:rPr>
          <w:sz w:val="26"/>
          <w:szCs w:val="26"/>
        </w:rPr>
        <w:t xml:space="preserve"> a bank simply by knowing the size of its trading and derivative accounts in relation to its overall asset</w:t>
      </w:r>
      <w:r w:rsidR="00F8463A">
        <w:rPr>
          <w:sz w:val="26"/>
          <w:szCs w:val="26"/>
        </w:rPr>
        <w:t>s</w:t>
      </w:r>
      <w:r w:rsidR="004923EF" w:rsidRPr="007937A2">
        <w:rPr>
          <w:sz w:val="26"/>
          <w:szCs w:val="26"/>
        </w:rPr>
        <w:t xml:space="preserve">.  </w:t>
      </w:r>
      <w:r w:rsidR="006F4813">
        <w:rPr>
          <w:sz w:val="26"/>
          <w:szCs w:val="26"/>
        </w:rPr>
        <w:t>But in general, all the risk and capital measurements reviewed in this paper and which the GCC banks release</w:t>
      </w:r>
      <w:r w:rsidR="00651B9C">
        <w:rPr>
          <w:sz w:val="26"/>
          <w:szCs w:val="26"/>
        </w:rPr>
        <w:t xml:space="preserve"> </w:t>
      </w:r>
      <w:r w:rsidR="006F4813">
        <w:rPr>
          <w:sz w:val="26"/>
          <w:szCs w:val="26"/>
        </w:rPr>
        <w:t xml:space="preserve">annually, were found to be relevant.  </w:t>
      </w:r>
      <w:r w:rsidR="00CD1F7C">
        <w:rPr>
          <w:sz w:val="26"/>
          <w:szCs w:val="26"/>
        </w:rPr>
        <w:t>T</w:t>
      </w:r>
      <w:r w:rsidR="00C978AA" w:rsidRPr="007937A2">
        <w:rPr>
          <w:sz w:val="26"/>
          <w:szCs w:val="26"/>
        </w:rPr>
        <w:t xml:space="preserve">hese </w:t>
      </w:r>
      <w:r w:rsidR="00CD1F7C">
        <w:rPr>
          <w:sz w:val="26"/>
          <w:szCs w:val="26"/>
        </w:rPr>
        <w:t>results</w:t>
      </w:r>
      <w:r w:rsidR="00C978AA" w:rsidRPr="007937A2">
        <w:rPr>
          <w:sz w:val="26"/>
          <w:szCs w:val="26"/>
        </w:rPr>
        <w:t xml:space="preserve"> lead us to c</w:t>
      </w:r>
      <w:r w:rsidR="004923EF" w:rsidRPr="007937A2">
        <w:rPr>
          <w:sz w:val="26"/>
          <w:szCs w:val="26"/>
        </w:rPr>
        <w:t xml:space="preserve">onclude that the added </w:t>
      </w:r>
      <w:r w:rsidR="00F8463A">
        <w:rPr>
          <w:sz w:val="26"/>
          <w:szCs w:val="26"/>
        </w:rPr>
        <w:t xml:space="preserve">disclosure </w:t>
      </w:r>
      <w:r w:rsidR="004923EF" w:rsidRPr="007937A2">
        <w:rPr>
          <w:sz w:val="26"/>
          <w:szCs w:val="26"/>
        </w:rPr>
        <w:t xml:space="preserve">by the GCC banks is </w:t>
      </w:r>
      <w:r w:rsidR="00CD1F7C">
        <w:rPr>
          <w:sz w:val="26"/>
          <w:szCs w:val="26"/>
        </w:rPr>
        <w:t xml:space="preserve">generally </w:t>
      </w:r>
      <w:r w:rsidR="004923EF" w:rsidRPr="007937A2">
        <w:rPr>
          <w:sz w:val="26"/>
          <w:szCs w:val="26"/>
        </w:rPr>
        <w:t xml:space="preserve">informative and </w:t>
      </w:r>
      <w:r w:rsidR="00CD1F7C">
        <w:rPr>
          <w:sz w:val="26"/>
          <w:szCs w:val="26"/>
        </w:rPr>
        <w:t xml:space="preserve">useful to distinguish between </w:t>
      </w:r>
      <w:r w:rsidR="006F4813">
        <w:rPr>
          <w:sz w:val="26"/>
          <w:szCs w:val="26"/>
        </w:rPr>
        <w:t xml:space="preserve">the risk levels at </w:t>
      </w:r>
      <w:r w:rsidR="00CD1F7C">
        <w:rPr>
          <w:sz w:val="26"/>
          <w:szCs w:val="26"/>
        </w:rPr>
        <w:t>banks</w:t>
      </w:r>
      <w:r w:rsidR="004923EF" w:rsidRPr="007937A2">
        <w:rPr>
          <w:sz w:val="26"/>
          <w:szCs w:val="26"/>
        </w:rPr>
        <w:t xml:space="preserve">. </w:t>
      </w:r>
      <w:r w:rsidR="000910FD">
        <w:rPr>
          <w:sz w:val="26"/>
          <w:szCs w:val="26"/>
        </w:rPr>
        <w:t xml:space="preserve"> </w:t>
      </w:r>
    </w:p>
    <w:p w14:paraId="1977AAEA" w14:textId="7FC5A616" w:rsidR="00C978AA" w:rsidRPr="007937A2" w:rsidRDefault="000910FD" w:rsidP="007937A2">
      <w:pPr>
        <w:rPr>
          <w:sz w:val="26"/>
          <w:szCs w:val="26"/>
        </w:rPr>
      </w:pPr>
      <w:r>
        <w:rPr>
          <w:sz w:val="26"/>
          <w:szCs w:val="26"/>
        </w:rPr>
        <w:t xml:space="preserve">Investors and analysts can use these ratios to better </w:t>
      </w:r>
      <w:r w:rsidRPr="007937A2">
        <w:rPr>
          <w:sz w:val="26"/>
          <w:szCs w:val="26"/>
        </w:rPr>
        <w:t xml:space="preserve">understand </w:t>
      </w:r>
      <w:r>
        <w:rPr>
          <w:sz w:val="26"/>
          <w:szCs w:val="26"/>
        </w:rPr>
        <w:t xml:space="preserve">the </w:t>
      </w:r>
      <w:r w:rsidRPr="007937A2">
        <w:rPr>
          <w:sz w:val="26"/>
          <w:szCs w:val="26"/>
        </w:rPr>
        <w:t>banks’ risks and how they manage them</w:t>
      </w:r>
      <w:r>
        <w:rPr>
          <w:sz w:val="26"/>
          <w:szCs w:val="26"/>
        </w:rPr>
        <w:t xml:space="preserve"> and realign the cost </w:t>
      </w:r>
      <w:r w:rsidR="00535CD4" w:rsidRPr="007937A2">
        <w:rPr>
          <w:sz w:val="26"/>
          <w:szCs w:val="26"/>
        </w:rPr>
        <w:t xml:space="preserve">of capital for </w:t>
      </w:r>
      <w:r>
        <w:rPr>
          <w:sz w:val="26"/>
          <w:szCs w:val="26"/>
        </w:rPr>
        <w:t xml:space="preserve">a particular </w:t>
      </w:r>
      <w:r w:rsidR="00535CD4" w:rsidRPr="007937A2">
        <w:rPr>
          <w:sz w:val="26"/>
          <w:szCs w:val="26"/>
        </w:rPr>
        <w:t xml:space="preserve">bank </w:t>
      </w:r>
      <w:r>
        <w:rPr>
          <w:sz w:val="26"/>
          <w:szCs w:val="26"/>
        </w:rPr>
        <w:t>to become m</w:t>
      </w:r>
      <w:r w:rsidR="00535CD4" w:rsidRPr="007937A2">
        <w:rPr>
          <w:sz w:val="26"/>
          <w:szCs w:val="26"/>
        </w:rPr>
        <w:t>ore reflective of the real risks</w:t>
      </w:r>
      <w:r>
        <w:rPr>
          <w:sz w:val="26"/>
          <w:szCs w:val="26"/>
        </w:rPr>
        <w:t xml:space="preserve"> of that institution</w:t>
      </w:r>
      <w:r w:rsidR="00535CD4" w:rsidRPr="007937A2">
        <w:rPr>
          <w:sz w:val="26"/>
          <w:szCs w:val="26"/>
        </w:rPr>
        <w:t xml:space="preserve">. </w:t>
      </w:r>
      <w:r>
        <w:rPr>
          <w:sz w:val="26"/>
          <w:szCs w:val="26"/>
        </w:rPr>
        <w:t xml:space="preserve"> </w:t>
      </w:r>
      <w:r w:rsidR="00535CD4" w:rsidRPr="007937A2">
        <w:rPr>
          <w:sz w:val="26"/>
          <w:szCs w:val="26"/>
        </w:rPr>
        <w:t>Th</w:t>
      </w:r>
      <w:r>
        <w:rPr>
          <w:sz w:val="26"/>
          <w:szCs w:val="26"/>
        </w:rPr>
        <w:t>is</w:t>
      </w:r>
      <w:r w:rsidR="000B5AF9">
        <w:rPr>
          <w:sz w:val="26"/>
          <w:szCs w:val="26"/>
        </w:rPr>
        <w:t xml:space="preserve"> analysis</w:t>
      </w:r>
      <w:r>
        <w:rPr>
          <w:sz w:val="26"/>
          <w:szCs w:val="26"/>
        </w:rPr>
        <w:t xml:space="preserve"> </w:t>
      </w:r>
      <w:r w:rsidR="00F8463A">
        <w:rPr>
          <w:sz w:val="26"/>
          <w:szCs w:val="26"/>
        </w:rPr>
        <w:t xml:space="preserve">is </w:t>
      </w:r>
      <w:r>
        <w:rPr>
          <w:sz w:val="26"/>
          <w:szCs w:val="26"/>
        </w:rPr>
        <w:t xml:space="preserve">particularly important to investors and analysts </w:t>
      </w:r>
      <w:r w:rsidR="00EB74AF">
        <w:rPr>
          <w:sz w:val="26"/>
          <w:szCs w:val="26"/>
        </w:rPr>
        <w:t>if</w:t>
      </w:r>
      <w:r w:rsidR="00535CD4" w:rsidRPr="007937A2">
        <w:rPr>
          <w:sz w:val="26"/>
          <w:szCs w:val="26"/>
        </w:rPr>
        <w:t xml:space="preserve"> losses </w:t>
      </w:r>
      <w:r>
        <w:rPr>
          <w:sz w:val="26"/>
          <w:szCs w:val="26"/>
        </w:rPr>
        <w:t xml:space="preserve">from </w:t>
      </w:r>
      <w:r w:rsidR="00535CD4" w:rsidRPr="007937A2">
        <w:rPr>
          <w:sz w:val="26"/>
          <w:szCs w:val="26"/>
        </w:rPr>
        <w:t>a</w:t>
      </w:r>
      <w:r w:rsidR="00EB74AF">
        <w:rPr>
          <w:sz w:val="26"/>
          <w:szCs w:val="26"/>
        </w:rPr>
        <w:t xml:space="preserve"> failure of a</w:t>
      </w:r>
      <w:r w:rsidR="00535CD4" w:rsidRPr="007937A2">
        <w:rPr>
          <w:sz w:val="26"/>
          <w:szCs w:val="26"/>
        </w:rPr>
        <w:t xml:space="preserve"> </w:t>
      </w:r>
      <w:r w:rsidR="00EB74AF">
        <w:rPr>
          <w:sz w:val="26"/>
          <w:szCs w:val="26"/>
        </w:rPr>
        <w:t xml:space="preserve">GCC </w:t>
      </w:r>
      <w:r w:rsidR="00535CD4" w:rsidRPr="007937A2">
        <w:rPr>
          <w:sz w:val="26"/>
          <w:szCs w:val="26"/>
        </w:rPr>
        <w:t xml:space="preserve">bank </w:t>
      </w:r>
      <w:r>
        <w:rPr>
          <w:sz w:val="26"/>
          <w:szCs w:val="26"/>
        </w:rPr>
        <w:t xml:space="preserve">are </w:t>
      </w:r>
      <w:r w:rsidR="00535CD4" w:rsidRPr="007937A2">
        <w:rPr>
          <w:sz w:val="26"/>
          <w:szCs w:val="26"/>
        </w:rPr>
        <w:t xml:space="preserve">borne by the bank’s investors and government bailout is not an option. </w:t>
      </w:r>
      <w:r w:rsidR="000B5AF9">
        <w:rPr>
          <w:sz w:val="26"/>
          <w:szCs w:val="26"/>
        </w:rPr>
        <w:t xml:space="preserve"> </w:t>
      </w:r>
      <w:r w:rsidR="00651B9C">
        <w:rPr>
          <w:sz w:val="26"/>
          <w:szCs w:val="26"/>
        </w:rPr>
        <w:t xml:space="preserve">More relevant disclosure is also necessary because of the current flaws in the </w:t>
      </w:r>
      <w:r w:rsidR="00651B9C" w:rsidRPr="00651B9C">
        <w:rPr>
          <w:sz w:val="26"/>
          <w:szCs w:val="26"/>
        </w:rPr>
        <w:t xml:space="preserve">market risk framework </w:t>
      </w:r>
      <w:r w:rsidR="00651B9C">
        <w:rPr>
          <w:sz w:val="26"/>
          <w:szCs w:val="26"/>
        </w:rPr>
        <w:t xml:space="preserve">under Basel II </w:t>
      </w:r>
      <w:r w:rsidR="000B5AF9">
        <w:rPr>
          <w:sz w:val="26"/>
          <w:szCs w:val="26"/>
        </w:rPr>
        <w:t>that</w:t>
      </w:r>
      <w:r w:rsidR="00651B9C">
        <w:rPr>
          <w:sz w:val="26"/>
          <w:szCs w:val="26"/>
        </w:rPr>
        <w:t xml:space="preserve"> </w:t>
      </w:r>
      <w:r w:rsidR="00651B9C" w:rsidRPr="00651B9C">
        <w:rPr>
          <w:sz w:val="26"/>
          <w:szCs w:val="26"/>
        </w:rPr>
        <w:t xml:space="preserve">allows banks </w:t>
      </w:r>
      <w:r w:rsidR="00651B9C">
        <w:rPr>
          <w:sz w:val="26"/>
          <w:szCs w:val="26"/>
        </w:rPr>
        <w:t xml:space="preserve">to </w:t>
      </w:r>
      <w:r w:rsidR="00651B9C" w:rsidRPr="00651B9C">
        <w:rPr>
          <w:sz w:val="26"/>
          <w:szCs w:val="26"/>
        </w:rPr>
        <w:t xml:space="preserve">retain certain flexibility in how they measure exposure, how they go about risk-weighting their assets, and how they engage in hedging.  </w:t>
      </w:r>
      <w:r w:rsidR="00535CD4" w:rsidRPr="007937A2">
        <w:rPr>
          <w:sz w:val="26"/>
          <w:szCs w:val="26"/>
        </w:rPr>
        <w:t>T</w:t>
      </w:r>
      <w:r w:rsidR="00F8463A">
        <w:rPr>
          <w:sz w:val="26"/>
          <w:szCs w:val="26"/>
        </w:rPr>
        <w:t xml:space="preserve">o that end, </w:t>
      </w:r>
      <w:r w:rsidRPr="007937A2">
        <w:rPr>
          <w:sz w:val="26"/>
          <w:szCs w:val="26"/>
        </w:rPr>
        <w:t>enhanc</w:t>
      </w:r>
      <w:r>
        <w:rPr>
          <w:sz w:val="26"/>
          <w:szCs w:val="26"/>
        </w:rPr>
        <w:t>ing the</w:t>
      </w:r>
      <w:r w:rsidRPr="007937A2">
        <w:rPr>
          <w:sz w:val="26"/>
          <w:szCs w:val="26"/>
        </w:rPr>
        <w:t xml:space="preserve"> disclosure of risks undertaken by individual </w:t>
      </w:r>
      <w:r>
        <w:rPr>
          <w:sz w:val="26"/>
          <w:szCs w:val="26"/>
        </w:rPr>
        <w:t xml:space="preserve">banks </w:t>
      </w:r>
      <w:r w:rsidR="00651B9C">
        <w:rPr>
          <w:sz w:val="26"/>
          <w:szCs w:val="26"/>
        </w:rPr>
        <w:t>instills greater</w:t>
      </w:r>
      <w:r w:rsidR="00EB74AF">
        <w:rPr>
          <w:sz w:val="26"/>
          <w:szCs w:val="26"/>
        </w:rPr>
        <w:t xml:space="preserve"> </w:t>
      </w:r>
      <w:r w:rsidR="00535CD4" w:rsidRPr="007937A2">
        <w:rPr>
          <w:sz w:val="26"/>
          <w:szCs w:val="26"/>
        </w:rPr>
        <w:t>confidence in the banking system</w:t>
      </w:r>
      <w:r w:rsidR="00EB74AF">
        <w:rPr>
          <w:sz w:val="26"/>
          <w:szCs w:val="26"/>
        </w:rPr>
        <w:t>.</w:t>
      </w:r>
      <w:r w:rsidR="00535CD4" w:rsidRPr="007937A2">
        <w:rPr>
          <w:sz w:val="26"/>
          <w:szCs w:val="26"/>
        </w:rPr>
        <w:t xml:space="preserve"> </w:t>
      </w:r>
    </w:p>
    <w:p w14:paraId="1EE48669" w14:textId="5C8186B6" w:rsidR="00A067E1" w:rsidRPr="007937A2" w:rsidRDefault="00C67716" w:rsidP="00333FB1">
      <w:pPr>
        <w:spacing w:before="240"/>
        <w:rPr>
          <w:sz w:val="26"/>
          <w:szCs w:val="26"/>
        </w:rPr>
      </w:pPr>
      <w:r w:rsidRPr="007937A2">
        <w:rPr>
          <w:sz w:val="26"/>
          <w:szCs w:val="26"/>
        </w:rPr>
        <w:lastRenderedPageBreak/>
        <w:t xml:space="preserve">The Basel Committee on Bank Supervision considers transparency a key element in effective and prudential bank supervision.  </w:t>
      </w:r>
      <w:r w:rsidR="00F8463A">
        <w:rPr>
          <w:sz w:val="26"/>
          <w:szCs w:val="26"/>
        </w:rPr>
        <w:t>Meaningful</w:t>
      </w:r>
      <w:r w:rsidRPr="007937A2">
        <w:rPr>
          <w:sz w:val="26"/>
          <w:szCs w:val="26"/>
        </w:rPr>
        <w:t xml:space="preserve"> public disclosures allow a better comparison of the risks and return prospects of individual banks and facilitate a more efficient allocation of capital. </w:t>
      </w:r>
      <w:r w:rsidR="000B5AF9">
        <w:rPr>
          <w:sz w:val="26"/>
          <w:szCs w:val="26"/>
        </w:rPr>
        <w:t xml:space="preserve"> </w:t>
      </w:r>
      <w:r w:rsidRPr="007937A2">
        <w:rPr>
          <w:sz w:val="26"/>
          <w:szCs w:val="26"/>
        </w:rPr>
        <w:t>To that end, o</w:t>
      </w:r>
      <w:r w:rsidR="00A067E1" w:rsidRPr="007937A2">
        <w:rPr>
          <w:sz w:val="26"/>
          <w:szCs w:val="26"/>
        </w:rPr>
        <w:t>ur paper complement</w:t>
      </w:r>
      <w:r w:rsidR="00A041CB" w:rsidRPr="007937A2">
        <w:rPr>
          <w:sz w:val="26"/>
          <w:szCs w:val="26"/>
        </w:rPr>
        <w:t>s</w:t>
      </w:r>
      <w:r w:rsidR="00A067E1" w:rsidRPr="007937A2">
        <w:rPr>
          <w:sz w:val="26"/>
          <w:szCs w:val="26"/>
        </w:rPr>
        <w:t xml:space="preserve"> and reinforce</w:t>
      </w:r>
      <w:r w:rsidR="00A041CB" w:rsidRPr="007937A2">
        <w:rPr>
          <w:sz w:val="26"/>
          <w:szCs w:val="26"/>
        </w:rPr>
        <w:t>s</w:t>
      </w:r>
      <w:r w:rsidR="00A067E1" w:rsidRPr="007937A2">
        <w:rPr>
          <w:sz w:val="26"/>
          <w:szCs w:val="26"/>
        </w:rPr>
        <w:t xml:space="preserve"> current supervisory efforts to foster safe and sound banks and a stable banking system in the GCC.  Meaningful and accurate disclosures facilitate market discipline and improve public scrutiny, which in turn provide</w:t>
      </w:r>
      <w:r w:rsidR="00333FB1" w:rsidRPr="007937A2">
        <w:rPr>
          <w:sz w:val="26"/>
          <w:szCs w:val="26"/>
        </w:rPr>
        <w:t>s</w:t>
      </w:r>
      <w:r w:rsidR="00A067E1" w:rsidRPr="007937A2">
        <w:rPr>
          <w:sz w:val="26"/>
          <w:szCs w:val="26"/>
        </w:rPr>
        <w:t xml:space="preserve"> a bank with strong incentives to </w:t>
      </w:r>
      <w:r w:rsidR="00333FB1" w:rsidRPr="007937A2">
        <w:rPr>
          <w:sz w:val="26"/>
          <w:szCs w:val="26"/>
        </w:rPr>
        <w:t xml:space="preserve">(1) </w:t>
      </w:r>
      <w:r w:rsidR="00A067E1" w:rsidRPr="007937A2">
        <w:rPr>
          <w:sz w:val="26"/>
          <w:szCs w:val="26"/>
        </w:rPr>
        <w:t>conduct its business in a safe, sound and efficient manner</w:t>
      </w:r>
      <w:r w:rsidR="00C978AA" w:rsidRPr="007937A2">
        <w:rPr>
          <w:sz w:val="26"/>
          <w:szCs w:val="26"/>
        </w:rPr>
        <w:t>,</w:t>
      </w:r>
      <w:r w:rsidR="00A067E1" w:rsidRPr="007937A2">
        <w:rPr>
          <w:sz w:val="26"/>
          <w:szCs w:val="26"/>
        </w:rPr>
        <w:t xml:space="preserve"> </w:t>
      </w:r>
      <w:r w:rsidR="00333FB1" w:rsidRPr="007937A2">
        <w:rPr>
          <w:sz w:val="26"/>
          <w:szCs w:val="26"/>
        </w:rPr>
        <w:t>(</w:t>
      </w:r>
      <w:r w:rsidR="00C978AA" w:rsidRPr="007937A2">
        <w:rPr>
          <w:sz w:val="26"/>
          <w:szCs w:val="26"/>
        </w:rPr>
        <w:t>2</w:t>
      </w:r>
      <w:r w:rsidR="00333FB1" w:rsidRPr="007937A2">
        <w:rPr>
          <w:sz w:val="26"/>
          <w:szCs w:val="26"/>
        </w:rPr>
        <w:t>)</w:t>
      </w:r>
      <w:r w:rsidR="00A067E1" w:rsidRPr="007937A2">
        <w:rPr>
          <w:sz w:val="26"/>
          <w:szCs w:val="26"/>
        </w:rPr>
        <w:t xml:space="preserve"> maintain sound risk management p</w:t>
      </w:r>
      <w:r w:rsidR="0052668D">
        <w:rPr>
          <w:sz w:val="26"/>
          <w:szCs w:val="26"/>
        </w:rPr>
        <w:t>ractices and internal controls, and (3) enhance the stability of real asset prices.</w:t>
      </w:r>
    </w:p>
    <w:p w14:paraId="400534D9" w14:textId="77777777" w:rsidR="00C978AA" w:rsidRPr="007937A2" w:rsidRDefault="00C978AA" w:rsidP="00A067E1">
      <w:pPr>
        <w:rPr>
          <w:sz w:val="26"/>
          <w:szCs w:val="26"/>
        </w:rPr>
      </w:pPr>
    </w:p>
    <w:p w14:paraId="22C94658" w14:textId="77777777" w:rsidR="0041738C" w:rsidRDefault="0041738C" w:rsidP="000E747A"/>
    <w:p w14:paraId="1E9C6BD2" w14:textId="77777777" w:rsidR="00C73FA6" w:rsidRPr="007937A2" w:rsidRDefault="00267E8B" w:rsidP="007937A2">
      <w:pPr>
        <w:rPr>
          <w:b/>
          <w:sz w:val="26"/>
          <w:szCs w:val="26"/>
        </w:rPr>
      </w:pPr>
      <w:r>
        <w:br w:type="page"/>
      </w:r>
      <w:r w:rsidR="000E747A" w:rsidRPr="007937A2">
        <w:rPr>
          <w:b/>
          <w:sz w:val="26"/>
          <w:szCs w:val="26"/>
        </w:rPr>
        <w:lastRenderedPageBreak/>
        <w:t>References</w:t>
      </w:r>
    </w:p>
    <w:p w14:paraId="71E1268F" w14:textId="2CDEF67B" w:rsidR="00DC5F85" w:rsidRDefault="00DC5F85" w:rsidP="007937A2">
      <w:pPr>
        <w:pStyle w:val="FootnoteText"/>
        <w:numPr>
          <w:ilvl w:val="0"/>
          <w:numId w:val="7"/>
        </w:numPr>
        <w:spacing w:after="0" w:line="240" w:lineRule="auto"/>
        <w:rPr>
          <w:sz w:val="26"/>
          <w:szCs w:val="26"/>
        </w:rPr>
      </w:pPr>
      <w:r w:rsidRPr="007937A2">
        <w:rPr>
          <w:sz w:val="26"/>
          <w:szCs w:val="26"/>
        </w:rPr>
        <w:t xml:space="preserve">Abu El </w:t>
      </w:r>
      <w:proofErr w:type="spellStart"/>
      <w:r w:rsidRPr="007937A2">
        <w:rPr>
          <w:sz w:val="26"/>
          <w:szCs w:val="26"/>
        </w:rPr>
        <w:t>Hajj</w:t>
      </w:r>
      <w:r w:rsidR="00F662A8">
        <w:rPr>
          <w:sz w:val="26"/>
          <w:szCs w:val="26"/>
        </w:rPr>
        <w:t>a</w:t>
      </w:r>
      <w:proofErr w:type="spellEnd"/>
      <w:r w:rsidR="00F662A8">
        <w:rPr>
          <w:sz w:val="26"/>
          <w:szCs w:val="26"/>
        </w:rPr>
        <w:t xml:space="preserve"> M.F. and Al Hayek A.F. (2012).</w:t>
      </w:r>
      <w:r w:rsidRPr="007937A2">
        <w:rPr>
          <w:sz w:val="26"/>
          <w:szCs w:val="26"/>
        </w:rPr>
        <w:t xml:space="preserve"> Operational Risk Disclosures in Jordanian Commercial Banks</w:t>
      </w:r>
      <w:proofErr w:type="gramStart"/>
      <w:r w:rsidR="00974113">
        <w:rPr>
          <w:sz w:val="26"/>
          <w:szCs w:val="26"/>
        </w:rPr>
        <w:t xml:space="preserve">:  </w:t>
      </w:r>
      <w:r w:rsidRPr="007937A2">
        <w:rPr>
          <w:sz w:val="26"/>
          <w:szCs w:val="26"/>
        </w:rPr>
        <w:t xml:space="preserve"> It’s</w:t>
      </w:r>
      <w:proofErr w:type="gramEnd"/>
      <w:r w:rsidRPr="007937A2">
        <w:rPr>
          <w:sz w:val="26"/>
          <w:szCs w:val="26"/>
        </w:rPr>
        <w:t xml:space="preserve"> Enough. International Research Journal of Finance and Economics, Issue 83. </w:t>
      </w:r>
    </w:p>
    <w:p w14:paraId="659142E5" w14:textId="77777777" w:rsidR="00A02B20" w:rsidRDefault="00A02B20" w:rsidP="007937A2">
      <w:pPr>
        <w:pStyle w:val="FootnoteText"/>
        <w:numPr>
          <w:ilvl w:val="0"/>
          <w:numId w:val="7"/>
        </w:numPr>
        <w:spacing w:after="0" w:line="240" w:lineRule="auto"/>
        <w:rPr>
          <w:sz w:val="26"/>
          <w:szCs w:val="26"/>
        </w:rPr>
      </w:pPr>
      <w:r>
        <w:rPr>
          <w:sz w:val="26"/>
          <w:szCs w:val="26"/>
        </w:rPr>
        <w:t>Basel Committee on Banking Supervision International Convergence of Capital Measurement and Capital Standards, Bas</w:t>
      </w:r>
      <w:r w:rsidR="00495799">
        <w:rPr>
          <w:sz w:val="26"/>
          <w:szCs w:val="26"/>
        </w:rPr>
        <w:t xml:space="preserve">el, July 1988.  </w:t>
      </w:r>
      <w:hyperlink r:id="rId14" w:history="1">
        <w:r w:rsidR="00495799" w:rsidRPr="00781764">
          <w:rPr>
            <w:rStyle w:val="Hyperlink"/>
            <w:sz w:val="26"/>
            <w:szCs w:val="26"/>
          </w:rPr>
          <w:t>http://www.bis.org/publ/bcbs04a.pdf</w:t>
        </w:r>
      </w:hyperlink>
    </w:p>
    <w:p w14:paraId="10C02A47" w14:textId="77777777" w:rsidR="00495799" w:rsidRDefault="00495799" w:rsidP="00495799">
      <w:pPr>
        <w:pStyle w:val="FootnoteText"/>
        <w:numPr>
          <w:ilvl w:val="0"/>
          <w:numId w:val="7"/>
        </w:numPr>
        <w:spacing w:after="0" w:line="240" w:lineRule="auto"/>
        <w:rPr>
          <w:sz w:val="26"/>
          <w:szCs w:val="26"/>
        </w:rPr>
      </w:pPr>
      <w:r>
        <w:rPr>
          <w:sz w:val="26"/>
          <w:szCs w:val="26"/>
        </w:rPr>
        <w:t xml:space="preserve">Basel Committee on Banking Supervision International Convergence of Capital Measurement and Capital Standards, A Revised Framework Updated November 2005.  </w:t>
      </w:r>
      <w:hyperlink r:id="rId15" w:history="1">
        <w:r w:rsidRPr="00781764">
          <w:rPr>
            <w:rStyle w:val="Hyperlink"/>
            <w:sz w:val="26"/>
            <w:szCs w:val="26"/>
          </w:rPr>
          <w:t>http://www.bis.org/publ/bcbs118.pdf</w:t>
        </w:r>
      </w:hyperlink>
    </w:p>
    <w:p w14:paraId="3722AC87" w14:textId="7654C878" w:rsidR="00495799" w:rsidRDefault="00495799" w:rsidP="00495799">
      <w:pPr>
        <w:pStyle w:val="FootnoteText"/>
        <w:numPr>
          <w:ilvl w:val="0"/>
          <w:numId w:val="7"/>
        </w:numPr>
        <w:spacing w:after="0" w:line="240" w:lineRule="auto"/>
        <w:rPr>
          <w:sz w:val="26"/>
          <w:szCs w:val="26"/>
        </w:rPr>
      </w:pPr>
      <w:r>
        <w:rPr>
          <w:sz w:val="26"/>
          <w:szCs w:val="26"/>
        </w:rPr>
        <w:t>Basel Committee on Banking Supervision International Convergence of Capital Measurement and Capital Standards, A Revised Framework (Comprehensive Version</w:t>
      </w:r>
      <w:r w:rsidR="00974113">
        <w:rPr>
          <w:sz w:val="26"/>
          <w:szCs w:val="26"/>
        </w:rPr>
        <w:t xml:space="preserve">:   </w:t>
      </w:r>
      <w:r>
        <w:rPr>
          <w:sz w:val="26"/>
          <w:szCs w:val="26"/>
        </w:rPr>
        <w:t xml:space="preserve">June 2006  </w:t>
      </w:r>
      <w:hyperlink r:id="rId16" w:history="1">
        <w:r w:rsidRPr="00781764">
          <w:rPr>
            <w:rStyle w:val="Hyperlink"/>
            <w:sz w:val="26"/>
            <w:szCs w:val="26"/>
          </w:rPr>
          <w:t>http://www.bis.org/publ/bcbs0128.pdf</w:t>
        </w:r>
      </w:hyperlink>
    </w:p>
    <w:p w14:paraId="48417C80" w14:textId="2ED1F879" w:rsidR="00495799" w:rsidRDefault="00495799" w:rsidP="00495799">
      <w:pPr>
        <w:pStyle w:val="FootnoteText"/>
        <w:numPr>
          <w:ilvl w:val="0"/>
          <w:numId w:val="7"/>
        </w:numPr>
        <w:spacing w:after="0" w:line="240" w:lineRule="auto"/>
        <w:rPr>
          <w:sz w:val="26"/>
          <w:szCs w:val="26"/>
        </w:rPr>
      </w:pPr>
      <w:r>
        <w:rPr>
          <w:sz w:val="26"/>
          <w:szCs w:val="26"/>
        </w:rPr>
        <w:t xml:space="preserve">Berkowitz, J. and O’Brien, J. (2002) “How Accurate Are Value-at-Risk Models at commercial Banks?” </w:t>
      </w:r>
      <w:r w:rsidRPr="00607971">
        <w:rPr>
          <w:i/>
          <w:sz w:val="26"/>
          <w:szCs w:val="26"/>
        </w:rPr>
        <w:t>The Journal of Finance</w:t>
      </w:r>
      <w:r>
        <w:rPr>
          <w:sz w:val="26"/>
          <w:szCs w:val="26"/>
        </w:rPr>
        <w:t xml:space="preserve">, </w:t>
      </w:r>
      <w:r w:rsidR="00974113">
        <w:rPr>
          <w:sz w:val="26"/>
          <w:szCs w:val="26"/>
        </w:rPr>
        <w:t>Vol. LVII, No. 3, 1093–</w:t>
      </w:r>
      <w:r>
        <w:rPr>
          <w:sz w:val="26"/>
          <w:szCs w:val="26"/>
        </w:rPr>
        <w:t>1112.</w:t>
      </w:r>
    </w:p>
    <w:p w14:paraId="135222F4" w14:textId="1D8302B1" w:rsidR="00495799" w:rsidRPr="00495799" w:rsidRDefault="00495799" w:rsidP="00495799">
      <w:pPr>
        <w:pStyle w:val="FootnoteText"/>
        <w:numPr>
          <w:ilvl w:val="0"/>
          <w:numId w:val="7"/>
        </w:numPr>
        <w:spacing w:after="0" w:line="240" w:lineRule="auto"/>
        <w:rPr>
          <w:sz w:val="26"/>
          <w:szCs w:val="26"/>
        </w:rPr>
      </w:pPr>
      <w:r>
        <w:rPr>
          <w:sz w:val="26"/>
          <w:szCs w:val="26"/>
        </w:rPr>
        <w:t xml:space="preserve">Berkowitz, Christoffersen, and Pelletier (2009).  “Evaluating Value-at-Risk Models with Desk-Level Data” </w:t>
      </w:r>
      <w:r w:rsidRPr="00607971">
        <w:rPr>
          <w:i/>
          <w:sz w:val="26"/>
          <w:szCs w:val="26"/>
        </w:rPr>
        <w:t>Management Science</w:t>
      </w:r>
      <w:r w:rsidR="00974113">
        <w:rPr>
          <w:sz w:val="26"/>
          <w:szCs w:val="26"/>
        </w:rPr>
        <w:t>, Articles in Advance, pp. 1–</w:t>
      </w:r>
      <w:r>
        <w:rPr>
          <w:sz w:val="26"/>
          <w:szCs w:val="26"/>
        </w:rPr>
        <w:t xml:space="preserve">15.  http://erm.ncsu.edu/az/erm/i/chan/library/pelletier-research-partners-2009.pdf.    </w:t>
      </w:r>
    </w:p>
    <w:p w14:paraId="5113A60F" w14:textId="6F92B2ED" w:rsidR="00266ED7" w:rsidRPr="007937A2" w:rsidRDefault="00266ED7" w:rsidP="007937A2">
      <w:pPr>
        <w:numPr>
          <w:ilvl w:val="0"/>
          <w:numId w:val="7"/>
        </w:numPr>
        <w:spacing w:after="0" w:line="240" w:lineRule="auto"/>
        <w:rPr>
          <w:sz w:val="26"/>
          <w:szCs w:val="26"/>
        </w:rPr>
      </w:pPr>
      <w:r w:rsidRPr="007937A2">
        <w:rPr>
          <w:sz w:val="26"/>
          <w:szCs w:val="26"/>
        </w:rPr>
        <w:t>Chen H, and Gao Z (2010)</w:t>
      </w:r>
      <w:proofErr w:type="gramStart"/>
      <w:r w:rsidR="00974113">
        <w:rPr>
          <w:sz w:val="26"/>
          <w:szCs w:val="26"/>
        </w:rPr>
        <w:t xml:space="preserve">:  </w:t>
      </w:r>
      <w:r w:rsidRPr="007937A2">
        <w:rPr>
          <w:sz w:val="26"/>
          <w:szCs w:val="26"/>
        </w:rPr>
        <w:t xml:space="preserve">  Value</w:t>
      </w:r>
      <w:proofErr w:type="gramEnd"/>
      <w:r w:rsidRPr="007937A2">
        <w:rPr>
          <w:sz w:val="26"/>
          <w:szCs w:val="26"/>
        </w:rPr>
        <w:t xml:space="preserve">-at-Risk Disclosure and Cost of Equity Capital, </w:t>
      </w:r>
      <w:r w:rsidRPr="00607971">
        <w:rPr>
          <w:i/>
          <w:sz w:val="26"/>
          <w:szCs w:val="26"/>
        </w:rPr>
        <w:t>Global Economy and Finance Journal</w:t>
      </w:r>
      <w:r w:rsidRPr="007937A2">
        <w:rPr>
          <w:sz w:val="26"/>
          <w:szCs w:val="26"/>
        </w:rPr>
        <w:t xml:space="preserve"> Volume 3. Number 2. September 2010. Pp. 61-75 </w:t>
      </w:r>
    </w:p>
    <w:p w14:paraId="79D668DC" w14:textId="63F0DCD7" w:rsidR="00DC5F85" w:rsidRPr="007937A2" w:rsidRDefault="00DC5F85" w:rsidP="007937A2">
      <w:pPr>
        <w:pStyle w:val="FootnoteText"/>
        <w:numPr>
          <w:ilvl w:val="0"/>
          <w:numId w:val="7"/>
        </w:numPr>
        <w:spacing w:after="0" w:line="240" w:lineRule="auto"/>
        <w:rPr>
          <w:sz w:val="26"/>
          <w:szCs w:val="26"/>
        </w:rPr>
      </w:pPr>
      <w:r w:rsidRPr="007937A2">
        <w:rPr>
          <w:sz w:val="26"/>
          <w:szCs w:val="26"/>
        </w:rPr>
        <w:t>Flannery M.J., Kwan S.H., and Nimalendran M. (2004)</w:t>
      </w:r>
      <w:r w:rsidR="00974113">
        <w:rPr>
          <w:sz w:val="26"/>
          <w:szCs w:val="26"/>
        </w:rPr>
        <w:t xml:space="preserve">:  </w:t>
      </w:r>
      <w:r w:rsidRPr="007937A2">
        <w:rPr>
          <w:sz w:val="26"/>
          <w:szCs w:val="26"/>
        </w:rPr>
        <w:t xml:space="preserve">Market Evidence on the Opaqueness of Banking Firms’ Assets, </w:t>
      </w:r>
      <w:r w:rsidRPr="00607971">
        <w:rPr>
          <w:i/>
          <w:sz w:val="26"/>
          <w:szCs w:val="26"/>
        </w:rPr>
        <w:t>Journal of Financial Economics</w:t>
      </w:r>
      <w:r w:rsidR="00F662A8">
        <w:rPr>
          <w:sz w:val="26"/>
          <w:szCs w:val="26"/>
        </w:rPr>
        <w:t>, 71 (3</w:t>
      </w:r>
      <w:proofErr w:type="gramStart"/>
      <w:r w:rsidR="00F662A8">
        <w:rPr>
          <w:sz w:val="26"/>
          <w:szCs w:val="26"/>
        </w:rPr>
        <w:t>) ,</w:t>
      </w:r>
      <w:proofErr w:type="gramEnd"/>
      <w:r w:rsidR="00F662A8">
        <w:rPr>
          <w:sz w:val="26"/>
          <w:szCs w:val="26"/>
        </w:rPr>
        <w:t xml:space="preserve"> 419–</w:t>
      </w:r>
      <w:r w:rsidRPr="007937A2">
        <w:rPr>
          <w:sz w:val="26"/>
          <w:szCs w:val="26"/>
        </w:rPr>
        <w:t>460.</w:t>
      </w:r>
    </w:p>
    <w:p w14:paraId="3181B0D7" w14:textId="1BF7C38F" w:rsidR="00DC5F85" w:rsidRPr="007937A2" w:rsidRDefault="00DC5F85" w:rsidP="007937A2">
      <w:pPr>
        <w:pStyle w:val="FootnoteText"/>
        <w:numPr>
          <w:ilvl w:val="0"/>
          <w:numId w:val="7"/>
        </w:numPr>
        <w:spacing w:after="0" w:line="240" w:lineRule="auto"/>
        <w:rPr>
          <w:sz w:val="26"/>
          <w:szCs w:val="26"/>
        </w:rPr>
      </w:pPr>
      <w:r w:rsidRPr="007937A2">
        <w:rPr>
          <w:sz w:val="26"/>
          <w:szCs w:val="26"/>
        </w:rPr>
        <w:t>Frolov M. (2006)</w:t>
      </w:r>
      <w:r w:rsidR="00974113">
        <w:rPr>
          <w:sz w:val="26"/>
          <w:szCs w:val="26"/>
        </w:rPr>
        <w:t xml:space="preserve">:  </w:t>
      </w:r>
      <w:r w:rsidRPr="007937A2">
        <w:rPr>
          <w:sz w:val="26"/>
          <w:szCs w:val="26"/>
        </w:rPr>
        <w:t xml:space="preserve">Is Information Disclosure by Banks Useful for Predicting Their Failure? </w:t>
      </w:r>
      <w:r w:rsidRPr="00607971">
        <w:rPr>
          <w:i/>
          <w:sz w:val="26"/>
          <w:szCs w:val="26"/>
        </w:rPr>
        <w:t>Keio Business Review</w:t>
      </w:r>
      <w:r w:rsidR="00F662A8">
        <w:rPr>
          <w:sz w:val="26"/>
          <w:szCs w:val="26"/>
        </w:rPr>
        <w:t>, No. 43, pp 1–</w:t>
      </w:r>
      <w:r w:rsidRPr="007937A2">
        <w:rPr>
          <w:sz w:val="26"/>
          <w:szCs w:val="26"/>
        </w:rPr>
        <w:t>22.</w:t>
      </w:r>
    </w:p>
    <w:p w14:paraId="5769F7C1" w14:textId="77777777" w:rsidR="00DC5F85" w:rsidRPr="007937A2" w:rsidRDefault="00DC5F85" w:rsidP="007937A2">
      <w:pPr>
        <w:pStyle w:val="FootnoteText"/>
        <w:numPr>
          <w:ilvl w:val="0"/>
          <w:numId w:val="7"/>
        </w:numPr>
        <w:spacing w:after="0" w:line="240" w:lineRule="auto"/>
        <w:rPr>
          <w:sz w:val="26"/>
          <w:szCs w:val="26"/>
        </w:rPr>
      </w:pPr>
      <w:r w:rsidRPr="007937A2">
        <w:rPr>
          <w:sz w:val="26"/>
          <w:szCs w:val="26"/>
        </w:rPr>
        <w:t>Gulf Banks' Capital Positions Compare Well With Those Of Global Banks, Standard &amp; Poor's, June 2012.</w:t>
      </w:r>
    </w:p>
    <w:p w14:paraId="1752842D" w14:textId="67FEBBB4" w:rsidR="00FC459B" w:rsidRDefault="00FC459B" w:rsidP="007937A2">
      <w:pPr>
        <w:pStyle w:val="FootnoteText"/>
        <w:numPr>
          <w:ilvl w:val="0"/>
          <w:numId w:val="7"/>
        </w:numPr>
        <w:spacing w:after="0" w:line="240" w:lineRule="auto"/>
        <w:rPr>
          <w:sz w:val="26"/>
          <w:szCs w:val="26"/>
        </w:rPr>
      </w:pPr>
      <w:r w:rsidRPr="00FC459B">
        <w:rPr>
          <w:sz w:val="26"/>
          <w:szCs w:val="26"/>
        </w:rPr>
        <w:t>Hirtle B. (2003)</w:t>
      </w:r>
      <w:r w:rsidR="00974113">
        <w:rPr>
          <w:sz w:val="26"/>
          <w:szCs w:val="26"/>
        </w:rPr>
        <w:t xml:space="preserve">:  </w:t>
      </w:r>
      <w:r w:rsidRPr="00FC459B">
        <w:rPr>
          <w:sz w:val="26"/>
          <w:szCs w:val="26"/>
        </w:rPr>
        <w:t xml:space="preserve">What Market Risk Capital Reporting Tells Us About Bank Risk, Federal Reserve Bank of New York, </w:t>
      </w:r>
      <w:r w:rsidRPr="00607971">
        <w:rPr>
          <w:i/>
          <w:sz w:val="26"/>
          <w:szCs w:val="26"/>
        </w:rPr>
        <w:t>Economic Policy Review</w:t>
      </w:r>
      <w:r w:rsidRPr="00FC459B">
        <w:rPr>
          <w:sz w:val="26"/>
          <w:szCs w:val="26"/>
        </w:rPr>
        <w:t>, September 2003</w:t>
      </w:r>
    </w:p>
    <w:p w14:paraId="53A57CC0" w14:textId="7D49E770" w:rsidR="00DC5F85" w:rsidRPr="007937A2" w:rsidRDefault="00DC5F85" w:rsidP="007937A2">
      <w:pPr>
        <w:pStyle w:val="FootnoteText"/>
        <w:numPr>
          <w:ilvl w:val="0"/>
          <w:numId w:val="7"/>
        </w:numPr>
        <w:spacing w:after="0" w:line="240" w:lineRule="auto"/>
        <w:rPr>
          <w:sz w:val="26"/>
          <w:szCs w:val="26"/>
        </w:rPr>
      </w:pPr>
      <w:r w:rsidRPr="007937A2">
        <w:rPr>
          <w:sz w:val="26"/>
          <w:szCs w:val="26"/>
        </w:rPr>
        <w:t xml:space="preserve">Hossain M. (2008) The extent of Disclosure in Annual Reports of Banking Companies, </w:t>
      </w:r>
      <w:r w:rsidRPr="00607971">
        <w:rPr>
          <w:i/>
          <w:sz w:val="26"/>
          <w:szCs w:val="26"/>
        </w:rPr>
        <w:t>European Journal of Scientific Research</w:t>
      </w:r>
      <w:r w:rsidR="00F662A8">
        <w:rPr>
          <w:sz w:val="26"/>
          <w:szCs w:val="26"/>
        </w:rPr>
        <w:t>, Vol 23 No. 4., pp 659–</w:t>
      </w:r>
      <w:r w:rsidRPr="007937A2">
        <w:rPr>
          <w:sz w:val="26"/>
          <w:szCs w:val="26"/>
        </w:rPr>
        <w:t>680.</w:t>
      </w:r>
    </w:p>
    <w:p w14:paraId="0EAFB9C1" w14:textId="57BDF333" w:rsidR="00DC5F85" w:rsidRDefault="00DC5F85" w:rsidP="007937A2">
      <w:pPr>
        <w:pStyle w:val="FootnoteText"/>
        <w:numPr>
          <w:ilvl w:val="0"/>
          <w:numId w:val="7"/>
        </w:numPr>
        <w:spacing w:after="0" w:line="240" w:lineRule="auto"/>
        <w:rPr>
          <w:sz w:val="26"/>
          <w:szCs w:val="26"/>
        </w:rPr>
      </w:pPr>
      <w:r w:rsidRPr="007937A2">
        <w:rPr>
          <w:sz w:val="26"/>
          <w:szCs w:val="26"/>
        </w:rPr>
        <w:t>Huang Rocco</w:t>
      </w:r>
      <w:r w:rsidR="00974113">
        <w:rPr>
          <w:sz w:val="26"/>
          <w:szCs w:val="26"/>
        </w:rPr>
        <w:t xml:space="preserve">:  </w:t>
      </w:r>
      <w:r w:rsidRPr="007937A2">
        <w:rPr>
          <w:sz w:val="26"/>
          <w:szCs w:val="26"/>
        </w:rPr>
        <w:t>Bank Disclosure Index</w:t>
      </w:r>
      <w:r w:rsidR="00974113">
        <w:rPr>
          <w:sz w:val="26"/>
          <w:szCs w:val="26"/>
        </w:rPr>
        <w:t xml:space="preserve">:  </w:t>
      </w:r>
      <w:r w:rsidRPr="007937A2">
        <w:rPr>
          <w:sz w:val="26"/>
          <w:szCs w:val="26"/>
        </w:rPr>
        <w:t>Global Assessment of Bank Disclosure Practices, 2006 the World Bank, available at</w:t>
      </w:r>
      <w:r w:rsidR="00974113">
        <w:rPr>
          <w:sz w:val="26"/>
          <w:szCs w:val="26"/>
        </w:rPr>
        <w:t xml:space="preserve">:  </w:t>
      </w:r>
      <w:hyperlink r:id="rId17" w:history="1">
        <w:r w:rsidR="00607971" w:rsidRPr="00781764">
          <w:rPr>
            <w:rStyle w:val="Hyperlink"/>
            <w:sz w:val="26"/>
            <w:szCs w:val="26"/>
          </w:rPr>
          <w:t>http://www.docstoc.com/docs/94924334/Bank-Disclosure-Index</w:t>
        </w:r>
      </w:hyperlink>
    </w:p>
    <w:p w14:paraId="0675D917" w14:textId="644C40F1" w:rsidR="00607971" w:rsidRPr="007937A2" w:rsidRDefault="00607971" w:rsidP="007937A2">
      <w:pPr>
        <w:pStyle w:val="FootnoteText"/>
        <w:numPr>
          <w:ilvl w:val="0"/>
          <w:numId w:val="7"/>
        </w:numPr>
        <w:spacing w:after="0" w:line="240" w:lineRule="auto"/>
        <w:rPr>
          <w:sz w:val="26"/>
          <w:szCs w:val="26"/>
        </w:rPr>
      </w:pPr>
      <w:r>
        <w:rPr>
          <w:sz w:val="26"/>
          <w:szCs w:val="26"/>
        </w:rPr>
        <w:t xml:space="preserve">Jorion, P. (2002) “How Informative Are Value-at-Risk Disclosure?  </w:t>
      </w:r>
      <w:r w:rsidRPr="00607971">
        <w:rPr>
          <w:i/>
          <w:sz w:val="26"/>
          <w:szCs w:val="26"/>
        </w:rPr>
        <w:t>The Accounting Review</w:t>
      </w:r>
      <w:r w:rsidR="009C0987">
        <w:rPr>
          <w:sz w:val="26"/>
          <w:szCs w:val="26"/>
        </w:rPr>
        <w:t>, Vol. 77, N</w:t>
      </w:r>
      <w:r w:rsidR="00F662A8">
        <w:rPr>
          <w:sz w:val="26"/>
          <w:szCs w:val="26"/>
        </w:rPr>
        <w:t>o. 4, pp. 911–</w:t>
      </w:r>
      <w:r>
        <w:rPr>
          <w:sz w:val="26"/>
          <w:szCs w:val="26"/>
        </w:rPr>
        <w:t>931.</w:t>
      </w:r>
    </w:p>
    <w:p w14:paraId="7215EEC4" w14:textId="6BE500A2" w:rsidR="00C73FA6" w:rsidRPr="007937A2" w:rsidRDefault="00607971" w:rsidP="007937A2">
      <w:pPr>
        <w:numPr>
          <w:ilvl w:val="0"/>
          <w:numId w:val="7"/>
        </w:numPr>
        <w:spacing w:after="0" w:line="240" w:lineRule="auto"/>
        <w:rPr>
          <w:sz w:val="26"/>
          <w:szCs w:val="26"/>
        </w:rPr>
      </w:pPr>
      <w:r>
        <w:rPr>
          <w:sz w:val="26"/>
          <w:szCs w:val="26"/>
        </w:rPr>
        <w:lastRenderedPageBreak/>
        <w:t>Perignon C. and Smith D. (2008</w:t>
      </w:r>
      <w:r w:rsidR="00C73FA6" w:rsidRPr="007937A2">
        <w:rPr>
          <w:sz w:val="26"/>
          <w:szCs w:val="26"/>
        </w:rPr>
        <w:t>)</w:t>
      </w:r>
      <w:r w:rsidR="00974113">
        <w:rPr>
          <w:sz w:val="26"/>
          <w:szCs w:val="26"/>
        </w:rPr>
        <w:t xml:space="preserve">:  </w:t>
      </w:r>
      <w:r w:rsidR="00C73FA6" w:rsidRPr="007937A2">
        <w:rPr>
          <w:sz w:val="26"/>
          <w:szCs w:val="26"/>
        </w:rPr>
        <w:t xml:space="preserve"> The Level and Quality of Value-at-Risk Disclosure by Commercial Banks, </w:t>
      </w:r>
      <w:r w:rsidR="00C73FA6" w:rsidRPr="007937A2">
        <w:rPr>
          <w:i/>
          <w:sz w:val="26"/>
          <w:szCs w:val="26"/>
        </w:rPr>
        <w:t>American Finance Association Annual Meetings</w:t>
      </w:r>
      <w:r w:rsidR="00C73FA6" w:rsidRPr="007937A2">
        <w:rPr>
          <w:sz w:val="26"/>
          <w:szCs w:val="26"/>
        </w:rPr>
        <w:t>, New Orleans.</w:t>
      </w:r>
    </w:p>
    <w:p w14:paraId="4E75C3DF" w14:textId="475E1C5A" w:rsidR="005318DB" w:rsidRPr="007937A2" w:rsidRDefault="005318DB" w:rsidP="007937A2">
      <w:pPr>
        <w:numPr>
          <w:ilvl w:val="0"/>
          <w:numId w:val="7"/>
        </w:numPr>
        <w:spacing w:after="0" w:line="240" w:lineRule="auto"/>
        <w:rPr>
          <w:sz w:val="26"/>
          <w:szCs w:val="26"/>
        </w:rPr>
      </w:pPr>
      <w:r w:rsidRPr="007937A2">
        <w:rPr>
          <w:sz w:val="26"/>
          <w:szCs w:val="26"/>
        </w:rPr>
        <w:t>Perignon C, Deng Z. Y., and Wang Z. J. (2008)</w:t>
      </w:r>
      <w:r w:rsidR="00974113">
        <w:rPr>
          <w:sz w:val="26"/>
          <w:szCs w:val="26"/>
        </w:rPr>
        <w:t xml:space="preserve">:  </w:t>
      </w:r>
      <w:r w:rsidRPr="007937A2">
        <w:rPr>
          <w:sz w:val="26"/>
          <w:szCs w:val="26"/>
        </w:rPr>
        <w:t xml:space="preserve"> Do banks overstate their Value-at-Risk?  </w:t>
      </w:r>
      <w:r w:rsidRPr="007937A2">
        <w:rPr>
          <w:i/>
          <w:sz w:val="26"/>
          <w:szCs w:val="26"/>
        </w:rPr>
        <w:t>Journal of Banking &amp; Finance</w:t>
      </w:r>
      <w:r w:rsidRPr="007937A2">
        <w:rPr>
          <w:sz w:val="26"/>
          <w:szCs w:val="26"/>
        </w:rPr>
        <w:t xml:space="preserve"> 32 (2008) 783–794. </w:t>
      </w:r>
    </w:p>
    <w:p w14:paraId="16E826CB" w14:textId="46B59488" w:rsidR="00CE4DE6" w:rsidRPr="007937A2" w:rsidRDefault="00CE4DE6" w:rsidP="007937A2">
      <w:pPr>
        <w:numPr>
          <w:ilvl w:val="0"/>
          <w:numId w:val="7"/>
        </w:numPr>
        <w:spacing w:after="0" w:line="240" w:lineRule="auto"/>
        <w:rPr>
          <w:sz w:val="26"/>
          <w:szCs w:val="26"/>
        </w:rPr>
      </w:pPr>
      <w:r w:rsidRPr="007937A2">
        <w:rPr>
          <w:sz w:val="26"/>
          <w:szCs w:val="26"/>
        </w:rPr>
        <w:t>Wellink N. (2010)</w:t>
      </w:r>
      <w:r w:rsidR="00974113">
        <w:rPr>
          <w:sz w:val="26"/>
          <w:szCs w:val="26"/>
        </w:rPr>
        <w:t xml:space="preserve">:  </w:t>
      </w:r>
      <w:r w:rsidRPr="007937A2">
        <w:rPr>
          <w:sz w:val="26"/>
          <w:szCs w:val="26"/>
        </w:rPr>
        <w:t>A new Regulatory Landscape, Remarks at the 16</w:t>
      </w:r>
      <w:r w:rsidRPr="007937A2">
        <w:rPr>
          <w:sz w:val="26"/>
          <w:szCs w:val="26"/>
          <w:vertAlign w:val="superscript"/>
        </w:rPr>
        <w:t>th</w:t>
      </w:r>
      <w:r w:rsidRPr="007937A2">
        <w:rPr>
          <w:sz w:val="26"/>
          <w:szCs w:val="26"/>
        </w:rPr>
        <w:t xml:space="preserve"> International Conference of Banking Supervisors, Singapore 22, 2010</w:t>
      </w:r>
      <w:r w:rsidR="00F662A8">
        <w:rPr>
          <w:sz w:val="26"/>
          <w:szCs w:val="26"/>
        </w:rPr>
        <w:t>.</w:t>
      </w:r>
    </w:p>
    <w:p w14:paraId="6324F8FC" w14:textId="658EBC33" w:rsidR="00DC5F85" w:rsidRPr="007937A2" w:rsidRDefault="00DC5F85" w:rsidP="007937A2">
      <w:pPr>
        <w:numPr>
          <w:ilvl w:val="0"/>
          <w:numId w:val="7"/>
        </w:numPr>
        <w:spacing w:after="0" w:line="240" w:lineRule="auto"/>
        <w:rPr>
          <w:sz w:val="26"/>
          <w:szCs w:val="26"/>
        </w:rPr>
      </w:pPr>
      <w:proofErr w:type="spellStart"/>
      <w:r w:rsidRPr="007937A2">
        <w:rPr>
          <w:sz w:val="26"/>
          <w:szCs w:val="26"/>
        </w:rPr>
        <w:t>Yahya</w:t>
      </w:r>
      <w:proofErr w:type="spellEnd"/>
      <w:r w:rsidRPr="007937A2">
        <w:rPr>
          <w:sz w:val="26"/>
          <w:szCs w:val="26"/>
        </w:rPr>
        <w:t xml:space="preserve"> Al </w:t>
      </w:r>
      <w:proofErr w:type="spellStart"/>
      <w:r w:rsidRPr="007937A2">
        <w:rPr>
          <w:sz w:val="26"/>
          <w:szCs w:val="26"/>
        </w:rPr>
        <w:t>Yahya</w:t>
      </w:r>
      <w:proofErr w:type="spellEnd"/>
      <w:r w:rsidR="00974113">
        <w:rPr>
          <w:sz w:val="26"/>
          <w:szCs w:val="26"/>
        </w:rPr>
        <w:t xml:space="preserve">:  </w:t>
      </w:r>
      <w:r w:rsidRPr="007937A2">
        <w:rPr>
          <w:sz w:val="26"/>
          <w:szCs w:val="26"/>
        </w:rPr>
        <w:t>Gulf International Bank, Presentation delivered a</w:t>
      </w:r>
      <w:r w:rsidR="00F662A8">
        <w:rPr>
          <w:sz w:val="26"/>
          <w:szCs w:val="26"/>
        </w:rPr>
        <w:t>t the Arab Economic Forum, 20–</w:t>
      </w:r>
      <w:r w:rsidRPr="007937A2">
        <w:rPr>
          <w:sz w:val="26"/>
          <w:szCs w:val="26"/>
        </w:rPr>
        <w:t xml:space="preserve">21 May 2010, Beirut Lebanon.  </w:t>
      </w:r>
    </w:p>
    <w:p w14:paraId="1C70C114" w14:textId="77777777" w:rsidR="00CE4DE6" w:rsidRDefault="007937A2" w:rsidP="00CE4DE6">
      <w:r>
        <w:br w:type="page"/>
      </w:r>
    </w:p>
    <w:p w14:paraId="5D17231E" w14:textId="77777777" w:rsidR="004218A7" w:rsidRDefault="004218A7" w:rsidP="00072116">
      <w:pPr>
        <w:widowControl w:val="0"/>
        <w:autoSpaceDE w:val="0"/>
        <w:autoSpaceDN w:val="0"/>
        <w:adjustRightInd w:val="0"/>
        <w:jc w:val="center"/>
        <w:rPr>
          <w:rFonts w:ascii="Tahoma" w:hAnsi="Tahoma" w:cs="Tahoma"/>
          <w:b/>
          <w:sz w:val="28"/>
          <w:szCs w:val="26"/>
        </w:rPr>
      </w:pPr>
    </w:p>
    <w:p w14:paraId="50A967BD" w14:textId="77777777" w:rsidR="004218A7" w:rsidRDefault="004218A7" w:rsidP="00072116">
      <w:pPr>
        <w:widowControl w:val="0"/>
        <w:autoSpaceDE w:val="0"/>
        <w:autoSpaceDN w:val="0"/>
        <w:adjustRightInd w:val="0"/>
        <w:jc w:val="center"/>
        <w:rPr>
          <w:rFonts w:ascii="Tahoma" w:hAnsi="Tahoma" w:cs="Tahoma"/>
          <w:b/>
          <w:sz w:val="28"/>
          <w:szCs w:val="26"/>
        </w:rPr>
      </w:pPr>
    </w:p>
    <w:p w14:paraId="0DFDA909" w14:textId="574A7CE9" w:rsidR="004218A7" w:rsidRPr="00616063" w:rsidRDefault="004218A7" w:rsidP="00072116">
      <w:pPr>
        <w:widowControl w:val="0"/>
        <w:autoSpaceDE w:val="0"/>
        <w:autoSpaceDN w:val="0"/>
        <w:adjustRightInd w:val="0"/>
        <w:jc w:val="center"/>
        <w:rPr>
          <w:rFonts w:ascii="Tahoma" w:hAnsi="Tahoma" w:cs="Tahoma"/>
          <w:b/>
          <w:sz w:val="20"/>
          <w:szCs w:val="26"/>
        </w:rPr>
      </w:pPr>
      <w:r w:rsidRPr="00616063">
        <w:rPr>
          <w:rFonts w:ascii="Tahoma" w:hAnsi="Tahoma" w:cs="Tahoma"/>
          <w:b/>
          <w:sz w:val="20"/>
          <w:szCs w:val="26"/>
        </w:rPr>
        <w:t>Table 1</w:t>
      </w:r>
    </w:p>
    <w:p w14:paraId="0492700B" w14:textId="79F095E0" w:rsidR="00072116" w:rsidRPr="00616063" w:rsidRDefault="00072116" w:rsidP="00072116">
      <w:pPr>
        <w:widowControl w:val="0"/>
        <w:autoSpaceDE w:val="0"/>
        <w:autoSpaceDN w:val="0"/>
        <w:adjustRightInd w:val="0"/>
        <w:jc w:val="center"/>
        <w:rPr>
          <w:rFonts w:ascii="Tahoma" w:hAnsi="Tahoma" w:cs="Tahoma"/>
          <w:b/>
          <w:sz w:val="24"/>
          <w:szCs w:val="26"/>
        </w:rPr>
      </w:pPr>
      <w:r w:rsidRPr="00616063">
        <w:rPr>
          <w:rFonts w:ascii="Tahoma" w:hAnsi="Tahoma" w:cs="Tahoma"/>
          <w:b/>
          <w:sz w:val="24"/>
          <w:szCs w:val="26"/>
        </w:rPr>
        <w:t xml:space="preserve">Comparison of Basel </w:t>
      </w:r>
      <w:r w:rsidR="00A55B09" w:rsidRPr="00616063">
        <w:rPr>
          <w:rFonts w:ascii="Tahoma" w:hAnsi="Tahoma" w:cs="Tahoma"/>
          <w:b/>
          <w:sz w:val="24"/>
          <w:szCs w:val="26"/>
        </w:rPr>
        <w:t>I</w:t>
      </w:r>
      <w:r w:rsidR="004218A7" w:rsidRPr="00616063">
        <w:rPr>
          <w:rFonts w:ascii="Tahoma" w:hAnsi="Tahoma" w:cs="Tahoma"/>
          <w:b/>
          <w:sz w:val="24"/>
          <w:szCs w:val="26"/>
        </w:rPr>
        <w:t xml:space="preserve">, </w:t>
      </w:r>
      <w:r w:rsidRPr="00616063">
        <w:rPr>
          <w:rFonts w:ascii="Tahoma" w:hAnsi="Tahoma" w:cs="Tahoma"/>
          <w:b/>
          <w:sz w:val="24"/>
          <w:szCs w:val="26"/>
        </w:rPr>
        <w:t xml:space="preserve">II and III </w:t>
      </w:r>
      <w:r w:rsidR="00A55B09" w:rsidRPr="00616063">
        <w:rPr>
          <w:rFonts w:ascii="Tahoma" w:hAnsi="Tahoma" w:cs="Tahoma"/>
          <w:b/>
          <w:sz w:val="24"/>
          <w:szCs w:val="26"/>
        </w:rPr>
        <w:t>C</w:t>
      </w:r>
      <w:r w:rsidRPr="00616063">
        <w:rPr>
          <w:rFonts w:ascii="Tahoma" w:hAnsi="Tahoma" w:cs="Tahoma"/>
          <w:b/>
          <w:sz w:val="24"/>
          <w:szCs w:val="26"/>
        </w:rPr>
        <w:t xml:space="preserve">ore </w:t>
      </w:r>
      <w:r w:rsidR="00A55B09" w:rsidRPr="00616063">
        <w:rPr>
          <w:rFonts w:ascii="Tahoma" w:hAnsi="Tahoma" w:cs="Tahoma"/>
          <w:b/>
          <w:sz w:val="24"/>
          <w:szCs w:val="26"/>
        </w:rPr>
        <w:t>R</w:t>
      </w:r>
      <w:r w:rsidRPr="00616063">
        <w:rPr>
          <w:rFonts w:ascii="Tahoma" w:hAnsi="Tahoma" w:cs="Tahoma"/>
          <w:b/>
          <w:sz w:val="24"/>
          <w:szCs w:val="26"/>
        </w:rPr>
        <w:t>equirements</w:t>
      </w:r>
    </w:p>
    <w:tbl>
      <w:tblPr>
        <w:tblStyle w:val="MediumShading2-Accent6"/>
        <w:tblW w:w="4661" w:type="pct"/>
        <w:tblLook w:val="04A0" w:firstRow="1" w:lastRow="0" w:firstColumn="1" w:lastColumn="0" w:noHBand="0" w:noVBand="1"/>
      </w:tblPr>
      <w:tblGrid>
        <w:gridCol w:w="4229"/>
        <w:gridCol w:w="1391"/>
        <w:gridCol w:w="1190"/>
        <w:gridCol w:w="2117"/>
      </w:tblGrid>
      <w:tr w:rsidR="00072116" w:rsidRPr="004110D9" w14:paraId="1B8A994F" w14:textId="77777777" w:rsidTr="00616063">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4228" w:type="dxa"/>
            <w:vAlign w:val="center"/>
            <w:hideMark/>
          </w:tcPr>
          <w:p w14:paraId="54ED305A" w14:textId="77777777" w:rsidR="00072116" w:rsidRPr="00616063" w:rsidRDefault="00072116" w:rsidP="00072116">
            <w:pPr>
              <w:jc w:val="center"/>
              <w:rPr>
                <w:rFonts w:ascii="Arial" w:hAnsi="Arial" w:cs="Arial"/>
                <w:sz w:val="24"/>
                <w:szCs w:val="20"/>
              </w:rPr>
            </w:pPr>
            <w:r w:rsidRPr="00616063">
              <w:rPr>
                <w:sz w:val="24"/>
              </w:rPr>
              <w:t>Requirements</w:t>
            </w:r>
          </w:p>
        </w:tc>
        <w:tc>
          <w:tcPr>
            <w:tcW w:w="1391" w:type="dxa"/>
            <w:vAlign w:val="center"/>
          </w:tcPr>
          <w:p w14:paraId="2A64CAE2" w14:textId="1DB2AC83" w:rsidR="00072116" w:rsidRPr="00616063" w:rsidRDefault="00072116" w:rsidP="00A55B09">
            <w:pPr>
              <w:jc w:val="center"/>
              <w:cnfStyle w:val="100000000000" w:firstRow="1" w:lastRow="0" w:firstColumn="0" w:lastColumn="0" w:oddVBand="0" w:evenVBand="0" w:oddHBand="0" w:evenHBand="0" w:firstRowFirstColumn="0" w:firstRowLastColumn="0" w:lastRowFirstColumn="0" w:lastRowLastColumn="0"/>
              <w:rPr>
                <w:bCs w:val="0"/>
                <w:sz w:val="24"/>
              </w:rPr>
            </w:pPr>
            <w:r w:rsidRPr="00616063">
              <w:rPr>
                <w:sz w:val="24"/>
              </w:rPr>
              <w:t>Basel I</w:t>
            </w:r>
          </w:p>
        </w:tc>
        <w:tc>
          <w:tcPr>
            <w:tcW w:w="1190" w:type="dxa"/>
            <w:vAlign w:val="center"/>
            <w:hideMark/>
          </w:tcPr>
          <w:p w14:paraId="77C80B67" w14:textId="6A90D40F" w:rsidR="00072116" w:rsidRPr="00616063" w:rsidRDefault="00072116" w:rsidP="00A55B0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0"/>
              </w:rPr>
            </w:pPr>
            <w:r w:rsidRPr="00616063">
              <w:rPr>
                <w:sz w:val="24"/>
              </w:rPr>
              <w:t>Basel II</w:t>
            </w:r>
          </w:p>
        </w:tc>
        <w:tc>
          <w:tcPr>
            <w:tcW w:w="2117" w:type="dxa"/>
            <w:vAlign w:val="center"/>
            <w:hideMark/>
          </w:tcPr>
          <w:p w14:paraId="506A5D50" w14:textId="512445AD" w:rsidR="00072116" w:rsidRPr="00616063" w:rsidRDefault="00072116" w:rsidP="00A55B0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0"/>
              </w:rPr>
            </w:pPr>
            <w:r w:rsidRPr="00616063">
              <w:rPr>
                <w:sz w:val="24"/>
              </w:rPr>
              <w:t>Basel III</w:t>
            </w:r>
          </w:p>
        </w:tc>
      </w:tr>
      <w:tr w:rsidR="00072116" w:rsidRPr="004110D9" w14:paraId="1CFAA219" w14:textId="77777777" w:rsidTr="00616063">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4228" w:type="dxa"/>
            <w:vAlign w:val="center"/>
            <w:hideMark/>
          </w:tcPr>
          <w:p w14:paraId="2F283DF9" w14:textId="680B10DE" w:rsidR="00072116" w:rsidRPr="00616063" w:rsidRDefault="00072116" w:rsidP="00616063">
            <w:pPr>
              <w:rPr>
                <w:rFonts w:ascii="Arial" w:hAnsi="Arial" w:cs="Arial"/>
                <w:b w:val="0"/>
                <w:szCs w:val="20"/>
              </w:rPr>
            </w:pPr>
            <w:r w:rsidRPr="004110D9">
              <w:t xml:space="preserve">Minimum Ratio of Total Capital To </w:t>
            </w:r>
            <w:r w:rsidR="004110D9" w:rsidRPr="00616063">
              <w:t>Risk Weighted Assets (</w:t>
            </w:r>
            <w:r w:rsidRPr="004110D9">
              <w:t>RWAs</w:t>
            </w:r>
            <w:r w:rsidR="004110D9" w:rsidRPr="00616063">
              <w:t>)</w:t>
            </w:r>
          </w:p>
        </w:tc>
        <w:tc>
          <w:tcPr>
            <w:tcW w:w="1391" w:type="dxa"/>
            <w:vAlign w:val="center"/>
          </w:tcPr>
          <w:p w14:paraId="35DE3DDE" w14:textId="77777777" w:rsidR="00072116" w:rsidRPr="00616063" w:rsidRDefault="00072116" w:rsidP="00072116">
            <w:pPr>
              <w:jc w:val="center"/>
              <w:cnfStyle w:val="000000100000" w:firstRow="0" w:lastRow="0" w:firstColumn="0" w:lastColumn="0" w:oddVBand="0" w:evenVBand="0" w:oddHBand="1" w:evenHBand="0" w:firstRowFirstColumn="0" w:firstRowLastColumn="0" w:lastRowFirstColumn="0" w:lastRowLastColumn="0"/>
              <w:rPr>
                <w:bCs/>
              </w:rPr>
            </w:pPr>
            <w:r w:rsidRPr="00616063">
              <w:rPr>
                <w:bCs/>
              </w:rPr>
              <w:t>8%</w:t>
            </w:r>
          </w:p>
        </w:tc>
        <w:tc>
          <w:tcPr>
            <w:tcW w:w="1190" w:type="dxa"/>
            <w:vAlign w:val="center"/>
            <w:hideMark/>
          </w:tcPr>
          <w:p w14:paraId="29F84145" w14:textId="77777777" w:rsidR="00072116" w:rsidRPr="00616063" w:rsidRDefault="00072116" w:rsidP="00072116">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16063">
              <w:rPr>
                <w:bCs/>
              </w:rPr>
              <w:t>8%</w:t>
            </w:r>
          </w:p>
        </w:tc>
        <w:tc>
          <w:tcPr>
            <w:tcW w:w="2117" w:type="dxa"/>
            <w:vAlign w:val="center"/>
            <w:hideMark/>
          </w:tcPr>
          <w:p w14:paraId="33ECC2D1" w14:textId="77777777" w:rsidR="00072116" w:rsidRPr="00616063" w:rsidRDefault="00072116" w:rsidP="00072116">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16063">
              <w:rPr>
                <w:bCs/>
              </w:rPr>
              <w:t>10.50%</w:t>
            </w:r>
          </w:p>
        </w:tc>
      </w:tr>
      <w:tr w:rsidR="00072116" w:rsidRPr="004110D9" w14:paraId="56C88D0B" w14:textId="77777777" w:rsidTr="00616063">
        <w:trPr>
          <w:trHeight w:val="816"/>
        </w:trPr>
        <w:tc>
          <w:tcPr>
            <w:cnfStyle w:val="001000000000" w:firstRow="0" w:lastRow="0" w:firstColumn="1" w:lastColumn="0" w:oddVBand="0" w:evenVBand="0" w:oddHBand="0" w:evenHBand="0" w:firstRowFirstColumn="0" w:firstRowLastColumn="0" w:lastRowFirstColumn="0" w:lastRowLastColumn="0"/>
            <w:tcW w:w="4228" w:type="dxa"/>
            <w:vAlign w:val="center"/>
            <w:hideMark/>
          </w:tcPr>
          <w:p w14:paraId="56294836" w14:textId="77777777" w:rsidR="00072116" w:rsidRPr="00616063" w:rsidRDefault="00072116" w:rsidP="00616063">
            <w:pPr>
              <w:rPr>
                <w:rFonts w:ascii="Arial" w:hAnsi="Arial" w:cs="Arial"/>
                <w:b w:val="0"/>
                <w:szCs w:val="20"/>
              </w:rPr>
            </w:pPr>
            <w:r w:rsidRPr="004110D9">
              <w:t>Minimum Ratio of Common Equity to RWAs</w:t>
            </w:r>
          </w:p>
        </w:tc>
        <w:tc>
          <w:tcPr>
            <w:tcW w:w="1391" w:type="dxa"/>
            <w:vAlign w:val="center"/>
          </w:tcPr>
          <w:p w14:paraId="08C42320" w14:textId="77777777" w:rsidR="00072116" w:rsidRPr="00616063" w:rsidRDefault="00072116" w:rsidP="00072116">
            <w:pPr>
              <w:jc w:val="center"/>
              <w:cnfStyle w:val="000000000000" w:firstRow="0" w:lastRow="0" w:firstColumn="0" w:lastColumn="0" w:oddVBand="0" w:evenVBand="0" w:oddHBand="0" w:evenHBand="0" w:firstRowFirstColumn="0" w:firstRowLastColumn="0" w:lastRowFirstColumn="0" w:lastRowLastColumn="0"/>
              <w:rPr>
                <w:bCs/>
                <w:i/>
                <w:iCs/>
              </w:rPr>
            </w:pPr>
            <w:r w:rsidRPr="00616063">
              <w:rPr>
                <w:bCs/>
                <w:i/>
                <w:iCs/>
              </w:rPr>
              <w:t>None</w:t>
            </w:r>
          </w:p>
        </w:tc>
        <w:tc>
          <w:tcPr>
            <w:tcW w:w="1190" w:type="dxa"/>
            <w:vAlign w:val="center"/>
            <w:hideMark/>
          </w:tcPr>
          <w:p w14:paraId="67843E7E" w14:textId="77777777" w:rsidR="00072116" w:rsidRPr="00616063" w:rsidRDefault="00072116" w:rsidP="00072116">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16063">
              <w:rPr>
                <w:bCs/>
              </w:rPr>
              <w:t>2%</w:t>
            </w:r>
          </w:p>
        </w:tc>
        <w:tc>
          <w:tcPr>
            <w:tcW w:w="2117" w:type="dxa"/>
            <w:vAlign w:val="center"/>
            <w:hideMark/>
          </w:tcPr>
          <w:p w14:paraId="575E46A2" w14:textId="77777777" w:rsidR="00072116" w:rsidRPr="00616063" w:rsidRDefault="00072116" w:rsidP="00072116">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16063">
              <w:rPr>
                <w:bCs/>
              </w:rPr>
              <w:t>4.50% to 7.00%</w:t>
            </w:r>
          </w:p>
        </w:tc>
      </w:tr>
      <w:tr w:rsidR="00072116" w:rsidRPr="004110D9" w14:paraId="325C0AAB" w14:textId="77777777" w:rsidTr="0061606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228" w:type="dxa"/>
            <w:vAlign w:val="center"/>
            <w:hideMark/>
          </w:tcPr>
          <w:p w14:paraId="66D7B0D1" w14:textId="77777777" w:rsidR="00072116" w:rsidRPr="00616063" w:rsidRDefault="00072116" w:rsidP="00616063">
            <w:pPr>
              <w:rPr>
                <w:rFonts w:ascii="Arial" w:hAnsi="Arial" w:cs="Arial"/>
                <w:b w:val="0"/>
                <w:szCs w:val="20"/>
              </w:rPr>
            </w:pPr>
            <w:r w:rsidRPr="004110D9">
              <w:t>Tier I capital to RWAs</w:t>
            </w:r>
          </w:p>
        </w:tc>
        <w:tc>
          <w:tcPr>
            <w:tcW w:w="1391" w:type="dxa"/>
            <w:vAlign w:val="center"/>
          </w:tcPr>
          <w:p w14:paraId="7BA72940" w14:textId="77777777" w:rsidR="00072116" w:rsidRPr="00616063" w:rsidRDefault="00072116" w:rsidP="00072116">
            <w:pPr>
              <w:jc w:val="center"/>
              <w:cnfStyle w:val="000000100000" w:firstRow="0" w:lastRow="0" w:firstColumn="0" w:lastColumn="0" w:oddVBand="0" w:evenVBand="0" w:oddHBand="1" w:evenHBand="0" w:firstRowFirstColumn="0" w:firstRowLastColumn="0" w:lastRowFirstColumn="0" w:lastRowLastColumn="0"/>
              <w:rPr>
                <w:bCs/>
                <w:i/>
                <w:iCs/>
              </w:rPr>
            </w:pPr>
            <w:r w:rsidRPr="00616063">
              <w:rPr>
                <w:bCs/>
                <w:i/>
                <w:iCs/>
              </w:rPr>
              <w:t>None</w:t>
            </w:r>
          </w:p>
        </w:tc>
        <w:tc>
          <w:tcPr>
            <w:tcW w:w="1190" w:type="dxa"/>
            <w:vAlign w:val="center"/>
            <w:hideMark/>
          </w:tcPr>
          <w:p w14:paraId="56E66898" w14:textId="77777777" w:rsidR="00072116" w:rsidRPr="00616063" w:rsidRDefault="00072116" w:rsidP="00072116">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16063">
              <w:rPr>
                <w:bCs/>
              </w:rPr>
              <w:t>4%</w:t>
            </w:r>
          </w:p>
        </w:tc>
        <w:tc>
          <w:tcPr>
            <w:tcW w:w="2117" w:type="dxa"/>
            <w:vAlign w:val="center"/>
            <w:hideMark/>
          </w:tcPr>
          <w:p w14:paraId="6047823B" w14:textId="77777777" w:rsidR="00072116" w:rsidRPr="00616063" w:rsidRDefault="00072116" w:rsidP="00072116">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16063">
              <w:rPr>
                <w:bCs/>
              </w:rPr>
              <w:t>6.00%</w:t>
            </w:r>
          </w:p>
        </w:tc>
      </w:tr>
      <w:tr w:rsidR="00072116" w:rsidRPr="004110D9" w14:paraId="2C2FAE9C" w14:textId="77777777" w:rsidTr="00616063">
        <w:trPr>
          <w:trHeight w:val="519"/>
        </w:trPr>
        <w:tc>
          <w:tcPr>
            <w:cnfStyle w:val="001000000000" w:firstRow="0" w:lastRow="0" w:firstColumn="1" w:lastColumn="0" w:oddVBand="0" w:evenVBand="0" w:oddHBand="0" w:evenHBand="0" w:firstRowFirstColumn="0" w:firstRowLastColumn="0" w:lastRowFirstColumn="0" w:lastRowLastColumn="0"/>
            <w:tcW w:w="4228" w:type="dxa"/>
            <w:vAlign w:val="center"/>
            <w:hideMark/>
          </w:tcPr>
          <w:p w14:paraId="101217EB" w14:textId="77777777" w:rsidR="00072116" w:rsidRPr="00616063" w:rsidRDefault="00072116" w:rsidP="00616063">
            <w:pPr>
              <w:rPr>
                <w:rFonts w:ascii="Arial" w:hAnsi="Arial" w:cs="Arial"/>
                <w:b w:val="0"/>
                <w:szCs w:val="20"/>
              </w:rPr>
            </w:pPr>
            <w:r w:rsidRPr="004110D9">
              <w:t>Core Tier I capital to RWAs</w:t>
            </w:r>
          </w:p>
        </w:tc>
        <w:tc>
          <w:tcPr>
            <w:tcW w:w="1391" w:type="dxa"/>
            <w:vAlign w:val="center"/>
          </w:tcPr>
          <w:p w14:paraId="212C4506" w14:textId="77777777" w:rsidR="00072116" w:rsidRPr="00616063" w:rsidRDefault="00072116" w:rsidP="00072116">
            <w:pPr>
              <w:jc w:val="center"/>
              <w:cnfStyle w:val="000000000000" w:firstRow="0" w:lastRow="0" w:firstColumn="0" w:lastColumn="0" w:oddVBand="0" w:evenVBand="0" w:oddHBand="0" w:evenHBand="0" w:firstRowFirstColumn="0" w:firstRowLastColumn="0" w:lastRowFirstColumn="0" w:lastRowLastColumn="0"/>
              <w:rPr>
                <w:bCs/>
                <w:i/>
                <w:iCs/>
              </w:rPr>
            </w:pPr>
            <w:r w:rsidRPr="00616063">
              <w:rPr>
                <w:bCs/>
                <w:i/>
                <w:iCs/>
              </w:rPr>
              <w:t>None</w:t>
            </w:r>
          </w:p>
        </w:tc>
        <w:tc>
          <w:tcPr>
            <w:tcW w:w="1190" w:type="dxa"/>
            <w:vAlign w:val="center"/>
            <w:hideMark/>
          </w:tcPr>
          <w:p w14:paraId="3A60C8ED" w14:textId="77777777" w:rsidR="00072116" w:rsidRPr="00616063" w:rsidRDefault="00072116" w:rsidP="00072116">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16063">
              <w:rPr>
                <w:bCs/>
              </w:rPr>
              <w:t>2%</w:t>
            </w:r>
          </w:p>
        </w:tc>
        <w:tc>
          <w:tcPr>
            <w:tcW w:w="2117" w:type="dxa"/>
            <w:vAlign w:val="center"/>
            <w:hideMark/>
          </w:tcPr>
          <w:p w14:paraId="2E090C75" w14:textId="77777777" w:rsidR="00072116" w:rsidRPr="00616063" w:rsidRDefault="00072116" w:rsidP="00072116">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16063">
              <w:rPr>
                <w:bCs/>
              </w:rPr>
              <w:t>5.00%</w:t>
            </w:r>
          </w:p>
        </w:tc>
      </w:tr>
      <w:tr w:rsidR="00072116" w:rsidRPr="004110D9" w14:paraId="2944EA1F" w14:textId="77777777" w:rsidTr="00616063">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4228" w:type="dxa"/>
            <w:vAlign w:val="center"/>
            <w:hideMark/>
          </w:tcPr>
          <w:p w14:paraId="3C4A62CD" w14:textId="77777777" w:rsidR="00072116" w:rsidRPr="00616063" w:rsidRDefault="00072116" w:rsidP="00616063">
            <w:pPr>
              <w:rPr>
                <w:rFonts w:ascii="Arial" w:hAnsi="Arial" w:cs="Arial"/>
                <w:b w:val="0"/>
                <w:szCs w:val="20"/>
              </w:rPr>
            </w:pPr>
            <w:r w:rsidRPr="004110D9">
              <w:t>Capital Conservation Buffers to RWAs</w:t>
            </w:r>
          </w:p>
        </w:tc>
        <w:tc>
          <w:tcPr>
            <w:tcW w:w="1391" w:type="dxa"/>
            <w:vAlign w:val="center"/>
          </w:tcPr>
          <w:p w14:paraId="0CBD1AEF" w14:textId="77777777" w:rsidR="00072116" w:rsidRPr="00616063" w:rsidRDefault="00072116" w:rsidP="00072116">
            <w:pPr>
              <w:jc w:val="center"/>
              <w:cnfStyle w:val="000000100000" w:firstRow="0" w:lastRow="0" w:firstColumn="0" w:lastColumn="0" w:oddVBand="0" w:evenVBand="0" w:oddHBand="1" w:evenHBand="0" w:firstRowFirstColumn="0" w:firstRowLastColumn="0" w:lastRowFirstColumn="0" w:lastRowLastColumn="0"/>
              <w:rPr>
                <w:bCs/>
              </w:rPr>
            </w:pPr>
            <w:r w:rsidRPr="00616063">
              <w:rPr>
                <w:bCs/>
              </w:rPr>
              <w:t>None</w:t>
            </w:r>
          </w:p>
        </w:tc>
        <w:tc>
          <w:tcPr>
            <w:tcW w:w="1190" w:type="dxa"/>
            <w:vAlign w:val="center"/>
            <w:hideMark/>
          </w:tcPr>
          <w:p w14:paraId="4DBEE8BD" w14:textId="77777777" w:rsidR="00072116" w:rsidRPr="00616063" w:rsidRDefault="00072116" w:rsidP="00072116">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16063">
              <w:rPr>
                <w:bCs/>
              </w:rPr>
              <w:t>None</w:t>
            </w:r>
          </w:p>
        </w:tc>
        <w:tc>
          <w:tcPr>
            <w:tcW w:w="2117" w:type="dxa"/>
            <w:vAlign w:val="center"/>
            <w:hideMark/>
          </w:tcPr>
          <w:p w14:paraId="2FF3710E" w14:textId="77777777" w:rsidR="00072116" w:rsidRPr="00616063" w:rsidRDefault="00072116" w:rsidP="00072116">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16063">
              <w:rPr>
                <w:bCs/>
              </w:rPr>
              <w:t>2.50%</w:t>
            </w:r>
          </w:p>
        </w:tc>
      </w:tr>
      <w:tr w:rsidR="00072116" w:rsidRPr="004110D9" w14:paraId="1206E1A5" w14:textId="77777777" w:rsidTr="00616063">
        <w:trPr>
          <w:trHeight w:val="519"/>
        </w:trPr>
        <w:tc>
          <w:tcPr>
            <w:cnfStyle w:val="001000000000" w:firstRow="0" w:lastRow="0" w:firstColumn="1" w:lastColumn="0" w:oddVBand="0" w:evenVBand="0" w:oddHBand="0" w:evenHBand="0" w:firstRowFirstColumn="0" w:firstRowLastColumn="0" w:lastRowFirstColumn="0" w:lastRowLastColumn="0"/>
            <w:tcW w:w="4228" w:type="dxa"/>
            <w:vAlign w:val="center"/>
            <w:hideMark/>
          </w:tcPr>
          <w:p w14:paraId="53D67E67" w14:textId="77777777" w:rsidR="00072116" w:rsidRPr="00616063" w:rsidRDefault="00072116" w:rsidP="00616063">
            <w:pPr>
              <w:rPr>
                <w:rFonts w:ascii="Arial" w:hAnsi="Arial" w:cs="Arial"/>
                <w:b w:val="0"/>
                <w:szCs w:val="20"/>
              </w:rPr>
            </w:pPr>
            <w:r w:rsidRPr="004110D9">
              <w:t>Leverage Ratio</w:t>
            </w:r>
          </w:p>
        </w:tc>
        <w:tc>
          <w:tcPr>
            <w:tcW w:w="1391" w:type="dxa"/>
            <w:vAlign w:val="center"/>
          </w:tcPr>
          <w:p w14:paraId="66BC18C5" w14:textId="77777777" w:rsidR="00072116" w:rsidRPr="00616063" w:rsidRDefault="00072116" w:rsidP="00072116">
            <w:pPr>
              <w:jc w:val="center"/>
              <w:cnfStyle w:val="000000000000" w:firstRow="0" w:lastRow="0" w:firstColumn="0" w:lastColumn="0" w:oddVBand="0" w:evenVBand="0" w:oddHBand="0" w:evenHBand="0" w:firstRowFirstColumn="0" w:firstRowLastColumn="0" w:lastRowFirstColumn="0" w:lastRowLastColumn="0"/>
              <w:rPr>
                <w:bCs/>
              </w:rPr>
            </w:pPr>
            <w:r w:rsidRPr="00616063">
              <w:rPr>
                <w:bCs/>
              </w:rPr>
              <w:t>None</w:t>
            </w:r>
          </w:p>
        </w:tc>
        <w:tc>
          <w:tcPr>
            <w:tcW w:w="1190" w:type="dxa"/>
            <w:vAlign w:val="center"/>
            <w:hideMark/>
          </w:tcPr>
          <w:p w14:paraId="590F3839" w14:textId="77777777" w:rsidR="00072116" w:rsidRPr="00616063" w:rsidRDefault="00072116" w:rsidP="00072116">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16063">
              <w:rPr>
                <w:bCs/>
              </w:rPr>
              <w:t>None</w:t>
            </w:r>
          </w:p>
        </w:tc>
        <w:tc>
          <w:tcPr>
            <w:tcW w:w="2117" w:type="dxa"/>
            <w:vAlign w:val="center"/>
            <w:hideMark/>
          </w:tcPr>
          <w:p w14:paraId="37ECC9CF" w14:textId="77777777" w:rsidR="00072116" w:rsidRPr="00616063" w:rsidRDefault="00072116" w:rsidP="00072116">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16063">
              <w:rPr>
                <w:bCs/>
              </w:rPr>
              <w:t>3.00%</w:t>
            </w:r>
          </w:p>
        </w:tc>
      </w:tr>
      <w:tr w:rsidR="00072116" w:rsidRPr="004110D9" w14:paraId="19380D42" w14:textId="77777777" w:rsidTr="0061606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228" w:type="dxa"/>
            <w:vAlign w:val="center"/>
            <w:hideMark/>
          </w:tcPr>
          <w:p w14:paraId="2D0B2972" w14:textId="77777777" w:rsidR="00072116" w:rsidRPr="00616063" w:rsidRDefault="00072116" w:rsidP="00616063">
            <w:pPr>
              <w:rPr>
                <w:rFonts w:ascii="Arial" w:hAnsi="Arial" w:cs="Arial"/>
                <w:b w:val="0"/>
                <w:szCs w:val="20"/>
              </w:rPr>
            </w:pPr>
            <w:r w:rsidRPr="004110D9">
              <w:t>Countercyclical Buffer</w:t>
            </w:r>
          </w:p>
        </w:tc>
        <w:tc>
          <w:tcPr>
            <w:tcW w:w="1391" w:type="dxa"/>
            <w:vAlign w:val="center"/>
          </w:tcPr>
          <w:p w14:paraId="2041BE3A" w14:textId="77777777" w:rsidR="00072116" w:rsidRPr="00616063" w:rsidRDefault="00072116" w:rsidP="00072116">
            <w:pPr>
              <w:jc w:val="center"/>
              <w:cnfStyle w:val="000000100000" w:firstRow="0" w:lastRow="0" w:firstColumn="0" w:lastColumn="0" w:oddVBand="0" w:evenVBand="0" w:oddHBand="1" w:evenHBand="0" w:firstRowFirstColumn="0" w:firstRowLastColumn="0" w:lastRowFirstColumn="0" w:lastRowLastColumn="0"/>
              <w:rPr>
                <w:bCs/>
              </w:rPr>
            </w:pPr>
            <w:r w:rsidRPr="00616063">
              <w:rPr>
                <w:bCs/>
              </w:rPr>
              <w:t>None</w:t>
            </w:r>
          </w:p>
        </w:tc>
        <w:tc>
          <w:tcPr>
            <w:tcW w:w="1190" w:type="dxa"/>
            <w:vAlign w:val="center"/>
            <w:hideMark/>
          </w:tcPr>
          <w:p w14:paraId="152B794F" w14:textId="77777777" w:rsidR="00072116" w:rsidRPr="00616063" w:rsidRDefault="00072116" w:rsidP="00072116">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16063">
              <w:rPr>
                <w:bCs/>
              </w:rPr>
              <w:t>None</w:t>
            </w:r>
          </w:p>
        </w:tc>
        <w:tc>
          <w:tcPr>
            <w:tcW w:w="2117" w:type="dxa"/>
            <w:vAlign w:val="center"/>
            <w:hideMark/>
          </w:tcPr>
          <w:p w14:paraId="3FD9950E" w14:textId="77777777" w:rsidR="00072116" w:rsidRPr="00616063" w:rsidRDefault="00072116" w:rsidP="00072116">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16063">
              <w:rPr>
                <w:bCs/>
              </w:rPr>
              <w:t>0% to 2.50%</w:t>
            </w:r>
          </w:p>
        </w:tc>
      </w:tr>
      <w:tr w:rsidR="00072116" w:rsidRPr="004110D9" w14:paraId="717130BD" w14:textId="77777777" w:rsidTr="00616063">
        <w:trPr>
          <w:trHeight w:val="816"/>
        </w:trPr>
        <w:tc>
          <w:tcPr>
            <w:cnfStyle w:val="001000000000" w:firstRow="0" w:lastRow="0" w:firstColumn="1" w:lastColumn="0" w:oddVBand="0" w:evenVBand="0" w:oddHBand="0" w:evenHBand="0" w:firstRowFirstColumn="0" w:firstRowLastColumn="0" w:lastRowFirstColumn="0" w:lastRowLastColumn="0"/>
            <w:tcW w:w="4228" w:type="dxa"/>
            <w:vAlign w:val="center"/>
            <w:hideMark/>
          </w:tcPr>
          <w:p w14:paraId="16616848" w14:textId="77777777" w:rsidR="00072116" w:rsidRPr="00616063" w:rsidRDefault="00072116" w:rsidP="00616063">
            <w:pPr>
              <w:rPr>
                <w:rFonts w:ascii="Arial" w:hAnsi="Arial" w:cs="Arial"/>
                <w:b w:val="0"/>
                <w:szCs w:val="20"/>
              </w:rPr>
            </w:pPr>
            <w:r w:rsidRPr="004110D9">
              <w:t>Minimum Liquidity Coverage Ratio</w:t>
            </w:r>
          </w:p>
        </w:tc>
        <w:tc>
          <w:tcPr>
            <w:tcW w:w="1391" w:type="dxa"/>
            <w:vAlign w:val="center"/>
          </w:tcPr>
          <w:p w14:paraId="31EA5AB0" w14:textId="77777777" w:rsidR="00072116" w:rsidRPr="00616063" w:rsidRDefault="00072116" w:rsidP="00072116">
            <w:pPr>
              <w:jc w:val="center"/>
              <w:cnfStyle w:val="000000000000" w:firstRow="0" w:lastRow="0" w:firstColumn="0" w:lastColumn="0" w:oddVBand="0" w:evenVBand="0" w:oddHBand="0" w:evenHBand="0" w:firstRowFirstColumn="0" w:firstRowLastColumn="0" w:lastRowFirstColumn="0" w:lastRowLastColumn="0"/>
              <w:rPr>
                <w:bCs/>
              </w:rPr>
            </w:pPr>
            <w:r w:rsidRPr="00616063">
              <w:rPr>
                <w:bCs/>
              </w:rPr>
              <w:t>None</w:t>
            </w:r>
          </w:p>
        </w:tc>
        <w:tc>
          <w:tcPr>
            <w:tcW w:w="1190" w:type="dxa"/>
            <w:vAlign w:val="center"/>
            <w:hideMark/>
          </w:tcPr>
          <w:p w14:paraId="06A5E530" w14:textId="77777777" w:rsidR="00072116" w:rsidRPr="00616063" w:rsidRDefault="00072116" w:rsidP="00072116">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16063">
              <w:rPr>
                <w:bCs/>
              </w:rPr>
              <w:t>None</w:t>
            </w:r>
          </w:p>
        </w:tc>
        <w:tc>
          <w:tcPr>
            <w:tcW w:w="2117" w:type="dxa"/>
            <w:vAlign w:val="center"/>
            <w:hideMark/>
          </w:tcPr>
          <w:p w14:paraId="25560E59" w14:textId="77777777" w:rsidR="00072116" w:rsidRPr="00616063" w:rsidRDefault="00072116" w:rsidP="00072116">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16063">
              <w:rPr>
                <w:bCs/>
              </w:rPr>
              <w:t>TBD (2015)</w:t>
            </w:r>
          </w:p>
        </w:tc>
      </w:tr>
      <w:tr w:rsidR="00072116" w:rsidRPr="004110D9" w14:paraId="0E6B7C80" w14:textId="77777777" w:rsidTr="00616063">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4228" w:type="dxa"/>
            <w:vAlign w:val="center"/>
            <w:hideMark/>
          </w:tcPr>
          <w:p w14:paraId="1E67BCA5" w14:textId="77777777" w:rsidR="00072116" w:rsidRPr="00616063" w:rsidRDefault="00072116" w:rsidP="00616063">
            <w:pPr>
              <w:rPr>
                <w:rFonts w:ascii="Arial" w:hAnsi="Arial" w:cs="Arial"/>
                <w:b w:val="0"/>
                <w:szCs w:val="20"/>
              </w:rPr>
            </w:pPr>
            <w:r w:rsidRPr="004110D9">
              <w:t>Minimum Net Stable Funding Ratio</w:t>
            </w:r>
          </w:p>
        </w:tc>
        <w:tc>
          <w:tcPr>
            <w:tcW w:w="1391" w:type="dxa"/>
            <w:vAlign w:val="center"/>
          </w:tcPr>
          <w:p w14:paraId="0CBCD4B2" w14:textId="77777777" w:rsidR="00072116" w:rsidRPr="00616063" w:rsidRDefault="00072116" w:rsidP="00072116">
            <w:pPr>
              <w:jc w:val="center"/>
              <w:cnfStyle w:val="000000100000" w:firstRow="0" w:lastRow="0" w:firstColumn="0" w:lastColumn="0" w:oddVBand="0" w:evenVBand="0" w:oddHBand="1" w:evenHBand="0" w:firstRowFirstColumn="0" w:firstRowLastColumn="0" w:lastRowFirstColumn="0" w:lastRowLastColumn="0"/>
              <w:rPr>
                <w:bCs/>
              </w:rPr>
            </w:pPr>
            <w:r w:rsidRPr="00616063">
              <w:rPr>
                <w:bCs/>
              </w:rPr>
              <w:t>None</w:t>
            </w:r>
          </w:p>
        </w:tc>
        <w:tc>
          <w:tcPr>
            <w:tcW w:w="1190" w:type="dxa"/>
            <w:vAlign w:val="center"/>
            <w:hideMark/>
          </w:tcPr>
          <w:p w14:paraId="43386078" w14:textId="77777777" w:rsidR="00072116" w:rsidRPr="00616063" w:rsidRDefault="00072116" w:rsidP="00072116">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16063">
              <w:rPr>
                <w:bCs/>
              </w:rPr>
              <w:t>None</w:t>
            </w:r>
          </w:p>
        </w:tc>
        <w:tc>
          <w:tcPr>
            <w:tcW w:w="2117" w:type="dxa"/>
            <w:vAlign w:val="center"/>
            <w:hideMark/>
          </w:tcPr>
          <w:p w14:paraId="64D9B116" w14:textId="77777777" w:rsidR="00072116" w:rsidRPr="00616063" w:rsidRDefault="00072116" w:rsidP="00072116">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16063">
              <w:rPr>
                <w:bCs/>
              </w:rPr>
              <w:t>TBD (2018)</w:t>
            </w:r>
          </w:p>
        </w:tc>
      </w:tr>
      <w:tr w:rsidR="00072116" w:rsidRPr="004110D9" w14:paraId="3C776721" w14:textId="77777777" w:rsidTr="00616063">
        <w:trPr>
          <w:trHeight w:val="797"/>
        </w:trPr>
        <w:tc>
          <w:tcPr>
            <w:cnfStyle w:val="001000000000" w:firstRow="0" w:lastRow="0" w:firstColumn="1" w:lastColumn="0" w:oddVBand="0" w:evenVBand="0" w:oddHBand="0" w:evenHBand="0" w:firstRowFirstColumn="0" w:firstRowLastColumn="0" w:lastRowFirstColumn="0" w:lastRowLastColumn="0"/>
            <w:tcW w:w="4228" w:type="dxa"/>
            <w:vAlign w:val="center"/>
            <w:hideMark/>
          </w:tcPr>
          <w:p w14:paraId="4C93F65E" w14:textId="77777777" w:rsidR="00072116" w:rsidRPr="00616063" w:rsidRDefault="00072116" w:rsidP="00616063">
            <w:pPr>
              <w:rPr>
                <w:rFonts w:ascii="Arial" w:hAnsi="Arial" w:cs="Arial"/>
                <w:b w:val="0"/>
                <w:szCs w:val="20"/>
              </w:rPr>
            </w:pPr>
            <w:r w:rsidRPr="004110D9">
              <w:t>Systemically important Financial Institutions Charge</w:t>
            </w:r>
          </w:p>
        </w:tc>
        <w:tc>
          <w:tcPr>
            <w:tcW w:w="1391" w:type="dxa"/>
            <w:vAlign w:val="center"/>
          </w:tcPr>
          <w:p w14:paraId="635F5301" w14:textId="77777777" w:rsidR="00072116" w:rsidRPr="00616063" w:rsidRDefault="00072116" w:rsidP="00072116">
            <w:pPr>
              <w:jc w:val="center"/>
              <w:cnfStyle w:val="000000000000" w:firstRow="0" w:lastRow="0" w:firstColumn="0" w:lastColumn="0" w:oddVBand="0" w:evenVBand="0" w:oddHBand="0" w:evenHBand="0" w:firstRowFirstColumn="0" w:firstRowLastColumn="0" w:lastRowFirstColumn="0" w:lastRowLastColumn="0"/>
              <w:rPr>
                <w:bCs/>
              </w:rPr>
            </w:pPr>
            <w:r w:rsidRPr="00616063">
              <w:rPr>
                <w:bCs/>
              </w:rPr>
              <w:t>None</w:t>
            </w:r>
          </w:p>
        </w:tc>
        <w:tc>
          <w:tcPr>
            <w:tcW w:w="1190" w:type="dxa"/>
            <w:vAlign w:val="center"/>
            <w:hideMark/>
          </w:tcPr>
          <w:p w14:paraId="5B004BEA" w14:textId="77777777" w:rsidR="00072116" w:rsidRPr="00616063" w:rsidRDefault="00072116" w:rsidP="00072116">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16063">
              <w:rPr>
                <w:bCs/>
              </w:rPr>
              <w:t>None</w:t>
            </w:r>
          </w:p>
        </w:tc>
        <w:tc>
          <w:tcPr>
            <w:tcW w:w="2117" w:type="dxa"/>
            <w:vAlign w:val="center"/>
            <w:hideMark/>
          </w:tcPr>
          <w:p w14:paraId="356D4832" w14:textId="2F46210B" w:rsidR="00072116" w:rsidRPr="00616063" w:rsidRDefault="00072116">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16063">
              <w:rPr>
                <w:bCs/>
              </w:rPr>
              <w:t>TBD (201</w:t>
            </w:r>
            <w:r w:rsidR="004110D9" w:rsidRPr="00616063">
              <w:rPr>
                <w:bCs/>
              </w:rPr>
              <w:t>5</w:t>
            </w:r>
            <w:r w:rsidR="004218A7" w:rsidRPr="00616063">
              <w:rPr>
                <w:bCs/>
              </w:rPr>
              <w:t>)</w:t>
            </w:r>
          </w:p>
        </w:tc>
      </w:tr>
    </w:tbl>
    <w:p w14:paraId="192FFE2B" w14:textId="74F347DB" w:rsidR="007937A2" w:rsidRPr="00616063" w:rsidRDefault="00072116" w:rsidP="00CE4DE6">
      <w:pPr>
        <w:rPr>
          <w:rStyle w:val="Hyperlink"/>
          <w:sz w:val="20"/>
        </w:rPr>
      </w:pPr>
      <w:r w:rsidRPr="00616063">
        <w:rPr>
          <w:sz w:val="20"/>
        </w:rPr>
        <w:t xml:space="preserve">Source- </w:t>
      </w:r>
      <w:hyperlink r:id="rId18" w:history="1">
        <w:r w:rsidRPr="00616063">
          <w:rPr>
            <w:rStyle w:val="Hyperlink"/>
            <w:sz w:val="20"/>
          </w:rPr>
          <w:t>http://www.allbankingsolutions.com/Banking-Tutor/Basel-iii-Accord-Basel-3-Norms.shtml</w:t>
        </w:r>
      </w:hyperlink>
    </w:p>
    <w:p w14:paraId="58959616" w14:textId="77777777" w:rsidR="00A85E4A" w:rsidRDefault="00A85E4A" w:rsidP="00CE4DE6">
      <w:pPr>
        <w:rPr>
          <w:rStyle w:val="Hyperlink"/>
        </w:rPr>
      </w:pPr>
    </w:p>
    <w:p w14:paraId="7DABAEFE" w14:textId="77777777" w:rsidR="00A85E4A" w:rsidRDefault="00A85E4A" w:rsidP="00CE4DE6">
      <w:pPr>
        <w:rPr>
          <w:rStyle w:val="Hyperlink"/>
        </w:rPr>
      </w:pPr>
    </w:p>
    <w:p w14:paraId="3E6540C8" w14:textId="77777777" w:rsidR="00A85E4A" w:rsidRDefault="00A85E4A" w:rsidP="00CE4DE6">
      <w:pPr>
        <w:rPr>
          <w:rStyle w:val="Hyperlink"/>
        </w:rPr>
      </w:pPr>
    </w:p>
    <w:p w14:paraId="4D7311E5" w14:textId="77777777" w:rsidR="00A85E4A" w:rsidRDefault="00A85E4A" w:rsidP="00CE4DE6">
      <w:pPr>
        <w:rPr>
          <w:rStyle w:val="Hyperlink"/>
        </w:rPr>
      </w:pPr>
    </w:p>
    <w:p w14:paraId="528264D8" w14:textId="77777777" w:rsidR="00A85E4A" w:rsidRDefault="00A85E4A" w:rsidP="00CE4DE6">
      <w:pPr>
        <w:rPr>
          <w:rStyle w:val="Hyperlink"/>
        </w:rPr>
      </w:pPr>
    </w:p>
    <w:p w14:paraId="6F638676" w14:textId="77777777" w:rsidR="00A85E4A" w:rsidRDefault="00A85E4A" w:rsidP="00CE4DE6"/>
    <w:tbl>
      <w:tblPr>
        <w:tblW w:w="8826" w:type="dxa"/>
        <w:tblBorders>
          <w:top w:val="single" w:sz="8" w:space="0" w:color="4BACC6"/>
          <w:bottom w:val="single" w:sz="8" w:space="0" w:color="4BACC6"/>
        </w:tblBorders>
        <w:tblLook w:val="04A0" w:firstRow="1" w:lastRow="0" w:firstColumn="1" w:lastColumn="0" w:noHBand="0" w:noVBand="1"/>
      </w:tblPr>
      <w:tblGrid>
        <w:gridCol w:w="3695"/>
        <w:gridCol w:w="980"/>
        <w:gridCol w:w="1202"/>
        <w:gridCol w:w="1451"/>
        <w:gridCol w:w="1498"/>
      </w:tblGrid>
      <w:tr w:rsidR="00EC6F68" w:rsidRPr="00193187" w14:paraId="4EFF73A6" w14:textId="77777777" w:rsidTr="007937A2">
        <w:trPr>
          <w:trHeight w:val="316"/>
        </w:trPr>
        <w:tc>
          <w:tcPr>
            <w:tcW w:w="0" w:type="auto"/>
            <w:gridSpan w:val="5"/>
            <w:tcBorders>
              <w:top w:val="single" w:sz="8" w:space="0" w:color="4BACC6"/>
              <w:bottom w:val="single" w:sz="8" w:space="0" w:color="4BACC6"/>
            </w:tcBorders>
            <w:shd w:val="clear" w:color="auto" w:fill="auto"/>
            <w:noWrap/>
            <w:hideMark/>
          </w:tcPr>
          <w:p w14:paraId="61367715" w14:textId="306E7B56" w:rsidR="00EC6F68" w:rsidRPr="00193187" w:rsidRDefault="00A421AE" w:rsidP="007937A2">
            <w:pPr>
              <w:spacing w:after="0" w:line="240" w:lineRule="auto"/>
              <w:jc w:val="center"/>
              <w:rPr>
                <w:rFonts w:eastAsia="Times New Roman" w:cs="Calibri"/>
                <w:b/>
                <w:bCs/>
                <w:color w:val="000000"/>
              </w:rPr>
            </w:pPr>
            <w:r w:rsidRPr="007937A2">
              <w:rPr>
                <w:sz w:val="24"/>
              </w:rPr>
              <w:br w:type="page"/>
            </w:r>
            <w:r w:rsidR="00EC6F68" w:rsidRPr="00193187">
              <w:rPr>
                <w:rFonts w:eastAsia="Times New Roman" w:cs="Calibri"/>
                <w:b/>
                <w:bCs/>
                <w:color w:val="000000"/>
              </w:rPr>
              <w:t xml:space="preserve">Table </w:t>
            </w:r>
            <w:r w:rsidR="004218A7">
              <w:rPr>
                <w:rFonts w:eastAsia="Times New Roman" w:cs="Calibri"/>
                <w:b/>
                <w:bCs/>
                <w:color w:val="000000"/>
              </w:rPr>
              <w:t>2</w:t>
            </w:r>
          </w:p>
          <w:p w14:paraId="01835B11" w14:textId="77777777" w:rsidR="00EC6F68" w:rsidRPr="00193187" w:rsidRDefault="00EC6F68" w:rsidP="007937A2">
            <w:pPr>
              <w:spacing w:after="0" w:line="240" w:lineRule="auto"/>
              <w:jc w:val="center"/>
              <w:rPr>
                <w:rFonts w:eastAsia="Times New Roman" w:cs="Calibri"/>
                <w:b/>
                <w:bCs/>
                <w:color w:val="000000"/>
              </w:rPr>
            </w:pPr>
            <w:r w:rsidRPr="00193187">
              <w:rPr>
                <w:rFonts w:eastAsia="Times New Roman" w:cs="Calibri"/>
                <w:b/>
                <w:bCs/>
                <w:color w:val="000000"/>
              </w:rPr>
              <w:t>GCC  Banks 2004-2012</w:t>
            </w:r>
          </w:p>
          <w:p w14:paraId="27494703" w14:textId="77777777" w:rsidR="00EC6F68" w:rsidRPr="00193187" w:rsidRDefault="00EC6F68" w:rsidP="007937A2">
            <w:pPr>
              <w:spacing w:after="0" w:line="240" w:lineRule="auto"/>
              <w:jc w:val="center"/>
              <w:rPr>
                <w:rFonts w:eastAsia="Times New Roman" w:cs="Calibri"/>
                <w:b/>
                <w:bCs/>
                <w:color w:val="000000"/>
              </w:rPr>
            </w:pPr>
            <w:r w:rsidRPr="00193187">
              <w:rPr>
                <w:rFonts w:eastAsia="Times New Roman" w:cs="Calibri"/>
                <w:b/>
                <w:bCs/>
                <w:color w:val="000000"/>
              </w:rPr>
              <w:t>Capitalization and Risk Metrics</w:t>
            </w:r>
          </w:p>
          <w:p w14:paraId="4135FB88" w14:textId="77777777" w:rsidR="00EC6F68" w:rsidRPr="00EC6F68" w:rsidRDefault="00EC6F68" w:rsidP="007937A2">
            <w:pPr>
              <w:spacing w:after="0" w:line="240" w:lineRule="auto"/>
              <w:jc w:val="center"/>
              <w:rPr>
                <w:rFonts w:eastAsia="Times New Roman" w:cs="Calibri"/>
                <w:b/>
                <w:bCs/>
                <w:color w:val="000000"/>
              </w:rPr>
            </w:pPr>
            <w:r w:rsidRPr="00EC6F68">
              <w:rPr>
                <w:rFonts w:eastAsia="Times New Roman" w:cs="Calibri"/>
                <w:b/>
                <w:bCs/>
                <w:color w:val="000000"/>
              </w:rPr>
              <w:t>Summary Statistics</w:t>
            </w:r>
          </w:p>
        </w:tc>
      </w:tr>
      <w:tr w:rsidR="00EC6F68" w:rsidRPr="00EC6F68" w14:paraId="4AB1ED3C" w14:textId="77777777" w:rsidTr="007937A2">
        <w:trPr>
          <w:trHeight w:val="316"/>
        </w:trPr>
        <w:tc>
          <w:tcPr>
            <w:tcW w:w="0" w:type="auto"/>
            <w:tcBorders>
              <w:left w:val="nil"/>
              <w:right w:val="nil"/>
            </w:tcBorders>
            <w:shd w:val="clear" w:color="auto" w:fill="D2EAF1"/>
            <w:noWrap/>
            <w:hideMark/>
          </w:tcPr>
          <w:p w14:paraId="3904845E" w14:textId="77777777" w:rsidR="00EC6F68" w:rsidRPr="00EC6F68" w:rsidRDefault="00EC6F68" w:rsidP="00193187">
            <w:pPr>
              <w:spacing w:after="0" w:line="240" w:lineRule="auto"/>
              <w:rPr>
                <w:rFonts w:eastAsia="Times New Roman" w:cs="Calibri"/>
                <w:b/>
                <w:bCs/>
                <w:color w:val="000000"/>
              </w:rPr>
            </w:pPr>
            <w:r w:rsidRPr="00EC6F68">
              <w:rPr>
                <w:rFonts w:eastAsia="Times New Roman" w:cs="Calibri"/>
                <w:b/>
                <w:bCs/>
                <w:color w:val="000000"/>
              </w:rPr>
              <w:t>Variable</w:t>
            </w:r>
          </w:p>
        </w:tc>
        <w:tc>
          <w:tcPr>
            <w:tcW w:w="0" w:type="auto"/>
            <w:tcBorders>
              <w:left w:val="nil"/>
              <w:right w:val="nil"/>
            </w:tcBorders>
            <w:shd w:val="clear" w:color="auto" w:fill="D2EAF1"/>
            <w:noWrap/>
            <w:hideMark/>
          </w:tcPr>
          <w:p w14:paraId="7D56D48C"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Mean</w:t>
            </w:r>
          </w:p>
        </w:tc>
        <w:tc>
          <w:tcPr>
            <w:tcW w:w="0" w:type="auto"/>
            <w:tcBorders>
              <w:left w:val="nil"/>
              <w:right w:val="nil"/>
            </w:tcBorders>
            <w:shd w:val="clear" w:color="auto" w:fill="D2EAF1"/>
            <w:noWrap/>
            <w:hideMark/>
          </w:tcPr>
          <w:p w14:paraId="07250D3A"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Median</w:t>
            </w:r>
          </w:p>
        </w:tc>
        <w:tc>
          <w:tcPr>
            <w:tcW w:w="0" w:type="auto"/>
            <w:tcBorders>
              <w:left w:val="nil"/>
              <w:right w:val="nil"/>
            </w:tcBorders>
            <w:shd w:val="clear" w:color="auto" w:fill="D2EAF1"/>
            <w:noWrap/>
            <w:hideMark/>
          </w:tcPr>
          <w:p w14:paraId="3379220B"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Minimum</w:t>
            </w:r>
          </w:p>
        </w:tc>
        <w:tc>
          <w:tcPr>
            <w:tcW w:w="0" w:type="auto"/>
            <w:tcBorders>
              <w:left w:val="nil"/>
              <w:right w:val="nil"/>
            </w:tcBorders>
            <w:shd w:val="clear" w:color="auto" w:fill="D2EAF1"/>
            <w:noWrap/>
            <w:hideMark/>
          </w:tcPr>
          <w:p w14:paraId="491BCDC5"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Maximum</w:t>
            </w:r>
          </w:p>
        </w:tc>
      </w:tr>
      <w:tr w:rsidR="00EC6F68" w:rsidRPr="00EC6F68" w14:paraId="6D965557" w14:textId="77777777" w:rsidTr="007937A2">
        <w:trPr>
          <w:trHeight w:val="316"/>
        </w:trPr>
        <w:tc>
          <w:tcPr>
            <w:tcW w:w="0" w:type="auto"/>
            <w:shd w:val="clear" w:color="auto" w:fill="auto"/>
            <w:noWrap/>
            <w:hideMark/>
          </w:tcPr>
          <w:p w14:paraId="26E6FB81" w14:textId="77777777" w:rsidR="00EC6F68" w:rsidRPr="00EC6F68" w:rsidRDefault="00EC6F68" w:rsidP="00193187">
            <w:pPr>
              <w:spacing w:after="0" w:line="240" w:lineRule="auto"/>
              <w:rPr>
                <w:rFonts w:eastAsia="Times New Roman" w:cs="Calibri"/>
                <w:b/>
                <w:bCs/>
                <w:color w:val="000000"/>
              </w:rPr>
            </w:pPr>
            <w:r w:rsidRPr="00EC6F68">
              <w:rPr>
                <w:rFonts w:eastAsia="Times New Roman" w:cs="Calibri"/>
                <w:b/>
                <w:bCs/>
                <w:color w:val="000000"/>
              </w:rPr>
              <w:t>Core</w:t>
            </w:r>
            <w:r w:rsidR="00E306DD">
              <w:rPr>
                <w:rFonts w:eastAsia="Times New Roman" w:cs="Calibri"/>
                <w:b/>
                <w:bCs/>
                <w:color w:val="000000"/>
              </w:rPr>
              <w:t xml:space="preserve"> </w:t>
            </w:r>
            <w:r w:rsidRPr="00EC6F68">
              <w:rPr>
                <w:rFonts w:eastAsia="Times New Roman" w:cs="Calibri"/>
                <w:b/>
                <w:bCs/>
                <w:color w:val="000000"/>
              </w:rPr>
              <w:t>Cap</w:t>
            </w:r>
            <w:r w:rsidR="00E306DD">
              <w:rPr>
                <w:rFonts w:eastAsia="Times New Roman" w:cs="Calibri"/>
                <w:b/>
                <w:bCs/>
                <w:color w:val="000000"/>
              </w:rPr>
              <w:t>ital Ratio</w:t>
            </w:r>
          </w:p>
        </w:tc>
        <w:tc>
          <w:tcPr>
            <w:tcW w:w="0" w:type="auto"/>
            <w:shd w:val="clear" w:color="auto" w:fill="auto"/>
            <w:noWrap/>
            <w:hideMark/>
          </w:tcPr>
          <w:p w14:paraId="064B3C23"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15%</w:t>
            </w:r>
          </w:p>
        </w:tc>
        <w:tc>
          <w:tcPr>
            <w:tcW w:w="0" w:type="auto"/>
            <w:shd w:val="clear" w:color="auto" w:fill="auto"/>
            <w:noWrap/>
            <w:hideMark/>
          </w:tcPr>
          <w:p w14:paraId="0F4ECE01"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16%</w:t>
            </w:r>
          </w:p>
        </w:tc>
        <w:tc>
          <w:tcPr>
            <w:tcW w:w="0" w:type="auto"/>
            <w:shd w:val="clear" w:color="auto" w:fill="auto"/>
            <w:noWrap/>
            <w:hideMark/>
          </w:tcPr>
          <w:p w14:paraId="5D41B42F"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10%</w:t>
            </w:r>
          </w:p>
        </w:tc>
        <w:tc>
          <w:tcPr>
            <w:tcW w:w="0" w:type="auto"/>
            <w:shd w:val="clear" w:color="auto" w:fill="auto"/>
            <w:noWrap/>
            <w:hideMark/>
          </w:tcPr>
          <w:p w14:paraId="3CAA5547"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21%</w:t>
            </w:r>
          </w:p>
        </w:tc>
      </w:tr>
      <w:tr w:rsidR="00EC6F68" w:rsidRPr="00EC6F68" w14:paraId="3DC76186" w14:textId="77777777" w:rsidTr="007937A2">
        <w:trPr>
          <w:trHeight w:val="316"/>
        </w:trPr>
        <w:tc>
          <w:tcPr>
            <w:tcW w:w="0" w:type="auto"/>
            <w:tcBorders>
              <w:left w:val="nil"/>
              <w:right w:val="nil"/>
            </w:tcBorders>
            <w:shd w:val="clear" w:color="auto" w:fill="D2EAF1"/>
            <w:noWrap/>
            <w:hideMark/>
          </w:tcPr>
          <w:p w14:paraId="3B54CE8F" w14:textId="77777777" w:rsidR="00EC6F68" w:rsidRPr="00EC6F68" w:rsidRDefault="00EC6F68" w:rsidP="007937A2">
            <w:pPr>
              <w:spacing w:after="0" w:line="240" w:lineRule="auto"/>
              <w:rPr>
                <w:rFonts w:eastAsia="Times New Roman" w:cs="Calibri"/>
                <w:b/>
                <w:bCs/>
                <w:color w:val="000000"/>
              </w:rPr>
            </w:pPr>
            <w:r w:rsidRPr="00EC6F68">
              <w:rPr>
                <w:rFonts w:eastAsia="Times New Roman" w:cs="Calibri"/>
                <w:b/>
                <w:bCs/>
                <w:color w:val="000000"/>
              </w:rPr>
              <w:t>M</w:t>
            </w:r>
            <w:r w:rsidR="00E306DD">
              <w:rPr>
                <w:rFonts w:eastAsia="Times New Roman" w:cs="Calibri"/>
                <w:b/>
                <w:bCs/>
                <w:color w:val="000000"/>
              </w:rPr>
              <w:t>ar</w:t>
            </w:r>
            <w:r w:rsidRPr="00EC6F68">
              <w:rPr>
                <w:rFonts w:eastAsia="Times New Roman" w:cs="Calibri"/>
                <w:b/>
                <w:bCs/>
                <w:color w:val="000000"/>
              </w:rPr>
              <w:t>k</w:t>
            </w:r>
            <w:r w:rsidR="00E306DD">
              <w:rPr>
                <w:rFonts w:eastAsia="Times New Roman" w:cs="Calibri"/>
                <w:b/>
                <w:bCs/>
                <w:color w:val="000000"/>
              </w:rPr>
              <w:t xml:space="preserve">et </w:t>
            </w:r>
            <w:r w:rsidRPr="00EC6F68">
              <w:rPr>
                <w:rFonts w:eastAsia="Times New Roman" w:cs="Calibri"/>
                <w:b/>
                <w:bCs/>
                <w:color w:val="000000"/>
              </w:rPr>
              <w:t>R</w:t>
            </w:r>
            <w:r w:rsidR="00E306DD">
              <w:rPr>
                <w:rFonts w:eastAsia="Times New Roman" w:cs="Calibri"/>
                <w:b/>
                <w:bCs/>
                <w:color w:val="000000"/>
              </w:rPr>
              <w:t>i</w:t>
            </w:r>
            <w:r w:rsidRPr="00EC6F68">
              <w:rPr>
                <w:rFonts w:eastAsia="Times New Roman" w:cs="Calibri"/>
                <w:b/>
                <w:bCs/>
                <w:color w:val="000000"/>
              </w:rPr>
              <w:t>sk</w:t>
            </w:r>
            <w:r w:rsidR="00E306DD">
              <w:rPr>
                <w:rFonts w:eastAsia="Times New Roman" w:cs="Calibri"/>
                <w:b/>
                <w:bCs/>
                <w:color w:val="000000"/>
              </w:rPr>
              <w:t xml:space="preserve"> to </w:t>
            </w:r>
            <w:r w:rsidR="005454B2">
              <w:rPr>
                <w:rFonts w:eastAsia="Times New Roman" w:cs="Calibri"/>
                <w:b/>
                <w:bCs/>
                <w:color w:val="000000"/>
              </w:rPr>
              <w:t>Capital</w:t>
            </w:r>
            <w:r w:rsidR="00E306DD">
              <w:rPr>
                <w:rFonts w:eastAsia="Times New Roman" w:cs="Calibri"/>
                <w:b/>
                <w:bCs/>
                <w:color w:val="000000"/>
              </w:rPr>
              <w:t xml:space="preserve"> </w:t>
            </w:r>
            <w:r w:rsidRPr="00EC6F68">
              <w:rPr>
                <w:rFonts w:eastAsia="Times New Roman" w:cs="Calibri"/>
                <w:b/>
                <w:bCs/>
                <w:color w:val="000000"/>
              </w:rPr>
              <w:t>Ratio</w:t>
            </w:r>
          </w:p>
        </w:tc>
        <w:tc>
          <w:tcPr>
            <w:tcW w:w="0" w:type="auto"/>
            <w:tcBorders>
              <w:left w:val="nil"/>
              <w:right w:val="nil"/>
            </w:tcBorders>
            <w:shd w:val="clear" w:color="auto" w:fill="D2EAF1"/>
            <w:noWrap/>
            <w:hideMark/>
          </w:tcPr>
          <w:p w14:paraId="3F8529C7"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8%</w:t>
            </w:r>
          </w:p>
        </w:tc>
        <w:tc>
          <w:tcPr>
            <w:tcW w:w="0" w:type="auto"/>
            <w:tcBorders>
              <w:left w:val="nil"/>
              <w:right w:val="nil"/>
            </w:tcBorders>
            <w:shd w:val="clear" w:color="auto" w:fill="D2EAF1"/>
            <w:noWrap/>
            <w:hideMark/>
          </w:tcPr>
          <w:p w14:paraId="72A08B5C"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3%</w:t>
            </w:r>
          </w:p>
        </w:tc>
        <w:tc>
          <w:tcPr>
            <w:tcW w:w="0" w:type="auto"/>
            <w:tcBorders>
              <w:left w:val="nil"/>
              <w:right w:val="nil"/>
            </w:tcBorders>
            <w:shd w:val="clear" w:color="auto" w:fill="D2EAF1"/>
            <w:noWrap/>
            <w:hideMark/>
          </w:tcPr>
          <w:p w14:paraId="140F40FC"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0.01%</w:t>
            </w:r>
          </w:p>
        </w:tc>
        <w:tc>
          <w:tcPr>
            <w:tcW w:w="0" w:type="auto"/>
            <w:tcBorders>
              <w:left w:val="nil"/>
              <w:right w:val="nil"/>
            </w:tcBorders>
            <w:shd w:val="clear" w:color="auto" w:fill="D2EAF1"/>
            <w:noWrap/>
            <w:hideMark/>
          </w:tcPr>
          <w:p w14:paraId="283CC111"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38%</w:t>
            </w:r>
          </w:p>
        </w:tc>
      </w:tr>
      <w:tr w:rsidR="00EC6F68" w:rsidRPr="00EC6F68" w14:paraId="269A8E99" w14:textId="77777777" w:rsidTr="007937A2">
        <w:trPr>
          <w:trHeight w:val="316"/>
        </w:trPr>
        <w:tc>
          <w:tcPr>
            <w:tcW w:w="0" w:type="auto"/>
            <w:shd w:val="clear" w:color="auto" w:fill="auto"/>
            <w:noWrap/>
            <w:hideMark/>
          </w:tcPr>
          <w:p w14:paraId="24F51BF0" w14:textId="77777777" w:rsidR="00EC6F68" w:rsidRPr="00EC6F68" w:rsidRDefault="00EC6F68" w:rsidP="00193187">
            <w:pPr>
              <w:spacing w:after="0" w:line="240" w:lineRule="auto"/>
              <w:rPr>
                <w:rFonts w:eastAsia="Times New Roman" w:cs="Calibri"/>
                <w:b/>
                <w:bCs/>
                <w:color w:val="000000"/>
              </w:rPr>
            </w:pPr>
            <w:r w:rsidRPr="00EC6F68">
              <w:rPr>
                <w:rFonts w:eastAsia="Times New Roman" w:cs="Calibri"/>
                <w:b/>
                <w:bCs/>
                <w:color w:val="000000"/>
              </w:rPr>
              <w:t>Trading</w:t>
            </w:r>
            <w:r w:rsidR="00A708F2">
              <w:rPr>
                <w:rFonts w:eastAsia="Times New Roman" w:cs="Calibri"/>
                <w:b/>
                <w:bCs/>
                <w:color w:val="000000"/>
              </w:rPr>
              <w:t xml:space="preserve"> </w:t>
            </w:r>
            <w:r w:rsidR="00E306DD">
              <w:rPr>
                <w:rFonts w:eastAsia="Times New Roman" w:cs="Calibri"/>
                <w:b/>
                <w:bCs/>
                <w:color w:val="000000"/>
              </w:rPr>
              <w:t xml:space="preserve">to Assets </w:t>
            </w:r>
            <w:r w:rsidRPr="00EC6F68">
              <w:rPr>
                <w:rFonts w:eastAsia="Times New Roman" w:cs="Calibri"/>
                <w:b/>
                <w:bCs/>
                <w:color w:val="000000"/>
              </w:rPr>
              <w:t>Ratio</w:t>
            </w:r>
          </w:p>
        </w:tc>
        <w:tc>
          <w:tcPr>
            <w:tcW w:w="0" w:type="auto"/>
            <w:shd w:val="clear" w:color="auto" w:fill="auto"/>
            <w:noWrap/>
            <w:hideMark/>
          </w:tcPr>
          <w:p w14:paraId="6A3D79E3"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15%</w:t>
            </w:r>
          </w:p>
        </w:tc>
        <w:tc>
          <w:tcPr>
            <w:tcW w:w="0" w:type="auto"/>
            <w:shd w:val="clear" w:color="auto" w:fill="auto"/>
            <w:noWrap/>
            <w:hideMark/>
          </w:tcPr>
          <w:p w14:paraId="5379E00A"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1%</w:t>
            </w:r>
          </w:p>
        </w:tc>
        <w:tc>
          <w:tcPr>
            <w:tcW w:w="0" w:type="auto"/>
            <w:shd w:val="clear" w:color="auto" w:fill="auto"/>
            <w:noWrap/>
            <w:hideMark/>
          </w:tcPr>
          <w:p w14:paraId="0594D307"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0.02%</w:t>
            </w:r>
          </w:p>
        </w:tc>
        <w:tc>
          <w:tcPr>
            <w:tcW w:w="0" w:type="auto"/>
            <w:shd w:val="clear" w:color="auto" w:fill="auto"/>
            <w:noWrap/>
            <w:hideMark/>
          </w:tcPr>
          <w:p w14:paraId="39705C88"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157%</w:t>
            </w:r>
          </w:p>
        </w:tc>
      </w:tr>
      <w:tr w:rsidR="00EC6F68" w:rsidRPr="00EC6F68" w14:paraId="02E65A54" w14:textId="77777777" w:rsidTr="007937A2">
        <w:trPr>
          <w:trHeight w:val="316"/>
        </w:trPr>
        <w:tc>
          <w:tcPr>
            <w:tcW w:w="0" w:type="auto"/>
            <w:tcBorders>
              <w:left w:val="nil"/>
              <w:right w:val="nil"/>
            </w:tcBorders>
            <w:shd w:val="clear" w:color="auto" w:fill="D2EAF1"/>
            <w:noWrap/>
            <w:hideMark/>
          </w:tcPr>
          <w:p w14:paraId="125D381C" w14:textId="77777777" w:rsidR="00EC6F68" w:rsidRPr="00EC6F68" w:rsidRDefault="00EC6F68" w:rsidP="00193187">
            <w:pPr>
              <w:spacing w:after="0" w:line="240" w:lineRule="auto"/>
              <w:rPr>
                <w:rFonts w:eastAsia="Times New Roman" w:cs="Calibri"/>
                <w:b/>
                <w:bCs/>
                <w:color w:val="000000"/>
              </w:rPr>
            </w:pPr>
            <w:r w:rsidRPr="00EC6F68">
              <w:rPr>
                <w:rFonts w:eastAsia="Times New Roman" w:cs="Calibri"/>
                <w:b/>
                <w:bCs/>
                <w:color w:val="000000"/>
              </w:rPr>
              <w:t>Deriv</w:t>
            </w:r>
            <w:r w:rsidR="00A708F2">
              <w:rPr>
                <w:rFonts w:eastAsia="Times New Roman" w:cs="Calibri"/>
                <w:b/>
                <w:bCs/>
                <w:color w:val="000000"/>
              </w:rPr>
              <w:t xml:space="preserve">ative </w:t>
            </w:r>
            <w:r w:rsidR="00E306DD">
              <w:rPr>
                <w:rFonts w:eastAsia="Times New Roman" w:cs="Calibri"/>
                <w:b/>
                <w:bCs/>
                <w:color w:val="000000"/>
              </w:rPr>
              <w:t xml:space="preserve">to Assets </w:t>
            </w:r>
            <w:r w:rsidRPr="00EC6F68">
              <w:rPr>
                <w:rFonts w:eastAsia="Times New Roman" w:cs="Calibri"/>
                <w:b/>
                <w:bCs/>
                <w:color w:val="000000"/>
              </w:rPr>
              <w:t>Ratio</w:t>
            </w:r>
          </w:p>
        </w:tc>
        <w:tc>
          <w:tcPr>
            <w:tcW w:w="0" w:type="auto"/>
            <w:tcBorders>
              <w:left w:val="nil"/>
              <w:right w:val="nil"/>
            </w:tcBorders>
            <w:shd w:val="clear" w:color="auto" w:fill="D2EAF1"/>
            <w:noWrap/>
            <w:hideMark/>
          </w:tcPr>
          <w:p w14:paraId="1D3E4A50"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23%</w:t>
            </w:r>
          </w:p>
        </w:tc>
        <w:tc>
          <w:tcPr>
            <w:tcW w:w="0" w:type="auto"/>
            <w:tcBorders>
              <w:left w:val="nil"/>
              <w:right w:val="nil"/>
            </w:tcBorders>
            <w:shd w:val="clear" w:color="auto" w:fill="D2EAF1"/>
            <w:noWrap/>
            <w:hideMark/>
          </w:tcPr>
          <w:p w14:paraId="79B5A51E"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1%</w:t>
            </w:r>
          </w:p>
        </w:tc>
        <w:tc>
          <w:tcPr>
            <w:tcW w:w="0" w:type="auto"/>
            <w:tcBorders>
              <w:left w:val="nil"/>
              <w:right w:val="nil"/>
            </w:tcBorders>
            <w:shd w:val="clear" w:color="auto" w:fill="D2EAF1"/>
            <w:noWrap/>
            <w:hideMark/>
          </w:tcPr>
          <w:p w14:paraId="488C69BB"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0.04%</w:t>
            </w:r>
          </w:p>
        </w:tc>
        <w:tc>
          <w:tcPr>
            <w:tcW w:w="0" w:type="auto"/>
            <w:tcBorders>
              <w:left w:val="nil"/>
              <w:right w:val="nil"/>
            </w:tcBorders>
            <w:shd w:val="clear" w:color="auto" w:fill="D2EAF1"/>
            <w:noWrap/>
            <w:hideMark/>
          </w:tcPr>
          <w:p w14:paraId="4DC11242"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324%</w:t>
            </w:r>
          </w:p>
        </w:tc>
      </w:tr>
      <w:tr w:rsidR="00EC6F68" w:rsidRPr="00EC6F68" w14:paraId="1FCB4FEE" w14:textId="77777777" w:rsidTr="007937A2">
        <w:trPr>
          <w:trHeight w:val="316"/>
        </w:trPr>
        <w:tc>
          <w:tcPr>
            <w:tcW w:w="0" w:type="auto"/>
            <w:shd w:val="clear" w:color="auto" w:fill="auto"/>
            <w:noWrap/>
            <w:hideMark/>
          </w:tcPr>
          <w:p w14:paraId="5A23EEA7" w14:textId="77777777" w:rsidR="00EC6F68" w:rsidRPr="00EC6F68" w:rsidRDefault="00EC6F68" w:rsidP="007937A2">
            <w:pPr>
              <w:spacing w:after="0" w:line="240" w:lineRule="auto"/>
              <w:rPr>
                <w:rFonts w:eastAsia="Times New Roman" w:cs="Calibri"/>
                <w:b/>
                <w:bCs/>
                <w:color w:val="000000"/>
              </w:rPr>
            </w:pPr>
            <w:r w:rsidRPr="00EC6F68">
              <w:rPr>
                <w:rFonts w:eastAsia="Times New Roman" w:cs="Calibri"/>
                <w:b/>
                <w:bCs/>
                <w:color w:val="000000"/>
              </w:rPr>
              <w:t>R</w:t>
            </w:r>
            <w:r w:rsidR="00A708F2">
              <w:rPr>
                <w:rFonts w:eastAsia="Times New Roman" w:cs="Calibri"/>
                <w:b/>
                <w:bCs/>
                <w:color w:val="000000"/>
              </w:rPr>
              <w:t xml:space="preserve">isk </w:t>
            </w:r>
            <w:r w:rsidRPr="00EC6F68">
              <w:rPr>
                <w:rFonts w:eastAsia="Times New Roman" w:cs="Calibri"/>
                <w:b/>
                <w:bCs/>
                <w:color w:val="000000"/>
              </w:rPr>
              <w:t>W</w:t>
            </w:r>
            <w:r w:rsidR="00A708F2">
              <w:rPr>
                <w:rFonts w:eastAsia="Times New Roman" w:cs="Calibri"/>
                <w:b/>
                <w:bCs/>
                <w:color w:val="000000"/>
              </w:rPr>
              <w:t xml:space="preserve">eighted </w:t>
            </w:r>
            <w:r w:rsidRPr="00EC6F68">
              <w:rPr>
                <w:rFonts w:eastAsia="Times New Roman" w:cs="Calibri"/>
                <w:b/>
                <w:bCs/>
                <w:color w:val="000000"/>
              </w:rPr>
              <w:t>Ass</w:t>
            </w:r>
            <w:r w:rsidR="00A708F2">
              <w:rPr>
                <w:rFonts w:eastAsia="Times New Roman" w:cs="Calibri"/>
                <w:b/>
                <w:bCs/>
                <w:color w:val="000000"/>
              </w:rPr>
              <w:t xml:space="preserve">et </w:t>
            </w:r>
            <w:r w:rsidRPr="00EC6F68">
              <w:rPr>
                <w:rFonts w:eastAsia="Times New Roman" w:cs="Calibri"/>
                <w:b/>
                <w:bCs/>
                <w:color w:val="000000"/>
              </w:rPr>
              <w:t>R</w:t>
            </w:r>
            <w:r w:rsidR="00A708F2">
              <w:rPr>
                <w:rFonts w:eastAsia="Times New Roman" w:cs="Calibri"/>
                <w:b/>
                <w:bCs/>
                <w:color w:val="000000"/>
              </w:rPr>
              <w:t>atio</w:t>
            </w:r>
          </w:p>
        </w:tc>
        <w:tc>
          <w:tcPr>
            <w:tcW w:w="0" w:type="auto"/>
            <w:shd w:val="clear" w:color="auto" w:fill="auto"/>
            <w:noWrap/>
            <w:hideMark/>
          </w:tcPr>
          <w:p w14:paraId="2F8767F8"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61%</w:t>
            </w:r>
          </w:p>
        </w:tc>
        <w:tc>
          <w:tcPr>
            <w:tcW w:w="0" w:type="auto"/>
            <w:shd w:val="clear" w:color="auto" w:fill="auto"/>
            <w:noWrap/>
            <w:hideMark/>
          </w:tcPr>
          <w:p w14:paraId="78AC63C4"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64%</w:t>
            </w:r>
          </w:p>
        </w:tc>
        <w:tc>
          <w:tcPr>
            <w:tcW w:w="0" w:type="auto"/>
            <w:shd w:val="clear" w:color="auto" w:fill="auto"/>
            <w:noWrap/>
            <w:hideMark/>
          </w:tcPr>
          <w:p w14:paraId="087C4BC5"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0.04%</w:t>
            </w:r>
          </w:p>
        </w:tc>
        <w:tc>
          <w:tcPr>
            <w:tcW w:w="0" w:type="auto"/>
            <w:shd w:val="clear" w:color="auto" w:fill="auto"/>
            <w:noWrap/>
            <w:hideMark/>
          </w:tcPr>
          <w:p w14:paraId="237377E5"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100%</w:t>
            </w:r>
          </w:p>
        </w:tc>
      </w:tr>
      <w:tr w:rsidR="00EC6F68" w:rsidRPr="00EC6F68" w14:paraId="16D51177" w14:textId="77777777" w:rsidTr="007937A2">
        <w:trPr>
          <w:trHeight w:val="316"/>
        </w:trPr>
        <w:tc>
          <w:tcPr>
            <w:tcW w:w="0" w:type="auto"/>
            <w:tcBorders>
              <w:left w:val="nil"/>
              <w:right w:val="nil"/>
            </w:tcBorders>
            <w:shd w:val="clear" w:color="auto" w:fill="D2EAF1"/>
            <w:noWrap/>
            <w:hideMark/>
          </w:tcPr>
          <w:p w14:paraId="55C618BA" w14:textId="77777777" w:rsidR="00EC6F68" w:rsidRPr="00EC6F68" w:rsidRDefault="00EC6F68" w:rsidP="007937A2">
            <w:pPr>
              <w:spacing w:after="0" w:line="240" w:lineRule="auto"/>
              <w:rPr>
                <w:rFonts w:eastAsia="Times New Roman" w:cs="Calibri"/>
                <w:b/>
                <w:bCs/>
                <w:color w:val="000000"/>
              </w:rPr>
            </w:pPr>
            <w:r w:rsidRPr="00EC6F68">
              <w:rPr>
                <w:rFonts w:eastAsia="Times New Roman" w:cs="Calibri"/>
                <w:b/>
                <w:bCs/>
                <w:color w:val="000000"/>
              </w:rPr>
              <w:t>VaR</w:t>
            </w:r>
            <w:r w:rsidR="00A708F2">
              <w:rPr>
                <w:rFonts w:eastAsia="Times New Roman" w:cs="Calibri"/>
                <w:b/>
                <w:bCs/>
                <w:color w:val="000000"/>
              </w:rPr>
              <w:t xml:space="preserve"> to </w:t>
            </w:r>
            <w:r w:rsidRPr="00EC6F68">
              <w:rPr>
                <w:rFonts w:eastAsia="Times New Roman" w:cs="Calibri"/>
                <w:b/>
                <w:bCs/>
                <w:color w:val="000000"/>
              </w:rPr>
              <w:t>Ass</w:t>
            </w:r>
            <w:r w:rsidR="00A708F2">
              <w:rPr>
                <w:rFonts w:eastAsia="Times New Roman" w:cs="Calibri"/>
                <w:b/>
                <w:bCs/>
                <w:color w:val="000000"/>
              </w:rPr>
              <w:t>et</w:t>
            </w:r>
            <w:r w:rsidR="00E306DD">
              <w:rPr>
                <w:rFonts w:eastAsia="Times New Roman" w:cs="Calibri"/>
                <w:b/>
                <w:bCs/>
                <w:color w:val="000000"/>
              </w:rPr>
              <w:t>s</w:t>
            </w:r>
            <w:r w:rsidR="00A708F2">
              <w:rPr>
                <w:rFonts w:eastAsia="Times New Roman" w:cs="Calibri"/>
                <w:b/>
                <w:bCs/>
                <w:color w:val="000000"/>
              </w:rPr>
              <w:t xml:space="preserve"> </w:t>
            </w:r>
            <w:r w:rsidRPr="00EC6F68">
              <w:rPr>
                <w:rFonts w:eastAsia="Times New Roman" w:cs="Calibri"/>
                <w:b/>
                <w:bCs/>
                <w:color w:val="000000"/>
              </w:rPr>
              <w:t>R</w:t>
            </w:r>
            <w:r w:rsidR="00A708F2">
              <w:rPr>
                <w:rFonts w:eastAsia="Times New Roman" w:cs="Calibri"/>
                <w:b/>
                <w:bCs/>
                <w:color w:val="000000"/>
              </w:rPr>
              <w:t>atio</w:t>
            </w:r>
          </w:p>
        </w:tc>
        <w:tc>
          <w:tcPr>
            <w:tcW w:w="0" w:type="auto"/>
            <w:tcBorders>
              <w:left w:val="nil"/>
              <w:right w:val="nil"/>
            </w:tcBorders>
            <w:shd w:val="clear" w:color="auto" w:fill="D2EAF1"/>
            <w:noWrap/>
            <w:hideMark/>
          </w:tcPr>
          <w:p w14:paraId="2BAF8B69"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16%</w:t>
            </w:r>
          </w:p>
        </w:tc>
        <w:tc>
          <w:tcPr>
            <w:tcW w:w="0" w:type="auto"/>
            <w:tcBorders>
              <w:left w:val="nil"/>
              <w:right w:val="nil"/>
            </w:tcBorders>
            <w:shd w:val="clear" w:color="auto" w:fill="D2EAF1"/>
            <w:noWrap/>
            <w:hideMark/>
          </w:tcPr>
          <w:p w14:paraId="08840DF2"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0.14%</w:t>
            </w:r>
          </w:p>
        </w:tc>
        <w:tc>
          <w:tcPr>
            <w:tcW w:w="0" w:type="auto"/>
            <w:tcBorders>
              <w:left w:val="nil"/>
              <w:right w:val="nil"/>
            </w:tcBorders>
            <w:shd w:val="clear" w:color="auto" w:fill="D2EAF1"/>
            <w:noWrap/>
            <w:hideMark/>
          </w:tcPr>
          <w:p w14:paraId="4D17A560"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0.001%</w:t>
            </w:r>
          </w:p>
        </w:tc>
        <w:tc>
          <w:tcPr>
            <w:tcW w:w="0" w:type="auto"/>
            <w:tcBorders>
              <w:left w:val="nil"/>
              <w:right w:val="nil"/>
            </w:tcBorders>
            <w:shd w:val="clear" w:color="auto" w:fill="D2EAF1"/>
            <w:noWrap/>
            <w:hideMark/>
          </w:tcPr>
          <w:p w14:paraId="1F303103" w14:textId="77777777" w:rsidR="00EC6F68" w:rsidRPr="00EC6F68" w:rsidRDefault="00EC6F68" w:rsidP="00193187">
            <w:pPr>
              <w:spacing w:after="0" w:line="240" w:lineRule="auto"/>
              <w:jc w:val="center"/>
              <w:rPr>
                <w:rFonts w:eastAsia="Times New Roman" w:cs="Calibri"/>
                <w:color w:val="000000"/>
              </w:rPr>
            </w:pPr>
            <w:r w:rsidRPr="00EC6F68">
              <w:rPr>
                <w:rFonts w:eastAsia="Times New Roman" w:cs="Calibri"/>
                <w:color w:val="000000"/>
              </w:rPr>
              <w:t>70%</w:t>
            </w:r>
          </w:p>
        </w:tc>
      </w:tr>
    </w:tbl>
    <w:p w14:paraId="070BBFC0" w14:textId="77777777" w:rsidR="00032FBB" w:rsidRDefault="00032FBB" w:rsidP="00A421AE"/>
    <w:p w14:paraId="68C7E118" w14:textId="77777777" w:rsidR="007937A2" w:rsidRDefault="007937A2" w:rsidP="00A421AE"/>
    <w:p w14:paraId="57134656" w14:textId="77777777" w:rsidR="007937A2" w:rsidRDefault="007937A2" w:rsidP="00A421AE"/>
    <w:p w14:paraId="197E2B4F" w14:textId="77777777" w:rsidR="007937A2" w:rsidRDefault="007937A2" w:rsidP="00A421AE"/>
    <w:tbl>
      <w:tblPr>
        <w:tblW w:w="8811" w:type="dxa"/>
        <w:tblBorders>
          <w:top w:val="single" w:sz="8" w:space="0" w:color="4BACC6"/>
          <w:bottom w:val="single" w:sz="8" w:space="0" w:color="4BACC6"/>
        </w:tblBorders>
        <w:tblLook w:val="04A0" w:firstRow="1" w:lastRow="0" w:firstColumn="1" w:lastColumn="0" w:noHBand="0" w:noVBand="1"/>
      </w:tblPr>
      <w:tblGrid>
        <w:gridCol w:w="1602"/>
        <w:gridCol w:w="801"/>
        <w:gridCol w:w="801"/>
        <w:gridCol w:w="801"/>
        <w:gridCol w:w="801"/>
        <w:gridCol w:w="801"/>
        <w:gridCol w:w="801"/>
        <w:gridCol w:w="801"/>
        <w:gridCol w:w="801"/>
        <w:gridCol w:w="801"/>
      </w:tblGrid>
      <w:tr w:rsidR="00032FBB" w:rsidRPr="00112848" w14:paraId="6F806B9E" w14:textId="77777777" w:rsidTr="00112848">
        <w:trPr>
          <w:trHeight w:val="440"/>
        </w:trPr>
        <w:tc>
          <w:tcPr>
            <w:tcW w:w="8811" w:type="dxa"/>
            <w:gridSpan w:val="10"/>
            <w:tcBorders>
              <w:top w:val="single" w:sz="8" w:space="0" w:color="4BACC6"/>
              <w:left w:val="nil"/>
              <w:bottom w:val="single" w:sz="8" w:space="0" w:color="4BACC6"/>
              <w:right w:val="nil"/>
            </w:tcBorders>
            <w:shd w:val="clear" w:color="auto" w:fill="auto"/>
            <w:noWrap/>
            <w:hideMark/>
          </w:tcPr>
          <w:p w14:paraId="185035EA" w14:textId="197E7201" w:rsidR="00032FBB" w:rsidRPr="00112848" w:rsidRDefault="00032FBB" w:rsidP="00112848">
            <w:pPr>
              <w:spacing w:after="0" w:line="240" w:lineRule="auto"/>
              <w:jc w:val="center"/>
              <w:rPr>
                <w:rFonts w:eastAsia="Times New Roman"/>
                <w:b/>
                <w:bCs/>
                <w:color w:val="000000"/>
              </w:rPr>
            </w:pPr>
            <w:r w:rsidRPr="00112848">
              <w:rPr>
                <w:rFonts w:eastAsia="Times New Roman"/>
                <w:b/>
                <w:bCs/>
                <w:color w:val="000000"/>
              </w:rPr>
              <w:t xml:space="preserve">Table </w:t>
            </w:r>
            <w:r w:rsidR="004218A7">
              <w:rPr>
                <w:rFonts w:eastAsia="Times New Roman"/>
                <w:b/>
                <w:bCs/>
                <w:color w:val="000000"/>
              </w:rPr>
              <w:t>3</w:t>
            </w:r>
          </w:p>
          <w:p w14:paraId="58311F08" w14:textId="77777777" w:rsidR="00032FBB" w:rsidRPr="00032FBB" w:rsidRDefault="00032FBB" w:rsidP="00112848">
            <w:pPr>
              <w:spacing w:after="0" w:line="240" w:lineRule="auto"/>
              <w:jc w:val="center"/>
              <w:rPr>
                <w:rFonts w:eastAsia="Times New Roman"/>
                <w:b/>
                <w:bCs/>
                <w:color w:val="000000"/>
              </w:rPr>
            </w:pPr>
            <w:r w:rsidRPr="00032FBB">
              <w:rPr>
                <w:rFonts w:eastAsia="Times New Roman"/>
                <w:b/>
                <w:bCs/>
                <w:color w:val="000000"/>
              </w:rPr>
              <w:t xml:space="preserve">Capital Ratio by </w:t>
            </w:r>
            <w:r w:rsidRPr="00112848">
              <w:rPr>
                <w:rFonts w:eastAsia="Times New Roman"/>
                <w:b/>
                <w:bCs/>
                <w:color w:val="000000"/>
              </w:rPr>
              <w:t>Y</w:t>
            </w:r>
            <w:r w:rsidRPr="00032FBB">
              <w:rPr>
                <w:rFonts w:eastAsia="Times New Roman"/>
                <w:b/>
                <w:bCs/>
                <w:color w:val="000000"/>
              </w:rPr>
              <w:t>ear</w:t>
            </w:r>
            <w:r w:rsidRPr="00112848">
              <w:rPr>
                <w:rFonts w:eastAsia="Times New Roman"/>
                <w:b/>
                <w:bCs/>
                <w:color w:val="000000"/>
              </w:rPr>
              <w:t xml:space="preserve"> 2004-2012</w:t>
            </w:r>
          </w:p>
        </w:tc>
      </w:tr>
      <w:tr w:rsidR="00032FBB" w:rsidRPr="00112848" w14:paraId="647259EE" w14:textId="77777777" w:rsidTr="00112848">
        <w:trPr>
          <w:trHeight w:val="440"/>
        </w:trPr>
        <w:tc>
          <w:tcPr>
            <w:tcW w:w="1602" w:type="dxa"/>
            <w:tcBorders>
              <w:left w:val="nil"/>
              <w:right w:val="nil"/>
            </w:tcBorders>
            <w:shd w:val="clear" w:color="auto" w:fill="D2EAF1"/>
            <w:noWrap/>
            <w:hideMark/>
          </w:tcPr>
          <w:p w14:paraId="2CAD73F3" w14:textId="77777777" w:rsidR="00032FBB" w:rsidRPr="00032FBB" w:rsidRDefault="00032FBB" w:rsidP="00112848">
            <w:pPr>
              <w:spacing w:after="0" w:line="240" w:lineRule="auto"/>
              <w:rPr>
                <w:rFonts w:eastAsia="Times New Roman"/>
                <w:b/>
                <w:bCs/>
                <w:color w:val="000000"/>
              </w:rPr>
            </w:pPr>
          </w:p>
        </w:tc>
        <w:tc>
          <w:tcPr>
            <w:tcW w:w="801" w:type="dxa"/>
            <w:tcBorders>
              <w:left w:val="nil"/>
              <w:right w:val="nil"/>
            </w:tcBorders>
            <w:shd w:val="clear" w:color="auto" w:fill="D2EAF1"/>
            <w:noWrap/>
            <w:hideMark/>
          </w:tcPr>
          <w:p w14:paraId="15460C51" w14:textId="77777777" w:rsidR="00032FBB" w:rsidRPr="00032FBB" w:rsidRDefault="00032FBB" w:rsidP="00112848">
            <w:pPr>
              <w:spacing w:after="0" w:line="240" w:lineRule="auto"/>
              <w:jc w:val="center"/>
              <w:rPr>
                <w:rFonts w:eastAsia="Times New Roman"/>
                <w:color w:val="000000"/>
              </w:rPr>
            </w:pPr>
            <w:r w:rsidRPr="00032FBB">
              <w:rPr>
                <w:rFonts w:eastAsia="Times New Roman"/>
                <w:color w:val="000000"/>
              </w:rPr>
              <w:t>2004</w:t>
            </w:r>
          </w:p>
        </w:tc>
        <w:tc>
          <w:tcPr>
            <w:tcW w:w="801" w:type="dxa"/>
            <w:tcBorders>
              <w:left w:val="nil"/>
              <w:right w:val="nil"/>
            </w:tcBorders>
            <w:shd w:val="clear" w:color="auto" w:fill="D2EAF1"/>
            <w:noWrap/>
            <w:hideMark/>
          </w:tcPr>
          <w:p w14:paraId="3B534D80" w14:textId="77777777" w:rsidR="00032FBB" w:rsidRPr="00032FBB" w:rsidRDefault="00032FBB" w:rsidP="00112848">
            <w:pPr>
              <w:spacing w:after="0" w:line="240" w:lineRule="auto"/>
              <w:jc w:val="center"/>
              <w:rPr>
                <w:rFonts w:eastAsia="Times New Roman"/>
                <w:color w:val="000000"/>
              </w:rPr>
            </w:pPr>
            <w:r w:rsidRPr="00032FBB">
              <w:rPr>
                <w:rFonts w:eastAsia="Times New Roman"/>
                <w:color w:val="000000"/>
              </w:rPr>
              <w:t>2005</w:t>
            </w:r>
          </w:p>
        </w:tc>
        <w:tc>
          <w:tcPr>
            <w:tcW w:w="801" w:type="dxa"/>
            <w:tcBorders>
              <w:left w:val="nil"/>
              <w:right w:val="nil"/>
            </w:tcBorders>
            <w:shd w:val="clear" w:color="auto" w:fill="D2EAF1"/>
            <w:noWrap/>
            <w:hideMark/>
          </w:tcPr>
          <w:p w14:paraId="05D10BAF" w14:textId="77777777" w:rsidR="00032FBB" w:rsidRPr="00032FBB" w:rsidRDefault="00032FBB" w:rsidP="00112848">
            <w:pPr>
              <w:spacing w:after="0" w:line="240" w:lineRule="auto"/>
              <w:jc w:val="center"/>
              <w:rPr>
                <w:rFonts w:eastAsia="Times New Roman"/>
                <w:color w:val="000000"/>
              </w:rPr>
            </w:pPr>
            <w:r w:rsidRPr="00032FBB">
              <w:rPr>
                <w:rFonts w:eastAsia="Times New Roman"/>
                <w:color w:val="000000"/>
              </w:rPr>
              <w:t>2006</w:t>
            </w:r>
          </w:p>
        </w:tc>
        <w:tc>
          <w:tcPr>
            <w:tcW w:w="801" w:type="dxa"/>
            <w:tcBorders>
              <w:left w:val="nil"/>
              <w:right w:val="nil"/>
            </w:tcBorders>
            <w:shd w:val="clear" w:color="auto" w:fill="D2EAF1"/>
            <w:noWrap/>
            <w:hideMark/>
          </w:tcPr>
          <w:p w14:paraId="3FB9E66E" w14:textId="77777777" w:rsidR="00032FBB" w:rsidRPr="00032FBB" w:rsidRDefault="00032FBB" w:rsidP="00112848">
            <w:pPr>
              <w:spacing w:after="0" w:line="240" w:lineRule="auto"/>
              <w:jc w:val="center"/>
              <w:rPr>
                <w:rFonts w:eastAsia="Times New Roman"/>
                <w:color w:val="000000"/>
              </w:rPr>
            </w:pPr>
            <w:r w:rsidRPr="00032FBB">
              <w:rPr>
                <w:rFonts w:eastAsia="Times New Roman"/>
                <w:color w:val="000000"/>
              </w:rPr>
              <w:t>2007</w:t>
            </w:r>
          </w:p>
        </w:tc>
        <w:tc>
          <w:tcPr>
            <w:tcW w:w="801" w:type="dxa"/>
            <w:tcBorders>
              <w:left w:val="nil"/>
              <w:right w:val="nil"/>
            </w:tcBorders>
            <w:shd w:val="clear" w:color="auto" w:fill="D2EAF1"/>
            <w:noWrap/>
            <w:hideMark/>
          </w:tcPr>
          <w:p w14:paraId="59C9EA18" w14:textId="77777777" w:rsidR="00032FBB" w:rsidRPr="00032FBB" w:rsidRDefault="00032FBB" w:rsidP="00112848">
            <w:pPr>
              <w:spacing w:after="0" w:line="240" w:lineRule="auto"/>
              <w:jc w:val="center"/>
              <w:rPr>
                <w:rFonts w:eastAsia="Times New Roman"/>
                <w:color w:val="000000"/>
              </w:rPr>
            </w:pPr>
            <w:r w:rsidRPr="00032FBB">
              <w:rPr>
                <w:rFonts w:eastAsia="Times New Roman"/>
                <w:color w:val="000000"/>
              </w:rPr>
              <w:t>2008</w:t>
            </w:r>
          </w:p>
        </w:tc>
        <w:tc>
          <w:tcPr>
            <w:tcW w:w="801" w:type="dxa"/>
            <w:tcBorders>
              <w:left w:val="nil"/>
              <w:right w:val="nil"/>
            </w:tcBorders>
            <w:shd w:val="clear" w:color="auto" w:fill="D2EAF1"/>
            <w:noWrap/>
            <w:hideMark/>
          </w:tcPr>
          <w:p w14:paraId="32267648" w14:textId="77777777" w:rsidR="00032FBB" w:rsidRPr="00032FBB" w:rsidRDefault="00032FBB" w:rsidP="00112848">
            <w:pPr>
              <w:spacing w:after="0" w:line="240" w:lineRule="auto"/>
              <w:jc w:val="center"/>
              <w:rPr>
                <w:rFonts w:eastAsia="Times New Roman"/>
                <w:color w:val="000000"/>
              </w:rPr>
            </w:pPr>
            <w:r w:rsidRPr="00032FBB">
              <w:rPr>
                <w:rFonts w:eastAsia="Times New Roman"/>
                <w:color w:val="000000"/>
              </w:rPr>
              <w:t>2009</w:t>
            </w:r>
          </w:p>
        </w:tc>
        <w:tc>
          <w:tcPr>
            <w:tcW w:w="801" w:type="dxa"/>
            <w:tcBorders>
              <w:left w:val="nil"/>
              <w:right w:val="nil"/>
            </w:tcBorders>
            <w:shd w:val="clear" w:color="auto" w:fill="D2EAF1"/>
            <w:noWrap/>
            <w:hideMark/>
          </w:tcPr>
          <w:p w14:paraId="089480A6" w14:textId="77777777" w:rsidR="00032FBB" w:rsidRPr="00032FBB" w:rsidRDefault="00032FBB" w:rsidP="00112848">
            <w:pPr>
              <w:spacing w:after="0" w:line="240" w:lineRule="auto"/>
              <w:jc w:val="center"/>
              <w:rPr>
                <w:rFonts w:eastAsia="Times New Roman"/>
                <w:color w:val="000000"/>
              </w:rPr>
            </w:pPr>
            <w:r w:rsidRPr="00032FBB">
              <w:rPr>
                <w:rFonts w:eastAsia="Times New Roman"/>
                <w:color w:val="000000"/>
              </w:rPr>
              <w:t>2010</w:t>
            </w:r>
          </w:p>
        </w:tc>
        <w:tc>
          <w:tcPr>
            <w:tcW w:w="801" w:type="dxa"/>
            <w:tcBorders>
              <w:left w:val="nil"/>
              <w:right w:val="nil"/>
            </w:tcBorders>
            <w:shd w:val="clear" w:color="auto" w:fill="D2EAF1"/>
            <w:noWrap/>
            <w:hideMark/>
          </w:tcPr>
          <w:p w14:paraId="441827A3" w14:textId="77777777" w:rsidR="00032FBB" w:rsidRPr="00032FBB" w:rsidRDefault="00032FBB" w:rsidP="00112848">
            <w:pPr>
              <w:spacing w:after="0" w:line="240" w:lineRule="auto"/>
              <w:jc w:val="center"/>
              <w:rPr>
                <w:rFonts w:eastAsia="Times New Roman"/>
                <w:color w:val="000000"/>
              </w:rPr>
            </w:pPr>
            <w:r w:rsidRPr="00032FBB">
              <w:rPr>
                <w:rFonts w:eastAsia="Times New Roman"/>
                <w:color w:val="000000"/>
              </w:rPr>
              <w:t>20111</w:t>
            </w:r>
          </w:p>
        </w:tc>
        <w:tc>
          <w:tcPr>
            <w:tcW w:w="801" w:type="dxa"/>
            <w:tcBorders>
              <w:left w:val="nil"/>
              <w:right w:val="nil"/>
            </w:tcBorders>
            <w:shd w:val="clear" w:color="auto" w:fill="D2EAF1"/>
            <w:noWrap/>
            <w:hideMark/>
          </w:tcPr>
          <w:p w14:paraId="6DB56F0E" w14:textId="77777777" w:rsidR="00032FBB" w:rsidRPr="00032FBB" w:rsidRDefault="00032FBB" w:rsidP="00112848">
            <w:pPr>
              <w:spacing w:after="0" w:line="240" w:lineRule="auto"/>
              <w:jc w:val="center"/>
              <w:rPr>
                <w:rFonts w:eastAsia="Times New Roman"/>
                <w:color w:val="000000"/>
              </w:rPr>
            </w:pPr>
            <w:r w:rsidRPr="00032FBB">
              <w:rPr>
                <w:rFonts w:eastAsia="Times New Roman"/>
                <w:color w:val="000000"/>
              </w:rPr>
              <w:t>2012</w:t>
            </w:r>
          </w:p>
        </w:tc>
      </w:tr>
      <w:tr w:rsidR="00032FBB" w:rsidRPr="00032FBB" w14:paraId="601C9A61" w14:textId="77777777" w:rsidTr="00112848">
        <w:trPr>
          <w:trHeight w:val="440"/>
        </w:trPr>
        <w:tc>
          <w:tcPr>
            <w:tcW w:w="1602" w:type="dxa"/>
            <w:shd w:val="clear" w:color="auto" w:fill="auto"/>
            <w:noWrap/>
            <w:hideMark/>
          </w:tcPr>
          <w:p w14:paraId="11F0E464" w14:textId="77777777" w:rsidR="00032FBB" w:rsidRPr="007937A2" w:rsidRDefault="00032FBB" w:rsidP="00112848">
            <w:pPr>
              <w:spacing w:after="0" w:line="240" w:lineRule="auto"/>
              <w:rPr>
                <w:rFonts w:eastAsia="Times New Roman"/>
                <w:b/>
                <w:bCs/>
                <w:color w:val="000000"/>
                <w:sz w:val="20"/>
              </w:rPr>
            </w:pPr>
            <w:r w:rsidRPr="007937A2">
              <w:rPr>
                <w:rFonts w:eastAsia="Times New Roman"/>
                <w:b/>
                <w:bCs/>
                <w:color w:val="000000"/>
                <w:sz w:val="20"/>
              </w:rPr>
              <w:t>GCC Banks</w:t>
            </w:r>
          </w:p>
        </w:tc>
        <w:tc>
          <w:tcPr>
            <w:tcW w:w="801" w:type="dxa"/>
            <w:shd w:val="clear" w:color="auto" w:fill="auto"/>
            <w:noWrap/>
            <w:hideMark/>
          </w:tcPr>
          <w:p w14:paraId="61769D81" w14:textId="77777777" w:rsidR="00032FBB" w:rsidRPr="007937A2" w:rsidRDefault="00032FBB" w:rsidP="00112848">
            <w:pPr>
              <w:spacing w:after="0" w:line="240" w:lineRule="auto"/>
              <w:jc w:val="center"/>
              <w:rPr>
                <w:rFonts w:eastAsia="Times New Roman"/>
                <w:color w:val="000000"/>
                <w:sz w:val="20"/>
              </w:rPr>
            </w:pPr>
            <w:r w:rsidRPr="007937A2">
              <w:rPr>
                <w:rFonts w:eastAsia="Times New Roman"/>
                <w:color w:val="000000"/>
                <w:sz w:val="20"/>
              </w:rPr>
              <w:t>15.8%</w:t>
            </w:r>
          </w:p>
        </w:tc>
        <w:tc>
          <w:tcPr>
            <w:tcW w:w="801" w:type="dxa"/>
            <w:shd w:val="clear" w:color="auto" w:fill="auto"/>
            <w:noWrap/>
            <w:hideMark/>
          </w:tcPr>
          <w:p w14:paraId="1E853B27" w14:textId="77777777" w:rsidR="00032FBB" w:rsidRPr="007937A2" w:rsidRDefault="00032FBB" w:rsidP="00112848">
            <w:pPr>
              <w:spacing w:after="0" w:line="240" w:lineRule="auto"/>
              <w:jc w:val="center"/>
              <w:rPr>
                <w:rFonts w:eastAsia="Times New Roman"/>
                <w:color w:val="000000"/>
                <w:sz w:val="20"/>
              </w:rPr>
            </w:pPr>
            <w:r w:rsidRPr="007937A2">
              <w:rPr>
                <w:rFonts w:eastAsia="Times New Roman"/>
                <w:color w:val="000000"/>
                <w:sz w:val="20"/>
              </w:rPr>
              <w:t>16.2%</w:t>
            </w:r>
          </w:p>
        </w:tc>
        <w:tc>
          <w:tcPr>
            <w:tcW w:w="801" w:type="dxa"/>
            <w:shd w:val="clear" w:color="auto" w:fill="auto"/>
            <w:noWrap/>
            <w:hideMark/>
          </w:tcPr>
          <w:p w14:paraId="783B001C" w14:textId="77777777" w:rsidR="00032FBB" w:rsidRPr="007937A2" w:rsidRDefault="00032FBB" w:rsidP="00112848">
            <w:pPr>
              <w:spacing w:after="0" w:line="240" w:lineRule="auto"/>
              <w:jc w:val="center"/>
              <w:rPr>
                <w:rFonts w:eastAsia="Times New Roman"/>
                <w:color w:val="000000"/>
                <w:sz w:val="20"/>
              </w:rPr>
            </w:pPr>
            <w:r w:rsidRPr="007937A2">
              <w:rPr>
                <w:rFonts w:eastAsia="Times New Roman"/>
                <w:color w:val="000000"/>
                <w:sz w:val="20"/>
              </w:rPr>
              <w:t>18.0%</w:t>
            </w:r>
          </w:p>
        </w:tc>
        <w:tc>
          <w:tcPr>
            <w:tcW w:w="801" w:type="dxa"/>
            <w:shd w:val="clear" w:color="auto" w:fill="auto"/>
            <w:noWrap/>
            <w:hideMark/>
          </w:tcPr>
          <w:p w14:paraId="0A80342D" w14:textId="77777777" w:rsidR="00032FBB" w:rsidRPr="007937A2" w:rsidRDefault="00032FBB" w:rsidP="00112848">
            <w:pPr>
              <w:spacing w:after="0" w:line="240" w:lineRule="auto"/>
              <w:jc w:val="center"/>
              <w:rPr>
                <w:rFonts w:eastAsia="Times New Roman"/>
                <w:color w:val="000000"/>
                <w:sz w:val="20"/>
              </w:rPr>
            </w:pPr>
            <w:r w:rsidRPr="007937A2">
              <w:rPr>
                <w:rFonts w:eastAsia="Times New Roman"/>
                <w:color w:val="000000"/>
                <w:sz w:val="20"/>
              </w:rPr>
              <w:t>15.3%</w:t>
            </w:r>
          </w:p>
        </w:tc>
        <w:tc>
          <w:tcPr>
            <w:tcW w:w="801" w:type="dxa"/>
            <w:shd w:val="clear" w:color="auto" w:fill="auto"/>
            <w:noWrap/>
            <w:hideMark/>
          </w:tcPr>
          <w:p w14:paraId="735E5B84" w14:textId="77777777" w:rsidR="00032FBB" w:rsidRPr="007937A2" w:rsidRDefault="00032FBB" w:rsidP="00112848">
            <w:pPr>
              <w:spacing w:after="0" w:line="240" w:lineRule="auto"/>
              <w:jc w:val="center"/>
              <w:rPr>
                <w:rFonts w:eastAsia="Times New Roman"/>
                <w:color w:val="000000"/>
                <w:sz w:val="20"/>
              </w:rPr>
            </w:pPr>
            <w:r w:rsidRPr="007937A2">
              <w:rPr>
                <w:rFonts w:eastAsia="Times New Roman"/>
                <w:color w:val="000000"/>
                <w:sz w:val="20"/>
              </w:rPr>
              <w:t>18.5%</w:t>
            </w:r>
          </w:p>
        </w:tc>
        <w:tc>
          <w:tcPr>
            <w:tcW w:w="801" w:type="dxa"/>
            <w:shd w:val="clear" w:color="auto" w:fill="auto"/>
            <w:noWrap/>
            <w:hideMark/>
          </w:tcPr>
          <w:p w14:paraId="05E9C780" w14:textId="77777777" w:rsidR="00032FBB" w:rsidRPr="007937A2" w:rsidRDefault="00032FBB" w:rsidP="00112848">
            <w:pPr>
              <w:spacing w:after="0" w:line="240" w:lineRule="auto"/>
              <w:jc w:val="center"/>
              <w:rPr>
                <w:rFonts w:eastAsia="Times New Roman"/>
                <w:color w:val="000000"/>
                <w:sz w:val="20"/>
              </w:rPr>
            </w:pPr>
            <w:r w:rsidRPr="007937A2">
              <w:rPr>
                <w:rFonts w:eastAsia="Times New Roman"/>
                <w:color w:val="000000"/>
                <w:sz w:val="20"/>
              </w:rPr>
              <w:t>15.1%</w:t>
            </w:r>
          </w:p>
        </w:tc>
        <w:tc>
          <w:tcPr>
            <w:tcW w:w="801" w:type="dxa"/>
            <w:shd w:val="clear" w:color="auto" w:fill="auto"/>
            <w:noWrap/>
            <w:hideMark/>
          </w:tcPr>
          <w:p w14:paraId="74972661" w14:textId="77777777" w:rsidR="00032FBB" w:rsidRPr="007937A2" w:rsidRDefault="00032FBB" w:rsidP="00112848">
            <w:pPr>
              <w:spacing w:after="0" w:line="240" w:lineRule="auto"/>
              <w:jc w:val="center"/>
              <w:rPr>
                <w:rFonts w:eastAsia="Times New Roman"/>
                <w:color w:val="000000"/>
                <w:sz w:val="20"/>
              </w:rPr>
            </w:pPr>
            <w:r w:rsidRPr="007937A2">
              <w:rPr>
                <w:rFonts w:eastAsia="Times New Roman"/>
                <w:color w:val="000000"/>
                <w:sz w:val="20"/>
              </w:rPr>
              <w:t>18.2%</w:t>
            </w:r>
          </w:p>
        </w:tc>
        <w:tc>
          <w:tcPr>
            <w:tcW w:w="801" w:type="dxa"/>
            <w:shd w:val="clear" w:color="auto" w:fill="auto"/>
            <w:noWrap/>
            <w:hideMark/>
          </w:tcPr>
          <w:p w14:paraId="65A84FDF" w14:textId="77777777" w:rsidR="00032FBB" w:rsidRPr="007937A2" w:rsidRDefault="00032FBB" w:rsidP="00112848">
            <w:pPr>
              <w:spacing w:after="0" w:line="240" w:lineRule="auto"/>
              <w:jc w:val="center"/>
              <w:rPr>
                <w:rFonts w:eastAsia="Times New Roman"/>
                <w:color w:val="000000"/>
                <w:sz w:val="20"/>
              </w:rPr>
            </w:pPr>
            <w:r w:rsidRPr="007937A2">
              <w:rPr>
                <w:rFonts w:eastAsia="Times New Roman"/>
                <w:color w:val="000000"/>
                <w:sz w:val="20"/>
              </w:rPr>
              <w:t>18.2%</w:t>
            </w:r>
          </w:p>
        </w:tc>
        <w:tc>
          <w:tcPr>
            <w:tcW w:w="801" w:type="dxa"/>
            <w:shd w:val="clear" w:color="auto" w:fill="auto"/>
            <w:noWrap/>
            <w:hideMark/>
          </w:tcPr>
          <w:p w14:paraId="050D08F0" w14:textId="77777777" w:rsidR="00032FBB" w:rsidRPr="007937A2" w:rsidRDefault="00032FBB" w:rsidP="00112848">
            <w:pPr>
              <w:spacing w:after="0" w:line="240" w:lineRule="auto"/>
              <w:jc w:val="center"/>
              <w:rPr>
                <w:rFonts w:eastAsia="Times New Roman"/>
                <w:color w:val="000000"/>
                <w:sz w:val="20"/>
              </w:rPr>
            </w:pPr>
            <w:r w:rsidRPr="007937A2">
              <w:rPr>
                <w:rFonts w:eastAsia="Times New Roman"/>
                <w:color w:val="000000"/>
                <w:sz w:val="20"/>
              </w:rPr>
              <w:t>17.2%</w:t>
            </w:r>
          </w:p>
        </w:tc>
      </w:tr>
      <w:tr w:rsidR="00032FBB" w:rsidRPr="00112848" w14:paraId="6D288B6C" w14:textId="77777777" w:rsidTr="00112848">
        <w:trPr>
          <w:trHeight w:val="440"/>
        </w:trPr>
        <w:tc>
          <w:tcPr>
            <w:tcW w:w="1602" w:type="dxa"/>
            <w:tcBorders>
              <w:left w:val="nil"/>
              <w:right w:val="nil"/>
            </w:tcBorders>
            <w:shd w:val="clear" w:color="auto" w:fill="D2EAF1"/>
            <w:noWrap/>
            <w:hideMark/>
          </w:tcPr>
          <w:p w14:paraId="445B681C" w14:textId="77777777" w:rsidR="00032FBB" w:rsidRPr="007937A2" w:rsidRDefault="00032FBB" w:rsidP="00112848">
            <w:pPr>
              <w:spacing w:after="0" w:line="240" w:lineRule="auto"/>
              <w:rPr>
                <w:rFonts w:eastAsia="Times New Roman"/>
                <w:b/>
                <w:bCs/>
                <w:color w:val="000000"/>
                <w:sz w:val="20"/>
              </w:rPr>
            </w:pPr>
            <w:r w:rsidRPr="007937A2">
              <w:rPr>
                <w:rFonts w:eastAsia="Times New Roman"/>
                <w:b/>
                <w:bCs/>
                <w:color w:val="000000"/>
                <w:sz w:val="20"/>
              </w:rPr>
              <w:t>Non-GCC Banks</w:t>
            </w:r>
          </w:p>
        </w:tc>
        <w:tc>
          <w:tcPr>
            <w:tcW w:w="801" w:type="dxa"/>
            <w:tcBorders>
              <w:left w:val="nil"/>
              <w:right w:val="nil"/>
            </w:tcBorders>
            <w:shd w:val="clear" w:color="auto" w:fill="D2EAF1"/>
            <w:noWrap/>
            <w:hideMark/>
          </w:tcPr>
          <w:p w14:paraId="01B5D118" w14:textId="77777777" w:rsidR="00032FBB" w:rsidRPr="007937A2" w:rsidRDefault="00032FBB" w:rsidP="00112848">
            <w:pPr>
              <w:spacing w:after="0" w:line="240" w:lineRule="auto"/>
              <w:jc w:val="center"/>
              <w:rPr>
                <w:rFonts w:eastAsia="Times New Roman"/>
                <w:color w:val="000000"/>
                <w:sz w:val="20"/>
              </w:rPr>
            </w:pPr>
            <w:r w:rsidRPr="007937A2">
              <w:rPr>
                <w:rFonts w:eastAsia="Times New Roman"/>
                <w:color w:val="000000"/>
                <w:sz w:val="20"/>
              </w:rPr>
              <w:t>- -</w:t>
            </w:r>
          </w:p>
        </w:tc>
        <w:tc>
          <w:tcPr>
            <w:tcW w:w="801" w:type="dxa"/>
            <w:tcBorders>
              <w:left w:val="nil"/>
              <w:right w:val="nil"/>
            </w:tcBorders>
            <w:shd w:val="clear" w:color="auto" w:fill="D2EAF1"/>
            <w:noWrap/>
            <w:hideMark/>
          </w:tcPr>
          <w:p w14:paraId="37232DCE" w14:textId="77777777" w:rsidR="00032FBB" w:rsidRPr="007937A2" w:rsidRDefault="00032FBB" w:rsidP="00112848">
            <w:pPr>
              <w:spacing w:after="0" w:line="240" w:lineRule="auto"/>
              <w:jc w:val="center"/>
              <w:rPr>
                <w:rFonts w:eastAsia="Times New Roman"/>
                <w:color w:val="000000"/>
                <w:sz w:val="20"/>
              </w:rPr>
            </w:pPr>
            <w:r w:rsidRPr="007937A2">
              <w:rPr>
                <w:rFonts w:eastAsia="Times New Roman"/>
                <w:color w:val="000000"/>
                <w:sz w:val="20"/>
              </w:rPr>
              <w:t>16.5%</w:t>
            </w:r>
          </w:p>
        </w:tc>
        <w:tc>
          <w:tcPr>
            <w:tcW w:w="801" w:type="dxa"/>
            <w:tcBorders>
              <w:left w:val="nil"/>
              <w:right w:val="nil"/>
            </w:tcBorders>
            <w:shd w:val="clear" w:color="auto" w:fill="D2EAF1"/>
            <w:noWrap/>
            <w:hideMark/>
          </w:tcPr>
          <w:p w14:paraId="5BA1187F" w14:textId="77777777" w:rsidR="00032FBB" w:rsidRPr="007937A2" w:rsidRDefault="00032FBB" w:rsidP="00112848">
            <w:pPr>
              <w:spacing w:after="0" w:line="240" w:lineRule="auto"/>
              <w:jc w:val="center"/>
              <w:rPr>
                <w:rFonts w:eastAsia="Times New Roman"/>
                <w:color w:val="000000"/>
                <w:sz w:val="20"/>
              </w:rPr>
            </w:pPr>
            <w:r w:rsidRPr="007937A2">
              <w:rPr>
                <w:rFonts w:eastAsia="Times New Roman"/>
                <w:color w:val="000000"/>
                <w:sz w:val="20"/>
              </w:rPr>
              <w:t>21.3%</w:t>
            </w:r>
          </w:p>
        </w:tc>
        <w:tc>
          <w:tcPr>
            <w:tcW w:w="801" w:type="dxa"/>
            <w:tcBorders>
              <w:left w:val="nil"/>
              <w:right w:val="nil"/>
            </w:tcBorders>
            <w:shd w:val="clear" w:color="auto" w:fill="D2EAF1"/>
            <w:noWrap/>
            <w:hideMark/>
          </w:tcPr>
          <w:p w14:paraId="4E3596C1" w14:textId="77777777" w:rsidR="00032FBB" w:rsidRPr="007937A2" w:rsidRDefault="00032FBB" w:rsidP="00112848">
            <w:pPr>
              <w:spacing w:after="0" w:line="240" w:lineRule="auto"/>
              <w:jc w:val="center"/>
              <w:rPr>
                <w:rFonts w:eastAsia="Times New Roman"/>
                <w:color w:val="000000"/>
                <w:sz w:val="20"/>
              </w:rPr>
            </w:pPr>
            <w:r w:rsidRPr="007937A2">
              <w:rPr>
                <w:rFonts w:eastAsia="Times New Roman"/>
                <w:color w:val="000000"/>
                <w:sz w:val="20"/>
              </w:rPr>
              <w:t>15.4%</w:t>
            </w:r>
          </w:p>
        </w:tc>
        <w:tc>
          <w:tcPr>
            <w:tcW w:w="801" w:type="dxa"/>
            <w:tcBorders>
              <w:left w:val="nil"/>
              <w:right w:val="nil"/>
            </w:tcBorders>
            <w:shd w:val="clear" w:color="auto" w:fill="D2EAF1"/>
            <w:noWrap/>
            <w:hideMark/>
          </w:tcPr>
          <w:p w14:paraId="78E5430D" w14:textId="77777777" w:rsidR="00032FBB" w:rsidRPr="007937A2" w:rsidRDefault="00032FBB" w:rsidP="00112848">
            <w:pPr>
              <w:spacing w:after="0" w:line="240" w:lineRule="auto"/>
              <w:jc w:val="center"/>
              <w:rPr>
                <w:rFonts w:eastAsia="Times New Roman"/>
                <w:color w:val="000000"/>
                <w:sz w:val="20"/>
              </w:rPr>
            </w:pPr>
            <w:r w:rsidRPr="007937A2">
              <w:rPr>
                <w:rFonts w:eastAsia="Times New Roman"/>
                <w:color w:val="000000"/>
                <w:sz w:val="20"/>
              </w:rPr>
              <w:t>14.4%</w:t>
            </w:r>
          </w:p>
        </w:tc>
        <w:tc>
          <w:tcPr>
            <w:tcW w:w="801" w:type="dxa"/>
            <w:tcBorders>
              <w:left w:val="nil"/>
              <w:right w:val="nil"/>
            </w:tcBorders>
            <w:shd w:val="clear" w:color="auto" w:fill="D2EAF1"/>
            <w:noWrap/>
            <w:hideMark/>
          </w:tcPr>
          <w:p w14:paraId="0E4A3ADE" w14:textId="77777777" w:rsidR="00032FBB" w:rsidRPr="007937A2" w:rsidRDefault="00032FBB" w:rsidP="00112848">
            <w:pPr>
              <w:spacing w:after="0" w:line="240" w:lineRule="auto"/>
              <w:jc w:val="center"/>
              <w:rPr>
                <w:rFonts w:eastAsia="Times New Roman"/>
                <w:color w:val="000000"/>
                <w:sz w:val="20"/>
              </w:rPr>
            </w:pPr>
            <w:r w:rsidRPr="007937A2">
              <w:rPr>
                <w:rFonts w:eastAsia="Times New Roman"/>
                <w:color w:val="000000"/>
                <w:sz w:val="20"/>
              </w:rPr>
              <w:t>13.5%</w:t>
            </w:r>
          </w:p>
        </w:tc>
        <w:tc>
          <w:tcPr>
            <w:tcW w:w="801" w:type="dxa"/>
            <w:tcBorders>
              <w:left w:val="nil"/>
              <w:right w:val="nil"/>
            </w:tcBorders>
            <w:shd w:val="clear" w:color="auto" w:fill="D2EAF1"/>
            <w:noWrap/>
            <w:hideMark/>
          </w:tcPr>
          <w:p w14:paraId="50C114EA" w14:textId="77777777" w:rsidR="00032FBB" w:rsidRPr="007937A2" w:rsidRDefault="00032FBB" w:rsidP="00112848">
            <w:pPr>
              <w:spacing w:after="0" w:line="240" w:lineRule="auto"/>
              <w:jc w:val="center"/>
              <w:rPr>
                <w:rFonts w:eastAsia="Times New Roman"/>
                <w:color w:val="000000"/>
                <w:sz w:val="20"/>
              </w:rPr>
            </w:pPr>
            <w:r w:rsidRPr="007937A2">
              <w:rPr>
                <w:rFonts w:eastAsia="Times New Roman"/>
                <w:color w:val="000000"/>
                <w:sz w:val="20"/>
              </w:rPr>
              <w:t>14.2%</w:t>
            </w:r>
          </w:p>
        </w:tc>
        <w:tc>
          <w:tcPr>
            <w:tcW w:w="801" w:type="dxa"/>
            <w:tcBorders>
              <w:left w:val="nil"/>
              <w:right w:val="nil"/>
            </w:tcBorders>
            <w:shd w:val="clear" w:color="auto" w:fill="D2EAF1"/>
            <w:noWrap/>
            <w:hideMark/>
          </w:tcPr>
          <w:p w14:paraId="1A4C2CAD" w14:textId="77777777" w:rsidR="00032FBB" w:rsidRPr="007937A2" w:rsidRDefault="00032FBB" w:rsidP="00112848">
            <w:pPr>
              <w:spacing w:after="0" w:line="240" w:lineRule="auto"/>
              <w:jc w:val="center"/>
              <w:rPr>
                <w:rFonts w:eastAsia="Times New Roman"/>
                <w:color w:val="000000"/>
                <w:sz w:val="20"/>
              </w:rPr>
            </w:pPr>
            <w:r w:rsidRPr="007937A2">
              <w:rPr>
                <w:rFonts w:eastAsia="Times New Roman"/>
                <w:color w:val="000000"/>
                <w:sz w:val="20"/>
              </w:rPr>
              <w:t>12.8%</w:t>
            </w:r>
          </w:p>
        </w:tc>
        <w:tc>
          <w:tcPr>
            <w:tcW w:w="801" w:type="dxa"/>
            <w:tcBorders>
              <w:left w:val="nil"/>
              <w:right w:val="nil"/>
            </w:tcBorders>
            <w:shd w:val="clear" w:color="auto" w:fill="D2EAF1"/>
            <w:noWrap/>
            <w:hideMark/>
          </w:tcPr>
          <w:p w14:paraId="775AB040" w14:textId="5580B0A0" w:rsidR="00456D4C" w:rsidRPr="007937A2" w:rsidRDefault="00032FBB" w:rsidP="00456D4C">
            <w:pPr>
              <w:spacing w:after="0" w:line="240" w:lineRule="auto"/>
              <w:jc w:val="center"/>
              <w:rPr>
                <w:rFonts w:eastAsia="Times New Roman"/>
                <w:color w:val="000000"/>
                <w:sz w:val="20"/>
              </w:rPr>
            </w:pPr>
            <w:r w:rsidRPr="007937A2">
              <w:rPr>
                <w:rFonts w:eastAsia="Times New Roman"/>
                <w:color w:val="000000"/>
                <w:sz w:val="20"/>
              </w:rPr>
              <w:t>13.3%</w:t>
            </w:r>
          </w:p>
        </w:tc>
      </w:tr>
      <w:tr w:rsidR="00456D4C" w:rsidRPr="00112848" w14:paraId="6049CCDE" w14:textId="77777777" w:rsidTr="00112848">
        <w:trPr>
          <w:trHeight w:val="440"/>
        </w:trPr>
        <w:tc>
          <w:tcPr>
            <w:tcW w:w="1602" w:type="dxa"/>
            <w:tcBorders>
              <w:left w:val="nil"/>
              <w:right w:val="nil"/>
            </w:tcBorders>
            <w:shd w:val="clear" w:color="auto" w:fill="D2EAF1"/>
            <w:noWrap/>
          </w:tcPr>
          <w:p w14:paraId="200C089B" w14:textId="2FF18008" w:rsidR="00456D4C" w:rsidRPr="00456D4C" w:rsidRDefault="00A55B09" w:rsidP="00A55B09">
            <w:pPr>
              <w:spacing w:after="0" w:line="240" w:lineRule="auto"/>
              <w:rPr>
                <w:rFonts w:eastAsia="Times New Roman"/>
                <w:b/>
                <w:bCs/>
                <w:color w:val="000000"/>
                <w:sz w:val="20"/>
              </w:rPr>
            </w:pPr>
            <w:r>
              <w:rPr>
                <w:rFonts w:eastAsia="Times New Roman"/>
                <w:b/>
                <w:bCs/>
                <w:color w:val="000000"/>
                <w:sz w:val="20"/>
              </w:rPr>
              <w:t>Difference</w:t>
            </w:r>
          </w:p>
        </w:tc>
        <w:tc>
          <w:tcPr>
            <w:tcW w:w="801" w:type="dxa"/>
            <w:tcBorders>
              <w:left w:val="nil"/>
              <w:right w:val="nil"/>
            </w:tcBorders>
            <w:shd w:val="clear" w:color="auto" w:fill="D2EAF1"/>
            <w:noWrap/>
          </w:tcPr>
          <w:p w14:paraId="08B2F110" w14:textId="29CDF14C" w:rsidR="00456D4C" w:rsidRPr="00456D4C" w:rsidRDefault="00456D4C" w:rsidP="00112848">
            <w:pPr>
              <w:spacing w:after="0" w:line="240" w:lineRule="auto"/>
              <w:jc w:val="center"/>
              <w:rPr>
                <w:rFonts w:eastAsia="Times New Roman"/>
                <w:b/>
                <w:color w:val="000000"/>
                <w:sz w:val="20"/>
              </w:rPr>
            </w:pPr>
            <w:r w:rsidRPr="00456D4C">
              <w:rPr>
                <w:rFonts w:eastAsia="Times New Roman"/>
                <w:b/>
                <w:color w:val="000000"/>
                <w:sz w:val="20"/>
              </w:rPr>
              <w:t>--</w:t>
            </w:r>
          </w:p>
        </w:tc>
        <w:tc>
          <w:tcPr>
            <w:tcW w:w="801" w:type="dxa"/>
            <w:tcBorders>
              <w:left w:val="nil"/>
              <w:right w:val="nil"/>
            </w:tcBorders>
            <w:shd w:val="clear" w:color="auto" w:fill="D2EAF1"/>
            <w:noWrap/>
          </w:tcPr>
          <w:p w14:paraId="53D6A29E" w14:textId="1F24D475" w:rsidR="00456D4C" w:rsidRPr="00456D4C" w:rsidRDefault="00456D4C" w:rsidP="00112848">
            <w:pPr>
              <w:spacing w:after="0" w:line="240" w:lineRule="auto"/>
              <w:jc w:val="center"/>
              <w:rPr>
                <w:rFonts w:eastAsia="Times New Roman"/>
                <w:b/>
                <w:color w:val="000000"/>
                <w:sz w:val="20"/>
              </w:rPr>
            </w:pPr>
            <w:r w:rsidRPr="00456D4C">
              <w:rPr>
                <w:rFonts w:eastAsia="Times New Roman"/>
                <w:b/>
                <w:color w:val="000000"/>
                <w:sz w:val="20"/>
              </w:rPr>
              <w:t>-0.3%</w:t>
            </w:r>
          </w:p>
        </w:tc>
        <w:tc>
          <w:tcPr>
            <w:tcW w:w="801" w:type="dxa"/>
            <w:tcBorders>
              <w:left w:val="nil"/>
              <w:right w:val="nil"/>
            </w:tcBorders>
            <w:shd w:val="clear" w:color="auto" w:fill="D2EAF1"/>
            <w:noWrap/>
          </w:tcPr>
          <w:p w14:paraId="6C295CE4" w14:textId="4252D25F" w:rsidR="00456D4C" w:rsidRPr="00456D4C" w:rsidRDefault="00456D4C" w:rsidP="00112848">
            <w:pPr>
              <w:spacing w:after="0" w:line="240" w:lineRule="auto"/>
              <w:jc w:val="center"/>
              <w:rPr>
                <w:rFonts w:eastAsia="Times New Roman"/>
                <w:b/>
                <w:color w:val="000000"/>
                <w:sz w:val="20"/>
              </w:rPr>
            </w:pPr>
            <w:r w:rsidRPr="00456D4C">
              <w:rPr>
                <w:rFonts w:eastAsia="Times New Roman"/>
                <w:b/>
                <w:color w:val="000000"/>
                <w:sz w:val="20"/>
              </w:rPr>
              <w:t>-3.3%</w:t>
            </w:r>
          </w:p>
        </w:tc>
        <w:tc>
          <w:tcPr>
            <w:tcW w:w="801" w:type="dxa"/>
            <w:tcBorders>
              <w:left w:val="nil"/>
              <w:right w:val="nil"/>
            </w:tcBorders>
            <w:shd w:val="clear" w:color="auto" w:fill="D2EAF1"/>
            <w:noWrap/>
          </w:tcPr>
          <w:p w14:paraId="09DD7A56" w14:textId="7E5D7062" w:rsidR="00456D4C" w:rsidRPr="00456D4C" w:rsidRDefault="00456D4C" w:rsidP="00112848">
            <w:pPr>
              <w:spacing w:after="0" w:line="240" w:lineRule="auto"/>
              <w:jc w:val="center"/>
              <w:rPr>
                <w:rFonts w:eastAsia="Times New Roman"/>
                <w:b/>
                <w:color w:val="000000"/>
                <w:sz w:val="20"/>
              </w:rPr>
            </w:pPr>
            <w:r w:rsidRPr="00456D4C">
              <w:rPr>
                <w:rFonts w:eastAsia="Times New Roman"/>
                <w:b/>
                <w:color w:val="000000"/>
                <w:sz w:val="20"/>
              </w:rPr>
              <w:t>-0.1%</w:t>
            </w:r>
          </w:p>
        </w:tc>
        <w:tc>
          <w:tcPr>
            <w:tcW w:w="801" w:type="dxa"/>
            <w:tcBorders>
              <w:left w:val="nil"/>
              <w:right w:val="nil"/>
            </w:tcBorders>
            <w:shd w:val="clear" w:color="auto" w:fill="D2EAF1"/>
            <w:noWrap/>
          </w:tcPr>
          <w:p w14:paraId="10AAF11D" w14:textId="61AD52B1" w:rsidR="00456D4C" w:rsidRPr="00456D4C" w:rsidRDefault="00456D4C" w:rsidP="00112848">
            <w:pPr>
              <w:spacing w:after="0" w:line="240" w:lineRule="auto"/>
              <w:jc w:val="center"/>
              <w:rPr>
                <w:rFonts w:eastAsia="Times New Roman"/>
                <w:b/>
                <w:color w:val="000000"/>
                <w:sz w:val="20"/>
              </w:rPr>
            </w:pPr>
            <w:r w:rsidRPr="00456D4C">
              <w:rPr>
                <w:rFonts w:eastAsia="Times New Roman"/>
                <w:b/>
                <w:color w:val="000000"/>
                <w:sz w:val="20"/>
              </w:rPr>
              <w:t>4.1%</w:t>
            </w:r>
          </w:p>
        </w:tc>
        <w:tc>
          <w:tcPr>
            <w:tcW w:w="801" w:type="dxa"/>
            <w:tcBorders>
              <w:left w:val="nil"/>
              <w:right w:val="nil"/>
            </w:tcBorders>
            <w:shd w:val="clear" w:color="auto" w:fill="D2EAF1"/>
            <w:noWrap/>
          </w:tcPr>
          <w:p w14:paraId="08F09E09" w14:textId="514A2A24" w:rsidR="00456D4C" w:rsidRPr="00456D4C" w:rsidRDefault="00456D4C" w:rsidP="00112848">
            <w:pPr>
              <w:spacing w:after="0" w:line="240" w:lineRule="auto"/>
              <w:jc w:val="center"/>
              <w:rPr>
                <w:rFonts w:eastAsia="Times New Roman"/>
                <w:b/>
                <w:color w:val="000000"/>
                <w:sz w:val="20"/>
              </w:rPr>
            </w:pPr>
            <w:r w:rsidRPr="00456D4C">
              <w:rPr>
                <w:rFonts w:eastAsia="Times New Roman"/>
                <w:b/>
                <w:color w:val="000000"/>
                <w:sz w:val="20"/>
              </w:rPr>
              <w:t>1.6%</w:t>
            </w:r>
          </w:p>
        </w:tc>
        <w:tc>
          <w:tcPr>
            <w:tcW w:w="801" w:type="dxa"/>
            <w:tcBorders>
              <w:left w:val="nil"/>
              <w:right w:val="nil"/>
            </w:tcBorders>
            <w:shd w:val="clear" w:color="auto" w:fill="D2EAF1"/>
            <w:noWrap/>
          </w:tcPr>
          <w:p w14:paraId="11EB711A" w14:textId="253F78C0" w:rsidR="00456D4C" w:rsidRPr="00456D4C" w:rsidRDefault="00456D4C" w:rsidP="00112848">
            <w:pPr>
              <w:spacing w:after="0" w:line="240" w:lineRule="auto"/>
              <w:jc w:val="center"/>
              <w:rPr>
                <w:rFonts w:eastAsia="Times New Roman"/>
                <w:b/>
                <w:color w:val="000000"/>
                <w:sz w:val="20"/>
              </w:rPr>
            </w:pPr>
            <w:r w:rsidRPr="00456D4C">
              <w:rPr>
                <w:rFonts w:eastAsia="Times New Roman"/>
                <w:b/>
                <w:color w:val="000000"/>
                <w:sz w:val="20"/>
              </w:rPr>
              <w:t>4.0%</w:t>
            </w:r>
          </w:p>
        </w:tc>
        <w:tc>
          <w:tcPr>
            <w:tcW w:w="801" w:type="dxa"/>
            <w:tcBorders>
              <w:left w:val="nil"/>
              <w:right w:val="nil"/>
            </w:tcBorders>
            <w:shd w:val="clear" w:color="auto" w:fill="D2EAF1"/>
            <w:noWrap/>
          </w:tcPr>
          <w:p w14:paraId="105E9DE8" w14:textId="0F083725" w:rsidR="00456D4C" w:rsidRPr="00456D4C" w:rsidRDefault="00456D4C" w:rsidP="00112848">
            <w:pPr>
              <w:spacing w:after="0" w:line="240" w:lineRule="auto"/>
              <w:jc w:val="center"/>
              <w:rPr>
                <w:rFonts w:eastAsia="Times New Roman"/>
                <w:b/>
                <w:color w:val="000000"/>
                <w:sz w:val="20"/>
              </w:rPr>
            </w:pPr>
            <w:r w:rsidRPr="00456D4C">
              <w:rPr>
                <w:rFonts w:eastAsia="Times New Roman"/>
                <w:b/>
                <w:color w:val="000000"/>
                <w:sz w:val="20"/>
              </w:rPr>
              <w:t>5.4%</w:t>
            </w:r>
          </w:p>
        </w:tc>
        <w:tc>
          <w:tcPr>
            <w:tcW w:w="801" w:type="dxa"/>
            <w:tcBorders>
              <w:left w:val="nil"/>
              <w:right w:val="nil"/>
            </w:tcBorders>
            <w:shd w:val="clear" w:color="auto" w:fill="D2EAF1"/>
            <w:noWrap/>
          </w:tcPr>
          <w:p w14:paraId="18DC8E3F" w14:textId="49382E4E" w:rsidR="00456D4C" w:rsidRPr="00456D4C" w:rsidRDefault="00456D4C" w:rsidP="00112848">
            <w:pPr>
              <w:spacing w:after="0" w:line="240" w:lineRule="auto"/>
              <w:jc w:val="center"/>
              <w:rPr>
                <w:rFonts w:eastAsia="Times New Roman"/>
                <w:b/>
                <w:color w:val="000000"/>
                <w:sz w:val="20"/>
              </w:rPr>
            </w:pPr>
            <w:r w:rsidRPr="00456D4C">
              <w:rPr>
                <w:rFonts w:eastAsia="Times New Roman"/>
                <w:b/>
                <w:color w:val="000000"/>
                <w:sz w:val="20"/>
              </w:rPr>
              <w:t>3.9%</w:t>
            </w:r>
          </w:p>
        </w:tc>
      </w:tr>
    </w:tbl>
    <w:p w14:paraId="477997F5" w14:textId="77777777" w:rsidR="007937A2" w:rsidRDefault="007937A2" w:rsidP="00A421AE"/>
    <w:p w14:paraId="1EC7773C" w14:textId="77777777" w:rsidR="00032FBB" w:rsidRDefault="007937A2" w:rsidP="007937A2">
      <w:r>
        <w:br w:type="page"/>
      </w:r>
    </w:p>
    <w:p w14:paraId="13E2FEE4" w14:textId="77777777" w:rsidR="00F8463A" w:rsidRDefault="00F8463A" w:rsidP="007937A2"/>
    <w:p w14:paraId="06593444" w14:textId="77777777" w:rsidR="00F8463A" w:rsidRDefault="00F8463A" w:rsidP="007937A2"/>
    <w:p w14:paraId="2736DA77" w14:textId="77777777" w:rsidR="00F8463A" w:rsidRDefault="00F8463A" w:rsidP="007937A2"/>
    <w:p w14:paraId="7E67BED3" w14:textId="77777777" w:rsidR="00F8463A" w:rsidRDefault="00F8463A" w:rsidP="007937A2"/>
    <w:tbl>
      <w:tblPr>
        <w:tblW w:w="89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019"/>
        <w:gridCol w:w="6936"/>
      </w:tblGrid>
      <w:tr w:rsidR="000A6890" w:rsidRPr="00966B79" w14:paraId="62FD90D9" w14:textId="77777777" w:rsidTr="00966B79">
        <w:trPr>
          <w:trHeight w:val="387"/>
        </w:trPr>
        <w:tc>
          <w:tcPr>
            <w:tcW w:w="8955" w:type="dxa"/>
            <w:gridSpan w:val="2"/>
            <w:tcBorders>
              <w:top w:val="single" w:sz="8" w:space="0" w:color="FFFFFF"/>
              <w:left w:val="single" w:sz="8" w:space="0" w:color="FFFFFF"/>
              <w:bottom w:val="single" w:sz="24" w:space="0" w:color="FFFFFF"/>
              <w:right w:val="single" w:sz="8" w:space="0" w:color="FFFFFF"/>
            </w:tcBorders>
            <w:shd w:val="clear" w:color="auto" w:fill="4BACC6"/>
            <w:noWrap/>
            <w:hideMark/>
          </w:tcPr>
          <w:p w14:paraId="6535FB7B" w14:textId="5EC974FE" w:rsidR="00BE482E" w:rsidRPr="00966B79" w:rsidRDefault="00BE482E" w:rsidP="004218A7">
            <w:pPr>
              <w:spacing w:after="0" w:line="240" w:lineRule="auto"/>
              <w:jc w:val="center"/>
              <w:rPr>
                <w:rFonts w:eastAsia="Times New Roman" w:cs="Calibri"/>
                <w:b/>
                <w:bCs/>
                <w:color w:val="FFFFFF"/>
                <w:sz w:val="24"/>
              </w:rPr>
            </w:pPr>
            <w:r w:rsidRPr="00966B79">
              <w:rPr>
                <w:rFonts w:eastAsia="Times New Roman" w:cs="Calibri"/>
                <w:b/>
                <w:bCs/>
                <w:color w:val="FFFFFF"/>
                <w:sz w:val="24"/>
              </w:rPr>
              <w:t xml:space="preserve">Table </w:t>
            </w:r>
            <w:r w:rsidR="004218A7">
              <w:rPr>
                <w:rFonts w:eastAsia="Times New Roman" w:cs="Calibri"/>
                <w:b/>
                <w:bCs/>
                <w:color w:val="FFFFFF"/>
                <w:sz w:val="24"/>
              </w:rPr>
              <w:t>4</w:t>
            </w:r>
          </w:p>
        </w:tc>
      </w:tr>
      <w:tr w:rsidR="00E9779C" w:rsidRPr="00966B79" w14:paraId="70B525C0" w14:textId="77777777" w:rsidTr="00966B79">
        <w:trPr>
          <w:trHeight w:val="715"/>
        </w:trPr>
        <w:tc>
          <w:tcPr>
            <w:tcW w:w="2019" w:type="dxa"/>
            <w:tcBorders>
              <w:top w:val="single" w:sz="8" w:space="0" w:color="FFFFFF"/>
              <w:left w:val="single" w:sz="8" w:space="0" w:color="FFFFFF"/>
              <w:right w:val="single" w:sz="24" w:space="0" w:color="FFFFFF"/>
            </w:tcBorders>
            <w:shd w:val="clear" w:color="auto" w:fill="4BACC6"/>
            <w:noWrap/>
            <w:hideMark/>
          </w:tcPr>
          <w:p w14:paraId="34AAB5A4" w14:textId="77777777" w:rsidR="00BE482E" w:rsidRPr="00966B79" w:rsidRDefault="00BE482E" w:rsidP="00966B79">
            <w:pPr>
              <w:spacing w:after="0" w:line="240" w:lineRule="auto"/>
              <w:rPr>
                <w:rFonts w:eastAsia="Times New Roman"/>
                <w:b/>
                <w:bCs/>
                <w:color w:val="FFFFFF"/>
                <w:szCs w:val="24"/>
              </w:rPr>
            </w:pPr>
            <w:r w:rsidRPr="00966B79">
              <w:rPr>
                <w:rFonts w:eastAsia="Times New Roman"/>
                <w:b/>
                <w:bCs/>
                <w:color w:val="FFFFFF"/>
                <w:szCs w:val="24"/>
              </w:rPr>
              <w:t xml:space="preserve">Trading </w:t>
            </w:r>
          </w:p>
        </w:tc>
        <w:tc>
          <w:tcPr>
            <w:tcW w:w="6936" w:type="dxa"/>
            <w:tcBorders>
              <w:top w:val="single" w:sz="8" w:space="0" w:color="FFFFFF"/>
              <w:left w:val="single" w:sz="8" w:space="0" w:color="FFFFFF"/>
              <w:bottom w:val="single" w:sz="8" w:space="0" w:color="FFFFFF"/>
              <w:right w:val="single" w:sz="8" w:space="0" w:color="FFFFFF"/>
            </w:tcBorders>
            <w:shd w:val="clear" w:color="auto" w:fill="A5D5E2"/>
            <w:hideMark/>
          </w:tcPr>
          <w:p w14:paraId="14072222" w14:textId="77777777" w:rsidR="00BE482E" w:rsidRPr="00966B79" w:rsidRDefault="00BE482E" w:rsidP="00966B79">
            <w:pPr>
              <w:spacing w:after="0" w:line="240" w:lineRule="auto"/>
              <w:rPr>
                <w:rFonts w:eastAsia="Times New Roman" w:cs="Calibri"/>
                <w:color w:val="000000"/>
                <w:sz w:val="20"/>
              </w:rPr>
            </w:pPr>
            <w:r w:rsidRPr="00966B79">
              <w:rPr>
                <w:rFonts w:eastAsia="Times New Roman" w:cs="Calibri"/>
                <w:color w:val="000000"/>
                <w:sz w:val="20"/>
              </w:rPr>
              <w:t>Securities the bank has purchased with the intent of selling them within a short period of time (usually less than one year)</w:t>
            </w:r>
            <w:r w:rsidR="00174899" w:rsidRPr="00966B79">
              <w:rPr>
                <w:rFonts w:eastAsia="Times New Roman" w:cs="Calibri"/>
                <w:color w:val="000000"/>
                <w:sz w:val="20"/>
              </w:rPr>
              <w:t xml:space="preserve"> divided by total assets</w:t>
            </w:r>
          </w:p>
        </w:tc>
      </w:tr>
      <w:tr w:rsidR="00E9779C" w:rsidRPr="00966B79" w14:paraId="29B7287C" w14:textId="77777777" w:rsidTr="00966B79">
        <w:trPr>
          <w:trHeight w:val="693"/>
        </w:trPr>
        <w:tc>
          <w:tcPr>
            <w:tcW w:w="2019" w:type="dxa"/>
            <w:tcBorders>
              <w:left w:val="single" w:sz="8" w:space="0" w:color="FFFFFF"/>
              <w:right w:val="single" w:sz="24" w:space="0" w:color="FFFFFF"/>
            </w:tcBorders>
            <w:shd w:val="clear" w:color="auto" w:fill="4BACC6"/>
            <w:noWrap/>
            <w:hideMark/>
          </w:tcPr>
          <w:p w14:paraId="707627D0" w14:textId="77777777" w:rsidR="00BE482E" w:rsidRPr="00966B79" w:rsidRDefault="00BE482E" w:rsidP="00966B79">
            <w:pPr>
              <w:spacing w:after="0" w:line="240" w:lineRule="auto"/>
              <w:rPr>
                <w:rFonts w:eastAsia="Times New Roman"/>
                <w:b/>
                <w:bCs/>
                <w:color w:val="FFFFFF"/>
                <w:szCs w:val="24"/>
              </w:rPr>
            </w:pPr>
            <w:r w:rsidRPr="00966B79">
              <w:rPr>
                <w:rFonts w:eastAsia="Times New Roman"/>
                <w:b/>
                <w:bCs/>
                <w:color w:val="FFFFFF"/>
                <w:szCs w:val="24"/>
              </w:rPr>
              <w:t>Derivative (Positive/Negative)</w:t>
            </w:r>
          </w:p>
        </w:tc>
        <w:tc>
          <w:tcPr>
            <w:tcW w:w="6936" w:type="dxa"/>
            <w:shd w:val="clear" w:color="auto" w:fill="D2EAF1"/>
            <w:hideMark/>
          </w:tcPr>
          <w:p w14:paraId="7FE25A82" w14:textId="77777777" w:rsidR="00BE482E" w:rsidRPr="00966B79" w:rsidRDefault="00BE482E" w:rsidP="00966B79">
            <w:pPr>
              <w:spacing w:after="0" w:line="240" w:lineRule="auto"/>
              <w:rPr>
                <w:rFonts w:eastAsia="Times New Roman" w:cs="Calibri"/>
                <w:color w:val="000000"/>
                <w:sz w:val="20"/>
              </w:rPr>
            </w:pPr>
            <w:r w:rsidRPr="00966B79">
              <w:rPr>
                <w:rFonts w:eastAsia="Times New Roman" w:cs="Calibri"/>
                <w:color w:val="000000"/>
                <w:sz w:val="20"/>
              </w:rPr>
              <w:t>Derivative positions in which the bank is long (+) or short (-)</w:t>
            </w:r>
            <w:r w:rsidR="00174899" w:rsidRPr="00966B79">
              <w:rPr>
                <w:rFonts w:eastAsia="Times New Roman" w:cs="Calibri"/>
                <w:color w:val="000000"/>
                <w:sz w:val="20"/>
              </w:rPr>
              <w:t xml:space="preserve"> divided by total assets</w:t>
            </w:r>
          </w:p>
        </w:tc>
      </w:tr>
      <w:tr w:rsidR="00E9779C" w:rsidRPr="00966B79" w14:paraId="7082CB41" w14:textId="77777777" w:rsidTr="00966B79">
        <w:trPr>
          <w:trHeight w:val="760"/>
        </w:trPr>
        <w:tc>
          <w:tcPr>
            <w:tcW w:w="2019" w:type="dxa"/>
            <w:tcBorders>
              <w:top w:val="single" w:sz="8" w:space="0" w:color="FFFFFF"/>
              <w:left w:val="single" w:sz="8" w:space="0" w:color="FFFFFF"/>
              <w:right w:val="single" w:sz="24" w:space="0" w:color="FFFFFF"/>
            </w:tcBorders>
            <w:shd w:val="clear" w:color="auto" w:fill="4BACC6"/>
            <w:noWrap/>
            <w:hideMark/>
          </w:tcPr>
          <w:p w14:paraId="7298EF3E" w14:textId="77777777" w:rsidR="00BE482E" w:rsidRPr="00966B79" w:rsidRDefault="00BE482E" w:rsidP="00966B79">
            <w:pPr>
              <w:spacing w:after="0" w:line="240" w:lineRule="auto"/>
              <w:rPr>
                <w:rFonts w:eastAsia="Times New Roman"/>
                <w:b/>
                <w:bCs/>
                <w:color w:val="FFFFFF"/>
                <w:szCs w:val="24"/>
              </w:rPr>
            </w:pPr>
            <w:r w:rsidRPr="00966B79">
              <w:rPr>
                <w:rFonts w:eastAsia="Times New Roman"/>
                <w:b/>
                <w:bCs/>
                <w:color w:val="FFFFFF"/>
                <w:szCs w:val="24"/>
              </w:rPr>
              <w:t>Total Assets</w:t>
            </w:r>
          </w:p>
        </w:tc>
        <w:tc>
          <w:tcPr>
            <w:tcW w:w="6936" w:type="dxa"/>
            <w:tcBorders>
              <w:top w:val="single" w:sz="8" w:space="0" w:color="FFFFFF"/>
              <w:left w:val="single" w:sz="8" w:space="0" w:color="FFFFFF"/>
              <w:bottom w:val="single" w:sz="8" w:space="0" w:color="FFFFFF"/>
              <w:right w:val="single" w:sz="8" w:space="0" w:color="FFFFFF"/>
            </w:tcBorders>
            <w:shd w:val="clear" w:color="auto" w:fill="A5D5E2"/>
            <w:hideMark/>
          </w:tcPr>
          <w:p w14:paraId="701F0153" w14:textId="77777777" w:rsidR="00BE482E" w:rsidRPr="00966B79" w:rsidRDefault="00BE482E" w:rsidP="00966B79">
            <w:pPr>
              <w:spacing w:after="0" w:line="240" w:lineRule="auto"/>
              <w:rPr>
                <w:rFonts w:eastAsia="Times New Roman" w:cs="Calibri"/>
                <w:color w:val="000000"/>
                <w:sz w:val="20"/>
              </w:rPr>
            </w:pPr>
            <w:r w:rsidRPr="00966B79">
              <w:rPr>
                <w:rFonts w:eastAsia="Times New Roman" w:cs="Calibri"/>
                <w:color w:val="000000"/>
                <w:sz w:val="20"/>
              </w:rPr>
              <w:t xml:space="preserve"> The sum of all cash, investments, loans, furniture, fixtures, equipment, receivables, intangibles, and any other items of value.</w:t>
            </w:r>
          </w:p>
        </w:tc>
      </w:tr>
      <w:tr w:rsidR="00E9779C" w:rsidRPr="00966B79" w14:paraId="511BDA76" w14:textId="77777777" w:rsidTr="00966B79">
        <w:trPr>
          <w:trHeight w:val="495"/>
        </w:trPr>
        <w:tc>
          <w:tcPr>
            <w:tcW w:w="2019" w:type="dxa"/>
            <w:tcBorders>
              <w:left w:val="single" w:sz="8" w:space="0" w:color="FFFFFF"/>
              <w:right w:val="single" w:sz="24" w:space="0" w:color="FFFFFF"/>
            </w:tcBorders>
            <w:shd w:val="clear" w:color="auto" w:fill="4BACC6"/>
            <w:noWrap/>
            <w:hideMark/>
          </w:tcPr>
          <w:p w14:paraId="64BC716D" w14:textId="77777777" w:rsidR="00BE482E" w:rsidRPr="00966B79" w:rsidRDefault="00BE482E" w:rsidP="00966B79">
            <w:pPr>
              <w:spacing w:after="0" w:line="240" w:lineRule="auto"/>
              <w:rPr>
                <w:rFonts w:eastAsia="Times New Roman"/>
                <w:b/>
                <w:bCs/>
                <w:color w:val="FFFFFF"/>
                <w:szCs w:val="24"/>
              </w:rPr>
            </w:pPr>
            <w:r w:rsidRPr="00966B79">
              <w:rPr>
                <w:rFonts w:eastAsia="Times New Roman"/>
                <w:b/>
                <w:bCs/>
                <w:color w:val="FFFFFF"/>
                <w:szCs w:val="24"/>
              </w:rPr>
              <w:t xml:space="preserve">Total Liabilities </w:t>
            </w:r>
          </w:p>
        </w:tc>
        <w:tc>
          <w:tcPr>
            <w:tcW w:w="6936" w:type="dxa"/>
            <w:shd w:val="clear" w:color="auto" w:fill="D2EAF1"/>
            <w:hideMark/>
          </w:tcPr>
          <w:p w14:paraId="2C584355" w14:textId="77777777" w:rsidR="00BE482E" w:rsidRPr="00966B79" w:rsidRDefault="00BE482E" w:rsidP="00966B79">
            <w:pPr>
              <w:spacing w:after="0" w:line="240" w:lineRule="auto"/>
              <w:rPr>
                <w:rFonts w:eastAsia="Times New Roman" w:cs="Calibri"/>
                <w:color w:val="000000"/>
                <w:sz w:val="20"/>
              </w:rPr>
            </w:pPr>
            <w:r w:rsidRPr="00966B79">
              <w:rPr>
                <w:rFonts w:eastAsia="Times New Roman" w:cs="Calibri"/>
                <w:color w:val="000000"/>
                <w:sz w:val="20"/>
              </w:rPr>
              <w:t xml:space="preserve"> The aggregate of all debts, deposits, a bank is liable for.</w:t>
            </w:r>
          </w:p>
        </w:tc>
      </w:tr>
      <w:tr w:rsidR="00E9779C" w:rsidRPr="00966B79" w14:paraId="7C7C1C14" w14:textId="77777777" w:rsidTr="00966B79">
        <w:trPr>
          <w:trHeight w:val="649"/>
        </w:trPr>
        <w:tc>
          <w:tcPr>
            <w:tcW w:w="2019" w:type="dxa"/>
            <w:tcBorders>
              <w:top w:val="single" w:sz="8" w:space="0" w:color="FFFFFF"/>
              <w:left w:val="single" w:sz="8" w:space="0" w:color="FFFFFF"/>
              <w:right w:val="single" w:sz="24" w:space="0" w:color="FFFFFF"/>
            </w:tcBorders>
            <w:shd w:val="clear" w:color="auto" w:fill="4BACC6"/>
            <w:noWrap/>
            <w:hideMark/>
          </w:tcPr>
          <w:p w14:paraId="3498BEC1" w14:textId="77777777" w:rsidR="00BE482E" w:rsidRPr="00966B79" w:rsidRDefault="00BE482E" w:rsidP="00966B79">
            <w:pPr>
              <w:spacing w:after="0" w:line="240" w:lineRule="auto"/>
              <w:rPr>
                <w:rFonts w:eastAsia="Times New Roman"/>
                <w:b/>
                <w:bCs/>
                <w:color w:val="FFFFFF"/>
                <w:szCs w:val="24"/>
              </w:rPr>
            </w:pPr>
            <w:r w:rsidRPr="00966B79">
              <w:rPr>
                <w:rFonts w:eastAsia="Times New Roman"/>
                <w:b/>
                <w:bCs/>
                <w:color w:val="FFFFFF"/>
                <w:szCs w:val="24"/>
              </w:rPr>
              <w:t>Value at Risk (VaR)</w:t>
            </w:r>
          </w:p>
        </w:tc>
        <w:tc>
          <w:tcPr>
            <w:tcW w:w="6936" w:type="dxa"/>
            <w:tcBorders>
              <w:top w:val="single" w:sz="8" w:space="0" w:color="FFFFFF"/>
              <w:left w:val="single" w:sz="8" w:space="0" w:color="FFFFFF"/>
              <w:bottom w:val="single" w:sz="8" w:space="0" w:color="FFFFFF"/>
              <w:right w:val="single" w:sz="8" w:space="0" w:color="FFFFFF"/>
            </w:tcBorders>
            <w:shd w:val="clear" w:color="auto" w:fill="A5D5E2"/>
            <w:hideMark/>
          </w:tcPr>
          <w:p w14:paraId="62DABC71" w14:textId="77777777" w:rsidR="00BE482E" w:rsidRPr="00966B79" w:rsidRDefault="00BE482E" w:rsidP="00966B79">
            <w:pPr>
              <w:spacing w:after="0" w:line="240" w:lineRule="auto"/>
              <w:rPr>
                <w:rFonts w:eastAsia="Times New Roman" w:cs="Calibri"/>
                <w:color w:val="000000"/>
                <w:sz w:val="20"/>
              </w:rPr>
            </w:pPr>
            <w:r w:rsidRPr="00966B79">
              <w:rPr>
                <w:rFonts w:eastAsia="Times New Roman" w:cs="Calibri"/>
                <w:color w:val="000000"/>
                <w:sz w:val="20"/>
              </w:rPr>
              <w:t xml:space="preserve"> A measure and quanti</w:t>
            </w:r>
            <w:r w:rsidR="00174899" w:rsidRPr="00966B79">
              <w:rPr>
                <w:rFonts w:eastAsia="Times New Roman" w:cs="Calibri"/>
                <w:color w:val="000000"/>
                <w:sz w:val="20"/>
              </w:rPr>
              <w:t xml:space="preserve">ty of the </w:t>
            </w:r>
            <w:r w:rsidRPr="00966B79">
              <w:rPr>
                <w:rFonts w:eastAsia="Times New Roman" w:cs="Calibri"/>
                <w:color w:val="000000"/>
                <w:sz w:val="20"/>
              </w:rPr>
              <w:t xml:space="preserve"> level of financial risk within a </w:t>
            </w:r>
            <w:r w:rsidR="00174899" w:rsidRPr="00966B79">
              <w:rPr>
                <w:rFonts w:eastAsia="Times New Roman" w:cs="Calibri"/>
                <w:color w:val="000000"/>
                <w:sz w:val="20"/>
              </w:rPr>
              <w:t xml:space="preserve">bank </w:t>
            </w:r>
            <w:r w:rsidRPr="00966B79">
              <w:rPr>
                <w:rFonts w:eastAsia="Times New Roman" w:cs="Calibri"/>
                <w:color w:val="000000"/>
                <w:sz w:val="20"/>
              </w:rPr>
              <w:t>portfolio over a specific time frame</w:t>
            </w:r>
            <w:r w:rsidR="00E575C9" w:rsidRPr="00966B79">
              <w:rPr>
                <w:rFonts w:eastAsia="Times New Roman" w:cs="Calibri"/>
                <w:color w:val="000000"/>
                <w:sz w:val="20"/>
              </w:rPr>
              <w:t>, generally 6</w:t>
            </w:r>
            <w:r w:rsidR="00174899" w:rsidRPr="00966B79">
              <w:rPr>
                <w:rFonts w:eastAsia="Times New Roman" w:cs="Calibri"/>
                <w:color w:val="000000"/>
                <w:sz w:val="20"/>
              </w:rPr>
              <w:t>0 days</w:t>
            </w:r>
            <w:r w:rsidR="00E575C9" w:rsidRPr="00966B79">
              <w:rPr>
                <w:rFonts w:eastAsia="Times New Roman" w:cs="Calibri"/>
                <w:color w:val="000000"/>
                <w:sz w:val="20"/>
              </w:rPr>
              <w:t>,</w:t>
            </w:r>
            <w:r w:rsidR="00174899" w:rsidRPr="00966B79">
              <w:rPr>
                <w:rFonts w:eastAsia="Times New Roman" w:cs="Calibri"/>
                <w:color w:val="000000"/>
                <w:sz w:val="20"/>
              </w:rPr>
              <w:t xml:space="preserve"> divided by total assets</w:t>
            </w:r>
          </w:p>
        </w:tc>
      </w:tr>
      <w:tr w:rsidR="00E9779C" w:rsidRPr="00966B79" w14:paraId="597B9742" w14:textId="77777777" w:rsidTr="00966B79">
        <w:trPr>
          <w:trHeight w:val="904"/>
        </w:trPr>
        <w:tc>
          <w:tcPr>
            <w:tcW w:w="2019" w:type="dxa"/>
            <w:tcBorders>
              <w:left w:val="single" w:sz="8" w:space="0" w:color="FFFFFF"/>
              <w:right w:val="single" w:sz="24" w:space="0" w:color="FFFFFF"/>
            </w:tcBorders>
            <w:shd w:val="clear" w:color="auto" w:fill="4BACC6"/>
            <w:noWrap/>
            <w:hideMark/>
          </w:tcPr>
          <w:p w14:paraId="404E3416" w14:textId="77777777" w:rsidR="00BE482E" w:rsidRPr="00966B79" w:rsidRDefault="00BE482E" w:rsidP="00966B79">
            <w:pPr>
              <w:spacing w:after="0" w:line="240" w:lineRule="auto"/>
              <w:rPr>
                <w:rFonts w:eastAsia="Times New Roman"/>
                <w:b/>
                <w:bCs/>
                <w:color w:val="FFFFFF"/>
                <w:szCs w:val="24"/>
              </w:rPr>
            </w:pPr>
            <w:r w:rsidRPr="00966B79">
              <w:rPr>
                <w:rFonts w:eastAsia="Times New Roman"/>
                <w:b/>
                <w:bCs/>
                <w:color w:val="FFFFFF"/>
                <w:szCs w:val="24"/>
              </w:rPr>
              <w:t>Core Capital</w:t>
            </w:r>
            <w:r w:rsidR="00174899" w:rsidRPr="00966B79">
              <w:rPr>
                <w:rFonts w:eastAsia="Times New Roman"/>
                <w:b/>
                <w:bCs/>
                <w:color w:val="FFFFFF"/>
                <w:szCs w:val="24"/>
              </w:rPr>
              <w:t xml:space="preserve"> Ratio</w:t>
            </w:r>
          </w:p>
        </w:tc>
        <w:tc>
          <w:tcPr>
            <w:tcW w:w="6936" w:type="dxa"/>
            <w:shd w:val="clear" w:color="auto" w:fill="D2EAF1"/>
            <w:hideMark/>
          </w:tcPr>
          <w:p w14:paraId="1330FD8C" w14:textId="77777777" w:rsidR="00BE482E" w:rsidRPr="00966B79" w:rsidRDefault="00BE482E" w:rsidP="00966B79">
            <w:pPr>
              <w:spacing w:after="0" w:line="240" w:lineRule="auto"/>
              <w:rPr>
                <w:rFonts w:eastAsia="Times New Roman" w:cs="Calibri"/>
                <w:color w:val="000000"/>
                <w:sz w:val="20"/>
              </w:rPr>
            </w:pPr>
            <w:r w:rsidRPr="00966B79">
              <w:rPr>
                <w:rFonts w:eastAsia="Times New Roman" w:cs="Calibri"/>
                <w:color w:val="000000"/>
                <w:sz w:val="20"/>
              </w:rPr>
              <w:t xml:space="preserve"> The minimum amount of capital that a bank must have on hand in order to comply with Basle guidelines and local aut</w:t>
            </w:r>
            <w:r w:rsidR="00E9779C" w:rsidRPr="00966B79">
              <w:rPr>
                <w:rFonts w:eastAsia="Times New Roman" w:cs="Calibri"/>
                <w:color w:val="000000"/>
                <w:sz w:val="20"/>
              </w:rPr>
              <w:t>h</w:t>
            </w:r>
            <w:r w:rsidRPr="00966B79">
              <w:rPr>
                <w:rFonts w:eastAsia="Times New Roman" w:cs="Calibri"/>
                <w:color w:val="000000"/>
                <w:sz w:val="20"/>
              </w:rPr>
              <w:t>orities regulations</w:t>
            </w:r>
            <w:r w:rsidR="00E758BD" w:rsidRPr="00966B79">
              <w:rPr>
                <w:rFonts w:eastAsia="Times New Roman" w:cs="Calibri"/>
                <w:color w:val="000000"/>
                <w:sz w:val="20"/>
              </w:rPr>
              <w:t xml:space="preserve"> as a percent of total assets</w:t>
            </w:r>
          </w:p>
        </w:tc>
      </w:tr>
      <w:tr w:rsidR="00E9779C" w:rsidRPr="00966B79" w14:paraId="64681013" w14:textId="77777777" w:rsidTr="00966B79">
        <w:trPr>
          <w:trHeight w:val="904"/>
        </w:trPr>
        <w:tc>
          <w:tcPr>
            <w:tcW w:w="2019" w:type="dxa"/>
            <w:tcBorders>
              <w:top w:val="single" w:sz="8" w:space="0" w:color="FFFFFF"/>
              <w:left w:val="single" w:sz="8" w:space="0" w:color="FFFFFF"/>
              <w:right w:val="single" w:sz="24" w:space="0" w:color="FFFFFF"/>
            </w:tcBorders>
            <w:shd w:val="clear" w:color="auto" w:fill="4BACC6"/>
            <w:noWrap/>
            <w:hideMark/>
          </w:tcPr>
          <w:p w14:paraId="7566B00A" w14:textId="77777777" w:rsidR="00BE482E" w:rsidRPr="00966B79" w:rsidRDefault="00BE482E" w:rsidP="00966B79">
            <w:pPr>
              <w:spacing w:after="0" w:line="240" w:lineRule="auto"/>
              <w:rPr>
                <w:rFonts w:eastAsia="Times New Roman"/>
                <w:b/>
                <w:bCs/>
                <w:color w:val="FFFFFF"/>
                <w:szCs w:val="24"/>
              </w:rPr>
            </w:pPr>
            <w:r w:rsidRPr="00966B79">
              <w:rPr>
                <w:rFonts w:eastAsia="Times New Roman"/>
                <w:b/>
                <w:bCs/>
                <w:color w:val="FFFFFF"/>
                <w:szCs w:val="24"/>
              </w:rPr>
              <w:t xml:space="preserve">Market Risk </w:t>
            </w:r>
            <w:r w:rsidR="000A6890" w:rsidRPr="00966B79">
              <w:rPr>
                <w:rFonts w:eastAsia="Times New Roman"/>
                <w:b/>
                <w:bCs/>
                <w:color w:val="FFFFFF"/>
                <w:szCs w:val="24"/>
              </w:rPr>
              <w:t xml:space="preserve">Capital </w:t>
            </w:r>
            <w:r w:rsidR="00174899" w:rsidRPr="00966B79">
              <w:rPr>
                <w:rFonts w:eastAsia="Times New Roman"/>
                <w:b/>
                <w:bCs/>
                <w:color w:val="FFFFFF"/>
                <w:szCs w:val="24"/>
              </w:rPr>
              <w:t>Ratio</w:t>
            </w:r>
          </w:p>
        </w:tc>
        <w:tc>
          <w:tcPr>
            <w:tcW w:w="6936" w:type="dxa"/>
            <w:tcBorders>
              <w:top w:val="single" w:sz="8" w:space="0" w:color="FFFFFF"/>
              <w:left w:val="single" w:sz="8" w:space="0" w:color="FFFFFF"/>
              <w:bottom w:val="single" w:sz="8" w:space="0" w:color="FFFFFF"/>
              <w:right w:val="single" w:sz="8" w:space="0" w:color="FFFFFF"/>
            </w:tcBorders>
            <w:shd w:val="clear" w:color="auto" w:fill="A5D5E2"/>
            <w:hideMark/>
          </w:tcPr>
          <w:p w14:paraId="7F7C7381" w14:textId="77777777" w:rsidR="00BE482E" w:rsidRPr="00966B79" w:rsidRDefault="000A6890" w:rsidP="00966B79">
            <w:pPr>
              <w:spacing w:after="0" w:line="240" w:lineRule="auto"/>
              <w:rPr>
                <w:rFonts w:eastAsia="Times New Roman" w:cs="Calibri"/>
                <w:color w:val="000000"/>
                <w:sz w:val="20"/>
              </w:rPr>
            </w:pPr>
            <w:r w:rsidRPr="00966B79">
              <w:rPr>
                <w:rFonts w:eastAsia="Times New Roman" w:cs="Calibri"/>
                <w:color w:val="000000"/>
                <w:sz w:val="20"/>
              </w:rPr>
              <w:t xml:space="preserve">The minimum regulatory capital for market risk divided by total capital.  The market risk is defined as the risk of loss from adverse movements in financial rates and prices, such as interest rates, exchange rates, equity and commodity prices </w:t>
            </w:r>
          </w:p>
        </w:tc>
      </w:tr>
      <w:tr w:rsidR="00174899" w:rsidRPr="00966B79" w14:paraId="6EBA5961" w14:textId="77777777" w:rsidTr="00966B79">
        <w:trPr>
          <w:trHeight w:val="506"/>
        </w:trPr>
        <w:tc>
          <w:tcPr>
            <w:tcW w:w="2019" w:type="dxa"/>
            <w:tcBorders>
              <w:left w:val="single" w:sz="8" w:space="0" w:color="FFFFFF"/>
              <w:right w:val="single" w:sz="24" w:space="0" w:color="FFFFFF"/>
            </w:tcBorders>
            <w:shd w:val="clear" w:color="auto" w:fill="4BACC6"/>
            <w:noWrap/>
          </w:tcPr>
          <w:p w14:paraId="073D9E9E" w14:textId="77777777" w:rsidR="00174899" w:rsidRPr="00966B79" w:rsidRDefault="00174899" w:rsidP="00966B79">
            <w:pPr>
              <w:spacing w:after="0" w:line="240" w:lineRule="auto"/>
              <w:rPr>
                <w:rFonts w:eastAsia="Times New Roman"/>
                <w:b/>
                <w:bCs/>
                <w:color w:val="FFFFFF"/>
                <w:szCs w:val="24"/>
              </w:rPr>
            </w:pPr>
            <w:r w:rsidRPr="00966B79">
              <w:rPr>
                <w:rFonts w:eastAsia="Times New Roman"/>
                <w:b/>
                <w:bCs/>
                <w:color w:val="FFFFFF"/>
                <w:szCs w:val="24"/>
              </w:rPr>
              <w:t>All Risks</w:t>
            </w:r>
          </w:p>
        </w:tc>
        <w:tc>
          <w:tcPr>
            <w:tcW w:w="6936" w:type="dxa"/>
            <w:shd w:val="clear" w:color="auto" w:fill="D2EAF1"/>
          </w:tcPr>
          <w:p w14:paraId="61FAD496" w14:textId="77777777" w:rsidR="00174899" w:rsidRPr="00966B79" w:rsidRDefault="00174899" w:rsidP="00966B79">
            <w:pPr>
              <w:spacing w:after="0" w:line="240" w:lineRule="auto"/>
              <w:rPr>
                <w:rFonts w:eastAsia="Times New Roman" w:cs="Calibri"/>
                <w:color w:val="000000"/>
                <w:sz w:val="20"/>
              </w:rPr>
            </w:pPr>
            <w:r w:rsidRPr="00966B79">
              <w:rPr>
                <w:rFonts w:eastAsia="Times New Roman" w:cs="Calibri"/>
                <w:color w:val="000000"/>
                <w:sz w:val="20"/>
              </w:rPr>
              <w:t>The sum of credit, operational, and market risk to which the bank is exposed divided by total assets</w:t>
            </w:r>
          </w:p>
        </w:tc>
      </w:tr>
      <w:tr w:rsidR="00E9779C" w:rsidRPr="00966B79" w14:paraId="0D0EC02D" w14:textId="77777777" w:rsidTr="00966B79">
        <w:trPr>
          <w:trHeight w:val="904"/>
        </w:trPr>
        <w:tc>
          <w:tcPr>
            <w:tcW w:w="2019" w:type="dxa"/>
            <w:tcBorders>
              <w:top w:val="single" w:sz="8" w:space="0" w:color="FFFFFF"/>
              <w:left w:val="single" w:sz="8" w:space="0" w:color="FFFFFF"/>
              <w:bottom w:val="single" w:sz="8" w:space="0" w:color="FFFFFF"/>
              <w:right w:val="single" w:sz="24" w:space="0" w:color="FFFFFF"/>
            </w:tcBorders>
            <w:shd w:val="clear" w:color="auto" w:fill="4BACC6"/>
            <w:noWrap/>
            <w:hideMark/>
          </w:tcPr>
          <w:p w14:paraId="7E03C4BD" w14:textId="77777777" w:rsidR="00BE482E" w:rsidRPr="00966B79" w:rsidRDefault="00BE482E" w:rsidP="00966B79">
            <w:pPr>
              <w:spacing w:after="0" w:line="240" w:lineRule="auto"/>
              <w:rPr>
                <w:rFonts w:eastAsia="Times New Roman"/>
                <w:b/>
                <w:bCs/>
                <w:color w:val="FFFFFF"/>
                <w:szCs w:val="24"/>
              </w:rPr>
            </w:pPr>
            <w:r w:rsidRPr="00966B79">
              <w:rPr>
                <w:rFonts w:eastAsia="Times New Roman"/>
                <w:b/>
                <w:bCs/>
                <w:color w:val="FFFFFF"/>
                <w:szCs w:val="24"/>
              </w:rPr>
              <w:t>Risk Weighted Assets</w:t>
            </w:r>
          </w:p>
        </w:tc>
        <w:tc>
          <w:tcPr>
            <w:tcW w:w="6936" w:type="dxa"/>
            <w:tcBorders>
              <w:top w:val="single" w:sz="8" w:space="0" w:color="FFFFFF"/>
              <w:left w:val="single" w:sz="8" w:space="0" w:color="FFFFFF"/>
              <w:bottom w:val="single" w:sz="8" w:space="0" w:color="FFFFFF"/>
              <w:right w:val="single" w:sz="8" w:space="0" w:color="FFFFFF"/>
            </w:tcBorders>
            <w:shd w:val="clear" w:color="auto" w:fill="A5D5E2"/>
            <w:hideMark/>
          </w:tcPr>
          <w:p w14:paraId="719F7314" w14:textId="77777777" w:rsidR="00BE482E" w:rsidRPr="00966B79" w:rsidRDefault="00BE482E" w:rsidP="00966B79">
            <w:pPr>
              <w:spacing w:after="0" w:line="240" w:lineRule="auto"/>
              <w:rPr>
                <w:rFonts w:eastAsia="Times New Roman" w:cs="Calibri"/>
                <w:color w:val="000000"/>
                <w:sz w:val="20"/>
              </w:rPr>
            </w:pPr>
            <w:r w:rsidRPr="00966B79">
              <w:rPr>
                <w:rFonts w:eastAsia="Times New Roman" w:cs="Calibri"/>
                <w:color w:val="000000"/>
                <w:sz w:val="20"/>
              </w:rPr>
              <w:t xml:space="preserve"> In terms of the minimum amount of capital that is required within banks and other institutions, based on a percentage of the assets, weighted by risk.</w:t>
            </w:r>
            <w:r w:rsidR="00174899" w:rsidRPr="00966B79">
              <w:rPr>
                <w:rFonts w:eastAsia="Times New Roman" w:cs="Calibri"/>
                <w:color w:val="000000"/>
                <w:sz w:val="20"/>
              </w:rPr>
              <w:t xml:space="preserve"> The total is divided by total assets to yield a percent.</w:t>
            </w:r>
          </w:p>
        </w:tc>
      </w:tr>
    </w:tbl>
    <w:p w14:paraId="09EF4635" w14:textId="77777777" w:rsidR="00D76031" w:rsidRDefault="00D76031" w:rsidP="00267E8B">
      <w:pPr>
        <w:ind w:firstLine="720"/>
        <w:jc w:val="center"/>
        <w:rPr>
          <w:b/>
          <w:sz w:val="24"/>
        </w:rPr>
      </w:pPr>
    </w:p>
    <w:p w14:paraId="2D81ACF5" w14:textId="77777777" w:rsidR="004218A7" w:rsidRPr="00616063" w:rsidRDefault="007937A2" w:rsidP="007937A2">
      <w:pPr>
        <w:jc w:val="center"/>
        <w:rPr>
          <w:b/>
          <w:sz w:val="24"/>
        </w:rPr>
      </w:pPr>
      <w:r>
        <w:rPr>
          <w:b/>
          <w:sz w:val="32"/>
        </w:rPr>
        <w:br w:type="page"/>
      </w:r>
      <w:r w:rsidR="004218A7" w:rsidRPr="00616063">
        <w:rPr>
          <w:b/>
          <w:sz w:val="24"/>
        </w:rPr>
        <w:lastRenderedPageBreak/>
        <w:t>Figures 1-4</w:t>
      </w:r>
    </w:p>
    <w:p w14:paraId="3B651A26" w14:textId="62D502F3" w:rsidR="00D76031" w:rsidRDefault="00267E8B" w:rsidP="007937A2">
      <w:pPr>
        <w:jc w:val="center"/>
        <w:rPr>
          <w:b/>
          <w:sz w:val="32"/>
        </w:rPr>
      </w:pPr>
      <w:r w:rsidRPr="007937A2">
        <w:rPr>
          <w:b/>
          <w:sz w:val="32"/>
        </w:rPr>
        <w:t xml:space="preserve">Capital Ratio, Trading </w:t>
      </w:r>
      <w:r w:rsidR="00D76031">
        <w:rPr>
          <w:b/>
          <w:sz w:val="32"/>
        </w:rPr>
        <w:t xml:space="preserve">to Assets </w:t>
      </w:r>
      <w:r w:rsidRPr="007937A2">
        <w:rPr>
          <w:b/>
          <w:sz w:val="32"/>
        </w:rPr>
        <w:t xml:space="preserve">Ratio and Derivative </w:t>
      </w:r>
      <w:r w:rsidR="00D76031">
        <w:rPr>
          <w:b/>
          <w:sz w:val="32"/>
        </w:rPr>
        <w:t xml:space="preserve">to Assets </w:t>
      </w:r>
      <w:r w:rsidRPr="007937A2">
        <w:rPr>
          <w:b/>
          <w:sz w:val="32"/>
        </w:rPr>
        <w:t>Ratio</w:t>
      </w:r>
      <w:r w:rsidR="00D76031">
        <w:rPr>
          <w:b/>
          <w:sz w:val="32"/>
        </w:rPr>
        <w:t xml:space="preserve"> Over time F</w:t>
      </w:r>
      <w:r w:rsidRPr="007937A2">
        <w:rPr>
          <w:b/>
          <w:sz w:val="32"/>
        </w:rPr>
        <w:t xml:space="preserve">or a Sample of </w:t>
      </w:r>
      <w:r w:rsidR="00D76031">
        <w:rPr>
          <w:b/>
          <w:sz w:val="32"/>
        </w:rPr>
        <w:t xml:space="preserve">GCC and non-GCC </w:t>
      </w:r>
      <w:r w:rsidRPr="007937A2">
        <w:rPr>
          <w:b/>
          <w:sz w:val="32"/>
        </w:rPr>
        <w:t>Banks</w:t>
      </w:r>
    </w:p>
    <w:p w14:paraId="30A8F4CE" w14:textId="77777777" w:rsidR="00D76031" w:rsidRPr="007937A2" w:rsidRDefault="00D76031" w:rsidP="007937A2">
      <w:pPr>
        <w:spacing w:after="0" w:line="240" w:lineRule="auto"/>
        <w:jc w:val="center"/>
        <w:rPr>
          <w:b/>
          <w:sz w:val="32"/>
        </w:rPr>
      </w:pPr>
    </w:p>
    <w:p w14:paraId="5CC443DF" w14:textId="77777777" w:rsidR="00656918" w:rsidRDefault="00656918" w:rsidP="007937A2">
      <w:pPr>
        <w:jc w:val="center"/>
      </w:pPr>
    </w:p>
    <w:p w14:paraId="706CB553" w14:textId="7628F034" w:rsidR="00656918" w:rsidRDefault="0052668D" w:rsidP="007937A2">
      <w:r>
        <w:rPr>
          <w:noProof/>
        </w:rPr>
        <w:drawing>
          <wp:anchor distT="0" distB="0" distL="114300" distR="114300" simplePos="0" relativeHeight="251656192" behindDoc="1" locked="0" layoutInCell="1" allowOverlap="1" wp14:anchorId="37A503F1" wp14:editId="6AF28D70">
            <wp:simplePos x="0" y="0"/>
            <wp:positionH relativeFrom="column">
              <wp:posOffset>3110230</wp:posOffset>
            </wp:positionH>
            <wp:positionV relativeFrom="paragraph">
              <wp:posOffset>0</wp:posOffset>
            </wp:positionV>
            <wp:extent cx="3110230" cy="2674620"/>
            <wp:effectExtent l="0" t="0" r="0" b="0"/>
            <wp:wrapTight wrapText="bothSides">
              <wp:wrapPolygon edited="0">
                <wp:start x="0" y="0"/>
                <wp:lineTo x="0" y="21333"/>
                <wp:lineTo x="21344" y="21333"/>
                <wp:lineTo x="21344"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0230" cy="26746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1A66062" wp14:editId="1AE4D372">
            <wp:extent cx="2820035" cy="27857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0035" cy="2785745"/>
                    </a:xfrm>
                    <a:prstGeom prst="rect">
                      <a:avLst/>
                    </a:prstGeom>
                    <a:noFill/>
                    <a:ln>
                      <a:noFill/>
                    </a:ln>
                  </pic:spPr>
                </pic:pic>
              </a:graphicData>
            </a:graphic>
          </wp:inline>
        </w:drawing>
      </w:r>
    </w:p>
    <w:p w14:paraId="15751FE6" w14:textId="4C55A93C" w:rsidR="00656918" w:rsidRDefault="0052668D" w:rsidP="007937A2">
      <w:r>
        <w:rPr>
          <w:noProof/>
        </w:rPr>
        <w:drawing>
          <wp:anchor distT="0" distB="0" distL="114300" distR="114300" simplePos="0" relativeHeight="251657216" behindDoc="1" locked="0" layoutInCell="1" allowOverlap="1" wp14:anchorId="66CC4253" wp14:editId="5DC0E673">
            <wp:simplePos x="0" y="0"/>
            <wp:positionH relativeFrom="column">
              <wp:posOffset>0</wp:posOffset>
            </wp:positionH>
            <wp:positionV relativeFrom="paragraph">
              <wp:posOffset>8890</wp:posOffset>
            </wp:positionV>
            <wp:extent cx="3198495" cy="2805430"/>
            <wp:effectExtent l="0" t="0" r="1905" b="0"/>
            <wp:wrapTight wrapText="bothSides">
              <wp:wrapPolygon edited="0">
                <wp:start x="0" y="0"/>
                <wp:lineTo x="0" y="21316"/>
                <wp:lineTo x="21441" y="21316"/>
                <wp:lineTo x="2144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98495" cy="2805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AE6E422" wp14:editId="53C3F148">
            <wp:extent cx="3161665" cy="2794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61665" cy="2794635"/>
                    </a:xfrm>
                    <a:prstGeom prst="rect">
                      <a:avLst/>
                    </a:prstGeom>
                    <a:noFill/>
                    <a:ln>
                      <a:noFill/>
                    </a:ln>
                  </pic:spPr>
                </pic:pic>
              </a:graphicData>
            </a:graphic>
          </wp:inline>
        </w:drawing>
      </w:r>
    </w:p>
    <w:p w14:paraId="49558003" w14:textId="77777777" w:rsidR="00D4618A" w:rsidRDefault="00A11214" w:rsidP="007937A2">
      <w:r>
        <w:br w:type="page"/>
      </w:r>
    </w:p>
    <w:tbl>
      <w:tblPr>
        <w:tblW w:w="9601" w:type="dxa"/>
        <w:tblInd w:w="93" w:type="dxa"/>
        <w:tblLook w:val="04A0" w:firstRow="1" w:lastRow="0" w:firstColumn="1" w:lastColumn="0" w:noHBand="0" w:noVBand="1"/>
      </w:tblPr>
      <w:tblGrid>
        <w:gridCol w:w="2969"/>
        <w:gridCol w:w="2162"/>
        <w:gridCol w:w="1271"/>
        <w:gridCol w:w="1300"/>
        <w:gridCol w:w="1146"/>
        <w:gridCol w:w="753"/>
      </w:tblGrid>
      <w:tr w:rsidR="00D4618A" w:rsidRPr="007937A2" w14:paraId="2AF1D27F" w14:textId="77777777" w:rsidTr="007937A2">
        <w:trPr>
          <w:trHeight w:val="221"/>
        </w:trPr>
        <w:tc>
          <w:tcPr>
            <w:tcW w:w="9601" w:type="dxa"/>
            <w:gridSpan w:val="6"/>
            <w:tcBorders>
              <w:top w:val="single" w:sz="4" w:space="0" w:color="auto"/>
              <w:left w:val="nil"/>
              <w:bottom w:val="single" w:sz="4" w:space="0" w:color="auto"/>
              <w:right w:val="nil"/>
            </w:tcBorders>
            <w:shd w:val="clear" w:color="auto" w:fill="auto"/>
            <w:noWrap/>
            <w:vAlign w:val="bottom"/>
            <w:hideMark/>
          </w:tcPr>
          <w:p w14:paraId="701CDB8A" w14:textId="719A160D" w:rsidR="00D4618A" w:rsidRPr="007937A2" w:rsidRDefault="00D4618A" w:rsidP="00112848">
            <w:pPr>
              <w:spacing w:after="0" w:line="240" w:lineRule="auto"/>
              <w:jc w:val="center"/>
              <w:rPr>
                <w:rFonts w:eastAsia="Times New Roman"/>
                <w:b/>
                <w:color w:val="000000"/>
                <w:sz w:val="24"/>
              </w:rPr>
            </w:pPr>
            <w:r w:rsidRPr="007937A2">
              <w:rPr>
                <w:rFonts w:eastAsia="Times New Roman"/>
                <w:b/>
                <w:color w:val="000000"/>
                <w:sz w:val="24"/>
              </w:rPr>
              <w:lastRenderedPageBreak/>
              <w:t xml:space="preserve">Table </w:t>
            </w:r>
            <w:r w:rsidR="004218A7">
              <w:rPr>
                <w:rFonts w:eastAsia="Times New Roman"/>
                <w:b/>
                <w:color w:val="000000"/>
                <w:sz w:val="24"/>
              </w:rPr>
              <w:t>5</w:t>
            </w:r>
          </w:p>
          <w:p w14:paraId="1E1F1EEB" w14:textId="60E729BF" w:rsidR="00D4618A" w:rsidRPr="007937A2" w:rsidRDefault="00D4618A" w:rsidP="007937A2">
            <w:pPr>
              <w:spacing w:after="0" w:line="240" w:lineRule="auto"/>
              <w:jc w:val="center"/>
              <w:rPr>
                <w:rFonts w:eastAsia="Times New Roman"/>
                <w:color w:val="000000"/>
                <w:sz w:val="24"/>
              </w:rPr>
            </w:pPr>
            <w:r w:rsidRPr="007937A2">
              <w:rPr>
                <w:rFonts w:eastAsia="Times New Roman"/>
                <w:color w:val="000000"/>
                <w:sz w:val="24"/>
              </w:rPr>
              <w:t>Panel Data Estimation</w:t>
            </w:r>
            <w:r w:rsidR="00465C3D">
              <w:rPr>
                <w:rFonts w:eastAsia="Times New Roman"/>
                <w:color w:val="000000"/>
                <w:sz w:val="24"/>
              </w:rPr>
              <w:t xml:space="preserve">. </w:t>
            </w:r>
            <w:r w:rsidRPr="007937A2">
              <w:rPr>
                <w:rFonts w:eastAsia="Times New Roman"/>
                <w:color w:val="000000"/>
                <w:sz w:val="24"/>
              </w:rPr>
              <w:t>Dependent variable</w:t>
            </w:r>
            <w:r w:rsidR="00974113">
              <w:rPr>
                <w:rFonts w:eastAsia="Times New Roman"/>
                <w:color w:val="000000"/>
                <w:sz w:val="24"/>
              </w:rPr>
              <w:t xml:space="preserve">:  </w:t>
            </w:r>
            <w:r w:rsidR="0053026F">
              <w:rPr>
                <w:rFonts w:eastAsia="Times New Roman"/>
                <w:color w:val="000000"/>
                <w:sz w:val="24"/>
              </w:rPr>
              <w:t xml:space="preserve">Core </w:t>
            </w:r>
            <w:r w:rsidRPr="007937A2">
              <w:rPr>
                <w:rFonts w:eastAsia="Times New Roman"/>
                <w:color w:val="000000"/>
                <w:sz w:val="24"/>
              </w:rPr>
              <w:t>Capital Ratio</w:t>
            </w:r>
          </w:p>
        </w:tc>
      </w:tr>
      <w:tr w:rsidR="00CE441C" w:rsidRPr="007937A2" w14:paraId="20122298" w14:textId="77777777" w:rsidTr="00966B79">
        <w:trPr>
          <w:trHeight w:val="221"/>
        </w:trPr>
        <w:tc>
          <w:tcPr>
            <w:tcW w:w="2969" w:type="dxa"/>
            <w:tcBorders>
              <w:top w:val="single" w:sz="4" w:space="0" w:color="auto"/>
              <w:left w:val="nil"/>
              <w:right w:val="nil"/>
            </w:tcBorders>
            <w:shd w:val="clear" w:color="auto" w:fill="F2F2F2"/>
            <w:noWrap/>
            <w:vAlign w:val="bottom"/>
          </w:tcPr>
          <w:p w14:paraId="1A2523A9" w14:textId="77777777" w:rsidR="00CE441C" w:rsidRPr="007937A2" w:rsidRDefault="00CE441C" w:rsidP="00112848">
            <w:pPr>
              <w:spacing w:after="0" w:line="240" w:lineRule="auto"/>
              <w:rPr>
                <w:rFonts w:eastAsia="Times New Roman"/>
                <w:b/>
                <w:bCs/>
                <w:color w:val="C00000"/>
              </w:rPr>
            </w:pPr>
          </w:p>
        </w:tc>
        <w:tc>
          <w:tcPr>
            <w:tcW w:w="2162" w:type="dxa"/>
            <w:tcBorders>
              <w:top w:val="single" w:sz="4" w:space="0" w:color="auto"/>
              <w:left w:val="nil"/>
              <w:right w:val="nil"/>
            </w:tcBorders>
            <w:shd w:val="clear" w:color="auto" w:fill="F2F2F2"/>
            <w:noWrap/>
            <w:vAlign w:val="bottom"/>
          </w:tcPr>
          <w:p w14:paraId="1DD5D5DA" w14:textId="77777777" w:rsidR="00CE441C" w:rsidRPr="007937A2" w:rsidRDefault="00CE441C" w:rsidP="00112848">
            <w:pPr>
              <w:spacing w:after="0" w:line="240" w:lineRule="auto"/>
              <w:jc w:val="center"/>
              <w:rPr>
                <w:rFonts w:eastAsia="Times New Roman"/>
                <w:b/>
                <w:bCs/>
                <w:color w:val="000000"/>
              </w:rPr>
            </w:pPr>
          </w:p>
        </w:tc>
        <w:tc>
          <w:tcPr>
            <w:tcW w:w="1271" w:type="dxa"/>
            <w:tcBorders>
              <w:top w:val="single" w:sz="4" w:space="0" w:color="auto"/>
              <w:left w:val="nil"/>
              <w:right w:val="nil"/>
            </w:tcBorders>
            <w:shd w:val="clear" w:color="auto" w:fill="F2F2F2"/>
            <w:noWrap/>
            <w:vAlign w:val="bottom"/>
          </w:tcPr>
          <w:p w14:paraId="2F79BC4D" w14:textId="77777777" w:rsidR="00CE441C" w:rsidRPr="007937A2" w:rsidRDefault="00CE441C" w:rsidP="00112848">
            <w:pPr>
              <w:spacing w:after="0" w:line="240" w:lineRule="auto"/>
              <w:jc w:val="center"/>
              <w:rPr>
                <w:rFonts w:eastAsia="Times New Roman"/>
                <w:b/>
                <w:bCs/>
                <w:color w:val="000000"/>
              </w:rPr>
            </w:pPr>
          </w:p>
        </w:tc>
        <w:tc>
          <w:tcPr>
            <w:tcW w:w="1300" w:type="dxa"/>
            <w:tcBorders>
              <w:top w:val="single" w:sz="4" w:space="0" w:color="auto"/>
              <w:left w:val="nil"/>
              <w:right w:val="nil"/>
            </w:tcBorders>
            <w:shd w:val="clear" w:color="auto" w:fill="F2F2F2"/>
            <w:noWrap/>
            <w:vAlign w:val="bottom"/>
          </w:tcPr>
          <w:p w14:paraId="6C39A0F9" w14:textId="77777777" w:rsidR="00CE441C" w:rsidRPr="007937A2" w:rsidRDefault="00CE441C" w:rsidP="00112848">
            <w:pPr>
              <w:spacing w:after="0" w:line="240" w:lineRule="auto"/>
              <w:jc w:val="center"/>
              <w:rPr>
                <w:rFonts w:eastAsia="Times New Roman"/>
                <w:b/>
                <w:bCs/>
                <w:color w:val="000000"/>
              </w:rPr>
            </w:pPr>
          </w:p>
        </w:tc>
        <w:tc>
          <w:tcPr>
            <w:tcW w:w="1146" w:type="dxa"/>
            <w:tcBorders>
              <w:top w:val="single" w:sz="4" w:space="0" w:color="auto"/>
              <w:left w:val="nil"/>
              <w:right w:val="nil"/>
            </w:tcBorders>
            <w:shd w:val="clear" w:color="auto" w:fill="F2F2F2"/>
            <w:noWrap/>
            <w:vAlign w:val="bottom"/>
          </w:tcPr>
          <w:p w14:paraId="79E169D6" w14:textId="77777777" w:rsidR="00CE441C" w:rsidRPr="007937A2" w:rsidRDefault="00CE441C" w:rsidP="00112848">
            <w:pPr>
              <w:spacing w:after="0" w:line="240" w:lineRule="auto"/>
              <w:jc w:val="center"/>
              <w:rPr>
                <w:rFonts w:eastAsia="Times New Roman"/>
                <w:b/>
                <w:bCs/>
                <w:color w:val="000000"/>
              </w:rPr>
            </w:pPr>
          </w:p>
        </w:tc>
        <w:tc>
          <w:tcPr>
            <w:tcW w:w="753" w:type="dxa"/>
            <w:tcBorders>
              <w:top w:val="single" w:sz="4" w:space="0" w:color="auto"/>
              <w:left w:val="nil"/>
              <w:right w:val="nil"/>
            </w:tcBorders>
            <w:shd w:val="clear" w:color="auto" w:fill="F2F2F2"/>
            <w:noWrap/>
            <w:vAlign w:val="bottom"/>
          </w:tcPr>
          <w:p w14:paraId="57A640D5" w14:textId="77777777" w:rsidR="00CE441C" w:rsidRPr="007937A2" w:rsidRDefault="00CE441C" w:rsidP="00112848">
            <w:pPr>
              <w:spacing w:after="0" w:line="240" w:lineRule="auto"/>
              <w:rPr>
                <w:rFonts w:eastAsia="Times New Roman"/>
                <w:color w:val="000000"/>
              </w:rPr>
            </w:pPr>
          </w:p>
        </w:tc>
      </w:tr>
      <w:tr w:rsidR="00465C3D" w:rsidRPr="007937A2" w14:paraId="15A8843A" w14:textId="77777777" w:rsidTr="00966B79">
        <w:trPr>
          <w:trHeight w:val="221"/>
        </w:trPr>
        <w:tc>
          <w:tcPr>
            <w:tcW w:w="2969" w:type="dxa"/>
            <w:tcBorders>
              <w:left w:val="nil"/>
              <w:right w:val="nil"/>
            </w:tcBorders>
            <w:shd w:val="clear" w:color="auto" w:fill="F2F2F2"/>
            <w:noWrap/>
            <w:vAlign w:val="bottom"/>
            <w:hideMark/>
          </w:tcPr>
          <w:p w14:paraId="72C5D451" w14:textId="77777777" w:rsidR="00D4618A" w:rsidRPr="007937A2" w:rsidRDefault="00465C3D" w:rsidP="00112848">
            <w:pPr>
              <w:spacing w:after="0" w:line="240" w:lineRule="auto"/>
              <w:rPr>
                <w:rFonts w:eastAsia="Times New Roman"/>
                <w:color w:val="C00000"/>
              </w:rPr>
            </w:pPr>
            <w:r w:rsidRPr="007937A2">
              <w:rPr>
                <w:rFonts w:eastAsia="Times New Roman"/>
                <w:b/>
                <w:bCs/>
                <w:color w:val="C00000"/>
              </w:rPr>
              <w:t>Fixed Effects</w:t>
            </w:r>
          </w:p>
        </w:tc>
        <w:tc>
          <w:tcPr>
            <w:tcW w:w="2162" w:type="dxa"/>
            <w:tcBorders>
              <w:left w:val="nil"/>
              <w:bottom w:val="single" w:sz="4" w:space="0" w:color="auto"/>
              <w:right w:val="nil"/>
            </w:tcBorders>
            <w:shd w:val="clear" w:color="auto" w:fill="F2F2F2"/>
            <w:noWrap/>
            <w:vAlign w:val="bottom"/>
            <w:hideMark/>
          </w:tcPr>
          <w:p w14:paraId="2A6F22FC" w14:textId="22C5189E" w:rsidR="00D4618A" w:rsidRPr="007937A2" w:rsidRDefault="004218A7" w:rsidP="00112848">
            <w:pPr>
              <w:spacing w:after="0" w:line="240" w:lineRule="auto"/>
              <w:jc w:val="center"/>
              <w:rPr>
                <w:rFonts w:eastAsia="Times New Roman"/>
                <w:b/>
                <w:bCs/>
                <w:color w:val="000000"/>
              </w:rPr>
            </w:pPr>
            <w:r w:rsidRPr="007937A2">
              <w:rPr>
                <w:rFonts w:eastAsia="Times New Roman"/>
                <w:b/>
                <w:bCs/>
                <w:color w:val="000000"/>
              </w:rPr>
              <w:t>C</w:t>
            </w:r>
            <w:r w:rsidR="00D4618A" w:rsidRPr="007937A2">
              <w:rPr>
                <w:rFonts w:eastAsia="Times New Roman"/>
                <w:b/>
                <w:bCs/>
                <w:color w:val="000000"/>
              </w:rPr>
              <w:t>oefficient</w:t>
            </w:r>
          </w:p>
        </w:tc>
        <w:tc>
          <w:tcPr>
            <w:tcW w:w="1271" w:type="dxa"/>
            <w:tcBorders>
              <w:left w:val="nil"/>
              <w:bottom w:val="single" w:sz="4" w:space="0" w:color="auto"/>
              <w:right w:val="nil"/>
            </w:tcBorders>
            <w:shd w:val="clear" w:color="auto" w:fill="F2F2F2"/>
            <w:noWrap/>
            <w:vAlign w:val="bottom"/>
            <w:hideMark/>
          </w:tcPr>
          <w:p w14:paraId="049DE542" w14:textId="77777777" w:rsidR="00D4618A" w:rsidRPr="007937A2" w:rsidRDefault="00D4618A" w:rsidP="00112848">
            <w:pPr>
              <w:spacing w:after="0" w:line="240" w:lineRule="auto"/>
              <w:jc w:val="center"/>
              <w:rPr>
                <w:rFonts w:eastAsia="Times New Roman"/>
                <w:b/>
                <w:bCs/>
                <w:color w:val="000000"/>
              </w:rPr>
            </w:pPr>
            <w:r w:rsidRPr="007937A2">
              <w:rPr>
                <w:rFonts w:eastAsia="Times New Roman"/>
                <w:b/>
                <w:bCs/>
                <w:color w:val="000000"/>
              </w:rPr>
              <w:t>std. error</w:t>
            </w:r>
          </w:p>
        </w:tc>
        <w:tc>
          <w:tcPr>
            <w:tcW w:w="1300" w:type="dxa"/>
            <w:tcBorders>
              <w:left w:val="nil"/>
              <w:bottom w:val="single" w:sz="4" w:space="0" w:color="auto"/>
              <w:right w:val="nil"/>
            </w:tcBorders>
            <w:shd w:val="clear" w:color="auto" w:fill="F2F2F2"/>
            <w:noWrap/>
            <w:vAlign w:val="bottom"/>
            <w:hideMark/>
          </w:tcPr>
          <w:p w14:paraId="3870C1EF" w14:textId="77777777" w:rsidR="00D4618A" w:rsidRPr="007937A2" w:rsidRDefault="00D4618A" w:rsidP="00112848">
            <w:pPr>
              <w:spacing w:after="0" w:line="240" w:lineRule="auto"/>
              <w:jc w:val="center"/>
              <w:rPr>
                <w:rFonts w:eastAsia="Times New Roman"/>
                <w:b/>
                <w:bCs/>
                <w:color w:val="000000"/>
              </w:rPr>
            </w:pPr>
            <w:r w:rsidRPr="007937A2">
              <w:rPr>
                <w:rFonts w:eastAsia="Times New Roman"/>
                <w:b/>
                <w:bCs/>
                <w:color w:val="000000"/>
              </w:rPr>
              <w:t>t-ratio</w:t>
            </w:r>
          </w:p>
        </w:tc>
        <w:tc>
          <w:tcPr>
            <w:tcW w:w="1146" w:type="dxa"/>
            <w:tcBorders>
              <w:left w:val="nil"/>
              <w:bottom w:val="single" w:sz="4" w:space="0" w:color="auto"/>
              <w:right w:val="nil"/>
            </w:tcBorders>
            <w:shd w:val="clear" w:color="auto" w:fill="F2F2F2"/>
            <w:noWrap/>
            <w:vAlign w:val="bottom"/>
            <w:hideMark/>
          </w:tcPr>
          <w:p w14:paraId="58CCC710" w14:textId="77777777" w:rsidR="00D4618A" w:rsidRPr="007937A2" w:rsidRDefault="00D4618A" w:rsidP="00112848">
            <w:pPr>
              <w:spacing w:after="0" w:line="240" w:lineRule="auto"/>
              <w:jc w:val="center"/>
              <w:rPr>
                <w:rFonts w:eastAsia="Times New Roman"/>
                <w:b/>
                <w:bCs/>
                <w:color w:val="000000"/>
              </w:rPr>
            </w:pPr>
            <w:r w:rsidRPr="007937A2">
              <w:rPr>
                <w:rFonts w:eastAsia="Times New Roman"/>
                <w:b/>
                <w:bCs/>
                <w:color w:val="000000"/>
              </w:rPr>
              <w:t>p-value</w:t>
            </w:r>
          </w:p>
        </w:tc>
        <w:tc>
          <w:tcPr>
            <w:tcW w:w="753" w:type="dxa"/>
            <w:tcBorders>
              <w:left w:val="nil"/>
              <w:bottom w:val="nil"/>
              <w:right w:val="nil"/>
            </w:tcBorders>
            <w:shd w:val="clear" w:color="auto" w:fill="F2F2F2"/>
            <w:noWrap/>
            <w:vAlign w:val="bottom"/>
            <w:hideMark/>
          </w:tcPr>
          <w:p w14:paraId="42FD9777" w14:textId="77777777" w:rsidR="00D4618A" w:rsidRPr="007937A2" w:rsidRDefault="00D4618A" w:rsidP="00112848">
            <w:pPr>
              <w:spacing w:after="0" w:line="240" w:lineRule="auto"/>
              <w:rPr>
                <w:rFonts w:eastAsia="Times New Roman"/>
                <w:color w:val="000000"/>
              </w:rPr>
            </w:pPr>
          </w:p>
        </w:tc>
      </w:tr>
      <w:tr w:rsidR="00BE6E11" w:rsidRPr="007937A2" w14:paraId="36393640" w14:textId="77777777" w:rsidTr="00966B79">
        <w:trPr>
          <w:trHeight w:val="221"/>
        </w:trPr>
        <w:tc>
          <w:tcPr>
            <w:tcW w:w="2969" w:type="dxa"/>
            <w:tcBorders>
              <w:top w:val="nil"/>
              <w:left w:val="nil"/>
              <w:bottom w:val="nil"/>
              <w:right w:val="nil"/>
            </w:tcBorders>
            <w:shd w:val="clear" w:color="auto" w:fill="DDD9C3"/>
            <w:vAlign w:val="bottom"/>
            <w:hideMark/>
          </w:tcPr>
          <w:p w14:paraId="7CE5704C" w14:textId="78E051B8" w:rsidR="00D4618A" w:rsidRPr="007937A2" w:rsidRDefault="00D4618A" w:rsidP="00112848">
            <w:pPr>
              <w:spacing w:after="0" w:line="240" w:lineRule="auto"/>
              <w:rPr>
                <w:rFonts w:eastAsia="Times New Roman"/>
                <w:b/>
                <w:bCs/>
                <w:color w:val="000000"/>
              </w:rPr>
            </w:pPr>
            <w:r w:rsidRPr="007937A2">
              <w:rPr>
                <w:rFonts w:eastAsia="Times New Roman"/>
                <w:b/>
                <w:bCs/>
                <w:color w:val="000000"/>
              </w:rPr>
              <w:t>Model 1</w:t>
            </w:r>
            <w:r w:rsidR="00974113">
              <w:rPr>
                <w:rFonts w:eastAsia="Times New Roman"/>
                <w:b/>
                <w:bCs/>
                <w:color w:val="000000"/>
              </w:rPr>
              <w:t xml:space="preserve">:  </w:t>
            </w:r>
            <w:r w:rsidRPr="007937A2">
              <w:rPr>
                <w:rFonts w:eastAsia="Times New Roman"/>
                <w:b/>
                <w:bCs/>
                <w:color w:val="000000"/>
              </w:rPr>
              <w:t xml:space="preserve"> 41 obs. </w:t>
            </w:r>
          </w:p>
        </w:tc>
        <w:tc>
          <w:tcPr>
            <w:tcW w:w="2162" w:type="dxa"/>
            <w:tcBorders>
              <w:top w:val="nil"/>
              <w:left w:val="nil"/>
              <w:bottom w:val="nil"/>
              <w:right w:val="nil"/>
            </w:tcBorders>
            <w:shd w:val="clear" w:color="auto" w:fill="auto"/>
            <w:noWrap/>
            <w:vAlign w:val="bottom"/>
            <w:hideMark/>
          </w:tcPr>
          <w:p w14:paraId="0911FB8A" w14:textId="77777777" w:rsidR="00D4618A" w:rsidRPr="007937A2" w:rsidRDefault="00D4618A" w:rsidP="00112848">
            <w:pPr>
              <w:spacing w:after="0" w:line="240" w:lineRule="auto"/>
              <w:jc w:val="center"/>
              <w:rPr>
                <w:rFonts w:eastAsia="Times New Roman"/>
                <w:color w:val="000000"/>
              </w:rPr>
            </w:pPr>
          </w:p>
        </w:tc>
        <w:tc>
          <w:tcPr>
            <w:tcW w:w="1271" w:type="dxa"/>
            <w:tcBorders>
              <w:top w:val="nil"/>
              <w:left w:val="nil"/>
              <w:bottom w:val="nil"/>
              <w:right w:val="nil"/>
            </w:tcBorders>
            <w:shd w:val="clear" w:color="auto" w:fill="auto"/>
            <w:noWrap/>
            <w:vAlign w:val="bottom"/>
            <w:hideMark/>
          </w:tcPr>
          <w:p w14:paraId="11EB8E37" w14:textId="77777777" w:rsidR="00D4618A" w:rsidRPr="007937A2" w:rsidRDefault="00D4618A" w:rsidP="00112848">
            <w:pPr>
              <w:spacing w:after="0" w:line="240" w:lineRule="auto"/>
              <w:jc w:val="center"/>
              <w:rPr>
                <w:rFonts w:eastAsia="Times New Roman"/>
                <w:color w:val="000000"/>
              </w:rPr>
            </w:pPr>
          </w:p>
        </w:tc>
        <w:tc>
          <w:tcPr>
            <w:tcW w:w="1300" w:type="dxa"/>
            <w:tcBorders>
              <w:top w:val="nil"/>
              <w:left w:val="nil"/>
              <w:bottom w:val="nil"/>
              <w:right w:val="nil"/>
            </w:tcBorders>
            <w:shd w:val="clear" w:color="auto" w:fill="auto"/>
            <w:noWrap/>
            <w:vAlign w:val="bottom"/>
            <w:hideMark/>
          </w:tcPr>
          <w:p w14:paraId="14BB867C" w14:textId="77777777" w:rsidR="00D4618A" w:rsidRPr="007937A2" w:rsidRDefault="00D4618A" w:rsidP="00112848">
            <w:pPr>
              <w:spacing w:after="0" w:line="240" w:lineRule="auto"/>
              <w:jc w:val="center"/>
              <w:rPr>
                <w:rFonts w:eastAsia="Times New Roman"/>
                <w:color w:val="000000"/>
              </w:rPr>
            </w:pPr>
          </w:p>
        </w:tc>
        <w:tc>
          <w:tcPr>
            <w:tcW w:w="1146" w:type="dxa"/>
            <w:tcBorders>
              <w:top w:val="nil"/>
              <w:left w:val="nil"/>
              <w:bottom w:val="nil"/>
              <w:right w:val="nil"/>
            </w:tcBorders>
            <w:shd w:val="clear" w:color="auto" w:fill="auto"/>
            <w:noWrap/>
            <w:vAlign w:val="bottom"/>
            <w:hideMark/>
          </w:tcPr>
          <w:p w14:paraId="792306DB" w14:textId="77777777" w:rsidR="00D4618A" w:rsidRPr="007937A2" w:rsidRDefault="00D4618A" w:rsidP="00112848">
            <w:pPr>
              <w:spacing w:after="0" w:line="240" w:lineRule="auto"/>
              <w:jc w:val="center"/>
              <w:rPr>
                <w:rFonts w:eastAsia="Times New Roman"/>
                <w:color w:val="000000"/>
              </w:rPr>
            </w:pPr>
          </w:p>
        </w:tc>
        <w:tc>
          <w:tcPr>
            <w:tcW w:w="753" w:type="dxa"/>
            <w:tcBorders>
              <w:top w:val="nil"/>
              <w:left w:val="nil"/>
              <w:bottom w:val="nil"/>
              <w:right w:val="nil"/>
            </w:tcBorders>
            <w:shd w:val="clear" w:color="auto" w:fill="auto"/>
            <w:noWrap/>
            <w:vAlign w:val="bottom"/>
            <w:hideMark/>
          </w:tcPr>
          <w:p w14:paraId="4FCAE828" w14:textId="77777777" w:rsidR="00D4618A" w:rsidRPr="007937A2" w:rsidRDefault="00D4618A" w:rsidP="00112848">
            <w:pPr>
              <w:spacing w:after="0" w:line="240" w:lineRule="auto"/>
              <w:rPr>
                <w:rFonts w:eastAsia="Times New Roman"/>
                <w:color w:val="000000"/>
              </w:rPr>
            </w:pPr>
          </w:p>
        </w:tc>
      </w:tr>
      <w:tr w:rsidR="00BE6E11" w:rsidRPr="007937A2" w14:paraId="6044CDA2" w14:textId="77777777" w:rsidTr="00966B79">
        <w:trPr>
          <w:trHeight w:val="221"/>
        </w:trPr>
        <w:tc>
          <w:tcPr>
            <w:tcW w:w="2969" w:type="dxa"/>
            <w:tcBorders>
              <w:top w:val="nil"/>
              <w:left w:val="nil"/>
              <w:bottom w:val="nil"/>
              <w:right w:val="nil"/>
            </w:tcBorders>
            <w:shd w:val="clear" w:color="auto" w:fill="DDD9C3"/>
            <w:vAlign w:val="bottom"/>
            <w:hideMark/>
          </w:tcPr>
          <w:p w14:paraId="4BE3086C" w14:textId="77777777" w:rsidR="00D4618A" w:rsidRPr="007937A2" w:rsidRDefault="00D4618A" w:rsidP="00112848">
            <w:pPr>
              <w:spacing w:after="0" w:line="240" w:lineRule="auto"/>
              <w:rPr>
                <w:rFonts w:eastAsia="Times New Roman"/>
                <w:color w:val="000000"/>
              </w:rPr>
            </w:pPr>
            <w:r w:rsidRPr="007937A2">
              <w:rPr>
                <w:rFonts w:eastAsia="Times New Roman"/>
                <w:color w:val="000000"/>
              </w:rPr>
              <w:t>const</w:t>
            </w:r>
          </w:p>
        </w:tc>
        <w:tc>
          <w:tcPr>
            <w:tcW w:w="2162" w:type="dxa"/>
            <w:tcBorders>
              <w:top w:val="nil"/>
              <w:left w:val="nil"/>
              <w:bottom w:val="nil"/>
              <w:right w:val="nil"/>
            </w:tcBorders>
            <w:shd w:val="clear" w:color="auto" w:fill="auto"/>
            <w:noWrap/>
            <w:hideMark/>
          </w:tcPr>
          <w:p w14:paraId="5FC6E289" w14:textId="77777777" w:rsidR="00D4618A" w:rsidRPr="007937A2" w:rsidRDefault="00D4618A" w:rsidP="007937A2">
            <w:pPr>
              <w:spacing w:after="0" w:line="240" w:lineRule="auto"/>
              <w:jc w:val="center"/>
              <w:rPr>
                <w:rFonts w:eastAsia="Times New Roman"/>
                <w:color w:val="000000"/>
              </w:rPr>
            </w:pPr>
            <w:r w:rsidRPr="007937A2">
              <w:t>0.151</w:t>
            </w:r>
          </w:p>
        </w:tc>
        <w:tc>
          <w:tcPr>
            <w:tcW w:w="1271" w:type="dxa"/>
            <w:tcBorders>
              <w:top w:val="nil"/>
              <w:left w:val="nil"/>
              <w:bottom w:val="nil"/>
              <w:right w:val="nil"/>
            </w:tcBorders>
            <w:shd w:val="clear" w:color="auto" w:fill="auto"/>
            <w:noWrap/>
            <w:hideMark/>
          </w:tcPr>
          <w:p w14:paraId="6BED90A9" w14:textId="77777777" w:rsidR="00D4618A" w:rsidRPr="007937A2" w:rsidRDefault="00D4618A" w:rsidP="007937A2">
            <w:pPr>
              <w:spacing w:after="0" w:line="240" w:lineRule="auto"/>
              <w:jc w:val="center"/>
              <w:rPr>
                <w:rFonts w:eastAsia="Times New Roman"/>
                <w:color w:val="000000"/>
              </w:rPr>
            </w:pPr>
            <w:r w:rsidRPr="007937A2">
              <w:t>0.00536</w:t>
            </w:r>
          </w:p>
        </w:tc>
        <w:tc>
          <w:tcPr>
            <w:tcW w:w="1300" w:type="dxa"/>
            <w:tcBorders>
              <w:top w:val="nil"/>
              <w:left w:val="nil"/>
              <w:bottom w:val="nil"/>
              <w:right w:val="nil"/>
            </w:tcBorders>
            <w:shd w:val="clear" w:color="auto" w:fill="auto"/>
            <w:noWrap/>
            <w:hideMark/>
          </w:tcPr>
          <w:p w14:paraId="13D39D02" w14:textId="77777777" w:rsidR="00D4618A" w:rsidRPr="007937A2" w:rsidRDefault="00D4618A" w:rsidP="00112848">
            <w:pPr>
              <w:spacing w:after="0" w:line="240" w:lineRule="auto"/>
              <w:jc w:val="center"/>
              <w:rPr>
                <w:rFonts w:eastAsia="Times New Roman"/>
                <w:color w:val="000000"/>
              </w:rPr>
            </w:pPr>
            <w:r w:rsidRPr="007937A2">
              <w:t>28.17</w:t>
            </w:r>
          </w:p>
        </w:tc>
        <w:tc>
          <w:tcPr>
            <w:tcW w:w="1146" w:type="dxa"/>
            <w:tcBorders>
              <w:top w:val="nil"/>
              <w:left w:val="nil"/>
              <w:bottom w:val="nil"/>
              <w:right w:val="nil"/>
            </w:tcBorders>
            <w:shd w:val="clear" w:color="auto" w:fill="auto"/>
            <w:noWrap/>
            <w:hideMark/>
          </w:tcPr>
          <w:p w14:paraId="383B01B6" w14:textId="77777777" w:rsidR="00D4618A" w:rsidRPr="007937A2" w:rsidRDefault="00D4618A" w:rsidP="007937A2">
            <w:pPr>
              <w:spacing w:after="0" w:line="240" w:lineRule="auto"/>
              <w:jc w:val="center"/>
              <w:rPr>
                <w:rFonts w:eastAsia="Times New Roman"/>
                <w:color w:val="000000"/>
              </w:rPr>
            </w:pPr>
            <w:r w:rsidRPr="007937A2">
              <w:t>0.0000</w:t>
            </w:r>
          </w:p>
        </w:tc>
        <w:tc>
          <w:tcPr>
            <w:tcW w:w="753" w:type="dxa"/>
            <w:tcBorders>
              <w:top w:val="nil"/>
              <w:left w:val="nil"/>
              <w:bottom w:val="nil"/>
              <w:right w:val="nil"/>
            </w:tcBorders>
            <w:shd w:val="clear" w:color="auto" w:fill="auto"/>
            <w:noWrap/>
            <w:vAlign w:val="bottom"/>
            <w:hideMark/>
          </w:tcPr>
          <w:p w14:paraId="4ABD6E7F" w14:textId="77777777" w:rsidR="00D4618A" w:rsidRPr="007937A2" w:rsidRDefault="00D4618A" w:rsidP="00112848">
            <w:pPr>
              <w:spacing w:after="0" w:line="240" w:lineRule="auto"/>
              <w:rPr>
                <w:rFonts w:eastAsia="Times New Roman"/>
                <w:color w:val="000000"/>
              </w:rPr>
            </w:pPr>
            <w:r w:rsidRPr="007937A2">
              <w:rPr>
                <w:rFonts w:eastAsia="Times New Roman"/>
                <w:color w:val="000000"/>
              </w:rPr>
              <w:t>***</w:t>
            </w:r>
          </w:p>
        </w:tc>
      </w:tr>
      <w:tr w:rsidR="00BE6E11" w:rsidRPr="007937A2" w14:paraId="7D0F3D6A" w14:textId="77777777" w:rsidTr="00966B79">
        <w:trPr>
          <w:trHeight w:val="221"/>
        </w:trPr>
        <w:tc>
          <w:tcPr>
            <w:tcW w:w="2969" w:type="dxa"/>
            <w:tcBorders>
              <w:top w:val="nil"/>
              <w:left w:val="nil"/>
              <w:bottom w:val="single" w:sz="4" w:space="0" w:color="auto"/>
              <w:right w:val="nil"/>
            </w:tcBorders>
            <w:shd w:val="clear" w:color="auto" w:fill="DDD9C3"/>
            <w:vAlign w:val="bottom"/>
            <w:hideMark/>
          </w:tcPr>
          <w:p w14:paraId="4A91B557" w14:textId="77777777" w:rsidR="00D4618A" w:rsidRPr="007937A2" w:rsidRDefault="00D4618A" w:rsidP="007937A2">
            <w:pPr>
              <w:spacing w:after="0" w:line="240" w:lineRule="auto"/>
              <w:rPr>
                <w:rFonts w:eastAsia="Times New Roman"/>
                <w:color w:val="000000"/>
              </w:rPr>
            </w:pPr>
            <w:r w:rsidRPr="007937A2">
              <w:rPr>
                <w:rFonts w:eastAsia="Times New Roman"/>
                <w:color w:val="000000"/>
              </w:rPr>
              <w:t>Trading</w:t>
            </w:r>
            <w:r w:rsidR="00830742" w:rsidRPr="007937A2">
              <w:rPr>
                <w:rFonts w:eastAsia="Times New Roman"/>
                <w:color w:val="000000"/>
              </w:rPr>
              <w:t xml:space="preserve"> </w:t>
            </w:r>
            <w:r w:rsidR="00023869" w:rsidRPr="007937A2">
              <w:rPr>
                <w:rFonts w:eastAsia="Times New Roman"/>
                <w:color w:val="000000"/>
              </w:rPr>
              <w:t xml:space="preserve">to Assets </w:t>
            </w:r>
            <w:r w:rsidRPr="007937A2">
              <w:rPr>
                <w:rFonts w:eastAsia="Times New Roman"/>
                <w:color w:val="000000"/>
              </w:rPr>
              <w:t>Ratio</w:t>
            </w:r>
          </w:p>
        </w:tc>
        <w:tc>
          <w:tcPr>
            <w:tcW w:w="2162" w:type="dxa"/>
            <w:tcBorders>
              <w:top w:val="nil"/>
              <w:left w:val="nil"/>
              <w:bottom w:val="single" w:sz="4" w:space="0" w:color="auto"/>
              <w:right w:val="nil"/>
            </w:tcBorders>
            <w:shd w:val="clear" w:color="auto" w:fill="auto"/>
            <w:noWrap/>
            <w:hideMark/>
          </w:tcPr>
          <w:p w14:paraId="52E69D40" w14:textId="77777777" w:rsidR="00D4618A" w:rsidRPr="007937A2" w:rsidRDefault="00D4618A" w:rsidP="007937A2">
            <w:pPr>
              <w:spacing w:after="0" w:line="240" w:lineRule="auto"/>
              <w:jc w:val="center"/>
              <w:rPr>
                <w:rFonts w:eastAsia="Times New Roman"/>
                <w:color w:val="000000"/>
              </w:rPr>
            </w:pPr>
            <w:r w:rsidRPr="007937A2">
              <w:t>0.00030</w:t>
            </w:r>
          </w:p>
        </w:tc>
        <w:tc>
          <w:tcPr>
            <w:tcW w:w="1271" w:type="dxa"/>
            <w:tcBorders>
              <w:top w:val="nil"/>
              <w:left w:val="nil"/>
              <w:bottom w:val="single" w:sz="4" w:space="0" w:color="auto"/>
              <w:right w:val="nil"/>
            </w:tcBorders>
            <w:shd w:val="clear" w:color="auto" w:fill="auto"/>
            <w:noWrap/>
            <w:hideMark/>
          </w:tcPr>
          <w:p w14:paraId="742B8780" w14:textId="77777777" w:rsidR="00D4618A" w:rsidRPr="007937A2" w:rsidRDefault="00D4618A" w:rsidP="007937A2">
            <w:pPr>
              <w:spacing w:after="0" w:line="240" w:lineRule="auto"/>
              <w:jc w:val="center"/>
              <w:rPr>
                <w:rFonts w:eastAsia="Times New Roman"/>
                <w:color w:val="000000"/>
              </w:rPr>
            </w:pPr>
            <w:r w:rsidRPr="007937A2">
              <w:t>0.0022</w:t>
            </w:r>
          </w:p>
        </w:tc>
        <w:tc>
          <w:tcPr>
            <w:tcW w:w="1300" w:type="dxa"/>
            <w:tcBorders>
              <w:top w:val="nil"/>
              <w:left w:val="nil"/>
              <w:bottom w:val="single" w:sz="4" w:space="0" w:color="auto"/>
              <w:right w:val="nil"/>
            </w:tcBorders>
            <w:shd w:val="clear" w:color="auto" w:fill="auto"/>
            <w:noWrap/>
            <w:hideMark/>
          </w:tcPr>
          <w:p w14:paraId="44FA1EE1" w14:textId="77777777" w:rsidR="00D4618A" w:rsidRPr="007937A2" w:rsidRDefault="00D4618A" w:rsidP="00112848">
            <w:pPr>
              <w:spacing w:after="0" w:line="240" w:lineRule="auto"/>
              <w:jc w:val="center"/>
              <w:rPr>
                <w:rFonts w:eastAsia="Times New Roman"/>
                <w:color w:val="000000"/>
              </w:rPr>
            </w:pPr>
            <w:r w:rsidRPr="007937A2">
              <w:t>0.1349</w:t>
            </w:r>
          </w:p>
        </w:tc>
        <w:tc>
          <w:tcPr>
            <w:tcW w:w="1146" w:type="dxa"/>
            <w:tcBorders>
              <w:top w:val="nil"/>
              <w:left w:val="nil"/>
              <w:bottom w:val="single" w:sz="4" w:space="0" w:color="auto"/>
              <w:right w:val="nil"/>
            </w:tcBorders>
            <w:shd w:val="clear" w:color="auto" w:fill="auto"/>
            <w:noWrap/>
            <w:hideMark/>
          </w:tcPr>
          <w:p w14:paraId="4A7F6E70" w14:textId="77777777" w:rsidR="00D4618A" w:rsidRPr="007937A2" w:rsidRDefault="00D4618A" w:rsidP="00112848">
            <w:pPr>
              <w:spacing w:after="0" w:line="240" w:lineRule="auto"/>
              <w:jc w:val="center"/>
              <w:rPr>
                <w:rFonts w:eastAsia="Times New Roman"/>
                <w:color w:val="000000"/>
              </w:rPr>
            </w:pPr>
            <w:r w:rsidRPr="007937A2">
              <w:t>0.8935</w:t>
            </w:r>
          </w:p>
        </w:tc>
        <w:tc>
          <w:tcPr>
            <w:tcW w:w="753" w:type="dxa"/>
            <w:tcBorders>
              <w:top w:val="nil"/>
              <w:left w:val="nil"/>
              <w:bottom w:val="nil"/>
              <w:right w:val="nil"/>
            </w:tcBorders>
            <w:shd w:val="clear" w:color="auto" w:fill="auto"/>
            <w:noWrap/>
            <w:vAlign w:val="bottom"/>
            <w:hideMark/>
          </w:tcPr>
          <w:p w14:paraId="15BC8A38" w14:textId="77777777" w:rsidR="00D4618A" w:rsidRPr="007937A2" w:rsidRDefault="00D4618A" w:rsidP="00112848">
            <w:pPr>
              <w:spacing w:after="0" w:line="240" w:lineRule="auto"/>
              <w:rPr>
                <w:rFonts w:eastAsia="Times New Roman"/>
                <w:color w:val="000000"/>
              </w:rPr>
            </w:pPr>
          </w:p>
        </w:tc>
      </w:tr>
      <w:tr w:rsidR="00BE6E11" w:rsidRPr="007937A2" w14:paraId="7DC4ABC0" w14:textId="77777777" w:rsidTr="00966B79">
        <w:trPr>
          <w:trHeight w:val="221"/>
        </w:trPr>
        <w:tc>
          <w:tcPr>
            <w:tcW w:w="2969" w:type="dxa"/>
            <w:tcBorders>
              <w:top w:val="nil"/>
              <w:left w:val="nil"/>
              <w:bottom w:val="nil"/>
              <w:right w:val="nil"/>
            </w:tcBorders>
            <w:shd w:val="clear" w:color="auto" w:fill="DDD9C3"/>
            <w:vAlign w:val="bottom"/>
            <w:hideMark/>
          </w:tcPr>
          <w:p w14:paraId="4CB3F8C1" w14:textId="70C726E6" w:rsidR="00D4618A" w:rsidRPr="007937A2" w:rsidRDefault="00D4618A" w:rsidP="00112848">
            <w:pPr>
              <w:spacing w:after="0" w:line="240" w:lineRule="auto"/>
              <w:rPr>
                <w:rFonts w:eastAsia="Times New Roman"/>
                <w:b/>
                <w:bCs/>
                <w:color w:val="000000"/>
              </w:rPr>
            </w:pPr>
            <w:r w:rsidRPr="007937A2">
              <w:rPr>
                <w:rFonts w:eastAsia="Times New Roman"/>
                <w:b/>
                <w:bCs/>
                <w:color w:val="000000"/>
              </w:rPr>
              <w:t>Model 2</w:t>
            </w:r>
            <w:r w:rsidR="00974113">
              <w:rPr>
                <w:rFonts w:eastAsia="Times New Roman"/>
                <w:b/>
                <w:bCs/>
                <w:color w:val="000000"/>
              </w:rPr>
              <w:t xml:space="preserve">:  </w:t>
            </w:r>
            <w:r w:rsidRPr="007937A2">
              <w:rPr>
                <w:rFonts w:eastAsia="Times New Roman"/>
                <w:b/>
                <w:bCs/>
                <w:color w:val="000000"/>
              </w:rPr>
              <w:t xml:space="preserve">50 </w:t>
            </w:r>
            <w:proofErr w:type="spellStart"/>
            <w:r w:rsidRPr="007937A2">
              <w:rPr>
                <w:rFonts w:eastAsia="Times New Roman"/>
                <w:b/>
                <w:bCs/>
                <w:color w:val="000000"/>
              </w:rPr>
              <w:t>obs</w:t>
            </w:r>
            <w:proofErr w:type="spellEnd"/>
          </w:p>
        </w:tc>
        <w:tc>
          <w:tcPr>
            <w:tcW w:w="2162" w:type="dxa"/>
            <w:tcBorders>
              <w:top w:val="nil"/>
              <w:left w:val="nil"/>
              <w:bottom w:val="nil"/>
              <w:right w:val="nil"/>
            </w:tcBorders>
            <w:shd w:val="clear" w:color="auto" w:fill="auto"/>
            <w:noWrap/>
            <w:vAlign w:val="bottom"/>
            <w:hideMark/>
          </w:tcPr>
          <w:p w14:paraId="2F5AD7A9" w14:textId="77777777" w:rsidR="00D4618A" w:rsidRPr="007937A2" w:rsidRDefault="00D4618A" w:rsidP="00112848">
            <w:pPr>
              <w:spacing w:after="0" w:line="240" w:lineRule="auto"/>
              <w:jc w:val="center"/>
              <w:rPr>
                <w:rFonts w:eastAsia="Times New Roman"/>
                <w:color w:val="000000"/>
              </w:rPr>
            </w:pPr>
          </w:p>
        </w:tc>
        <w:tc>
          <w:tcPr>
            <w:tcW w:w="1271" w:type="dxa"/>
            <w:tcBorders>
              <w:top w:val="nil"/>
              <w:left w:val="nil"/>
              <w:bottom w:val="nil"/>
              <w:right w:val="nil"/>
            </w:tcBorders>
            <w:shd w:val="clear" w:color="auto" w:fill="auto"/>
            <w:noWrap/>
            <w:vAlign w:val="bottom"/>
            <w:hideMark/>
          </w:tcPr>
          <w:p w14:paraId="4B10362D" w14:textId="77777777" w:rsidR="00D4618A" w:rsidRPr="007937A2" w:rsidRDefault="00D4618A" w:rsidP="00112848">
            <w:pPr>
              <w:spacing w:after="0" w:line="240" w:lineRule="auto"/>
              <w:jc w:val="center"/>
              <w:rPr>
                <w:rFonts w:eastAsia="Times New Roman"/>
                <w:color w:val="000000"/>
              </w:rPr>
            </w:pPr>
          </w:p>
        </w:tc>
        <w:tc>
          <w:tcPr>
            <w:tcW w:w="1300" w:type="dxa"/>
            <w:tcBorders>
              <w:top w:val="nil"/>
              <w:left w:val="nil"/>
              <w:bottom w:val="nil"/>
              <w:right w:val="nil"/>
            </w:tcBorders>
            <w:shd w:val="clear" w:color="auto" w:fill="auto"/>
            <w:noWrap/>
            <w:vAlign w:val="bottom"/>
            <w:hideMark/>
          </w:tcPr>
          <w:p w14:paraId="47FB36A3" w14:textId="77777777" w:rsidR="00D4618A" w:rsidRPr="007937A2" w:rsidRDefault="00D4618A" w:rsidP="00112848">
            <w:pPr>
              <w:spacing w:after="0" w:line="240" w:lineRule="auto"/>
              <w:jc w:val="center"/>
              <w:rPr>
                <w:rFonts w:eastAsia="Times New Roman"/>
                <w:color w:val="000000"/>
              </w:rPr>
            </w:pPr>
          </w:p>
        </w:tc>
        <w:tc>
          <w:tcPr>
            <w:tcW w:w="1146" w:type="dxa"/>
            <w:tcBorders>
              <w:top w:val="nil"/>
              <w:left w:val="nil"/>
              <w:bottom w:val="nil"/>
              <w:right w:val="nil"/>
            </w:tcBorders>
            <w:shd w:val="clear" w:color="auto" w:fill="auto"/>
            <w:noWrap/>
            <w:vAlign w:val="bottom"/>
            <w:hideMark/>
          </w:tcPr>
          <w:p w14:paraId="0B6BE056" w14:textId="77777777" w:rsidR="00D4618A" w:rsidRPr="007937A2" w:rsidRDefault="00D4618A" w:rsidP="00112848">
            <w:pPr>
              <w:spacing w:after="0" w:line="240" w:lineRule="auto"/>
              <w:jc w:val="center"/>
              <w:rPr>
                <w:rFonts w:eastAsia="Times New Roman"/>
                <w:color w:val="000000"/>
              </w:rPr>
            </w:pPr>
          </w:p>
        </w:tc>
        <w:tc>
          <w:tcPr>
            <w:tcW w:w="753" w:type="dxa"/>
            <w:tcBorders>
              <w:top w:val="nil"/>
              <w:left w:val="nil"/>
              <w:bottom w:val="nil"/>
              <w:right w:val="nil"/>
            </w:tcBorders>
            <w:shd w:val="clear" w:color="auto" w:fill="auto"/>
            <w:noWrap/>
            <w:vAlign w:val="bottom"/>
            <w:hideMark/>
          </w:tcPr>
          <w:p w14:paraId="448A03E8" w14:textId="77777777" w:rsidR="00D4618A" w:rsidRPr="007937A2" w:rsidRDefault="00D4618A" w:rsidP="00112848">
            <w:pPr>
              <w:spacing w:after="0" w:line="240" w:lineRule="auto"/>
              <w:rPr>
                <w:rFonts w:eastAsia="Times New Roman"/>
                <w:color w:val="000000"/>
              </w:rPr>
            </w:pPr>
          </w:p>
        </w:tc>
      </w:tr>
      <w:tr w:rsidR="00BE6E11" w:rsidRPr="007937A2" w14:paraId="0DD744D7" w14:textId="77777777" w:rsidTr="00966B79">
        <w:trPr>
          <w:trHeight w:val="221"/>
        </w:trPr>
        <w:tc>
          <w:tcPr>
            <w:tcW w:w="2969" w:type="dxa"/>
            <w:tcBorders>
              <w:top w:val="nil"/>
              <w:left w:val="nil"/>
              <w:bottom w:val="nil"/>
              <w:right w:val="nil"/>
            </w:tcBorders>
            <w:shd w:val="clear" w:color="auto" w:fill="DDD9C3"/>
            <w:vAlign w:val="bottom"/>
            <w:hideMark/>
          </w:tcPr>
          <w:p w14:paraId="7CFDE819" w14:textId="77777777" w:rsidR="00D4618A" w:rsidRPr="007937A2" w:rsidRDefault="00830742" w:rsidP="00112848">
            <w:pPr>
              <w:spacing w:after="0" w:line="240" w:lineRule="auto"/>
              <w:rPr>
                <w:rFonts w:eastAsia="Times New Roman"/>
                <w:color w:val="000000"/>
              </w:rPr>
            </w:pPr>
            <w:r w:rsidRPr="007937A2">
              <w:rPr>
                <w:rFonts w:eastAsia="Times New Roman"/>
                <w:color w:val="000000"/>
              </w:rPr>
              <w:t>C</w:t>
            </w:r>
            <w:r w:rsidR="00D4618A" w:rsidRPr="007937A2">
              <w:rPr>
                <w:rFonts w:eastAsia="Times New Roman"/>
                <w:color w:val="000000"/>
              </w:rPr>
              <w:t>onst</w:t>
            </w:r>
          </w:p>
        </w:tc>
        <w:tc>
          <w:tcPr>
            <w:tcW w:w="2162" w:type="dxa"/>
            <w:tcBorders>
              <w:top w:val="nil"/>
              <w:left w:val="nil"/>
              <w:bottom w:val="nil"/>
              <w:right w:val="nil"/>
            </w:tcBorders>
            <w:shd w:val="clear" w:color="auto" w:fill="auto"/>
            <w:noWrap/>
            <w:vAlign w:val="bottom"/>
            <w:hideMark/>
          </w:tcPr>
          <w:p w14:paraId="33BDF0F5" w14:textId="77777777" w:rsidR="00D4618A" w:rsidRPr="007937A2" w:rsidRDefault="00D4618A" w:rsidP="00112848">
            <w:pPr>
              <w:spacing w:after="0" w:line="240" w:lineRule="auto"/>
              <w:jc w:val="center"/>
              <w:rPr>
                <w:rFonts w:eastAsia="Times New Roman"/>
                <w:color w:val="000000"/>
              </w:rPr>
            </w:pPr>
            <w:r w:rsidRPr="007937A2">
              <w:rPr>
                <w:rFonts w:eastAsia="Times New Roman"/>
                <w:color w:val="000000"/>
              </w:rPr>
              <w:t>0.154</w:t>
            </w:r>
          </w:p>
        </w:tc>
        <w:tc>
          <w:tcPr>
            <w:tcW w:w="1271" w:type="dxa"/>
            <w:tcBorders>
              <w:top w:val="nil"/>
              <w:left w:val="nil"/>
              <w:bottom w:val="nil"/>
              <w:right w:val="nil"/>
            </w:tcBorders>
            <w:shd w:val="clear" w:color="auto" w:fill="auto"/>
            <w:noWrap/>
            <w:vAlign w:val="bottom"/>
            <w:hideMark/>
          </w:tcPr>
          <w:p w14:paraId="18D1B3CF" w14:textId="77777777" w:rsidR="00D4618A" w:rsidRPr="007937A2" w:rsidRDefault="00D4618A" w:rsidP="00112848">
            <w:pPr>
              <w:spacing w:after="0" w:line="240" w:lineRule="auto"/>
              <w:jc w:val="center"/>
              <w:rPr>
                <w:rFonts w:eastAsia="Times New Roman"/>
                <w:color w:val="000000"/>
              </w:rPr>
            </w:pPr>
            <w:r w:rsidRPr="007937A2">
              <w:rPr>
                <w:rFonts w:eastAsia="Times New Roman"/>
                <w:color w:val="000000"/>
              </w:rPr>
              <w:t>0.004</w:t>
            </w:r>
          </w:p>
        </w:tc>
        <w:tc>
          <w:tcPr>
            <w:tcW w:w="1300" w:type="dxa"/>
            <w:tcBorders>
              <w:top w:val="nil"/>
              <w:left w:val="nil"/>
              <w:bottom w:val="nil"/>
              <w:right w:val="nil"/>
            </w:tcBorders>
            <w:shd w:val="clear" w:color="auto" w:fill="auto"/>
            <w:noWrap/>
            <w:vAlign w:val="bottom"/>
            <w:hideMark/>
          </w:tcPr>
          <w:p w14:paraId="3FEBC6A5" w14:textId="77777777" w:rsidR="00D4618A" w:rsidRPr="007937A2" w:rsidRDefault="00D4618A" w:rsidP="00112848">
            <w:pPr>
              <w:spacing w:after="0" w:line="240" w:lineRule="auto"/>
              <w:jc w:val="center"/>
              <w:rPr>
                <w:rFonts w:eastAsia="Times New Roman"/>
                <w:color w:val="000000"/>
              </w:rPr>
            </w:pPr>
            <w:r w:rsidRPr="007937A2">
              <w:rPr>
                <w:rFonts w:eastAsia="Times New Roman"/>
                <w:color w:val="000000"/>
              </w:rPr>
              <w:t>42.24</w:t>
            </w:r>
          </w:p>
        </w:tc>
        <w:tc>
          <w:tcPr>
            <w:tcW w:w="1146" w:type="dxa"/>
            <w:tcBorders>
              <w:top w:val="nil"/>
              <w:left w:val="nil"/>
              <w:bottom w:val="nil"/>
              <w:right w:val="nil"/>
            </w:tcBorders>
            <w:shd w:val="clear" w:color="auto" w:fill="auto"/>
            <w:noWrap/>
            <w:vAlign w:val="bottom"/>
            <w:hideMark/>
          </w:tcPr>
          <w:p w14:paraId="5330757E" w14:textId="77777777" w:rsidR="00D4618A" w:rsidRPr="007937A2" w:rsidRDefault="00D4618A" w:rsidP="00112848">
            <w:pPr>
              <w:spacing w:after="0" w:line="240" w:lineRule="auto"/>
              <w:jc w:val="center"/>
              <w:rPr>
                <w:rFonts w:eastAsia="Times New Roman"/>
                <w:color w:val="000000"/>
              </w:rPr>
            </w:pPr>
            <w:r w:rsidRPr="007937A2">
              <w:rPr>
                <w:rFonts w:eastAsia="Times New Roman"/>
                <w:color w:val="000000"/>
              </w:rPr>
              <w:t>0.0000</w:t>
            </w:r>
          </w:p>
        </w:tc>
        <w:tc>
          <w:tcPr>
            <w:tcW w:w="753" w:type="dxa"/>
            <w:tcBorders>
              <w:top w:val="nil"/>
              <w:left w:val="nil"/>
              <w:bottom w:val="nil"/>
              <w:right w:val="nil"/>
            </w:tcBorders>
            <w:shd w:val="clear" w:color="auto" w:fill="auto"/>
            <w:noWrap/>
            <w:vAlign w:val="bottom"/>
            <w:hideMark/>
          </w:tcPr>
          <w:p w14:paraId="05183C8B" w14:textId="77777777" w:rsidR="00D4618A" w:rsidRPr="007937A2" w:rsidRDefault="00D4618A" w:rsidP="00112848">
            <w:pPr>
              <w:spacing w:after="0" w:line="240" w:lineRule="auto"/>
              <w:rPr>
                <w:rFonts w:eastAsia="Times New Roman"/>
                <w:color w:val="000000"/>
              </w:rPr>
            </w:pPr>
            <w:r w:rsidRPr="007937A2">
              <w:rPr>
                <w:rFonts w:eastAsia="Times New Roman"/>
                <w:color w:val="000000"/>
              </w:rPr>
              <w:t>***</w:t>
            </w:r>
          </w:p>
        </w:tc>
      </w:tr>
      <w:tr w:rsidR="00BE6E11" w:rsidRPr="007937A2" w14:paraId="12A57571" w14:textId="77777777" w:rsidTr="00966B79">
        <w:trPr>
          <w:trHeight w:val="221"/>
        </w:trPr>
        <w:tc>
          <w:tcPr>
            <w:tcW w:w="2969" w:type="dxa"/>
            <w:tcBorders>
              <w:top w:val="nil"/>
              <w:left w:val="nil"/>
              <w:bottom w:val="single" w:sz="4" w:space="0" w:color="auto"/>
              <w:right w:val="nil"/>
            </w:tcBorders>
            <w:shd w:val="clear" w:color="auto" w:fill="DDD9C3"/>
            <w:vAlign w:val="bottom"/>
            <w:hideMark/>
          </w:tcPr>
          <w:p w14:paraId="1678A341" w14:textId="77777777" w:rsidR="00D4618A" w:rsidRPr="007937A2" w:rsidRDefault="00D4618A" w:rsidP="00112848">
            <w:pPr>
              <w:spacing w:after="0" w:line="240" w:lineRule="auto"/>
              <w:rPr>
                <w:rFonts w:eastAsia="Times New Roman"/>
                <w:color w:val="000000"/>
              </w:rPr>
            </w:pPr>
            <w:r w:rsidRPr="007937A2">
              <w:rPr>
                <w:rFonts w:eastAsia="Times New Roman"/>
                <w:color w:val="000000"/>
              </w:rPr>
              <w:t>Deriv</w:t>
            </w:r>
            <w:r w:rsidR="00830742" w:rsidRPr="007937A2">
              <w:rPr>
                <w:rFonts w:eastAsia="Times New Roman"/>
                <w:color w:val="000000"/>
              </w:rPr>
              <w:t xml:space="preserve">atives  </w:t>
            </w:r>
            <w:r w:rsidR="00023869" w:rsidRPr="007937A2">
              <w:rPr>
                <w:rFonts w:eastAsia="Times New Roman"/>
                <w:color w:val="000000"/>
              </w:rPr>
              <w:t xml:space="preserve">to Assets </w:t>
            </w:r>
            <w:r w:rsidRPr="007937A2">
              <w:rPr>
                <w:rFonts w:eastAsia="Times New Roman"/>
                <w:color w:val="000000"/>
              </w:rPr>
              <w:t>Ratio</w:t>
            </w:r>
          </w:p>
        </w:tc>
        <w:tc>
          <w:tcPr>
            <w:tcW w:w="2162" w:type="dxa"/>
            <w:tcBorders>
              <w:top w:val="nil"/>
              <w:left w:val="nil"/>
              <w:bottom w:val="single" w:sz="4" w:space="0" w:color="auto"/>
              <w:right w:val="nil"/>
            </w:tcBorders>
            <w:shd w:val="clear" w:color="auto" w:fill="auto"/>
            <w:noWrap/>
            <w:vAlign w:val="bottom"/>
            <w:hideMark/>
          </w:tcPr>
          <w:p w14:paraId="2D1BC277" w14:textId="77777777" w:rsidR="00D4618A" w:rsidRPr="007937A2" w:rsidRDefault="00D4618A" w:rsidP="00112848">
            <w:pPr>
              <w:spacing w:after="0" w:line="240" w:lineRule="auto"/>
              <w:jc w:val="center"/>
              <w:rPr>
                <w:rFonts w:eastAsia="Times New Roman"/>
                <w:color w:val="000000"/>
              </w:rPr>
            </w:pPr>
            <w:r w:rsidRPr="007937A2">
              <w:rPr>
                <w:rFonts w:eastAsia="Times New Roman"/>
                <w:color w:val="000000"/>
              </w:rPr>
              <w:t>-0.00002</w:t>
            </w:r>
          </w:p>
        </w:tc>
        <w:tc>
          <w:tcPr>
            <w:tcW w:w="1271" w:type="dxa"/>
            <w:tcBorders>
              <w:top w:val="nil"/>
              <w:left w:val="nil"/>
              <w:bottom w:val="single" w:sz="4" w:space="0" w:color="auto"/>
              <w:right w:val="nil"/>
            </w:tcBorders>
            <w:shd w:val="clear" w:color="auto" w:fill="auto"/>
            <w:noWrap/>
            <w:vAlign w:val="bottom"/>
            <w:hideMark/>
          </w:tcPr>
          <w:p w14:paraId="1D001E82" w14:textId="77777777" w:rsidR="00D4618A" w:rsidRPr="007937A2" w:rsidRDefault="00D4618A" w:rsidP="00112848">
            <w:pPr>
              <w:spacing w:after="0" w:line="240" w:lineRule="auto"/>
              <w:jc w:val="center"/>
              <w:rPr>
                <w:rFonts w:eastAsia="Times New Roman"/>
                <w:color w:val="000000"/>
              </w:rPr>
            </w:pPr>
            <w:r w:rsidRPr="007937A2">
              <w:rPr>
                <w:rFonts w:eastAsia="Times New Roman"/>
                <w:color w:val="000000"/>
              </w:rPr>
              <w:t>0.010</w:t>
            </w:r>
          </w:p>
        </w:tc>
        <w:tc>
          <w:tcPr>
            <w:tcW w:w="1300" w:type="dxa"/>
            <w:tcBorders>
              <w:top w:val="nil"/>
              <w:left w:val="nil"/>
              <w:bottom w:val="single" w:sz="4" w:space="0" w:color="auto"/>
              <w:right w:val="nil"/>
            </w:tcBorders>
            <w:shd w:val="clear" w:color="auto" w:fill="auto"/>
            <w:noWrap/>
            <w:vAlign w:val="bottom"/>
            <w:hideMark/>
          </w:tcPr>
          <w:p w14:paraId="289F1B73" w14:textId="77777777" w:rsidR="00D4618A" w:rsidRPr="007937A2" w:rsidRDefault="00D4618A" w:rsidP="00112848">
            <w:pPr>
              <w:spacing w:after="0" w:line="240" w:lineRule="auto"/>
              <w:jc w:val="center"/>
              <w:rPr>
                <w:rFonts w:eastAsia="Times New Roman"/>
                <w:color w:val="000000"/>
              </w:rPr>
            </w:pPr>
            <w:r w:rsidRPr="007937A2">
              <w:rPr>
                <w:rFonts w:eastAsia="Times New Roman"/>
                <w:color w:val="000000"/>
              </w:rPr>
              <w:t>-0.00259</w:t>
            </w:r>
          </w:p>
        </w:tc>
        <w:tc>
          <w:tcPr>
            <w:tcW w:w="1146" w:type="dxa"/>
            <w:tcBorders>
              <w:top w:val="nil"/>
              <w:left w:val="nil"/>
              <w:bottom w:val="single" w:sz="4" w:space="0" w:color="auto"/>
              <w:right w:val="nil"/>
            </w:tcBorders>
            <w:shd w:val="clear" w:color="auto" w:fill="auto"/>
            <w:noWrap/>
            <w:vAlign w:val="bottom"/>
            <w:hideMark/>
          </w:tcPr>
          <w:p w14:paraId="7AECC36B" w14:textId="77777777" w:rsidR="00D4618A" w:rsidRPr="007937A2" w:rsidRDefault="00D4618A" w:rsidP="00112848">
            <w:pPr>
              <w:spacing w:after="0" w:line="240" w:lineRule="auto"/>
              <w:jc w:val="center"/>
              <w:rPr>
                <w:rFonts w:eastAsia="Times New Roman"/>
                <w:color w:val="000000"/>
              </w:rPr>
            </w:pPr>
            <w:r w:rsidRPr="007937A2">
              <w:rPr>
                <w:rFonts w:eastAsia="Times New Roman"/>
                <w:color w:val="000000"/>
              </w:rPr>
              <w:t>0.9979</w:t>
            </w:r>
          </w:p>
        </w:tc>
        <w:tc>
          <w:tcPr>
            <w:tcW w:w="753" w:type="dxa"/>
            <w:tcBorders>
              <w:top w:val="nil"/>
              <w:left w:val="nil"/>
              <w:bottom w:val="nil"/>
              <w:right w:val="nil"/>
            </w:tcBorders>
            <w:shd w:val="clear" w:color="auto" w:fill="auto"/>
            <w:noWrap/>
            <w:vAlign w:val="bottom"/>
            <w:hideMark/>
          </w:tcPr>
          <w:p w14:paraId="6811EC5C" w14:textId="77777777" w:rsidR="00D4618A" w:rsidRPr="007937A2" w:rsidRDefault="00D4618A" w:rsidP="00112848">
            <w:pPr>
              <w:spacing w:after="0" w:line="240" w:lineRule="auto"/>
              <w:rPr>
                <w:rFonts w:eastAsia="Times New Roman"/>
                <w:color w:val="000000"/>
              </w:rPr>
            </w:pPr>
          </w:p>
        </w:tc>
      </w:tr>
      <w:tr w:rsidR="00BE6E11" w:rsidRPr="007937A2" w14:paraId="1A73C3CA" w14:textId="77777777" w:rsidTr="00966B79">
        <w:trPr>
          <w:trHeight w:val="221"/>
        </w:trPr>
        <w:tc>
          <w:tcPr>
            <w:tcW w:w="2969" w:type="dxa"/>
            <w:tcBorders>
              <w:top w:val="nil"/>
              <w:left w:val="nil"/>
              <w:bottom w:val="nil"/>
              <w:right w:val="nil"/>
            </w:tcBorders>
            <w:shd w:val="clear" w:color="auto" w:fill="DDD9C3"/>
            <w:vAlign w:val="bottom"/>
            <w:hideMark/>
          </w:tcPr>
          <w:p w14:paraId="709738BB" w14:textId="7177B816" w:rsidR="00D4618A" w:rsidRPr="007937A2" w:rsidRDefault="00D4618A" w:rsidP="00112848">
            <w:pPr>
              <w:spacing w:after="0" w:line="240" w:lineRule="auto"/>
              <w:rPr>
                <w:rFonts w:eastAsia="Times New Roman"/>
                <w:b/>
                <w:bCs/>
                <w:color w:val="000000"/>
              </w:rPr>
            </w:pPr>
            <w:r w:rsidRPr="007937A2">
              <w:rPr>
                <w:rFonts w:eastAsia="Times New Roman"/>
                <w:b/>
                <w:bCs/>
                <w:color w:val="000000"/>
              </w:rPr>
              <w:t>Model 3</w:t>
            </w:r>
            <w:r w:rsidR="00974113">
              <w:rPr>
                <w:rFonts w:eastAsia="Times New Roman"/>
                <w:b/>
                <w:bCs/>
                <w:color w:val="000000"/>
              </w:rPr>
              <w:t xml:space="preserve">:  </w:t>
            </w:r>
            <w:r w:rsidRPr="007937A2">
              <w:rPr>
                <w:rFonts w:eastAsia="Times New Roman"/>
                <w:b/>
                <w:bCs/>
                <w:color w:val="000000"/>
              </w:rPr>
              <w:t xml:space="preserve">18 </w:t>
            </w:r>
            <w:proofErr w:type="spellStart"/>
            <w:r w:rsidRPr="007937A2">
              <w:rPr>
                <w:rFonts w:eastAsia="Times New Roman"/>
                <w:b/>
                <w:bCs/>
                <w:color w:val="000000"/>
              </w:rPr>
              <w:t>obs</w:t>
            </w:r>
            <w:proofErr w:type="spellEnd"/>
          </w:p>
        </w:tc>
        <w:tc>
          <w:tcPr>
            <w:tcW w:w="2162" w:type="dxa"/>
            <w:tcBorders>
              <w:top w:val="nil"/>
              <w:left w:val="nil"/>
              <w:bottom w:val="nil"/>
              <w:right w:val="nil"/>
            </w:tcBorders>
            <w:shd w:val="clear" w:color="auto" w:fill="auto"/>
            <w:noWrap/>
            <w:vAlign w:val="bottom"/>
            <w:hideMark/>
          </w:tcPr>
          <w:p w14:paraId="74683F1D" w14:textId="77777777" w:rsidR="00D4618A" w:rsidRPr="007937A2" w:rsidRDefault="00D4618A" w:rsidP="00112848">
            <w:pPr>
              <w:spacing w:after="0" w:line="240" w:lineRule="auto"/>
              <w:jc w:val="center"/>
              <w:rPr>
                <w:rFonts w:eastAsia="Times New Roman"/>
                <w:color w:val="000000"/>
              </w:rPr>
            </w:pPr>
          </w:p>
        </w:tc>
        <w:tc>
          <w:tcPr>
            <w:tcW w:w="1271" w:type="dxa"/>
            <w:tcBorders>
              <w:top w:val="nil"/>
              <w:left w:val="nil"/>
              <w:bottom w:val="nil"/>
              <w:right w:val="nil"/>
            </w:tcBorders>
            <w:shd w:val="clear" w:color="auto" w:fill="auto"/>
            <w:noWrap/>
            <w:vAlign w:val="bottom"/>
            <w:hideMark/>
          </w:tcPr>
          <w:p w14:paraId="5E4A2C00" w14:textId="77777777" w:rsidR="00D4618A" w:rsidRPr="007937A2" w:rsidRDefault="00D4618A" w:rsidP="00112848">
            <w:pPr>
              <w:spacing w:after="0" w:line="240" w:lineRule="auto"/>
              <w:jc w:val="center"/>
              <w:rPr>
                <w:rFonts w:eastAsia="Times New Roman"/>
                <w:color w:val="000000"/>
              </w:rPr>
            </w:pPr>
          </w:p>
        </w:tc>
        <w:tc>
          <w:tcPr>
            <w:tcW w:w="1300" w:type="dxa"/>
            <w:tcBorders>
              <w:top w:val="nil"/>
              <w:left w:val="nil"/>
              <w:bottom w:val="nil"/>
              <w:right w:val="nil"/>
            </w:tcBorders>
            <w:shd w:val="clear" w:color="auto" w:fill="auto"/>
            <w:noWrap/>
            <w:vAlign w:val="bottom"/>
            <w:hideMark/>
          </w:tcPr>
          <w:p w14:paraId="5E86EE90" w14:textId="77777777" w:rsidR="00D4618A" w:rsidRPr="007937A2" w:rsidRDefault="00D4618A" w:rsidP="00112848">
            <w:pPr>
              <w:spacing w:after="0" w:line="240" w:lineRule="auto"/>
              <w:jc w:val="center"/>
              <w:rPr>
                <w:rFonts w:eastAsia="Times New Roman"/>
                <w:color w:val="000000"/>
              </w:rPr>
            </w:pPr>
          </w:p>
        </w:tc>
        <w:tc>
          <w:tcPr>
            <w:tcW w:w="1146" w:type="dxa"/>
            <w:tcBorders>
              <w:top w:val="nil"/>
              <w:left w:val="nil"/>
              <w:bottom w:val="nil"/>
              <w:right w:val="nil"/>
            </w:tcBorders>
            <w:shd w:val="clear" w:color="auto" w:fill="auto"/>
            <w:noWrap/>
            <w:vAlign w:val="bottom"/>
            <w:hideMark/>
          </w:tcPr>
          <w:p w14:paraId="797B0019" w14:textId="77777777" w:rsidR="00D4618A" w:rsidRPr="007937A2" w:rsidRDefault="00D4618A" w:rsidP="00112848">
            <w:pPr>
              <w:spacing w:after="0" w:line="240" w:lineRule="auto"/>
              <w:jc w:val="center"/>
              <w:rPr>
                <w:rFonts w:eastAsia="Times New Roman"/>
                <w:color w:val="000000"/>
              </w:rPr>
            </w:pPr>
          </w:p>
        </w:tc>
        <w:tc>
          <w:tcPr>
            <w:tcW w:w="753" w:type="dxa"/>
            <w:tcBorders>
              <w:top w:val="nil"/>
              <w:left w:val="nil"/>
              <w:bottom w:val="nil"/>
              <w:right w:val="nil"/>
            </w:tcBorders>
            <w:shd w:val="clear" w:color="auto" w:fill="auto"/>
            <w:noWrap/>
            <w:vAlign w:val="bottom"/>
            <w:hideMark/>
          </w:tcPr>
          <w:p w14:paraId="7EBFAD99" w14:textId="77777777" w:rsidR="00D4618A" w:rsidRPr="007937A2" w:rsidRDefault="00D4618A" w:rsidP="00112848">
            <w:pPr>
              <w:spacing w:after="0" w:line="240" w:lineRule="auto"/>
              <w:rPr>
                <w:rFonts w:eastAsia="Times New Roman"/>
                <w:color w:val="000000"/>
              </w:rPr>
            </w:pPr>
          </w:p>
        </w:tc>
      </w:tr>
      <w:tr w:rsidR="00BE6E11" w:rsidRPr="007937A2" w14:paraId="15E93E21" w14:textId="77777777" w:rsidTr="00966B79">
        <w:trPr>
          <w:trHeight w:val="221"/>
        </w:trPr>
        <w:tc>
          <w:tcPr>
            <w:tcW w:w="2969" w:type="dxa"/>
            <w:tcBorders>
              <w:top w:val="nil"/>
              <w:left w:val="nil"/>
              <w:bottom w:val="nil"/>
              <w:right w:val="nil"/>
            </w:tcBorders>
            <w:shd w:val="clear" w:color="auto" w:fill="DDD9C3"/>
            <w:vAlign w:val="bottom"/>
            <w:hideMark/>
          </w:tcPr>
          <w:p w14:paraId="662AE3F0" w14:textId="77777777" w:rsidR="00D4618A" w:rsidRPr="007937A2" w:rsidRDefault="00830742" w:rsidP="00112848">
            <w:pPr>
              <w:spacing w:after="0" w:line="240" w:lineRule="auto"/>
              <w:rPr>
                <w:rFonts w:eastAsia="Times New Roman"/>
                <w:color w:val="000000"/>
              </w:rPr>
            </w:pPr>
            <w:r w:rsidRPr="007937A2">
              <w:rPr>
                <w:rFonts w:eastAsia="Times New Roman"/>
                <w:color w:val="000000"/>
              </w:rPr>
              <w:t>C</w:t>
            </w:r>
            <w:r w:rsidR="00D4618A" w:rsidRPr="007937A2">
              <w:rPr>
                <w:rFonts w:eastAsia="Times New Roman"/>
                <w:color w:val="000000"/>
              </w:rPr>
              <w:t>onst</w:t>
            </w:r>
          </w:p>
        </w:tc>
        <w:tc>
          <w:tcPr>
            <w:tcW w:w="2162" w:type="dxa"/>
            <w:tcBorders>
              <w:top w:val="nil"/>
              <w:left w:val="nil"/>
              <w:bottom w:val="nil"/>
              <w:right w:val="nil"/>
            </w:tcBorders>
            <w:shd w:val="clear" w:color="auto" w:fill="auto"/>
            <w:noWrap/>
            <w:hideMark/>
          </w:tcPr>
          <w:p w14:paraId="167759F0" w14:textId="77777777" w:rsidR="00D4618A" w:rsidRPr="007937A2" w:rsidRDefault="00D4618A" w:rsidP="007937A2">
            <w:pPr>
              <w:spacing w:after="0" w:line="240" w:lineRule="auto"/>
              <w:jc w:val="center"/>
              <w:rPr>
                <w:rFonts w:eastAsia="Times New Roman"/>
                <w:color w:val="000000"/>
              </w:rPr>
            </w:pPr>
            <w:r w:rsidRPr="007937A2">
              <w:t>0.1416</w:t>
            </w:r>
          </w:p>
        </w:tc>
        <w:tc>
          <w:tcPr>
            <w:tcW w:w="1271" w:type="dxa"/>
            <w:tcBorders>
              <w:top w:val="nil"/>
              <w:left w:val="nil"/>
              <w:bottom w:val="nil"/>
              <w:right w:val="nil"/>
            </w:tcBorders>
            <w:shd w:val="clear" w:color="auto" w:fill="auto"/>
            <w:noWrap/>
            <w:hideMark/>
          </w:tcPr>
          <w:p w14:paraId="7BC2074D" w14:textId="77777777" w:rsidR="00D4618A" w:rsidRPr="007937A2" w:rsidRDefault="00D4618A" w:rsidP="007937A2">
            <w:pPr>
              <w:spacing w:after="0" w:line="240" w:lineRule="auto"/>
              <w:jc w:val="center"/>
              <w:rPr>
                <w:rFonts w:eastAsia="Times New Roman"/>
                <w:color w:val="000000"/>
              </w:rPr>
            </w:pPr>
            <w:r w:rsidRPr="007937A2">
              <w:t>0.0072</w:t>
            </w:r>
          </w:p>
        </w:tc>
        <w:tc>
          <w:tcPr>
            <w:tcW w:w="1300" w:type="dxa"/>
            <w:tcBorders>
              <w:top w:val="nil"/>
              <w:left w:val="nil"/>
              <w:bottom w:val="nil"/>
              <w:right w:val="nil"/>
            </w:tcBorders>
            <w:shd w:val="clear" w:color="auto" w:fill="auto"/>
            <w:noWrap/>
            <w:hideMark/>
          </w:tcPr>
          <w:p w14:paraId="5D9F213D" w14:textId="77777777" w:rsidR="00D4618A" w:rsidRPr="007937A2" w:rsidRDefault="00D4618A" w:rsidP="00112848">
            <w:pPr>
              <w:spacing w:after="0" w:line="240" w:lineRule="auto"/>
              <w:jc w:val="center"/>
              <w:rPr>
                <w:rFonts w:eastAsia="Times New Roman"/>
                <w:color w:val="000000"/>
              </w:rPr>
            </w:pPr>
            <w:r w:rsidRPr="007937A2">
              <w:t>19.68</w:t>
            </w:r>
          </w:p>
        </w:tc>
        <w:tc>
          <w:tcPr>
            <w:tcW w:w="1146" w:type="dxa"/>
            <w:tcBorders>
              <w:top w:val="nil"/>
              <w:left w:val="nil"/>
              <w:bottom w:val="nil"/>
              <w:right w:val="nil"/>
            </w:tcBorders>
            <w:shd w:val="clear" w:color="auto" w:fill="auto"/>
            <w:noWrap/>
            <w:hideMark/>
          </w:tcPr>
          <w:p w14:paraId="3CCAFC33" w14:textId="77777777" w:rsidR="00D4618A" w:rsidRPr="007937A2" w:rsidRDefault="00D4618A" w:rsidP="007937A2">
            <w:pPr>
              <w:spacing w:after="0" w:line="240" w:lineRule="auto"/>
              <w:jc w:val="center"/>
              <w:rPr>
                <w:rFonts w:eastAsia="Times New Roman"/>
                <w:color w:val="000000"/>
              </w:rPr>
            </w:pPr>
            <w:r w:rsidRPr="007937A2">
              <w:t>0.0000</w:t>
            </w:r>
          </w:p>
        </w:tc>
        <w:tc>
          <w:tcPr>
            <w:tcW w:w="753" w:type="dxa"/>
            <w:tcBorders>
              <w:top w:val="nil"/>
              <w:left w:val="nil"/>
              <w:bottom w:val="nil"/>
              <w:right w:val="nil"/>
            </w:tcBorders>
            <w:shd w:val="clear" w:color="auto" w:fill="auto"/>
            <w:noWrap/>
            <w:vAlign w:val="bottom"/>
            <w:hideMark/>
          </w:tcPr>
          <w:p w14:paraId="5239FE9A" w14:textId="77777777" w:rsidR="00D4618A" w:rsidRPr="007937A2" w:rsidRDefault="00D4618A" w:rsidP="00112848">
            <w:pPr>
              <w:spacing w:after="0" w:line="240" w:lineRule="auto"/>
              <w:rPr>
                <w:rFonts w:eastAsia="Times New Roman"/>
                <w:color w:val="000000"/>
              </w:rPr>
            </w:pPr>
            <w:r w:rsidRPr="007937A2">
              <w:rPr>
                <w:rFonts w:eastAsia="Times New Roman"/>
                <w:color w:val="000000"/>
              </w:rPr>
              <w:t>***</w:t>
            </w:r>
          </w:p>
        </w:tc>
      </w:tr>
      <w:tr w:rsidR="00BE6E11" w:rsidRPr="007937A2" w14:paraId="28FFAB49" w14:textId="77777777" w:rsidTr="00966B79">
        <w:trPr>
          <w:trHeight w:val="221"/>
        </w:trPr>
        <w:tc>
          <w:tcPr>
            <w:tcW w:w="2969" w:type="dxa"/>
            <w:tcBorders>
              <w:top w:val="nil"/>
              <w:left w:val="nil"/>
              <w:bottom w:val="single" w:sz="4" w:space="0" w:color="auto"/>
              <w:right w:val="nil"/>
            </w:tcBorders>
            <w:shd w:val="clear" w:color="auto" w:fill="DDD9C3"/>
            <w:vAlign w:val="bottom"/>
            <w:hideMark/>
          </w:tcPr>
          <w:p w14:paraId="300125D8" w14:textId="77777777" w:rsidR="00D4618A" w:rsidRPr="007937A2" w:rsidRDefault="00D4618A" w:rsidP="007937A2">
            <w:pPr>
              <w:spacing w:after="0" w:line="240" w:lineRule="auto"/>
              <w:rPr>
                <w:rFonts w:eastAsia="Times New Roman"/>
                <w:color w:val="000000"/>
              </w:rPr>
            </w:pPr>
            <w:r w:rsidRPr="007937A2">
              <w:rPr>
                <w:rFonts w:eastAsia="Times New Roman"/>
                <w:color w:val="000000"/>
              </w:rPr>
              <w:t>VaR</w:t>
            </w:r>
            <w:r w:rsidR="00023869" w:rsidRPr="007937A2">
              <w:rPr>
                <w:rFonts w:eastAsia="Times New Roman"/>
                <w:color w:val="000000"/>
              </w:rPr>
              <w:t xml:space="preserve"> to Assets Ratio</w:t>
            </w:r>
          </w:p>
        </w:tc>
        <w:tc>
          <w:tcPr>
            <w:tcW w:w="2162" w:type="dxa"/>
            <w:tcBorders>
              <w:top w:val="nil"/>
              <w:left w:val="nil"/>
              <w:bottom w:val="single" w:sz="4" w:space="0" w:color="auto"/>
              <w:right w:val="nil"/>
            </w:tcBorders>
            <w:shd w:val="clear" w:color="auto" w:fill="auto"/>
            <w:noWrap/>
            <w:hideMark/>
          </w:tcPr>
          <w:p w14:paraId="3715AF9A" w14:textId="77777777" w:rsidR="00D4618A" w:rsidRPr="007937A2" w:rsidRDefault="00D4618A" w:rsidP="007937A2">
            <w:pPr>
              <w:spacing w:after="0" w:line="240" w:lineRule="auto"/>
              <w:jc w:val="center"/>
              <w:rPr>
                <w:rFonts w:eastAsia="Times New Roman"/>
                <w:color w:val="000000"/>
              </w:rPr>
            </w:pPr>
            <w:r w:rsidRPr="007937A2">
              <w:t>-0.9881</w:t>
            </w:r>
          </w:p>
        </w:tc>
        <w:tc>
          <w:tcPr>
            <w:tcW w:w="1271" w:type="dxa"/>
            <w:tcBorders>
              <w:top w:val="nil"/>
              <w:left w:val="nil"/>
              <w:bottom w:val="single" w:sz="4" w:space="0" w:color="auto"/>
              <w:right w:val="nil"/>
            </w:tcBorders>
            <w:shd w:val="clear" w:color="auto" w:fill="auto"/>
            <w:noWrap/>
            <w:hideMark/>
          </w:tcPr>
          <w:p w14:paraId="55FE8282" w14:textId="77777777" w:rsidR="00D4618A" w:rsidRPr="007937A2" w:rsidRDefault="00D4618A" w:rsidP="007937A2">
            <w:pPr>
              <w:spacing w:after="0" w:line="240" w:lineRule="auto"/>
              <w:jc w:val="center"/>
              <w:rPr>
                <w:rFonts w:eastAsia="Times New Roman"/>
                <w:color w:val="000000"/>
              </w:rPr>
            </w:pPr>
            <w:r w:rsidRPr="007937A2">
              <w:t>14.89</w:t>
            </w:r>
          </w:p>
        </w:tc>
        <w:tc>
          <w:tcPr>
            <w:tcW w:w="1300" w:type="dxa"/>
            <w:tcBorders>
              <w:top w:val="nil"/>
              <w:left w:val="nil"/>
              <w:bottom w:val="single" w:sz="4" w:space="0" w:color="auto"/>
              <w:right w:val="nil"/>
            </w:tcBorders>
            <w:shd w:val="clear" w:color="auto" w:fill="auto"/>
            <w:noWrap/>
            <w:hideMark/>
          </w:tcPr>
          <w:p w14:paraId="1FE18DB8" w14:textId="77777777" w:rsidR="00D4618A" w:rsidRPr="007937A2" w:rsidRDefault="00D4618A" w:rsidP="00112848">
            <w:pPr>
              <w:spacing w:after="0" w:line="240" w:lineRule="auto"/>
              <w:jc w:val="center"/>
              <w:rPr>
                <w:rFonts w:eastAsia="Times New Roman"/>
                <w:color w:val="000000"/>
              </w:rPr>
            </w:pPr>
            <w:r w:rsidRPr="007937A2">
              <w:t>-0.06637</w:t>
            </w:r>
          </w:p>
        </w:tc>
        <w:tc>
          <w:tcPr>
            <w:tcW w:w="1146" w:type="dxa"/>
            <w:tcBorders>
              <w:top w:val="nil"/>
              <w:left w:val="nil"/>
              <w:bottom w:val="single" w:sz="4" w:space="0" w:color="auto"/>
              <w:right w:val="nil"/>
            </w:tcBorders>
            <w:shd w:val="clear" w:color="auto" w:fill="auto"/>
            <w:noWrap/>
            <w:hideMark/>
          </w:tcPr>
          <w:p w14:paraId="2B06932D" w14:textId="77777777" w:rsidR="00D4618A" w:rsidRPr="007937A2" w:rsidRDefault="00D4618A" w:rsidP="00112848">
            <w:pPr>
              <w:spacing w:after="0" w:line="240" w:lineRule="auto"/>
              <w:jc w:val="center"/>
              <w:rPr>
                <w:rFonts w:eastAsia="Times New Roman"/>
                <w:color w:val="000000"/>
              </w:rPr>
            </w:pPr>
            <w:r w:rsidRPr="007937A2">
              <w:t>0.9481</w:t>
            </w:r>
          </w:p>
        </w:tc>
        <w:tc>
          <w:tcPr>
            <w:tcW w:w="753" w:type="dxa"/>
            <w:tcBorders>
              <w:top w:val="nil"/>
              <w:left w:val="nil"/>
              <w:bottom w:val="nil"/>
              <w:right w:val="nil"/>
            </w:tcBorders>
            <w:shd w:val="clear" w:color="auto" w:fill="auto"/>
            <w:noWrap/>
            <w:vAlign w:val="bottom"/>
            <w:hideMark/>
          </w:tcPr>
          <w:p w14:paraId="3648FC31" w14:textId="77777777" w:rsidR="00D4618A" w:rsidRPr="007937A2" w:rsidRDefault="00D4618A" w:rsidP="00112848">
            <w:pPr>
              <w:spacing w:after="0" w:line="240" w:lineRule="auto"/>
              <w:rPr>
                <w:rFonts w:eastAsia="Times New Roman"/>
                <w:color w:val="000000"/>
              </w:rPr>
            </w:pPr>
          </w:p>
        </w:tc>
      </w:tr>
      <w:tr w:rsidR="00BE6E11" w:rsidRPr="007937A2" w14:paraId="65BC29E6" w14:textId="77777777" w:rsidTr="00966B79">
        <w:trPr>
          <w:trHeight w:val="203"/>
        </w:trPr>
        <w:tc>
          <w:tcPr>
            <w:tcW w:w="2969" w:type="dxa"/>
            <w:tcBorders>
              <w:top w:val="nil"/>
              <w:left w:val="nil"/>
              <w:bottom w:val="nil"/>
              <w:right w:val="nil"/>
            </w:tcBorders>
            <w:shd w:val="clear" w:color="auto" w:fill="DDD9C3"/>
            <w:vAlign w:val="bottom"/>
            <w:hideMark/>
          </w:tcPr>
          <w:p w14:paraId="735ACDEF" w14:textId="18CCB5C7" w:rsidR="00D4618A" w:rsidRPr="007937A2" w:rsidRDefault="00D4618A" w:rsidP="00112848">
            <w:pPr>
              <w:spacing w:after="0" w:line="240" w:lineRule="auto"/>
              <w:rPr>
                <w:rFonts w:eastAsia="Times New Roman"/>
                <w:b/>
                <w:bCs/>
                <w:color w:val="000000"/>
              </w:rPr>
            </w:pPr>
            <w:r w:rsidRPr="007937A2">
              <w:rPr>
                <w:rFonts w:eastAsia="Times New Roman"/>
                <w:b/>
                <w:bCs/>
                <w:color w:val="000000"/>
              </w:rPr>
              <w:t>Model 4</w:t>
            </w:r>
            <w:r w:rsidR="00974113">
              <w:rPr>
                <w:rFonts w:eastAsia="Times New Roman"/>
                <w:b/>
                <w:bCs/>
                <w:color w:val="000000"/>
              </w:rPr>
              <w:t xml:space="preserve">:  </w:t>
            </w:r>
            <w:r w:rsidRPr="007937A2">
              <w:rPr>
                <w:rFonts w:eastAsia="Times New Roman"/>
                <w:b/>
                <w:bCs/>
                <w:color w:val="000000"/>
              </w:rPr>
              <w:t>48 observations</w:t>
            </w:r>
          </w:p>
        </w:tc>
        <w:tc>
          <w:tcPr>
            <w:tcW w:w="2162" w:type="dxa"/>
            <w:tcBorders>
              <w:top w:val="nil"/>
              <w:left w:val="nil"/>
              <w:bottom w:val="nil"/>
              <w:right w:val="nil"/>
            </w:tcBorders>
            <w:shd w:val="clear" w:color="auto" w:fill="auto"/>
            <w:noWrap/>
            <w:vAlign w:val="bottom"/>
            <w:hideMark/>
          </w:tcPr>
          <w:p w14:paraId="7D9B2F6C" w14:textId="77777777" w:rsidR="00D4618A" w:rsidRPr="007937A2" w:rsidRDefault="00D4618A" w:rsidP="00112848">
            <w:pPr>
              <w:spacing w:after="0" w:line="240" w:lineRule="auto"/>
              <w:jc w:val="center"/>
              <w:rPr>
                <w:rFonts w:eastAsia="Times New Roman"/>
                <w:color w:val="000000"/>
              </w:rPr>
            </w:pPr>
          </w:p>
        </w:tc>
        <w:tc>
          <w:tcPr>
            <w:tcW w:w="1271" w:type="dxa"/>
            <w:tcBorders>
              <w:top w:val="nil"/>
              <w:left w:val="nil"/>
              <w:bottom w:val="nil"/>
              <w:right w:val="nil"/>
            </w:tcBorders>
            <w:shd w:val="clear" w:color="auto" w:fill="auto"/>
            <w:noWrap/>
            <w:vAlign w:val="bottom"/>
            <w:hideMark/>
          </w:tcPr>
          <w:p w14:paraId="45774E20" w14:textId="77777777" w:rsidR="00D4618A" w:rsidRPr="007937A2" w:rsidRDefault="00D4618A" w:rsidP="00112848">
            <w:pPr>
              <w:spacing w:after="0" w:line="240" w:lineRule="auto"/>
              <w:jc w:val="center"/>
              <w:rPr>
                <w:rFonts w:eastAsia="Times New Roman"/>
                <w:color w:val="000000"/>
              </w:rPr>
            </w:pPr>
          </w:p>
        </w:tc>
        <w:tc>
          <w:tcPr>
            <w:tcW w:w="1300" w:type="dxa"/>
            <w:tcBorders>
              <w:top w:val="nil"/>
              <w:left w:val="nil"/>
              <w:bottom w:val="nil"/>
              <w:right w:val="nil"/>
            </w:tcBorders>
            <w:shd w:val="clear" w:color="auto" w:fill="auto"/>
            <w:noWrap/>
            <w:vAlign w:val="bottom"/>
            <w:hideMark/>
          </w:tcPr>
          <w:p w14:paraId="0CFD0043" w14:textId="77777777" w:rsidR="00D4618A" w:rsidRPr="007937A2" w:rsidRDefault="00D4618A" w:rsidP="00112848">
            <w:pPr>
              <w:spacing w:after="0" w:line="240" w:lineRule="auto"/>
              <w:jc w:val="center"/>
              <w:rPr>
                <w:rFonts w:eastAsia="Times New Roman"/>
                <w:color w:val="000000"/>
              </w:rPr>
            </w:pPr>
          </w:p>
        </w:tc>
        <w:tc>
          <w:tcPr>
            <w:tcW w:w="1146" w:type="dxa"/>
            <w:tcBorders>
              <w:top w:val="nil"/>
              <w:left w:val="nil"/>
              <w:bottom w:val="nil"/>
              <w:right w:val="nil"/>
            </w:tcBorders>
            <w:shd w:val="clear" w:color="auto" w:fill="auto"/>
            <w:noWrap/>
            <w:vAlign w:val="bottom"/>
            <w:hideMark/>
          </w:tcPr>
          <w:p w14:paraId="60FFCDA0" w14:textId="77777777" w:rsidR="00D4618A" w:rsidRPr="007937A2" w:rsidRDefault="00D4618A" w:rsidP="00112848">
            <w:pPr>
              <w:spacing w:after="0" w:line="240" w:lineRule="auto"/>
              <w:jc w:val="center"/>
              <w:rPr>
                <w:rFonts w:eastAsia="Times New Roman"/>
                <w:color w:val="000000"/>
              </w:rPr>
            </w:pPr>
          </w:p>
        </w:tc>
        <w:tc>
          <w:tcPr>
            <w:tcW w:w="753" w:type="dxa"/>
            <w:tcBorders>
              <w:top w:val="nil"/>
              <w:left w:val="nil"/>
              <w:bottom w:val="nil"/>
              <w:right w:val="nil"/>
            </w:tcBorders>
            <w:shd w:val="clear" w:color="auto" w:fill="auto"/>
            <w:noWrap/>
            <w:vAlign w:val="bottom"/>
            <w:hideMark/>
          </w:tcPr>
          <w:p w14:paraId="5080514F" w14:textId="77777777" w:rsidR="00D4618A" w:rsidRPr="007937A2" w:rsidRDefault="00D4618A" w:rsidP="00112848">
            <w:pPr>
              <w:spacing w:after="0" w:line="240" w:lineRule="auto"/>
              <w:rPr>
                <w:rFonts w:eastAsia="Times New Roman"/>
                <w:color w:val="000000"/>
              </w:rPr>
            </w:pPr>
          </w:p>
        </w:tc>
      </w:tr>
      <w:tr w:rsidR="00BE6E11" w:rsidRPr="007937A2" w14:paraId="0CD852C8" w14:textId="77777777" w:rsidTr="00966B79">
        <w:trPr>
          <w:trHeight w:val="221"/>
        </w:trPr>
        <w:tc>
          <w:tcPr>
            <w:tcW w:w="2969" w:type="dxa"/>
            <w:tcBorders>
              <w:top w:val="nil"/>
              <w:left w:val="nil"/>
              <w:bottom w:val="nil"/>
              <w:right w:val="nil"/>
            </w:tcBorders>
            <w:shd w:val="clear" w:color="auto" w:fill="DDD9C3"/>
            <w:vAlign w:val="bottom"/>
            <w:hideMark/>
          </w:tcPr>
          <w:p w14:paraId="7EA05376" w14:textId="77777777" w:rsidR="00D4618A" w:rsidRPr="007937A2" w:rsidRDefault="00830742" w:rsidP="00112848">
            <w:pPr>
              <w:spacing w:after="0" w:line="240" w:lineRule="auto"/>
              <w:rPr>
                <w:rFonts w:eastAsia="Times New Roman"/>
                <w:color w:val="000000"/>
              </w:rPr>
            </w:pPr>
            <w:r w:rsidRPr="007937A2">
              <w:rPr>
                <w:rFonts w:eastAsia="Times New Roman"/>
                <w:color w:val="000000"/>
              </w:rPr>
              <w:t>C</w:t>
            </w:r>
            <w:r w:rsidR="00D4618A" w:rsidRPr="007937A2">
              <w:rPr>
                <w:rFonts w:eastAsia="Times New Roman"/>
                <w:color w:val="000000"/>
              </w:rPr>
              <w:t>onst</w:t>
            </w:r>
          </w:p>
        </w:tc>
        <w:tc>
          <w:tcPr>
            <w:tcW w:w="2162" w:type="dxa"/>
            <w:tcBorders>
              <w:top w:val="nil"/>
              <w:left w:val="nil"/>
              <w:bottom w:val="nil"/>
              <w:right w:val="nil"/>
            </w:tcBorders>
            <w:shd w:val="clear" w:color="auto" w:fill="auto"/>
            <w:noWrap/>
            <w:vAlign w:val="bottom"/>
            <w:hideMark/>
          </w:tcPr>
          <w:p w14:paraId="67AEE02F" w14:textId="77777777" w:rsidR="00D4618A" w:rsidRPr="007937A2" w:rsidRDefault="00D4618A" w:rsidP="00112848">
            <w:pPr>
              <w:spacing w:after="0" w:line="240" w:lineRule="auto"/>
              <w:jc w:val="center"/>
              <w:rPr>
                <w:rFonts w:eastAsia="Times New Roman"/>
                <w:color w:val="000000"/>
              </w:rPr>
            </w:pPr>
            <w:r w:rsidRPr="007937A2">
              <w:rPr>
                <w:rFonts w:eastAsia="Times New Roman"/>
                <w:color w:val="000000"/>
              </w:rPr>
              <w:t>0.164</w:t>
            </w:r>
          </w:p>
        </w:tc>
        <w:tc>
          <w:tcPr>
            <w:tcW w:w="1271" w:type="dxa"/>
            <w:tcBorders>
              <w:top w:val="nil"/>
              <w:left w:val="nil"/>
              <w:bottom w:val="nil"/>
              <w:right w:val="nil"/>
            </w:tcBorders>
            <w:shd w:val="clear" w:color="auto" w:fill="auto"/>
            <w:noWrap/>
            <w:vAlign w:val="bottom"/>
            <w:hideMark/>
          </w:tcPr>
          <w:p w14:paraId="3ADB50E7" w14:textId="77777777" w:rsidR="00D4618A" w:rsidRPr="007937A2" w:rsidRDefault="00D4618A" w:rsidP="00112848">
            <w:pPr>
              <w:spacing w:after="0" w:line="240" w:lineRule="auto"/>
              <w:jc w:val="center"/>
              <w:rPr>
                <w:rFonts w:eastAsia="Times New Roman"/>
                <w:color w:val="000000"/>
              </w:rPr>
            </w:pPr>
            <w:r w:rsidRPr="007937A2">
              <w:rPr>
                <w:rFonts w:eastAsia="Times New Roman"/>
                <w:color w:val="000000"/>
              </w:rPr>
              <w:t>0.011</w:t>
            </w:r>
          </w:p>
        </w:tc>
        <w:tc>
          <w:tcPr>
            <w:tcW w:w="1300" w:type="dxa"/>
            <w:tcBorders>
              <w:top w:val="nil"/>
              <w:left w:val="nil"/>
              <w:bottom w:val="nil"/>
              <w:right w:val="nil"/>
            </w:tcBorders>
            <w:shd w:val="clear" w:color="auto" w:fill="auto"/>
            <w:noWrap/>
            <w:vAlign w:val="bottom"/>
            <w:hideMark/>
          </w:tcPr>
          <w:p w14:paraId="0ABB81FE" w14:textId="77777777" w:rsidR="00D4618A" w:rsidRPr="007937A2" w:rsidRDefault="00D4618A" w:rsidP="00112848">
            <w:pPr>
              <w:spacing w:after="0" w:line="240" w:lineRule="auto"/>
              <w:jc w:val="center"/>
              <w:rPr>
                <w:rFonts w:eastAsia="Times New Roman"/>
                <w:color w:val="000000"/>
              </w:rPr>
            </w:pPr>
            <w:r w:rsidRPr="007937A2">
              <w:rPr>
                <w:rFonts w:eastAsia="Times New Roman"/>
                <w:color w:val="000000"/>
              </w:rPr>
              <w:t>15.04</w:t>
            </w:r>
          </w:p>
        </w:tc>
        <w:tc>
          <w:tcPr>
            <w:tcW w:w="1146" w:type="dxa"/>
            <w:tcBorders>
              <w:top w:val="nil"/>
              <w:left w:val="nil"/>
              <w:bottom w:val="nil"/>
              <w:right w:val="nil"/>
            </w:tcBorders>
            <w:shd w:val="clear" w:color="auto" w:fill="auto"/>
            <w:noWrap/>
            <w:vAlign w:val="bottom"/>
            <w:hideMark/>
          </w:tcPr>
          <w:p w14:paraId="5676991B" w14:textId="77777777" w:rsidR="00D4618A" w:rsidRPr="007937A2" w:rsidRDefault="00D4618A" w:rsidP="00112848">
            <w:pPr>
              <w:spacing w:after="0" w:line="240" w:lineRule="auto"/>
              <w:jc w:val="center"/>
              <w:rPr>
                <w:rFonts w:eastAsia="Times New Roman"/>
                <w:color w:val="000000"/>
              </w:rPr>
            </w:pPr>
            <w:r w:rsidRPr="007937A2">
              <w:rPr>
                <w:rFonts w:eastAsia="Times New Roman"/>
                <w:color w:val="000000"/>
              </w:rPr>
              <w:t>0.0000</w:t>
            </w:r>
          </w:p>
        </w:tc>
        <w:tc>
          <w:tcPr>
            <w:tcW w:w="753" w:type="dxa"/>
            <w:tcBorders>
              <w:top w:val="nil"/>
              <w:left w:val="nil"/>
              <w:bottom w:val="nil"/>
              <w:right w:val="nil"/>
            </w:tcBorders>
            <w:shd w:val="clear" w:color="auto" w:fill="auto"/>
            <w:noWrap/>
            <w:vAlign w:val="bottom"/>
            <w:hideMark/>
          </w:tcPr>
          <w:p w14:paraId="1EDC849E" w14:textId="77777777" w:rsidR="00D4618A" w:rsidRPr="007937A2" w:rsidRDefault="00D4618A" w:rsidP="00112848">
            <w:pPr>
              <w:spacing w:after="0" w:line="240" w:lineRule="auto"/>
              <w:rPr>
                <w:rFonts w:eastAsia="Times New Roman"/>
                <w:color w:val="000000"/>
              </w:rPr>
            </w:pPr>
            <w:r w:rsidRPr="007937A2">
              <w:rPr>
                <w:rFonts w:eastAsia="Times New Roman"/>
                <w:color w:val="000000"/>
              </w:rPr>
              <w:t>***</w:t>
            </w:r>
          </w:p>
        </w:tc>
      </w:tr>
      <w:tr w:rsidR="00BE6E11" w:rsidRPr="007937A2" w14:paraId="442F19AD" w14:textId="77777777" w:rsidTr="00966B79">
        <w:trPr>
          <w:trHeight w:val="221"/>
        </w:trPr>
        <w:tc>
          <w:tcPr>
            <w:tcW w:w="2969" w:type="dxa"/>
            <w:tcBorders>
              <w:top w:val="nil"/>
              <w:left w:val="nil"/>
              <w:bottom w:val="single" w:sz="4" w:space="0" w:color="auto"/>
              <w:right w:val="nil"/>
            </w:tcBorders>
            <w:shd w:val="clear" w:color="auto" w:fill="DDD9C3"/>
            <w:vAlign w:val="bottom"/>
            <w:hideMark/>
          </w:tcPr>
          <w:p w14:paraId="61EC6AAB" w14:textId="77777777" w:rsidR="00D4618A" w:rsidRPr="007937A2" w:rsidRDefault="00D4618A" w:rsidP="007937A2">
            <w:pPr>
              <w:spacing w:after="0" w:line="240" w:lineRule="auto"/>
              <w:rPr>
                <w:rFonts w:eastAsia="Times New Roman"/>
                <w:color w:val="000000"/>
              </w:rPr>
            </w:pPr>
            <w:r w:rsidRPr="007937A2">
              <w:rPr>
                <w:rFonts w:eastAsia="Times New Roman"/>
                <w:color w:val="000000"/>
              </w:rPr>
              <w:t>All</w:t>
            </w:r>
            <w:r w:rsidR="00830742" w:rsidRPr="007937A2">
              <w:rPr>
                <w:rFonts w:eastAsia="Times New Roman"/>
                <w:color w:val="000000"/>
              </w:rPr>
              <w:t xml:space="preserve"> </w:t>
            </w:r>
            <w:r w:rsidRPr="007937A2">
              <w:rPr>
                <w:rFonts w:eastAsia="Times New Roman"/>
                <w:color w:val="000000"/>
              </w:rPr>
              <w:t>Risks</w:t>
            </w:r>
            <w:r w:rsidR="00830742" w:rsidRPr="007937A2">
              <w:rPr>
                <w:rFonts w:eastAsia="Times New Roman"/>
                <w:color w:val="000000"/>
              </w:rPr>
              <w:t xml:space="preserve"> </w:t>
            </w:r>
            <w:r w:rsidR="00023869" w:rsidRPr="007937A2">
              <w:rPr>
                <w:rFonts w:eastAsia="Times New Roman"/>
                <w:color w:val="000000"/>
              </w:rPr>
              <w:t xml:space="preserve">to Assets </w:t>
            </w:r>
            <w:r w:rsidR="00830742" w:rsidRPr="007937A2">
              <w:rPr>
                <w:rFonts w:eastAsia="Times New Roman"/>
                <w:color w:val="000000"/>
              </w:rPr>
              <w:t>Ratio</w:t>
            </w:r>
            <w:r w:rsidR="00183C1D" w:rsidRPr="007937A2">
              <w:rPr>
                <w:rFonts w:eastAsia="Times New Roman"/>
                <w:color w:val="000000"/>
              </w:rPr>
              <w:t xml:space="preserve"> </w:t>
            </w:r>
          </w:p>
        </w:tc>
        <w:tc>
          <w:tcPr>
            <w:tcW w:w="2162" w:type="dxa"/>
            <w:tcBorders>
              <w:top w:val="nil"/>
              <w:left w:val="nil"/>
              <w:bottom w:val="single" w:sz="4" w:space="0" w:color="auto"/>
              <w:right w:val="nil"/>
            </w:tcBorders>
            <w:shd w:val="clear" w:color="auto" w:fill="auto"/>
            <w:noWrap/>
            <w:vAlign w:val="bottom"/>
            <w:hideMark/>
          </w:tcPr>
          <w:p w14:paraId="45C4FBCF" w14:textId="77777777" w:rsidR="00D4618A" w:rsidRPr="007937A2" w:rsidRDefault="00D4618A" w:rsidP="00112848">
            <w:pPr>
              <w:spacing w:after="0" w:line="240" w:lineRule="auto"/>
              <w:jc w:val="center"/>
              <w:rPr>
                <w:rFonts w:eastAsia="Times New Roman"/>
                <w:color w:val="000000"/>
              </w:rPr>
            </w:pPr>
            <w:r w:rsidRPr="007937A2">
              <w:rPr>
                <w:rFonts w:eastAsia="Times New Roman"/>
                <w:color w:val="000000"/>
              </w:rPr>
              <w:t>-0.021</w:t>
            </w:r>
          </w:p>
        </w:tc>
        <w:tc>
          <w:tcPr>
            <w:tcW w:w="1271" w:type="dxa"/>
            <w:tcBorders>
              <w:top w:val="nil"/>
              <w:left w:val="nil"/>
              <w:bottom w:val="single" w:sz="4" w:space="0" w:color="auto"/>
              <w:right w:val="nil"/>
            </w:tcBorders>
            <w:shd w:val="clear" w:color="auto" w:fill="auto"/>
            <w:noWrap/>
            <w:vAlign w:val="bottom"/>
            <w:hideMark/>
          </w:tcPr>
          <w:p w14:paraId="30FD1E4D" w14:textId="77777777" w:rsidR="00D4618A" w:rsidRPr="007937A2" w:rsidRDefault="00D4618A" w:rsidP="00112848">
            <w:pPr>
              <w:spacing w:after="0" w:line="240" w:lineRule="auto"/>
              <w:jc w:val="center"/>
              <w:rPr>
                <w:rFonts w:eastAsia="Times New Roman"/>
                <w:color w:val="000000"/>
              </w:rPr>
            </w:pPr>
            <w:r w:rsidRPr="007937A2">
              <w:rPr>
                <w:rFonts w:eastAsia="Times New Roman"/>
                <w:color w:val="000000"/>
              </w:rPr>
              <w:t>0.019</w:t>
            </w:r>
          </w:p>
        </w:tc>
        <w:tc>
          <w:tcPr>
            <w:tcW w:w="1300" w:type="dxa"/>
            <w:tcBorders>
              <w:top w:val="nil"/>
              <w:left w:val="nil"/>
              <w:bottom w:val="single" w:sz="4" w:space="0" w:color="auto"/>
              <w:right w:val="nil"/>
            </w:tcBorders>
            <w:shd w:val="clear" w:color="auto" w:fill="auto"/>
            <w:noWrap/>
            <w:vAlign w:val="bottom"/>
            <w:hideMark/>
          </w:tcPr>
          <w:p w14:paraId="79802B3D" w14:textId="77777777" w:rsidR="00D4618A" w:rsidRPr="007937A2" w:rsidRDefault="00D4618A" w:rsidP="00112848">
            <w:pPr>
              <w:spacing w:after="0" w:line="240" w:lineRule="auto"/>
              <w:jc w:val="center"/>
              <w:rPr>
                <w:rFonts w:eastAsia="Times New Roman"/>
                <w:color w:val="000000"/>
              </w:rPr>
            </w:pPr>
            <w:r w:rsidRPr="007937A2">
              <w:rPr>
                <w:rFonts w:eastAsia="Times New Roman"/>
                <w:color w:val="000000"/>
              </w:rPr>
              <w:t>-1.141</w:t>
            </w:r>
          </w:p>
        </w:tc>
        <w:tc>
          <w:tcPr>
            <w:tcW w:w="1146" w:type="dxa"/>
            <w:tcBorders>
              <w:top w:val="nil"/>
              <w:left w:val="nil"/>
              <w:bottom w:val="single" w:sz="4" w:space="0" w:color="auto"/>
              <w:right w:val="nil"/>
            </w:tcBorders>
            <w:shd w:val="clear" w:color="auto" w:fill="auto"/>
            <w:noWrap/>
            <w:vAlign w:val="bottom"/>
            <w:hideMark/>
          </w:tcPr>
          <w:p w14:paraId="4507B700" w14:textId="77777777" w:rsidR="00D4618A" w:rsidRPr="007937A2" w:rsidRDefault="00D4618A" w:rsidP="00112848">
            <w:pPr>
              <w:spacing w:after="0" w:line="240" w:lineRule="auto"/>
              <w:jc w:val="center"/>
              <w:rPr>
                <w:rFonts w:eastAsia="Times New Roman"/>
                <w:color w:val="000000"/>
              </w:rPr>
            </w:pPr>
            <w:r w:rsidRPr="007937A2">
              <w:rPr>
                <w:rFonts w:eastAsia="Times New Roman"/>
                <w:color w:val="000000"/>
              </w:rPr>
              <w:t>0.2609</w:t>
            </w:r>
          </w:p>
        </w:tc>
        <w:tc>
          <w:tcPr>
            <w:tcW w:w="753" w:type="dxa"/>
            <w:tcBorders>
              <w:top w:val="nil"/>
              <w:left w:val="nil"/>
              <w:bottom w:val="nil"/>
              <w:right w:val="nil"/>
            </w:tcBorders>
            <w:shd w:val="clear" w:color="auto" w:fill="auto"/>
            <w:noWrap/>
            <w:vAlign w:val="bottom"/>
            <w:hideMark/>
          </w:tcPr>
          <w:p w14:paraId="54044DF2" w14:textId="77777777" w:rsidR="00D4618A" w:rsidRPr="007937A2" w:rsidRDefault="00D4618A" w:rsidP="00112848">
            <w:pPr>
              <w:spacing w:after="0" w:line="240" w:lineRule="auto"/>
              <w:rPr>
                <w:rFonts w:eastAsia="Times New Roman"/>
                <w:color w:val="000000"/>
              </w:rPr>
            </w:pPr>
          </w:p>
        </w:tc>
      </w:tr>
      <w:tr w:rsidR="00BE6E11" w:rsidRPr="007937A2" w14:paraId="32B5F23D" w14:textId="77777777" w:rsidTr="00966B79">
        <w:trPr>
          <w:trHeight w:val="203"/>
        </w:trPr>
        <w:tc>
          <w:tcPr>
            <w:tcW w:w="2969" w:type="dxa"/>
            <w:tcBorders>
              <w:top w:val="nil"/>
              <w:left w:val="nil"/>
              <w:bottom w:val="nil"/>
              <w:right w:val="nil"/>
            </w:tcBorders>
            <w:shd w:val="clear" w:color="auto" w:fill="DDD9C3"/>
            <w:vAlign w:val="bottom"/>
            <w:hideMark/>
          </w:tcPr>
          <w:p w14:paraId="5DF8D6BD" w14:textId="72C9364A" w:rsidR="00D4618A" w:rsidRPr="007937A2" w:rsidRDefault="00D4618A" w:rsidP="007937A2">
            <w:pPr>
              <w:spacing w:after="0" w:line="240" w:lineRule="auto"/>
              <w:rPr>
                <w:rFonts w:eastAsia="Times New Roman"/>
                <w:b/>
                <w:bCs/>
                <w:color w:val="000000"/>
              </w:rPr>
            </w:pPr>
            <w:r w:rsidRPr="007937A2">
              <w:rPr>
                <w:rFonts w:eastAsia="Times New Roman"/>
                <w:b/>
                <w:bCs/>
                <w:color w:val="000000"/>
              </w:rPr>
              <w:t>Model 5</w:t>
            </w:r>
            <w:r w:rsidR="00974113">
              <w:rPr>
                <w:rFonts w:eastAsia="Times New Roman"/>
                <w:b/>
                <w:bCs/>
                <w:color w:val="000000"/>
              </w:rPr>
              <w:t xml:space="preserve">:  </w:t>
            </w:r>
            <w:r w:rsidR="00CE441C">
              <w:rPr>
                <w:rFonts w:eastAsia="Times New Roman"/>
                <w:b/>
                <w:bCs/>
                <w:color w:val="000000"/>
              </w:rPr>
              <w:t>50</w:t>
            </w:r>
            <w:r w:rsidRPr="007937A2">
              <w:rPr>
                <w:rFonts w:eastAsia="Times New Roman"/>
                <w:b/>
                <w:bCs/>
                <w:color w:val="000000"/>
              </w:rPr>
              <w:t xml:space="preserve"> observations</w:t>
            </w:r>
          </w:p>
        </w:tc>
        <w:tc>
          <w:tcPr>
            <w:tcW w:w="2162" w:type="dxa"/>
            <w:tcBorders>
              <w:top w:val="nil"/>
              <w:left w:val="nil"/>
              <w:bottom w:val="nil"/>
              <w:right w:val="nil"/>
            </w:tcBorders>
            <w:shd w:val="clear" w:color="auto" w:fill="auto"/>
            <w:noWrap/>
            <w:vAlign w:val="bottom"/>
            <w:hideMark/>
          </w:tcPr>
          <w:p w14:paraId="2E530925" w14:textId="77777777" w:rsidR="00D4618A" w:rsidRPr="007937A2" w:rsidRDefault="00D4618A" w:rsidP="00112848">
            <w:pPr>
              <w:spacing w:after="0" w:line="240" w:lineRule="auto"/>
              <w:jc w:val="center"/>
              <w:rPr>
                <w:rFonts w:eastAsia="Times New Roman"/>
                <w:color w:val="000000"/>
              </w:rPr>
            </w:pPr>
          </w:p>
        </w:tc>
        <w:tc>
          <w:tcPr>
            <w:tcW w:w="1271" w:type="dxa"/>
            <w:tcBorders>
              <w:top w:val="nil"/>
              <w:left w:val="nil"/>
              <w:bottom w:val="nil"/>
              <w:right w:val="nil"/>
            </w:tcBorders>
            <w:shd w:val="clear" w:color="auto" w:fill="auto"/>
            <w:noWrap/>
            <w:vAlign w:val="bottom"/>
            <w:hideMark/>
          </w:tcPr>
          <w:p w14:paraId="4292AD47" w14:textId="77777777" w:rsidR="00D4618A" w:rsidRPr="007937A2" w:rsidRDefault="00D4618A" w:rsidP="00112848">
            <w:pPr>
              <w:spacing w:after="0" w:line="240" w:lineRule="auto"/>
              <w:jc w:val="center"/>
              <w:rPr>
                <w:rFonts w:eastAsia="Times New Roman"/>
                <w:color w:val="000000"/>
              </w:rPr>
            </w:pPr>
          </w:p>
        </w:tc>
        <w:tc>
          <w:tcPr>
            <w:tcW w:w="1300" w:type="dxa"/>
            <w:tcBorders>
              <w:top w:val="nil"/>
              <w:left w:val="nil"/>
              <w:bottom w:val="nil"/>
              <w:right w:val="nil"/>
            </w:tcBorders>
            <w:shd w:val="clear" w:color="auto" w:fill="auto"/>
            <w:noWrap/>
            <w:vAlign w:val="bottom"/>
            <w:hideMark/>
          </w:tcPr>
          <w:p w14:paraId="100E58A9" w14:textId="77777777" w:rsidR="00D4618A" w:rsidRPr="007937A2" w:rsidRDefault="00D4618A" w:rsidP="00112848">
            <w:pPr>
              <w:spacing w:after="0" w:line="240" w:lineRule="auto"/>
              <w:jc w:val="center"/>
              <w:rPr>
                <w:rFonts w:eastAsia="Times New Roman"/>
                <w:color w:val="000000"/>
              </w:rPr>
            </w:pPr>
          </w:p>
        </w:tc>
        <w:tc>
          <w:tcPr>
            <w:tcW w:w="1146" w:type="dxa"/>
            <w:tcBorders>
              <w:top w:val="nil"/>
              <w:left w:val="nil"/>
              <w:bottom w:val="nil"/>
              <w:right w:val="nil"/>
            </w:tcBorders>
            <w:shd w:val="clear" w:color="auto" w:fill="auto"/>
            <w:noWrap/>
            <w:vAlign w:val="bottom"/>
            <w:hideMark/>
          </w:tcPr>
          <w:p w14:paraId="116BF309" w14:textId="77777777" w:rsidR="00D4618A" w:rsidRPr="007937A2" w:rsidRDefault="00D4618A" w:rsidP="00112848">
            <w:pPr>
              <w:spacing w:after="0" w:line="240" w:lineRule="auto"/>
              <w:jc w:val="center"/>
              <w:rPr>
                <w:rFonts w:eastAsia="Times New Roman"/>
                <w:color w:val="000000"/>
              </w:rPr>
            </w:pPr>
          </w:p>
        </w:tc>
        <w:tc>
          <w:tcPr>
            <w:tcW w:w="753" w:type="dxa"/>
            <w:tcBorders>
              <w:top w:val="nil"/>
              <w:left w:val="nil"/>
              <w:bottom w:val="nil"/>
              <w:right w:val="nil"/>
            </w:tcBorders>
            <w:shd w:val="clear" w:color="auto" w:fill="auto"/>
            <w:noWrap/>
            <w:vAlign w:val="bottom"/>
            <w:hideMark/>
          </w:tcPr>
          <w:p w14:paraId="7557571D" w14:textId="77777777" w:rsidR="00D4618A" w:rsidRPr="007937A2" w:rsidRDefault="00D4618A" w:rsidP="00112848">
            <w:pPr>
              <w:spacing w:after="0" w:line="240" w:lineRule="auto"/>
              <w:rPr>
                <w:rFonts w:eastAsia="Times New Roman"/>
                <w:color w:val="000000"/>
              </w:rPr>
            </w:pPr>
          </w:p>
        </w:tc>
      </w:tr>
      <w:tr w:rsidR="0099093B" w:rsidRPr="007937A2" w14:paraId="6A6FBCC0" w14:textId="77777777" w:rsidTr="00966B79">
        <w:trPr>
          <w:trHeight w:val="221"/>
        </w:trPr>
        <w:tc>
          <w:tcPr>
            <w:tcW w:w="2969" w:type="dxa"/>
            <w:tcBorders>
              <w:left w:val="nil"/>
              <w:right w:val="nil"/>
            </w:tcBorders>
            <w:shd w:val="clear" w:color="auto" w:fill="DDD9C3"/>
          </w:tcPr>
          <w:p w14:paraId="091AEDFF" w14:textId="77777777" w:rsidR="0099093B" w:rsidRPr="007937A2" w:rsidRDefault="0099093B" w:rsidP="00023869">
            <w:pPr>
              <w:spacing w:after="0" w:line="240" w:lineRule="auto"/>
              <w:rPr>
                <w:rFonts w:eastAsia="Times New Roman"/>
                <w:color w:val="000000"/>
              </w:rPr>
            </w:pPr>
            <w:r w:rsidRPr="007937A2">
              <w:t>Const</w:t>
            </w:r>
          </w:p>
        </w:tc>
        <w:tc>
          <w:tcPr>
            <w:tcW w:w="2162" w:type="dxa"/>
            <w:tcBorders>
              <w:left w:val="nil"/>
              <w:right w:val="nil"/>
            </w:tcBorders>
            <w:shd w:val="clear" w:color="auto" w:fill="auto"/>
            <w:noWrap/>
          </w:tcPr>
          <w:p w14:paraId="69290F53" w14:textId="77777777" w:rsidR="0099093B" w:rsidRPr="007937A2" w:rsidRDefault="0099093B" w:rsidP="00D4618A">
            <w:pPr>
              <w:spacing w:after="0" w:line="240" w:lineRule="auto"/>
              <w:jc w:val="center"/>
            </w:pPr>
            <w:r w:rsidRPr="007937A2">
              <w:t>0.176813</w:t>
            </w:r>
          </w:p>
        </w:tc>
        <w:tc>
          <w:tcPr>
            <w:tcW w:w="1271" w:type="dxa"/>
            <w:tcBorders>
              <w:left w:val="nil"/>
              <w:right w:val="nil"/>
            </w:tcBorders>
            <w:shd w:val="clear" w:color="auto" w:fill="auto"/>
            <w:noWrap/>
          </w:tcPr>
          <w:p w14:paraId="673DCC20" w14:textId="77777777" w:rsidR="0099093B" w:rsidRPr="007937A2" w:rsidRDefault="0099093B" w:rsidP="00D4618A">
            <w:pPr>
              <w:spacing w:after="0" w:line="240" w:lineRule="auto"/>
              <w:jc w:val="center"/>
            </w:pPr>
            <w:r w:rsidRPr="007937A2">
              <w:t>0.0215956</w:t>
            </w:r>
          </w:p>
        </w:tc>
        <w:tc>
          <w:tcPr>
            <w:tcW w:w="1300" w:type="dxa"/>
            <w:tcBorders>
              <w:left w:val="nil"/>
              <w:right w:val="nil"/>
            </w:tcBorders>
            <w:shd w:val="clear" w:color="auto" w:fill="auto"/>
            <w:noWrap/>
          </w:tcPr>
          <w:p w14:paraId="48CCD3D2" w14:textId="77777777" w:rsidR="0099093B" w:rsidRPr="007937A2" w:rsidRDefault="0099093B" w:rsidP="007937A2">
            <w:pPr>
              <w:spacing w:after="0" w:line="240" w:lineRule="auto"/>
              <w:jc w:val="center"/>
            </w:pPr>
            <w:r w:rsidRPr="007937A2">
              <w:t xml:space="preserve">8.187   </w:t>
            </w:r>
          </w:p>
        </w:tc>
        <w:tc>
          <w:tcPr>
            <w:tcW w:w="1146" w:type="dxa"/>
            <w:tcBorders>
              <w:left w:val="nil"/>
              <w:right w:val="nil"/>
            </w:tcBorders>
            <w:shd w:val="clear" w:color="auto" w:fill="auto"/>
            <w:noWrap/>
          </w:tcPr>
          <w:p w14:paraId="74E70437" w14:textId="77777777" w:rsidR="0099093B" w:rsidRPr="007937A2" w:rsidRDefault="0099093B" w:rsidP="00112848">
            <w:pPr>
              <w:spacing w:after="0" w:line="240" w:lineRule="auto"/>
              <w:jc w:val="center"/>
            </w:pPr>
            <w:r w:rsidRPr="007937A2">
              <w:t>0.000</w:t>
            </w:r>
          </w:p>
        </w:tc>
        <w:tc>
          <w:tcPr>
            <w:tcW w:w="753" w:type="dxa"/>
            <w:tcBorders>
              <w:left w:val="nil"/>
              <w:right w:val="nil"/>
            </w:tcBorders>
            <w:shd w:val="clear" w:color="auto" w:fill="auto"/>
            <w:noWrap/>
            <w:vAlign w:val="bottom"/>
          </w:tcPr>
          <w:p w14:paraId="5D99A585" w14:textId="77777777" w:rsidR="0099093B" w:rsidRPr="007937A2" w:rsidRDefault="0099093B" w:rsidP="00112848">
            <w:pPr>
              <w:spacing w:after="0" w:line="240" w:lineRule="auto"/>
              <w:rPr>
                <w:rFonts w:eastAsia="Times New Roman"/>
                <w:color w:val="000000"/>
              </w:rPr>
            </w:pPr>
            <w:r w:rsidRPr="007937A2">
              <w:rPr>
                <w:rFonts w:eastAsia="Times New Roman"/>
                <w:color w:val="000000"/>
              </w:rPr>
              <w:t>***</w:t>
            </w:r>
          </w:p>
        </w:tc>
      </w:tr>
      <w:tr w:rsidR="0099093B" w:rsidRPr="007937A2" w14:paraId="1E2E2200" w14:textId="77777777" w:rsidTr="00966B79">
        <w:trPr>
          <w:trHeight w:val="221"/>
        </w:trPr>
        <w:tc>
          <w:tcPr>
            <w:tcW w:w="2969" w:type="dxa"/>
            <w:tcBorders>
              <w:left w:val="nil"/>
              <w:right w:val="nil"/>
            </w:tcBorders>
            <w:shd w:val="clear" w:color="auto" w:fill="DDD9C3"/>
          </w:tcPr>
          <w:p w14:paraId="5BA8FEFE" w14:textId="77777777" w:rsidR="0099093B" w:rsidRPr="007937A2" w:rsidRDefault="0099093B" w:rsidP="00023869">
            <w:pPr>
              <w:spacing w:after="0" w:line="240" w:lineRule="auto"/>
              <w:rPr>
                <w:rFonts w:eastAsia="Times New Roman"/>
                <w:color w:val="000000"/>
              </w:rPr>
            </w:pPr>
            <w:r w:rsidRPr="007937A2">
              <w:rPr>
                <w:rFonts w:eastAsia="Times New Roman"/>
                <w:color w:val="000000"/>
              </w:rPr>
              <w:t>Risk Weighted Assets</w:t>
            </w:r>
          </w:p>
        </w:tc>
        <w:tc>
          <w:tcPr>
            <w:tcW w:w="2162" w:type="dxa"/>
            <w:tcBorders>
              <w:left w:val="nil"/>
              <w:right w:val="nil"/>
            </w:tcBorders>
            <w:shd w:val="clear" w:color="auto" w:fill="auto"/>
            <w:noWrap/>
          </w:tcPr>
          <w:p w14:paraId="7D4B5007" w14:textId="77777777" w:rsidR="0099093B" w:rsidRPr="007937A2" w:rsidRDefault="0099093B" w:rsidP="007937A2">
            <w:pPr>
              <w:spacing w:after="0" w:line="240" w:lineRule="auto"/>
              <w:jc w:val="center"/>
            </w:pPr>
            <w:r w:rsidRPr="007937A2">
              <w:t>0.0383</w:t>
            </w:r>
          </w:p>
        </w:tc>
        <w:tc>
          <w:tcPr>
            <w:tcW w:w="1271" w:type="dxa"/>
            <w:tcBorders>
              <w:left w:val="nil"/>
              <w:right w:val="nil"/>
            </w:tcBorders>
            <w:shd w:val="clear" w:color="auto" w:fill="auto"/>
            <w:noWrap/>
          </w:tcPr>
          <w:p w14:paraId="4D4A231D" w14:textId="77777777" w:rsidR="0099093B" w:rsidRPr="007937A2" w:rsidRDefault="0099093B" w:rsidP="007937A2">
            <w:pPr>
              <w:spacing w:after="0" w:line="240" w:lineRule="auto"/>
              <w:jc w:val="center"/>
            </w:pPr>
            <w:r w:rsidRPr="007937A2">
              <w:t>0.03545</w:t>
            </w:r>
          </w:p>
        </w:tc>
        <w:tc>
          <w:tcPr>
            <w:tcW w:w="1300" w:type="dxa"/>
            <w:tcBorders>
              <w:left w:val="nil"/>
              <w:right w:val="nil"/>
            </w:tcBorders>
            <w:shd w:val="clear" w:color="auto" w:fill="auto"/>
            <w:noWrap/>
          </w:tcPr>
          <w:p w14:paraId="3031F211" w14:textId="77777777" w:rsidR="0099093B" w:rsidRPr="007937A2" w:rsidRDefault="0099093B" w:rsidP="007937A2">
            <w:pPr>
              <w:spacing w:after="0" w:line="240" w:lineRule="auto"/>
              <w:jc w:val="center"/>
            </w:pPr>
            <w:r w:rsidRPr="007937A2">
              <w:t xml:space="preserve">1.080   </w:t>
            </w:r>
          </w:p>
        </w:tc>
        <w:tc>
          <w:tcPr>
            <w:tcW w:w="1146" w:type="dxa"/>
            <w:tcBorders>
              <w:left w:val="nil"/>
              <w:right w:val="nil"/>
            </w:tcBorders>
            <w:shd w:val="clear" w:color="auto" w:fill="auto"/>
            <w:noWrap/>
          </w:tcPr>
          <w:p w14:paraId="07204A8D" w14:textId="77777777" w:rsidR="0099093B" w:rsidRPr="007937A2" w:rsidRDefault="0099093B" w:rsidP="00112848">
            <w:pPr>
              <w:spacing w:after="0" w:line="240" w:lineRule="auto"/>
              <w:jc w:val="center"/>
            </w:pPr>
            <w:r w:rsidRPr="007937A2">
              <w:t>0.2863</w:t>
            </w:r>
          </w:p>
        </w:tc>
        <w:tc>
          <w:tcPr>
            <w:tcW w:w="753" w:type="dxa"/>
            <w:tcBorders>
              <w:left w:val="nil"/>
              <w:right w:val="nil"/>
            </w:tcBorders>
            <w:shd w:val="clear" w:color="auto" w:fill="auto"/>
            <w:noWrap/>
            <w:vAlign w:val="bottom"/>
          </w:tcPr>
          <w:p w14:paraId="7CD8A490" w14:textId="77777777" w:rsidR="0099093B" w:rsidRPr="007937A2" w:rsidRDefault="0099093B" w:rsidP="00112848">
            <w:pPr>
              <w:spacing w:after="0" w:line="240" w:lineRule="auto"/>
              <w:rPr>
                <w:rFonts w:eastAsia="Times New Roman"/>
                <w:color w:val="000000"/>
              </w:rPr>
            </w:pPr>
          </w:p>
        </w:tc>
      </w:tr>
      <w:tr w:rsidR="00CE441C" w:rsidRPr="007937A2" w14:paraId="74BAE0C1" w14:textId="77777777" w:rsidTr="00966B79">
        <w:trPr>
          <w:trHeight w:val="221"/>
        </w:trPr>
        <w:tc>
          <w:tcPr>
            <w:tcW w:w="2969" w:type="dxa"/>
            <w:tcBorders>
              <w:left w:val="nil"/>
              <w:right w:val="nil"/>
            </w:tcBorders>
            <w:shd w:val="clear" w:color="auto" w:fill="F2F2F2"/>
            <w:vAlign w:val="bottom"/>
          </w:tcPr>
          <w:p w14:paraId="6ADB0CE0" w14:textId="77777777" w:rsidR="00CE441C" w:rsidRPr="007937A2" w:rsidRDefault="00CE441C" w:rsidP="00112848">
            <w:pPr>
              <w:spacing w:after="0" w:line="240" w:lineRule="auto"/>
              <w:rPr>
                <w:rFonts w:eastAsia="Times New Roman"/>
                <w:b/>
                <w:bCs/>
                <w:color w:val="C00000"/>
              </w:rPr>
            </w:pPr>
          </w:p>
        </w:tc>
        <w:tc>
          <w:tcPr>
            <w:tcW w:w="2162" w:type="dxa"/>
            <w:tcBorders>
              <w:left w:val="nil"/>
              <w:right w:val="nil"/>
            </w:tcBorders>
            <w:shd w:val="clear" w:color="auto" w:fill="F2F2F2"/>
            <w:noWrap/>
            <w:vAlign w:val="bottom"/>
          </w:tcPr>
          <w:p w14:paraId="7089D406" w14:textId="77777777" w:rsidR="00CE441C" w:rsidRPr="007937A2" w:rsidRDefault="00CE441C" w:rsidP="00112848">
            <w:pPr>
              <w:spacing w:after="0" w:line="240" w:lineRule="auto"/>
              <w:jc w:val="center"/>
              <w:rPr>
                <w:rFonts w:eastAsia="Times New Roman"/>
                <w:b/>
                <w:bCs/>
                <w:color w:val="000000"/>
              </w:rPr>
            </w:pPr>
          </w:p>
        </w:tc>
        <w:tc>
          <w:tcPr>
            <w:tcW w:w="1271" w:type="dxa"/>
            <w:tcBorders>
              <w:left w:val="nil"/>
              <w:right w:val="nil"/>
            </w:tcBorders>
            <w:shd w:val="clear" w:color="auto" w:fill="F2F2F2"/>
            <w:noWrap/>
            <w:vAlign w:val="bottom"/>
          </w:tcPr>
          <w:p w14:paraId="7297E4AF" w14:textId="77777777" w:rsidR="00CE441C" w:rsidRPr="007937A2" w:rsidRDefault="00CE441C" w:rsidP="00112848">
            <w:pPr>
              <w:spacing w:after="0" w:line="240" w:lineRule="auto"/>
              <w:jc w:val="center"/>
              <w:rPr>
                <w:rFonts w:eastAsia="Times New Roman"/>
                <w:b/>
                <w:bCs/>
                <w:color w:val="000000"/>
              </w:rPr>
            </w:pPr>
          </w:p>
        </w:tc>
        <w:tc>
          <w:tcPr>
            <w:tcW w:w="1300" w:type="dxa"/>
            <w:tcBorders>
              <w:left w:val="nil"/>
              <w:right w:val="nil"/>
            </w:tcBorders>
            <w:shd w:val="clear" w:color="auto" w:fill="F2F2F2"/>
            <w:noWrap/>
            <w:vAlign w:val="bottom"/>
          </w:tcPr>
          <w:p w14:paraId="482D0D2D" w14:textId="77777777" w:rsidR="00CE441C" w:rsidRPr="007937A2" w:rsidRDefault="00CE441C" w:rsidP="00112848">
            <w:pPr>
              <w:spacing w:after="0" w:line="240" w:lineRule="auto"/>
              <w:jc w:val="center"/>
              <w:rPr>
                <w:rFonts w:eastAsia="Times New Roman"/>
                <w:b/>
                <w:bCs/>
                <w:color w:val="000000"/>
              </w:rPr>
            </w:pPr>
          </w:p>
        </w:tc>
        <w:tc>
          <w:tcPr>
            <w:tcW w:w="1146" w:type="dxa"/>
            <w:tcBorders>
              <w:left w:val="nil"/>
              <w:right w:val="nil"/>
            </w:tcBorders>
            <w:shd w:val="clear" w:color="auto" w:fill="F2F2F2"/>
            <w:noWrap/>
            <w:vAlign w:val="bottom"/>
          </w:tcPr>
          <w:p w14:paraId="035F5E14" w14:textId="77777777" w:rsidR="00CE441C" w:rsidRPr="007937A2" w:rsidRDefault="00CE441C" w:rsidP="00112848">
            <w:pPr>
              <w:spacing w:after="0" w:line="240" w:lineRule="auto"/>
              <w:jc w:val="center"/>
              <w:rPr>
                <w:rFonts w:eastAsia="Times New Roman"/>
                <w:b/>
                <w:bCs/>
                <w:color w:val="000000"/>
              </w:rPr>
            </w:pPr>
          </w:p>
        </w:tc>
        <w:tc>
          <w:tcPr>
            <w:tcW w:w="753" w:type="dxa"/>
            <w:tcBorders>
              <w:left w:val="nil"/>
              <w:right w:val="nil"/>
            </w:tcBorders>
            <w:shd w:val="clear" w:color="auto" w:fill="F2F2F2"/>
            <w:noWrap/>
            <w:vAlign w:val="bottom"/>
          </w:tcPr>
          <w:p w14:paraId="7CA8D9DD" w14:textId="77777777" w:rsidR="00CE441C" w:rsidRPr="007937A2" w:rsidRDefault="00CE441C" w:rsidP="00112848">
            <w:pPr>
              <w:spacing w:after="0" w:line="240" w:lineRule="auto"/>
              <w:rPr>
                <w:rFonts w:eastAsia="Times New Roman"/>
                <w:color w:val="000000"/>
              </w:rPr>
            </w:pPr>
          </w:p>
        </w:tc>
      </w:tr>
      <w:tr w:rsidR="00465C3D" w:rsidRPr="007937A2" w14:paraId="465C47D6" w14:textId="77777777" w:rsidTr="00966B79">
        <w:trPr>
          <w:trHeight w:val="221"/>
        </w:trPr>
        <w:tc>
          <w:tcPr>
            <w:tcW w:w="2969" w:type="dxa"/>
            <w:tcBorders>
              <w:left w:val="nil"/>
              <w:right w:val="nil"/>
            </w:tcBorders>
            <w:shd w:val="clear" w:color="auto" w:fill="F2F2F2"/>
            <w:vAlign w:val="bottom"/>
            <w:hideMark/>
          </w:tcPr>
          <w:p w14:paraId="404D347D" w14:textId="77777777" w:rsidR="00465C3D" w:rsidRPr="007937A2" w:rsidRDefault="00465C3D" w:rsidP="00112848">
            <w:pPr>
              <w:spacing w:after="0" w:line="240" w:lineRule="auto"/>
              <w:rPr>
                <w:rFonts w:eastAsia="Times New Roman"/>
                <w:color w:val="C00000"/>
              </w:rPr>
            </w:pPr>
            <w:r w:rsidRPr="007937A2">
              <w:rPr>
                <w:rFonts w:eastAsia="Times New Roman"/>
                <w:b/>
                <w:bCs/>
                <w:color w:val="C00000"/>
              </w:rPr>
              <w:t>Random Effects (GLS)</w:t>
            </w:r>
          </w:p>
        </w:tc>
        <w:tc>
          <w:tcPr>
            <w:tcW w:w="2162" w:type="dxa"/>
            <w:tcBorders>
              <w:left w:val="nil"/>
              <w:right w:val="nil"/>
            </w:tcBorders>
            <w:shd w:val="clear" w:color="auto" w:fill="F2F2F2"/>
            <w:noWrap/>
            <w:vAlign w:val="bottom"/>
            <w:hideMark/>
          </w:tcPr>
          <w:p w14:paraId="6CE37A4C" w14:textId="77777777" w:rsidR="00465C3D" w:rsidRPr="007937A2" w:rsidRDefault="00465C3D" w:rsidP="00112848">
            <w:pPr>
              <w:spacing w:after="0" w:line="240" w:lineRule="auto"/>
              <w:jc w:val="center"/>
              <w:rPr>
                <w:rFonts w:eastAsia="Times New Roman"/>
                <w:b/>
                <w:bCs/>
                <w:color w:val="000000"/>
              </w:rPr>
            </w:pPr>
            <w:r w:rsidRPr="007937A2">
              <w:rPr>
                <w:rFonts w:eastAsia="Times New Roman"/>
                <w:b/>
                <w:bCs/>
                <w:color w:val="000000"/>
              </w:rPr>
              <w:t>coefficient</w:t>
            </w:r>
          </w:p>
        </w:tc>
        <w:tc>
          <w:tcPr>
            <w:tcW w:w="1271" w:type="dxa"/>
            <w:tcBorders>
              <w:left w:val="nil"/>
              <w:right w:val="nil"/>
            </w:tcBorders>
            <w:shd w:val="clear" w:color="auto" w:fill="F2F2F2"/>
            <w:noWrap/>
            <w:vAlign w:val="bottom"/>
            <w:hideMark/>
          </w:tcPr>
          <w:p w14:paraId="6DD79C1C" w14:textId="77777777" w:rsidR="00465C3D" w:rsidRPr="007937A2" w:rsidRDefault="00465C3D" w:rsidP="00112848">
            <w:pPr>
              <w:spacing w:after="0" w:line="240" w:lineRule="auto"/>
              <w:jc w:val="center"/>
              <w:rPr>
                <w:rFonts w:eastAsia="Times New Roman"/>
                <w:b/>
                <w:bCs/>
                <w:color w:val="000000"/>
              </w:rPr>
            </w:pPr>
            <w:r w:rsidRPr="007937A2">
              <w:rPr>
                <w:rFonts w:eastAsia="Times New Roman"/>
                <w:b/>
                <w:bCs/>
                <w:color w:val="000000"/>
              </w:rPr>
              <w:t>std. error</w:t>
            </w:r>
          </w:p>
        </w:tc>
        <w:tc>
          <w:tcPr>
            <w:tcW w:w="1300" w:type="dxa"/>
            <w:tcBorders>
              <w:left w:val="nil"/>
              <w:right w:val="nil"/>
            </w:tcBorders>
            <w:shd w:val="clear" w:color="auto" w:fill="F2F2F2"/>
            <w:noWrap/>
            <w:vAlign w:val="bottom"/>
            <w:hideMark/>
          </w:tcPr>
          <w:p w14:paraId="038CCA99" w14:textId="77777777" w:rsidR="00465C3D" w:rsidRPr="007937A2" w:rsidRDefault="00465C3D" w:rsidP="00112848">
            <w:pPr>
              <w:spacing w:after="0" w:line="240" w:lineRule="auto"/>
              <w:jc w:val="center"/>
              <w:rPr>
                <w:rFonts w:eastAsia="Times New Roman"/>
                <w:b/>
                <w:bCs/>
                <w:color w:val="000000"/>
              </w:rPr>
            </w:pPr>
            <w:r w:rsidRPr="007937A2">
              <w:rPr>
                <w:rFonts w:eastAsia="Times New Roman"/>
                <w:b/>
                <w:bCs/>
                <w:color w:val="000000"/>
              </w:rPr>
              <w:t>t-ratio</w:t>
            </w:r>
          </w:p>
        </w:tc>
        <w:tc>
          <w:tcPr>
            <w:tcW w:w="1146" w:type="dxa"/>
            <w:tcBorders>
              <w:left w:val="nil"/>
              <w:right w:val="nil"/>
            </w:tcBorders>
            <w:shd w:val="clear" w:color="auto" w:fill="F2F2F2"/>
            <w:noWrap/>
            <w:vAlign w:val="bottom"/>
            <w:hideMark/>
          </w:tcPr>
          <w:p w14:paraId="4B44FCC3" w14:textId="77777777" w:rsidR="00465C3D" w:rsidRPr="007937A2" w:rsidRDefault="00465C3D" w:rsidP="00112848">
            <w:pPr>
              <w:spacing w:after="0" w:line="240" w:lineRule="auto"/>
              <w:jc w:val="center"/>
              <w:rPr>
                <w:rFonts w:eastAsia="Times New Roman"/>
                <w:b/>
                <w:bCs/>
                <w:color w:val="000000"/>
              </w:rPr>
            </w:pPr>
            <w:r w:rsidRPr="007937A2">
              <w:rPr>
                <w:rFonts w:eastAsia="Times New Roman"/>
                <w:b/>
                <w:bCs/>
                <w:color w:val="000000"/>
              </w:rPr>
              <w:t>p-value</w:t>
            </w:r>
          </w:p>
        </w:tc>
        <w:tc>
          <w:tcPr>
            <w:tcW w:w="753" w:type="dxa"/>
            <w:tcBorders>
              <w:left w:val="nil"/>
              <w:right w:val="nil"/>
            </w:tcBorders>
            <w:shd w:val="clear" w:color="auto" w:fill="F2F2F2"/>
            <w:noWrap/>
            <w:vAlign w:val="bottom"/>
            <w:hideMark/>
          </w:tcPr>
          <w:p w14:paraId="30A1B2FC" w14:textId="77777777" w:rsidR="00465C3D" w:rsidRPr="007937A2" w:rsidRDefault="00465C3D" w:rsidP="00112848">
            <w:pPr>
              <w:spacing w:after="0" w:line="240" w:lineRule="auto"/>
              <w:rPr>
                <w:rFonts w:eastAsia="Times New Roman"/>
                <w:color w:val="000000"/>
              </w:rPr>
            </w:pPr>
          </w:p>
        </w:tc>
      </w:tr>
      <w:tr w:rsidR="00465C3D" w:rsidRPr="007937A2" w14:paraId="6F004378" w14:textId="77777777" w:rsidTr="00966B79">
        <w:trPr>
          <w:trHeight w:val="221"/>
        </w:trPr>
        <w:tc>
          <w:tcPr>
            <w:tcW w:w="2969" w:type="dxa"/>
            <w:tcBorders>
              <w:left w:val="nil"/>
              <w:bottom w:val="nil"/>
              <w:right w:val="nil"/>
            </w:tcBorders>
            <w:shd w:val="clear" w:color="auto" w:fill="DBE5F1"/>
            <w:vAlign w:val="bottom"/>
            <w:hideMark/>
          </w:tcPr>
          <w:p w14:paraId="5D3CB1DC" w14:textId="7D0B4D6F" w:rsidR="00465C3D" w:rsidRPr="007937A2" w:rsidRDefault="00465C3D" w:rsidP="007937A2">
            <w:pPr>
              <w:spacing w:after="0" w:line="240" w:lineRule="auto"/>
              <w:rPr>
                <w:rFonts w:eastAsia="Times New Roman"/>
                <w:b/>
                <w:bCs/>
                <w:color w:val="000000"/>
              </w:rPr>
            </w:pPr>
            <w:r w:rsidRPr="007937A2">
              <w:rPr>
                <w:rFonts w:eastAsia="Times New Roman"/>
                <w:b/>
                <w:bCs/>
                <w:color w:val="000000"/>
              </w:rPr>
              <w:t xml:space="preserve">Model </w:t>
            </w:r>
            <w:r w:rsidR="00CE441C">
              <w:rPr>
                <w:rFonts w:eastAsia="Times New Roman"/>
                <w:b/>
                <w:bCs/>
                <w:color w:val="000000"/>
              </w:rPr>
              <w:t>6</w:t>
            </w:r>
            <w:r w:rsidR="00974113">
              <w:rPr>
                <w:rFonts w:eastAsia="Times New Roman"/>
                <w:b/>
                <w:bCs/>
                <w:color w:val="000000"/>
              </w:rPr>
              <w:t xml:space="preserve">:  </w:t>
            </w:r>
            <w:r w:rsidRPr="007937A2">
              <w:rPr>
                <w:rFonts w:eastAsia="Times New Roman"/>
                <w:b/>
                <w:bCs/>
                <w:color w:val="000000"/>
              </w:rPr>
              <w:t xml:space="preserve">41 </w:t>
            </w:r>
            <w:proofErr w:type="spellStart"/>
            <w:r w:rsidRPr="007937A2">
              <w:rPr>
                <w:rFonts w:eastAsia="Times New Roman"/>
                <w:b/>
                <w:bCs/>
                <w:color w:val="000000"/>
              </w:rPr>
              <w:t>obs</w:t>
            </w:r>
            <w:proofErr w:type="spellEnd"/>
          </w:p>
        </w:tc>
        <w:tc>
          <w:tcPr>
            <w:tcW w:w="2162" w:type="dxa"/>
            <w:tcBorders>
              <w:left w:val="nil"/>
              <w:bottom w:val="nil"/>
              <w:right w:val="nil"/>
            </w:tcBorders>
            <w:shd w:val="clear" w:color="auto" w:fill="auto"/>
            <w:noWrap/>
            <w:vAlign w:val="bottom"/>
            <w:hideMark/>
          </w:tcPr>
          <w:p w14:paraId="7C802BF2" w14:textId="77777777" w:rsidR="00465C3D" w:rsidRPr="007937A2" w:rsidRDefault="00465C3D" w:rsidP="00112848">
            <w:pPr>
              <w:spacing w:after="0" w:line="240" w:lineRule="auto"/>
              <w:jc w:val="center"/>
              <w:rPr>
                <w:rFonts w:eastAsia="Times New Roman"/>
                <w:color w:val="000000"/>
              </w:rPr>
            </w:pPr>
          </w:p>
        </w:tc>
        <w:tc>
          <w:tcPr>
            <w:tcW w:w="1271" w:type="dxa"/>
            <w:tcBorders>
              <w:left w:val="nil"/>
              <w:bottom w:val="nil"/>
              <w:right w:val="nil"/>
            </w:tcBorders>
            <w:shd w:val="clear" w:color="auto" w:fill="auto"/>
            <w:noWrap/>
            <w:vAlign w:val="bottom"/>
            <w:hideMark/>
          </w:tcPr>
          <w:p w14:paraId="5C22D9C0" w14:textId="77777777" w:rsidR="00465C3D" w:rsidRPr="007937A2" w:rsidRDefault="00465C3D" w:rsidP="00112848">
            <w:pPr>
              <w:spacing w:after="0" w:line="240" w:lineRule="auto"/>
              <w:jc w:val="center"/>
              <w:rPr>
                <w:rFonts w:eastAsia="Times New Roman"/>
                <w:color w:val="000000"/>
              </w:rPr>
            </w:pPr>
          </w:p>
        </w:tc>
        <w:tc>
          <w:tcPr>
            <w:tcW w:w="1300" w:type="dxa"/>
            <w:tcBorders>
              <w:left w:val="nil"/>
              <w:bottom w:val="nil"/>
              <w:right w:val="nil"/>
            </w:tcBorders>
            <w:shd w:val="clear" w:color="auto" w:fill="auto"/>
            <w:noWrap/>
            <w:vAlign w:val="bottom"/>
            <w:hideMark/>
          </w:tcPr>
          <w:p w14:paraId="400877E3" w14:textId="77777777" w:rsidR="00465C3D" w:rsidRPr="007937A2" w:rsidRDefault="00465C3D" w:rsidP="00112848">
            <w:pPr>
              <w:spacing w:after="0" w:line="240" w:lineRule="auto"/>
              <w:jc w:val="center"/>
              <w:rPr>
                <w:rFonts w:eastAsia="Times New Roman"/>
                <w:color w:val="000000"/>
              </w:rPr>
            </w:pPr>
          </w:p>
        </w:tc>
        <w:tc>
          <w:tcPr>
            <w:tcW w:w="1146" w:type="dxa"/>
            <w:tcBorders>
              <w:left w:val="nil"/>
              <w:bottom w:val="nil"/>
              <w:right w:val="nil"/>
            </w:tcBorders>
            <w:shd w:val="clear" w:color="auto" w:fill="auto"/>
            <w:noWrap/>
            <w:vAlign w:val="bottom"/>
            <w:hideMark/>
          </w:tcPr>
          <w:p w14:paraId="1FEC10D7" w14:textId="77777777" w:rsidR="00465C3D" w:rsidRPr="007937A2" w:rsidRDefault="00465C3D" w:rsidP="00112848">
            <w:pPr>
              <w:spacing w:after="0" w:line="240" w:lineRule="auto"/>
              <w:jc w:val="center"/>
              <w:rPr>
                <w:rFonts w:eastAsia="Times New Roman"/>
                <w:color w:val="000000"/>
              </w:rPr>
            </w:pPr>
          </w:p>
        </w:tc>
        <w:tc>
          <w:tcPr>
            <w:tcW w:w="753" w:type="dxa"/>
            <w:tcBorders>
              <w:left w:val="nil"/>
              <w:bottom w:val="nil"/>
              <w:right w:val="nil"/>
            </w:tcBorders>
            <w:shd w:val="clear" w:color="auto" w:fill="auto"/>
            <w:noWrap/>
            <w:vAlign w:val="bottom"/>
            <w:hideMark/>
          </w:tcPr>
          <w:p w14:paraId="3E4EC59F" w14:textId="77777777" w:rsidR="00465C3D" w:rsidRPr="007937A2" w:rsidRDefault="00465C3D" w:rsidP="00112848">
            <w:pPr>
              <w:spacing w:after="0" w:line="240" w:lineRule="auto"/>
              <w:rPr>
                <w:rFonts w:eastAsia="Times New Roman"/>
                <w:color w:val="000000"/>
              </w:rPr>
            </w:pPr>
          </w:p>
        </w:tc>
      </w:tr>
      <w:tr w:rsidR="00465C3D" w:rsidRPr="007937A2" w14:paraId="5D48D850" w14:textId="77777777" w:rsidTr="00966B79">
        <w:trPr>
          <w:trHeight w:val="221"/>
        </w:trPr>
        <w:tc>
          <w:tcPr>
            <w:tcW w:w="2969" w:type="dxa"/>
            <w:tcBorders>
              <w:top w:val="nil"/>
              <w:left w:val="nil"/>
              <w:right w:val="nil"/>
            </w:tcBorders>
            <w:shd w:val="clear" w:color="auto" w:fill="DBE5F1"/>
            <w:vAlign w:val="bottom"/>
            <w:hideMark/>
          </w:tcPr>
          <w:p w14:paraId="78294335" w14:textId="77777777" w:rsidR="00465C3D" w:rsidRPr="007937A2" w:rsidRDefault="00465C3D" w:rsidP="00112848">
            <w:pPr>
              <w:spacing w:after="0" w:line="240" w:lineRule="auto"/>
              <w:rPr>
                <w:rFonts w:eastAsia="Times New Roman"/>
                <w:color w:val="000000"/>
              </w:rPr>
            </w:pPr>
            <w:r w:rsidRPr="007937A2">
              <w:rPr>
                <w:rFonts w:eastAsia="Times New Roman"/>
                <w:color w:val="000000"/>
              </w:rPr>
              <w:t>Const</w:t>
            </w:r>
          </w:p>
        </w:tc>
        <w:tc>
          <w:tcPr>
            <w:tcW w:w="2162" w:type="dxa"/>
            <w:tcBorders>
              <w:top w:val="nil"/>
              <w:left w:val="nil"/>
              <w:right w:val="nil"/>
            </w:tcBorders>
            <w:shd w:val="clear" w:color="auto" w:fill="auto"/>
            <w:noWrap/>
            <w:vAlign w:val="bottom"/>
            <w:hideMark/>
          </w:tcPr>
          <w:p w14:paraId="620448C1"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0.157</w:t>
            </w:r>
          </w:p>
        </w:tc>
        <w:tc>
          <w:tcPr>
            <w:tcW w:w="1271" w:type="dxa"/>
            <w:tcBorders>
              <w:top w:val="nil"/>
              <w:left w:val="nil"/>
              <w:right w:val="nil"/>
            </w:tcBorders>
            <w:shd w:val="clear" w:color="auto" w:fill="auto"/>
            <w:noWrap/>
            <w:vAlign w:val="bottom"/>
            <w:hideMark/>
          </w:tcPr>
          <w:p w14:paraId="596801BB"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0.005</w:t>
            </w:r>
          </w:p>
        </w:tc>
        <w:tc>
          <w:tcPr>
            <w:tcW w:w="1300" w:type="dxa"/>
            <w:tcBorders>
              <w:top w:val="nil"/>
              <w:left w:val="nil"/>
              <w:right w:val="nil"/>
            </w:tcBorders>
            <w:shd w:val="clear" w:color="auto" w:fill="auto"/>
            <w:noWrap/>
            <w:vAlign w:val="bottom"/>
            <w:hideMark/>
          </w:tcPr>
          <w:p w14:paraId="0617592D"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33.4</w:t>
            </w:r>
          </w:p>
        </w:tc>
        <w:tc>
          <w:tcPr>
            <w:tcW w:w="1146" w:type="dxa"/>
            <w:tcBorders>
              <w:top w:val="nil"/>
              <w:left w:val="nil"/>
              <w:right w:val="nil"/>
            </w:tcBorders>
            <w:shd w:val="clear" w:color="auto" w:fill="auto"/>
            <w:noWrap/>
            <w:vAlign w:val="bottom"/>
            <w:hideMark/>
          </w:tcPr>
          <w:p w14:paraId="48C4B896"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0.0000</w:t>
            </w:r>
          </w:p>
        </w:tc>
        <w:tc>
          <w:tcPr>
            <w:tcW w:w="753" w:type="dxa"/>
            <w:tcBorders>
              <w:top w:val="nil"/>
              <w:left w:val="nil"/>
              <w:right w:val="nil"/>
            </w:tcBorders>
            <w:shd w:val="clear" w:color="auto" w:fill="auto"/>
            <w:noWrap/>
            <w:vAlign w:val="bottom"/>
            <w:hideMark/>
          </w:tcPr>
          <w:p w14:paraId="3DEA36E6" w14:textId="77777777" w:rsidR="00465C3D" w:rsidRPr="007937A2" w:rsidRDefault="00465C3D" w:rsidP="00112848">
            <w:pPr>
              <w:spacing w:after="0" w:line="240" w:lineRule="auto"/>
              <w:rPr>
                <w:rFonts w:eastAsia="Times New Roman"/>
                <w:color w:val="000000"/>
              </w:rPr>
            </w:pPr>
            <w:r w:rsidRPr="007937A2">
              <w:rPr>
                <w:rFonts w:eastAsia="Times New Roman"/>
                <w:color w:val="000000"/>
              </w:rPr>
              <w:t>***</w:t>
            </w:r>
          </w:p>
        </w:tc>
      </w:tr>
      <w:tr w:rsidR="00465C3D" w:rsidRPr="007937A2" w14:paraId="136FEF61" w14:textId="77777777" w:rsidTr="00966B79">
        <w:trPr>
          <w:trHeight w:val="221"/>
        </w:trPr>
        <w:tc>
          <w:tcPr>
            <w:tcW w:w="2969" w:type="dxa"/>
            <w:tcBorders>
              <w:top w:val="nil"/>
              <w:left w:val="nil"/>
              <w:bottom w:val="single" w:sz="4" w:space="0" w:color="auto"/>
              <w:right w:val="nil"/>
            </w:tcBorders>
            <w:shd w:val="clear" w:color="auto" w:fill="DBE5F1"/>
            <w:vAlign w:val="bottom"/>
            <w:hideMark/>
          </w:tcPr>
          <w:p w14:paraId="4E9F6F32" w14:textId="77777777" w:rsidR="00465C3D" w:rsidRPr="007937A2" w:rsidRDefault="00465C3D" w:rsidP="00112848">
            <w:pPr>
              <w:spacing w:after="0" w:line="240" w:lineRule="auto"/>
              <w:rPr>
                <w:rFonts w:eastAsia="Times New Roman"/>
                <w:color w:val="000000"/>
              </w:rPr>
            </w:pPr>
            <w:r w:rsidRPr="007937A2">
              <w:rPr>
                <w:rFonts w:eastAsia="Times New Roman"/>
                <w:color w:val="000000"/>
              </w:rPr>
              <w:t>Trading to Assets Ratio</w:t>
            </w:r>
          </w:p>
        </w:tc>
        <w:tc>
          <w:tcPr>
            <w:tcW w:w="2162" w:type="dxa"/>
            <w:tcBorders>
              <w:top w:val="nil"/>
              <w:left w:val="nil"/>
              <w:bottom w:val="single" w:sz="4" w:space="0" w:color="auto"/>
              <w:right w:val="nil"/>
            </w:tcBorders>
            <w:shd w:val="clear" w:color="auto" w:fill="auto"/>
            <w:noWrap/>
            <w:vAlign w:val="bottom"/>
            <w:hideMark/>
          </w:tcPr>
          <w:p w14:paraId="5579ADD9"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-0.033</w:t>
            </w:r>
          </w:p>
        </w:tc>
        <w:tc>
          <w:tcPr>
            <w:tcW w:w="1271" w:type="dxa"/>
            <w:tcBorders>
              <w:top w:val="nil"/>
              <w:left w:val="nil"/>
              <w:bottom w:val="single" w:sz="4" w:space="0" w:color="auto"/>
              <w:right w:val="nil"/>
            </w:tcBorders>
            <w:shd w:val="clear" w:color="auto" w:fill="auto"/>
            <w:noWrap/>
            <w:vAlign w:val="bottom"/>
            <w:hideMark/>
          </w:tcPr>
          <w:p w14:paraId="380F521F"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0.010</w:t>
            </w:r>
          </w:p>
        </w:tc>
        <w:tc>
          <w:tcPr>
            <w:tcW w:w="1300" w:type="dxa"/>
            <w:tcBorders>
              <w:top w:val="nil"/>
              <w:left w:val="nil"/>
              <w:bottom w:val="single" w:sz="4" w:space="0" w:color="auto"/>
              <w:right w:val="nil"/>
            </w:tcBorders>
            <w:shd w:val="clear" w:color="auto" w:fill="auto"/>
            <w:noWrap/>
            <w:vAlign w:val="bottom"/>
            <w:hideMark/>
          </w:tcPr>
          <w:p w14:paraId="3ECE4581"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-3.34</w:t>
            </w:r>
          </w:p>
        </w:tc>
        <w:tc>
          <w:tcPr>
            <w:tcW w:w="1146" w:type="dxa"/>
            <w:tcBorders>
              <w:top w:val="nil"/>
              <w:left w:val="nil"/>
              <w:bottom w:val="single" w:sz="4" w:space="0" w:color="auto"/>
              <w:right w:val="nil"/>
            </w:tcBorders>
            <w:shd w:val="clear" w:color="auto" w:fill="auto"/>
            <w:noWrap/>
            <w:vAlign w:val="bottom"/>
            <w:hideMark/>
          </w:tcPr>
          <w:p w14:paraId="0A4D4254"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0.0019</w:t>
            </w:r>
          </w:p>
        </w:tc>
        <w:tc>
          <w:tcPr>
            <w:tcW w:w="753" w:type="dxa"/>
            <w:tcBorders>
              <w:top w:val="nil"/>
              <w:left w:val="nil"/>
              <w:bottom w:val="single" w:sz="4" w:space="0" w:color="auto"/>
              <w:right w:val="nil"/>
            </w:tcBorders>
            <w:shd w:val="clear" w:color="auto" w:fill="auto"/>
            <w:noWrap/>
            <w:vAlign w:val="bottom"/>
            <w:hideMark/>
          </w:tcPr>
          <w:p w14:paraId="50F64989" w14:textId="77777777" w:rsidR="00465C3D" w:rsidRPr="007937A2" w:rsidRDefault="00465C3D" w:rsidP="00112848">
            <w:pPr>
              <w:spacing w:after="0" w:line="240" w:lineRule="auto"/>
              <w:rPr>
                <w:rFonts w:eastAsia="Times New Roman"/>
                <w:color w:val="000000"/>
              </w:rPr>
            </w:pPr>
            <w:r w:rsidRPr="007937A2">
              <w:rPr>
                <w:rFonts w:eastAsia="Times New Roman"/>
                <w:color w:val="000000"/>
              </w:rPr>
              <w:t>***</w:t>
            </w:r>
          </w:p>
        </w:tc>
      </w:tr>
      <w:tr w:rsidR="00465C3D" w:rsidRPr="007937A2" w14:paraId="1272445C" w14:textId="77777777" w:rsidTr="00966B79">
        <w:trPr>
          <w:trHeight w:val="221"/>
        </w:trPr>
        <w:tc>
          <w:tcPr>
            <w:tcW w:w="2969" w:type="dxa"/>
            <w:tcBorders>
              <w:top w:val="single" w:sz="4" w:space="0" w:color="auto"/>
              <w:left w:val="nil"/>
              <w:bottom w:val="nil"/>
              <w:right w:val="nil"/>
            </w:tcBorders>
            <w:shd w:val="clear" w:color="auto" w:fill="DBE5F1"/>
            <w:vAlign w:val="bottom"/>
            <w:hideMark/>
          </w:tcPr>
          <w:p w14:paraId="483F1136" w14:textId="54BA6F94" w:rsidR="00465C3D" w:rsidRPr="007937A2" w:rsidRDefault="00465C3D" w:rsidP="007937A2">
            <w:pPr>
              <w:spacing w:after="0" w:line="240" w:lineRule="auto"/>
              <w:rPr>
                <w:rFonts w:eastAsia="Times New Roman"/>
                <w:b/>
                <w:bCs/>
                <w:color w:val="000000"/>
              </w:rPr>
            </w:pPr>
            <w:r w:rsidRPr="007937A2">
              <w:rPr>
                <w:rFonts w:eastAsia="Times New Roman"/>
                <w:b/>
                <w:bCs/>
                <w:color w:val="000000"/>
              </w:rPr>
              <w:t xml:space="preserve">Model </w:t>
            </w:r>
            <w:r w:rsidR="00CE441C">
              <w:rPr>
                <w:rFonts w:eastAsia="Times New Roman"/>
                <w:b/>
                <w:bCs/>
                <w:color w:val="000000"/>
              </w:rPr>
              <w:t>7</w:t>
            </w:r>
            <w:r w:rsidR="00974113">
              <w:rPr>
                <w:rFonts w:eastAsia="Times New Roman"/>
                <w:b/>
                <w:bCs/>
                <w:color w:val="000000"/>
              </w:rPr>
              <w:t xml:space="preserve">:  </w:t>
            </w:r>
            <w:r w:rsidRPr="007937A2">
              <w:rPr>
                <w:rFonts w:eastAsia="Times New Roman"/>
                <w:b/>
                <w:bCs/>
                <w:color w:val="000000"/>
              </w:rPr>
              <w:t xml:space="preserve">50 </w:t>
            </w:r>
            <w:proofErr w:type="spellStart"/>
            <w:r w:rsidRPr="007937A2">
              <w:rPr>
                <w:rFonts w:eastAsia="Times New Roman"/>
                <w:b/>
                <w:bCs/>
                <w:color w:val="000000"/>
              </w:rPr>
              <w:t>obs</w:t>
            </w:r>
            <w:proofErr w:type="spellEnd"/>
          </w:p>
        </w:tc>
        <w:tc>
          <w:tcPr>
            <w:tcW w:w="2162" w:type="dxa"/>
            <w:tcBorders>
              <w:top w:val="single" w:sz="4" w:space="0" w:color="auto"/>
              <w:left w:val="nil"/>
              <w:bottom w:val="nil"/>
              <w:right w:val="nil"/>
            </w:tcBorders>
            <w:shd w:val="clear" w:color="auto" w:fill="auto"/>
            <w:noWrap/>
            <w:vAlign w:val="bottom"/>
            <w:hideMark/>
          </w:tcPr>
          <w:p w14:paraId="36842E91" w14:textId="77777777" w:rsidR="00465C3D" w:rsidRPr="007937A2" w:rsidRDefault="00465C3D" w:rsidP="00112848">
            <w:pPr>
              <w:spacing w:after="0" w:line="240" w:lineRule="auto"/>
              <w:jc w:val="center"/>
              <w:rPr>
                <w:rFonts w:eastAsia="Times New Roman"/>
                <w:color w:val="000000"/>
              </w:rPr>
            </w:pPr>
          </w:p>
        </w:tc>
        <w:tc>
          <w:tcPr>
            <w:tcW w:w="1271" w:type="dxa"/>
            <w:tcBorders>
              <w:top w:val="single" w:sz="4" w:space="0" w:color="auto"/>
              <w:left w:val="nil"/>
              <w:bottom w:val="nil"/>
              <w:right w:val="nil"/>
            </w:tcBorders>
            <w:shd w:val="clear" w:color="auto" w:fill="auto"/>
            <w:noWrap/>
            <w:vAlign w:val="bottom"/>
            <w:hideMark/>
          </w:tcPr>
          <w:p w14:paraId="07FB4460" w14:textId="77777777" w:rsidR="00465C3D" w:rsidRPr="007937A2" w:rsidRDefault="00465C3D" w:rsidP="00112848">
            <w:pPr>
              <w:spacing w:after="0" w:line="240" w:lineRule="auto"/>
              <w:jc w:val="center"/>
              <w:rPr>
                <w:rFonts w:eastAsia="Times New Roman"/>
                <w:color w:val="000000"/>
              </w:rPr>
            </w:pPr>
          </w:p>
        </w:tc>
        <w:tc>
          <w:tcPr>
            <w:tcW w:w="1300" w:type="dxa"/>
            <w:tcBorders>
              <w:top w:val="single" w:sz="4" w:space="0" w:color="auto"/>
              <w:left w:val="nil"/>
              <w:bottom w:val="nil"/>
              <w:right w:val="nil"/>
            </w:tcBorders>
            <w:shd w:val="clear" w:color="auto" w:fill="auto"/>
            <w:noWrap/>
            <w:vAlign w:val="bottom"/>
            <w:hideMark/>
          </w:tcPr>
          <w:p w14:paraId="4D7AC63B" w14:textId="77777777" w:rsidR="00465C3D" w:rsidRPr="007937A2" w:rsidRDefault="00465C3D" w:rsidP="00112848">
            <w:pPr>
              <w:spacing w:after="0" w:line="240" w:lineRule="auto"/>
              <w:jc w:val="center"/>
              <w:rPr>
                <w:rFonts w:eastAsia="Times New Roman"/>
                <w:color w:val="000000"/>
              </w:rPr>
            </w:pPr>
          </w:p>
        </w:tc>
        <w:tc>
          <w:tcPr>
            <w:tcW w:w="1146" w:type="dxa"/>
            <w:tcBorders>
              <w:top w:val="single" w:sz="4" w:space="0" w:color="auto"/>
              <w:left w:val="nil"/>
              <w:bottom w:val="nil"/>
              <w:right w:val="nil"/>
            </w:tcBorders>
            <w:shd w:val="clear" w:color="auto" w:fill="auto"/>
            <w:noWrap/>
            <w:vAlign w:val="bottom"/>
            <w:hideMark/>
          </w:tcPr>
          <w:p w14:paraId="7A13977A" w14:textId="77777777" w:rsidR="00465C3D" w:rsidRPr="007937A2" w:rsidRDefault="00465C3D" w:rsidP="00112848">
            <w:pPr>
              <w:spacing w:after="0" w:line="240" w:lineRule="auto"/>
              <w:jc w:val="center"/>
              <w:rPr>
                <w:rFonts w:eastAsia="Times New Roman"/>
                <w:color w:val="000000"/>
              </w:rPr>
            </w:pPr>
          </w:p>
        </w:tc>
        <w:tc>
          <w:tcPr>
            <w:tcW w:w="753" w:type="dxa"/>
            <w:tcBorders>
              <w:top w:val="single" w:sz="4" w:space="0" w:color="auto"/>
              <w:left w:val="nil"/>
              <w:bottom w:val="nil"/>
              <w:right w:val="nil"/>
            </w:tcBorders>
            <w:shd w:val="clear" w:color="auto" w:fill="auto"/>
            <w:noWrap/>
            <w:vAlign w:val="bottom"/>
            <w:hideMark/>
          </w:tcPr>
          <w:p w14:paraId="5CA71F8D" w14:textId="77777777" w:rsidR="00465C3D" w:rsidRPr="007937A2" w:rsidRDefault="00465C3D" w:rsidP="00112848">
            <w:pPr>
              <w:spacing w:after="0" w:line="240" w:lineRule="auto"/>
              <w:rPr>
                <w:rFonts w:eastAsia="Times New Roman"/>
                <w:color w:val="000000"/>
              </w:rPr>
            </w:pPr>
          </w:p>
        </w:tc>
      </w:tr>
      <w:tr w:rsidR="00465C3D" w:rsidRPr="007937A2" w14:paraId="45E15C26" w14:textId="77777777" w:rsidTr="00966B79">
        <w:trPr>
          <w:trHeight w:val="221"/>
        </w:trPr>
        <w:tc>
          <w:tcPr>
            <w:tcW w:w="2969" w:type="dxa"/>
            <w:tcBorders>
              <w:top w:val="nil"/>
              <w:left w:val="nil"/>
              <w:right w:val="nil"/>
            </w:tcBorders>
            <w:shd w:val="clear" w:color="auto" w:fill="DBE5F1"/>
            <w:vAlign w:val="bottom"/>
            <w:hideMark/>
          </w:tcPr>
          <w:p w14:paraId="44B5329F" w14:textId="77777777" w:rsidR="00465C3D" w:rsidRPr="007937A2" w:rsidRDefault="00465C3D" w:rsidP="00112848">
            <w:pPr>
              <w:spacing w:after="0" w:line="240" w:lineRule="auto"/>
              <w:rPr>
                <w:rFonts w:eastAsia="Times New Roman"/>
                <w:color w:val="000000"/>
              </w:rPr>
            </w:pPr>
            <w:r w:rsidRPr="007937A2">
              <w:rPr>
                <w:rFonts w:eastAsia="Times New Roman"/>
                <w:color w:val="000000"/>
              </w:rPr>
              <w:t>Const</w:t>
            </w:r>
          </w:p>
        </w:tc>
        <w:tc>
          <w:tcPr>
            <w:tcW w:w="2162" w:type="dxa"/>
            <w:tcBorders>
              <w:top w:val="nil"/>
              <w:left w:val="nil"/>
              <w:right w:val="nil"/>
            </w:tcBorders>
            <w:shd w:val="clear" w:color="auto" w:fill="auto"/>
            <w:noWrap/>
            <w:vAlign w:val="bottom"/>
            <w:hideMark/>
          </w:tcPr>
          <w:p w14:paraId="7663D640"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0.158</w:t>
            </w:r>
          </w:p>
        </w:tc>
        <w:tc>
          <w:tcPr>
            <w:tcW w:w="1271" w:type="dxa"/>
            <w:tcBorders>
              <w:top w:val="nil"/>
              <w:left w:val="nil"/>
              <w:right w:val="nil"/>
            </w:tcBorders>
            <w:shd w:val="clear" w:color="auto" w:fill="auto"/>
            <w:noWrap/>
            <w:vAlign w:val="bottom"/>
            <w:hideMark/>
          </w:tcPr>
          <w:p w14:paraId="6F1F42F1"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0.004</w:t>
            </w:r>
          </w:p>
        </w:tc>
        <w:tc>
          <w:tcPr>
            <w:tcW w:w="1300" w:type="dxa"/>
            <w:tcBorders>
              <w:top w:val="nil"/>
              <w:left w:val="nil"/>
              <w:right w:val="nil"/>
            </w:tcBorders>
            <w:shd w:val="clear" w:color="auto" w:fill="auto"/>
            <w:noWrap/>
            <w:vAlign w:val="bottom"/>
            <w:hideMark/>
          </w:tcPr>
          <w:p w14:paraId="1D5814C2"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38.99</w:t>
            </w:r>
          </w:p>
        </w:tc>
        <w:tc>
          <w:tcPr>
            <w:tcW w:w="1146" w:type="dxa"/>
            <w:tcBorders>
              <w:top w:val="nil"/>
              <w:left w:val="nil"/>
              <w:right w:val="nil"/>
            </w:tcBorders>
            <w:shd w:val="clear" w:color="auto" w:fill="auto"/>
            <w:noWrap/>
            <w:vAlign w:val="bottom"/>
            <w:hideMark/>
          </w:tcPr>
          <w:p w14:paraId="57211E08"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0.0000</w:t>
            </w:r>
          </w:p>
        </w:tc>
        <w:tc>
          <w:tcPr>
            <w:tcW w:w="753" w:type="dxa"/>
            <w:tcBorders>
              <w:top w:val="nil"/>
              <w:left w:val="nil"/>
              <w:right w:val="nil"/>
            </w:tcBorders>
            <w:shd w:val="clear" w:color="auto" w:fill="auto"/>
            <w:noWrap/>
            <w:vAlign w:val="bottom"/>
            <w:hideMark/>
          </w:tcPr>
          <w:p w14:paraId="2C8A04A8" w14:textId="77777777" w:rsidR="00465C3D" w:rsidRPr="007937A2" w:rsidRDefault="00465C3D" w:rsidP="00112848">
            <w:pPr>
              <w:spacing w:after="0" w:line="240" w:lineRule="auto"/>
              <w:rPr>
                <w:rFonts w:eastAsia="Times New Roman"/>
                <w:color w:val="000000"/>
              </w:rPr>
            </w:pPr>
            <w:r w:rsidRPr="007937A2">
              <w:rPr>
                <w:rFonts w:eastAsia="Times New Roman"/>
                <w:color w:val="000000"/>
              </w:rPr>
              <w:t>***</w:t>
            </w:r>
          </w:p>
        </w:tc>
      </w:tr>
      <w:tr w:rsidR="00465C3D" w:rsidRPr="007937A2" w14:paraId="2062D778" w14:textId="77777777" w:rsidTr="00966B79">
        <w:trPr>
          <w:trHeight w:val="221"/>
        </w:trPr>
        <w:tc>
          <w:tcPr>
            <w:tcW w:w="2969" w:type="dxa"/>
            <w:tcBorders>
              <w:top w:val="nil"/>
              <w:left w:val="nil"/>
              <w:bottom w:val="single" w:sz="4" w:space="0" w:color="auto"/>
              <w:right w:val="nil"/>
            </w:tcBorders>
            <w:shd w:val="clear" w:color="auto" w:fill="DBE5F1"/>
            <w:vAlign w:val="bottom"/>
            <w:hideMark/>
          </w:tcPr>
          <w:p w14:paraId="719903B4" w14:textId="77777777" w:rsidR="00465C3D" w:rsidRPr="007937A2" w:rsidRDefault="00465C3D" w:rsidP="00112848">
            <w:pPr>
              <w:spacing w:after="0" w:line="240" w:lineRule="auto"/>
              <w:rPr>
                <w:rFonts w:eastAsia="Times New Roman"/>
                <w:color w:val="000000"/>
              </w:rPr>
            </w:pPr>
            <w:r w:rsidRPr="007937A2">
              <w:rPr>
                <w:rFonts w:eastAsia="Times New Roman"/>
                <w:color w:val="000000"/>
              </w:rPr>
              <w:t>Derivatives to Assets Ratio</w:t>
            </w:r>
          </w:p>
        </w:tc>
        <w:tc>
          <w:tcPr>
            <w:tcW w:w="2162" w:type="dxa"/>
            <w:tcBorders>
              <w:top w:val="nil"/>
              <w:left w:val="nil"/>
              <w:bottom w:val="single" w:sz="4" w:space="0" w:color="auto"/>
              <w:right w:val="nil"/>
            </w:tcBorders>
            <w:shd w:val="clear" w:color="auto" w:fill="auto"/>
            <w:noWrap/>
            <w:vAlign w:val="bottom"/>
            <w:hideMark/>
          </w:tcPr>
          <w:p w14:paraId="163011CB"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-0.017</w:t>
            </w:r>
          </w:p>
        </w:tc>
        <w:tc>
          <w:tcPr>
            <w:tcW w:w="1271" w:type="dxa"/>
            <w:tcBorders>
              <w:top w:val="nil"/>
              <w:left w:val="nil"/>
              <w:bottom w:val="single" w:sz="4" w:space="0" w:color="auto"/>
              <w:right w:val="nil"/>
            </w:tcBorders>
            <w:shd w:val="clear" w:color="auto" w:fill="auto"/>
            <w:noWrap/>
            <w:vAlign w:val="bottom"/>
            <w:hideMark/>
          </w:tcPr>
          <w:p w14:paraId="4D2766E5"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0.005</w:t>
            </w:r>
          </w:p>
        </w:tc>
        <w:tc>
          <w:tcPr>
            <w:tcW w:w="1300" w:type="dxa"/>
            <w:tcBorders>
              <w:top w:val="nil"/>
              <w:left w:val="nil"/>
              <w:bottom w:val="single" w:sz="4" w:space="0" w:color="auto"/>
              <w:right w:val="nil"/>
            </w:tcBorders>
            <w:shd w:val="clear" w:color="auto" w:fill="auto"/>
            <w:noWrap/>
            <w:vAlign w:val="bottom"/>
            <w:hideMark/>
          </w:tcPr>
          <w:p w14:paraId="7BA34A56"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-3.623</w:t>
            </w:r>
          </w:p>
        </w:tc>
        <w:tc>
          <w:tcPr>
            <w:tcW w:w="1146" w:type="dxa"/>
            <w:tcBorders>
              <w:top w:val="nil"/>
              <w:left w:val="nil"/>
              <w:bottom w:val="single" w:sz="4" w:space="0" w:color="auto"/>
              <w:right w:val="nil"/>
            </w:tcBorders>
            <w:shd w:val="clear" w:color="auto" w:fill="auto"/>
            <w:noWrap/>
            <w:vAlign w:val="bottom"/>
            <w:hideMark/>
          </w:tcPr>
          <w:p w14:paraId="4267BBB4"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0.0007</w:t>
            </w:r>
          </w:p>
        </w:tc>
        <w:tc>
          <w:tcPr>
            <w:tcW w:w="753" w:type="dxa"/>
            <w:tcBorders>
              <w:top w:val="nil"/>
              <w:left w:val="nil"/>
              <w:bottom w:val="single" w:sz="4" w:space="0" w:color="auto"/>
              <w:right w:val="nil"/>
            </w:tcBorders>
            <w:shd w:val="clear" w:color="auto" w:fill="auto"/>
            <w:noWrap/>
            <w:vAlign w:val="bottom"/>
            <w:hideMark/>
          </w:tcPr>
          <w:p w14:paraId="2098C8FA" w14:textId="77777777" w:rsidR="00465C3D" w:rsidRPr="007937A2" w:rsidRDefault="00465C3D" w:rsidP="00112848">
            <w:pPr>
              <w:spacing w:after="0" w:line="240" w:lineRule="auto"/>
              <w:rPr>
                <w:rFonts w:eastAsia="Times New Roman"/>
                <w:color w:val="000000"/>
              </w:rPr>
            </w:pPr>
            <w:r w:rsidRPr="007937A2">
              <w:rPr>
                <w:rFonts w:eastAsia="Times New Roman"/>
                <w:color w:val="000000"/>
              </w:rPr>
              <w:t>***</w:t>
            </w:r>
          </w:p>
        </w:tc>
      </w:tr>
      <w:tr w:rsidR="00465C3D" w:rsidRPr="007937A2" w14:paraId="0E2A7D56" w14:textId="77777777" w:rsidTr="00966B79">
        <w:trPr>
          <w:trHeight w:val="221"/>
        </w:trPr>
        <w:tc>
          <w:tcPr>
            <w:tcW w:w="2969" w:type="dxa"/>
            <w:tcBorders>
              <w:top w:val="single" w:sz="4" w:space="0" w:color="auto"/>
              <w:left w:val="nil"/>
              <w:bottom w:val="nil"/>
              <w:right w:val="nil"/>
            </w:tcBorders>
            <w:shd w:val="clear" w:color="auto" w:fill="DBE5F1"/>
            <w:vAlign w:val="bottom"/>
            <w:hideMark/>
          </w:tcPr>
          <w:p w14:paraId="0AF0D65C" w14:textId="26135448" w:rsidR="00465C3D" w:rsidRPr="007937A2" w:rsidRDefault="00465C3D" w:rsidP="007937A2">
            <w:pPr>
              <w:spacing w:after="0" w:line="240" w:lineRule="auto"/>
              <w:rPr>
                <w:rFonts w:eastAsia="Times New Roman"/>
                <w:b/>
                <w:bCs/>
                <w:color w:val="000000"/>
              </w:rPr>
            </w:pPr>
            <w:r w:rsidRPr="007937A2">
              <w:rPr>
                <w:rFonts w:eastAsia="Times New Roman"/>
                <w:b/>
                <w:bCs/>
                <w:color w:val="000000"/>
              </w:rPr>
              <w:t xml:space="preserve">Model </w:t>
            </w:r>
            <w:r w:rsidR="00CE441C">
              <w:rPr>
                <w:rFonts w:eastAsia="Times New Roman"/>
                <w:b/>
                <w:bCs/>
                <w:color w:val="000000"/>
              </w:rPr>
              <w:t>8</w:t>
            </w:r>
            <w:r w:rsidR="00974113">
              <w:rPr>
                <w:rFonts w:eastAsia="Times New Roman"/>
                <w:b/>
                <w:bCs/>
                <w:color w:val="000000"/>
              </w:rPr>
              <w:t xml:space="preserve">:  </w:t>
            </w:r>
            <w:r w:rsidRPr="007937A2">
              <w:rPr>
                <w:rFonts w:eastAsia="Times New Roman"/>
                <w:b/>
                <w:bCs/>
                <w:color w:val="000000"/>
              </w:rPr>
              <w:t xml:space="preserve">18 </w:t>
            </w:r>
            <w:proofErr w:type="spellStart"/>
            <w:r w:rsidRPr="007937A2">
              <w:rPr>
                <w:rFonts w:eastAsia="Times New Roman"/>
                <w:b/>
                <w:bCs/>
                <w:color w:val="000000"/>
              </w:rPr>
              <w:t>obs</w:t>
            </w:r>
            <w:proofErr w:type="spellEnd"/>
          </w:p>
        </w:tc>
        <w:tc>
          <w:tcPr>
            <w:tcW w:w="2162" w:type="dxa"/>
            <w:tcBorders>
              <w:top w:val="single" w:sz="4" w:space="0" w:color="auto"/>
              <w:left w:val="nil"/>
              <w:bottom w:val="nil"/>
              <w:right w:val="nil"/>
            </w:tcBorders>
            <w:shd w:val="clear" w:color="auto" w:fill="auto"/>
            <w:noWrap/>
            <w:vAlign w:val="bottom"/>
            <w:hideMark/>
          </w:tcPr>
          <w:p w14:paraId="545C5100" w14:textId="77777777" w:rsidR="00465C3D" w:rsidRPr="007937A2" w:rsidRDefault="00465C3D" w:rsidP="00112848">
            <w:pPr>
              <w:spacing w:after="0" w:line="240" w:lineRule="auto"/>
              <w:jc w:val="center"/>
              <w:rPr>
                <w:rFonts w:eastAsia="Times New Roman"/>
                <w:color w:val="000000"/>
              </w:rPr>
            </w:pPr>
          </w:p>
        </w:tc>
        <w:tc>
          <w:tcPr>
            <w:tcW w:w="1271" w:type="dxa"/>
            <w:tcBorders>
              <w:top w:val="single" w:sz="4" w:space="0" w:color="auto"/>
              <w:left w:val="nil"/>
              <w:bottom w:val="nil"/>
              <w:right w:val="nil"/>
            </w:tcBorders>
            <w:shd w:val="clear" w:color="auto" w:fill="auto"/>
            <w:noWrap/>
            <w:vAlign w:val="bottom"/>
            <w:hideMark/>
          </w:tcPr>
          <w:p w14:paraId="749C5513" w14:textId="77777777" w:rsidR="00465C3D" w:rsidRPr="007937A2" w:rsidRDefault="00465C3D" w:rsidP="00112848">
            <w:pPr>
              <w:spacing w:after="0" w:line="240" w:lineRule="auto"/>
              <w:jc w:val="center"/>
              <w:rPr>
                <w:rFonts w:eastAsia="Times New Roman"/>
                <w:color w:val="000000"/>
              </w:rPr>
            </w:pPr>
          </w:p>
        </w:tc>
        <w:tc>
          <w:tcPr>
            <w:tcW w:w="1300" w:type="dxa"/>
            <w:tcBorders>
              <w:top w:val="single" w:sz="4" w:space="0" w:color="auto"/>
              <w:left w:val="nil"/>
              <w:bottom w:val="nil"/>
              <w:right w:val="nil"/>
            </w:tcBorders>
            <w:shd w:val="clear" w:color="auto" w:fill="auto"/>
            <w:noWrap/>
            <w:vAlign w:val="bottom"/>
            <w:hideMark/>
          </w:tcPr>
          <w:p w14:paraId="2C789F35" w14:textId="77777777" w:rsidR="00465C3D" w:rsidRPr="007937A2" w:rsidRDefault="00465C3D" w:rsidP="00112848">
            <w:pPr>
              <w:spacing w:after="0" w:line="240" w:lineRule="auto"/>
              <w:jc w:val="center"/>
              <w:rPr>
                <w:rFonts w:eastAsia="Times New Roman"/>
                <w:color w:val="000000"/>
              </w:rPr>
            </w:pPr>
          </w:p>
        </w:tc>
        <w:tc>
          <w:tcPr>
            <w:tcW w:w="1146" w:type="dxa"/>
            <w:tcBorders>
              <w:top w:val="single" w:sz="4" w:space="0" w:color="auto"/>
              <w:left w:val="nil"/>
              <w:bottom w:val="nil"/>
              <w:right w:val="nil"/>
            </w:tcBorders>
            <w:shd w:val="clear" w:color="auto" w:fill="auto"/>
            <w:noWrap/>
            <w:vAlign w:val="bottom"/>
            <w:hideMark/>
          </w:tcPr>
          <w:p w14:paraId="2A807DE9" w14:textId="77777777" w:rsidR="00465C3D" w:rsidRPr="007937A2" w:rsidRDefault="00465C3D" w:rsidP="00112848">
            <w:pPr>
              <w:spacing w:after="0" w:line="240" w:lineRule="auto"/>
              <w:jc w:val="center"/>
              <w:rPr>
                <w:rFonts w:eastAsia="Times New Roman"/>
                <w:color w:val="000000"/>
              </w:rPr>
            </w:pPr>
          </w:p>
        </w:tc>
        <w:tc>
          <w:tcPr>
            <w:tcW w:w="753" w:type="dxa"/>
            <w:tcBorders>
              <w:top w:val="single" w:sz="4" w:space="0" w:color="auto"/>
              <w:left w:val="nil"/>
              <w:bottom w:val="nil"/>
              <w:right w:val="nil"/>
            </w:tcBorders>
            <w:shd w:val="clear" w:color="auto" w:fill="auto"/>
            <w:noWrap/>
            <w:vAlign w:val="bottom"/>
            <w:hideMark/>
          </w:tcPr>
          <w:p w14:paraId="1E6B1C54" w14:textId="77777777" w:rsidR="00465C3D" w:rsidRPr="007937A2" w:rsidRDefault="00465C3D" w:rsidP="00112848">
            <w:pPr>
              <w:spacing w:after="0" w:line="240" w:lineRule="auto"/>
              <w:rPr>
                <w:rFonts w:eastAsia="Times New Roman"/>
                <w:color w:val="000000"/>
              </w:rPr>
            </w:pPr>
          </w:p>
        </w:tc>
      </w:tr>
      <w:tr w:rsidR="00465C3D" w:rsidRPr="007937A2" w14:paraId="06D56FB6" w14:textId="77777777" w:rsidTr="00966B79">
        <w:trPr>
          <w:trHeight w:val="221"/>
        </w:trPr>
        <w:tc>
          <w:tcPr>
            <w:tcW w:w="2969" w:type="dxa"/>
            <w:tcBorders>
              <w:top w:val="nil"/>
              <w:left w:val="nil"/>
              <w:right w:val="nil"/>
            </w:tcBorders>
            <w:shd w:val="clear" w:color="auto" w:fill="DBE5F1"/>
            <w:vAlign w:val="bottom"/>
            <w:hideMark/>
          </w:tcPr>
          <w:p w14:paraId="0F171646" w14:textId="77777777" w:rsidR="00465C3D" w:rsidRPr="007937A2" w:rsidRDefault="00465C3D" w:rsidP="00112848">
            <w:pPr>
              <w:spacing w:after="0" w:line="240" w:lineRule="auto"/>
              <w:rPr>
                <w:rFonts w:eastAsia="Times New Roman"/>
                <w:color w:val="000000"/>
              </w:rPr>
            </w:pPr>
            <w:r w:rsidRPr="007937A2">
              <w:rPr>
                <w:rFonts w:eastAsia="Times New Roman"/>
                <w:color w:val="000000"/>
              </w:rPr>
              <w:t>Const</w:t>
            </w:r>
          </w:p>
        </w:tc>
        <w:tc>
          <w:tcPr>
            <w:tcW w:w="2162" w:type="dxa"/>
            <w:tcBorders>
              <w:top w:val="nil"/>
              <w:left w:val="nil"/>
              <w:right w:val="nil"/>
            </w:tcBorders>
            <w:shd w:val="clear" w:color="auto" w:fill="auto"/>
            <w:noWrap/>
            <w:hideMark/>
          </w:tcPr>
          <w:p w14:paraId="03BE4098" w14:textId="77777777" w:rsidR="00465C3D" w:rsidRPr="007937A2" w:rsidRDefault="00465C3D" w:rsidP="007937A2">
            <w:pPr>
              <w:spacing w:after="0" w:line="240" w:lineRule="auto"/>
              <w:jc w:val="center"/>
              <w:rPr>
                <w:rFonts w:eastAsia="Times New Roman"/>
                <w:color w:val="000000"/>
              </w:rPr>
            </w:pPr>
            <w:r w:rsidRPr="007937A2">
              <w:t>0.1416</w:t>
            </w:r>
          </w:p>
        </w:tc>
        <w:tc>
          <w:tcPr>
            <w:tcW w:w="1271" w:type="dxa"/>
            <w:tcBorders>
              <w:top w:val="nil"/>
              <w:left w:val="nil"/>
              <w:right w:val="nil"/>
            </w:tcBorders>
            <w:shd w:val="clear" w:color="auto" w:fill="auto"/>
            <w:noWrap/>
            <w:hideMark/>
          </w:tcPr>
          <w:p w14:paraId="34C0AD6F" w14:textId="77777777" w:rsidR="00465C3D" w:rsidRPr="007937A2" w:rsidRDefault="00465C3D" w:rsidP="007937A2">
            <w:pPr>
              <w:spacing w:after="0" w:line="240" w:lineRule="auto"/>
              <w:jc w:val="center"/>
              <w:rPr>
                <w:rFonts w:eastAsia="Times New Roman"/>
                <w:color w:val="000000"/>
              </w:rPr>
            </w:pPr>
            <w:r w:rsidRPr="007937A2">
              <w:t>0.0072</w:t>
            </w:r>
          </w:p>
        </w:tc>
        <w:tc>
          <w:tcPr>
            <w:tcW w:w="1300" w:type="dxa"/>
            <w:tcBorders>
              <w:top w:val="nil"/>
              <w:left w:val="nil"/>
              <w:right w:val="nil"/>
            </w:tcBorders>
            <w:shd w:val="clear" w:color="auto" w:fill="auto"/>
            <w:noWrap/>
            <w:hideMark/>
          </w:tcPr>
          <w:p w14:paraId="5ECA473A" w14:textId="77777777" w:rsidR="00465C3D" w:rsidRPr="007937A2" w:rsidRDefault="00465C3D" w:rsidP="00112848">
            <w:pPr>
              <w:spacing w:after="0" w:line="240" w:lineRule="auto"/>
              <w:jc w:val="center"/>
              <w:rPr>
                <w:rFonts w:eastAsia="Times New Roman"/>
                <w:color w:val="000000"/>
              </w:rPr>
            </w:pPr>
            <w:r w:rsidRPr="007937A2">
              <w:t>19.68</w:t>
            </w:r>
          </w:p>
        </w:tc>
        <w:tc>
          <w:tcPr>
            <w:tcW w:w="1146" w:type="dxa"/>
            <w:tcBorders>
              <w:top w:val="nil"/>
              <w:left w:val="nil"/>
              <w:right w:val="nil"/>
            </w:tcBorders>
            <w:shd w:val="clear" w:color="auto" w:fill="auto"/>
            <w:noWrap/>
            <w:hideMark/>
          </w:tcPr>
          <w:p w14:paraId="111B55FD" w14:textId="77777777" w:rsidR="00465C3D" w:rsidRPr="007937A2" w:rsidRDefault="00465C3D" w:rsidP="007937A2">
            <w:pPr>
              <w:spacing w:after="0" w:line="240" w:lineRule="auto"/>
              <w:jc w:val="center"/>
              <w:rPr>
                <w:rFonts w:eastAsia="Times New Roman"/>
                <w:color w:val="000000"/>
              </w:rPr>
            </w:pPr>
            <w:r w:rsidRPr="007937A2">
              <w:t>0.0000</w:t>
            </w:r>
          </w:p>
        </w:tc>
        <w:tc>
          <w:tcPr>
            <w:tcW w:w="753" w:type="dxa"/>
            <w:tcBorders>
              <w:top w:val="nil"/>
              <w:left w:val="nil"/>
              <w:right w:val="nil"/>
            </w:tcBorders>
            <w:shd w:val="clear" w:color="auto" w:fill="auto"/>
            <w:noWrap/>
            <w:vAlign w:val="bottom"/>
            <w:hideMark/>
          </w:tcPr>
          <w:p w14:paraId="60BE7D2F" w14:textId="77777777" w:rsidR="00465C3D" w:rsidRPr="007937A2" w:rsidRDefault="00465C3D" w:rsidP="00112848">
            <w:pPr>
              <w:spacing w:after="0" w:line="240" w:lineRule="auto"/>
              <w:rPr>
                <w:rFonts w:eastAsia="Times New Roman"/>
                <w:color w:val="000000"/>
              </w:rPr>
            </w:pPr>
            <w:r w:rsidRPr="007937A2">
              <w:rPr>
                <w:rFonts w:eastAsia="Times New Roman"/>
                <w:color w:val="000000"/>
              </w:rPr>
              <w:t>***</w:t>
            </w:r>
          </w:p>
        </w:tc>
      </w:tr>
      <w:tr w:rsidR="00465C3D" w:rsidRPr="007937A2" w14:paraId="68186BEB" w14:textId="77777777" w:rsidTr="00966B79">
        <w:trPr>
          <w:trHeight w:val="221"/>
        </w:trPr>
        <w:tc>
          <w:tcPr>
            <w:tcW w:w="2969" w:type="dxa"/>
            <w:tcBorders>
              <w:top w:val="nil"/>
              <w:left w:val="nil"/>
              <w:bottom w:val="single" w:sz="4" w:space="0" w:color="auto"/>
              <w:right w:val="nil"/>
            </w:tcBorders>
            <w:shd w:val="clear" w:color="auto" w:fill="DBE5F1"/>
            <w:vAlign w:val="bottom"/>
            <w:hideMark/>
          </w:tcPr>
          <w:p w14:paraId="452B415B" w14:textId="77777777" w:rsidR="00465C3D" w:rsidRPr="007937A2" w:rsidRDefault="00465C3D" w:rsidP="00112848">
            <w:pPr>
              <w:spacing w:after="0" w:line="240" w:lineRule="auto"/>
              <w:rPr>
                <w:rFonts w:eastAsia="Times New Roman"/>
                <w:color w:val="000000"/>
              </w:rPr>
            </w:pPr>
            <w:r w:rsidRPr="007937A2">
              <w:rPr>
                <w:rFonts w:eastAsia="Times New Roman"/>
                <w:color w:val="000000"/>
              </w:rPr>
              <w:t>VaR to Assets</w:t>
            </w:r>
          </w:p>
        </w:tc>
        <w:tc>
          <w:tcPr>
            <w:tcW w:w="2162" w:type="dxa"/>
            <w:tcBorders>
              <w:top w:val="nil"/>
              <w:left w:val="nil"/>
              <w:bottom w:val="single" w:sz="4" w:space="0" w:color="auto"/>
              <w:right w:val="nil"/>
            </w:tcBorders>
            <w:shd w:val="clear" w:color="auto" w:fill="auto"/>
            <w:noWrap/>
            <w:hideMark/>
          </w:tcPr>
          <w:p w14:paraId="2777084B" w14:textId="77777777" w:rsidR="00465C3D" w:rsidRPr="007937A2" w:rsidRDefault="00465C3D" w:rsidP="007937A2">
            <w:pPr>
              <w:spacing w:after="0" w:line="240" w:lineRule="auto"/>
              <w:jc w:val="center"/>
              <w:rPr>
                <w:rFonts w:eastAsia="Times New Roman"/>
                <w:color w:val="000000"/>
              </w:rPr>
            </w:pPr>
            <w:r w:rsidRPr="007937A2">
              <w:t>-0.9881</w:t>
            </w:r>
          </w:p>
        </w:tc>
        <w:tc>
          <w:tcPr>
            <w:tcW w:w="1271" w:type="dxa"/>
            <w:tcBorders>
              <w:top w:val="nil"/>
              <w:left w:val="nil"/>
              <w:bottom w:val="single" w:sz="4" w:space="0" w:color="auto"/>
              <w:right w:val="nil"/>
            </w:tcBorders>
            <w:shd w:val="clear" w:color="auto" w:fill="auto"/>
            <w:noWrap/>
            <w:hideMark/>
          </w:tcPr>
          <w:p w14:paraId="1C85DC9F" w14:textId="77777777" w:rsidR="00465C3D" w:rsidRPr="007937A2" w:rsidRDefault="00465C3D" w:rsidP="007937A2">
            <w:pPr>
              <w:spacing w:after="0" w:line="240" w:lineRule="auto"/>
              <w:jc w:val="center"/>
              <w:rPr>
                <w:rFonts w:eastAsia="Times New Roman"/>
                <w:color w:val="000000"/>
              </w:rPr>
            </w:pPr>
            <w:r w:rsidRPr="007937A2">
              <w:t>14.89</w:t>
            </w:r>
          </w:p>
        </w:tc>
        <w:tc>
          <w:tcPr>
            <w:tcW w:w="1300" w:type="dxa"/>
            <w:tcBorders>
              <w:top w:val="nil"/>
              <w:left w:val="nil"/>
              <w:bottom w:val="single" w:sz="4" w:space="0" w:color="auto"/>
              <w:right w:val="nil"/>
            </w:tcBorders>
            <w:shd w:val="clear" w:color="auto" w:fill="auto"/>
            <w:noWrap/>
            <w:hideMark/>
          </w:tcPr>
          <w:p w14:paraId="566D7C27" w14:textId="77777777" w:rsidR="00465C3D" w:rsidRPr="007937A2" w:rsidRDefault="00465C3D" w:rsidP="007937A2">
            <w:pPr>
              <w:spacing w:after="0" w:line="240" w:lineRule="auto"/>
              <w:jc w:val="center"/>
              <w:rPr>
                <w:rFonts w:eastAsia="Times New Roman"/>
                <w:color w:val="000000"/>
              </w:rPr>
            </w:pPr>
            <w:r w:rsidRPr="007937A2">
              <w:t>-0.0664</w:t>
            </w:r>
          </w:p>
        </w:tc>
        <w:tc>
          <w:tcPr>
            <w:tcW w:w="1146" w:type="dxa"/>
            <w:tcBorders>
              <w:top w:val="nil"/>
              <w:left w:val="nil"/>
              <w:bottom w:val="single" w:sz="4" w:space="0" w:color="auto"/>
              <w:right w:val="nil"/>
            </w:tcBorders>
            <w:shd w:val="clear" w:color="auto" w:fill="auto"/>
            <w:noWrap/>
            <w:hideMark/>
          </w:tcPr>
          <w:p w14:paraId="4140CD71" w14:textId="77777777" w:rsidR="00465C3D" w:rsidRPr="007937A2" w:rsidRDefault="00465C3D" w:rsidP="00112848">
            <w:pPr>
              <w:spacing w:after="0" w:line="240" w:lineRule="auto"/>
              <w:jc w:val="center"/>
              <w:rPr>
                <w:rFonts w:eastAsia="Times New Roman"/>
                <w:color w:val="000000"/>
              </w:rPr>
            </w:pPr>
            <w:r w:rsidRPr="007937A2">
              <w:t>0.9481</w:t>
            </w:r>
          </w:p>
        </w:tc>
        <w:tc>
          <w:tcPr>
            <w:tcW w:w="753" w:type="dxa"/>
            <w:tcBorders>
              <w:top w:val="nil"/>
              <w:left w:val="nil"/>
              <w:bottom w:val="single" w:sz="4" w:space="0" w:color="auto"/>
              <w:right w:val="nil"/>
            </w:tcBorders>
            <w:shd w:val="clear" w:color="auto" w:fill="auto"/>
            <w:noWrap/>
            <w:vAlign w:val="bottom"/>
            <w:hideMark/>
          </w:tcPr>
          <w:p w14:paraId="6E1649C1" w14:textId="77777777" w:rsidR="00465C3D" w:rsidRPr="007937A2" w:rsidRDefault="00465C3D" w:rsidP="00112848">
            <w:pPr>
              <w:spacing w:after="0" w:line="240" w:lineRule="auto"/>
              <w:rPr>
                <w:rFonts w:eastAsia="Times New Roman"/>
                <w:color w:val="000000"/>
              </w:rPr>
            </w:pPr>
          </w:p>
        </w:tc>
      </w:tr>
      <w:tr w:rsidR="00465C3D" w:rsidRPr="007937A2" w14:paraId="6F15ACD1" w14:textId="77777777" w:rsidTr="00966B79">
        <w:trPr>
          <w:trHeight w:val="221"/>
        </w:trPr>
        <w:tc>
          <w:tcPr>
            <w:tcW w:w="2969" w:type="dxa"/>
            <w:tcBorders>
              <w:top w:val="single" w:sz="4" w:space="0" w:color="auto"/>
              <w:left w:val="nil"/>
              <w:bottom w:val="nil"/>
              <w:right w:val="nil"/>
            </w:tcBorders>
            <w:shd w:val="clear" w:color="auto" w:fill="DBE5F1"/>
            <w:vAlign w:val="bottom"/>
            <w:hideMark/>
          </w:tcPr>
          <w:p w14:paraId="0BF10B7D" w14:textId="4AC797D6" w:rsidR="00465C3D" w:rsidRPr="007937A2" w:rsidRDefault="00465C3D" w:rsidP="007937A2">
            <w:pPr>
              <w:spacing w:after="0" w:line="240" w:lineRule="auto"/>
              <w:rPr>
                <w:rFonts w:eastAsia="Times New Roman"/>
                <w:b/>
                <w:bCs/>
                <w:color w:val="000000"/>
              </w:rPr>
            </w:pPr>
            <w:r w:rsidRPr="007937A2">
              <w:rPr>
                <w:rFonts w:eastAsia="Times New Roman"/>
                <w:b/>
                <w:bCs/>
                <w:color w:val="000000"/>
              </w:rPr>
              <w:t xml:space="preserve">Model </w:t>
            </w:r>
            <w:r w:rsidR="00CE441C">
              <w:rPr>
                <w:rFonts w:eastAsia="Times New Roman"/>
                <w:b/>
                <w:bCs/>
                <w:color w:val="000000"/>
              </w:rPr>
              <w:t>9</w:t>
            </w:r>
            <w:r w:rsidR="00974113">
              <w:rPr>
                <w:rFonts w:eastAsia="Times New Roman"/>
                <w:b/>
                <w:bCs/>
                <w:color w:val="000000"/>
              </w:rPr>
              <w:t xml:space="preserve">:  </w:t>
            </w:r>
            <w:r w:rsidRPr="007937A2">
              <w:rPr>
                <w:rFonts w:eastAsia="Times New Roman"/>
                <w:b/>
                <w:bCs/>
                <w:color w:val="000000"/>
              </w:rPr>
              <w:t xml:space="preserve">48 </w:t>
            </w:r>
            <w:proofErr w:type="spellStart"/>
            <w:r w:rsidRPr="007937A2">
              <w:rPr>
                <w:rFonts w:eastAsia="Times New Roman"/>
                <w:b/>
                <w:bCs/>
                <w:color w:val="000000"/>
              </w:rPr>
              <w:t>obs</w:t>
            </w:r>
            <w:proofErr w:type="spellEnd"/>
          </w:p>
        </w:tc>
        <w:tc>
          <w:tcPr>
            <w:tcW w:w="2162" w:type="dxa"/>
            <w:tcBorders>
              <w:top w:val="single" w:sz="4" w:space="0" w:color="auto"/>
              <w:left w:val="nil"/>
              <w:bottom w:val="nil"/>
              <w:right w:val="nil"/>
            </w:tcBorders>
            <w:shd w:val="clear" w:color="auto" w:fill="auto"/>
            <w:noWrap/>
            <w:vAlign w:val="bottom"/>
            <w:hideMark/>
          </w:tcPr>
          <w:p w14:paraId="39526A37" w14:textId="77777777" w:rsidR="00465C3D" w:rsidRPr="007937A2" w:rsidRDefault="00465C3D" w:rsidP="00112848">
            <w:pPr>
              <w:spacing w:after="0" w:line="240" w:lineRule="auto"/>
              <w:jc w:val="center"/>
              <w:rPr>
                <w:rFonts w:eastAsia="Times New Roman"/>
                <w:color w:val="000000"/>
              </w:rPr>
            </w:pPr>
          </w:p>
        </w:tc>
        <w:tc>
          <w:tcPr>
            <w:tcW w:w="1271" w:type="dxa"/>
            <w:tcBorders>
              <w:top w:val="single" w:sz="4" w:space="0" w:color="auto"/>
              <w:left w:val="nil"/>
              <w:bottom w:val="nil"/>
              <w:right w:val="nil"/>
            </w:tcBorders>
            <w:shd w:val="clear" w:color="auto" w:fill="auto"/>
            <w:noWrap/>
            <w:vAlign w:val="bottom"/>
            <w:hideMark/>
          </w:tcPr>
          <w:p w14:paraId="29C1957A" w14:textId="77777777" w:rsidR="00465C3D" w:rsidRPr="007937A2" w:rsidRDefault="00465C3D" w:rsidP="00112848">
            <w:pPr>
              <w:spacing w:after="0" w:line="240" w:lineRule="auto"/>
              <w:jc w:val="center"/>
              <w:rPr>
                <w:rFonts w:eastAsia="Times New Roman"/>
                <w:color w:val="000000"/>
              </w:rPr>
            </w:pPr>
          </w:p>
        </w:tc>
        <w:tc>
          <w:tcPr>
            <w:tcW w:w="1300" w:type="dxa"/>
            <w:tcBorders>
              <w:top w:val="single" w:sz="4" w:space="0" w:color="auto"/>
              <w:left w:val="nil"/>
              <w:bottom w:val="nil"/>
              <w:right w:val="nil"/>
            </w:tcBorders>
            <w:shd w:val="clear" w:color="auto" w:fill="auto"/>
            <w:noWrap/>
            <w:vAlign w:val="bottom"/>
            <w:hideMark/>
          </w:tcPr>
          <w:p w14:paraId="02902677" w14:textId="77777777" w:rsidR="00465C3D" w:rsidRPr="007937A2" w:rsidRDefault="00465C3D" w:rsidP="00112848">
            <w:pPr>
              <w:spacing w:after="0" w:line="240" w:lineRule="auto"/>
              <w:jc w:val="center"/>
              <w:rPr>
                <w:rFonts w:eastAsia="Times New Roman"/>
                <w:color w:val="000000"/>
              </w:rPr>
            </w:pPr>
          </w:p>
        </w:tc>
        <w:tc>
          <w:tcPr>
            <w:tcW w:w="1146" w:type="dxa"/>
            <w:tcBorders>
              <w:top w:val="single" w:sz="4" w:space="0" w:color="auto"/>
              <w:left w:val="nil"/>
              <w:bottom w:val="nil"/>
              <w:right w:val="nil"/>
            </w:tcBorders>
            <w:shd w:val="clear" w:color="auto" w:fill="auto"/>
            <w:noWrap/>
            <w:vAlign w:val="bottom"/>
            <w:hideMark/>
          </w:tcPr>
          <w:p w14:paraId="6F205F18" w14:textId="77777777" w:rsidR="00465C3D" w:rsidRPr="007937A2" w:rsidRDefault="00465C3D" w:rsidP="00112848">
            <w:pPr>
              <w:spacing w:after="0" w:line="240" w:lineRule="auto"/>
              <w:jc w:val="center"/>
              <w:rPr>
                <w:rFonts w:eastAsia="Times New Roman"/>
                <w:color w:val="000000"/>
              </w:rPr>
            </w:pPr>
          </w:p>
        </w:tc>
        <w:tc>
          <w:tcPr>
            <w:tcW w:w="753" w:type="dxa"/>
            <w:tcBorders>
              <w:top w:val="single" w:sz="4" w:space="0" w:color="auto"/>
              <w:left w:val="nil"/>
              <w:bottom w:val="nil"/>
              <w:right w:val="nil"/>
            </w:tcBorders>
            <w:shd w:val="clear" w:color="auto" w:fill="auto"/>
            <w:noWrap/>
            <w:vAlign w:val="bottom"/>
            <w:hideMark/>
          </w:tcPr>
          <w:p w14:paraId="47ED20F2" w14:textId="77777777" w:rsidR="00465C3D" w:rsidRPr="007937A2" w:rsidRDefault="00465C3D" w:rsidP="00112848">
            <w:pPr>
              <w:spacing w:after="0" w:line="240" w:lineRule="auto"/>
              <w:rPr>
                <w:rFonts w:eastAsia="Times New Roman"/>
                <w:color w:val="000000"/>
              </w:rPr>
            </w:pPr>
          </w:p>
        </w:tc>
      </w:tr>
      <w:tr w:rsidR="00465C3D" w:rsidRPr="007937A2" w14:paraId="31F0A49E" w14:textId="77777777" w:rsidTr="00966B79">
        <w:trPr>
          <w:trHeight w:val="221"/>
        </w:trPr>
        <w:tc>
          <w:tcPr>
            <w:tcW w:w="2969" w:type="dxa"/>
            <w:tcBorders>
              <w:top w:val="nil"/>
              <w:left w:val="nil"/>
              <w:right w:val="nil"/>
            </w:tcBorders>
            <w:shd w:val="clear" w:color="auto" w:fill="DBE5F1"/>
            <w:vAlign w:val="bottom"/>
            <w:hideMark/>
          </w:tcPr>
          <w:p w14:paraId="2D93C404" w14:textId="77777777" w:rsidR="00465C3D" w:rsidRPr="007937A2" w:rsidRDefault="00465C3D" w:rsidP="00112848">
            <w:pPr>
              <w:spacing w:after="0" w:line="240" w:lineRule="auto"/>
              <w:rPr>
                <w:rFonts w:eastAsia="Times New Roman"/>
                <w:color w:val="000000"/>
              </w:rPr>
            </w:pPr>
            <w:r w:rsidRPr="007937A2">
              <w:rPr>
                <w:rFonts w:eastAsia="Times New Roman"/>
                <w:color w:val="000000"/>
              </w:rPr>
              <w:t>Const</w:t>
            </w:r>
          </w:p>
        </w:tc>
        <w:tc>
          <w:tcPr>
            <w:tcW w:w="2162" w:type="dxa"/>
            <w:tcBorders>
              <w:top w:val="nil"/>
              <w:left w:val="nil"/>
              <w:right w:val="nil"/>
            </w:tcBorders>
            <w:shd w:val="clear" w:color="auto" w:fill="auto"/>
            <w:noWrap/>
            <w:vAlign w:val="bottom"/>
            <w:hideMark/>
          </w:tcPr>
          <w:p w14:paraId="18D38B1F"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0.1518</w:t>
            </w:r>
          </w:p>
        </w:tc>
        <w:tc>
          <w:tcPr>
            <w:tcW w:w="1271" w:type="dxa"/>
            <w:tcBorders>
              <w:top w:val="nil"/>
              <w:left w:val="nil"/>
              <w:right w:val="nil"/>
            </w:tcBorders>
            <w:shd w:val="clear" w:color="auto" w:fill="auto"/>
            <w:noWrap/>
            <w:vAlign w:val="bottom"/>
            <w:hideMark/>
          </w:tcPr>
          <w:p w14:paraId="068CEA8C"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0.0098</w:t>
            </w:r>
          </w:p>
        </w:tc>
        <w:tc>
          <w:tcPr>
            <w:tcW w:w="1300" w:type="dxa"/>
            <w:tcBorders>
              <w:top w:val="nil"/>
              <w:left w:val="nil"/>
              <w:right w:val="nil"/>
            </w:tcBorders>
            <w:shd w:val="clear" w:color="auto" w:fill="auto"/>
            <w:noWrap/>
            <w:vAlign w:val="bottom"/>
            <w:hideMark/>
          </w:tcPr>
          <w:p w14:paraId="670EBEDF"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15.4300</w:t>
            </w:r>
          </w:p>
        </w:tc>
        <w:tc>
          <w:tcPr>
            <w:tcW w:w="1146" w:type="dxa"/>
            <w:tcBorders>
              <w:top w:val="nil"/>
              <w:left w:val="nil"/>
              <w:right w:val="nil"/>
            </w:tcBorders>
            <w:shd w:val="clear" w:color="auto" w:fill="auto"/>
            <w:noWrap/>
            <w:vAlign w:val="bottom"/>
            <w:hideMark/>
          </w:tcPr>
          <w:p w14:paraId="3BBD4BD3"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0.0000</w:t>
            </w:r>
          </w:p>
        </w:tc>
        <w:tc>
          <w:tcPr>
            <w:tcW w:w="753" w:type="dxa"/>
            <w:tcBorders>
              <w:top w:val="nil"/>
              <w:left w:val="nil"/>
              <w:right w:val="nil"/>
            </w:tcBorders>
            <w:shd w:val="clear" w:color="auto" w:fill="auto"/>
            <w:noWrap/>
            <w:vAlign w:val="bottom"/>
            <w:hideMark/>
          </w:tcPr>
          <w:p w14:paraId="6812BD2F" w14:textId="77777777" w:rsidR="00465C3D" w:rsidRPr="007937A2" w:rsidRDefault="00465C3D" w:rsidP="00112848">
            <w:pPr>
              <w:spacing w:after="0" w:line="240" w:lineRule="auto"/>
              <w:rPr>
                <w:rFonts w:eastAsia="Times New Roman"/>
                <w:color w:val="000000"/>
              </w:rPr>
            </w:pPr>
            <w:r w:rsidRPr="007937A2">
              <w:rPr>
                <w:rFonts w:eastAsia="Times New Roman"/>
                <w:color w:val="000000"/>
              </w:rPr>
              <w:t>***</w:t>
            </w:r>
          </w:p>
        </w:tc>
      </w:tr>
      <w:tr w:rsidR="00465C3D" w:rsidRPr="007937A2" w14:paraId="7504B34C" w14:textId="77777777" w:rsidTr="00966B79">
        <w:trPr>
          <w:trHeight w:val="221"/>
        </w:trPr>
        <w:tc>
          <w:tcPr>
            <w:tcW w:w="2969" w:type="dxa"/>
            <w:tcBorders>
              <w:top w:val="nil"/>
              <w:left w:val="nil"/>
              <w:bottom w:val="single" w:sz="4" w:space="0" w:color="auto"/>
              <w:right w:val="nil"/>
            </w:tcBorders>
            <w:shd w:val="clear" w:color="auto" w:fill="DBE5F1"/>
            <w:vAlign w:val="bottom"/>
            <w:hideMark/>
          </w:tcPr>
          <w:p w14:paraId="77E8147E" w14:textId="77777777" w:rsidR="00465C3D" w:rsidRPr="007937A2" w:rsidRDefault="00465C3D" w:rsidP="00112848">
            <w:pPr>
              <w:spacing w:after="0" w:line="240" w:lineRule="auto"/>
              <w:rPr>
                <w:rFonts w:eastAsia="Times New Roman"/>
                <w:color w:val="000000"/>
              </w:rPr>
            </w:pPr>
            <w:r w:rsidRPr="007937A2">
              <w:rPr>
                <w:rFonts w:eastAsia="Times New Roman"/>
                <w:color w:val="000000"/>
              </w:rPr>
              <w:t>All Risks to Assets Ratio</w:t>
            </w:r>
          </w:p>
        </w:tc>
        <w:tc>
          <w:tcPr>
            <w:tcW w:w="2162" w:type="dxa"/>
            <w:tcBorders>
              <w:top w:val="nil"/>
              <w:left w:val="nil"/>
              <w:bottom w:val="single" w:sz="4" w:space="0" w:color="auto"/>
              <w:right w:val="nil"/>
            </w:tcBorders>
            <w:shd w:val="clear" w:color="auto" w:fill="auto"/>
            <w:noWrap/>
            <w:vAlign w:val="bottom"/>
            <w:hideMark/>
          </w:tcPr>
          <w:p w14:paraId="1D671079"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0.00002</w:t>
            </w:r>
          </w:p>
        </w:tc>
        <w:tc>
          <w:tcPr>
            <w:tcW w:w="1271" w:type="dxa"/>
            <w:tcBorders>
              <w:top w:val="nil"/>
              <w:left w:val="nil"/>
              <w:bottom w:val="single" w:sz="4" w:space="0" w:color="auto"/>
              <w:right w:val="nil"/>
            </w:tcBorders>
            <w:shd w:val="clear" w:color="auto" w:fill="auto"/>
            <w:noWrap/>
            <w:vAlign w:val="bottom"/>
            <w:hideMark/>
          </w:tcPr>
          <w:p w14:paraId="15EFBE9D"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0.0123</w:t>
            </w:r>
          </w:p>
        </w:tc>
        <w:tc>
          <w:tcPr>
            <w:tcW w:w="1300" w:type="dxa"/>
            <w:tcBorders>
              <w:top w:val="nil"/>
              <w:left w:val="nil"/>
              <w:bottom w:val="single" w:sz="4" w:space="0" w:color="auto"/>
              <w:right w:val="nil"/>
            </w:tcBorders>
            <w:shd w:val="clear" w:color="auto" w:fill="auto"/>
            <w:noWrap/>
            <w:vAlign w:val="bottom"/>
            <w:hideMark/>
          </w:tcPr>
          <w:p w14:paraId="2970398B"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0.0014</w:t>
            </w:r>
          </w:p>
        </w:tc>
        <w:tc>
          <w:tcPr>
            <w:tcW w:w="1146" w:type="dxa"/>
            <w:tcBorders>
              <w:top w:val="nil"/>
              <w:left w:val="nil"/>
              <w:bottom w:val="single" w:sz="4" w:space="0" w:color="auto"/>
              <w:right w:val="nil"/>
            </w:tcBorders>
            <w:shd w:val="clear" w:color="auto" w:fill="auto"/>
            <w:noWrap/>
            <w:vAlign w:val="bottom"/>
            <w:hideMark/>
          </w:tcPr>
          <w:p w14:paraId="515C5F4A" w14:textId="77777777" w:rsidR="00465C3D" w:rsidRPr="007937A2" w:rsidRDefault="00465C3D" w:rsidP="00112848">
            <w:pPr>
              <w:spacing w:after="0" w:line="240" w:lineRule="auto"/>
              <w:jc w:val="center"/>
              <w:rPr>
                <w:rFonts w:eastAsia="Times New Roman"/>
                <w:color w:val="000000"/>
              </w:rPr>
            </w:pPr>
            <w:r w:rsidRPr="007937A2">
              <w:rPr>
                <w:rFonts w:eastAsia="Times New Roman"/>
                <w:color w:val="000000"/>
              </w:rPr>
              <w:t>0.9989</w:t>
            </w:r>
          </w:p>
        </w:tc>
        <w:tc>
          <w:tcPr>
            <w:tcW w:w="753" w:type="dxa"/>
            <w:tcBorders>
              <w:top w:val="nil"/>
              <w:left w:val="nil"/>
              <w:bottom w:val="single" w:sz="4" w:space="0" w:color="auto"/>
              <w:right w:val="nil"/>
            </w:tcBorders>
            <w:shd w:val="clear" w:color="auto" w:fill="auto"/>
            <w:noWrap/>
            <w:vAlign w:val="bottom"/>
            <w:hideMark/>
          </w:tcPr>
          <w:p w14:paraId="5FC072E5" w14:textId="77777777" w:rsidR="00465C3D" w:rsidRPr="007937A2" w:rsidRDefault="00465C3D" w:rsidP="00112848">
            <w:pPr>
              <w:spacing w:after="0" w:line="240" w:lineRule="auto"/>
              <w:rPr>
                <w:rFonts w:eastAsia="Times New Roman"/>
                <w:color w:val="000000"/>
              </w:rPr>
            </w:pPr>
          </w:p>
        </w:tc>
      </w:tr>
      <w:tr w:rsidR="00465C3D" w:rsidRPr="007937A2" w14:paraId="356FEA37" w14:textId="77777777" w:rsidTr="00966B79">
        <w:trPr>
          <w:trHeight w:val="221"/>
        </w:trPr>
        <w:tc>
          <w:tcPr>
            <w:tcW w:w="2969" w:type="dxa"/>
            <w:tcBorders>
              <w:left w:val="nil"/>
              <w:right w:val="nil"/>
            </w:tcBorders>
            <w:shd w:val="clear" w:color="auto" w:fill="DBE5F1"/>
          </w:tcPr>
          <w:p w14:paraId="505F7154" w14:textId="5E14447B" w:rsidR="00465C3D" w:rsidRPr="007937A2" w:rsidRDefault="00465C3D" w:rsidP="007937A2">
            <w:pPr>
              <w:spacing w:after="0" w:line="240" w:lineRule="auto"/>
              <w:rPr>
                <w:rFonts w:eastAsia="Times New Roman"/>
                <w:b/>
                <w:color w:val="000000"/>
              </w:rPr>
            </w:pPr>
            <w:r w:rsidRPr="007937A2">
              <w:rPr>
                <w:b/>
              </w:rPr>
              <w:t>Model 1</w:t>
            </w:r>
            <w:r w:rsidR="00CE441C">
              <w:rPr>
                <w:b/>
              </w:rPr>
              <w:t>0</w:t>
            </w:r>
            <w:r w:rsidR="00974113">
              <w:rPr>
                <w:b/>
              </w:rPr>
              <w:t xml:space="preserve">:  </w:t>
            </w:r>
            <w:r w:rsidRPr="007937A2">
              <w:rPr>
                <w:b/>
              </w:rPr>
              <w:t xml:space="preserve">50 </w:t>
            </w:r>
            <w:proofErr w:type="spellStart"/>
            <w:r w:rsidRPr="007937A2">
              <w:rPr>
                <w:b/>
              </w:rPr>
              <w:t>obs</w:t>
            </w:r>
            <w:proofErr w:type="spellEnd"/>
          </w:p>
        </w:tc>
        <w:tc>
          <w:tcPr>
            <w:tcW w:w="2162" w:type="dxa"/>
            <w:tcBorders>
              <w:left w:val="nil"/>
              <w:right w:val="nil"/>
            </w:tcBorders>
            <w:shd w:val="clear" w:color="auto" w:fill="auto"/>
            <w:noWrap/>
          </w:tcPr>
          <w:p w14:paraId="788B9421" w14:textId="77777777" w:rsidR="00465C3D" w:rsidRPr="007937A2" w:rsidRDefault="00465C3D" w:rsidP="00BE6E11">
            <w:pPr>
              <w:spacing w:after="0" w:line="240" w:lineRule="auto"/>
              <w:jc w:val="center"/>
            </w:pPr>
          </w:p>
        </w:tc>
        <w:tc>
          <w:tcPr>
            <w:tcW w:w="1271" w:type="dxa"/>
            <w:tcBorders>
              <w:left w:val="nil"/>
              <w:right w:val="nil"/>
            </w:tcBorders>
            <w:shd w:val="clear" w:color="auto" w:fill="auto"/>
            <w:noWrap/>
          </w:tcPr>
          <w:p w14:paraId="1DBEB66B" w14:textId="77777777" w:rsidR="00465C3D" w:rsidRPr="007937A2" w:rsidRDefault="00465C3D" w:rsidP="00BE6E11">
            <w:pPr>
              <w:spacing w:after="0" w:line="240" w:lineRule="auto"/>
              <w:jc w:val="center"/>
            </w:pPr>
          </w:p>
        </w:tc>
        <w:tc>
          <w:tcPr>
            <w:tcW w:w="1300" w:type="dxa"/>
            <w:tcBorders>
              <w:left w:val="nil"/>
              <w:right w:val="nil"/>
            </w:tcBorders>
            <w:shd w:val="clear" w:color="auto" w:fill="auto"/>
            <w:noWrap/>
          </w:tcPr>
          <w:p w14:paraId="3868E73C" w14:textId="77777777" w:rsidR="00465C3D" w:rsidRPr="007937A2" w:rsidRDefault="00465C3D" w:rsidP="00112848">
            <w:pPr>
              <w:spacing w:after="0" w:line="240" w:lineRule="auto"/>
              <w:jc w:val="center"/>
            </w:pPr>
          </w:p>
        </w:tc>
        <w:tc>
          <w:tcPr>
            <w:tcW w:w="1146" w:type="dxa"/>
            <w:tcBorders>
              <w:left w:val="nil"/>
              <w:right w:val="nil"/>
            </w:tcBorders>
            <w:shd w:val="clear" w:color="auto" w:fill="auto"/>
            <w:noWrap/>
          </w:tcPr>
          <w:p w14:paraId="2B7BC3C3" w14:textId="77777777" w:rsidR="00465C3D" w:rsidRPr="007937A2" w:rsidRDefault="00465C3D" w:rsidP="00BE6E11">
            <w:pPr>
              <w:spacing w:after="0" w:line="240" w:lineRule="auto"/>
              <w:jc w:val="center"/>
              <w:rPr>
                <w:rFonts w:eastAsia="Times New Roman"/>
                <w:color w:val="000000"/>
              </w:rPr>
            </w:pPr>
          </w:p>
        </w:tc>
        <w:tc>
          <w:tcPr>
            <w:tcW w:w="753" w:type="dxa"/>
            <w:tcBorders>
              <w:left w:val="nil"/>
              <w:right w:val="nil"/>
            </w:tcBorders>
            <w:shd w:val="clear" w:color="auto" w:fill="auto"/>
            <w:noWrap/>
          </w:tcPr>
          <w:p w14:paraId="4611D6F2" w14:textId="77777777" w:rsidR="00465C3D" w:rsidRPr="007937A2" w:rsidRDefault="00465C3D" w:rsidP="00112848">
            <w:pPr>
              <w:spacing w:after="0" w:line="240" w:lineRule="auto"/>
              <w:rPr>
                <w:rFonts w:eastAsia="Times New Roman"/>
                <w:color w:val="000000"/>
              </w:rPr>
            </w:pPr>
          </w:p>
        </w:tc>
      </w:tr>
      <w:tr w:rsidR="00465C3D" w:rsidRPr="007937A2" w14:paraId="213F218D" w14:textId="77777777" w:rsidTr="00966B79">
        <w:trPr>
          <w:trHeight w:val="221"/>
        </w:trPr>
        <w:tc>
          <w:tcPr>
            <w:tcW w:w="2969" w:type="dxa"/>
            <w:tcBorders>
              <w:left w:val="nil"/>
              <w:right w:val="nil"/>
            </w:tcBorders>
            <w:shd w:val="clear" w:color="auto" w:fill="DBE5F1"/>
          </w:tcPr>
          <w:p w14:paraId="217913D4" w14:textId="77777777" w:rsidR="00465C3D" w:rsidRPr="007937A2" w:rsidRDefault="00465C3D" w:rsidP="00023869">
            <w:pPr>
              <w:spacing w:after="0" w:line="240" w:lineRule="auto"/>
              <w:rPr>
                <w:rFonts w:eastAsia="Times New Roman"/>
                <w:color w:val="000000"/>
              </w:rPr>
            </w:pPr>
            <w:r w:rsidRPr="007937A2">
              <w:t>Const</w:t>
            </w:r>
          </w:p>
        </w:tc>
        <w:tc>
          <w:tcPr>
            <w:tcW w:w="2162" w:type="dxa"/>
            <w:tcBorders>
              <w:left w:val="nil"/>
              <w:right w:val="nil"/>
            </w:tcBorders>
            <w:shd w:val="clear" w:color="auto" w:fill="auto"/>
            <w:noWrap/>
          </w:tcPr>
          <w:p w14:paraId="3CFA694F" w14:textId="77777777" w:rsidR="00465C3D" w:rsidRPr="007937A2" w:rsidRDefault="00465C3D" w:rsidP="007937A2">
            <w:pPr>
              <w:spacing w:after="0" w:line="240" w:lineRule="auto"/>
              <w:jc w:val="center"/>
            </w:pPr>
            <w:r w:rsidRPr="007937A2">
              <w:t>0.1360</w:t>
            </w:r>
          </w:p>
        </w:tc>
        <w:tc>
          <w:tcPr>
            <w:tcW w:w="1271" w:type="dxa"/>
            <w:tcBorders>
              <w:left w:val="nil"/>
              <w:right w:val="nil"/>
            </w:tcBorders>
            <w:shd w:val="clear" w:color="auto" w:fill="auto"/>
            <w:noWrap/>
          </w:tcPr>
          <w:p w14:paraId="6DA6C580" w14:textId="77777777" w:rsidR="00465C3D" w:rsidRPr="007937A2" w:rsidRDefault="00465C3D" w:rsidP="007937A2">
            <w:pPr>
              <w:spacing w:after="0" w:line="240" w:lineRule="auto"/>
              <w:jc w:val="center"/>
            </w:pPr>
            <w:r w:rsidRPr="007937A2">
              <w:t>0.01278</w:t>
            </w:r>
          </w:p>
        </w:tc>
        <w:tc>
          <w:tcPr>
            <w:tcW w:w="1300" w:type="dxa"/>
            <w:tcBorders>
              <w:left w:val="nil"/>
              <w:right w:val="nil"/>
            </w:tcBorders>
            <w:shd w:val="clear" w:color="auto" w:fill="auto"/>
            <w:noWrap/>
          </w:tcPr>
          <w:p w14:paraId="31F3BC7B" w14:textId="77777777" w:rsidR="00465C3D" w:rsidRPr="007937A2" w:rsidRDefault="00465C3D" w:rsidP="00112848">
            <w:pPr>
              <w:spacing w:after="0" w:line="240" w:lineRule="auto"/>
              <w:jc w:val="center"/>
            </w:pPr>
            <w:r w:rsidRPr="007937A2">
              <w:t>10.64</w:t>
            </w:r>
          </w:p>
        </w:tc>
        <w:tc>
          <w:tcPr>
            <w:tcW w:w="1146" w:type="dxa"/>
            <w:tcBorders>
              <w:left w:val="nil"/>
              <w:right w:val="nil"/>
            </w:tcBorders>
            <w:shd w:val="clear" w:color="auto" w:fill="auto"/>
            <w:noWrap/>
          </w:tcPr>
          <w:p w14:paraId="6E92939F" w14:textId="77777777" w:rsidR="00465C3D" w:rsidRPr="007937A2" w:rsidRDefault="00465C3D" w:rsidP="007937A2">
            <w:pPr>
              <w:spacing w:after="0" w:line="240" w:lineRule="auto"/>
              <w:jc w:val="center"/>
              <w:rPr>
                <w:rFonts w:eastAsia="Times New Roman"/>
                <w:color w:val="000000"/>
              </w:rPr>
            </w:pPr>
            <w:r w:rsidRPr="007937A2">
              <w:t>0.0000</w:t>
            </w:r>
          </w:p>
        </w:tc>
        <w:tc>
          <w:tcPr>
            <w:tcW w:w="753" w:type="dxa"/>
            <w:tcBorders>
              <w:left w:val="nil"/>
              <w:right w:val="nil"/>
            </w:tcBorders>
            <w:shd w:val="clear" w:color="auto" w:fill="auto"/>
            <w:noWrap/>
          </w:tcPr>
          <w:p w14:paraId="08362BE8" w14:textId="77777777" w:rsidR="00465C3D" w:rsidRPr="007937A2" w:rsidRDefault="00465C3D" w:rsidP="00112848">
            <w:pPr>
              <w:spacing w:after="0" w:line="240" w:lineRule="auto"/>
              <w:rPr>
                <w:rFonts w:eastAsia="Times New Roman"/>
                <w:color w:val="000000"/>
              </w:rPr>
            </w:pPr>
            <w:r w:rsidRPr="007937A2">
              <w:t>***</w:t>
            </w:r>
          </w:p>
        </w:tc>
      </w:tr>
      <w:tr w:rsidR="00465C3D" w:rsidRPr="007937A2" w14:paraId="263A984A" w14:textId="77777777" w:rsidTr="00966B79">
        <w:trPr>
          <w:trHeight w:val="221"/>
        </w:trPr>
        <w:tc>
          <w:tcPr>
            <w:tcW w:w="2969" w:type="dxa"/>
            <w:tcBorders>
              <w:left w:val="nil"/>
              <w:bottom w:val="single" w:sz="4" w:space="0" w:color="auto"/>
              <w:right w:val="nil"/>
            </w:tcBorders>
            <w:shd w:val="clear" w:color="auto" w:fill="DBE5F1"/>
          </w:tcPr>
          <w:p w14:paraId="0DF6CF87" w14:textId="77777777" w:rsidR="00465C3D" w:rsidRPr="007937A2" w:rsidRDefault="00465C3D" w:rsidP="00023869">
            <w:pPr>
              <w:spacing w:after="0" w:line="240" w:lineRule="auto"/>
              <w:rPr>
                <w:rFonts w:eastAsia="Times New Roman"/>
                <w:color w:val="000000"/>
              </w:rPr>
            </w:pPr>
            <w:r w:rsidRPr="007937A2">
              <w:t>Risk Weighted Assets</w:t>
            </w:r>
          </w:p>
        </w:tc>
        <w:tc>
          <w:tcPr>
            <w:tcW w:w="2162" w:type="dxa"/>
            <w:tcBorders>
              <w:left w:val="nil"/>
              <w:bottom w:val="single" w:sz="4" w:space="0" w:color="auto"/>
              <w:right w:val="nil"/>
            </w:tcBorders>
            <w:shd w:val="clear" w:color="auto" w:fill="auto"/>
            <w:noWrap/>
          </w:tcPr>
          <w:p w14:paraId="50843573" w14:textId="77777777" w:rsidR="00465C3D" w:rsidRPr="007937A2" w:rsidRDefault="00465C3D" w:rsidP="007937A2">
            <w:pPr>
              <w:spacing w:after="0" w:line="240" w:lineRule="auto"/>
              <w:jc w:val="center"/>
            </w:pPr>
            <w:r w:rsidRPr="007937A2">
              <w:t>0.028</w:t>
            </w:r>
          </w:p>
        </w:tc>
        <w:tc>
          <w:tcPr>
            <w:tcW w:w="1271" w:type="dxa"/>
            <w:tcBorders>
              <w:left w:val="nil"/>
              <w:bottom w:val="single" w:sz="4" w:space="0" w:color="auto"/>
              <w:right w:val="nil"/>
            </w:tcBorders>
            <w:shd w:val="clear" w:color="auto" w:fill="auto"/>
            <w:noWrap/>
          </w:tcPr>
          <w:p w14:paraId="7B035A96" w14:textId="77777777" w:rsidR="00465C3D" w:rsidRPr="007937A2" w:rsidRDefault="00465C3D" w:rsidP="007937A2">
            <w:pPr>
              <w:spacing w:after="0" w:line="240" w:lineRule="auto"/>
              <w:jc w:val="center"/>
            </w:pPr>
            <w:r w:rsidRPr="007937A2">
              <w:t>0.0192</w:t>
            </w:r>
          </w:p>
        </w:tc>
        <w:tc>
          <w:tcPr>
            <w:tcW w:w="1300" w:type="dxa"/>
            <w:tcBorders>
              <w:left w:val="nil"/>
              <w:bottom w:val="single" w:sz="4" w:space="0" w:color="auto"/>
              <w:right w:val="nil"/>
            </w:tcBorders>
            <w:shd w:val="clear" w:color="auto" w:fill="auto"/>
            <w:noWrap/>
          </w:tcPr>
          <w:p w14:paraId="4AB71637" w14:textId="77777777" w:rsidR="00465C3D" w:rsidRPr="007937A2" w:rsidRDefault="00465C3D" w:rsidP="00112848">
            <w:pPr>
              <w:spacing w:after="0" w:line="240" w:lineRule="auto"/>
              <w:jc w:val="center"/>
            </w:pPr>
            <w:r w:rsidRPr="007937A2">
              <w:t>1.455</w:t>
            </w:r>
          </w:p>
        </w:tc>
        <w:tc>
          <w:tcPr>
            <w:tcW w:w="1146" w:type="dxa"/>
            <w:tcBorders>
              <w:left w:val="nil"/>
              <w:bottom w:val="single" w:sz="4" w:space="0" w:color="auto"/>
              <w:right w:val="nil"/>
            </w:tcBorders>
            <w:shd w:val="clear" w:color="auto" w:fill="auto"/>
            <w:noWrap/>
          </w:tcPr>
          <w:p w14:paraId="6CDC2135" w14:textId="77777777" w:rsidR="00465C3D" w:rsidRPr="007937A2" w:rsidRDefault="00465C3D" w:rsidP="00BE6E11">
            <w:pPr>
              <w:spacing w:after="0" w:line="240" w:lineRule="auto"/>
              <w:jc w:val="center"/>
              <w:rPr>
                <w:rFonts w:eastAsia="Times New Roman"/>
                <w:color w:val="000000"/>
              </w:rPr>
            </w:pPr>
            <w:r w:rsidRPr="007937A2">
              <w:t>0.152</w:t>
            </w:r>
          </w:p>
        </w:tc>
        <w:tc>
          <w:tcPr>
            <w:tcW w:w="753" w:type="dxa"/>
            <w:tcBorders>
              <w:left w:val="nil"/>
              <w:bottom w:val="single" w:sz="4" w:space="0" w:color="auto"/>
              <w:right w:val="nil"/>
            </w:tcBorders>
            <w:shd w:val="clear" w:color="auto" w:fill="auto"/>
            <w:noWrap/>
          </w:tcPr>
          <w:p w14:paraId="53F2D74D" w14:textId="77777777" w:rsidR="00465C3D" w:rsidRPr="007937A2" w:rsidRDefault="00465C3D" w:rsidP="00112848">
            <w:pPr>
              <w:spacing w:after="0" w:line="240" w:lineRule="auto"/>
              <w:rPr>
                <w:rFonts w:eastAsia="Times New Roman"/>
                <w:color w:val="000000"/>
              </w:rPr>
            </w:pPr>
          </w:p>
        </w:tc>
      </w:tr>
      <w:tr w:rsidR="00465C3D" w:rsidRPr="007937A2" w14:paraId="08347F06" w14:textId="77777777" w:rsidTr="007937A2">
        <w:trPr>
          <w:trHeight w:val="221"/>
        </w:trPr>
        <w:tc>
          <w:tcPr>
            <w:tcW w:w="9601" w:type="dxa"/>
            <w:gridSpan w:val="6"/>
            <w:tcBorders>
              <w:top w:val="single" w:sz="4" w:space="0" w:color="auto"/>
              <w:left w:val="nil"/>
              <w:bottom w:val="single" w:sz="4" w:space="0" w:color="auto"/>
              <w:right w:val="nil"/>
            </w:tcBorders>
            <w:shd w:val="clear" w:color="auto" w:fill="auto"/>
            <w:vAlign w:val="bottom"/>
          </w:tcPr>
          <w:p w14:paraId="30F11744" w14:textId="77777777" w:rsidR="006E3BB0" w:rsidRDefault="006E3BB0" w:rsidP="007937A2">
            <w:pPr>
              <w:spacing w:after="0" w:line="240" w:lineRule="auto"/>
              <w:rPr>
                <w:rFonts w:eastAsia="Times New Roman"/>
                <w:color w:val="000000"/>
              </w:rPr>
            </w:pPr>
          </w:p>
          <w:p w14:paraId="2C165103" w14:textId="77777777" w:rsidR="00465C3D" w:rsidRDefault="00465C3D" w:rsidP="007937A2">
            <w:pPr>
              <w:spacing w:after="0" w:line="240" w:lineRule="auto"/>
              <w:rPr>
                <w:rFonts w:eastAsia="Times New Roman"/>
                <w:color w:val="000000"/>
              </w:rPr>
            </w:pPr>
            <w:r w:rsidRPr="007937A2">
              <w:rPr>
                <w:rFonts w:eastAsia="Times New Roman"/>
                <w:color w:val="000000"/>
              </w:rPr>
              <w:t>All Ratios are calculated with respect to total assets.</w:t>
            </w:r>
            <w:r>
              <w:rPr>
                <w:rFonts w:eastAsia="Times New Roman"/>
                <w:color w:val="000000"/>
              </w:rPr>
              <w:t xml:space="preserve"> </w:t>
            </w:r>
            <w:r w:rsidRPr="007937A2">
              <w:rPr>
                <w:rFonts w:eastAsia="Times New Roman"/>
                <w:color w:val="000000"/>
              </w:rPr>
              <w:t>The All Risks Ratio is calculated as the sum of credit, operational, and market risks disclosed by banks with respect to total assets for that particular year.</w:t>
            </w:r>
            <w:r>
              <w:rPr>
                <w:rFonts w:eastAsia="Times New Roman"/>
                <w:color w:val="000000"/>
              </w:rPr>
              <w:t xml:space="preserve"> </w:t>
            </w:r>
          </w:p>
          <w:p w14:paraId="6F2EBA9A" w14:textId="77777777" w:rsidR="00465C3D" w:rsidRDefault="00465C3D" w:rsidP="007937A2">
            <w:pPr>
              <w:spacing w:after="0" w:line="240" w:lineRule="auto"/>
              <w:rPr>
                <w:rFonts w:eastAsia="Times New Roman"/>
                <w:i/>
                <w:color w:val="000000"/>
              </w:rPr>
            </w:pPr>
            <w:r w:rsidRPr="007937A2">
              <w:rPr>
                <w:rFonts w:eastAsia="Times New Roman"/>
                <w:i/>
                <w:color w:val="000000"/>
              </w:rPr>
              <w:t>*, **, *** Significant at 10%, 5%, or 1%</w:t>
            </w:r>
          </w:p>
          <w:p w14:paraId="6EB98FF7" w14:textId="77777777" w:rsidR="000A6890" w:rsidRDefault="000A6890" w:rsidP="007937A2">
            <w:pPr>
              <w:spacing w:after="0" w:line="240" w:lineRule="auto"/>
              <w:rPr>
                <w:rFonts w:eastAsia="Times New Roman"/>
                <w:i/>
                <w:color w:val="000000"/>
              </w:rPr>
            </w:pPr>
          </w:p>
          <w:p w14:paraId="5FD4F7D5" w14:textId="77777777" w:rsidR="006E3BB0" w:rsidRPr="007937A2" w:rsidRDefault="006E3BB0" w:rsidP="007937A2">
            <w:pPr>
              <w:spacing w:after="0" w:line="240" w:lineRule="auto"/>
              <w:rPr>
                <w:rFonts w:eastAsia="Times New Roman"/>
                <w:i/>
                <w:color w:val="000000"/>
              </w:rPr>
            </w:pPr>
            <w:r w:rsidRPr="00FB0ECF">
              <w:rPr>
                <w:rFonts w:eastAsia="Times New Roman"/>
                <w:i/>
                <w:color w:val="000000"/>
                <w:sz w:val="20"/>
              </w:rPr>
              <w:t>A statistically significant independent variable here suggests a high degree of correlation with the dependent variable and therefore the information provided is not adding value  to market participants.</w:t>
            </w:r>
          </w:p>
        </w:tc>
      </w:tr>
    </w:tbl>
    <w:p w14:paraId="60F9B815" w14:textId="77777777" w:rsidR="007D568D" w:rsidRPr="004F3E73" w:rsidRDefault="00656918" w:rsidP="00656918">
      <w:r>
        <w:br w:type="page"/>
      </w:r>
    </w:p>
    <w:tbl>
      <w:tblPr>
        <w:tblW w:w="9360" w:type="dxa"/>
        <w:tblInd w:w="93" w:type="dxa"/>
        <w:tblLook w:val="04A0" w:firstRow="1" w:lastRow="0" w:firstColumn="1" w:lastColumn="0" w:noHBand="0" w:noVBand="1"/>
      </w:tblPr>
      <w:tblGrid>
        <w:gridCol w:w="2823"/>
        <w:gridCol w:w="72"/>
        <w:gridCol w:w="1983"/>
        <w:gridCol w:w="125"/>
        <w:gridCol w:w="1083"/>
        <w:gridCol w:w="156"/>
        <w:gridCol w:w="1079"/>
        <w:gridCol w:w="188"/>
        <w:gridCol w:w="901"/>
        <w:gridCol w:w="216"/>
        <w:gridCol w:w="500"/>
        <w:gridCol w:w="234"/>
      </w:tblGrid>
      <w:tr w:rsidR="007D568D" w:rsidRPr="00A421F9" w14:paraId="5BCB9A58" w14:textId="77777777" w:rsidTr="007937A2">
        <w:trPr>
          <w:gridAfter w:val="1"/>
          <w:wAfter w:w="234" w:type="dxa"/>
          <w:trHeight w:val="267"/>
        </w:trPr>
        <w:tc>
          <w:tcPr>
            <w:tcW w:w="9126" w:type="dxa"/>
            <w:gridSpan w:val="11"/>
            <w:tcBorders>
              <w:top w:val="single" w:sz="4" w:space="0" w:color="auto"/>
              <w:left w:val="nil"/>
              <w:bottom w:val="nil"/>
              <w:right w:val="nil"/>
            </w:tcBorders>
            <w:shd w:val="clear" w:color="auto" w:fill="auto"/>
            <w:noWrap/>
            <w:vAlign w:val="bottom"/>
            <w:hideMark/>
          </w:tcPr>
          <w:p w14:paraId="6717F297" w14:textId="3F4CF280" w:rsidR="007D568D" w:rsidRPr="007937A2" w:rsidRDefault="007D568D" w:rsidP="00112848">
            <w:pPr>
              <w:spacing w:after="0" w:line="240" w:lineRule="auto"/>
              <w:jc w:val="center"/>
              <w:rPr>
                <w:rFonts w:eastAsia="Times New Roman"/>
                <w:b/>
                <w:color w:val="000000"/>
                <w:sz w:val="24"/>
              </w:rPr>
            </w:pPr>
            <w:r w:rsidRPr="007937A2">
              <w:rPr>
                <w:rFonts w:eastAsia="Times New Roman"/>
                <w:b/>
                <w:color w:val="000000"/>
                <w:sz w:val="24"/>
              </w:rPr>
              <w:lastRenderedPageBreak/>
              <w:t xml:space="preserve">Table </w:t>
            </w:r>
            <w:r w:rsidR="004218A7">
              <w:rPr>
                <w:rFonts w:eastAsia="Times New Roman"/>
                <w:b/>
                <w:color w:val="000000"/>
                <w:sz w:val="24"/>
              </w:rPr>
              <w:t>6</w:t>
            </w:r>
          </w:p>
          <w:p w14:paraId="1CC27974" w14:textId="77777777" w:rsidR="007D568D" w:rsidRDefault="007D568D" w:rsidP="00112848">
            <w:pPr>
              <w:spacing w:after="0" w:line="240" w:lineRule="auto"/>
              <w:jc w:val="center"/>
              <w:rPr>
                <w:rFonts w:eastAsia="Times New Roman"/>
                <w:color w:val="000000"/>
                <w:sz w:val="24"/>
              </w:rPr>
            </w:pPr>
            <w:r>
              <w:rPr>
                <w:rFonts w:eastAsia="Times New Roman"/>
                <w:color w:val="000000"/>
                <w:sz w:val="24"/>
              </w:rPr>
              <w:t>Panel Data Estimation</w:t>
            </w:r>
          </w:p>
          <w:p w14:paraId="6BBA0E83" w14:textId="2F281A5B" w:rsidR="007D568D" w:rsidRPr="00A421F9" w:rsidRDefault="007D568D" w:rsidP="007937A2">
            <w:pPr>
              <w:spacing w:after="0" w:line="240" w:lineRule="auto"/>
              <w:jc w:val="center"/>
              <w:rPr>
                <w:rFonts w:eastAsia="Times New Roman"/>
                <w:color w:val="000000"/>
                <w:sz w:val="24"/>
              </w:rPr>
            </w:pPr>
            <w:r w:rsidRPr="00A421F9">
              <w:rPr>
                <w:rFonts w:eastAsia="Times New Roman"/>
                <w:color w:val="000000"/>
                <w:sz w:val="24"/>
              </w:rPr>
              <w:t>Dependent variable</w:t>
            </w:r>
            <w:r w:rsidR="00974113">
              <w:rPr>
                <w:rFonts w:eastAsia="Times New Roman"/>
                <w:color w:val="000000"/>
                <w:sz w:val="24"/>
              </w:rPr>
              <w:t xml:space="preserve">:  </w:t>
            </w:r>
            <w:r>
              <w:rPr>
                <w:rFonts w:eastAsia="Times New Roman"/>
                <w:color w:val="000000"/>
                <w:sz w:val="24"/>
              </w:rPr>
              <w:t xml:space="preserve">Market Risk to </w:t>
            </w:r>
            <w:r w:rsidR="00830742">
              <w:rPr>
                <w:rFonts w:eastAsia="Times New Roman"/>
                <w:color w:val="000000"/>
                <w:sz w:val="24"/>
              </w:rPr>
              <w:t>Capital</w:t>
            </w:r>
            <w:r>
              <w:rPr>
                <w:rFonts w:eastAsia="Times New Roman"/>
                <w:color w:val="000000"/>
                <w:sz w:val="24"/>
              </w:rPr>
              <w:t xml:space="preserve"> Ratio </w:t>
            </w:r>
            <w:r w:rsidR="00830742">
              <w:rPr>
                <w:rFonts w:eastAsia="Times New Roman"/>
                <w:color w:val="FF0000"/>
                <w:sz w:val="24"/>
              </w:rPr>
              <w:t xml:space="preserve"> </w:t>
            </w:r>
          </w:p>
        </w:tc>
      </w:tr>
      <w:tr w:rsidR="00A259D7" w:rsidRPr="00FB0ECF" w14:paraId="62F6EF96" w14:textId="77777777" w:rsidTr="007937A2">
        <w:trPr>
          <w:trHeight w:val="195"/>
        </w:trPr>
        <w:tc>
          <w:tcPr>
            <w:tcW w:w="2895" w:type="dxa"/>
            <w:gridSpan w:val="2"/>
            <w:tcBorders>
              <w:top w:val="single" w:sz="4" w:space="0" w:color="auto"/>
              <w:left w:val="nil"/>
              <w:right w:val="nil"/>
            </w:tcBorders>
            <w:shd w:val="clear" w:color="auto" w:fill="F2F2F2"/>
            <w:noWrap/>
            <w:vAlign w:val="bottom"/>
            <w:hideMark/>
          </w:tcPr>
          <w:p w14:paraId="2CED0B65" w14:textId="77777777" w:rsidR="00A259D7" w:rsidRPr="00FB0ECF" w:rsidRDefault="00A259D7" w:rsidP="00D76031">
            <w:pPr>
              <w:spacing w:after="0" w:line="240" w:lineRule="auto"/>
              <w:rPr>
                <w:rFonts w:eastAsia="Times New Roman"/>
                <w:color w:val="C00000"/>
              </w:rPr>
            </w:pPr>
            <w:r w:rsidRPr="00FB0ECF">
              <w:rPr>
                <w:rFonts w:eastAsia="Times New Roman"/>
                <w:b/>
                <w:bCs/>
                <w:color w:val="C00000"/>
              </w:rPr>
              <w:t>Fixed Effects</w:t>
            </w:r>
          </w:p>
        </w:tc>
        <w:tc>
          <w:tcPr>
            <w:tcW w:w="2108" w:type="dxa"/>
            <w:gridSpan w:val="2"/>
            <w:tcBorders>
              <w:top w:val="single" w:sz="4" w:space="0" w:color="auto"/>
              <w:left w:val="nil"/>
              <w:bottom w:val="single" w:sz="4" w:space="0" w:color="auto"/>
              <w:right w:val="nil"/>
            </w:tcBorders>
            <w:shd w:val="clear" w:color="auto" w:fill="F2F2F2"/>
            <w:noWrap/>
            <w:vAlign w:val="bottom"/>
            <w:hideMark/>
          </w:tcPr>
          <w:p w14:paraId="1CDAEAF9" w14:textId="77777777" w:rsidR="00A259D7" w:rsidRPr="00FB0ECF" w:rsidRDefault="00A259D7" w:rsidP="00D76031">
            <w:pPr>
              <w:spacing w:after="0" w:line="240" w:lineRule="auto"/>
              <w:jc w:val="center"/>
              <w:rPr>
                <w:rFonts w:eastAsia="Times New Roman"/>
                <w:b/>
                <w:bCs/>
                <w:color w:val="000000"/>
              </w:rPr>
            </w:pPr>
            <w:r w:rsidRPr="00FB0ECF">
              <w:rPr>
                <w:rFonts w:eastAsia="Times New Roman"/>
                <w:b/>
                <w:bCs/>
                <w:color w:val="000000"/>
              </w:rPr>
              <w:t>coefficient</w:t>
            </w:r>
          </w:p>
        </w:tc>
        <w:tc>
          <w:tcPr>
            <w:tcW w:w="1239" w:type="dxa"/>
            <w:gridSpan w:val="2"/>
            <w:tcBorders>
              <w:top w:val="single" w:sz="4" w:space="0" w:color="auto"/>
              <w:left w:val="nil"/>
              <w:bottom w:val="single" w:sz="4" w:space="0" w:color="auto"/>
              <w:right w:val="nil"/>
            </w:tcBorders>
            <w:shd w:val="clear" w:color="auto" w:fill="F2F2F2"/>
            <w:noWrap/>
            <w:vAlign w:val="bottom"/>
            <w:hideMark/>
          </w:tcPr>
          <w:p w14:paraId="15751EA9" w14:textId="77777777" w:rsidR="00A259D7" w:rsidRPr="00FB0ECF" w:rsidRDefault="00A259D7" w:rsidP="00D76031">
            <w:pPr>
              <w:spacing w:after="0" w:line="240" w:lineRule="auto"/>
              <w:jc w:val="center"/>
              <w:rPr>
                <w:rFonts w:eastAsia="Times New Roman"/>
                <w:b/>
                <w:bCs/>
                <w:color w:val="000000"/>
              </w:rPr>
            </w:pPr>
            <w:r w:rsidRPr="00FB0ECF">
              <w:rPr>
                <w:rFonts w:eastAsia="Times New Roman"/>
                <w:b/>
                <w:bCs/>
                <w:color w:val="000000"/>
              </w:rPr>
              <w:t>std. error</w:t>
            </w:r>
          </w:p>
        </w:tc>
        <w:tc>
          <w:tcPr>
            <w:tcW w:w="1267" w:type="dxa"/>
            <w:gridSpan w:val="2"/>
            <w:tcBorders>
              <w:top w:val="single" w:sz="4" w:space="0" w:color="auto"/>
              <w:left w:val="nil"/>
              <w:bottom w:val="single" w:sz="4" w:space="0" w:color="auto"/>
              <w:right w:val="nil"/>
            </w:tcBorders>
            <w:shd w:val="clear" w:color="auto" w:fill="F2F2F2"/>
            <w:noWrap/>
            <w:vAlign w:val="bottom"/>
            <w:hideMark/>
          </w:tcPr>
          <w:p w14:paraId="492608D1" w14:textId="77777777" w:rsidR="00A259D7" w:rsidRPr="00FB0ECF" w:rsidRDefault="00A259D7" w:rsidP="00D76031">
            <w:pPr>
              <w:spacing w:after="0" w:line="240" w:lineRule="auto"/>
              <w:jc w:val="center"/>
              <w:rPr>
                <w:rFonts w:eastAsia="Times New Roman"/>
                <w:b/>
                <w:bCs/>
                <w:color w:val="000000"/>
              </w:rPr>
            </w:pPr>
            <w:r w:rsidRPr="00FB0ECF">
              <w:rPr>
                <w:rFonts w:eastAsia="Times New Roman"/>
                <w:b/>
                <w:bCs/>
                <w:color w:val="000000"/>
              </w:rPr>
              <w:t>t-ratio</w:t>
            </w:r>
          </w:p>
        </w:tc>
        <w:tc>
          <w:tcPr>
            <w:tcW w:w="1117" w:type="dxa"/>
            <w:gridSpan w:val="2"/>
            <w:tcBorders>
              <w:top w:val="single" w:sz="4" w:space="0" w:color="auto"/>
              <w:left w:val="nil"/>
              <w:bottom w:val="single" w:sz="4" w:space="0" w:color="auto"/>
              <w:right w:val="nil"/>
            </w:tcBorders>
            <w:shd w:val="clear" w:color="auto" w:fill="F2F2F2"/>
            <w:noWrap/>
            <w:vAlign w:val="bottom"/>
            <w:hideMark/>
          </w:tcPr>
          <w:p w14:paraId="532D2872" w14:textId="77777777" w:rsidR="00A259D7" w:rsidRPr="00FB0ECF" w:rsidRDefault="00A259D7" w:rsidP="00D76031">
            <w:pPr>
              <w:spacing w:after="0" w:line="240" w:lineRule="auto"/>
              <w:jc w:val="center"/>
              <w:rPr>
                <w:rFonts w:eastAsia="Times New Roman"/>
                <w:b/>
                <w:bCs/>
                <w:color w:val="000000"/>
              </w:rPr>
            </w:pPr>
            <w:r w:rsidRPr="00FB0ECF">
              <w:rPr>
                <w:rFonts w:eastAsia="Times New Roman"/>
                <w:b/>
                <w:bCs/>
                <w:color w:val="000000"/>
              </w:rPr>
              <w:t>p-value</w:t>
            </w:r>
          </w:p>
        </w:tc>
        <w:tc>
          <w:tcPr>
            <w:tcW w:w="734" w:type="dxa"/>
            <w:gridSpan w:val="2"/>
            <w:tcBorders>
              <w:top w:val="single" w:sz="4" w:space="0" w:color="auto"/>
              <w:left w:val="nil"/>
              <w:bottom w:val="nil"/>
              <w:right w:val="nil"/>
            </w:tcBorders>
            <w:shd w:val="clear" w:color="auto" w:fill="F2F2F2"/>
            <w:noWrap/>
            <w:vAlign w:val="bottom"/>
            <w:hideMark/>
          </w:tcPr>
          <w:p w14:paraId="0675742F" w14:textId="77777777" w:rsidR="00A259D7" w:rsidRPr="00FB0ECF" w:rsidRDefault="00A259D7" w:rsidP="00D76031">
            <w:pPr>
              <w:spacing w:after="0" w:line="240" w:lineRule="auto"/>
              <w:rPr>
                <w:rFonts w:eastAsia="Times New Roman"/>
                <w:color w:val="000000"/>
              </w:rPr>
            </w:pPr>
          </w:p>
        </w:tc>
      </w:tr>
      <w:tr w:rsidR="00A259D7" w:rsidRPr="00A11214" w14:paraId="0841CE99" w14:textId="77777777" w:rsidTr="007937A2">
        <w:trPr>
          <w:gridAfter w:val="1"/>
          <w:wAfter w:w="234" w:type="dxa"/>
          <w:trHeight w:val="267"/>
        </w:trPr>
        <w:tc>
          <w:tcPr>
            <w:tcW w:w="2823" w:type="dxa"/>
            <w:tcBorders>
              <w:top w:val="nil"/>
              <w:left w:val="nil"/>
              <w:bottom w:val="nil"/>
              <w:right w:val="nil"/>
            </w:tcBorders>
            <w:shd w:val="clear" w:color="auto" w:fill="auto"/>
            <w:hideMark/>
          </w:tcPr>
          <w:p w14:paraId="36523665" w14:textId="66DF8203" w:rsidR="00A259D7" w:rsidRPr="007937A2" w:rsidRDefault="00A259D7" w:rsidP="00112848">
            <w:pPr>
              <w:spacing w:after="0" w:line="240" w:lineRule="auto"/>
              <w:rPr>
                <w:rFonts w:eastAsia="Times New Roman"/>
                <w:b/>
                <w:bCs/>
                <w:color w:val="000000"/>
              </w:rPr>
            </w:pPr>
            <w:r w:rsidRPr="007937A2">
              <w:rPr>
                <w:b/>
              </w:rPr>
              <w:t>Model 1</w:t>
            </w:r>
            <w:r w:rsidR="00974113">
              <w:rPr>
                <w:b/>
              </w:rPr>
              <w:t xml:space="preserve">:  </w:t>
            </w:r>
            <w:r w:rsidRPr="007937A2">
              <w:rPr>
                <w:b/>
              </w:rPr>
              <w:t xml:space="preserve"> 41 obs. </w:t>
            </w:r>
          </w:p>
        </w:tc>
        <w:tc>
          <w:tcPr>
            <w:tcW w:w="2055" w:type="dxa"/>
            <w:gridSpan w:val="2"/>
            <w:tcBorders>
              <w:top w:val="nil"/>
              <w:left w:val="nil"/>
              <w:bottom w:val="nil"/>
              <w:right w:val="nil"/>
            </w:tcBorders>
            <w:shd w:val="clear" w:color="auto" w:fill="auto"/>
            <w:noWrap/>
            <w:vAlign w:val="bottom"/>
            <w:hideMark/>
          </w:tcPr>
          <w:p w14:paraId="0AFD7F8F" w14:textId="77777777" w:rsidR="00A259D7" w:rsidRPr="00A11214" w:rsidRDefault="00A259D7" w:rsidP="00112848">
            <w:pPr>
              <w:spacing w:after="0" w:line="240" w:lineRule="auto"/>
              <w:jc w:val="center"/>
              <w:rPr>
                <w:rFonts w:eastAsia="Times New Roman"/>
                <w:color w:val="000000"/>
              </w:rPr>
            </w:pPr>
          </w:p>
        </w:tc>
        <w:tc>
          <w:tcPr>
            <w:tcW w:w="1208" w:type="dxa"/>
            <w:gridSpan w:val="2"/>
            <w:tcBorders>
              <w:top w:val="nil"/>
              <w:left w:val="nil"/>
              <w:bottom w:val="nil"/>
              <w:right w:val="nil"/>
            </w:tcBorders>
            <w:shd w:val="clear" w:color="auto" w:fill="auto"/>
            <w:noWrap/>
            <w:vAlign w:val="bottom"/>
            <w:hideMark/>
          </w:tcPr>
          <w:p w14:paraId="3A1353A3" w14:textId="77777777" w:rsidR="00A259D7" w:rsidRPr="00A11214" w:rsidRDefault="00A259D7" w:rsidP="00112848">
            <w:pPr>
              <w:spacing w:after="0" w:line="240" w:lineRule="auto"/>
              <w:jc w:val="center"/>
              <w:rPr>
                <w:rFonts w:eastAsia="Times New Roman"/>
                <w:color w:val="000000"/>
              </w:rPr>
            </w:pPr>
          </w:p>
        </w:tc>
        <w:tc>
          <w:tcPr>
            <w:tcW w:w="1235" w:type="dxa"/>
            <w:gridSpan w:val="2"/>
            <w:tcBorders>
              <w:top w:val="nil"/>
              <w:left w:val="nil"/>
              <w:bottom w:val="nil"/>
              <w:right w:val="nil"/>
            </w:tcBorders>
            <w:shd w:val="clear" w:color="auto" w:fill="auto"/>
            <w:noWrap/>
            <w:vAlign w:val="bottom"/>
            <w:hideMark/>
          </w:tcPr>
          <w:p w14:paraId="127C6105" w14:textId="77777777" w:rsidR="00A259D7" w:rsidRPr="00A11214" w:rsidRDefault="00A259D7" w:rsidP="00112848">
            <w:pPr>
              <w:spacing w:after="0" w:line="240" w:lineRule="auto"/>
              <w:jc w:val="center"/>
              <w:rPr>
                <w:rFonts w:eastAsia="Times New Roman"/>
                <w:color w:val="000000"/>
              </w:rPr>
            </w:pPr>
          </w:p>
        </w:tc>
        <w:tc>
          <w:tcPr>
            <w:tcW w:w="1089" w:type="dxa"/>
            <w:gridSpan w:val="2"/>
            <w:tcBorders>
              <w:top w:val="nil"/>
              <w:left w:val="nil"/>
              <w:bottom w:val="nil"/>
              <w:right w:val="nil"/>
            </w:tcBorders>
            <w:shd w:val="clear" w:color="auto" w:fill="auto"/>
            <w:noWrap/>
            <w:vAlign w:val="bottom"/>
            <w:hideMark/>
          </w:tcPr>
          <w:p w14:paraId="48A2B743" w14:textId="77777777" w:rsidR="00A259D7" w:rsidRPr="00A11214" w:rsidRDefault="00A259D7" w:rsidP="00112848">
            <w:pPr>
              <w:spacing w:after="0" w:line="240" w:lineRule="auto"/>
              <w:jc w:val="center"/>
              <w:rPr>
                <w:rFonts w:eastAsia="Times New Roman"/>
                <w:color w:val="000000"/>
              </w:rPr>
            </w:pPr>
          </w:p>
        </w:tc>
        <w:tc>
          <w:tcPr>
            <w:tcW w:w="716" w:type="dxa"/>
            <w:gridSpan w:val="2"/>
            <w:tcBorders>
              <w:top w:val="nil"/>
              <w:left w:val="nil"/>
              <w:bottom w:val="nil"/>
              <w:right w:val="nil"/>
            </w:tcBorders>
            <w:shd w:val="clear" w:color="auto" w:fill="auto"/>
            <w:noWrap/>
            <w:vAlign w:val="bottom"/>
            <w:hideMark/>
          </w:tcPr>
          <w:p w14:paraId="255D52E5" w14:textId="77777777" w:rsidR="00A259D7" w:rsidRPr="00A11214" w:rsidRDefault="00A259D7" w:rsidP="00112848">
            <w:pPr>
              <w:spacing w:after="0" w:line="240" w:lineRule="auto"/>
              <w:rPr>
                <w:rFonts w:eastAsia="Times New Roman"/>
                <w:color w:val="000000"/>
              </w:rPr>
            </w:pPr>
          </w:p>
        </w:tc>
      </w:tr>
      <w:tr w:rsidR="00A259D7" w:rsidRPr="00A11214" w14:paraId="2BA282DC" w14:textId="77777777" w:rsidTr="007937A2">
        <w:trPr>
          <w:gridAfter w:val="1"/>
          <w:wAfter w:w="234" w:type="dxa"/>
          <w:trHeight w:val="267"/>
        </w:trPr>
        <w:tc>
          <w:tcPr>
            <w:tcW w:w="2823" w:type="dxa"/>
            <w:tcBorders>
              <w:top w:val="nil"/>
              <w:left w:val="nil"/>
              <w:bottom w:val="nil"/>
              <w:right w:val="nil"/>
            </w:tcBorders>
            <w:shd w:val="clear" w:color="auto" w:fill="auto"/>
            <w:hideMark/>
          </w:tcPr>
          <w:p w14:paraId="5F9F67EC" w14:textId="77777777" w:rsidR="00A259D7" w:rsidRPr="00A11214" w:rsidRDefault="00A259D7" w:rsidP="00112848">
            <w:pPr>
              <w:spacing w:after="0" w:line="240" w:lineRule="auto"/>
              <w:rPr>
                <w:rFonts w:eastAsia="Times New Roman"/>
                <w:color w:val="000000"/>
              </w:rPr>
            </w:pPr>
            <w:r w:rsidRPr="001D6D75">
              <w:t>const</w:t>
            </w:r>
          </w:p>
        </w:tc>
        <w:tc>
          <w:tcPr>
            <w:tcW w:w="2055" w:type="dxa"/>
            <w:gridSpan w:val="2"/>
            <w:tcBorders>
              <w:top w:val="nil"/>
              <w:left w:val="nil"/>
              <w:bottom w:val="nil"/>
              <w:right w:val="nil"/>
            </w:tcBorders>
            <w:shd w:val="clear" w:color="auto" w:fill="auto"/>
            <w:noWrap/>
            <w:hideMark/>
          </w:tcPr>
          <w:p w14:paraId="0162A640" w14:textId="77777777" w:rsidR="00A259D7" w:rsidRPr="007937A2" w:rsidRDefault="00A259D7" w:rsidP="007937A2">
            <w:pPr>
              <w:spacing w:after="0" w:line="240" w:lineRule="auto"/>
              <w:jc w:val="center"/>
              <w:rPr>
                <w:rFonts w:eastAsia="Times New Roman"/>
                <w:color w:val="FF0000"/>
              </w:rPr>
            </w:pPr>
            <w:r w:rsidRPr="0052118A">
              <w:t>0.0906</w:t>
            </w:r>
          </w:p>
        </w:tc>
        <w:tc>
          <w:tcPr>
            <w:tcW w:w="1208" w:type="dxa"/>
            <w:gridSpan w:val="2"/>
            <w:tcBorders>
              <w:top w:val="nil"/>
              <w:left w:val="nil"/>
              <w:bottom w:val="nil"/>
              <w:right w:val="nil"/>
            </w:tcBorders>
            <w:shd w:val="clear" w:color="auto" w:fill="auto"/>
            <w:noWrap/>
            <w:hideMark/>
          </w:tcPr>
          <w:p w14:paraId="40908CBD" w14:textId="77777777" w:rsidR="00A259D7" w:rsidRPr="007937A2" w:rsidRDefault="00A259D7" w:rsidP="007937A2">
            <w:pPr>
              <w:spacing w:after="0" w:line="240" w:lineRule="auto"/>
              <w:jc w:val="center"/>
              <w:rPr>
                <w:rFonts w:eastAsia="Times New Roman"/>
                <w:color w:val="FF0000"/>
              </w:rPr>
            </w:pPr>
            <w:r w:rsidRPr="0052118A">
              <w:t>0.0225</w:t>
            </w:r>
          </w:p>
        </w:tc>
        <w:tc>
          <w:tcPr>
            <w:tcW w:w="1235" w:type="dxa"/>
            <w:gridSpan w:val="2"/>
            <w:tcBorders>
              <w:top w:val="nil"/>
              <w:left w:val="nil"/>
              <w:bottom w:val="nil"/>
              <w:right w:val="nil"/>
            </w:tcBorders>
            <w:shd w:val="clear" w:color="auto" w:fill="auto"/>
            <w:noWrap/>
            <w:hideMark/>
          </w:tcPr>
          <w:p w14:paraId="0473FDF0" w14:textId="77777777" w:rsidR="00A259D7" w:rsidRPr="007937A2" w:rsidRDefault="00A259D7" w:rsidP="00112848">
            <w:pPr>
              <w:spacing w:after="0" w:line="240" w:lineRule="auto"/>
              <w:jc w:val="center"/>
              <w:rPr>
                <w:rFonts w:eastAsia="Times New Roman"/>
                <w:color w:val="FF0000"/>
              </w:rPr>
            </w:pPr>
            <w:r w:rsidRPr="0052118A">
              <w:t>4.025</w:t>
            </w:r>
          </w:p>
        </w:tc>
        <w:tc>
          <w:tcPr>
            <w:tcW w:w="1089" w:type="dxa"/>
            <w:gridSpan w:val="2"/>
            <w:tcBorders>
              <w:top w:val="nil"/>
              <w:left w:val="nil"/>
              <w:bottom w:val="nil"/>
              <w:right w:val="nil"/>
            </w:tcBorders>
            <w:shd w:val="clear" w:color="auto" w:fill="auto"/>
            <w:noWrap/>
            <w:hideMark/>
          </w:tcPr>
          <w:p w14:paraId="70E1A5DE" w14:textId="77777777" w:rsidR="00A259D7" w:rsidRPr="007937A2" w:rsidRDefault="00A259D7" w:rsidP="00112848">
            <w:pPr>
              <w:spacing w:after="0" w:line="240" w:lineRule="auto"/>
              <w:jc w:val="center"/>
              <w:rPr>
                <w:rFonts w:eastAsia="Times New Roman"/>
                <w:color w:val="FF0000"/>
              </w:rPr>
            </w:pPr>
            <w:r w:rsidRPr="0052118A">
              <w:t>0.0005</w:t>
            </w:r>
          </w:p>
        </w:tc>
        <w:tc>
          <w:tcPr>
            <w:tcW w:w="716" w:type="dxa"/>
            <w:gridSpan w:val="2"/>
            <w:tcBorders>
              <w:top w:val="nil"/>
              <w:left w:val="nil"/>
              <w:bottom w:val="nil"/>
              <w:right w:val="nil"/>
            </w:tcBorders>
            <w:shd w:val="clear" w:color="auto" w:fill="auto"/>
            <w:noWrap/>
            <w:vAlign w:val="bottom"/>
            <w:hideMark/>
          </w:tcPr>
          <w:p w14:paraId="1BA53302" w14:textId="77777777" w:rsidR="00A259D7" w:rsidRPr="00A11214" w:rsidRDefault="00A259D7" w:rsidP="00112848">
            <w:pPr>
              <w:spacing w:after="0" w:line="240" w:lineRule="auto"/>
              <w:rPr>
                <w:rFonts w:eastAsia="Times New Roman"/>
                <w:color w:val="000000"/>
              </w:rPr>
            </w:pPr>
            <w:r w:rsidRPr="00A11214">
              <w:rPr>
                <w:rFonts w:eastAsia="Times New Roman"/>
                <w:color w:val="000000"/>
              </w:rPr>
              <w:t>***</w:t>
            </w:r>
          </w:p>
        </w:tc>
      </w:tr>
      <w:tr w:rsidR="00A259D7" w:rsidRPr="00A11214" w14:paraId="0909C38A" w14:textId="77777777" w:rsidTr="007937A2">
        <w:trPr>
          <w:gridAfter w:val="1"/>
          <w:wAfter w:w="234" w:type="dxa"/>
          <w:trHeight w:val="267"/>
        </w:trPr>
        <w:tc>
          <w:tcPr>
            <w:tcW w:w="2823" w:type="dxa"/>
            <w:tcBorders>
              <w:top w:val="nil"/>
              <w:left w:val="nil"/>
              <w:bottom w:val="single" w:sz="4" w:space="0" w:color="auto"/>
              <w:right w:val="nil"/>
            </w:tcBorders>
            <w:shd w:val="clear" w:color="auto" w:fill="auto"/>
            <w:hideMark/>
          </w:tcPr>
          <w:p w14:paraId="1482EF11" w14:textId="77777777" w:rsidR="00A259D7" w:rsidRPr="00A11214" w:rsidRDefault="00A259D7" w:rsidP="00112848">
            <w:pPr>
              <w:spacing w:after="0" w:line="240" w:lineRule="auto"/>
              <w:rPr>
                <w:rFonts w:eastAsia="Times New Roman"/>
                <w:color w:val="000000"/>
              </w:rPr>
            </w:pPr>
            <w:r w:rsidRPr="001D6D75">
              <w:t>Trading to Assets Ratio</w:t>
            </w:r>
          </w:p>
        </w:tc>
        <w:tc>
          <w:tcPr>
            <w:tcW w:w="2055" w:type="dxa"/>
            <w:gridSpan w:val="2"/>
            <w:tcBorders>
              <w:top w:val="nil"/>
              <w:left w:val="nil"/>
              <w:bottom w:val="single" w:sz="4" w:space="0" w:color="auto"/>
              <w:right w:val="nil"/>
            </w:tcBorders>
            <w:shd w:val="clear" w:color="auto" w:fill="auto"/>
            <w:noWrap/>
            <w:hideMark/>
          </w:tcPr>
          <w:p w14:paraId="7E1A1B0A" w14:textId="77777777" w:rsidR="00A259D7" w:rsidRPr="007937A2" w:rsidRDefault="00A259D7" w:rsidP="007937A2">
            <w:pPr>
              <w:spacing w:after="0" w:line="240" w:lineRule="auto"/>
              <w:jc w:val="center"/>
              <w:rPr>
                <w:rFonts w:eastAsia="Times New Roman"/>
                <w:color w:val="FF0000"/>
              </w:rPr>
            </w:pPr>
            <w:r w:rsidRPr="0052118A">
              <w:t>0.00191</w:t>
            </w:r>
          </w:p>
        </w:tc>
        <w:tc>
          <w:tcPr>
            <w:tcW w:w="1208" w:type="dxa"/>
            <w:gridSpan w:val="2"/>
            <w:tcBorders>
              <w:top w:val="nil"/>
              <w:left w:val="nil"/>
              <w:bottom w:val="single" w:sz="4" w:space="0" w:color="auto"/>
              <w:right w:val="nil"/>
            </w:tcBorders>
            <w:shd w:val="clear" w:color="auto" w:fill="auto"/>
            <w:noWrap/>
            <w:hideMark/>
          </w:tcPr>
          <w:p w14:paraId="4A8C53DB" w14:textId="77777777" w:rsidR="00A259D7" w:rsidRPr="007937A2" w:rsidRDefault="00A259D7" w:rsidP="007937A2">
            <w:pPr>
              <w:spacing w:after="0" w:line="240" w:lineRule="auto"/>
              <w:jc w:val="center"/>
              <w:rPr>
                <w:rFonts w:eastAsia="Times New Roman"/>
                <w:color w:val="FF0000"/>
              </w:rPr>
            </w:pPr>
            <w:r w:rsidRPr="0052118A">
              <w:t>0.0863</w:t>
            </w:r>
          </w:p>
        </w:tc>
        <w:tc>
          <w:tcPr>
            <w:tcW w:w="1235" w:type="dxa"/>
            <w:gridSpan w:val="2"/>
            <w:tcBorders>
              <w:top w:val="nil"/>
              <w:left w:val="nil"/>
              <w:bottom w:val="single" w:sz="4" w:space="0" w:color="auto"/>
              <w:right w:val="nil"/>
            </w:tcBorders>
            <w:shd w:val="clear" w:color="auto" w:fill="auto"/>
            <w:noWrap/>
            <w:hideMark/>
          </w:tcPr>
          <w:p w14:paraId="0479D0E7" w14:textId="77777777" w:rsidR="00A259D7" w:rsidRPr="007937A2" w:rsidRDefault="00A259D7" w:rsidP="007937A2">
            <w:pPr>
              <w:spacing w:after="0" w:line="240" w:lineRule="auto"/>
              <w:jc w:val="center"/>
              <w:rPr>
                <w:rFonts w:eastAsia="Times New Roman"/>
                <w:color w:val="FF0000"/>
              </w:rPr>
            </w:pPr>
            <w:r w:rsidRPr="0052118A">
              <w:t>0.022</w:t>
            </w:r>
          </w:p>
        </w:tc>
        <w:tc>
          <w:tcPr>
            <w:tcW w:w="1089" w:type="dxa"/>
            <w:gridSpan w:val="2"/>
            <w:tcBorders>
              <w:top w:val="nil"/>
              <w:left w:val="nil"/>
              <w:bottom w:val="single" w:sz="4" w:space="0" w:color="auto"/>
              <w:right w:val="nil"/>
            </w:tcBorders>
            <w:shd w:val="clear" w:color="auto" w:fill="auto"/>
            <w:noWrap/>
            <w:hideMark/>
          </w:tcPr>
          <w:p w14:paraId="504FE750" w14:textId="77777777" w:rsidR="00A259D7" w:rsidRPr="007937A2" w:rsidRDefault="00A259D7" w:rsidP="007937A2">
            <w:pPr>
              <w:spacing w:after="0" w:line="240" w:lineRule="auto"/>
              <w:jc w:val="center"/>
              <w:rPr>
                <w:rFonts w:eastAsia="Times New Roman"/>
                <w:color w:val="FF0000"/>
              </w:rPr>
            </w:pPr>
            <w:r w:rsidRPr="0052118A">
              <w:t>0.982</w:t>
            </w:r>
          </w:p>
        </w:tc>
        <w:tc>
          <w:tcPr>
            <w:tcW w:w="716" w:type="dxa"/>
            <w:gridSpan w:val="2"/>
            <w:tcBorders>
              <w:top w:val="nil"/>
              <w:left w:val="nil"/>
              <w:bottom w:val="nil"/>
              <w:right w:val="nil"/>
            </w:tcBorders>
            <w:shd w:val="clear" w:color="auto" w:fill="auto"/>
            <w:noWrap/>
            <w:vAlign w:val="bottom"/>
            <w:hideMark/>
          </w:tcPr>
          <w:p w14:paraId="2469C726" w14:textId="77777777" w:rsidR="00A259D7" w:rsidRPr="00A11214" w:rsidRDefault="00A259D7" w:rsidP="00112848">
            <w:pPr>
              <w:spacing w:after="0" w:line="240" w:lineRule="auto"/>
              <w:rPr>
                <w:rFonts w:eastAsia="Times New Roman"/>
                <w:color w:val="000000"/>
              </w:rPr>
            </w:pPr>
          </w:p>
        </w:tc>
      </w:tr>
      <w:tr w:rsidR="00A259D7" w:rsidRPr="00A11214" w14:paraId="1BE1546C" w14:textId="77777777" w:rsidTr="007937A2">
        <w:trPr>
          <w:gridAfter w:val="1"/>
          <w:wAfter w:w="234" w:type="dxa"/>
          <w:trHeight w:val="267"/>
        </w:trPr>
        <w:tc>
          <w:tcPr>
            <w:tcW w:w="2823" w:type="dxa"/>
            <w:tcBorders>
              <w:top w:val="nil"/>
              <w:left w:val="nil"/>
              <w:bottom w:val="nil"/>
              <w:right w:val="nil"/>
            </w:tcBorders>
            <w:shd w:val="clear" w:color="auto" w:fill="auto"/>
            <w:hideMark/>
          </w:tcPr>
          <w:p w14:paraId="569F4A97" w14:textId="33DA4F8D" w:rsidR="00A259D7" w:rsidRPr="007937A2" w:rsidRDefault="00A259D7" w:rsidP="00112848">
            <w:pPr>
              <w:spacing w:after="0" w:line="240" w:lineRule="auto"/>
              <w:rPr>
                <w:rFonts w:eastAsia="Times New Roman"/>
                <w:b/>
                <w:bCs/>
                <w:color w:val="000000"/>
              </w:rPr>
            </w:pPr>
            <w:r w:rsidRPr="007937A2">
              <w:rPr>
                <w:b/>
              </w:rPr>
              <w:t>Model 2</w:t>
            </w:r>
            <w:r w:rsidR="00974113">
              <w:rPr>
                <w:b/>
              </w:rPr>
              <w:t xml:space="preserve">:  </w:t>
            </w:r>
            <w:r w:rsidRPr="007937A2">
              <w:rPr>
                <w:b/>
              </w:rPr>
              <w:t xml:space="preserve">50 </w:t>
            </w:r>
            <w:proofErr w:type="spellStart"/>
            <w:r w:rsidRPr="007937A2">
              <w:rPr>
                <w:b/>
              </w:rPr>
              <w:t>obs</w:t>
            </w:r>
            <w:proofErr w:type="spellEnd"/>
          </w:p>
        </w:tc>
        <w:tc>
          <w:tcPr>
            <w:tcW w:w="2055" w:type="dxa"/>
            <w:gridSpan w:val="2"/>
            <w:tcBorders>
              <w:top w:val="nil"/>
              <w:left w:val="nil"/>
              <w:bottom w:val="nil"/>
              <w:right w:val="nil"/>
            </w:tcBorders>
            <w:shd w:val="clear" w:color="auto" w:fill="auto"/>
            <w:noWrap/>
            <w:vAlign w:val="bottom"/>
            <w:hideMark/>
          </w:tcPr>
          <w:p w14:paraId="37FD6B4E" w14:textId="77777777" w:rsidR="00A259D7" w:rsidRPr="007937A2" w:rsidRDefault="00A259D7" w:rsidP="00112848">
            <w:pPr>
              <w:spacing w:after="0" w:line="240" w:lineRule="auto"/>
              <w:jc w:val="center"/>
              <w:rPr>
                <w:rFonts w:eastAsia="Times New Roman"/>
                <w:color w:val="FF0000"/>
              </w:rPr>
            </w:pPr>
          </w:p>
        </w:tc>
        <w:tc>
          <w:tcPr>
            <w:tcW w:w="1208" w:type="dxa"/>
            <w:gridSpan w:val="2"/>
            <w:tcBorders>
              <w:top w:val="nil"/>
              <w:left w:val="nil"/>
              <w:bottom w:val="nil"/>
              <w:right w:val="nil"/>
            </w:tcBorders>
            <w:shd w:val="clear" w:color="auto" w:fill="auto"/>
            <w:noWrap/>
            <w:vAlign w:val="bottom"/>
            <w:hideMark/>
          </w:tcPr>
          <w:p w14:paraId="100A711F" w14:textId="77777777" w:rsidR="00A259D7" w:rsidRPr="007937A2" w:rsidRDefault="00A259D7" w:rsidP="00112848">
            <w:pPr>
              <w:spacing w:after="0" w:line="240" w:lineRule="auto"/>
              <w:jc w:val="center"/>
              <w:rPr>
                <w:rFonts w:eastAsia="Times New Roman"/>
                <w:color w:val="FF0000"/>
              </w:rPr>
            </w:pPr>
          </w:p>
        </w:tc>
        <w:tc>
          <w:tcPr>
            <w:tcW w:w="1235" w:type="dxa"/>
            <w:gridSpan w:val="2"/>
            <w:tcBorders>
              <w:top w:val="nil"/>
              <w:left w:val="nil"/>
              <w:bottom w:val="nil"/>
              <w:right w:val="nil"/>
            </w:tcBorders>
            <w:shd w:val="clear" w:color="auto" w:fill="auto"/>
            <w:noWrap/>
            <w:vAlign w:val="bottom"/>
            <w:hideMark/>
          </w:tcPr>
          <w:p w14:paraId="7BA2674F" w14:textId="77777777" w:rsidR="00A259D7" w:rsidRPr="007937A2" w:rsidRDefault="00A259D7" w:rsidP="00112848">
            <w:pPr>
              <w:spacing w:after="0" w:line="240" w:lineRule="auto"/>
              <w:jc w:val="center"/>
              <w:rPr>
                <w:rFonts w:eastAsia="Times New Roman"/>
                <w:color w:val="FF0000"/>
              </w:rPr>
            </w:pPr>
          </w:p>
        </w:tc>
        <w:tc>
          <w:tcPr>
            <w:tcW w:w="1089" w:type="dxa"/>
            <w:gridSpan w:val="2"/>
            <w:tcBorders>
              <w:top w:val="nil"/>
              <w:left w:val="nil"/>
              <w:bottom w:val="nil"/>
              <w:right w:val="nil"/>
            </w:tcBorders>
            <w:shd w:val="clear" w:color="auto" w:fill="auto"/>
            <w:noWrap/>
            <w:vAlign w:val="bottom"/>
            <w:hideMark/>
          </w:tcPr>
          <w:p w14:paraId="2062329E" w14:textId="77777777" w:rsidR="00A259D7" w:rsidRPr="007937A2" w:rsidRDefault="00A259D7" w:rsidP="00112848">
            <w:pPr>
              <w:spacing w:after="0" w:line="240" w:lineRule="auto"/>
              <w:jc w:val="center"/>
              <w:rPr>
                <w:rFonts w:eastAsia="Times New Roman"/>
                <w:color w:val="FF0000"/>
              </w:rPr>
            </w:pPr>
          </w:p>
        </w:tc>
        <w:tc>
          <w:tcPr>
            <w:tcW w:w="716" w:type="dxa"/>
            <w:gridSpan w:val="2"/>
            <w:tcBorders>
              <w:top w:val="nil"/>
              <w:left w:val="nil"/>
              <w:bottom w:val="nil"/>
              <w:right w:val="nil"/>
            </w:tcBorders>
            <w:shd w:val="clear" w:color="auto" w:fill="auto"/>
            <w:noWrap/>
            <w:vAlign w:val="bottom"/>
            <w:hideMark/>
          </w:tcPr>
          <w:p w14:paraId="723CA70B" w14:textId="77777777" w:rsidR="00A259D7" w:rsidRPr="00A11214" w:rsidRDefault="00A259D7" w:rsidP="00112848">
            <w:pPr>
              <w:spacing w:after="0" w:line="240" w:lineRule="auto"/>
              <w:rPr>
                <w:rFonts w:eastAsia="Times New Roman"/>
                <w:color w:val="000000"/>
              </w:rPr>
            </w:pPr>
          </w:p>
        </w:tc>
      </w:tr>
      <w:tr w:rsidR="00A259D7" w:rsidRPr="00A11214" w14:paraId="01C61FBF" w14:textId="77777777" w:rsidTr="007937A2">
        <w:trPr>
          <w:gridAfter w:val="1"/>
          <w:wAfter w:w="234" w:type="dxa"/>
          <w:trHeight w:val="267"/>
        </w:trPr>
        <w:tc>
          <w:tcPr>
            <w:tcW w:w="2823" w:type="dxa"/>
            <w:tcBorders>
              <w:top w:val="nil"/>
              <w:left w:val="nil"/>
              <w:bottom w:val="nil"/>
              <w:right w:val="nil"/>
            </w:tcBorders>
            <w:shd w:val="clear" w:color="auto" w:fill="auto"/>
            <w:hideMark/>
          </w:tcPr>
          <w:p w14:paraId="2E707DCA" w14:textId="77777777" w:rsidR="00A259D7" w:rsidRPr="00A11214" w:rsidRDefault="00A259D7" w:rsidP="00112848">
            <w:pPr>
              <w:spacing w:after="0" w:line="240" w:lineRule="auto"/>
              <w:rPr>
                <w:rFonts w:eastAsia="Times New Roman"/>
                <w:color w:val="000000"/>
              </w:rPr>
            </w:pPr>
            <w:r w:rsidRPr="001D6D75">
              <w:t>Const</w:t>
            </w:r>
          </w:p>
        </w:tc>
        <w:tc>
          <w:tcPr>
            <w:tcW w:w="2055" w:type="dxa"/>
            <w:gridSpan w:val="2"/>
            <w:tcBorders>
              <w:top w:val="nil"/>
              <w:left w:val="nil"/>
              <w:bottom w:val="nil"/>
              <w:right w:val="nil"/>
            </w:tcBorders>
            <w:shd w:val="clear" w:color="auto" w:fill="auto"/>
            <w:noWrap/>
            <w:hideMark/>
          </w:tcPr>
          <w:p w14:paraId="2C967DF5" w14:textId="77777777" w:rsidR="00A259D7" w:rsidRPr="007937A2" w:rsidRDefault="00A259D7" w:rsidP="00112848">
            <w:pPr>
              <w:spacing w:after="0" w:line="240" w:lineRule="auto"/>
              <w:jc w:val="center"/>
              <w:rPr>
                <w:rFonts w:eastAsia="Times New Roman"/>
                <w:color w:val="FF0000"/>
              </w:rPr>
            </w:pPr>
            <w:r w:rsidRPr="0033404D">
              <w:t>0.0757657</w:t>
            </w:r>
          </w:p>
        </w:tc>
        <w:tc>
          <w:tcPr>
            <w:tcW w:w="1208" w:type="dxa"/>
            <w:gridSpan w:val="2"/>
            <w:tcBorders>
              <w:top w:val="nil"/>
              <w:left w:val="nil"/>
              <w:bottom w:val="nil"/>
              <w:right w:val="nil"/>
            </w:tcBorders>
            <w:shd w:val="clear" w:color="auto" w:fill="auto"/>
            <w:noWrap/>
            <w:hideMark/>
          </w:tcPr>
          <w:p w14:paraId="246AF619" w14:textId="77777777" w:rsidR="00A259D7" w:rsidRPr="007937A2" w:rsidRDefault="00A259D7" w:rsidP="007937A2">
            <w:pPr>
              <w:spacing w:after="0" w:line="240" w:lineRule="auto"/>
              <w:jc w:val="center"/>
              <w:rPr>
                <w:rFonts w:eastAsia="Times New Roman"/>
                <w:color w:val="FF0000"/>
              </w:rPr>
            </w:pPr>
            <w:r w:rsidRPr="0033404D">
              <w:t>0.01199</w:t>
            </w:r>
          </w:p>
        </w:tc>
        <w:tc>
          <w:tcPr>
            <w:tcW w:w="1235" w:type="dxa"/>
            <w:gridSpan w:val="2"/>
            <w:tcBorders>
              <w:top w:val="nil"/>
              <w:left w:val="nil"/>
              <w:bottom w:val="nil"/>
              <w:right w:val="nil"/>
            </w:tcBorders>
            <w:shd w:val="clear" w:color="auto" w:fill="auto"/>
            <w:noWrap/>
            <w:hideMark/>
          </w:tcPr>
          <w:p w14:paraId="366FEB9C" w14:textId="77777777" w:rsidR="00A259D7" w:rsidRPr="007937A2" w:rsidRDefault="00A259D7" w:rsidP="007937A2">
            <w:pPr>
              <w:spacing w:after="0" w:line="240" w:lineRule="auto"/>
              <w:jc w:val="center"/>
              <w:rPr>
                <w:rFonts w:eastAsia="Times New Roman"/>
                <w:color w:val="FF0000"/>
              </w:rPr>
            </w:pPr>
            <w:r w:rsidRPr="0033404D">
              <w:t>6.3</w:t>
            </w:r>
            <w:r>
              <w:t>2</w:t>
            </w:r>
          </w:p>
        </w:tc>
        <w:tc>
          <w:tcPr>
            <w:tcW w:w="1089" w:type="dxa"/>
            <w:gridSpan w:val="2"/>
            <w:tcBorders>
              <w:top w:val="nil"/>
              <w:left w:val="nil"/>
              <w:bottom w:val="nil"/>
              <w:right w:val="nil"/>
            </w:tcBorders>
            <w:shd w:val="clear" w:color="auto" w:fill="auto"/>
            <w:noWrap/>
            <w:hideMark/>
          </w:tcPr>
          <w:p w14:paraId="7EAE80EE" w14:textId="77777777" w:rsidR="00A259D7" w:rsidRPr="007937A2" w:rsidRDefault="00A259D7" w:rsidP="007937A2">
            <w:pPr>
              <w:spacing w:after="0" w:line="240" w:lineRule="auto"/>
              <w:jc w:val="center"/>
              <w:rPr>
                <w:rFonts w:eastAsia="Times New Roman"/>
                <w:color w:val="FF0000"/>
              </w:rPr>
            </w:pPr>
            <w:r>
              <w:t>0.0000</w:t>
            </w:r>
          </w:p>
        </w:tc>
        <w:tc>
          <w:tcPr>
            <w:tcW w:w="716" w:type="dxa"/>
            <w:gridSpan w:val="2"/>
            <w:tcBorders>
              <w:top w:val="nil"/>
              <w:left w:val="nil"/>
              <w:bottom w:val="nil"/>
              <w:right w:val="nil"/>
            </w:tcBorders>
            <w:shd w:val="clear" w:color="auto" w:fill="auto"/>
            <w:noWrap/>
            <w:vAlign w:val="bottom"/>
            <w:hideMark/>
          </w:tcPr>
          <w:p w14:paraId="079532AF" w14:textId="77777777" w:rsidR="00A259D7" w:rsidRPr="00A11214" w:rsidRDefault="00A259D7" w:rsidP="00112848">
            <w:pPr>
              <w:spacing w:after="0" w:line="240" w:lineRule="auto"/>
              <w:rPr>
                <w:rFonts w:eastAsia="Times New Roman"/>
                <w:color w:val="000000"/>
              </w:rPr>
            </w:pPr>
            <w:r w:rsidRPr="00A11214">
              <w:rPr>
                <w:rFonts w:eastAsia="Times New Roman"/>
                <w:color w:val="000000"/>
              </w:rPr>
              <w:t>***</w:t>
            </w:r>
          </w:p>
        </w:tc>
      </w:tr>
      <w:tr w:rsidR="00A259D7" w:rsidRPr="00A11214" w14:paraId="31CC95C8" w14:textId="77777777" w:rsidTr="007937A2">
        <w:trPr>
          <w:gridAfter w:val="1"/>
          <w:wAfter w:w="234" w:type="dxa"/>
          <w:trHeight w:val="267"/>
        </w:trPr>
        <w:tc>
          <w:tcPr>
            <w:tcW w:w="2823" w:type="dxa"/>
            <w:tcBorders>
              <w:top w:val="nil"/>
              <w:left w:val="nil"/>
              <w:bottom w:val="single" w:sz="4" w:space="0" w:color="auto"/>
              <w:right w:val="nil"/>
            </w:tcBorders>
            <w:shd w:val="clear" w:color="auto" w:fill="auto"/>
            <w:hideMark/>
          </w:tcPr>
          <w:p w14:paraId="28BC9065" w14:textId="77777777" w:rsidR="00A259D7" w:rsidRPr="00A11214" w:rsidRDefault="00A259D7" w:rsidP="00112848">
            <w:pPr>
              <w:spacing w:after="0" w:line="240" w:lineRule="auto"/>
              <w:rPr>
                <w:rFonts w:eastAsia="Times New Roman"/>
                <w:color w:val="000000"/>
              </w:rPr>
            </w:pPr>
            <w:r w:rsidRPr="001D6D75">
              <w:t>Derivatives  to Assets Ratio</w:t>
            </w:r>
          </w:p>
        </w:tc>
        <w:tc>
          <w:tcPr>
            <w:tcW w:w="2055" w:type="dxa"/>
            <w:gridSpan w:val="2"/>
            <w:tcBorders>
              <w:top w:val="nil"/>
              <w:left w:val="nil"/>
              <w:bottom w:val="single" w:sz="4" w:space="0" w:color="auto"/>
              <w:right w:val="nil"/>
            </w:tcBorders>
            <w:shd w:val="clear" w:color="auto" w:fill="auto"/>
            <w:noWrap/>
            <w:hideMark/>
          </w:tcPr>
          <w:p w14:paraId="64FC3A66" w14:textId="77777777" w:rsidR="00A259D7" w:rsidRPr="007937A2" w:rsidRDefault="00A259D7" w:rsidP="007937A2">
            <w:pPr>
              <w:spacing w:after="0" w:line="240" w:lineRule="auto"/>
              <w:jc w:val="center"/>
              <w:rPr>
                <w:rFonts w:eastAsia="Times New Roman"/>
                <w:color w:val="FF0000"/>
              </w:rPr>
            </w:pPr>
            <w:r w:rsidRPr="0033404D">
              <w:t>0.000132</w:t>
            </w:r>
          </w:p>
        </w:tc>
        <w:tc>
          <w:tcPr>
            <w:tcW w:w="1208" w:type="dxa"/>
            <w:gridSpan w:val="2"/>
            <w:tcBorders>
              <w:top w:val="nil"/>
              <w:left w:val="nil"/>
              <w:bottom w:val="single" w:sz="4" w:space="0" w:color="auto"/>
              <w:right w:val="nil"/>
            </w:tcBorders>
            <w:shd w:val="clear" w:color="auto" w:fill="auto"/>
            <w:noWrap/>
            <w:hideMark/>
          </w:tcPr>
          <w:p w14:paraId="3B594561" w14:textId="77777777" w:rsidR="00A259D7" w:rsidRPr="007937A2" w:rsidRDefault="00A259D7" w:rsidP="007937A2">
            <w:pPr>
              <w:spacing w:after="0" w:line="240" w:lineRule="auto"/>
              <w:jc w:val="center"/>
              <w:rPr>
                <w:rFonts w:eastAsia="Times New Roman"/>
                <w:color w:val="FF0000"/>
              </w:rPr>
            </w:pPr>
            <w:r w:rsidRPr="0033404D">
              <w:t>0.0271</w:t>
            </w:r>
          </w:p>
        </w:tc>
        <w:tc>
          <w:tcPr>
            <w:tcW w:w="1235" w:type="dxa"/>
            <w:gridSpan w:val="2"/>
            <w:tcBorders>
              <w:top w:val="nil"/>
              <w:left w:val="nil"/>
              <w:bottom w:val="single" w:sz="4" w:space="0" w:color="auto"/>
              <w:right w:val="nil"/>
            </w:tcBorders>
            <w:shd w:val="clear" w:color="auto" w:fill="auto"/>
            <w:noWrap/>
            <w:hideMark/>
          </w:tcPr>
          <w:p w14:paraId="6AC76A69" w14:textId="77777777" w:rsidR="00A259D7" w:rsidRPr="007937A2" w:rsidRDefault="00A259D7" w:rsidP="007937A2">
            <w:pPr>
              <w:spacing w:after="0" w:line="240" w:lineRule="auto"/>
              <w:jc w:val="center"/>
              <w:rPr>
                <w:rFonts w:eastAsia="Times New Roman"/>
                <w:color w:val="FF0000"/>
              </w:rPr>
            </w:pPr>
            <w:r w:rsidRPr="0033404D">
              <w:t>0.004</w:t>
            </w:r>
            <w:r>
              <w:t>9</w:t>
            </w:r>
          </w:p>
        </w:tc>
        <w:tc>
          <w:tcPr>
            <w:tcW w:w="1089" w:type="dxa"/>
            <w:gridSpan w:val="2"/>
            <w:tcBorders>
              <w:top w:val="nil"/>
              <w:left w:val="nil"/>
              <w:bottom w:val="single" w:sz="4" w:space="0" w:color="auto"/>
              <w:right w:val="nil"/>
            </w:tcBorders>
            <w:shd w:val="clear" w:color="auto" w:fill="auto"/>
            <w:noWrap/>
            <w:hideMark/>
          </w:tcPr>
          <w:p w14:paraId="7F4A259E" w14:textId="77777777" w:rsidR="00A259D7" w:rsidRPr="007937A2" w:rsidRDefault="00A259D7" w:rsidP="00112848">
            <w:pPr>
              <w:spacing w:after="0" w:line="240" w:lineRule="auto"/>
              <w:jc w:val="center"/>
              <w:rPr>
                <w:rFonts w:eastAsia="Times New Roman"/>
                <w:color w:val="FF0000"/>
              </w:rPr>
            </w:pPr>
            <w:r w:rsidRPr="0033404D">
              <w:t>0.9961</w:t>
            </w:r>
          </w:p>
        </w:tc>
        <w:tc>
          <w:tcPr>
            <w:tcW w:w="716" w:type="dxa"/>
            <w:gridSpan w:val="2"/>
            <w:tcBorders>
              <w:top w:val="nil"/>
              <w:left w:val="nil"/>
              <w:bottom w:val="nil"/>
              <w:right w:val="nil"/>
            </w:tcBorders>
            <w:shd w:val="clear" w:color="auto" w:fill="auto"/>
            <w:noWrap/>
            <w:vAlign w:val="bottom"/>
            <w:hideMark/>
          </w:tcPr>
          <w:p w14:paraId="5A9218C1" w14:textId="77777777" w:rsidR="00A259D7" w:rsidRPr="00A11214" w:rsidRDefault="00A259D7" w:rsidP="00112848">
            <w:pPr>
              <w:spacing w:after="0" w:line="240" w:lineRule="auto"/>
              <w:rPr>
                <w:rFonts w:eastAsia="Times New Roman"/>
                <w:color w:val="000000"/>
              </w:rPr>
            </w:pPr>
          </w:p>
        </w:tc>
      </w:tr>
      <w:tr w:rsidR="00A259D7" w:rsidRPr="00A11214" w14:paraId="560D9BF8" w14:textId="77777777" w:rsidTr="007937A2">
        <w:trPr>
          <w:gridAfter w:val="1"/>
          <w:wAfter w:w="234" w:type="dxa"/>
          <w:trHeight w:val="267"/>
        </w:trPr>
        <w:tc>
          <w:tcPr>
            <w:tcW w:w="2823" w:type="dxa"/>
            <w:tcBorders>
              <w:top w:val="nil"/>
              <w:left w:val="nil"/>
              <w:bottom w:val="nil"/>
              <w:right w:val="nil"/>
            </w:tcBorders>
            <w:shd w:val="clear" w:color="auto" w:fill="auto"/>
            <w:hideMark/>
          </w:tcPr>
          <w:p w14:paraId="109AE231" w14:textId="5184BA1A" w:rsidR="00A259D7" w:rsidRPr="007937A2" w:rsidRDefault="00A259D7" w:rsidP="00112848">
            <w:pPr>
              <w:spacing w:after="0" w:line="240" w:lineRule="auto"/>
              <w:rPr>
                <w:rFonts w:eastAsia="Times New Roman"/>
                <w:b/>
                <w:bCs/>
                <w:color w:val="000000"/>
              </w:rPr>
            </w:pPr>
            <w:r w:rsidRPr="007937A2">
              <w:rPr>
                <w:b/>
              </w:rPr>
              <w:t>Model 3</w:t>
            </w:r>
            <w:r w:rsidR="00974113">
              <w:rPr>
                <w:b/>
              </w:rPr>
              <w:t xml:space="preserve">:  </w:t>
            </w:r>
            <w:r w:rsidRPr="007937A2">
              <w:rPr>
                <w:b/>
              </w:rPr>
              <w:t xml:space="preserve">18 </w:t>
            </w:r>
            <w:proofErr w:type="spellStart"/>
            <w:r w:rsidRPr="007937A2">
              <w:rPr>
                <w:b/>
              </w:rPr>
              <w:t>obs</w:t>
            </w:r>
            <w:proofErr w:type="spellEnd"/>
          </w:p>
        </w:tc>
        <w:tc>
          <w:tcPr>
            <w:tcW w:w="2055" w:type="dxa"/>
            <w:gridSpan w:val="2"/>
            <w:tcBorders>
              <w:top w:val="nil"/>
              <w:left w:val="nil"/>
              <w:bottom w:val="nil"/>
              <w:right w:val="nil"/>
            </w:tcBorders>
            <w:shd w:val="clear" w:color="auto" w:fill="auto"/>
            <w:noWrap/>
            <w:vAlign w:val="bottom"/>
            <w:hideMark/>
          </w:tcPr>
          <w:p w14:paraId="20E41EAF" w14:textId="77777777" w:rsidR="00A259D7" w:rsidRPr="007937A2" w:rsidRDefault="00A259D7" w:rsidP="00112848">
            <w:pPr>
              <w:spacing w:after="0" w:line="240" w:lineRule="auto"/>
              <w:jc w:val="center"/>
              <w:rPr>
                <w:rFonts w:eastAsia="Times New Roman"/>
                <w:color w:val="FF0000"/>
              </w:rPr>
            </w:pPr>
          </w:p>
        </w:tc>
        <w:tc>
          <w:tcPr>
            <w:tcW w:w="1208" w:type="dxa"/>
            <w:gridSpan w:val="2"/>
            <w:tcBorders>
              <w:top w:val="nil"/>
              <w:left w:val="nil"/>
              <w:bottom w:val="nil"/>
              <w:right w:val="nil"/>
            </w:tcBorders>
            <w:shd w:val="clear" w:color="auto" w:fill="auto"/>
            <w:noWrap/>
            <w:vAlign w:val="bottom"/>
            <w:hideMark/>
          </w:tcPr>
          <w:p w14:paraId="6A79F1D8" w14:textId="77777777" w:rsidR="00A259D7" w:rsidRPr="007937A2" w:rsidRDefault="00A259D7" w:rsidP="00112848">
            <w:pPr>
              <w:spacing w:after="0" w:line="240" w:lineRule="auto"/>
              <w:jc w:val="center"/>
              <w:rPr>
                <w:rFonts w:eastAsia="Times New Roman"/>
                <w:color w:val="FF0000"/>
              </w:rPr>
            </w:pPr>
          </w:p>
        </w:tc>
        <w:tc>
          <w:tcPr>
            <w:tcW w:w="1235" w:type="dxa"/>
            <w:gridSpan w:val="2"/>
            <w:tcBorders>
              <w:top w:val="nil"/>
              <w:left w:val="nil"/>
              <w:bottom w:val="nil"/>
              <w:right w:val="nil"/>
            </w:tcBorders>
            <w:shd w:val="clear" w:color="auto" w:fill="auto"/>
            <w:noWrap/>
            <w:vAlign w:val="bottom"/>
            <w:hideMark/>
          </w:tcPr>
          <w:p w14:paraId="633FD63D" w14:textId="77777777" w:rsidR="00A259D7" w:rsidRPr="007937A2" w:rsidRDefault="00A259D7" w:rsidP="00112848">
            <w:pPr>
              <w:spacing w:after="0" w:line="240" w:lineRule="auto"/>
              <w:jc w:val="center"/>
              <w:rPr>
                <w:rFonts w:eastAsia="Times New Roman"/>
                <w:color w:val="FF0000"/>
              </w:rPr>
            </w:pPr>
          </w:p>
        </w:tc>
        <w:tc>
          <w:tcPr>
            <w:tcW w:w="1089" w:type="dxa"/>
            <w:gridSpan w:val="2"/>
            <w:tcBorders>
              <w:top w:val="nil"/>
              <w:left w:val="nil"/>
              <w:bottom w:val="nil"/>
              <w:right w:val="nil"/>
            </w:tcBorders>
            <w:shd w:val="clear" w:color="auto" w:fill="auto"/>
            <w:noWrap/>
            <w:vAlign w:val="bottom"/>
            <w:hideMark/>
          </w:tcPr>
          <w:p w14:paraId="230ADC25" w14:textId="77777777" w:rsidR="00A259D7" w:rsidRPr="007937A2" w:rsidRDefault="00A259D7" w:rsidP="00112848">
            <w:pPr>
              <w:spacing w:after="0" w:line="240" w:lineRule="auto"/>
              <w:jc w:val="center"/>
              <w:rPr>
                <w:rFonts w:eastAsia="Times New Roman"/>
                <w:color w:val="FF0000"/>
              </w:rPr>
            </w:pPr>
          </w:p>
        </w:tc>
        <w:tc>
          <w:tcPr>
            <w:tcW w:w="716" w:type="dxa"/>
            <w:gridSpan w:val="2"/>
            <w:tcBorders>
              <w:top w:val="nil"/>
              <w:left w:val="nil"/>
              <w:bottom w:val="nil"/>
              <w:right w:val="nil"/>
            </w:tcBorders>
            <w:shd w:val="clear" w:color="auto" w:fill="auto"/>
            <w:noWrap/>
            <w:vAlign w:val="bottom"/>
            <w:hideMark/>
          </w:tcPr>
          <w:p w14:paraId="72AC4630" w14:textId="77777777" w:rsidR="00A259D7" w:rsidRPr="00A11214" w:rsidRDefault="00A259D7" w:rsidP="00112848">
            <w:pPr>
              <w:spacing w:after="0" w:line="240" w:lineRule="auto"/>
              <w:rPr>
                <w:rFonts w:eastAsia="Times New Roman"/>
                <w:color w:val="000000"/>
              </w:rPr>
            </w:pPr>
          </w:p>
        </w:tc>
      </w:tr>
      <w:tr w:rsidR="00A259D7" w:rsidRPr="00A11214" w14:paraId="4B7B48EF" w14:textId="77777777" w:rsidTr="007937A2">
        <w:trPr>
          <w:gridAfter w:val="1"/>
          <w:wAfter w:w="234" w:type="dxa"/>
          <w:trHeight w:val="267"/>
        </w:trPr>
        <w:tc>
          <w:tcPr>
            <w:tcW w:w="2823" w:type="dxa"/>
            <w:tcBorders>
              <w:top w:val="nil"/>
              <w:left w:val="nil"/>
              <w:bottom w:val="nil"/>
              <w:right w:val="nil"/>
            </w:tcBorders>
            <w:shd w:val="clear" w:color="auto" w:fill="auto"/>
            <w:hideMark/>
          </w:tcPr>
          <w:p w14:paraId="63254EBC" w14:textId="77777777" w:rsidR="00A259D7" w:rsidRPr="00A11214" w:rsidRDefault="00A259D7" w:rsidP="00112848">
            <w:pPr>
              <w:spacing w:after="0" w:line="240" w:lineRule="auto"/>
              <w:rPr>
                <w:rFonts w:eastAsia="Times New Roman"/>
                <w:color w:val="000000"/>
              </w:rPr>
            </w:pPr>
            <w:r w:rsidRPr="001D6D75">
              <w:t>Const</w:t>
            </w:r>
          </w:p>
        </w:tc>
        <w:tc>
          <w:tcPr>
            <w:tcW w:w="2055" w:type="dxa"/>
            <w:gridSpan w:val="2"/>
            <w:tcBorders>
              <w:top w:val="nil"/>
              <w:left w:val="nil"/>
              <w:bottom w:val="nil"/>
              <w:right w:val="nil"/>
            </w:tcBorders>
            <w:shd w:val="clear" w:color="auto" w:fill="auto"/>
            <w:noWrap/>
            <w:hideMark/>
          </w:tcPr>
          <w:p w14:paraId="294A73BD" w14:textId="77777777" w:rsidR="00A259D7" w:rsidRPr="007937A2" w:rsidRDefault="00A259D7" w:rsidP="007937A2">
            <w:pPr>
              <w:spacing w:after="0" w:line="240" w:lineRule="auto"/>
              <w:jc w:val="center"/>
              <w:rPr>
                <w:rFonts w:eastAsia="Times New Roman"/>
                <w:color w:val="FF0000"/>
              </w:rPr>
            </w:pPr>
            <w:r w:rsidRPr="00B368DF">
              <w:t>0.11014</w:t>
            </w:r>
          </w:p>
        </w:tc>
        <w:tc>
          <w:tcPr>
            <w:tcW w:w="1208" w:type="dxa"/>
            <w:gridSpan w:val="2"/>
            <w:tcBorders>
              <w:top w:val="nil"/>
              <w:left w:val="nil"/>
              <w:bottom w:val="nil"/>
              <w:right w:val="nil"/>
            </w:tcBorders>
            <w:shd w:val="clear" w:color="auto" w:fill="auto"/>
            <w:noWrap/>
            <w:hideMark/>
          </w:tcPr>
          <w:p w14:paraId="2846F3A7" w14:textId="77777777" w:rsidR="00A259D7" w:rsidRPr="007937A2" w:rsidRDefault="00A259D7" w:rsidP="007937A2">
            <w:pPr>
              <w:spacing w:after="0" w:line="240" w:lineRule="auto"/>
              <w:jc w:val="center"/>
              <w:rPr>
                <w:rFonts w:eastAsia="Times New Roman"/>
                <w:color w:val="FF0000"/>
              </w:rPr>
            </w:pPr>
            <w:r w:rsidRPr="00B368DF">
              <w:t>0.02301</w:t>
            </w:r>
          </w:p>
        </w:tc>
        <w:tc>
          <w:tcPr>
            <w:tcW w:w="1235" w:type="dxa"/>
            <w:gridSpan w:val="2"/>
            <w:tcBorders>
              <w:top w:val="nil"/>
              <w:left w:val="nil"/>
              <w:bottom w:val="nil"/>
              <w:right w:val="nil"/>
            </w:tcBorders>
            <w:shd w:val="clear" w:color="auto" w:fill="auto"/>
            <w:noWrap/>
            <w:hideMark/>
          </w:tcPr>
          <w:p w14:paraId="44FE06EA" w14:textId="77777777" w:rsidR="00A259D7" w:rsidRPr="007937A2" w:rsidRDefault="00A259D7" w:rsidP="007937A2">
            <w:pPr>
              <w:spacing w:after="0" w:line="240" w:lineRule="auto"/>
              <w:jc w:val="center"/>
              <w:rPr>
                <w:rFonts w:eastAsia="Times New Roman"/>
                <w:color w:val="FF0000"/>
              </w:rPr>
            </w:pPr>
            <w:r w:rsidRPr="00B368DF">
              <w:t xml:space="preserve">4.787    </w:t>
            </w:r>
          </w:p>
        </w:tc>
        <w:tc>
          <w:tcPr>
            <w:tcW w:w="1089" w:type="dxa"/>
            <w:gridSpan w:val="2"/>
            <w:tcBorders>
              <w:top w:val="nil"/>
              <w:left w:val="nil"/>
              <w:bottom w:val="nil"/>
              <w:right w:val="nil"/>
            </w:tcBorders>
            <w:shd w:val="clear" w:color="auto" w:fill="auto"/>
            <w:noWrap/>
            <w:hideMark/>
          </w:tcPr>
          <w:p w14:paraId="605C1027" w14:textId="77777777" w:rsidR="00A259D7" w:rsidRPr="00966B79" w:rsidRDefault="00A259D7" w:rsidP="007937A2">
            <w:pPr>
              <w:spacing w:after="0" w:line="240" w:lineRule="auto"/>
              <w:jc w:val="center"/>
              <w:rPr>
                <w:rFonts w:eastAsia="Times New Roman"/>
                <w:color w:val="000000"/>
              </w:rPr>
            </w:pPr>
            <w:r w:rsidRPr="00966B79">
              <w:rPr>
                <w:color w:val="000000"/>
              </w:rPr>
              <w:t>0.0004</w:t>
            </w:r>
          </w:p>
        </w:tc>
        <w:tc>
          <w:tcPr>
            <w:tcW w:w="716" w:type="dxa"/>
            <w:gridSpan w:val="2"/>
            <w:tcBorders>
              <w:top w:val="nil"/>
              <w:left w:val="nil"/>
              <w:bottom w:val="nil"/>
              <w:right w:val="nil"/>
            </w:tcBorders>
            <w:shd w:val="clear" w:color="auto" w:fill="auto"/>
            <w:noWrap/>
            <w:vAlign w:val="bottom"/>
            <w:hideMark/>
          </w:tcPr>
          <w:p w14:paraId="46E49D81" w14:textId="77777777" w:rsidR="00A259D7" w:rsidRPr="00A11214" w:rsidRDefault="00A259D7" w:rsidP="00112848">
            <w:pPr>
              <w:spacing w:after="0" w:line="240" w:lineRule="auto"/>
              <w:rPr>
                <w:rFonts w:eastAsia="Times New Roman"/>
                <w:color w:val="000000"/>
              </w:rPr>
            </w:pPr>
            <w:r w:rsidRPr="00A11214">
              <w:rPr>
                <w:rFonts w:eastAsia="Times New Roman"/>
                <w:color w:val="000000"/>
              </w:rPr>
              <w:t>***</w:t>
            </w:r>
          </w:p>
        </w:tc>
      </w:tr>
      <w:tr w:rsidR="00A259D7" w:rsidRPr="00A11214" w14:paraId="2F51A77D" w14:textId="77777777" w:rsidTr="007937A2">
        <w:trPr>
          <w:gridAfter w:val="1"/>
          <w:wAfter w:w="234" w:type="dxa"/>
          <w:trHeight w:val="267"/>
        </w:trPr>
        <w:tc>
          <w:tcPr>
            <w:tcW w:w="2823" w:type="dxa"/>
            <w:tcBorders>
              <w:top w:val="nil"/>
              <w:left w:val="nil"/>
              <w:bottom w:val="single" w:sz="4" w:space="0" w:color="auto"/>
              <w:right w:val="nil"/>
            </w:tcBorders>
            <w:shd w:val="clear" w:color="auto" w:fill="auto"/>
            <w:hideMark/>
          </w:tcPr>
          <w:p w14:paraId="53A9E851" w14:textId="77777777" w:rsidR="00A259D7" w:rsidRPr="00A11214" w:rsidRDefault="00A259D7" w:rsidP="00112848">
            <w:pPr>
              <w:spacing w:after="0" w:line="240" w:lineRule="auto"/>
              <w:rPr>
                <w:rFonts w:eastAsia="Times New Roman"/>
                <w:color w:val="000000"/>
              </w:rPr>
            </w:pPr>
            <w:r w:rsidRPr="001D6D75">
              <w:t>VaR to Assets Ratio</w:t>
            </w:r>
          </w:p>
        </w:tc>
        <w:tc>
          <w:tcPr>
            <w:tcW w:w="2055" w:type="dxa"/>
            <w:gridSpan w:val="2"/>
            <w:tcBorders>
              <w:top w:val="nil"/>
              <w:left w:val="nil"/>
              <w:bottom w:val="single" w:sz="4" w:space="0" w:color="auto"/>
              <w:right w:val="nil"/>
            </w:tcBorders>
            <w:shd w:val="clear" w:color="auto" w:fill="auto"/>
            <w:noWrap/>
            <w:hideMark/>
          </w:tcPr>
          <w:p w14:paraId="3842500E" w14:textId="77777777" w:rsidR="00A259D7" w:rsidRPr="007937A2" w:rsidRDefault="00A259D7" w:rsidP="00112848">
            <w:pPr>
              <w:spacing w:after="0" w:line="240" w:lineRule="auto"/>
              <w:jc w:val="center"/>
              <w:rPr>
                <w:rFonts w:eastAsia="Times New Roman"/>
                <w:color w:val="FF0000"/>
              </w:rPr>
            </w:pPr>
            <w:r w:rsidRPr="00B368DF">
              <w:t>67.0863</w:t>
            </w:r>
          </w:p>
        </w:tc>
        <w:tc>
          <w:tcPr>
            <w:tcW w:w="1208" w:type="dxa"/>
            <w:gridSpan w:val="2"/>
            <w:tcBorders>
              <w:top w:val="nil"/>
              <w:left w:val="nil"/>
              <w:bottom w:val="single" w:sz="4" w:space="0" w:color="auto"/>
              <w:right w:val="nil"/>
            </w:tcBorders>
            <w:shd w:val="clear" w:color="auto" w:fill="auto"/>
            <w:noWrap/>
            <w:hideMark/>
          </w:tcPr>
          <w:p w14:paraId="630600C0" w14:textId="77777777" w:rsidR="00A259D7" w:rsidRPr="007937A2" w:rsidRDefault="00A259D7" w:rsidP="007937A2">
            <w:pPr>
              <w:spacing w:after="0" w:line="240" w:lineRule="auto"/>
              <w:jc w:val="center"/>
              <w:rPr>
                <w:rFonts w:eastAsia="Times New Roman"/>
                <w:color w:val="FF0000"/>
              </w:rPr>
            </w:pPr>
            <w:r w:rsidRPr="00B368DF">
              <w:t>44.376</w:t>
            </w:r>
          </w:p>
        </w:tc>
        <w:tc>
          <w:tcPr>
            <w:tcW w:w="1235" w:type="dxa"/>
            <w:gridSpan w:val="2"/>
            <w:tcBorders>
              <w:top w:val="nil"/>
              <w:left w:val="nil"/>
              <w:bottom w:val="single" w:sz="4" w:space="0" w:color="auto"/>
              <w:right w:val="nil"/>
            </w:tcBorders>
            <w:shd w:val="clear" w:color="auto" w:fill="auto"/>
            <w:noWrap/>
            <w:hideMark/>
          </w:tcPr>
          <w:p w14:paraId="7857B384" w14:textId="77777777" w:rsidR="00A259D7" w:rsidRPr="007937A2" w:rsidRDefault="00A259D7" w:rsidP="007937A2">
            <w:pPr>
              <w:spacing w:after="0" w:line="240" w:lineRule="auto"/>
              <w:jc w:val="center"/>
              <w:rPr>
                <w:rFonts w:eastAsia="Times New Roman"/>
                <w:color w:val="FF0000"/>
              </w:rPr>
            </w:pPr>
            <w:r w:rsidRPr="00B368DF">
              <w:t xml:space="preserve">1.512    </w:t>
            </w:r>
          </w:p>
        </w:tc>
        <w:tc>
          <w:tcPr>
            <w:tcW w:w="1089" w:type="dxa"/>
            <w:gridSpan w:val="2"/>
            <w:tcBorders>
              <w:top w:val="nil"/>
              <w:left w:val="nil"/>
              <w:bottom w:val="single" w:sz="4" w:space="0" w:color="auto"/>
              <w:right w:val="nil"/>
            </w:tcBorders>
            <w:shd w:val="clear" w:color="auto" w:fill="auto"/>
            <w:noWrap/>
            <w:hideMark/>
          </w:tcPr>
          <w:p w14:paraId="578ED320" w14:textId="77777777" w:rsidR="00A259D7" w:rsidRPr="00966B79" w:rsidRDefault="00A259D7" w:rsidP="007937A2">
            <w:pPr>
              <w:spacing w:after="0" w:line="240" w:lineRule="auto"/>
              <w:jc w:val="center"/>
              <w:rPr>
                <w:rFonts w:eastAsia="Times New Roman"/>
                <w:color w:val="000000"/>
              </w:rPr>
            </w:pPr>
            <w:r w:rsidRPr="00966B79">
              <w:rPr>
                <w:color w:val="000000"/>
              </w:rPr>
              <w:t>0.1565</w:t>
            </w:r>
          </w:p>
        </w:tc>
        <w:tc>
          <w:tcPr>
            <w:tcW w:w="716" w:type="dxa"/>
            <w:gridSpan w:val="2"/>
            <w:tcBorders>
              <w:top w:val="nil"/>
              <w:left w:val="nil"/>
              <w:bottom w:val="nil"/>
              <w:right w:val="nil"/>
            </w:tcBorders>
            <w:shd w:val="clear" w:color="auto" w:fill="auto"/>
            <w:noWrap/>
            <w:vAlign w:val="bottom"/>
            <w:hideMark/>
          </w:tcPr>
          <w:p w14:paraId="1D465C5A" w14:textId="77777777" w:rsidR="00A259D7" w:rsidRPr="00A11214" w:rsidRDefault="00A259D7" w:rsidP="00112848">
            <w:pPr>
              <w:spacing w:after="0" w:line="240" w:lineRule="auto"/>
              <w:rPr>
                <w:rFonts w:eastAsia="Times New Roman"/>
                <w:color w:val="000000"/>
              </w:rPr>
            </w:pPr>
          </w:p>
        </w:tc>
      </w:tr>
      <w:tr w:rsidR="00A259D7" w:rsidRPr="00A11214" w14:paraId="53129067" w14:textId="77777777" w:rsidTr="007937A2">
        <w:trPr>
          <w:gridAfter w:val="1"/>
          <w:wAfter w:w="234" w:type="dxa"/>
          <w:trHeight w:val="245"/>
        </w:trPr>
        <w:tc>
          <w:tcPr>
            <w:tcW w:w="2823" w:type="dxa"/>
            <w:tcBorders>
              <w:top w:val="nil"/>
              <w:left w:val="nil"/>
              <w:bottom w:val="nil"/>
              <w:right w:val="nil"/>
            </w:tcBorders>
            <w:shd w:val="clear" w:color="auto" w:fill="auto"/>
            <w:hideMark/>
          </w:tcPr>
          <w:p w14:paraId="6A932220" w14:textId="31570BF6" w:rsidR="00A259D7" w:rsidRPr="007937A2" w:rsidRDefault="00A259D7" w:rsidP="00112848">
            <w:pPr>
              <w:spacing w:after="0" w:line="240" w:lineRule="auto"/>
              <w:rPr>
                <w:rFonts w:eastAsia="Times New Roman"/>
                <w:b/>
                <w:bCs/>
                <w:color w:val="000000"/>
              </w:rPr>
            </w:pPr>
            <w:r w:rsidRPr="007937A2">
              <w:rPr>
                <w:b/>
              </w:rPr>
              <w:t>Model 4</w:t>
            </w:r>
            <w:r w:rsidR="00974113">
              <w:rPr>
                <w:b/>
              </w:rPr>
              <w:t xml:space="preserve">:  </w:t>
            </w:r>
            <w:r w:rsidRPr="007937A2">
              <w:rPr>
                <w:b/>
              </w:rPr>
              <w:t>48 observations</w:t>
            </w:r>
          </w:p>
        </w:tc>
        <w:tc>
          <w:tcPr>
            <w:tcW w:w="2055" w:type="dxa"/>
            <w:gridSpan w:val="2"/>
            <w:tcBorders>
              <w:top w:val="nil"/>
              <w:left w:val="nil"/>
              <w:bottom w:val="nil"/>
              <w:right w:val="nil"/>
            </w:tcBorders>
            <w:shd w:val="clear" w:color="auto" w:fill="auto"/>
            <w:noWrap/>
            <w:vAlign w:val="bottom"/>
            <w:hideMark/>
          </w:tcPr>
          <w:p w14:paraId="29911CEA" w14:textId="77777777" w:rsidR="00A259D7" w:rsidRPr="007937A2" w:rsidRDefault="00A259D7" w:rsidP="00112848">
            <w:pPr>
              <w:spacing w:after="0" w:line="240" w:lineRule="auto"/>
              <w:jc w:val="center"/>
              <w:rPr>
                <w:rFonts w:eastAsia="Times New Roman"/>
                <w:color w:val="FF0000"/>
              </w:rPr>
            </w:pPr>
          </w:p>
        </w:tc>
        <w:tc>
          <w:tcPr>
            <w:tcW w:w="1208" w:type="dxa"/>
            <w:gridSpan w:val="2"/>
            <w:tcBorders>
              <w:top w:val="nil"/>
              <w:left w:val="nil"/>
              <w:bottom w:val="nil"/>
              <w:right w:val="nil"/>
            </w:tcBorders>
            <w:shd w:val="clear" w:color="auto" w:fill="auto"/>
            <w:noWrap/>
            <w:vAlign w:val="bottom"/>
            <w:hideMark/>
          </w:tcPr>
          <w:p w14:paraId="3F0EF714" w14:textId="77777777" w:rsidR="00A259D7" w:rsidRPr="007937A2" w:rsidRDefault="00A259D7" w:rsidP="00112848">
            <w:pPr>
              <w:spacing w:after="0" w:line="240" w:lineRule="auto"/>
              <w:jc w:val="center"/>
              <w:rPr>
                <w:rFonts w:eastAsia="Times New Roman"/>
                <w:color w:val="FF0000"/>
              </w:rPr>
            </w:pPr>
          </w:p>
        </w:tc>
        <w:tc>
          <w:tcPr>
            <w:tcW w:w="1235" w:type="dxa"/>
            <w:gridSpan w:val="2"/>
            <w:tcBorders>
              <w:top w:val="nil"/>
              <w:left w:val="nil"/>
              <w:bottom w:val="nil"/>
              <w:right w:val="nil"/>
            </w:tcBorders>
            <w:shd w:val="clear" w:color="auto" w:fill="auto"/>
            <w:noWrap/>
            <w:vAlign w:val="bottom"/>
            <w:hideMark/>
          </w:tcPr>
          <w:p w14:paraId="3C298B57" w14:textId="77777777" w:rsidR="00A259D7" w:rsidRPr="007937A2" w:rsidRDefault="00A259D7" w:rsidP="00112848">
            <w:pPr>
              <w:spacing w:after="0" w:line="240" w:lineRule="auto"/>
              <w:jc w:val="center"/>
              <w:rPr>
                <w:rFonts w:eastAsia="Times New Roman"/>
                <w:color w:val="FF0000"/>
              </w:rPr>
            </w:pPr>
          </w:p>
        </w:tc>
        <w:tc>
          <w:tcPr>
            <w:tcW w:w="1089" w:type="dxa"/>
            <w:gridSpan w:val="2"/>
            <w:tcBorders>
              <w:top w:val="nil"/>
              <w:left w:val="nil"/>
              <w:bottom w:val="nil"/>
              <w:right w:val="nil"/>
            </w:tcBorders>
            <w:shd w:val="clear" w:color="auto" w:fill="auto"/>
            <w:noWrap/>
            <w:vAlign w:val="bottom"/>
            <w:hideMark/>
          </w:tcPr>
          <w:p w14:paraId="20D3509D" w14:textId="77777777" w:rsidR="00A259D7" w:rsidRPr="00966B79" w:rsidRDefault="00A259D7" w:rsidP="00112848">
            <w:pPr>
              <w:spacing w:after="0" w:line="240" w:lineRule="auto"/>
              <w:jc w:val="center"/>
              <w:rPr>
                <w:rFonts w:eastAsia="Times New Roman"/>
                <w:color w:val="000000"/>
              </w:rPr>
            </w:pPr>
          </w:p>
        </w:tc>
        <w:tc>
          <w:tcPr>
            <w:tcW w:w="716" w:type="dxa"/>
            <w:gridSpan w:val="2"/>
            <w:tcBorders>
              <w:top w:val="nil"/>
              <w:left w:val="nil"/>
              <w:bottom w:val="nil"/>
              <w:right w:val="nil"/>
            </w:tcBorders>
            <w:shd w:val="clear" w:color="auto" w:fill="auto"/>
            <w:noWrap/>
            <w:vAlign w:val="bottom"/>
            <w:hideMark/>
          </w:tcPr>
          <w:p w14:paraId="65C85FDD" w14:textId="77777777" w:rsidR="00A259D7" w:rsidRPr="00A11214" w:rsidRDefault="00A259D7" w:rsidP="00112848">
            <w:pPr>
              <w:spacing w:after="0" w:line="240" w:lineRule="auto"/>
              <w:rPr>
                <w:rFonts w:eastAsia="Times New Roman"/>
                <w:color w:val="000000"/>
              </w:rPr>
            </w:pPr>
          </w:p>
        </w:tc>
      </w:tr>
      <w:tr w:rsidR="00A259D7" w:rsidRPr="00A11214" w14:paraId="53D6FD44" w14:textId="77777777" w:rsidTr="007937A2">
        <w:trPr>
          <w:gridAfter w:val="1"/>
          <w:wAfter w:w="234" w:type="dxa"/>
          <w:trHeight w:val="267"/>
        </w:trPr>
        <w:tc>
          <w:tcPr>
            <w:tcW w:w="2823" w:type="dxa"/>
            <w:tcBorders>
              <w:top w:val="nil"/>
              <w:left w:val="nil"/>
              <w:bottom w:val="nil"/>
              <w:right w:val="nil"/>
            </w:tcBorders>
            <w:shd w:val="clear" w:color="auto" w:fill="auto"/>
            <w:hideMark/>
          </w:tcPr>
          <w:p w14:paraId="0A3AA792" w14:textId="77777777" w:rsidR="00A259D7" w:rsidRPr="00A11214" w:rsidRDefault="00A259D7" w:rsidP="00112848">
            <w:pPr>
              <w:spacing w:after="0" w:line="240" w:lineRule="auto"/>
              <w:rPr>
                <w:rFonts w:eastAsia="Times New Roman"/>
                <w:color w:val="000000"/>
              </w:rPr>
            </w:pPr>
            <w:r w:rsidRPr="001D6D75">
              <w:t>Const</w:t>
            </w:r>
          </w:p>
        </w:tc>
        <w:tc>
          <w:tcPr>
            <w:tcW w:w="2055" w:type="dxa"/>
            <w:gridSpan w:val="2"/>
            <w:tcBorders>
              <w:top w:val="nil"/>
              <w:left w:val="nil"/>
              <w:bottom w:val="nil"/>
              <w:right w:val="nil"/>
            </w:tcBorders>
            <w:shd w:val="clear" w:color="auto" w:fill="auto"/>
            <w:noWrap/>
            <w:hideMark/>
          </w:tcPr>
          <w:p w14:paraId="073B51F3" w14:textId="77777777" w:rsidR="00A259D7" w:rsidRPr="007937A2" w:rsidRDefault="00A259D7" w:rsidP="007937A2">
            <w:pPr>
              <w:spacing w:after="0" w:line="240" w:lineRule="auto"/>
              <w:jc w:val="center"/>
              <w:rPr>
                <w:rFonts w:eastAsia="Times New Roman"/>
                <w:color w:val="FF0000"/>
              </w:rPr>
            </w:pPr>
            <w:r w:rsidRPr="00653612">
              <w:t>0.1624</w:t>
            </w:r>
          </w:p>
        </w:tc>
        <w:tc>
          <w:tcPr>
            <w:tcW w:w="1208" w:type="dxa"/>
            <w:gridSpan w:val="2"/>
            <w:tcBorders>
              <w:top w:val="nil"/>
              <w:left w:val="nil"/>
              <w:bottom w:val="nil"/>
              <w:right w:val="nil"/>
            </w:tcBorders>
            <w:shd w:val="clear" w:color="auto" w:fill="auto"/>
            <w:noWrap/>
            <w:hideMark/>
          </w:tcPr>
          <w:p w14:paraId="09C39CD0" w14:textId="77777777" w:rsidR="00A259D7" w:rsidRPr="007937A2" w:rsidRDefault="00A259D7" w:rsidP="007937A2">
            <w:pPr>
              <w:spacing w:after="0" w:line="240" w:lineRule="auto"/>
              <w:jc w:val="center"/>
              <w:rPr>
                <w:rFonts w:eastAsia="Times New Roman"/>
                <w:color w:val="FF0000"/>
              </w:rPr>
            </w:pPr>
            <w:r w:rsidRPr="00653612">
              <w:t>0.1186</w:t>
            </w:r>
          </w:p>
        </w:tc>
        <w:tc>
          <w:tcPr>
            <w:tcW w:w="1235" w:type="dxa"/>
            <w:gridSpan w:val="2"/>
            <w:tcBorders>
              <w:top w:val="nil"/>
              <w:left w:val="nil"/>
              <w:bottom w:val="nil"/>
              <w:right w:val="nil"/>
            </w:tcBorders>
            <w:shd w:val="clear" w:color="auto" w:fill="auto"/>
            <w:noWrap/>
            <w:hideMark/>
          </w:tcPr>
          <w:p w14:paraId="3063A09E" w14:textId="77777777" w:rsidR="00A259D7" w:rsidRPr="007937A2" w:rsidRDefault="00A259D7" w:rsidP="007937A2">
            <w:pPr>
              <w:spacing w:after="0" w:line="240" w:lineRule="auto"/>
              <w:jc w:val="center"/>
              <w:rPr>
                <w:rFonts w:eastAsia="Times New Roman"/>
                <w:color w:val="FF0000"/>
              </w:rPr>
            </w:pPr>
            <w:r w:rsidRPr="00653612">
              <w:t xml:space="preserve">1.369    </w:t>
            </w:r>
          </w:p>
        </w:tc>
        <w:tc>
          <w:tcPr>
            <w:tcW w:w="1089" w:type="dxa"/>
            <w:gridSpan w:val="2"/>
            <w:tcBorders>
              <w:top w:val="nil"/>
              <w:left w:val="nil"/>
              <w:bottom w:val="nil"/>
              <w:right w:val="nil"/>
            </w:tcBorders>
            <w:shd w:val="clear" w:color="auto" w:fill="auto"/>
            <w:noWrap/>
            <w:vAlign w:val="bottom"/>
            <w:hideMark/>
          </w:tcPr>
          <w:p w14:paraId="7915AB0E" w14:textId="77777777" w:rsidR="00A259D7" w:rsidRPr="00966B79" w:rsidRDefault="00A259D7" w:rsidP="007937A2">
            <w:pPr>
              <w:spacing w:after="0" w:line="240" w:lineRule="auto"/>
              <w:jc w:val="center"/>
              <w:rPr>
                <w:rFonts w:eastAsia="Times New Roman"/>
                <w:color w:val="000000"/>
              </w:rPr>
            </w:pPr>
            <w:r w:rsidRPr="00966B79">
              <w:rPr>
                <w:rFonts w:eastAsia="Times New Roman"/>
                <w:color w:val="000000"/>
              </w:rPr>
              <w:t>0.1802</w:t>
            </w:r>
          </w:p>
        </w:tc>
        <w:tc>
          <w:tcPr>
            <w:tcW w:w="716" w:type="dxa"/>
            <w:gridSpan w:val="2"/>
            <w:tcBorders>
              <w:top w:val="nil"/>
              <w:left w:val="nil"/>
              <w:bottom w:val="nil"/>
              <w:right w:val="nil"/>
            </w:tcBorders>
            <w:shd w:val="clear" w:color="auto" w:fill="auto"/>
            <w:noWrap/>
            <w:vAlign w:val="bottom"/>
            <w:hideMark/>
          </w:tcPr>
          <w:p w14:paraId="4F503A3C" w14:textId="77777777" w:rsidR="00A259D7" w:rsidRPr="00A11214" w:rsidRDefault="00A259D7" w:rsidP="00112848">
            <w:pPr>
              <w:spacing w:after="0" w:line="240" w:lineRule="auto"/>
              <w:rPr>
                <w:rFonts w:eastAsia="Times New Roman"/>
                <w:color w:val="000000"/>
              </w:rPr>
            </w:pPr>
          </w:p>
        </w:tc>
      </w:tr>
      <w:tr w:rsidR="00A259D7" w:rsidRPr="00A11214" w14:paraId="2E6349C8" w14:textId="77777777" w:rsidTr="007937A2">
        <w:trPr>
          <w:gridAfter w:val="1"/>
          <w:wAfter w:w="234" w:type="dxa"/>
          <w:trHeight w:val="267"/>
        </w:trPr>
        <w:tc>
          <w:tcPr>
            <w:tcW w:w="2823" w:type="dxa"/>
            <w:tcBorders>
              <w:top w:val="nil"/>
              <w:left w:val="nil"/>
              <w:bottom w:val="single" w:sz="4" w:space="0" w:color="auto"/>
              <w:right w:val="nil"/>
            </w:tcBorders>
            <w:shd w:val="clear" w:color="auto" w:fill="auto"/>
            <w:hideMark/>
          </w:tcPr>
          <w:p w14:paraId="79BF0200" w14:textId="77777777" w:rsidR="00A259D7" w:rsidRPr="00A11214" w:rsidRDefault="00A259D7" w:rsidP="00112848">
            <w:pPr>
              <w:spacing w:after="0" w:line="240" w:lineRule="auto"/>
              <w:rPr>
                <w:rFonts w:eastAsia="Times New Roman"/>
                <w:color w:val="000000"/>
              </w:rPr>
            </w:pPr>
            <w:r w:rsidRPr="001D6D75">
              <w:t xml:space="preserve">All Risks to Assets Ratio </w:t>
            </w:r>
          </w:p>
        </w:tc>
        <w:tc>
          <w:tcPr>
            <w:tcW w:w="2055" w:type="dxa"/>
            <w:gridSpan w:val="2"/>
            <w:tcBorders>
              <w:top w:val="nil"/>
              <w:left w:val="nil"/>
              <w:bottom w:val="single" w:sz="4" w:space="0" w:color="auto"/>
              <w:right w:val="nil"/>
            </w:tcBorders>
            <w:shd w:val="clear" w:color="auto" w:fill="auto"/>
            <w:noWrap/>
            <w:hideMark/>
          </w:tcPr>
          <w:p w14:paraId="2FBCB436" w14:textId="77777777" w:rsidR="00A259D7" w:rsidRPr="007937A2" w:rsidRDefault="00A259D7" w:rsidP="007937A2">
            <w:pPr>
              <w:spacing w:after="0" w:line="240" w:lineRule="auto"/>
              <w:jc w:val="center"/>
              <w:rPr>
                <w:rFonts w:eastAsia="Times New Roman"/>
                <w:color w:val="FF0000"/>
              </w:rPr>
            </w:pPr>
            <w:r w:rsidRPr="00653612">
              <w:t>0.142</w:t>
            </w:r>
            <w:r>
              <w:t>4</w:t>
            </w:r>
          </w:p>
        </w:tc>
        <w:tc>
          <w:tcPr>
            <w:tcW w:w="1208" w:type="dxa"/>
            <w:gridSpan w:val="2"/>
            <w:tcBorders>
              <w:top w:val="nil"/>
              <w:left w:val="nil"/>
              <w:bottom w:val="single" w:sz="4" w:space="0" w:color="auto"/>
              <w:right w:val="nil"/>
            </w:tcBorders>
            <w:shd w:val="clear" w:color="auto" w:fill="auto"/>
            <w:noWrap/>
            <w:hideMark/>
          </w:tcPr>
          <w:p w14:paraId="755A38FB" w14:textId="77777777" w:rsidR="00A259D7" w:rsidRPr="007937A2" w:rsidRDefault="00A259D7" w:rsidP="007937A2">
            <w:pPr>
              <w:spacing w:after="0" w:line="240" w:lineRule="auto"/>
              <w:jc w:val="center"/>
              <w:rPr>
                <w:rFonts w:eastAsia="Times New Roman"/>
                <w:color w:val="FF0000"/>
              </w:rPr>
            </w:pPr>
            <w:r w:rsidRPr="00653612">
              <w:t>0.194</w:t>
            </w:r>
            <w:r>
              <w:t>6</w:t>
            </w:r>
          </w:p>
        </w:tc>
        <w:tc>
          <w:tcPr>
            <w:tcW w:w="1235" w:type="dxa"/>
            <w:gridSpan w:val="2"/>
            <w:tcBorders>
              <w:top w:val="nil"/>
              <w:left w:val="nil"/>
              <w:bottom w:val="single" w:sz="4" w:space="0" w:color="auto"/>
              <w:right w:val="nil"/>
            </w:tcBorders>
            <w:shd w:val="clear" w:color="auto" w:fill="auto"/>
            <w:noWrap/>
            <w:hideMark/>
          </w:tcPr>
          <w:p w14:paraId="2148EC52" w14:textId="77777777" w:rsidR="00A259D7" w:rsidRPr="007937A2" w:rsidRDefault="00A259D7" w:rsidP="007937A2">
            <w:pPr>
              <w:spacing w:after="0" w:line="240" w:lineRule="auto"/>
              <w:jc w:val="center"/>
              <w:rPr>
                <w:rFonts w:eastAsia="Times New Roman"/>
                <w:color w:val="FF0000"/>
              </w:rPr>
            </w:pPr>
            <w:r w:rsidRPr="00653612">
              <w:t xml:space="preserve">0.7317   </w:t>
            </w:r>
          </w:p>
        </w:tc>
        <w:tc>
          <w:tcPr>
            <w:tcW w:w="1089" w:type="dxa"/>
            <w:gridSpan w:val="2"/>
            <w:tcBorders>
              <w:top w:val="nil"/>
              <w:left w:val="nil"/>
              <w:bottom w:val="single" w:sz="4" w:space="0" w:color="auto"/>
              <w:right w:val="nil"/>
            </w:tcBorders>
            <w:shd w:val="clear" w:color="auto" w:fill="auto"/>
            <w:noWrap/>
            <w:vAlign w:val="bottom"/>
            <w:hideMark/>
          </w:tcPr>
          <w:p w14:paraId="059ED870" w14:textId="77777777" w:rsidR="00A259D7" w:rsidRPr="00966B79" w:rsidRDefault="00A259D7" w:rsidP="007937A2">
            <w:pPr>
              <w:spacing w:after="0" w:line="240" w:lineRule="auto"/>
              <w:jc w:val="center"/>
              <w:rPr>
                <w:rFonts w:eastAsia="Times New Roman"/>
                <w:color w:val="000000"/>
              </w:rPr>
            </w:pPr>
            <w:r w:rsidRPr="00966B79">
              <w:rPr>
                <w:rFonts w:eastAsia="Times New Roman"/>
                <w:color w:val="000000"/>
              </w:rPr>
              <w:t>0.4695</w:t>
            </w:r>
          </w:p>
        </w:tc>
        <w:tc>
          <w:tcPr>
            <w:tcW w:w="716" w:type="dxa"/>
            <w:gridSpan w:val="2"/>
            <w:tcBorders>
              <w:top w:val="nil"/>
              <w:left w:val="nil"/>
              <w:bottom w:val="nil"/>
              <w:right w:val="nil"/>
            </w:tcBorders>
            <w:shd w:val="clear" w:color="auto" w:fill="auto"/>
            <w:noWrap/>
            <w:vAlign w:val="bottom"/>
            <w:hideMark/>
          </w:tcPr>
          <w:p w14:paraId="39E20193" w14:textId="77777777" w:rsidR="00A259D7" w:rsidRPr="00A11214" w:rsidRDefault="00A259D7" w:rsidP="00112848">
            <w:pPr>
              <w:spacing w:after="0" w:line="240" w:lineRule="auto"/>
              <w:rPr>
                <w:rFonts w:eastAsia="Times New Roman"/>
                <w:color w:val="000000"/>
              </w:rPr>
            </w:pPr>
          </w:p>
        </w:tc>
      </w:tr>
      <w:tr w:rsidR="00830742" w:rsidRPr="00A11214" w14:paraId="3B286D15" w14:textId="77777777" w:rsidTr="007937A2">
        <w:trPr>
          <w:gridAfter w:val="1"/>
          <w:wAfter w:w="234" w:type="dxa"/>
          <w:trHeight w:val="245"/>
        </w:trPr>
        <w:tc>
          <w:tcPr>
            <w:tcW w:w="2823" w:type="dxa"/>
            <w:tcBorders>
              <w:top w:val="nil"/>
              <w:left w:val="nil"/>
              <w:bottom w:val="nil"/>
              <w:right w:val="nil"/>
            </w:tcBorders>
            <w:shd w:val="clear" w:color="auto" w:fill="auto"/>
            <w:vAlign w:val="bottom"/>
            <w:hideMark/>
          </w:tcPr>
          <w:p w14:paraId="32124E48" w14:textId="0EC58EF8" w:rsidR="007D568D" w:rsidRPr="00A11214" w:rsidRDefault="007D568D" w:rsidP="00112848">
            <w:pPr>
              <w:spacing w:after="0" w:line="240" w:lineRule="auto"/>
              <w:rPr>
                <w:rFonts w:eastAsia="Times New Roman"/>
                <w:b/>
                <w:bCs/>
                <w:color w:val="000000"/>
              </w:rPr>
            </w:pPr>
            <w:r w:rsidRPr="00A11214">
              <w:rPr>
                <w:rFonts w:eastAsia="Times New Roman"/>
                <w:b/>
                <w:bCs/>
                <w:color w:val="000000"/>
              </w:rPr>
              <w:t>Model</w:t>
            </w:r>
            <w:r>
              <w:rPr>
                <w:rFonts w:eastAsia="Times New Roman"/>
                <w:b/>
                <w:bCs/>
                <w:color w:val="000000"/>
              </w:rPr>
              <w:t xml:space="preserve"> 5</w:t>
            </w:r>
            <w:r w:rsidR="00974113">
              <w:rPr>
                <w:rFonts w:eastAsia="Times New Roman"/>
                <w:b/>
                <w:bCs/>
                <w:color w:val="000000"/>
              </w:rPr>
              <w:t xml:space="preserve">:  </w:t>
            </w:r>
            <w:r w:rsidRPr="00A11214">
              <w:rPr>
                <w:rFonts w:eastAsia="Times New Roman"/>
                <w:b/>
                <w:bCs/>
                <w:color w:val="000000"/>
              </w:rPr>
              <w:t>4</w:t>
            </w:r>
            <w:r>
              <w:rPr>
                <w:rFonts w:eastAsia="Times New Roman"/>
                <w:b/>
                <w:bCs/>
                <w:color w:val="000000"/>
              </w:rPr>
              <w:t>1</w:t>
            </w:r>
            <w:r w:rsidRPr="00A11214">
              <w:rPr>
                <w:rFonts w:eastAsia="Times New Roman"/>
                <w:b/>
                <w:bCs/>
                <w:color w:val="000000"/>
              </w:rPr>
              <w:t xml:space="preserve"> observations</w:t>
            </w:r>
          </w:p>
        </w:tc>
        <w:tc>
          <w:tcPr>
            <w:tcW w:w="2055" w:type="dxa"/>
            <w:gridSpan w:val="2"/>
            <w:tcBorders>
              <w:top w:val="nil"/>
              <w:left w:val="nil"/>
              <w:bottom w:val="nil"/>
              <w:right w:val="nil"/>
            </w:tcBorders>
            <w:shd w:val="clear" w:color="auto" w:fill="auto"/>
            <w:noWrap/>
            <w:vAlign w:val="bottom"/>
            <w:hideMark/>
          </w:tcPr>
          <w:p w14:paraId="0351E4B8" w14:textId="77777777" w:rsidR="007D568D" w:rsidRPr="007937A2" w:rsidRDefault="007D568D" w:rsidP="00112848">
            <w:pPr>
              <w:spacing w:after="0" w:line="240" w:lineRule="auto"/>
              <w:jc w:val="center"/>
              <w:rPr>
                <w:rFonts w:eastAsia="Times New Roman"/>
                <w:color w:val="FF0000"/>
              </w:rPr>
            </w:pPr>
          </w:p>
        </w:tc>
        <w:tc>
          <w:tcPr>
            <w:tcW w:w="1208" w:type="dxa"/>
            <w:gridSpan w:val="2"/>
            <w:tcBorders>
              <w:top w:val="nil"/>
              <w:left w:val="nil"/>
              <w:bottom w:val="nil"/>
              <w:right w:val="nil"/>
            </w:tcBorders>
            <w:shd w:val="clear" w:color="auto" w:fill="auto"/>
            <w:noWrap/>
            <w:vAlign w:val="bottom"/>
            <w:hideMark/>
          </w:tcPr>
          <w:p w14:paraId="77C02209" w14:textId="77777777" w:rsidR="007D568D" w:rsidRPr="007937A2" w:rsidRDefault="007D568D" w:rsidP="00112848">
            <w:pPr>
              <w:spacing w:after="0" w:line="240" w:lineRule="auto"/>
              <w:jc w:val="center"/>
              <w:rPr>
                <w:rFonts w:eastAsia="Times New Roman"/>
                <w:color w:val="FF0000"/>
              </w:rPr>
            </w:pPr>
          </w:p>
        </w:tc>
        <w:tc>
          <w:tcPr>
            <w:tcW w:w="1235" w:type="dxa"/>
            <w:gridSpan w:val="2"/>
            <w:tcBorders>
              <w:top w:val="nil"/>
              <w:left w:val="nil"/>
              <w:bottom w:val="nil"/>
              <w:right w:val="nil"/>
            </w:tcBorders>
            <w:shd w:val="clear" w:color="auto" w:fill="auto"/>
            <w:noWrap/>
            <w:vAlign w:val="bottom"/>
            <w:hideMark/>
          </w:tcPr>
          <w:p w14:paraId="20E6A025" w14:textId="77777777" w:rsidR="007D568D" w:rsidRPr="007937A2" w:rsidRDefault="007D568D" w:rsidP="00112848">
            <w:pPr>
              <w:spacing w:after="0" w:line="240" w:lineRule="auto"/>
              <w:jc w:val="center"/>
              <w:rPr>
                <w:rFonts w:eastAsia="Times New Roman"/>
                <w:color w:val="FF0000"/>
              </w:rPr>
            </w:pPr>
          </w:p>
        </w:tc>
        <w:tc>
          <w:tcPr>
            <w:tcW w:w="1089" w:type="dxa"/>
            <w:gridSpan w:val="2"/>
            <w:tcBorders>
              <w:top w:val="nil"/>
              <w:left w:val="nil"/>
              <w:bottom w:val="nil"/>
              <w:right w:val="nil"/>
            </w:tcBorders>
            <w:shd w:val="clear" w:color="auto" w:fill="auto"/>
            <w:noWrap/>
            <w:vAlign w:val="bottom"/>
            <w:hideMark/>
          </w:tcPr>
          <w:p w14:paraId="4A9A72FF" w14:textId="77777777" w:rsidR="007D568D" w:rsidRPr="00966B79" w:rsidRDefault="007D568D" w:rsidP="00112848">
            <w:pPr>
              <w:spacing w:after="0" w:line="240" w:lineRule="auto"/>
              <w:jc w:val="center"/>
              <w:rPr>
                <w:rFonts w:eastAsia="Times New Roman"/>
                <w:color w:val="000000"/>
              </w:rPr>
            </w:pPr>
          </w:p>
        </w:tc>
        <w:tc>
          <w:tcPr>
            <w:tcW w:w="716" w:type="dxa"/>
            <w:gridSpan w:val="2"/>
            <w:tcBorders>
              <w:top w:val="nil"/>
              <w:left w:val="nil"/>
              <w:bottom w:val="nil"/>
              <w:right w:val="nil"/>
            </w:tcBorders>
            <w:shd w:val="clear" w:color="auto" w:fill="auto"/>
            <w:noWrap/>
            <w:vAlign w:val="bottom"/>
            <w:hideMark/>
          </w:tcPr>
          <w:p w14:paraId="223A8C63" w14:textId="77777777" w:rsidR="007D568D" w:rsidRPr="00A11214" w:rsidRDefault="007D568D" w:rsidP="00112848">
            <w:pPr>
              <w:spacing w:after="0" w:line="240" w:lineRule="auto"/>
              <w:rPr>
                <w:rFonts w:eastAsia="Times New Roman"/>
                <w:color w:val="000000"/>
              </w:rPr>
            </w:pPr>
          </w:p>
        </w:tc>
      </w:tr>
      <w:tr w:rsidR="00830742" w:rsidRPr="00A11214" w14:paraId="6BE5E53C" w14:textId="77777777" w:rsidTr="007937A2">
        <w:trPr>
          <w:gridAfter w:val="1"/>
          <w:wAfter w:w="234" w:type="dxa"/>
          <w:trHeight w:val="267"/>
        </w:trPr>
        <w:tc>
          <w:tcPr>
            <w:tcW w:w="2823" w:type="dxa"/>
            <w:tcBorders>
              <w:top w:val="nil"/>
              <w:left w:val="nil"/>
              <w:bottom w:val="nil"/>
              <w:right w:val="nil"/>
            </w:tcBorders>
            <w:shd w:val="clear" w:color="auto" w:fill="auto"/>
            <w:vAlign w:val="bottom"/>
            <w:hideMark/>
          </w:tcPr>
          <w:p w14:paraId="18EDA489" w14:textId="77777777" w:rsidR="00B26007" w:rsidRPr="00A11214" w:rsidRDefault="00830742" w:rsidP="00112848">
            <w:pPr>
              <w:spacing w:after="0" w:line="240" w:lineRule="auto"/>
              <w:rPr>
                <w:rFonts w:eastAsia="Times New Roman"/>
                <w:color w:val="000000"/>
              </w:rPr>
            </w:pPr>
            <w:r w:rsidRPr="00A11214">
              <w:rPr>
                <w:rFonts w:eastAsia="Times New Roman"/>
                <w:color w:val="000000"/>
              </w:rPr>
              <w:t>C</w:t>
            </w:r>
            <w:r w:rsidR="00B26007" w:rsidRPr="00A11214">
              <w:rPr>
                <w:rFonts w:eastAsia="Times New Roman"/>
                <w:color w:val="000000"/>
              </w:rPr>
              <w:t>onst</w:t>
            </w:r>
          </w:p>
        </w:tc>
        <w:tc>
          <w:tcPr>
            <w:tcW w:w="2055" w:type="dxa"/>
            <w:gridSpan w:val="2"/>
            <w:tcBorders>
              <w:top w:val="nil"/>
              <w:left w:val="nil"/>
              <w:bottom w:val="nil"/>
              <w:right w:val="nil"/>
            </w:tcBorders>
            <w:shd w:val="clear" w:color="auto" w:fill="auto"/>
            <w:noWrap/>
            <w:hideMark/>
          </w:tcPr>
          <w:p w14:paraId="6FCDD071" w14:textId="77777777" w:rsidR="00B26007" w:rsidRPr="007937A2" w:rsidRDefault="00B26007" w:rsidP="007937A2">
            <w:pPr>
              <w:spacing w:after="0" w:line="240" w:lineRule="auto"/>
              <w:jc w:val="center"/>
              <w:rPr>
                <w:rFonts w:eastAsia="Times New Roman"/>
                <w:color w:val="FF0000"/>
              </w:rPr>
            </w:pPr>
            <w:r w:rsidRPr="00B47B76">
              <w:t>0.2141</w:t>
            </w:r>
          </w:p>
        </w:tc>
        <w:tc>
          <w:tcPr>
            <w:tcW w:w="1208" w:type="dxa"/>
            <w:gridSpan w:val="2"/>
            <w:tcBorders>
              <w:top w:val="nil"/>
              <w:left w:val="nil"/>
              <w:bottom w:val="nil"/>
              <w:right w:val="nil"/>
            </w:tcBorders>
            <w:shd w:val="clear" w:color="auto" w:fill="auto"/>
            <w:noWrap/>
            <w:hideMark/>
          </w:tcPr>
          <w:p w14:paraId="45C2737D" w14:textId="77777777" w:rsidR="00B26007" w:rsidRPr="007937A2" w:rsidRDefault="00B26007" w:rsidP="007937A2">
            <w:pPr>
              <w:spacing w:after="0" w:line="240" w:lineRule="auto"/>
              <w:jc w:val="center"/>
              <w:rPr>
                <w:rFonts w:eastAsia="Times New Roman"/>
                <w:color w:val="FF0000"/>
              </w:rPr>
            </w:pPr>
            <w:r w:rsidRPr="00B47B76">
              <w:t>0.1117</w:t>
            </w:r>
          </w:p>
        </w:tc>
        <w:tc>
          <w:tcPr>
            <w:tcW w:w="1235" w:type="dxa"/>
            <w:gridSpan w:val="2"/>
            <w:tcBorders>
              <w:top w:val="nil"/>
              <w:left w:val="nil"/>
              <w:bottom w:val="nil"/>
              <w:right w:val="nil"/>
            </w:tcBorders>
            <w:shd w:val="clear" w:color="auto" w:fill="auto"/>
            <w:noWrap/>
            <w:hideMark/>
          </w:tcPr>
          <w:p w14:paraId="4FD566BD" w14:textId="77777777" w:rsidR="00B26007" w:rsidRPr="007937A2" w:rsidRDefault="00B26007" w:rsidP="007937A2">
            <w:pPr>
              <w:spacing w:after="0" w:line="240" w:lineRule="auto"/>
              <w:jc w:val="center"/>
              <w:rPr>
                <w:rFonts w:eastAsia="Times New Roman"/>
                <w:color w:val="FF0000"/>
              </w:rPr>
            </w:pPr>
            <w:r w:rsidRPr="00B47B76">
              <w:t xml:space="preserve">1.917    </w:t>
            </w:r>
          </w:p>
        </w:tc>
        <w:tc>
          <w:tcPr>
            <w:tcW w:w="1089" w:type="dxa"/>
            <w:gridSpan w:val="2"/>
            <w:tcBorders>
              <w:top w:val="nil"/>
              <w:left w:val="nil"/>
              <w:bottom w:val="nil"/>
              <w:right w:val="nil"/>
            </w:tcBorders>
            <w:shd w:val="clear" w:color="auto" w:fill="auto"/>
            <w:noWrap/>
            <w:hideMark/>
          </w:tcPr>
          <w:p w14:paraId="48D342D1" w14:textId="77777777" w:rsidR="00B26007" w:rsidRPr="00966B79" w:rsidRDefault="00B26007" w:rsidP="007937A2">
            <w:pPr>
              <w:spacing w:after="0" w:line="240" w:lineRule="auto"/>
              <w:jc w:val="center"/>
              <w:rPr>
                <w:rFonts w:eastAsia="Times New Roman"/>
                <w:color w:val="000000"/>
              </w:rPr>
            </w:pPr>
            <w:r w:rsidRPr="00966B79">
              <w:rPr>
                <w:color w:val="000000"/>
              </w:rPr>
              <w:t>0.064</w:t>
            </w:r>
          </w:p>
        </w:tc>
        <w:tc>
          <w:tcPr>
            <w:tcW w:w="716" w:type="dxa"/>
            <w:gridSpan w:val="2"/>
            <w:tcBorders>
              <w:top w:val="nil"/>
              <w:left w:val="nil"/>
              <w:bottom w:val="nil"/>
              <w:right w:val="nil"/>
            </w:tcBorders>
            <w:shd w:val="clear" w:color="auto" w:fill="auto"/>
            <w:noWrap/>
            <w:vAlign w:val="bottom"/>
            <w:hideMark/>
          </w:tcPr>
          <w:p w14:paraId="6BB723D0" w14:textId="77777777" w:rsidR="00B26007" w:rsidRPr="00A11214" w:rsidRDefault="00B26007" w:rsidP="00112848">
            <w:pPr>
              <w:spacing w:after="0" w:line="240" w:lineRule="auto"/>
              <w:rPr>
                <w:rFonts w:eastAsia="Times New Roman"/>
                <w:color w:val="000000"/>
              </w:rPr>
            </w:pPr>
            <w:r>
              <w:rPr>
                <w:rFonts w:eastAsia="Times New Roman"/>
                <w:color w:val="000000"/>
              </w:rPr>
              <w:t>*</w:t>
            </w:r>
          </w:p>
        </w:tc>
      </w:tr>
      <w:tr w:rsidR="00830742" w:rsidRPr="00A11214" w14:paraId="060B2668" w14:textId="77777777" w:rsidTr="007937A2">
        <w:trPr>
          <w:gridAfter w:val="1"/>
          <w:wAfter w:w="234" w:type="dxa"/>
          <w:trHeight w:val="267"/>
        </w:trPr>
        <w:tc>
          <w:tcPr>
            <w:tcW w:w="2823" w:type="dxa"/>
            <w:tcBorders>
              <w:top w:val="nil"/>
              <w:left w:val="nil"/>
              <w:bottom w:val="single" w:sz="4" w:space="0" w:color="auto"/>
              <w:right w:val="nil"/>
            </w:tcBorders>
            <w:shd w:val="clear" w:color="auto" w:fill="auto"/>
            <w:vAlign w:val="bottom"/>
            <w:hideMark/>
          </w:tcPr>
          <w:p w14:paraId="6D98269B" w14:textId="77777777" w:rsidR="00B26007" w:rsidRPr="00A11214" w:rsidRDefault="00B26007" w:rsidP="007937A2">
            <w:pPr>
              <w:spacing w:after="0" w:line="240" w:lineRule="auto"/>
              <w:rPr>
                <w:rFonts w:eastAsia="Times New Roman"/>
                <w:color w:val="000000"/>
              </w:rPr>
            </w:pPr>
            <w:r>
              <w:rPr>
                <w:rFonts w:eastAsia="Times New Roman"/>
                <w:color w:val="000000"/>
              </w:rPr>
              <w:t>Risk Weighted Assets</w:t>
            </w:r>
            <w:r w:rsidR="00A259D7">
              <w:rPr>
                <w:rFonts w:eastAsia="Times New Roman"/>
                <w:color w:val="000000"/>
              </w:rPr>
              <w:t xml:space="preserve"> Ratio</w:t>
            </w:r>
          </w:p>
        </w:tc>
        <w:tc>
          <w:tcPr>
            <w:tcW w:w="2055" w:type="dxa"/>
            <w:gridSpan w:val="2"/>
            <w:tcBorders>
              <w:top w:val="nil"/>
              <w:left w:val="nil"/>
              <w:bottom w:val="single" w:sz="4" w:space="0" w:color="auto"/>
              <w:right w:val="nil"/>
            </w:tcBorders>
            <w:shd w:val="clear" w:color="auto" w:fill="auto"/>
            <w:noWrap/>
            <w:hideMark/>
          </w:tcPr>
          <w:p w14:paraId="010DF33C" w14:textId="77777777" w:rsidR="00B26007" w:rsidRPr="007937A2" w:rsidRDefault="00B26007" w:rsidP="007937A2">
            <w:pPr>
              <w:spacing w:after="0" w:line="240" w:lineRule="auto"/>
              <w:jc w:val="center"/>
              <w:rPr>
                <w:rFonts w:eastAsia="Times New Roman"/>
                <w:color w:val="FF0000"/>
              </w:rPr>
            </w:pPr>
            <w:r w:rsidRPr="00B47B76">
              <w:t>0.230</w:t>
            </w:r>
            <w:r>
              <w:t>9</w:t>
            </w:r>
          </w:p>
        </w:tc>
        <w:tc>
          <w:tcPr>
            <w:tcW w:w="1208" w:type="dxa"/>
            <w:gridSpan w:val="2"/>
            <w:tcBorders>
              <w:top w:val="nil"/>
              <w:left w:val="nil"/>
              <w:bottom w:val="single" w:sz="4" w:space="0" w:color="auto"/>
              <w:right w:val="nil"/>
            </w:tcBorders>
            <w:shd w:val="clear" w:color="auto" w:fill="auto"/>
            <w:noWrap/>
            <w:hideMark/>
          </w:tcPr>
          <w:p w14:paraId="0F390012" w14:textId="77777777" w:rsidR="00B26007" w:rsidRPr="007937A2" w:rsidRDefault="00B26007" w:rsidP="007937A2">
            <w:pPr>
              <w:spacing w:after="0" w:line="240" w:lineRule="auto"/>
              <w:jc w:val="center"/>
              <w:rPr>
                <w:rFonts w:eastAsia="Times New Roman"/>
                <w:color w:val="FF0000"/>
              </w:rPr>
            </w:pPr>
            <w:r w:rsidRPr="00B47B76">
              <w:t>0.1860</w:t>
            </w:r>
          </w:p>
        </w:tc>
        <w:tc>
          <w:tcPr>
            <w:tcW w:w="1235" w:type="dxa"/>
            <w:gridSpan w:val="2"/>
            <w:tcBorders>
              <w:top w:val="nil"/>
              <w:left w:val="nil"/>
              <w:bottom w:val="single" w:sz="4" w:space="0" w:color="auto"/>
              <w:right w:val="nil"/>
            </w:tcBorders>
            <w:shd w:val="clear" w:color="auto" w:fill="auto"/>
            <w:noWrap/>
            <w:hideMark/>
          </w:tcPr>
          <w:p w14:paraId="18C459A8" w14:textId="77777777" w:rsidR="00B26007" w:rsidRPr="007937A2" w:rsidRDefault="00B26007" w:rsidP="007937A2">
            <w:pPr>
              <w:spacing w:after="0" w:line="240" w:lineRule="auto"/>
              <w:jc w:val="center"/>
              <w:rPr>
                <w:rFonts w:eastAsia="Times New Roman"/>
                <w:color w:val="FF0000"/>
              </w:rPr>
            </w:pPr>
            <w:r w:rsidRPr="00B47B76">
              <w:t xml:space="preserve">1.241    </w:t>
            </w:r>
          </w:p>
        </w:tc>
        <w:tc>
          <w:tcPr>
            <w:tcW w:w="1089" w:type="dxa"/>
            <w:gridSpan w:val="2"/>
            <w:tcBorders>
              <w:top w:val="nil"/>
              <w:left w:val="nil"/>
              <w:bottom w:val="single" w:sz="4" w:space="0" w:color="auto"/>
              <w:right w:val="nil"/>
            </w:tcBorders>
            <w:shd w:val="clear" w:color="auto" w:fill="auto"/>
            <w:noWrap/>
            <w:hideMark/>
          </w:tcPr>
          <w:p w14:paraId="3FB039F7" w14:textId="77777777" w:rsidR="00B26007" w:rsidRPr="00966B79" w:rsidRDefault="00B26007" w:rsidP="007937A2">
            <w:pPr>
              <w:spacing w:after="0" w:line="240" w:lineRule="auto"/>
              <w:jc w:val="center"/>
              <w:rPr>
                <w:rFonts w:eastAsia="Times New Roman"/>
                <w:color w:val="000000"/>
              </w:rPr>
            </w:pPr>
            <w:r w:rsidRPr="00966B79">
              <w:rPr>
                <w:color w:val="000000"/>
              </w:rPr>
              <w:t>0.2234</w:t>
            </w:r>
          </w:p>
        </w:tc>
        <w:tc>
          <w:tcPr>
            <w:tcW w:w="716" w:type="dxa"/>
            <w:gridSpan w:val="2"/>
            <w:tcBorders>
              <w:top w:val="nil"/>
              <w:left w:val="nil"/>
              <w:bottom w:val="nil"/>
              <w:right w:val="nil"/>
            </w:tcBorders>
            <w:shd w:val="clear" w:color="auto" w:fill="auto"/>
            <w:noWrap/>
            <w:vAlign w:val="bottom"/>
            <w:hideMark/>
          </w:tcPr>
          <w:p w14:paraId="66AC9634" w14:textId="77777777" w:rsidR="00B26007" w:rsidRPr="00A11214" w:rsidRDefault="00B26007" w:rsidP="00112848">
            <w:pPr>
              <w:spacing w:after="0" w:line="240" w:lineRule="auto"/>
              <w:rPr>
                <w:rFonts w:eastAsia="Times New Roman"/>
                <w:color w:val="000000"/>
              </w:rPr>
            </w:pPr>
          </w:p>
        </w:tc>
      </w:tr>
      <w:tr w:rsidR="00A259D7" w:rsidRPr="00FB0ECF" w14:paraId="079FD3FF" w14:textId="77777777" w:rsidTr="007937A2">
        <w:trPr>
          <w:trHeight w:val="195"/>
        </w:trPr>
        <w:tc>
          <w:tcPr>
            <w:tcW w:w="2895" w:type="dxa"/>
            <w:gridSpan w:val="2"/>
            <w:tcBorders>
              <w:left w:val="nil"/>
              <w:right w:val="nil"/>
            </w:tcBorders>
            <w:shd w:val="clear" w:color="auto" w:fill="F2F2F2"/>
            <w:vAlign w:val="bottom"/>
            <w:hideMark/>
          </w:tcPr>
          <w:p w14:paraId="74CD0B44" w14:textId="77777777" w:rsidR="00A259D7" w:rsidRPr="00FB0ECF" w:rsidRDefault="00A259D7" w:rsidP="00D76031">
            <w:pPr>
              <w:spacing w:after="0" w:line="240" w:lineRule="auto"/>
              <w:rPr>
                <w:rFonts w:eastAsia="Times New Roman"/>
                <w:color w:val="C00000"/>
              </w:rPr>
            </w:pPr>
            <w:r w:rsidRPr="00FB0ECF">
              <w:rPr>
                <w:rFonts w:eastAsia="Times New Roman"/>
                <w:b/>
                <w:bCs/>
                <w:color w:val="C00000"/>
              </w:rPr>
              <w:t>Random Effects (GLS)</w:t>
            </w:r>
          </w:p>
        </w:tc>
        <w:tc>
          <w:tcPr>
            <w:tcW w:w="2108" w:type="dxa"/>
            <w:gridSpan w:val="2"/>
            <w:tcBorders>
              <w:left w:val="nil"/>
              <w:right w:val="nil"/>
            </w:tcBorders>
            <w:shd w:val="clear" w:color="auto" w:fill="F2F2F2"/>
            <w:noWrap/>
            <w:vAlign w:val="bottom"/>
            <w:hideMark/>
          </w:tcPr>
          <w:p w14:paraId="79362556" w14:textId="77777777" w:rsidR="00A259D7" w:rsidRPr="00FB0ECF" w:rsidRDefault="00A259D7" w:rsidP="00D76031">
            <w:pPr>
              <w:spacing w:after="0" w:line="240" w:lineRule="auto"/>
              <w:jc w:val="center"/>
              <w:rPr>
                <w:rFonts w:eastAsia="Times New Roman"/>
                <w:b/>
                <w:bCs/>
                <w:color w:val="000000"/>
              </w:rPr>
            </w:pPr>
            <w:r w:rsidRPr="00FB0ECF">
              <w:rPr>
                <w:rFonts w:eastAsia="Times New Roman"/>
                <w:b/>
                <w:bCs/>
                <w:color w:val="000000"/>
              </w:rPr>
              <w:t>coefficient</w:t>
            </w:r>
          </w:p>
        </w:tc>
        <w:tc>
          <w:tcPr>
            <w:tcW w:w="1239" w:type="dxa"/>
            <w:gridSpan w:val="2"/>
            <w:tcBorders>
              <w:left w:val="nil"/>
              <w:right w:val="nil"/>
            </w:tcBorders>
            <w:shd w:val="clear" w:color="auto" w:fill="F2F2F2"/>
            <w:noWrap/>
            <w:vAlign w:val="bottom"/>
            <w:hideMark/>
          </w:tcPr>
          <w:p w14:paraId="2D435B57" w14:textId="77777777" w:rsidR="00A259D7" w:rsidRPr="00FB0ECF" w:rsidRDefault="00A259D7" w:rsidP="00D76031">
            <w:pPr>
              <w:spacing w:after="0" w:line="240" w:lineRule="auto"/>
              <w:jc w:val="center"/>
              <w:rPr>
                <w:rFonts w:eastAsia="Times New Roman"/>
                <w:b/>
                <w:bCs/>
                <w:color w:val="000000"/>
              </w:rPr>
            </w:pPr>
            <w:r w:rsidRPr="00FB0ECF">
              <w:rPr>
                <w:rFonts w:eastAsia="Times New Roman"/>
                <w:b/>
                <w:bCs/>
                <w:color w:val="000000"/>
              </w:rPr>
              <w:t>std. error</w:t>
            </w:r>
          </w:p>
        </w:tc>
        <w:tc>
          <w:tcPr>
            <w:tcW w:w="1267" w:type="dxa"/>
            <w:gridSpan w:val="2"/>
            <w:tcBorders>
              <w:left w:val="nil"/>
              <w:right w:val="nil"/>
            </w:tcBorders>
            <w:shd w:val="clear" w:color="auto" w:fill="F2F2F2"/>
            <w:noWrap/>
            <w:vAlign w:val="bottom"/>
            <w:hideMark/>
          </w:tcPr>
          <w:p w14:paraId="0C13DF44" w14:textId="77777777" w:rsidR="00A259D7" w:rsidRPr="00966B79" w:rsidRDefault="00A259D7" w:rsidP="00D76031">
            <w:pPr>
              <w:spacing w:after="0" w:line="240" w:lineRule="auto"/>
              <w:jc w:val="center"/>
              <w:rPr>
                <w:rFonts w:eastAsia="Times New Roman"/>
                <w:b/>
                <w:bCs/>
                <w:color w:val="000000"/>
              </w:rPr>
            </w:pPr>
            <w:r w:rsidRPr="00966B79">
              <w:rPr>
                <w:rFonts w:eastAsia="Times New Roman"/>
                <w:b/>
                <w:bCs/>
                <w:color w:val="000000"/>
              </w:rPr>
              <w:t>t-ratio</w:t>
            </w:r>
          </w:p>
        </w:tc>
        <w:tc>
          <w:tcPr>
            <w:tcW w:w="1117" w:type="dxa"/>
            <w:gridSpan w:val="2"/>
            <w:tcBorders>
              <w:left w:val="nil"/>
              <w:right w:val="nil"/>
            </w:tcBorders>
            <w:shd w:val="clear" w:color="auto" w:fill="F2F2F2"/>
            <w:noWrap/>
            <w:vAlign w:val="bottom"/>
            <w:hideMark/>
          </w:tcPr>
          <w:p w14:paraId="7168F231" w14:textId="77777777" w:rsidR="00A259D7" w:rsidRPr="00966B79" w:rsidRDefault="00A259D7" w:rsidP="00D76031">
            <w:pPr>
              <w:spacing w:after="0" w:line="240" w:lineRule="auto"/>
              <w:jc w:val="center"/>
              <w:rPr>
                <w:rFonts w:eastAsia="Times New Roman"/>
                <w:b/>
                <w:bCs/>
                <w:color w:val="000000"/>
              </w:rPr>
            </w:pPr>
            <w:r w:rsidRPr="00966B79">
              <w:rPr>
                <w:rFonts w:eastAsia="Times New Roman"/>
                <w:b/>
                <w:bCs/>
                <w:color w:val="000000"/>
              </w:rPr>
              <w:t>p-value</w:t>
            </w:r>
          </w:p>
        </w:tc>
        <w:tc>
          <w:tcPr>
            <w:tcW w:w="734" w:type="dxa"/>
            <w:gridSpan w:val="2"/>
            <w:tcBorders>
              <w:left w:val="nil"/>
              <w:right w:val="nil"/>
            </w:tcBorders>
            <w:shd w:val="clear" w:color="auto" w:fill="F2F2F2"/>
            <w:noWrap/>
            <w:vAlign w:val="bottom"/>
            <w:hideMark/>
          </w:tcPr>
          <w:p w14:paraId="62202E5F" w14:textId="77777777" w:rsidR="00A259D7" w:rsidRPr="00FB0ECF" w:rsidRDefault="00A259D7" w:rsidP="00D76031">
            <w:pPr>
              <w:spacing w:after="0" w:line="240" w:lineRule="auto"/>
              <w:rPr>
                <w:rFonts w:eastAsia="Times New Roman"/>
                <w:color w:val="000000"/>
              </w:rPr>
            </w:pPr>
          </w:p>
        </w:tc>
      </w:tr>
      <w:tr w:rsidR="00830742" w:rsidRPr="00A11214" w14:paraId="4FF8FD17" w14:textId="77777777" w:rsidTr="007937A2">
        <w:trPr>
          <w:gridAfter w:val="1"/>
          <w:wAfter w:w="234" w:type="dxa"/>
          <w:trHeight w:val="267"/>
        </w:trPr>
        <w:tc>
          <w:tcPr>
            <w:tcW w:w="2823" w:type="dxa"/>
            <w:tcBorders>
              <w:top w:val="nil"/>
              <w:left w:val="nil"/>
              <w:bottom w:val="nil"/>
              <w:right w:val="nil"/>
            </w:tcBorders>
            <w:shd w:val="clear" w:color="auto" w:fill="auto"/>
            <w:vAlign w:val="bottom"/>
            <w:hideMark/>
          </w:tcPr>
          <w:p w14:paraId="19949D2E" w14:textId="49596A31" w:rsidR="007D568D" w:rsidRPr="00A11214" w:rsidRDefault="007D568D" w:rsidP="007937A2">
            <w:pPr>
              <w:spacing w:after="0" w:line="240" w:lineRule="auto"/>
              <w:rPr>
                <w:rFonts w:eastAsia="Times New Roman"/>
                <w:b/>
                <w:bCs/>
                <w:color w:val="000000"/>
              </w:rPr>
            </w:pPr>
            <w:r w:rsidRPr="00A11214">
              <w:rPr>
                <w:rFonts w:eastAsia="Times New Roman"/>
                <w:b/>
                <w:bCs/>
                <w:color w:val="000000"/>
              </w:rPr>
              <w:t xml:space="preserve">Model </w:t>
            </w:r>
            <w:r>
              <w:rPr>
                <w:rFonts w:eastAsia="Times New Roman"/>
                <w:b/>
                <w:bCs/>
                <w:color w:val="000000"/>
              </w:rPr>
              <w:t>6</w:t>
            </w:r>
            <w:r w:rsidR="00974113">
              <w:rPr>
                <w:rFonts w:eastAsia="Times New Roman"/>
                <w:b/>
                <w:bCs/>
                <w:color w:val="000000"/>
              </w:rPr>
              <w:t xml:space="preserve">:  </w:t>
            </w:r>
            <w:r w:rsidR="00830742">
              <w:rPr>
                <w:rFonts w:eastAsia="Times New Roman"/>
                <w:b/>
                <w:bCs/>
                <w:color w:val="000000"/>
              </w:rPr>
              <w:t>32</w:t>
            </w:r>
            <w:r w:rsidRPr="00A11214">
              <w:rPr>
                <w:rFonts w:eastAsia="Times New Roman"/>
                <w:b/>
                <w:bCs/>
                <w:color w:val="000000"/>
              </w:rPr>
              <w:t xml:space="preserve"> </w:t>
            </w:r>
            <w:proofErr w:type="spellStart"/>
            <w:r w:rsidRPr="00A11214">
              <w:rPr>
                <w:rFonts w:eastAsia="Times New Roman"/>
                <w:b/>
                <w:bCs/>
                <w:color w:val="000000"/>
              </w:rPr>
              <w:t>obs</w:t>
            </w:r>
            <w:proofErr w:type="spellEnd"/>
          </w:p>
        </w:tc>
        <w:tc>
          <w:tcPr>
            <w:tcW w:w="2055" w:type="dxa"/>
            <w:gridSpan w:val="2"/>
            <w:tcBorders>
              <w:top w:val="nil"/>
              <w:left w:val="nil"/>
              <w:bottom w:val="nil"/>
              <w:right w:val="nil"/>
            </w:tcBorders>
            <w:shd w:val="clear" w:color="auto" w:fill="auto"/>
            <w:noWrap/>
            <w:vAlign w:val="bottom"/>
            <w:hideMark/>
          </w:tcPr>
          <w:p w14:paraId="755EA262" w14:textId="77777777" w:rsidR="007D568D" w:rsidRPr="007937A2" w:rsidRDefault="007D568D" w:rsidP="00112848">
            <w:pPr>
              <w:spacing w:after="0" w:line="240" w:lineRule="auto"/>
              <w:jc w:val="center"/>
              <w:rPr>
                <w:rFonts w:eastAsia="Times New Roman"/>
                <w:color w:val="FF0000"/>
              </w:rPr>
            </w:pPr>
          </w:p>
        </w:tc>
        <w:tc>
          <w:tcPr>
            <w:tcW w:w="1208" w:type="dxa"/>
            <w:gridSpan w:val="2"/>
            <w:tcBorders>
              <w:top w:val="nil"/>
              <w:left w:val="nil"/>
              <w:bottom w:val="nil"/>
              <w:right w:val="nil"/>
            </w:tcBorders>
            <w:shd w:val="clear" w:color="auto" w:fill="auto"/>
            <w:noWrap/>
            <w:vAlign w:val="bottom"/>
            <w:hideMark/>
          </w:tcPr>
          <w:p w14:paraId="4A887E0A" w14:textId="77777777" w:rsidR="007D568D" w:rsidRPr="007937A2" w:rsidRDefault="007D568D" w:rsidP="00112848">
            <w:pPr>
              <w:spacing w:after="0" w:line="240" w:lineRule="auto"/>
              <w:jc w:val="center"/>
              <w:rPr>
                <w:rFonts w:eastAsia="Times New Roman"/>
                <w:color w:val="FF0000"/>
              </w:rPr>
            </w:pPr>
          </w:p>
        </w:tc>
        <w:tc>
          <w:tcPr>
            <w:tcW w:w="1235" w:type="dxa"/>
            <w:gridSpan w:val="2"/>
            <w:tcBorders>
              <w:top w:val="nil"/>
              <w:left w:val="nil"/>
              <w:bottom w:val="nil"/>
              <w:right w:val="nil"/>
            </w:tcBorders>
            <w:shd w:val="clear" w:color="auto" w:fill="auto"/>
            <w:noWrap/>
            <w:vAlign w:val="bottom"/>
            <w:hideMark/>
          </w:tcPr>
          <w:p w14:paraId="715829F6" w14:textId="77777777" w:rsidR="007D568D" w:rsidRPr="007937A2" w:rsidRDefault="007D568D" w:rsidP="00112848">
            <w:pPr>
              <w:spacing w:after="0" w:line="240" w:lineRule="auto"/>
              <w:jc w:val="center"/>
              <w:rPr>
                <w:rFonts w:eastAsia="Times New Roman"/>
                <w:color w:val="FF0000"/>
              </w:rPr>
            </w:pPr>
          </w:p>
        </w:tc>
        <w:tc>
          <w:tcPr>
            <w:tcW w:w="1089" w:type="dxa"/>
            <w:gridSpan w:val="2"/>
            <w:tcBorders>
              <w:top w:val="nil"/>
              <w:left w:val="nil"/>
              <w:bottom w:val="nil"/>
              <w:right w:val="nil"/>
            </w:tcBorders>
            <w:shd w:val="clear" w:color="auto" w:fill="auto"/>
            <w:noWrap/>
            <w:vAlign w:val="bottom"/>
            <w:hideMark/>
          </w:tcPr>
          <w:p w14:paraId="5E4EA486" w14:textId="77777777" w:rsidR="007D568D" w:rsidRPr="00966B79" w:rsidRDefault="007D568D" w:rsidP="00112848">
            <w:pPr>
              <w:spacing w:after="0" w:line="240" w:lineRule="auto"/>
              <w:jc w:val="center"/>
              <w:rPr>
                <w:rFonts w:eastAsia="Times New Roman"/>
                <w:color w:val="000000"/>
              </w:rPr>
            </w:pPr>
          </w:p>
        </w:tc>
        <w:tc>
          <w:tcPr>
            <w:tcW w:w="716" w:type="dxa"/>
            <w:gridSpan w:val="2"/>
            <w:tcBorders>
              <w:top w:val="nil"/>
              <w:left w:val="nil"/>
              <w:bottom w:val="nil"/>
              <w:right w:val="nil"/>
            </w:tcBorders>
            <w:shd w:val="clear" w:color="auto" w:fill="auto"/>
            <w:noWrap/>
            <w:vAlign w:val="bottom"/>
            <w:hideMark/>
          </w:tcPr>
          <w:p w14:paraId="0A0A80B9" w14:textId="77777777" w:rsidR="007D568D" w:rsidRPr="00A11214" w:rsidRDefault="007D568D" w:rsidP="00112848">
            <w:pPr>
              <w:spacing w:after="0" w:line="240" w:lineRule="auto"/>
              <w:rPr>
                <w:rFonts w:eastAsia="Times New Roman"/>
                <w:color w:val="000000"/>
              </w:rPr>
            </w:pPr>
          </w:p>
        </w:tc>
      </w:tr>
      <w:tr w:rsidR="00671252" w:rsidRPr="00A11214" w14:paraId="2BDB5ADB" w14:textId="77777777" w:rsidTr="007937A2">
        <w:trPr>
          <w:gridAfter w:val="1"/>
          <w:wAfter w:w="234" w:type="dxa"/>
          <w:trHeight w:val="267"/>
        </w:trPr>
        <w:tc>
          <w:tcPr>
            <w:tcW w:w="2823" w:type="dxa"/>
            <w:tcBorders>
              <w:top w:val="nil"/>
              <w:left w:val="nil"/>
              <w:right w:val="nil"/>
            </w:tcBorders>
            <w:shd w:val="clear" w:color="auto" w:fill="auto"/>
            <w:vAlign w:val="bottom"/>
            <w:hideMark/>
          </w:tcPr>
          <w:p w14:paraId="1E124AED" w14:textId="77777777" w:rsidR="00671252" w:rsidRPr="00A11214" w:rsidRDefault="00671252" w:rsidP="00112848">
            <w:pPr>
              <w:spacing w:after="0" w:line="240" w:lineRule="auto"/>
              <w:rPr>
                <w:rFonts w:eastAsia="Times New Roman"/>
                <w:color w:val="000000"/>
              </w:rPr>
            </w:pPr>
            <w:r w:rsidRPr="00A11214">
              <w:rPr>
                <w:rFonts w:eastAsia="Times New Roman"/>
                <w:color w:val="000000"/>
              </w:rPr>
              <w:t>Const</w:t>
            </w:r>
          </w:p>
        </w:tc>
        <w:tc>
          <w:tcPr>
            <w:tcW w:w="2055" w:type="dxa"/>
            <w:gridSpan w:val="2"/>
            <w:tcBorders>
              <w:top w:val="nil"/>
              <w:left w:val="nil"/>
              <w:right w:val="nil"/>
            </w:tcBorders>
            <w:shd w:val="clear" w:color="auto" w:fill="auto"/>
            <w:noWrap/>
            <w:hideMark/>
          </w:tcPr>
          <w:p w14:paraId="3ED12B55" w14:textId="77777777" w:rsidR="00671252" w:rsidRPr="007937A2" w:rsidRDefault="00671252" w:rsidP="007937A2">
            <w:pPr>
              <w:spacing w:after="0" w:line="240" w:lineRule="auto"/>
              <w:jc w:val="center"/>
              <w:rPr>
                <w:rFonts w:eastAsia="Times New Roman"/>
                <w:color w:val="FF0000"/>
              </w:rPr>
            </w:pPr>
            <w:r w:rsidRPr="000812C7">
              <w:t>0.1021</w:t>
            </w:r>
          </w:p>
        </w:tc>
        <w:tc>
          <w:tcPr>
            <w:tcW w:w="1208" w:type="dxa"/>
            <w:gridSpan w:val="2"/>
            <w:tcBorders>
              <w:top w:val="nil"/>
              <w:left w:val="nil"/>
              <w:right w:val="nil"/>
            </w:tcBorders>
            <w:shd w:val="clear" w:color="auto" w:fill="auto"/>
            <w:noWrap/>
            <w:hideMark/>
          </w:tcPr>
          <w:p w14:paraId="79782F6C" w14:textId="77777777" w:rsidR="00671252" w:rsidRPr="007937A2" w:rsidRDefault="00671252" w:rsidP="007937A2">
            <w:pPr>
              <w:spacing w:after="0" w:line="240" w:lineRule="auto"/>
              <w:jc w:val="center"/>
              <w:rPr>
                <w:rFonts w:eastAsia="Times New Roman"/>
                <w:color w:val="FF0000"/>
              </w:rPr>
            </w:pPr>
            <w:r w:rsidRPr="000812C7">
              <w:t>0.0365</w:t>
            </w:r>
            <w:r>
              <w:t>9</w:t>
            </w:r>
          </w:p>
        </w:tc>
        <w:tc>
          <w:tcPr>
            <w:tcW w:w="1235" w:type="dxa"/>
            <w:gridSpan w:val="2"/>
            <w:tcBorders>
              <w:top w:val="nil"/>
              <w:left w:val="nil"/>
              <w:right w:val="nil"/>
            </w:tcBorders>
            <w:shd w:val="clear" w:color="auto" w:fill="auto"/>
            <w:noWrap/>
            <w:hideMark/>
          </w:tcPr>
          <w:p w14:paraId="12C03062" w14:textId="77777777" w:rsidR="00671252" w:rsidRPr="007937A2" w:rsidRDefault="00671252" w:rsidP="007937A2">
            <w:pPr>
              <w:spacing w:after="0" w:line="240" w:lineRule="auto"/>
              <w:jc w:val="center"/>
              <w:rPr>
                <w:rFonts w:eastAsia="Times New Roman"/>
                <w:color w:val="FF0000"/>
              </w:rPr>
            </w:pPr>
            <w:r w:rsidRPr="000812C7">
              <w:t>2.791</w:t>
            </w:r>
          </w:p>
        </w:tc>
        <w:tc>
          <w:tcPr>
            <w:tcW w:w="1089" w:type="dxa"/>
            <w:gridSpan w:val="2"/>
            <w:tcBorders>
              <w:top w:val="nil"/>
              <w:left w:val="nil"/>
              <w:right w:val="nil"/>
            </w:tcBorders>
            <w:shd w:val="clear" w:color="auto" w:fill="auto"/>
            <w:noWrap/>
            <w:vAlign w:val="bottom"/>
            <w:hideMark/>
          </w:tcPr>
          <w:p w14:paraId="720CD3AD" w14:textId="77777777" w:rsidR="00671252" w:rsidRPr="00966B79" w:rsidRDefault="00671252" w:rsidP="00112848">
            <w:pPr>
              <w:spacing w:after="0" w:line="240" w:lineRule="auto"/>
              <w:jc w:val="center"/>
              <w:rPr>
                <w:rFonts w:eastAsia="Times New Roman"/>
                <w:color w:val="000000"/>
              </w:rPr>
            </w:pPr>
            <w:r w:rsidRPr="00966B79">
              <w:rPr>
                <w:rFonts w:eastAsia="Times New Roman"/>
                <w:color w:val="000000"/>
              </w:rPr>
              <w:t>0.0091</w:t>
            </w:r>
          </w:p>
        </w:tc>
        <w:tc>
          <w:tcPr>
            <w:tcW w:w="716" w:type="dxa"/>
            <w:gridSpan w:val="2"/>
            <w:tcBorders>
              <w:top w:val="nil"/>
              <w:left w:val="nil"/>
              <w:right w:val="nil"/>
            </w:tcBorders>
            <w:shd w:val="clear" w:color="auto" w:fill="auto"/>
            <w:noWrap/>
            <w:vAlign w:val="bottom"/>
            <w:hideMark/>
          </w:tcPr>
          <w:p w14:paraId="712176E6" w14:textId="77777777" w:rsidR="00671252" w:rsidRPr="00A11214" w:rsidRDefault="00671252" w:rsidP="00112848">
            <w:pPr>
              <w:spacing w:after="0" w:line="240" w:lineRule="auto"/>
              <w:rPr>
                <w:rFonts w:eastAsia="Times New Roman"/>
                <w:color w:val="000000"/>
              </w:rPr>
            </w:pPr>
            <w:r w:rsidRPr="00A11214">
              <w:rPr>
                <w:rFonts w:eastAsia="Times New Roman"/>
                <w:color w:val="000000"/>
              </w:rPr>
              <w:t>***</w:t>
            </w:r>
          </w:p>
        </w:tc>
      </w:tr>
      <w:tr w:rsidR="00671252" w:rsidRPr="00A11214" w14:paraId="00A3C340" w14:textId="77777777" w:rsidTr="007937A2">
        <w:trPr>
          <w:gridAfter w:val="1"/>
          <w:wAfter w:w="234" w:type="dxa"/>
          <w:trHeight w:val="267"/>
        </w:trPr>
        <w:tc>
          <w:tcPr>
            <w:tcW w:w="2823" w:type="dxa"/>
            <w:tcBorders>
              <w:top w:val="nil"/>
              <w:left w:val="nil"/>
              <w:bottom w:val="single" w:sz="4" w:space="0" w:color="auto"/>
              <w:right w:val="nil"/>
            </w:tcBorders>
            <w:shd w:val="clear" w:color="auto" w:fill="auto"/>
            <w:vAlign w:val="bottom"/>
            <w:hideMark/>
          </w:tcPr>
          <w:p w14:paraId="19393C6F" w14:textId="77777777" w:rsidR="00671252" w:rsidRPr="00A11214" w:rsidRDefault="00671252" w:rsidP="00112848">
            <w:pPr>
              <w:spacing w:after="0" w:line="240" w:lineRule="auto"/>
              <w:rPr>
                <w:rFonts w:eastAsia="Times New Roman"/>
                <w:color w:val="000000"/>
              </w:rPr>
            </w:pPr>
            <w:r w:rsidRPr="00A11214">
              <w:rPr>
                <w:rFonts w:eastAsia="Times New Roman"/>
                <w:color w:val="000000"/>
              </w:rPr>
              <w:t>Trading</w:t>
            </w:r>
            <w:r w:rsidR="00830742">
              <w:rPr>
                <w:rFonts w:eastAsia="Times New Roman"/>
                <w:color w:val="000000"/>
              </w:rPr>
              <w:t xml:space="preserve"> </w:t>
            </w:r>
            <w:r w:rsidR="00A259D7">
              <w:rPr>
                <w:rFonts w:eastAsia="Times New Roman"/>
                <w:color w:val="000000"/>
              </w:rPr>
              <w:t xml:space="preserve">to Assets </w:t>
            </w:r>
            <w:r w:rsidRPr="00A11214">
              <w:rPr>
                <w:rFonts w:eastAsia="Times New Roman"/>
                <w:color w:val="000000"/>
              </w:rPr>
              <w:t>Ratio</w:t>
            </w:r>
          </w:p>
        </w:tc>
        <w:tc>
          <w:tcPr>
            <w:tcW w:w="2055" w:type="dxa"/>
            <w:gridSpan w:val="2"/>
            <w:tcBorders>
              <w:top w:val="nil"/>
              <w:left w:val="nil"/>
              <w:bottom w:val="single" w:sz="4" w:space="0" w:color="auto"/>
              <w:right w:val="nil"/>
            </w:tcBorders>
            <w:shd w:val="clear" w:color="auto" w:fill="auto"/>
            <w:noWrap/>
            <w:hideMark/>
          </w:tcPr>
          <w:p w14:paraId="43D01CA1" w14:textId="77777777" w:rsidR="00671252" w:rsidRPr="007937A2" w:rsidRDefault="00671252" w:rsidP="007937A2">
            <w:pPr>
              <w:spacing w:after="0" w:line="240" w:lineRule="auto"/>
              <w:jc w:val="center"/>
              <w:rPr>
                <w:rFonts w:eastAsia="Times New Roman"/>
                <w:color w:val="FF0000"/>
              </w:rPr>
            </w:pPr>
            <w:r w:rsidRPr="000812C7">
              <w:t>0.05</w:t>
            </w:r>
            <w:r>
              <w:t>2</w:t>
            </w:r>
          </w:p>
        </w:tc>
        <w:tc>
          <w:tcPr>
            <w:tcW w:w="1208" w:type="dxa"/>
            <w:gridSpan w:val="2"/>
            <w:tcBorders>
              <w:top w:val="nil"/>
              <w:left w:val="nil"/>
              <w:bottom w:val="single" w:sz="4" w:space="0" w:color="auto"/>
              <w:right w:val="nil"/>
            </w:tcBorders>
            <w:shd w:val="clear" w:color="auto" w:fill="auto"/>
            <w:noWrap/>
            <w:hideMark/>
          </w:tcPr>
          <w:p w14:paraId="21E73012" w14:textId="77777777" w:rsidR="00671252" w:rsidRPr="007937A2" w:rsidRDefault="00671252" w:rsidP="007937A2">
            <w:pPr>
              <w:spacing w:after="0" w:line="240" w:lineRule="auto"/>
              <w:jc w:val="center"/>
              <w:rPr>
                <w:rFonts w:eastAsia="Times New Roman"/>
                <w:color w:val="FF0000"/>
              </w:rPr>
            </w:pPr>
            <w:r w:rsidRPr="000812C7">
              <w:t>0.0583</w:t>
            </w:r>
          </w:p>
        </w:tc>
        <w:tc>
          <w:tcPr>
            <w:tcW w:w="1235" w:type="dxa"/>
            <w:gridSpan w:val="2"/>
            <w:tcBorders>
              <w:top w:val="nil"/>
              <w:left w:val="nil"/>
              <w:bottom w:val="single" w:sz="4" w:space="0" w:color="auto"/>
              <w:right w:val="nil"/>
            </w:tcBorders>
            <w:shd w:val="clear" w:color="auto" w:fill="auto"/>
            <w:noWrap/>
            <w:hideMark/>
          </w:tcPr>
          <w:p w14:paraId="3D2BE560" w14:textId="77777777" w:rsidR="00671252" w:rsidRPr="007937A2" w:rsidRDefault="00671252" w:rsidP="007937A2">
            <w:pPr>
              <w:spacing w:after="0" w:line="240" w:lineRule="auto"/>
              <w:jc w:val="center"/>
              <w:rPr>
                <w:rFonts w:eastAsia="Times New Roman"/>
                <w:color w:val="FF0000"/>
              </w:rPr>
            </w:pPr>
            <w:r w:rsidRPr="000812C7">
              <w:t>0.89</w:t>
            </w:r>
            <w:r w:rsidR="000C11C9">
              <w:t>2</w:t>
            </w:r>
            <w:r w:rsidRPr="000812C7">
              <w:t xml:space="preserve">   </w:t>
            </w:r>
          </w:p>
        </w:tc>
        <w:tc>
          <w:tcPr>
            <w:tcW w:w="1089" w:type="dxa"/>
            <w:gridSpan w:val="2"/>
            <w:tcBorders>
              <w:top w:val="nil"/>
              <w:left w:val="nil"/>
              <w:bottom w:val="single" w:sz="4" w:space="0" w:color="auto"/>
              <w:right w:val="nil"/>
            </w:tcBorders>
            <w:shd w:val="clear" w:color="auto" w:fill="auto"/>
            <w:noWrap/>
            <w:vAlign w:val="bottom"/>
            <w:hideMark/>
          </w:tcPr>
          <w:p w14:paraId="580B6E9D" w14:textId="77777777" w:rsidR="00671252" w:rsidRPr="00966B79" w:rsidRDefault="00671252" w:rsidP="007937A2">
            <w:pPr>
              <w:spacing w:after="0" w:line="240" w:lineRule="auto"/>
              <w:jc w:val="center"/>
              <w:rPr>
                <w:rFonts w:eastAsia="Times New Roman"/>
                <w:color w:val="000000"/>
              </w:rPr>
            </w:pPr>
            <w:r w:rsidRPr="00966B79">
              <w:rPr>
                <w:rFonts w:eastAsia="Times New Roman"/>
                <w:color w:val="000000"/>
              </w:rPr>
              <w:t>0.378</w:t>
            </w:r>
          </w:p>
        </w:tc>
        <w:tc>
          <w:tcPr>
            <w:tcW w:w="716" w:type="dxa"/>
            <w:gridSpan w:val="2"/>
            <w:tcBorders>
              <w:top w:val="nil"/>
              <w:left w:val="nil"/>
              <w:bottom w:val="single" w:sz="4" w:space="0" w:color="auto"/>
              <w:right w:val="nil"/>
            </w:tcBorders>
            <w:shd w:val="clear" w:color="auto" w:fill="auto"/>
            <w:noWrap/>
            <w:vAlign w:val="bottom"/>
            <w:hideMark/>
          </w:tcPr>
          <w:p w14:paraId="499F559A" w14:textId="77777777" w:rsidR="00671252" w:rsidRPr="00A11214" w:rsidRDefault="00671252" w:rsidP="00112848">
            <w:pPr>
              <w:spacing w:after="0" w:line="240" w:lineRule="auto"/>
              <w:rPr>
                <w:rFonts w:eastAsia="Times New Roman"/>
                <w:color w:val="000000"/>
              </w:rPr>
            </w:pPr>
          </w:p>
        </w:tc>
      </w:tr>
      <w:tr w:rsidR="00830742" w:rsidRPr="00A11214" w14:paraId="5BB347EA" w14:textId="77777777" w:rsidTr="007937A2">
        <w:trPr>
          <w:gridAfter w:val="1"/>
          <w:wAfter w:w="234" w:type="dxa"/>
          <w:trHeight w:val="267"/>
        </w:trPr>
        <w:tc>
          <w:tcPr>
            <w:tcW w:w="2823" w:type="dxa"/>
            <w:tcBorders>
              <w:top w:val="single" w:sz="4" w:space="0" w:color="auto"/>
              <w:left w:val="nil"/>
              <w:bottom w:val="nil"/>
              <w:right w:val="nil"/>
            </w:tcBorders>
            <w:shd w:val="clear" w:color="auto" w:fill="auto"/>
            <w:vAlign w:val="bottom"/>
            <w:hideMark/>
          </w:tcPr>
          <w:p w14:paraId="25861A9C" w14:textId="21C725C9" w:rsidR="007D568D" w:rsidRPr="00A11214" w:rsidRDefault="007D568D" w:rsidP="007937A2">
            <w:pPr>
              <w:spacing w:after="0" w:line="240" w:lineRule="auto"/>
              <w:rPr>
                <w:rFonts w:eastAsia="Times New Roman"/>
                <w:b/>
                <w:bCs/>
                <w:color w:val="000000"/>
              </w:rPr>
            </w:pPr>
            <w:r w:rsidRPr="00A11214">
              <w:rPr>
                <w:rFonts w:eastAsia="Times New Roman"/>
                <w:b/>
                <w:bCs/>
                <w:color w:val="000000"/>
              </w:rPr>
              <w:t xml:space="preserve">Model </w:t>
            </w:r>
            <w:r>
              <w:rPr>
                <w:rFonts w:eastAsia="Times New Roman"/>
                <w:b/>
                <w:bCs/>
                <w:color w:val="000000"/>
              </w:rPr>
              <w:t>7</w:t>
            </w:r>
            <w:r w:rsidR="00974113">
              <w:rPr>
                <w:rFonts w:eastAsia="Times New Roman"/>
                <w:b/>
                <w:bCs/>
                <w:color w:val="000000"/>
              </w:rPr>
              <w:t xml:space="preserve">:  </w:t>
            </w:r>
            <w:r w:rsidR="00830742">
              <w:rPr>
                <w:rFonts w:eastAsia="Times New Roman"/>
                <w:b/>
                <w:bCs/>
                <w:color w:val="000000"/>
              </w:rPr>
              <w:t>41</w:t>
            </w:r>
            <w:r w:rsidRPr="00A11214">
              <w:rPr>
                <w:rFonts w:eastAsia="Times New Roman"/>
                <w:b/>
                <w:bCs/>
                <w:color w:val="000000"/>
              </w:rPr>
              <w:t xml:space="preserve"> </w:t>
            </w:r>
            <w:proofErr w:type="spellStart"/>
            <w:r w:rsidRPr="00A11214">
              <w:rPr>
                <w:rFonts w:eastAsia="Times New Roman"/>
                <w:b/>
                <w:bCs/>
                <w:color w:val="000000"/>
              </w:rPr>
              <w:t>obs</w:t>
            </w:r>
            <w:proofErr w:type="spellEnd"/>
          </w:p>
        </w:tc>
        <w:tc>
          <w:tcPr>
            <w:tcW w:w="2055" w:type="dxa"/>
            <w:gridSpan w:val="2"/>
            <w:tcBorders>
              <w:top w:val="single" w:sz="4" w:space="0" w:color="auto"/>
              <w:left w:val="nil"/>
              <w:bottom w:val="nil"/>
              <w:right w:val="nil"/>
            </w:tcBorders>
            <w:shd w:val="clear" w:color="auto" w:fill="auto"/>
            <w:noWrap/>
            <w:vAlign w:val="bottom"/>
            <w:hideMark/>
          </w:tcPr>
          <w:p w14:paraId="24B79A88" w14:textId="77777777" w:rsidR="007D568D" w:rsidRPr="007937A2" w:rsidRDefault="007D568D" w:rsidP="00112848">
            <w:pPr>
              <w:spacing w:after="0" w:line="240" w:lineRule="auto"/>
              <w:jc w:val="center"/>
              <w:rPr>
                <w:rFonts w:eastAsia="Times New Roman"/>
                <w:color w:val="FF0000"/>
              </w:rPr>
            </w:pPr>
          </w:p>
        </w:tc>
        <w:tc>
          <w:tcPr>
            <w:tcW w:w="1208" w:type="dxa"/>
            <w:gridSpan w:val="2"/>
            <w:tcBorders>
              <w:top w:val="single" w:sz="4" w:space="0" w:color="auto"/>
              <w:left w:val="nil"/>
              <w:bottom w:val="nil"/>
              <w:right w:val="nil"/>
            </w:tcBorders>
            <w:shd w:val="clear" w:color="auto" w:fill="auto"/>
            <w:noWrap/>
            <w:vAlign w:val="bottom"/>
            <w:hideMark/>
          </w:tcPr>
          <w:p w14:paraId="32B019CD" w14:textId="77777777" w:rsidR="007D568D" w:rsidRPr="007937A2" w:rsidRDefault="007D568D" w:rsidP="00112848">
            <w:pPr>
              <w:spacing w:after="0" w:line="240" w:lineRule="auto"/>
              <w:jc w:val="center"/>
              <w:rPr>
                <w:rFonts w:eastAsia="Times New Roman"/>
                <w:color w:val="FF0000"/>
              </w:rPr>
            </w:pPr>
          </w:p>
        </w:tc>
        <w:tc>
          <w:tcPr>
            <w:tcW w:w="1235" w:type="dxa"/>
            <w:gridSpan w:val="2"/>
            <w:tcBorders>
              <w:top w:val="single" w:sz="4" w:space="0" w:color="auto"/>
              <w:left w:val="nil"/>
              <w:bottom w:val="nil"/>
              <w:right w:val="nil"/>
            </w:tcBorders>
            <w:shd w:val="clear" w:color="auto" w:fill="auto"/>
            <w:noWrap/>
            <w:vAlign w:val="bottom"/>
            <w:hideMark/>
          </w:tcPr>
          <w:p w14:paraId="28DAAD1F" w14:textId="77777777" w:rsidR="007D568D" w:rsidRPr="007937A2" w:rsidRDefault="007D568D" w:rsidP="00112848">
            <w:pPr>
              <w:spacing w:after="0" w:line="240" w:lineRule="auto"/>
              <w:jc w:val="center"/>
              <w:rPr>
                <w:rFonts w:eastAsia="Times New Roman"/>
                <w:color w:val="FF0000"/>
              </w:rPr>
            </w:pPr>
          </w:p>
        </w:tc>
        <w:tc>
          <w:tcPr>
            <w:tcW w:w="1089" w:type="dxa"/>
            <w:gridSpan w:val="2"/>
            <w:tcBorders>
              <w:top w:val="single" w:sz="4" w:space="0" w:color="auto"/>
              <w:left w:val="nil"/>
              <w:bottom w:val="nil"/>
              <w:right w:val="nil"/>
            </w:tcBorders>
            <w:shd w:val="clear" w:color="auto" w:fill="auto"/>
            <w:noWrap/>
            <w:vAlign w:val="bottom"/>
            <w:hideMark/>
          </w:tcPr>
          <w:p w14:paraId="68303FB6" w14:textId="77777777" w:rsidR="007D568D" w:rsidRPr="00966B79" w:rsidRDefault="007D568D" w:rsidP="00112848">
            <w:pPr>
              <w:spacing w:after="0" w:line="240" w:lineRule="auto"/>
              <w:jc w:val="center"/>
              <w:rPr>
                <w:rFonts w:eastAsia="Times New Roman"/>
                <w:color w:val="000000"/>
              </w:rPr>
            </w:pPr>
          </w:p>
        </w:tc>
        <w:tc>
          <w:tcPr>
            <w:tcW w:w="716" w:type="dxa"/>
            <w:gridSpan w:val="2"/>
            <w:tcBorders>
              <w:top w:val="single" w:sz="4" w:space="0" w:color="auto"/>
              <w:left w:val="nil"/>
              <w:bottom w:val="nil"/>
              <w:right w:val="nil"/>
            </w:tcBorders>
            <w:shd w:val="clear" w:color="auto" w:fill="auto"/>
            <w:noWrap/>
            <w:vAlign w:val="bottom"/>
            <w:hideMark/>
          </w:tcPr>
          <w:p w14:paraId="1E090937" w14:textId="77777777" w:rsidR="007D568D" w:rsidRPr="00A11214" w:rsidRDefault="007D568D" w:rsidP="00112848">
            <w:pPr>
              <w:spacing w:after="0" w:line="240" w:lineRule="auto"/>
              <w:rPr>
                <w:rFonts w:eastAsia="Times New Roman"/>
                <w:color w:val="000000"/>
              </w:rPr>
            </w:pPr>
          </w:p>
        </w:tc>
      </w:tr>
      <w:tr w:rsidR="00671252" w:rsidRPr="00A11214" w14:paraId="7CF4EBBC" w14:textId="77777777" w:rsidTr="007937A2">
        <w:trPr>
          <w:gridAfter w:val="1"/>
          <w:wAfter w:w="234" w:type="dxa"/>
          <w:trHeight w:val="267"/>
        </w:trPr>
        <w:tc>
          <w:tcPr>
            <w:tcW w:w="2823" w:type="dxa"/>
            <w:tcBorders>
              <w:top w:val="nil"/>
              <w:left w:val="nil"/>
              <w:right w:val="nil"/>
            </w:tcBorders>
            <w:shd w:val="clear" w:color="auto" w:fill="auto"/>
            <w:vAlign w:val="bottom"/>
            <w:hideMark/>
          </w:tcPr>
          <w:p w14:paraId="07DABA0C" w14:textId="77777777" w:rsidR="00671252" w:rsidRPr="00A11214" w:rsidRDefault="00671252" w:rsidP="00112848">
            <w:pPr>
              <w:spacing w:after="0" w:line="240" w:lineRule="auto"/>
              <w:rPr>
                <w:rFonts w:eastAsia="Times New Roman"/>
                <w:color w:val="000000"/>
              </w:rPr>
            </w:pPr>
            <w:r w:rsidRPr="00A11214">
              <w:rPr>
                <w:rFonts w:eastAsia="Times New Roman"/>
                <w:color w:val="000000"/>
              </w:rPr>
              <w:t>Const</w:t>
            </w:r>
          </w:p>
        </w:tc>
        <w:tc>
          <w:tcPr>
            <w:tcW w:w="2055" w:type="dxa"/>
            <w:gridSpan w:val="2"/>
            <w:tcBorders>
              <w:top w:val="nil"/>
              <w:left w:val="nil"/>
              <w:right w:val="nil"/>
            </w:tcBorders>
            <w:shd w:val="clear" w:color="auto" w:fill="auto"/>
            <w:noWrap/>
            <w:hideMark/>
          </w:tcPr>
          <w:p w14:paraId="6D201042" w14:textId="77777777" w:rsidR="00671252" w:rsidRPr="007937A2" w:rsidRDefault="00671252" w:rsidP="007937A2">
            <w:pPr>
              <w:spacing w:after="0" w:line="240" w:lineRule="auto"/>
              <w:jc w:val="center"/>
              <w:rPr>
                <w:rFonts w:eastAsia="Times New Roman"/>
                <w:color w:val="FF0000"/>
              </w:rPr>
            </w:pPr>
            <w:r w:rsidRPr="001F04A0">
              <w:t>0.084</w:t>
            </w:r>
            <w:r>
              <w:t>7</w:t>
            </w:r>
          </w:p>
        </w:tc>
        <w:tc>
          <w:tcPr>
            <w:tcW w:w="1208" w:type="dxa"/>
            <w:gridSpan w:val="2"/>
            <w:tcBorders>
              <w:top w:val="nil"/>
              <w:left w:val="nil"/>
              <w:right w:val="nil"/>
            </w:tcBorders>
            <w:shd w:val="clear" w:color="auto" w:fill="auto"/>
            <w:noWrap/>
            <w:hideMark/>
          </w:tcPr>
          <w:p w14:paraId="021CB322" w14:textId="77777777" w:rsidR="00671252" w:rsidRPr="007937A2" w:rsidRDefault="00671252" w:rsidP="007937A2">
            <w:pPr>
              <w:spacing w:after="0" w:line="240" w:lineRule="auto"/>
              <w:jc w:val="center"/>
              <w:rPr>
                <w:rFonts w:eastAsia="Times New Roman"/>
                <w:color w:val="FF0000"/>
              </w:rPr>
            </w:pPr>
            <w:r w:rsidRPr="001F04A0">
              <w:t>0.033</w:t>
            </w:r>
            <w:r>
              <w:t>1</w:t>
            </w:r>
          </w:p>
        </w:tc>
        <w:tc>
          <w:tcPr>
            <w:tcW w:w="1235" w:type="dxa"/>
            <w:gridSpan w:val="2"/>
            <w:tcBorders>
              <w:top w:val="nil"/>
              <w:left w:val="nil"/>
              <w:right w:val="nil"/>
            </w:tcBorders>
            <w:shd w:val="clear" w:color="auto" w:fill="auto"/>
            <w:noWrap/>
            <w:hideMark/>
          </w:tcPr>
          <w:p w14:paraId="2210DC45" w14:textId="77777777" w:rsidR="00671252" w:rsidRPr="007937A2" w:rsidRDefault="00671252" w:rsidP="007937A2">
            <w:pPr>
              <w:spacing w:after="0" w:line="240" w:lineRule="auto"/>
              <w:jc w:val="center"/>
              <w:rPr>
                <w:rFonts w:eastAsia="Times New Roman"/>
                <w:color w:val="FF0000"/>
              </w:rPr>
            </w:pPr>
            <w:r w:rsidRPr="001F04A0">
              <w:t>2.561</w:t>
            </w:r>
          </w:p>
        </w:tc>
        <w:tc>
          <w:tcPr>
            <w:tcW w:w="1089" w:type="dxa"/>
            <w:gridSpan w:val="2"/>
            <w:tcBorders>
              <w:top w:val="nil"/>
              <w:left w:val="nil"/>
              <w:right w:val="nil"/>
            </w:tcBorders>
            <w:shd w:val="clear" w:color="auto" w:fill="auto"/>
            <w:noWrap/>
            <w:vAlign w:val="bottom"/>
            <w:hideMark/>
          </w:tcPr>
          <w:p w14:paraId="7BDF1064" w14:textId="77777777" w:rsidR="00671252" w:rsidRPr="00966B79" w:rsidRDefault="00671252" w:rsidP="007937A2">
            <w:pPr>
              <w:spacing w:after="0" w:line="240" w:lineRule="auto"/>
              <w:jc w:val="center"/>
              <w:rPr>
                <w:rFonts w:eastAsia="Times New Roman"/>
                <w:color w:val="000000"/>
              </w:rPr>
            </w:pPr>
            <w:r w:rsidRPr="00966B79">
              <w:rPr>
                <w:rFonts w:eastAsia="Times New Roman"/>
                <w:color w:val="000000"/>
              </w:rPr>
              <w:t>0.014</w:t>
            </w:r>
          </w:p>
        </w:tc>
        <w:tc>
          <w:tcPr>
            <w:tcW w:w="716" w:type="dxa"/>
            <w:gridSpan w:val="2"/>
            <w:tcBorders>
              <w:top w:val="nil"/>
              <w:left w:val="nil"/>
              <w:right w:val="nil"/>
            </w:tcBorders>
            <w:shd w:val="clear" w:color="auto" w:fill="auto"/>
            <w:noWrap/>
            <w:vAlign w:val="bottom"/>
            <w:hideMark/>
          </w:tcPr>
          <w:p w14:paraId="3784CE8E" w14:textId="77777777" w:rsidR="00671252" w:rsidRPr="00A11214" w:rsidRDefault="00671252" w:rsidP="00112848">
            <w:pPr>
              <w:spacing w:after="0" w:line="240" w:lineRule="auto"/>
              <w:rPr>
                <w:rFonts w:eastAsia="Times New Roman"/>
                <w:color w:val="000000"/>
              </w:rPr>
            </w:pPr>
            <w:r w:rsidRPr="00A11214">
              <w:rPr>
                <w:rFonts w:eastAsia="Times New Roman"/>
                <w:color w:val="000000"/>
              </w:rPr>
              <w:t>**</w:t>
            </w:r>
          </w:p>
        </w:tc>
      </w:tr>
      <w:tr w:rsidR="00671252" w:rsidRPr="00A11214" w14:paraId="31224228" w14:textId="77777777" w:rsidTr="007937A2">
        <w:trPr>
          <w:gridAfter w:val="1"/>
          <w:wAfter w:w="234" w:type="dxa"/>
          <w:trHeight w:val="267"/>
        </w:trPr>
        <w:tc>
          <w:tcPr>
            <w:tcW w:w="2823" w:type="dxa"/>
            <w:tcBorders>
              <w:top w:val="nil"/>
              <w:left w:val="nil"/>
              <w:bottom w:val="single" w:sz="4" w:space="0" w:color="auto"/>
              <w:right w:val="nil"/>
            </w:tcBorders>
            <w:shd w:val="clear" w:color="auto" w:fill="auto"/>
            <w:vAlign w:val="bottom"/>
            <w:hideMark/>
          </w:tcPr>
          <w:p w14:paraId="5B047671" w14:textId="77777777" w:rsidR="00671252" w:rsidRPr="00A11214" w:rsidRDefault="00671252" w:rsidP="00112848">
            <w:pPr>
              <w:spacing w:after="0" w:line="240" w:lineRule="auto"/>
              <w:rPr>
                <w:rFonts w:eastAsia="Times New Roman"/>
                <w:color w:val="000000"/>
              </w:rPr>
            </w:pPr>
            <w:r w:rsidRPr="00A11214">
              <w:rPr>
                <w:rFonts w:eastAsia="Times New Roman"/>
                <w:color w:val="000000"/>
              </w:rPr>
              <w:t>Deriv</w:t>
            </w:r>
            <w:r w:rsidR="00830742">
              <w:rPr>
                <w:rFonts w:eastAsia="Times New Roman"/>
                <w:color w:val="000000"/>
              </w:rPr>
              <w:t xml:space="preserve">atives </w:t>
            </w:r>
            <w:r w:rsidR="00A259D7">
              <w:rPr>
                <w:rFonts w:eastAsia="Times New Roman"/>
                <w:color w:val="000000"/>
              </w:rPr>
              <w:t xml:space="preserve">to Assets </w:t>
            </w:r>
            <w:r w:rsidRPr="00A11214">
              <w:rPr>
                <w:rFonts w:eastAsia="Times New Roman"/>
                <w:color w:val="000000"/>
              </w:rPr>
              <w:t>Ratio</w:t>
            </w:r>
          </w:p>
        </w:tc>
        <w:tc>
          <w:tcPr>
            <w:tcW w:w="2055" w:type="dxa"/>
            <w:gridSpan w:val="2"/>
            <w:tcBorders>
              <w:top w:val="nil"/>
              <w:left w:val="nil"/>
              <w:bottom w:val="single" w:sz="4" w:space="0" w:color="auto"/>
              <w:right w:val="nil"/>
            </w:tcBorders>
            <w:shd w:val="clear" w:color="auto" w:fill="auto"/>
            <w:noWrap/>
            <w:hideMark/>
          </w:tcPr>
          <w:p w14:paraId="5540C3A9" w14:textId="77777777" w:rsidR="00671252" w:rsidRPr="007937A2" w:rsidRDefault="00671252" w:rsidP="007937A2">
            <w:pPr>
              <w:spacing w:after="0" w:line="240" w:lineRule="auto"/>
              <w:jc w:val="center"/>
              <w:rPr>
                <w:rFonts w:eastAsia="Times New Roman"/>
                <w:color w:val="FF0000"/>
              </w:rPr>
            </w:pPr>
            <w:r w:rsidRPr="001F04A0">
              <w:t>0.0124</w:t>
            </w:r>
          </w:p>
        </w:tc>
        <w:tc>
          <w:tcPr>
            <w:tcW w:w="1208" w:type="dxa"/>
            <w:gridSpan w:val="2"/>
            <w:tcBorders>
              <w:top w:val="nil"/>
              <w:left w:val="nil"/>
              <w:bottom w:val="single" w:sz="4" w:space="0" w:color="auto"/>
              <w:right w:val="nil"/>
            </w:tcBorders>
            <w:shd w:val="clear" w:color="auto" w:fill="auto"/>
            <w:noWrap/>
            <w:hideMark/>
          </w:tcPr>
          <w:p w14:paraId="309F18D7" w14:textId="77777777" w:rsidR="00671252" w:rsidRPr="007937A2" w:rsidRDefault="00671252" w:rsidP="007937A2">
            <w:pPr>
              <w:spacing w:after="0" w:line="240" w:lineRule="auto"/>
              <w:jc w:val="center"/>
              <w:rPr>
                <w:rFonts w:eastAsia="Times New Roman"/>
                <w:color w:val="FF0000"/>
              </w:rPr>
            </w:pPr>
            <w:r w:rsidRPr="001F04A0">
              <w:t>0.02255</w:t>
            </w:r>
          </w:p>
        </w:tc>
        <w:tc>
          <w:tcPr>
            <w:tcW w:w="1235" w:type="dxa"/>
            <w:gridSpan w:val="2"/>
            <w:tcBorders>
              <w:top w:val="nil"/>
              <w:left w:val="nil"/>
              <w:bottom w:val="single" w:sz="4" w:space="0" w:color="auto"/>
              <w:right w:val="nil"/>
            </w:tcBorders>
            <w:shd w:val="clear" w:color="auto" w:fill="auto"/>
            <w:noWrap/>
            <w:hideMark/>
          </w:tcPr>
          <w:p w14:paraId="6288BFE7" w14:textId="77777777" w:rsidR="00671252" w:rsidRPr="007937A2" w:rsidRDefault="00671252" w:rsidP="007937A2">
            <w:pPr>
              <w:spacing w:after="0" w:line="240" w:lineRule="auto"/>
              <w:jc w:val="center"/>
              <w:rPr>
                <w:rFonts w:eastAsia="Times New Roman"/>
                <w:color w:val="FF0000"/>
              </w:rPr>
            </w:pPr>
            <w:r w:rsidRPr="001F04A0">
              <w:t>0.55</w:t>
            </w:r>
            <w:r>
              <w:t>1</w:t>
            </w:r>
          </w:p>
        </w:tc>
        <w:tc>
          <w:tcPr>
            <w:tcW w:w="1089" w:type="dxa"/>
            <w:gridSpan w:val="2"/>
            <w:tcBorders>
              <w:top w:val="nil"/>
              <w:left w:val="nil"/>
              <w:bottom w:val="single" w:sz="4" w:space="0" w:color="auto"/>
              <w:right w:val="nil"/>
            </w:tcBorders>
            <w:shd w:val="clear" w:color="auto" w:fill="auto"/>
            <w:noWrap/>
            <w:vAlign w:val="bottom"/>
            <w:hideMark/>
          </w:tcPr>
          <w:p w14:paraId="3336EBEB" w14:textId="77777777" w:rsidR="00671252" w:rsidRPr="00966B79" w:rsidRDefault="00671252" w:rsidP="007937A2">
            <w:pPr>
              <w:spacing w:after="0" w:line="240" w:lineRule="auto"/>
              <w:jc w:val="center"/>
              <w:rPr>
                <w:rFonts w:eastAsia="Times New Roman"/>
                <w:color w:val="000000"/>
              </w:rPr>
            </w:pPr>
            <w:r w:rsidRPr="00966B79">
              <w:rPr>
                <w:rFonts w:eastAsia="Times New Roman"/>
                <w:color w:val="000000"/>
              </w:rPr>
              <w:t>0.585</w:t>
            </w:r>
          </w:p>
        </w:tc>
        <w:tc>
          <w:tcPr>
            <w:tcW w:w="716" w:type="dxa"/>
            <w:gridSpan w:val="2"/>
            <w:tcBorders>
              <w:top w:val="nil"/>
              <w:left w:val="nil"/>
              <w:bottom w:val="single" w:sz="4" w:space="0" w:color="auto"/>
              <w:right w:val="nil"/>
            </w:tcBorders>
            <w:shd w:val="clear" w:color="auto" w:fill="auto"/>
            <w:noWrap/>
            <w:vAlign w:val="bottom"/>
            <w:hideMark/>
          </w:tcPr>
          <w:p w14:paraId="5D055888" w14:textId="77777777" w:rsidR="00671252" w:rsidRPr="00A11214" w:rsidRDefault="00671252" w:rsidP="00112848">
            <w:pPr>
              <w:spacing w:after="0" w:line="240" w:lineRule="auto"/>
              <w:rPr>
                <w:rFonts w:eastAsia="Times New Roman"/>
                <w:color w:val="000000"/>
              </w:rPr>
            </w:pPr>
          </w:p>
        </w:tc>
      </w:tr>
      <w:tr w:rsidR="00830742" w:rsidRPr="00A11214" w14:paraId="7F3E3E45" w14:textId="77777777" w:rsidTr="007937A2">
        <w:trPr>
          <w:gridAfter w:val="1"/>
          <w:wAfter w:w="234" w:type="dxa"/>
          <w:trHeight w:val="267"/>
        </w:trPr>
        <w:tc>
          <w:tcPr>
            <w:tcW w:w="2823" w:type="dxa"/>
            <w:tcBorders>
              <w:top w:val="single" w:sz="4" w:space="0" w:color="auto"/>
              <w:left w:val="nil"/>
              <w:bottom w:val="nil"/>
              <w:right w:val="nil"/>
            </w:tcBorders>
            <w:shd w:val="clear" w:color="auto" w:fill="auto"/>
            <w:vAlign w:val="bottom"/>
            <w:hideMark/>
          </w:tcPr>
          <w:p w14:paraId="0A50CFD4" w14:textId="7F1387F0" w:rsidR="007D568D" w:rsidRPr="00A11214" w:rsidRDefault="007D568D" w:rsidP="007937A2">
            <w:pPr>
              <w:spacing w:after="0" w:line="240" w:lineRule="auto"/>
              <w:rPr>
                <w:rFonts w:eastAsia="Times New Roman"/>
                <w:b/>
                <w:bCs/>
                <w:color w:val="000000"/>
              </w:rPr>
            </w:pPr>
            <w:r w:rsidRPr="00A11214">
              <w:rPr>
                <w:rFonts w:eastAsia="Times New Roman"/>
                <w:b/>
                <w:bCs/>
                <w:color w:val="000000"/>
              </w:rPr>
              <w:t xml:space="preserve">Model </w:t>
            </w:r>
            <w:r>
              <w:rPr>
                <w:rFonts w:eastAsia="Times New Roman"/>
                <w:b/>
                <w:bCs/>
                <w:color w:val="000000"/>
              </w:rPr>
              <w:t>8</w:t>
            </w:r>
            <w:r w:rsidR="00974113">
              <w:rPr>
                <w:rFonts w:eastAsia="Times New Roman"/>
                <w:b/>
                <w:bCs/>
                <w:color w:val="000000"/>
              </w:rPr>
              <w:t xml:space="preserve">:  </w:t>
            </w:r>
            <w:r w:rsidRPr="00A11214">
              <w:rPr>
                <w:rFonts w:eastAsia="Times New Roman"/>
                <w:b/>
                <w:bCs/>
                <w:color w:val="000000"/>
              </w:rPr>
              <w:t>1</w:t>
            </w:r>
            <w:r w:rsidR="00830742">
              <w:rPr>
                <w:rFonts w:eastAsia="Times New Roman"/>
                <w:b/>
                <w:bCs/>
                <w:color w:val="000000"/>
              </w:rPr>
              <w:t>6</w:t>
            </w:r>
            <w:r w:rsidRPr="00A11214">
              <w:rPr>
                <w:rFonts w:eastAsia="Times New Roman"/>
                <w:b/>
                <w:bCs/>
                <w:color w:val="000000"/>
              </w:rPr>
              <w:t xml:space="preserve"> </w:t>
            </w:r>
            <w:proofErr w:type="spellStart"/>
            <w:r w:rsidRPr="00A11214">
              <w:rPr>
                <w:rFonts w:eastAsia="Times New Roman"/>
                <w:b/>
                <w:bCs/>
                <w:color w:val="000000"/>
              </w:rPr>
              <w:t>obs</w:t>
            </w:r>
            <w:proofErr w:type="spellEnd"/>
          </w:p>
        </w:tc>
        <w:tc>
          <w:tcPr>
            <w:tcW w:w="2055" w:type="dxa"/>
            <w:gridSpan w:val="2"/>
            <w:tcBorders>
              <w:top w:val="single" w:sz="4" w:space="0" w:color="auto"/>
              <w:left w:val="nil"/>
              <w:bottom w:val="nil"/>
              <w:right w:val="nil"/>
            </w:tcBorders>
            <w:shd w:val="clear" w:color="auto" w:fill="auto"/>
            <w:noWrap/>
            <w:vAlign w:val="bottom"/>
            <w:hideMark/>
          </w:tcPr>
          <w:p w14:paraId="59419C94" w14:textId="77777777" w:rsidR="007D568D" w:rsidRPr="007937A2" w:rsidRDefault="007D568D" w:rsidP="00112848">
            <w:pPr>
              <w:spacing w:after="0" w:line="240" w:lineRule="auto"/>
              <w:jc w:val="center"/>
              <w:rPr>
                <w:rFonts w:eastAsia="Times New Roman"/>
                <w:color w:val="FF0000"/>
              </w:rPr>
            </w:pPr>
          </w:p>
        </w:tc>
        <w:tc>
          <w:tcPr>
            <w:tcW w:w="1208" w:type="dxa"/>
            <w:gridSpan w:val="2"/>
            <w:tcBorders>
              <w:top w:val="single" w:sz="4" w:space="0" w:color="auto"/>
              <w:left w:val="nil"/>
              <w:bottom w:val="nil"/>
              <w:right w:val="nil"/>
            </w:tcBorders>
            <w:shd w:val="clear" w:color="auto" w:fill="auto"/>
            <w:noWrap/>
            <w:vAlign w:val="bottom"/>
            <w:hideMark/>
          </w:tcPr>
          <w:p w14:paraId="4520CC2E" w14:textId="77777777" w:rsidR="007D568D" w:rsidRPr="007937A2" w:rsidRDefault="007D568D" w:rsidP="00112848">
            <w:pPr>
              <w:spacing w:after="0" w:line="240" w:lineRule="auto"/>
              <w:jc w:val="center"/>
              <w:rPr>
                <w:rFonts w:eastAsia="Times New Roman"/>
                <w:color w:val="FF0000"/>
              </w:rPr>
            </w:pPr>
          </w:p>
        </w:tc>
        <w:tc>
          <w:tcPr>
            <w:tcW w:w="1235" w:type="dxa"/>
            <w:gridSpan w:val="2"/>
            <w:tcBorders>
              <w:top w:val="single" w:sz="4" w:space="0" w:color="auto"/>
              <w:left w:val="nil"/>
              <w:bottom w:val="nil"/>
              <w:right w:val="nil"/>
            </w:tcBorders>
            <w:shd w:val="clear" w:color="auto" w:fill="auto"/>
            <w:noWrap/>
            <w:vAlign w:val="bottom"/>
            <w:hideMark/>
          </w:tcPr>
          <w:p w14:paraId="1645E890" w14:textId="77777777" w:rsidR="007D568D" w:rsidRPr="007937A2" w:rsidRDefault="007D568D" w:rsidP="00112848">
            <w:pPr>
              <w:spacing w:after="0" w:line="240" w:lineRule="auto"/>
              <w:jc w:val="center"/>
              <w:rPr>
                <w:rFonts w:eastAsia="Times New Roman"/>
                <w:color w:val="FF0000"/>
              </w:rPr>
            </w:pPr>
          </w:p>
        </w:tc>
        <w:tc>
          <w:tcPr>
            <w:tcW w:w="1089" w:type="dxa"/>
            <w:gridSpan w:val="2"/>
            <w:tcBorders>
              <w:top w:val="single" w:sz="4" w:space="0" w:color="auto"/>
              <w:left w:val="nil"/>
              <w:bottom w:val="nil"/>
              <w:right w:val="nil"/>
            </w:tcBorders>
            <w:shd w:val="clear" w:color="auto" w:fill="auto"/>
            <w:noWrap/>
            <w:vAlign w:val="bottom"/>
            <w:hideMark/>
          </w:tcPr>
          <w:p w14:paraId="12F7ACB7" w14:textId="77777777" w:rsidR="007D568D" w:rsidRPr="00966B79" w:rsidRDefault="007D568D" w:rsidP="00112848">
            <w:pPr>
              <w:spacing w:after="0" w:line="240" w:lineRule="auto"/>
              <w:jc w:val="center"/>
              <w:rPr>
                <w:rFonts w:eastAsia="Times New Roman"/>
                <w:color w:val="000000"/>
              </w:rPr>
            </w:pPr>
          </w:p>
        </w:tc>
        <w:tc>
          <w:tcPr>
            <w:tcW w:w="716" w:type="dxa"/>
            <w:gridSpan w:val="2"/>
            <w:tcBorders>
              <w:top w:val="single" w:sz="4" w:space="0" w:color="auto"/>
              <w:left w:val="nil"/>
              <w:bottom w:val="nil"/>
              <w:right w:val="nil"/>
            </w:tcBorders>
            <w:shd w:val="clear" w:color="auto" w:fill="auto"/>
            <w:noWrap/>
            <w:vAlign w:val="bottom"/>
            <w:hideMark/>
          </w:tcPr>
          <w:p w14:paraId="42A99823" w14:textId="77777777" w:rsidR="007D568D" w:rsidRPr="00A11214" w:rsidRDefault="007D568D" w:rsidP="00112848">
            <w:pPr>
              <w:spacing w:after="0" w:line="240" w:lineRule="auto"/>
              <w:rPr>
                <w:rFonts w:eastAsia="Times New Roman"/>
                <w:color w:val="000000"/>
              </w:rPr>
            </w:pPr>
          </w:p>
        </w:tc>
      </w:tr>
      <w:tr w:rsidR="00830742" w:rsidRPr="00A11214" w14:paraId="0FC44FA2" w14:textId="77777777" w:rsidTr="007937A2">
        <w:trPr>
          <w:gridAfter w:val="1"/>
          <w:wAfter w:w="234" w:type="dxa"/>
          <w:trHeight w:val="267"/>
        </w:trPr>
        <w:tc>
          <w:tcPr>
            <w:tcW w:w="2823" w:type="dxa"/>
            <w:tcBorders>
              <w:top w:val="nil"/>
              <w:left w:val="nil"/>
              <w:right w:val="nil"/>
            </w:tcBorders>
            <w:shd w:val="clear" w:color="auto" w:fill="auto"/>
            <w:vAlign w:val="bottom"/>
            <w:hideMark/>
          </w:tcPr>
          <w:p w14:paraId="11E7C8D1" w14:textId="77777777" w:rsidR="00671252" w:rsidRPr="00A11214" w:rsidRDefault="00671252" w:rsidP="00112848">
            <w:pPr>
              <w:spacing w:after="0" w:line="240" w:lineRule="auto"/>
              <w:rPr>
                <w:rFonts w:eastAsia="Times New Roman"/>
                <w:color w:val="000000"/>
              </w:rPr>
            </w:pPr>
            <w:r w:rsidRPr="00A11214">
              <w:rPr>
                <w:rFonts w:eastAsia="Times New Roman"/>
                <w:color w:val="000000"/>
              </w:rPr>
              <w:t>Const</w:t>
            </w:r>
          </w:p>
        </w:tc>
        <w:tc>
          <w:tcPr>
            <w:tcW w:w="2055" w:type="dxa"/>
            <w:gridSpan w:val="2"/>
            <w:tcBorders>
              <w:top w:val="nil"/>
              <w:left w:val="nil"/>
              <w:right w:val="nil"/>
            </w:tcBorders>
            <w:shd w:val="clear" w:color="auto" w:fill="auto"/>
            <w:noWrap/>
            <w:hideMark/>
          </w:tcPr>
          <w:p w14:paraId="040FB533" w14:textId="77777777" w:rsidR="00671252" w:rsidRPr="007937A2" w:rsidRDefault="00671252" w:rsidP="007937A2">
            <w:pPr>
              <w:spacing w:after="0" w:line="240" w:lineRule="auto"/>
              <w:jc w:val="center"/>
              <w:rPr>
                <w:rFonts w:eastAsia="Times New Roman"/>
                <w:color w:val="FF0000"/>
              </w:rPr>
            </w:pPr>
            <w:r w:rsidRPr="00D82B14">
              <w:t>0.1067</w:t>
            </w:r>
          </w:p>
        </w:tc>
        <w:tc>
          <w:tcPr>
            <w:tcW w:w="1208" w:type="dxa"/>
            <w:gridSpan w:val="2"/>
            <w:tcBorders>
              <w:top w:val="nil"/>
              <w:left w:val="nil"/>
              <w:right w:val="nil"/>
            </w:tcBorders>
            <w:shd w:val="clear" w:color="auto" w:fill="auto"/>
            <w:noWrap/>
            <w:hideMark/>
          </w:tcPr>
          <w:p w14:paraId="69A70CA3" w14:textId="77777777" w:rsidR="00671252" w:rsidRPr="007937A2" w:rsidRDefault="00671252" w:rsidP="007937A2">
            <w:pPr>
              <w:spacing w:after="0" w:line="240" w:lineRule="auto"/>
              <w:jc w:val="center"/>
              <w:rPr>
                <w:rFonts w:eastAsia="Times New Roman"/>
                <w:color w:val="FF0000"/>
              </w:rPr>
            </w:pPr>
            <w:r w:rsidRPr="00D82B14">
              <w:t>0.055</w:t>
            </w:r>
            <w:r>
              <w:t>9</w:t>
            </w:r>
          </w:p>
        </w:tc>
        <w:tc>
          <w:tcPr>
            <w:tcW w:w="1235" w:type="dxa"/>
            <w:gridSpan w:val="2"/>
            <w:tcBorders>
              <w:top w:val="nil"/>
              <w:left w:val="nil"/>
              <w:right w:val="nil"/>
            </w:tcBorders>
            <w:shd w:val="clear" w:color="auto" w:fill="auto"/>
            <w:noWrap/>
            <w:hideMark/>
          </w:tcPr>
          <w:p w14:paraId="489CC260" w14:textId="77777777" w:rsidR="00671252" w:rsidRPr="007937A2" w:rsidRDefault="00671252" w:rsidP="007937A2">
            <w:pPr>
              <w:spacing w:after="0" w:line="240" w:lineRule="auto"/>
              <w:jc w:val="center"/>
              <w:rPr>
                <w:rFonts w:eastAsia="Times New Roman"/>
                <w:color w:val="FF0000"/>
              </w:rPr>
            </w:pPr>
            <w:r w:rsidRPr="00D82B14">
              <w:t>1.910</w:t>
            </w:r>
          </w:p>
        </w:tc>
        <w:tc>
          <w:tcPr>
            <w:tcW w:w="1089" w:type="dxa"/>
            <w:gridSpan w:val="2"/>
            <w:tcBorders>
              <w:top w:val="nil"/>
              <w:left w:val="nil"/>
              <w:right w:val="nil"/>
            </w:tcBorders>
            <w:shd w:val="clear" w:color="auto" w:fill="auto"/>
            <w:noWrap/>
            <w:hideMark/>
          </w:tcPr>
          <w:p w14:paraId="40D9ABB3" w14:textId="77777777" w:rsidR="00671252" w:rsidRPr="00966B79" w:rsidRDefault="00671252" w:rsidP="007937A2">
            <w:pPr>
              <w:spacing w:after="0" w:line="240" w:lineRule="auto"/>
              <w:jc w:val="center"/>
              <w:rPr>
                <w:rFonts w:eastAsia="Times New Roman"/>
                <w:color w:val="000000"/>
              </w:rPr>
            </w:pPr>
            <w:r w:rsidRPr="00966B79">
              <w:rPr>
                <w:color w:val="000000"/>
              </w:rPr>
              <w:t>0.0768</w:t>
            </w:r>
          </w:p>
        </w:tc>
        <w:tc>
          <w:tcPr>
            <w:tcW w:w="716" w:type="dxa"/>
            <w:gridSpan w:val="2"/>
            <w:tcBorders>
              <w:top w:val="nil"/>
              <w:left w:val="nil"/>
              <w:right w:val="nil"/>
            </w:tcBorders>
            <w:shd w:val="clear" w:color="auto" w:fill="auto"/>
            <w:noWrap/>
            <w:vAlign w:val="bottom"/>
            <w:hideMark/>
          </w:tcPr>
          <w:p w14:paraId="799CCF29" w14:textId="77777777" w:rsidR="00671252" w:rsidRPr="00A11214" w:rsidRDefault="00671252" w:rsidP="007937A2">
            <w:pPr>
              <w:spacing w:after="0" w:line="240" w:lineRule="auto"/>
              <w:rPr>
                <w:rFonts w:eastAsia="Times New Roman"/>
                <w:color w:val="000000"/>
              </w:rPr>
            </w:pPr>
            <w:r w:rsidRPr="00A11214">
              <w:rPr>
                <w:rFonts w:eastAsia="Times New Roman"/>
                <w:color w:val="000000"/>
              </w:rPr>
              <w:t>*</w:t>
            </w:r>
          </w:p>
        </w:tc>
      </w:tr>
      <w:tr w:rsidR="00830742" w:rsidRPr="00A11214" w14:paraId="2B3B0795" w14:textId="77777777" w:rsidTr="007937A2">
        <w:trPr>
          <w:gridAfter w:val="1"/>
          <w:wAfter w:w="234" w:type="dxa"/>
          <w:trHeight w:val="267"/>
        </w:trPr>
        <w:tc>
          <w:tcPr>
            <w:tcW w:w="2823" w:type="dxa"/>
            <w:tcBorders>
              <w:top w:val="nil"/>
              <w:left w:val="nil"/>
              <w:bottom w:val="single" w:sz="4" w:space="0" w:color="auto"/>
              <w:right w:val="nil"/>
            </w:tcBorders>
            <w:shd w:val="clear" w:color="auto" w:fill="auto"/>
            <w:vAlign w:val="bottom"/>
            <w:hideMark/>
          </w:tcPr>
          <w:p w14:paraId="792FB784" w14:textId="77777777" w:rsidR="00671252" w:rsidRPr="00A11214" w:rsidRDefault="00671252" w:rsidP="00112848">
            <w:pPr>
              <w:spacing w:after="0" w:line="240" w:lineRule="auto"/>
              <w:rPr>
                <w:rFonts w:eastAsia="Times New Roman"/>
                <w:color w:val="000000"/>
              </w:rPr>
            </w:pPr>
            <w:r w:rsidRPr="00A11214">
              <w:rPr>
                <w:rFonts w:eastAsia="Times New Roman"/>
                <w:color w:val="000000"/>
              </w:rPr>
              <w:t>VaR</w:t>
            </w:r>
            <w:r w:rsidR="00A259D7">
              <w:rPr>
                <w:rFonts w:eastAsia="Times New Roman"/>
                <w:color w:val="000000"/>
              </w:rPr>
              <w:t xml:space="preserve"> to Assets Ratio</w:t>
            </w:r>
          </w:p>
        </w:tc>
        <w:tc>
          <w:tcPr>
            <w:tcW w:w="2055" w:type="dxa"/>
            <w:gridSpan w:val="2"/>
            <w:tcBorders>
              <w:top w:val="nil"/>
              <w:left w:val="nil"/>
              <w:bottom w:val="single" w:sz="4" w:space="0" w:color="auto"/>
              <w:right w:val="nil"/>
            </w:tcBorders>
            <w:shd w:val="clear" w:color="auto" w:fill="auto"/>
            <w:noWrap/>
            <w:hideMark/>
          </w:tcPr>
          <w:p w14:paraId="36A02F9A" w14:textId="77777777" w:rsidR="00671252" w:rsidRPr="007937A2" w:rsidRDefault="00671252" w:rsidP="007937A2">
            <w:pPr>
              <w:spacing w:after="0" w:line="240" w:lineRule="auto"/>
              <w:jc w:val="center"/>
              <w:rPr>
                <w:rFonts w:eastAsia="Times New Roman"/>
                <w:color w:val="FF0000"/>
              </w:rPr>
            </w:pPr>
            <w:r w:rsidRPr="00D82B14">
              <w:t>46.</w:t>
            </w:r>
            <w:r>
              <w:t>4</w:t>
            </w:r>
          </w:p>
        </w:tc>
        <w:tc>
          <w:tcPr>
            <w:tcW w:w="1208" w:type="dxa"/>
            <w:gridSpan w:val="2"/>
            <w:tcBorders>
              <w:top w:val="nil"/>
              <w:left w:val="nil"/>
              <w:bottom w:val="single" w:sz="4" w:space="0" w:color="auto"/>
              <w:right w:val="nil"/>
            </w:tcBorders>
            <w:shd w:val="clear" w:color="auto" w:fill="auto"/>
            <w:noWrap/>
            <w:hideMark/>
          </w:tcPr>
          <w:p w14:paraId="3A4EE91C" w14:textId="77777777" w:rsidR="00671252" w:rsidRPr="007937A2" w:rsidRDefault="00671252" w:rsidP="007937A2">
            <w:pPr>
              <w:spacing w:after="0" w:line="240" w:lineRule="auto"/>
              <w:jc w:val="center"/>
              <w:rPr>
                <w:rFonts w:eastAsia="Times New Roman"/>
                <w:color w:val="FF0000"/>
              </w:rPr>
            </w:pPr>
            <w:r w:rsidRPr="00D82B14">
              <w:t>42.61</w:t>
            </w:r>
          </w:p>
        </w:tc>
        <w:tc>
          <w:tcPr>
            <w:tcW w:w="1235" w:type="dxa"/>
            <w:gridSpan w:val="2"/>
            <w:tcBorders>
              <w:top w:val="nil"/>
              <w:left w:val="nil"/>
              <w:bottom w:val="single" w:sz="4" w:space="0" w:color="auto"/>
              <w:right w:val="nil"/>
            </w:tcBorders>
            <w:shd w:val="clear" w:color="auto" w:fill="auto"/>
            <w:noWrap/>
            <w:hideMark/>
          </w:tcPr>
          <w:p w14:paraId="00519990" w14:textId="77777777" w:rsidR="00671252" w:rsidRPr="007937A2" w:rsidRDefault="00671252" w:rsidP="007937A2">
            <w:pPr>
              <w:spacing w:after="0" w:line="240" w:lineRule="auto"/>
              <w:jc w:val="center"/>
              <w:rPr>
                <w:rFonts w:eastAsia="Times New Roman"/>
                <w:color w:val="FF0000"/>
              </w:rPr>
            </w:pPr>
            <w:r w:rsidRPr="00D82B14">
              <w:t>1.089</w:t>
            </w:r>
          </w:p>
        </w:tc>
        <w:tc>
          <w:tcPr>
            <w:tcW w:w="1089" w:type="dxa"/>
            <w:gridSpan w:val="2"/>
            <w:tcBorders>
              <w:top w:val="nil"/>
              <w:left w:val="nil"/>
              <w:bottom w:val="single" w:sz="4" w:space="0" w:color="auto"/>
              <w:right w:val="nil"/>
            </w:tcBorders>
            <w:shd w:val="clear" w:color="auto" w:fill="auto"/>
            <w:noWrap/>
            <w:hideMark/>
          </w:tcPr>
          <w:p w14:paraId="557CDA3D" w14:textId="77777777" w:rsidR="00671252" w:rsidRPr="00966B79" w:rsidRDefault="00671252" w:rsidP="007937A2">
            <w:pPr>
              <w:spacing w:after="0" w:line="240" w:lineRule="auto"/>
              <w:jc w:val="center"/>
              <w:rPr>
                <w:rFonts w:eastAsia="Times New Roman"/>
                <w:color w:val="000000"/>
              </w:rPr>
            </w:pPr>
            <w:r w:rsidRPr="00966B79">
              <w:rPr>
                <w:color w:val="000000"/>
              </w:rPr>
              <w:t>0.</w:t>
            </w:r>
            <w:r w:rsidR="00830742" w:rsidRPr="00966B79">
              <w:rPr>
                <w:color w:val="000000"/>
              </w:rPr>
              <w:t>2</w:t>
            </w:r>
            <w:r w:rsidRPr="00966B79">
              <w:rPr>
                <w:color w:val="000000"/>
              </w:rPr>
              <w:t>9</w:t>
            </w:r>
            <w:r w:rsidR="00830742" w:rsidRPr="00966B79">
              <w:rPr>
                <w:color w:val="000000"/>
              </w:rPr>
              <w:t>5</w:t>
            </w:r>
          </w:p>
        </w:tc>
        <w:tc>
          <w:tcPr>
            <w:tcW w:w="716" w:type="dxa"/>
            <w:gridSpan w:val="2"/>
            <w:tcBorders>
              <w:top w:val="nil"/>
              <w:left w:val="nil"/>
              <w:bottom w:val="single" w:sz="4" w:space="0" w:color="auto"/>
              <w:right w:val="nil"/>
            </w:tcBorders>
            <w:shd w:val="clear" w:color="auto" w:fill="auto"/>
            <w:noWrap/>
            <w:vAlign w:val="bottom"/>
            <w:hideMark/>
          </w:tcPr>
          <w:p w14:paraId="31CD4774" w14:textId="77777777" w:rsidR="00671252" w:rsidRPr="00A11214" w:rsidRDefault="00671252" w:rsidP="00112848">
            <w:pPr>
              <w:spacing w:after="0" w:line="240" w:lineRule="auto"/>
              <w:rPr>
                <w:rFonts w:eastAsia="Times New Roman"/>
                <w:color w:val="000000"/>
              </w:rPr>
            </w:pPr>
          </w:p>
        </w:tc>
      </w:tr>
      <w:tr w:rsidR="00830742" w:rsidRPr="00A11214" w14:paraId="1433066D" w14:textId="77777777" w:rsidTr="007937A2">
        <w:trPr>
          <w:gridAfter w:val="1"/>
          <w:wAfter w:w="234" w:type="dxa"/>
          <w:trHeight w:val="267"/>
        </w:trPr>
        <w:tc>
          <w:tcPr>
            <w:tcW w:w="2823" w:type="dxa"/>
            <w:tcBorders>
              <w:top w:val="single" w:sz="4" w:space="0" w:color="auto"/>
              <w:left w:val="nil"/>
              <w:bottom w:val="nil"/>
              <w:right w:val="nil"/>
            </w:tcBorders>
            <w:shd w:val="clear" w:color="auto" w:fill="auto"/>
            <w:vAlign w:val="bottom"/>
            <w:hideMark/>
          </w:tcPr>
          <w:p w14:paraId="129E9BD3" w14:textId="2AD484F9" w:rsidR="007D568D" w:rsidRPr="00A11214" w:rsidRDefault="007D568D" w:rsidP="007937A2">
            <w:pPr>
              <w:spacing w:after="0" w:line="240" w:lineRule="auto"/>
              <w:rPr>
                <w:rFonts w:eastAsia="Times New Roman"/>
                <w:b/>
                <w:bCs/>
                <w:color w:val="000000"/>
              </w:rPr>
            </w:pPr>
            <w:r w:rsidRPr="00A11214">
              <w:rPr>
                <w:rFonts w:eastAsia="Times New Roman"/>
                <w:b/>
                <w:bCs/>
                <w:color w:val="000000"/>
              </w:rPr>
              <w:t xml:space="preserve">Model </w:t>
            </w:r>
            <w:r>
              <w:rPr>
                <w:rFonts w:eastAsia="Times New Roman"/>
                <w:b/>
                <w:bCs/>
                <w:color w:val="000000"/>
              </w:rPr>
              <w:t>9</w:t>
            </w:r>
            <w:r w:rsidR="00974113">
              <w:rPr>
                <w:rFonts w:eastAsia="Times New Roman"/>
                <w:b/>
                <w:bCs/>
                <w:color w:val="000000"/>
              </w:rPr>
              <w:t xml:space="preserve">:  </w:t>
            </w:r>
            <w:r w:rsidRPr="00A11214">
              <w:rPr>
                <w:rFonts w:eastAsia="Times New Roman"/>
                <w:b/>
                <w:bCs/>
                <w:color w:val="000000"/>
              </w:rPr>
              <w:t>4</w:t>
            </w:r>
            <w:r w:rsidR="00830742">
              <w:rPr>
                <w:rFonts w:eastAsia="Times New Roman"/>
                <w:b/>
                <w:bCs/>
                <w:color w:val="000000"/>
              </w:rPr>
              <w:t>1</w:t>
            </w:r>
            <w:r w:rsidRPr="00A11214">
              <w:rPr>
                <w:rFonts w:eastAsia="Times New Roman"/>
                <w:b/>
                <w:bCs/>
                <w:color w:val="000000"/>
              </w:rPr>
              <w:t xml:space="preserve"> </w:t>
            </w:r>
            <w:proofErr w:type="spellStart"/>
            <w:r w:rsidRPr="00A11214">
              <w:rPr>
                <w:rFonts w:eastAsia="Times New Roman"/>
                <w:b/>
                <w:bCs/>
                <w:color w:val="000000"/>
              </w:rPr>
              <w:t>obs</w:t>
            </w:r>
            <w:proofErr w:type="spellEnd"/>
          </w:p>
        </w:tc>
        <w:tc>
          <w:tcPr>
            <w:tcW w:w="2055" w:type="dxa"/>
            <w:gridSpan w:val="2"/>
            <w:tcBorders>
              <w:top w:val="single" w:sz="4" w:space="0" w:color="auto"/>
              <w:left w:val="nil"/>
              <w:bottom w:val="nil"/>
              <w:right w:val="nil"/>
            </w:tcBorders>
            <w:shd w:val="clear" w:color="auto" w:fill="auto"/>
            <w:noWrap/>
            <w:vAlign w:val="bottom"/>
            <w:hideMark/>
          </w:tcPr>
          <w:p w14:paraId="69CCA612" w14:textId="77777777" w:rsidR="007D568D" w:rsidRPr="007937A2" w:rsidRDefault="007D568D" w:rsidP="00112848">
            <w:pPr>
              <w:spacing w:after="0" w:line="240" w:lineRule="auto"/>
              <w:jc w:val="center"/>
              <w:rPr>
                <w:rFonts w:eastAsia="Times New Roman"/>
                <w:color w:val="FF0000"/>
              </w:rPr>
            </w:pPr>
          </w:p>
        </w:tc>
        <w:tc>
          <w:tcPr>
            <w:tcW w:w="1208" w:type="dxa"/>
            <w:gridSpan w:val="2"/>
            <w:tcBorders>
              <w:top w:val="single" w:sz="4" w:space="0" w:color="auto"/>
              <w:left w:val="nil"/>
              <w:bottom w:val="nil"/>
              <w:right w:val="nil"/>
            </w:tcBorders>
            <w:shd w:val="clear" w:color="auto" w:fill="auto"/>
            <w:noWrap/>
            <w:vAlign w:val="bottom"/>
            <w:hideMark/>
          </w:tcPr>
          <w:p w14:paraId="6B0BF81F" w14:textId="77777777" w:rsidR="007D568D" w:rsidRPr="007937A2" w:rsidRDefault="007D568D" w:rsidP="00112848">
            <w:pPr>
              <w:spacing w:after="0" w:line="240" w:lineRule="auto"/>
              <w:jc w:val="center"/>
              <w:rPr>
                <w:rFonts w:eastAsia="Times New Roman"/>
                <w:color w:val="FF0000"/>
              </w:rPr>
            </w:pPr>
          </w:p>
        </w:tc>
        <w:tc>
          <w:tcPr>
            <w:tcW w:w="1235" w:type="dxa"/>
            <w:gridSpan w:val="2"/>
            <w:tcBorders>
              <w:top w:val="single" w:sz="4" w:space="0" w:color="auto"/>
              <w:left w:val="nil"/>
              <w:bottom w:val="nil"/>
              <w:right w:val="nil"/>
            </w:tcBorders>
            <w:shd w:val="clear" w:color="auto" w:fill="auto"/>
            <w:noWrap/>
            <w:vAlign w:val="bottom"/>
            <w:hideMark/>
          </w:tcPr>
          <w:p w14:paraId="453AB991" w14:textId="77777777" w:rsidR="007D568D" w:rsidRPr="007937A2" w:rsidRDefault="007D568D" w:rsidP="00112848">
            <w:pPr>
              <w:spacing w:after="0" w:line="240" w:lineRule="auto"/>
              <w:jc w:val="center"/>
              <w:rPr>
                <w:rFonts w:eastAsia="Times New Roman"/>
                <w:color w:val="FF0000"/>
              </w:rPr>
            </w:pPr>
          </w:p>
        </w:tc>
        <w:tc>
          <w:tcPr>
            <w:tcW w:w="1089" w:type="dxa"/>
            <w:gridSpan w:val="2"/>
            <w:tcBorders>
              <w:top w:val="single" w:sz="4" w:space="0" w:color="auto"/>
              <w:left w:val="nil"/>
              <w:bottom w:val="nil"/>
              <w:right w:val="nil"/>
            </w:tcBorders>
            <w:shd w:val="clear" w:color="auto" w:fill="auto"/>
            <w:noWrap/>
            <w:vAlign w:val="bottom"/>
            <w:hideMark/>
          </w:tcPr>
          <w:p w14:paraId="78EDD6B3" w14:textId="77777777" w:rsidR="007D568D" w:rsidRPr="007937A2" w:rsidRDefault="007D568D" w:rsidP="00112848">
            <w:pPr>
              <w:spacing w:after="0" w:line="240" w:lineRule="auto"/>
              <w:jc w:val="center"/>
              <w:rPr>
                <w:rFonts w:eastAsia="Times New Roman"/>
                <w:color w:val="FF0000"/>
              </w:rPr>
            </w:pPr>
          </w:p>
        </w:tc>
        <w:tc>
          <w:tcPr>
            <w:tcW w:w="716" w:type="dxa"/>
            <w:gridSpan w:val="2"/>
            <w:tcBorders>
              <w:top w:val="single" w:sz="4" w:space="0" w:color="auto"/>
              <w:left w:val="nil"/>
              <w:bottom w:val="nil"/>
              <w:right w:val="nil"/>
            </w:tcBorders>
            <w:shd w:val="clear" w:color="auto" w:fill="auto"/>
            <w:noWrap/>
            <w:vAlign w:val="bottom"/>
            <w:hideMark/>
          </w:tcPr>
          <w:p w14:paraId="575287DD" w14:textId="77777777" w:rsidR="007D568D" w:rsidRPr="00A11214" w:rsidRDefault="007D568D" w:rsidP="00112848">
            <w:pPr>
              <w:spacing w:after="0" w:line="240" w:lineRule="auto"/>
              <w:rPr>
                <w:rFonts w:eastAsia="Times New Roman"/>
                <w:color w:val="000000"/>
              </w:rPr>
            </w:pPr>
          </w:p>
        </w:tc>
      </w:tr>
      <w:tr w:rsidR="00830742" w:rsidRPr="00A11214" w14:paraId="56C807A5" w14:textId="77777777" w:rsidTr="007937A2">
        <w:trPr>
          <w:gridAfter w:val="1"/>
          <w:wAfter w:w="234" w:type="dxa"/>
          <w:trHeight w:val="267"/>
        </w:trPr>
        <w:tc>
          <w:tcPr>
            <w:tcW w:w="2823" w:type="dxa"/>
            <w:tcBorders>
              <w:top w:val="nil"/>
              <w:left w:val="nil"/>
              <w:right w:val="nil"/>
            </w:tcBorders>
            <w:shd w:val="clear" w:color="auto" w:fill="auto"/>
            <w:vAlign w:val="bottom"/>
            <w:hideMark/>
          </w:tcPr>
          <w:p w14:paraId="048A2E9C" w14:textId="77777777" w:rsidR="00830742" w:rsidRPr="00A11214" w:rsidRDefault="00830742" w:rsidP="00112848">
            <w:pPr>
              <w:spacing w:after="0" w:line="240" w:lineRule="auto"/>
              <w:rPr>
                <w:rFonts w:eastAsia="Times New Roman"/>
                <w:color w:val="000000"/>
              </w:rPr>
            </w:pPr>
            <w:r w:rsidRPr="00A11214">
              <w:rPr>
                <w:rFonts w:eastAsia="Times New Roman"/>
                <w:color w:val="000000"/>
              </w:rPr>
              <w:t>Const</w:t>
            </w:r>
          </w:p>
        </w:tc>
        <w:tc>
          <w:tcPr>
            <w:tcW w:w="2055" w:type="dxa"/>
            <w:gridSpan w:val="2"/>
            <w:tcBorders>
              <w:top w:val="nil"/>
              <w:left w:val="nil"/>
              <w:right w:val="nil"/>
            </w:tcBorders>
            <w:shd w:val="clear" w:color="auto" w:fill="auto"/>
            <w:noWrap/>
            <w:hideMark/>
          </w:tcPr>
          <w:p w14:paraId="442AD430" w14:textId="77777777" w:rsidR="00830742" w:rsidRPr="007937A2" w:rsidRDefault="00830742" w:rsidP="007937A2">
            <w:pPr>
              <w:spacing w:after="0" w:line="240" w:lineRule="auto"/>
              <w:jc w:val="center"/>
              <w:rPr>
                <w:rFonts w:eastAsia="Times New Roman"/>
                <w:color w:val="FF0000"/>
              </w:rPr>
            </w:pPr>
            <w:r w:rsidRPr="0077630B">
              <w:t>0.0784</w:t>
            </w:r>
            <w:r>
              <w:t>2</w:t>
            </w:r>
          </w:p>
        </w:tc>
        <w:tc>
          <w:tcPr>
            <w:tcW w:w="1208" w:type="dxa"/>
            <w:gridSpan w:val="2"/>
            <w:tcBorders>
              <w:top w:val="nil"/>
              <w:left w:val="nil"/>
              <w:right w:val="nil"/>
            </w:tcBorders>
            <w:shd w:val="clear" w:color="auto" w:fill="auto"/>
            <w:noWrap/>
            <w:hideMark/>
          </w:tcPr>
          <w:p w14:paraId="3A1B1426" w14:textId="77777777" w:rsidR="00830742" w:rsidRPr="007937A2" w:rsidRDefault="00830742" w:rsidP="007937A2">
            <w:pPr>
              <w:spacing w:after="0" w:line="240" w:lineRule="auto"/>
              <w:jc w:val="center"/>
              <w:rPr>
                <w:rFonts w:eastAsia="Times New Roman"/>
                <w:color w:val="FF0000"/>
              </w:rPr>
            </w:pPr>
            <w:r w:rsidRPr="0077630B">
              <w:t>0.058</w:t>
            </w:r>
            <w:r>
              <w:t>1</w:t>
            </w:r>
          </w:p>
        </w:tc>
        <w:tc>
          <w:tcPr>
            <w:tcW w:w="1235" w:type="dxa"/>
            <w:gridSpan w:val="2"/>
            <w:tcBorders>
              <w:top w:val="nil"/>
              <w:left w:val="nil"/>
              <w:right w:val="nil"/>
            </w:tcBorders>
            <w:shd w:val="clear" w:color="auto" w:fill="auto"/>
            <w:noWrap/>
            <w:hideMark/>
          </w:tcPr>
          <w:p w14:paraId="3BE0C00F" w14:textId="77777777" w:rsidR="00830742" w:rsidRPr="007937A2" w:rsidRDefault="00830742" w:rsidP="00112848">
            <w:pPr>
              <w:spacing w:after="0" w:line="240" w:lineRule="auto"/>
              <w:jc w:val="center"/>
              <w:rPr>
                <w:rFonts w:eastAsia="Times New Roman"/>
                <w:color w:val="FF0000"/>
              </w:rPr>
            </w:pPr>
            <w:r w:rsidRPr="0077630B">
              <w:t>1.35</w:t>
            </w:r>
          </w:p>
        </w:tc>
        <w:tc>
          <w:tcPr>
            <w:tcW w:w="1089" w:type="dxa"/>
            <w:gridSpan w:val="2"/>
            <w:tcBorders>
              <w:top w:val="nil"/>
              <w:left w:val="nil"/>
              <w:right w:val="nil"/>
            </w:tcBorders>
            <w:shd w:val="clear" w:color="auto" w:fill="auto"/>
            <w:noWrap/>
            <w:hideMark/>
          </w:tcPr>
          <w:p w14:paraId="3834D984" w14:textId="77777777" w:rsidR="00830742" w:rsidRPr="007937A2" w:rsidRDefault="00830742" w:rsidP="007937A2">
            <w:pPr>
              <w:spacing w:after="0" w:line="240" w:lineRule="auto"/>
              <w:jc w:val="center"/>
              <w:rPr>
                <w:rFonts w:eastAsia="Times New Roman"/>
                <w:color w:val="FF0000"/>
              </w:rPr>
            </w:pPr>
            <w:r w:rsidRPr="0077630B">
              <w:t>0.18</w:t>
            </w:r>
            <w:r>
              <w:t>5</w:t>
            </w:r>
          </w:p>
        </w:tc>
        <w:tc>
          <w:tcPr>
            <w:tcW w:w="716" w:type="dxa"/>
            <w:gridSpan w:val="2"/>
            <w:tcBorders>
              <w:top w:val="nil"/>
              <w:left w:val="nil"/>
              <w:right w:val="nil"/>
            </w:tcBorders>
            <w:shd w:val="clear" w:color="auto" w:fill="auto"/>
            <w:noWrap/>
            <w:vAlign w:val="bottom"/>
            <w:hideMark/>
          </w:tcPr>
          <w:p w14:paraId="5E895D2A" w14:textId="77777777" w:rsidR="00830742" w:rsidRPr="00A11214" w:rsidRDefault="00830742" w:rsidP="00112848">
            <w:pPr>
              <w:spacing w:after="0" w:line="240" w:lineRule="auto"/>
              <w:rPr>
                <w:rFonts w:eastAsia="Times New Roman"/>
                <w:color w:val="000000"/>
              </w:rPr>
            </w:pPr>
          </w:p>
        </w:tc>
      </w:tr>
      <w:tr w:rsidR="00830742" w:rsidRPr="00A11214" w14:paraId="3431C33C" w14:textId="77777777" w:rsidTr="007937A2">
        <w:trPr>
          <w:gridAfter w:val="1"/>
          <w:wAfter w:w="234" w:type="dxa"/>
          <w:trHeight w:val="267"/>
        </w:trPr>
        <w:tc>
          <w:tcPr>
            <w:tcW w:w="2823" w:type="dxa"/>
            <w:tcBorders>
              <w:top w:val="nil"/>
              <w:left w:val="nil"/>
              <w:bottom w:val="single" w:sz="4" w:space="0" w:color="auto"/>
              <w:right w:val="nil"/>
            </w:tcBorders>
            <w:shd w:val="clear" w:color="auto" w:fill="auto"/>
            <w:vAlign w:val="bottom"/>
            <w:hideMark/>
          </w:tcPr>
          <w:p w14:paraId="52DA3AA7" w14:textId="77777777" w:rsidR="00830742" w:rsidRPr="00A11214" w:rsidRDefault="00830742" w:rsidP="00112848">
            <w:pPr>
              <w:spacing w:after="0" w:line="240" w:lineRule="auto"/>
              <w:rPr>
                <w:rFonts w:eastAsia="Times New Roman"/>
                <w:color w:val="000000"/>
              </w:rPr>
            </w:pPr>
            <w:r w:rsidRPr="00A11214">
              <w:rPr>
                <w:rFonts w:eastAsia="Times New Roman"/>
                <w:color w:val="000000"/>
              </w:rPr>
              <w:t>All</w:t>
            </w:r>
            <w:r>
              <w:rPr>
                <w:rFonts w:eastAsia="Times New Roman"/>
                <w:color w:val="000000"/>
              </w:rPr>
              <w:t xml:space="preserve"> </w:t>
            </w:r>
            <w:r w:rsidRPr="00A11214">
              <w:rPr>
                <w:rFonts w:eastAsia="Times New Roman"/>
                <w:color w:val="000000"/>
              </w:rPr>
              <w:t>Risks</w:t>
            </w:r>
            <w:r>
              <w:rPr>
                <w:rFonts w:eastAsia="Times New Roman"/>
                <w:color w:val="000000"/>
              </w:rPr>
              <w:t xml:space="preserve"> </w:t>
            </w:r>
            <w:r w:rsidR="00A259D7">
              <w:rPr>
                <w:rFonts w:eastAsia="Times New Roman"/>
                <w:color w:val="000000"/>
              </w:rPr>
              <w:t xml:space="preserve">to Assets </w:t>
            </w:r>
            <w:r>
              <w:rPr>
                <w:rFonts w:eastAsia="Times New Roman"/>
                <w:color w:val="000000"/>
              </w:rPr>
              <w:t>Ratio</w:t>
            </w:r>
            <w:r w:rsidR="00A259D7">
              <w:rPr>
                <w:rFonts w:eastAsia="Times New Roman"/>
                <w:color w:val="000000"/>
              </w:rPr>
              <w:t xml:space="preserve"> </w:t>
            </w:r>
          </w:p>
        </w:tc>
        <w:tc>
          <w:tcPr>
            <w:tcW w:w="2055" w:type="dxa"/>
            <w:gridSpan w:val="2"/>
            <w:tcBorders>
              <w:top w:val="nil"/>
              <w:left w:val="nil"/>
              <w:bottom w:val="single" w:sz="4" w:space="0" w:color="auto"/>
              <w:right w:val="nil"/>
            </w:tcBorders>
            <w:shd w:val="clear" w:color="auto" w:fill="auto"/>
            <w:noWrap/>
            <w:hideMark/>
          </w:tcPr>
          <w:p w14:paraId="19090039" w14:textId="77777777" w:rsidR="00830742" w:rsidRPr="007937A2" w:rsidRDefault="00830742" w:rsidP="007937A2">
            <w:pPr>
              <w:spacing w:after="0" w:line="240" w:lineRule="auto"/>
              <w:jc w:val="center"/>
              <w:rPr>
                <w:rFonts w:eastAsia="Times New Roman"/>
                <w:color w:val="FF0000"/>
              </w:rPr>
            </w:pPr>
            <w:r w:rsidRPr="0077630B">
              <w:t>0.0033</w:t>
            </w:r>
            <w:r>
              <w:t>3</w:t>
            </w:r>
          </w:p>
        </w:tc>
        <w:tc>
          <w:tcPr>
            <w:tcW w:w="1208" w:type="dxa"/>
            <w:gridSpan w:val="2"/>
            <w:tcBorders>
              <w:top w:val="nil"/>
              <w:left w:val="nil"/>
              <w:bottom w:val="single" w:sz="4" w:space="0" w:color="auto"/>
              <w:right w:val="nil"/>
            </w:tcBorders>
            <w:shd w:val="clear" w:color="auto" w:fill="auto"/>
            <w:noWrap/>
            <w:hideMark/>
          </w:tcPr>
          <w:p w14:paraId="095A3F3C" w14:textId="77777777" w:rsidR="00830742" w:rsidRPr="007937A2" w:rsidRDefault="00830742" w:rsidP="007937A2">
            <w:pPr>
              <w:spacing w:after="0" w:line="240" w:lineRule="auto"/>
              <w:jc w:val="center"/>
              <w:rPr>
                <w:rFonts w:eastAsia="Times New Roman"/>
                <w:color w:val="FF0000"/>
              </w:rPr>
            </w:pPr>
            <w:r w:rsidRPr="0077630B">
              <w:t>0.0719</w:t>
            </w:r>
          </w:p>
        </w:tc>
        <w:tc>
          <w:tcPr>
            <w:tcW w:w="1235" w:type="dxa"/>
            <w:gridSpan w:val="2"/>
            <w:tcBorders>
              <w:top w:val="nil"/>
              <w:left w:val="nil"/>
              <w:bottom w:val="single" w:sz="4" w:space="0" w:color="auto"/>
              <w:right w:val="nil"/>
            </w:tcBorders>
            <w:shd w:val="clear" w:color="auto" w:fill="auto"/>
            <w:noWrap/>
            <w:hideMark/>
          </w:tcPr>
          <w:p w14:paraId="6638A0EF" w14:textId="77777777" w:rsidR="00830742" w:rsidRPr="007937A2" w:rsidRDefault="00830742" w:rsidP="007937A2">
            <w:pPr>
              <w:spacing w:after="0" w:line="240" w:lineRule="auto"/>
              <w:jc w:val="center"/>
              <w:rPr>
                <w:rFonts w:eastAsia="Times New Roman"/>
                <w:color w:val="FF0000"/>
              </w:rPr>
            </w:pPr>
            <w:r w:rsidRPr="0077630B">
              <w:t>0.046</w:t>
            </w:r>
          </w:p>
        </w:tc>
        <w:tc>
          <w:tcPr>
            <w:tcW w:w="1089" w:type="dxa"/>
            <w:gridSpan w:val="2"/>
            <w:tcBorders>
              <w:top w:val="nil"/>
              <w:left w:val="nil"/>
              <w:bottom w:val="single" w:sz="4" w:space="0" w:color="auto"/>
              <w:right w:val="nil"/>
            </w:tcBorders>
            <w:shd w:val="clear" w:color="auto" w:fill="auto"/>
            <w:noWrap/>
            <w:hideMark/>
          </w:tcPr>
          <w:p w14:paraId="2582DD3F" w14:textId="77777777" w:rsidR="00830742" w:rsidRPr="007937A2" w:rsidRDefault="00830742" w:rsidP="007937A2">
            <w:pPr>
              <w:spacing w:after="0" w:line="240" w:lineRule="auto"/>
              <w:jc w:val="center"/>
              <w:rPr>
                <w:rFonts w:eastAsia="Times New Roman"/>
                <w:color w:val="FF0000"/>
              </w:rPr>
            </w:pPr>
            <w:r w:rsidRPr="0077630B">
              <w:t>0.963</w:t>
            </w:r>
          </w:p>
        </w:tc>
        <w:tc>
          <w:tcPr>
            <w:tcW w:w="716" w:type="dxa"/>
            <w:gridSpan w:val="2"/>
            <w:tcBorders>
              <w:top w:val="nil"/>
              <w:left w:val="nil"/>
              <w:bottom w:val="single" w:sz="4" w:space="0" w:color="auto"/>
              <w:right w:val="nil"/>
            </w:tcBorders>
            <w:shd w:val="clear" w:color="auto" w:fill="auto"/>
            <w:noWrap/>
            <w:vAlign w:val="bottom"/>
            <w:hideMark/>
          </w:tcPr>
          <w:p w14:paraId="286E8D5C" w14:textId="77777777" w:rsidR="00830742" w:rsidRPr="00A11214" w:rsidRDefault="00830742" w:rsidP="00112848">
            <w:pPr>
              <w:spacing w:after="0" w:line="240" w:lineRule="auto"/>
              <w:rPr>
                <w:rFonts w:eastAsia="Times New Roman"/>
                <w:color w:val="000000"/>
              </w:rPr>
            </w:pPr>
          </w:p>
        </w:tc>
      </w:tr>
      <w:tr w:rsidR="00830742" w:rsidRPr="00A11214" w14:paraId="79AD26F4" w14:textId="77777777" w:rsidTr="007937A2">
        <w:trPr>
          <w:gridAfter w:val="1"/>
          <w:wAfter w:w="234" w:type="dxa"/>
          <w:trHeight w:val="267"/>
        </w:trPr>
        <w:tc>
          <w:tcPr>
            <w:tcW w:w="2823" w:type="dxa"/>
            <w:tcBorders>
              <w:top w:val="nil"/>
              <w:left w:val="nil"/>
              <w:right w:val="nil"/>
            </w:tcBorders>
            <w:shd w:val="clear" w:color="auto" w:fill="auto"/>
            <w:vAlign w:val="bottom"/>
            <w:hideMark/>
          </w:tcPr>
          <w:p w14:paraId="741BB334" w14:textId="6E84564F" w:rsidR="007D568D" w:rsidRPr="00A421F9" w:rsidRDefault="007D568D" w:rsidP="00112848">
            <w:pPr>
              <w:spacing w:after="0" w:line="240" w:lineRule="auto"/>
              <w:rPr>
                <w:rFonts w:eastAsia="Times New Roman"/>
                <w:b/>
                <w:color w:val="000000"/>
              </w:rPr>
            </w:pPr>
            <w:r w:rsidRPr="00A421F9">
              <w:rPr>
                <w:rFonts w:eastAsia="Times New Roman"/>
                <w:b/>
                <w:color w:val="000000"/>
              </w:rPr>
              <w:t>Model 10</w:t>
            </w:r>
            <w:r w:rsidR="00974113">
              <w:rPr>
                <w:rFonts w:eastAsia="Times New Roman"/>
                <w:b/>
                <w:color w:val="000000"/>
              </w:rPr>
              <w:t xml:space="preserve">:  </w:t>
            </w:r>
            <w:r w:rsidRPr="00A421F9">
              <w:rPr>
                <w:rFonts w:eastAsia="Times New Roman"/>
                <w:b/>
                <w:color w:val="000000"/>
              </w:rPr>
              <w:t xml:space="preserve">41 </w:t>
            </w:r>
            <w:proofErr w:type="spellStart"/>
            <w:r w:rsidRPr="00A421F9">
              <w:rPr>
                <w:rFonts w:eastAsia="Times New Roman"/>
                <w:b/>
                <w:color w:val="000000"/>
              </w:rPr>
              <w:t>obs</w:t>
            </w:r>
            <w:proofErr w:type="spellEnd"/>
          </w:p>
        </w:tc>
        <w:tc>
          <w:tcPr>
            <w:tcW w:w="2055" w:type="dxa"/>
            <w:gridSpan w:val="2"/>
            <w:tcBorders>
              <w:top w:val="nil"/>
              <w:left w:val="nil"/>
              <w:right w:val="nil"/>
            </w:tcBorders>
            <w:shd w:val="clear" w:color="auto" w:fill="auto"/>
            <w:noWrap/>
            <w:vAlign w:val="bottom"/>
            <w:hideMark/>
          </w:tcPr>
          <w:p w14:paraId="65B6CCFF" w14:textId="77777777" w:rsidR="007D568D" w:rsidRPr="007937A2" w:rsidRDefault="007D568D" w:rsidP="00112848">
            <w:pPr>
              <w:spacing w:after="0" w:line="240" w:lineRule="auto"/>
              <w:jc w:val="center"/>
              <w:rPr>
                <w:rFonts w:eastAsia="Times New Roman"/>
                <w:color w:val="FF0000"/>
              </w:rPr>
            </w:pPr>
          </w:p>
        </w:tc>
        <w:tc>
          <w:tcPr>
            <w:tcW w:w="1208" w:type="dxa"/>
            <w:gridSpan w:val="2"/>
            <w:tcBorders>
              <w:top w:val="nil"/>
              <w:left w:val="nil"/>
              <w:right w:val="nil"/>
            </w:tcBorders>
            <w:shd w:val="clear" w:color="auto" w:fill="auto"/>
            <w:noWrap/>
            <w:vAlign w:val="bottom"/>
            <w:hideMark/>
          </w:tcPr>
          <w:p w14:paraId="30E33D43" w14:textId="77777777" w:rsidR="007D568D" w:rsidRPr="007937A2" w:rsidRDefault="007D568D" w:rsidP="00112848">
            <w:pPr>
              <w:spacing w:after="0" w:line="240" w:lineRule="auto"/>
              <w:jc w:val="center"/>
              <w:rPr>
                <w:rFonts w:eastAsia="Times New Roman"/>
                <w:color w:val="FF0000"/>
              </w:rPr>
            </w:pPr>
          </w:p>
        </w:tc>
        <w:tc>
          <w:tcPr>
            <w:tcW w:w="1235" w:type="dxa"/>
            <w:gridSpan w:val="2"/>
            <w:tcBorders>
              <w:top w:val="nil"/>
              <w:left w:val="nil"/>
              <w:right w:val="nil"/>
            </w:tcBorders>
            <w:shd w:val="clear" w:color="auto" w:fill="auto"/>
            <w:noWrap/>
            <w:vAlign w:val="bottom"/>
            <w:hideMark/>
          </w:tcPr>
          <w:p w14:paraId="18B1F907" w14:textId="77777777" w:rsidR="007D568D" w:rsidRPr="007937A2" w:rsidRDefault="007D568D" w:rsidP="00112848">
            <w:pPr>
              <w:spacing w:after="0" w:line="240" w:lineRule="auto"/>
              <w:jc w:val="center"/>
              <w:rPr>
                <w:rFonts w:eastAsia="Times New Roman"/>
                <w:color w:val="FF0000"/>
              </w:rPr>
            </w:pPr>
          </w:p>
        </w:tc>
        <w:tc>
          <w:tcPr>
            <w:tcW w:w="1089" w:type="dxa"/>
            <w:gridSpan w:val="2"/>
            <w:tcBorders>
              <w:top w:val="nil"/>
              <w:left w:val="nil"/>
              <w:right w:val="nil"/>
            </w:tcBorders>
            <w:shd w:val="clear" w:color="auto" w:fill="auto"/>
            <w:noWrap/>
            <w:vAlign w:val="bottom"/>
            <w:hideMark/>
          </w:tcPr>
          <w:p w14:paraId="7EAB322B" w14:textId="77777777" w:rsidR="007D568D" w:rsidRPr="007937A2" w:rsidRDefault="007D568D" w:rsidP="00112848">
            <w:pPr>
              <w:spacing w:after="0" w:line="240" w:lineRule="auto"/>
              <w:jc w:val="center"/>
              <w:rPr>
                <w:rFonts w:eastAsia="Times New Roman"/>
                <w:color w:val="FF0000"/>
              </w:rPr>
            </w:pPr>
          </w:p>
        </w:tc>
        <w:tc>
          <w:tcPr>
            <w:tcW w:w="716" w:type="dxa"/>
            <w:gridSpan w:val="2"/>
            <w:tcBorders>
              <w:top w:val="nil"/>
              <w:left w:val="nil"/>
              <w:right w:val="nil"/>
            </w:tcBorders>
            <w:shd w:val="clear" w:color="auto" w:fill="auto"/>
            <w:noWrap/>
            <w:vAlign w:val="bottom"/>
            <w:hideMark/>
          </w:tcPr>
          <w:p w14:paraId="08B09768" w14:textId="77777777" w:rsidR="007D568D" w:rsidRPr="00A11214" w:rsidRDefault="007D568D" w:rsidP="00112848">
            <w:pPr>
              <w:spacing w:after="0" w:line="240" w:lineRule="auto"/>
              <w:rPr>
                <w:rFonts w:eastAsia="Times New Roman"/>
                <w:color w:val="000000"/>
              </w:rPr>
            </w:pPr>
          </w:p>
        </w:tc>
      </w:tr>
      <w:tr w:rsidR="00830742" w:rsidRPr="00A11214" w14:paraId="6CA26C29" w14:textId="77777777" w:rsidTr="007937A2">
        <w:trPr>
          <w:gridAfter w:val="1"/>
          <w:wAfter w:w="234" w:type="dxa"/>
          <w:trHeight w:val="267"/>
        </w:trPr>
        <w:tc>
          <w:tcPr>
            <w:tcW w:w="2823" w:type="dxa"/>
            <w:tcBorders>
              <w:top w:val="nil"/>
              <w:left w:val="nil"/>
              <w:right w:val="nil"/>
            </w:tcBorders>
            <w:shd w:val="clear" w:color="auto" w:fill="auto"/>
            <w:vAlign w:val="bottom"/>
            <w:hideMark/>
          </w:tcPr>
          <w:p w14:paraId="02BC44FF" w14:textId="77777777" w:rsidR="00830742" w:rsidRPr="00A11214" w:rsidRDefault="00A259D7" w:rsidP="00112848">
            <w:pPr>
              <w:spacing w:after="0" w:line="240" w:lineRule="auto"/>
              <w:rPr>
                <w:rFonts w:eastAsia="Times New Roman"/>
                <w:color w:val="000000"/>
              </w:rPr>
            </w:pPr>
            <w:r w:rsidRPr="00A11214">
              <w:rPr>
                <w:rFonts w:eastAsia="Times New Roman"/>
                <w:color w:val="000000"/>
              </w:rPr>
              <w:t>C</w:t>
            </w:r>
            <w:r w:rsidR="00830742" w:rsidRPr="00A11214">
              <w:rPr>
                <w:rFonts w:eastAsia="Times New Roman"/>
                <w:color w:val="000000"/>
              </w:rPr>
              <w:t>onst</w:t>
            </w:r>
          </w:p>
        </w:tc>
        <w:tc>
          <w:tcPr>
            <w:tcW w:w="2055" w:type="dxa"/>
            <w:gridSpan w:val="2"/>
            <w:tcBorders>
              <w:top w:val="nil"/>
              <w:left w:val="nil"/>
              <w:right w:val="nil"/>
            </w:tcBorders>
            <w:shd w:val="clear" w:color="auto" w:fill="auto"/>
            <w:noWrap/>
            <w:hideMark/>
          </w:tcPr>
          <w:p w14:paraId="0BAFA2E9" w14:textId="77777777" w:rsidR="00830742" w:rsidRPr="007937A2" w:rsidRDefault="00830742" w:rsidP="007937A2">
            <w:pPr>
              <w:spacing w:after="0" w:line="240" w:lineRule="auto"/>
              <w:jc w:val="center"/>
              <w:rPr>
                <w:rFonts w:eastAsia="Times New Roman"/>
                <w:color w:val="FF0000"/>
              </w:rPr>
            </w:pPr>
            <w:r w:rsidRPr="00EC1C3B">
              <w:t>0.075</w:t>
            </w:r>
            <w:r>
              <w:t>9</w:t>
            </w:r>
          </w:p>
        </w:tc>
        <w:tc>
          <w:tcPr>
            <w:tcW w:w="1208" w:type="dxa"/>
            <w:gridSpan w:val="2"/>
            <w:tcBorders>
              <w:top w:val="nil"/>
              <w:left w:val="nil"/>
              <w:right w:val="nil"/>
            </w:tcBorders>
            <w:shd w:val="clear" w:color="auto" w:fill="auto"/>
            <w:noWrap/>
            <w:hideMark/>
          </w:tcPr>
          <w:p w14:paraId="6C0987EE" w14:textId="77777777" w:rsidR="00830742" w:rsidRPr="007937A2" w:rsidRDefault="00830742" w:rsidP="007937A2">
            <w:pPr>
              <w:spacing w:after="0" w:line="240" w:lineRule="auto"/>
              <w:jc w:val="center"/>
              <w:rPr>
                <w:rFonts w:eastAsia="Times New Roman"/>
                <w:color w:val="FF0000"/>
              </w:rPr>
            </w:pPr>
            <w:r w:rsidRPr="00EC1C3B">
              <w:t>0.0713</w:t>
            </w:r>
          </w:p>
        </w:tc>
        <w:tc>
          <w:tcPr>
            <w:tcW w:w="1235" w:type="dxa"/>
            <w:gridSpan w:val="2"/>
            <w:tcBorders>
              <w:top w:val="nil"/>
              <w:left w:val="nil"/>
              <w:right w:val="nil"/>
            </w:tcBorders>
            <w:shd w:val="clear" w:color="auto" w:fill="auto"/>
            <w:noWrap/>
            <w:hideMark/>
          </w:tcPr>
          <w:p w14:paraId="44B0AAA4" w14:textId="77777777" w:rsidR="00830742" w:rsidRPr="007937A2" w:rsidRDefault="00830742" w:rsidP="00112848">
            <w:pPr>
              <w:spacing w:after="0" w:line="240" w:lineRule="auto"/>
              <w:jc w:val="center"/>
              <w:rPr>
                <w:rFonts w:eastAsia="Times New Roman"/>
                <w:color w:val="FF0000"/>
              </w:rPr>
            </w:pPr>
            <w:r w:rsidRPr="00EC1C3B">
              <w:t>1.064</w:t>
            </w:r>
          </w:p>
        </w:tc>
        <w:tc>
          <w:tcPr>
            <w:tcW w:w="1089" w:type="dxa"/>
            <w:gridSpan w:val="2"/>
            <w:tcBorders>
              <w:top w:val="nil"/>
              <w:left w:val="nil"/>
              <w:right w:val="nil"/>
            </w:tcBorders>
            <w:shd w:val="clear" w:color="auto" w:fill="auto"/>
            <w:noWrap/>
            <w:hideMark/>
          </w:tcPr>
          <w:p w14:paraId="488F2394" w14:textId="77777777" w:rsidR="00830742" w:rsidRPr="007937A2" w:rsidRDefault="00830742" w:rsidP="00112848">
            <w:pPr>
              <w:spacing w:after="0" w:line="240" w:lineRule="auto"/>
              <w:jc w:val="center"/>
              <w:rPr>
                <w:rFonts w:eastAsia="Times New Roman"/>
                <w:color w:val="FF0000"/>
              </w:rPr>
            </w:pPr>
            <w:r w:rsidRPr="00EC1C3B">
              <w:t>0.294</w:t>
            </w:r>
          </w:p>
        </w:tc>
        <w:tc>
          <w:tcPr>
            <w:tcW w:w="716" w:type="dxa"/>
            <w:gridSpan w:val="2"/>
            <w:tcBorders>
              <w:top w:val="nil"/>
              <w:left w:val="nil"/>
              <w:right w:val="nil"/>
            </w:tcBorders>
            <w:shd w:val="clear" w:color="auto" w:fill="auto"/>
            <w:noWrap/>
            <w:vAlign w:val="bottom"/>
            <w:hideMark/>
          </w:tcPr>
          <w:p w14:paraId="3654C1FA" w14:textId="77777777" w:rsidR="00830742" w:rsidRPr="00A11214" w:rsidRDefault="00830742" w:rsidP="00112848">
            <w:pPr>
              <w:spacing w:after="0" w:line="240" w:lineRule="auto"/>
              <w:rPr>
                <w:rFonts w:eastAsia="Times New Roman"/>
                <w:color w:val="000000"/>
              </w:rPr>
            </w:pPr>
          </w:p>
        </w:tc>
      </w:tr>
      <w:tr w:rsidR="00830742" w:rsidRPr="00A11214" w14:paraId="7C2D569E" w14:textId="77777777" w:rsidTr="007937A2">
        <w:trPr>
          <w:gridAfter w:val="1"/>
          <w:wAfter w:w="234" w:type="dxa"/>
          <w:trHeight w:val="267"/>
        </w:trPr>
        <w:tc>
          <w:tcPr>
            <w:tcW w:w="2823" w:type="dxa"/>
            <w:tcBorders>
              <w:left w:val="nil"/>
              <w:bottom w:val="single" w:sz="4" w:space="0" w:color="auto"/>
              <w:right w:val="nil"/>
            </w:tcBorders>
            <w:shd w:val="clear" w:color="auto" w:fill="auto"/>
            <w:vAlign w:val="bottom"/>
            <w:hideMark/>
          </w:tcPr>
          <w:p w14:paraId="2E1C40A8" w14:textId="77777777" w:rsidR="00830742" w:rsidRPr="00A11214" w:rsidRDefault="00830742" w:rsidP="007937A2">
            <w:pPr>
              <w:spacing w:after="0" w:line="240" w:lineRule="auto"/>
              <w:rPr>
                <w:rFonts w:eastAsia="Times New Roman"/>
                <w:color w:val="000000"/>
              </w:rPr>
            </w:pPr>
            <w:r>
              <w:rPr>
                <w:rFonts w:eastAsia="Times New Roman"/>
                <w:color w:val="000000"/>
              </w:rPr>
              <w:t>Risk Weighted Assets</w:t>
            </w:r>
            <w:r w:rsidR="00A259D7">
              <w:rPr>
                <w:rFonts w:eastAsia="Times New Roman"/>
                <w:color w:val="000000"/>
              </w:rPr>
              <w:t xml:space="preserve"> Ratio</w:t>
            </w:r>
          </w:p>
        </w:tc>
        <w:tc>
          <w:tcPr>
            <w:tcW w:w="2055" w:type="dxa"/>
            <w:gridSpan w:val="2"/>
            <w:tcBorders>
              <w:left w:val="nil"/>
              <w:bottom w:val="single" w:sz="4" w:space="0" w:color="auto"/>
              <w:right w:val="nil"/>
            </w:tcBorders>
            <w:shd w:val="clear" w:color="auto" w:fill="auto"/>
            <w:noWrap/>
            <w:hideMark/>
          </w:tcPr>
          <w:p w14:paraId="0CE925E8" w14:textId="77777777" w:rsidR="00830742" w:rsidRPr="007937A2" w:rsidRDefault="00830742" w:rsidP="007937A2">
            <w:pPr>
              <w:spacing w:after="0" w:line="240" w:lineRule="auto"/>
              <w:jc w:val="center"/>
              <w:rPr>
                <w:rFonts w:eastAsia="Times New Roman"/>
                <w:color w:val="FF0000"/>
              </w:rPr>
            </w:pPr>
            <w:r w:rsidRPr="00EC1C3B">
              <w:t>0.0076</w:t>
            </w:r>
            <w:r>
              <w:t>5</w:t>
            </w:r>
          </w:p>
        </w:tc>
        <w:tc>
          <w:tcPr>
            <w:tcW w:w="1208" w:type="dxa"/>
            <w:gridSpan w:val="2"/>
            <w:tcBorders>
              <w:left w:val="nil"/>
              <w:bottom w:val="single" w:sz="4" w:space="0" w:color="auto"/>
              <w:right w:val="nil"/>
            </w:tcBorders>
            <w:shd w:val="clear" w:color="auto" w:fill="auto"/>
            <w:noWrap/>
            <w:hideMark/>
          </w:tcPr>
          <w:p w14:paraId="675FE396" w14:textId="77777777" w:rsidR="00830742" w:rsidRPr="007937A2" w:rsidRDefault="00830742" w:rsidP="007937A2">
            <w:pPr>
              <w:spacing w:after="0" w:line="240" w:lineRule="auto"/>
              <w:jc w:val="center"/>
              <w:rPr>
                <w:rFonts w:eastAsia="Times New Roman"/>
                <w:color w:val="FF0000"/>
              </w:rPr>
            </w:pPr>
            <w:r w:rsidRPr="00EC1C3B">
              <w:t>0.1027</w:t>
            </w:r>
          </w:p>
        </w:tc>
        <w:tc>
          <w:tcPr>
            <w:tcW w:w="1235" w:type="dxa"/>
            <w:gridSpan w:val="2"/>
            <w:tcBorders>
              <w:left w:val="nil"/>
              <w:bottom w:val="single" w:sz="4" w:space="0" w:color="auto"/>
              <w:right w:val="nil"/>
            </w:tcBorders>
            <w:shd w:val="clear" w:color="auto" w:fill="auto"/>
            <w:noWrap/>
            <w:hideMark/>
          </w:tcPr>
          <w:p w14:paraId="64AAD512" w14:textId="77777777" w:rsidR="00830742" w:rsidRPr="007937A2" w:rsidRDefault="00830742" w:rsidP="007937A2">
            <w:pPr>
              <w:spacing w:after="0" w:line="240" w:lineRule="auto"/>
              <w:jc w:val="center"/>
              <w:rPr>
                <w:rFonts w:eastAsia="Times New Roman"/>
                <w:color w:val="FF0000"/>
              </w:rPr>
            </w:pPr>
            <w:r w:rsidRPr="00EC1C3B">
              <w:t>0.074</w:t>
            </w:r>
          </w:p>
        </w:tc>
        <w:tc>
          <w:tcPr>
            <w:tcW w:w="1089" w:type="dxa"/>
            <w:gridSpan w:val="2"/>
            <w:tcBorders>
              <w:left w:val="nil"/>
              <w:bottom w:val="single" w:sz="4" w:space="0" w:color="auto"/>
              <w:right w:val="nil"/>
            </w:tcBorders>
            <w:shd w:val="clear" w:color="auto" w:fill="auto"/>
            <w:noWrap/>
            <w:hideMark/>
          </w:tcPr>
          <w:p w14:paraId="08BCFCBE" w14:textId="77777777" w:rsidR="00830742" w:rsidRPr="007937A2" w:rsidRDefault="00830742" w:rsidP="00112848">
            <w:pPr>
              <w:spacing w:after="0" w:line="240" w:lineRule="auto"/>
              <w:jc w:val="center"/>
              <w:rPr>
                <w:rFonts w:eastAsia="Times New Roman"/>
                <w:color w:val="FF0000"/>
              </w:rPr>
            </w:pPr>
            <w:r w:rsidRPr="00EC1C3B">
              <w:t>0.941</w:t>
            </w:r>
          </w:p>
        </w:tc>
        <w:tc>
          <w:tcPr>
            <w:tcW w:w="716" w:type="dxa"/>
            <w:gridSpan w:val="2"/>
            <w:tcBorders>
              <w:left w:val="nil"/>
              <w:bottom w:val="single" w:sz="4" w:space="0" w:color="auto"/>
              <w:right w:val="nil"/>
            </w:tcBorders>
            <w:shd w:val="clear" w:color="auto" w:fill="auto"/>
            <w:noWrap/>
            <w:vAlign w:val="bottom"/>
            <w:hideMark/>
          </w:tcPr>
          <w:p w14:paraId="5538B966" w14:textId="77777777" w:rsidR="00830742" w:rsidRPr="00A11214" w:rsidRDefault="00830742" w:rsidP="00112848">
            <w:pPr>
              <w:spacing w:after="0" w:line="240" w:lineRule="auto"/>
              <w:rPr>
                <w:rFonts w:eastAsia="Times New Roman"/>
                <w:color w:val="000000"/>
              </w:rPr>
            </w:pPr>
          </w:p>
        </w:tc>
      </w:tr>
      <w:tr w:rsidR="000C11C9" w:rsidRPr="007937A2" w14:paraId="2730128F" w14:textId="77777777" w:rsidTr="007937A2">
        <w:trPr>
          <w:gridAfter w:val="1"/>
          <w:wAfter w:w="234" w:type="dxa"/>
          <w:trHeight w:val="267"/>
        </w:trPr>
        <w:tc>
          <w:tcPr>
            <w:tcW w:w="9126" w:type="dxa"/>
            <w:gridSpan w:val="11"/>
            <w:tcBorders>
              <w:top w:val="single" w:sz="4" w:space="0" w:color="auto"/>
              <w:left w:val="nil"/>
              <w:bottom w:val="single" w:sz="4" w:space="0" w:color="auto"/>
              <w:right w:val="nil"/>
            </w:tcBorders>
            <w:shd w:val="clear" w:color="auto" w:fill="auto"/>
            <w:vAlign w:val="bottom"/>
          </w:tcPr>
          <w:p w14:paraId="7260E00F" w14:textId="77777777" w:rsidR="006E3BB0" w:rsidRDefault="006E3BB0" w:rsidP="000C11C9">
            <w:pPr>
              <w:spacing w:after="0" w:line="240" w:lineRule="auto"/>
              <w:rPr>
                <w:rFonts w:eastAsia="Times New Roman"/>
                <w:color w:val="000000"/>
                <w:sz w:val="20"/>
              </w:rPr>
            </w:pPr>
          </w:p>
          <w:p w14:paraId="0980989D" w14:textId="77777777" w:rsidR="000C11C9" w:rsidRDefault="000C11C9" w:rsidP="000C11C9">
            <w:pPr>
              <w:spacing w:after="0" w:line="240" w:lineRule="auto"/>
              <w:rPr>
                <w:rFonts w:eastAsia="Times New Roman"/>
                <w:color w:val="000000"/>
                <w:sz w:val="20"/>
              </w:rPr>
            </w:pPr>
            <w:r w:rsidRPr="007937A2">
              <w:rPr>
                <w:rFonts w:eastAsia="Times New Roman"/>
                <w:color w:val="000000"/>
                <w:sz w:val="20"/>
              </w:rPr>
              <w:t xml:space="preserve">All Ratios are calculated with respect to total assets. The All Risks Ratio is calculated as the sum of credit, operational, and market risks disclosed by banks with respect to total assets for that particular year. </w:t>
            </w:r>
          </w:p>
          <w:p w14:paraId="256B6793" w14:textId="77777777" w:rsidR="006E3BB0" w:rsidRPr="007937A2" w:rsidRDefault="006E3BB0" w:rsidP="000C11C9">
            <w:pPr>
              <w:spacing w:after="0" w:line="240" w:lineRule="auto"/>
              <w:rPr>
                <w:rFonts w:eastAsia="Times New Roman"/>
                <w:color w:val="000000"/>
                <w:sz w:val="20"/>
              </w:rPr>
            </w:pPr>
          </w:p>
          <w:p w14:paraId="24713025" w14:textId="77777777" w:rsidR="006E3BB0" w:rsidRDefault="000C11C9" w:rsidP="007937A2">
            <w:pPr>
              <w:rPr>
                <w:rFonts w:eastAsia="Times New Roman"/>
                <w:i/>
                <w:color w:val="000000"/>
                <w:sz w:val="20"/>
              </w:rPr>
            </w:pPr>
            <w:r w:rsidRPr="007937A2">
              <w:rPr>
                <w:rFonts w:eastAsia="Times New Roman"/>
                <w:i/>
                <w:color w:val="000000"/>
                <w:sz w:val="20"/>
              </w:rPr>
              <w:t>*, **, *** Significant at 10%, 5%, or 1%</w:t>
            </w:r>
            <w:r w:rsidR="00C461EF" w:rsidRPr="007937A2">
              <w:rPr>
                <w:rFonts w:eastAsia="Times New Roman"/>
                <w:i/>
                <w:color w:val="000000"/>
                <w:sz w:val="20"/>
              </w:rPr>
              <w:t xml:space="preserve">.  </w:t>
            </w:r>
          </w:p>
          <w:p w14:paraId="2550C8B2" w14:textId="77777777" w:rsidR="00C461EF" w:rsidRPr="007937A2" w:rsidRDefault="00C461EF" w:rsidP="007937A2">
            <w:pPr>
              <w:rPr>
                <w:rFonts w:eastAsia="Times New Roman"/>
                <w:color w:val="000000"/>
                <w:sz w:val="20"/>
              </w:rPr>
            </w:pPr>
            <w:r w:rsidRPr="007937A2">
              <w:rPr>
                <w:rFonts w:eastAsia="Times New Roman"/>
                <w:i/>
                <w:color w:val="000000"/>
                <w:sz w:val="20"/>
              </w:rPr>
              <w:t>A</w:t>
            </w:r>
            <w:r w:rsidR="006E3BB0" w:rsidRPr="007937A2">
              <w:rPr>
                <w:rFonts w:eastAsia="Times New Roman"/>
                <w:i/>
                <w:color w:val="000000"/>
                <w:sz w:val="20"/>
              </w:rPr>
              <w:t xml:space="preserve"> statistically </w:t>
            </w:r>
            <w:r w:rsidRPr="007937A2">
              <w:rPr>
                <w:rFonts w:eastAsia="Times New Roman"/>
                <w:i/>
                <w:color w:val="000000"/>
                <w:sz w:val="20"/>
              </w:rPr>
              <w:t>significant</w:t>
            </w:r>
            <w:r w:rsidR="006E3BB0" w:rsidRPr="007937A2">
              <w:rPr>
                <w:rFonts w:eastAsia="Times New Roman"/>
                <w:i/>
                <w:color w:val="000000"/>
                <w:sz w:val="20"/>
              </w:rPr>
              <w:t xml:space="preserve"> independent </w:t>
            </w:r>
            <w:r w:rsidRPr="007937A2">
              <w:rPr>
                <w:rFonts w:eastAsia="Times New Roman"/>
                <w:i/>
                <w:color w:val="000000"/>
                <w:sz w:val="20"/>
              </w:rPr>
              <w:t xml:space="preserve">variable </w:t>
            </w:r>
            <w:r w:rsidR="000A6890" w:rsidRPr="007937A2">
              <w:rPr>
                <w:rFonts w:eastAsia="Times New Roman"/>
                <w:i/>
                <w:color w:val="000000"/>
                <w:sz w:val="20"/>
              </w:rPr>
              <w:t>here</w:t>
            </w:r>
            <w:r w:rsidR="000A6890">
              <w:rPr>
                <w:rFonts w:eastAsia="Times New Roman"/>
                <w:i/>
                <w:color w:val="000000"/>
                <w:sz w:val="20"/>
              </w:rPr>
              <w:t xml:space="preserve"> </w:t>
            </w:r>
            <w:r w:rsidRPr="007937A2">
              <w:rPr>
                <w:rFonts w:eastAsia="Times New Roman"/>
                <w:i/>
                <w:color w:val="000000"/>
                <w:sz w:val="20"/>
              </w:rPr>
              <w:t xml:space="preserve">suggests a high degree of correlation with the dependent variable and therefore the information provided is not </w:t>
            </w:r>
            <w:r w:rsidR="000A6890" w:rsidRPr="007937A2">
              <w:rPr>
                <w:rFonts w:eastAsia="Times New Roman"/>
                <w:i/>
                <w:color w:val="000000"/>
                <w:sz w:val="20"/>
              </w:rPr>
              <w:t>adding value</w:t>
            </w:r>
            <w:r w:rsidRPr="007937A2">
              <w:rPr>
                <w:rFonts w:eastAsia="Times New Roman"/>
                <w:i/>
                <w:color w:val="000000"/>
                <w:sz w:val="20"/>
              </w:rPr>
              <w:t xml:space="preserve"> to market participants.</w:t>
            </w:r>
          </w:p>
        </w:tc>
      </w:tr>
    </w:tbl>
    <w:p w14:paraId="7A44ACC5" w14:textId="77777777" w:rsidR="0072189E" w:rsidRPr="004F3E73" w:rsidRDefault="0072189E" w:rsidP="007937A2">
      <w:pPr>
        <w:spacing w:after="0" w:line="240" w:lineRule="auto"/>
      </w:pPr>
    </w:p>
    <w:sectPr w:rsidR="0072189E" w:rsidRPr="004F3E73" w:rsidSect="00E9779C">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9ADC9" w14:textId="77777777" w:rsidR="00A351DF" w:rsidRDefault="00A351DF" w:rsidP="001A1772">
      <w:pPr>
        <w:spacing w:after="0" w:line="240" w:lineRule="auto"/>
      </w:pPr>
      <w:r>
        <w:separator/>
      </w:r>
    </w:p>
  </w:endnote>
  <w:endnote w:type="continuationSeparator" w:id="0">
    <w:p w14:paraId="21B2096C" w14:textId="77777777" w:rsidR="00A351DF" w:rsidRDefault="00A351DF" w:rsidP="001A1772">
      <w:pPr>
        <w:spacing w:after="0" w:line="240" w:lineRule="auto"/>
      </w:pPr>
      <w:r>
        <w:continuationSeparator/>
      </w:r>
    </w:p>
  </w:endnote>
  <w:endnote w:type="continuationNotice" w:id="1">
    <w:p w14:paraId="5F408D81" w14:textId="77777777" w:rsidR="00A351DF" w:rsidRDefault="00A35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0B57" w14:textId="77777777" w:rsidR="00387222" w:rsidRDefault="00387222" w:rsidP="002F59F5">
    <w:pPr>
      <w:pStyle w:val="Footer"/>
      <w:pBdr>
        <w:top w:val="single" w:sz="4" w:space="1" w:color="D9D9D9"/>
      </w:pBdr>
      <w:jc w:val="right"/>
    </w:pPr>
    <w:r>
      <w:fldChar w:fldCharType="begin"/>
    </w:r>
    <w:r>
      <w:instrText xml:space="preserve"> PAGE   \* MERGEFORMAT </w:instrText>
    </w:r>
    <w:r>
      <w:fldChar w:fldCharType="separate"/>
    </w:r>
    <w:r w:rsidR="00222B96">
      <w:rPr>
        <w:noProof/>
      </w:rPr>
      <w:t>1</w:t>
    </w:r>
    <w:r>
      <w:rPr>
        <w:noProof/>
      </w:rPr>
      <w:fldChar w:fldCharType="end"/>
    </w:r>
    <w:r>
      <w:t xml:space="preserve"> | </w:t>
    </w:r>
    <w:r w:rsidRPr="002F59F5">
      <w:rPr>
        <w:color w:val="808080"/>
        <w:spacing w:val="60"/>
      </w:rPr>
      <w:t>Page</w:t>
    </w:r>
  </w:p>
  <w:p w14:paraId="345DB557" w14:textId="77777777" w:rsidR="00387222" w:rsidRDefault="003872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D69F3" w14:textId="77777777" w:rsidR="00A351DF" w:rsidRDefault="00A351DF" w:rsidP="001A1772">
      <w:pPr>
        <w:spacing w:after="0" w:line="240" w:lineRule="auto"/>
      </w:pPr>
      <w:r>
        <w:separator/>
      </w:r>
    </w:p>
  </w:footnote>
  <w:footnote w:type="continuationSeparator" w:id="0">
    <w:p w14:paraId="77798E74" w14:textId="77777777" w:rsidR="00A351DF" w:rsidRDefault="00A351DF" w:rsidP="001A1772">
      <w:pPr>
        <w:spacing w:after="0" w:line="240" w:lineRule="auto"/>
      </w:pPr>
      <w:r>
        <w:continuationSeparator/>
      </w:r>
    </w:p>
  </w:footnote>
  <w:footnote w:type="continuationNotice" w:id="1">
    <w:p w14:paraId="766BF456" w14:textId="77777777" w:rsidR="00A351DF" w:rsidRDefault="00A351DF">
      <w:pPr>
        <w:spacing w:after="0" w:line="240" w:lineRule="auto"/>
      </w:pPr>
    </w:p>
  </w:footnote>
  <w:footnote w:id="2">
    <w:p w14:paraId="7CEB02A3" w14:textId="77777777" w:rsidR="00387222" w:rsidRDefault="00387222">
      <w:pPr>
        <w:pStyle w:val="FootnoteText"/>
      </w:pPr>
      <w:r>
        <w:rPr>
          <w:rStyle w:val="FootnoteReference"/>
        </w:rPr>
        <w:footnoteRef/>
      </w:r>
      <w:r>
        <w:t xml:space="preserve"> For a criticism of the current regime, see for example, </w:t>
      </w:r>
      <w:proofErr w:type="spellStart"/>
      <w:r>
        <w:t>Wellink</w:t>
      </w:r>
      <w:proofErr w:type="spellEnd"/>
      <w:r>
        <w:t xml:space="preserve"> N. (2010). </w:t>
      </w:r>
    </w:p>
  </w:footnote>
  <w:footnote w:id="3">
    <w:p w14:paraId="5ED121DF" w14:textId="77777777" w:rsidR="00387222" w:rsidRDefault="00387222">
      <w:pPr>
        <w:pStyle w:val="FootnoteText"/>
      </w:pPr>
      <w:r>
        <w:rPr>
          <w:rStyle w:val="FootnoteReference"/>
        </w:rPr>
        <w:footnoteRef/>
      </w:r>
      <w:r>
        <w:t xml:space="preserve"> </w:t>
      </w:r>
      <w:r w:rsidRPr="001D730C">
        <w:t xml:space="preserve"> </w:t>
      </w:r>
      <w:proofErr w:type="spellStart"/>
      <w:r>
        <w:t>VaR</w:t>
      </w:r>
      <w:proofErr w:type="spellEnd"/>
      <w:r>
        <w:t xml:space="preserve"> </w:t>
      </w:r>
      <w:r w:rsidRPr="001D730C">
        <w:t>is a widely used measure of the risk of loss on a specific portfolio of financial assets.</w:t>
      </w:r>
      <w:r>
        <w:t xml:space="preserve"> </w:t>
      </w:r>
      <w:r w:rsidRPr="001D730C">
        <w:t xml:space="preserve">For a given portfolio, probability and time horizon, </w:t>
      </w:r>
      <w:proofErr w:type="spellStart"/>
      <w:r w:rsidRPr="001D730C">
        <w:t>VaR</w:t>
      </w:r>
      <w:proofErr w:type="spellEnd"/>
      <w:r w:rsidRPr="001D730C">
        <w:t xml:space="preserve"> is defined as a threshold value such that the probability that the mark</w:t>
      </w:r>
      <w:r>
        <w:t>et</w:t>
      </w:r>
      <w:r w:rsidRPr="001D730C">
        <w:t xml:space="preserve">-to-market loss on the portfolio over the given time horizon </w:t>
      </w:r>
      <w:r>
        <w:t xml:space="preserve">(banks use 30 days) </w:t>
      </w:r>
      <w:r w:rsidRPr="001D730C">
        <w:t>exceeds this value.</w:t>
      </w:r>
    </w:p>
  </w:footnote>
  <w:footnote w:id="4">
    <w:p w14:paraId="180D4F31" w14:textId="42C2F60B" w:rsidR="00387222" w:rsidRDefault="00387222">
      <w:pPr>
        <w:pStyle w:val="FootnoteText"/>
      </w:pPr>
      <w:r>
        <w:rPr>
          <w:rStyle w:val="FootnoteReference"/>
        </w:rPr>
        <w:footnoteRef/>
      </w:r>
      <w:r>
        <w:t xml:space="preserve"> </w:t>
      </w:r>
      <w:r w:rsidRPr="002F3DAD">
        <w:t>A copy of the full report is available at</w:t>
      </w:r>
      <w:r>
        <w:t xml:space="preserve">:  </w:t>
      </w:r>
      <w:r w:rsidRPr="002F3DAD">
        <w:t>https://www.financialstabilityboard.org/publications/r_121029.pdf</w:t>
      </w:r>
      <w:r>
        <w:t>.</w:t>
      </w:r>
    </w:p>
  </w:footnote>
  <w:footnote w:id="5">
    <w:p w14:paraId="51A3C2D9" w14:textId="77777777" w:rsidR="00387222" w:rsidRDefault="00387222">
      <w:pPr>
        <w:pStyle w:val="FootnoteText"/>
      </w:pPr>
      <w:r>
        <w:rPr>
          <w:rStyle w:val="FootnoteReference"/>
        </w:rPr>
        <w:footnoteRef/>
      </w:r>
      <w:r>
        <w:t xml:space="preserve"> </w:t>
      </w:r>
      <w:r w:rsidRPr="008513BA">
        <w:t>Gulf Banks' Capital Positions Compare Well With Those Of Global Banks</w:t>
      </w:r>
      <w:r>
        <w:t xml:space="preserve">, </w:t>
      </w:r>
      <w:r w:rsidRPr="008513BA">
        <w:t>Standard &amp; Poor's</w:t>
      </w:r>
      <w:r>
        <w:t>, June 2012.</w:t>
      </w:r>
    </w:p>
  </w:footnote>
  <w:footnote w:id="6">
    <w:p w14:paraId="1276D394" w14:textId="77777777" w:rsidR="00387222" w:rsidRDefault="00387222">
      <w:pPr>
        <w:pStyle w:val="FootnoteText"/>
      </w:pPr>
      <w:r>
        <w:rPr>
          <w:rStyle w:val="FootnoteReference"/>
        </w:rPr>
        <w:footnoteRef/>
      </w:r>
      <w:r>
        <w:t xml:space="preserve"> </w:t>
      </w:r>
      <w:proofErr w:type="spellStart"/>
      <w:r>
        <w:t>Yahya</w:t>
      </w:r>
      <w:proofErr w:type="spellEnd"/>
      <w:r>
        <w:t xml:space="preserve"> Al </w:t>
      </w:r>
      <w:proofErr w:type="spellStart"/>
      <w:r>
        <w:t>Yahya</w:t>
      </w:r>
      <w:proofErr w:type="spellEnd"/>
      <w:r>
        <w:t xml:space="preserve"> (2010)</w:t>
      </w:r>
    </w:p>
  </w:footnote>
  <w:footnote w:id="7">
    <w:p w14:paraId="739F98F3" w14:textId="77777777" w:rsidR="00387222" w:rsidRDefault="00387222" w:rsidP="0089463E">
      <w:pPr>
        <w:pStyle w:val="FootnoteText"/>
      </w:pPr>
      <w:r>
        <w:rPr>
          <w:rStyle w:val="FootnoteReference"/>
        </w:rPr>
        <w:footnoteRef/>
      </w:r>
      <w:r>
        <w:t xml:space="preserve"> Huang Rocco (2006)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EE036" w14:textId="55E7143B" w:rsidR="00387222" w:rsidRPr="007937A2" w:rsidRDefault="00387222" w:rsidP="007937A2">
    <w:pPr>
      <w:pStyle w:val="Header"/>
      <w:spacing w:after="0" w:line="240" w:lineRule="auto"/>
      <w:jc w:val="right"/>
      <w:rPr>
        <w:sz w:val="20"/>
      </w:rPr>
    </w:pPr>
    <w:r w:rsidRPr="007937A2">
      <w:rPr>
        <w:sz w:val="20"/>
      </w:rPr>
      <w:t>Version</w:t>
    </w:r>
    <w:r>
      <w:rPr>
        <w:sz w:val="20"/>
      </w:rPr>
      <w:t xml:space="preserve">:  </w:t>
    </w:r>
    <w:r w:rsidR="00222B96">
      <w:rPr>
        <w:sz w:val="20"/>
      </w:rPr>
      <w:t>October 14, 2014 JAFB</w:t>
    </w:r>
  </w:p>
  <w:p w14:paraId="2BEC78CC" w14:textId="77777777" w:rsidR="00387222" w:rsidRPr="007937A2" w:rsidRDefault="00387222" w:rsidP="007937A2">
    <w:pPr>
      <w:pStyle w:val="Header"/>
      <w:spacing w:after="0" w:line="240" w:lineRule="auto"/>
      <w:jc w:val="right"/>
      <w:rPr>
        <w:sz w:val="20"/>
      </w:rPr>
    </w:pPr>
    <w:r w:rsidRPr="007937A2">
      <w:rPr>
        <w:sz w:val="20"/>
      </w:rPr>
      <w:t>Please do not quote without the authors’ permission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E02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44D2A"/>
    <w:multiLevelType w:val="hybridMultilevel"/>
    <w:tmpl w:val="3090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40B81"/>
    <w:multiLevelType w:val="hybridMultilevel"/>
    <w:tmpl w:val="4EC0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A0CB8"/>
    <w:multiLevelType w:val="hybridMultilevel"/>
    <w:tmpl w:val="2314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71024"/>
    <w:multiLevelType w:val="hybridMultilevel"/>
    <w:tmpl w:val="CA2EE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D33C3"/>
    <w:multiLevelType w:val="hybridMultilevel"/>
    <w:tmpl w:val="D07E2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40138"/>
    <w:multiLevelType w:val="hybridMultilevel"/>
    <w:tmpl w:val="E36E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BE0F96"/>
    <w:multiLevelType w:val="hybridMultilevel"/>
    <w:tmpl w:val="514E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A0"/>
    <w:rsid w:val="00007D27"/>
    <w:rsid w:val="0001104A"/>
    <w:rsid w:val="00023869"/>
    <w:rsid w:val="00024085"/>
    <w:rsid w:val="00030525"/>
    <w:rsid w:val="00032FBB"/>
    <w:rsid w:val="0004052A"/>
    <w:rsid w:val="000467A1"/>
    <w:rsid w:val="00054CE4"/>
    <w:rsid w:val="00056C40"/>
    <w:rsid w:val="000618D4"/>
    <w:rsid w:val="00064758"/>
    <w:rsid w:val="00072116"/>
    <w:rsid w:val="000741F8"/>
    <w:rsid w:val="00084A3E"/>
    <w:rsid w:val="000910FD"/>
    <w:rsid w:val="00092CDE"/>
    <w:rsid w:val="000A6890"/>
    <w:rsid w:val="000B5AF9"/>
    <w:rsid w:val="000C11C9"/>
    <w:rsid w:val="000C5943"/>
    <w:rsid w:val="000D5516"/>
    <w:rsid w:val="000E0D15"/>
    <w:rsid w:val="000E3FED"/>
    <w:rsid w:val="000E4917"/>
    <w:rsid w:val="000E747A"/>
    <w:rsid w:val="000F69BE"/>
    <w:rsid w:val="000F7143"/>
    <w:rsid w:val="001009BE"/>
    <w:rsid w:val="00100A66"/>
    <w:rsid w:val="00103B9B"/>
    <w:rsid w:val="00104F1C"/>
    <w:rsid w:val="00110AF5"/>
    <w:rsid w:val="00112848"/>
    <w:rsid w:val="00116FAE"/>
    <w:rsid w:val="001211B1"/>
    <w:rsid w:val="0015674D"/>
    <w:rsid w:val="00161CBE"/>
    <w:rsid w:val="00174899"/>
    <w:rsid w:val="00183C1D"/>
    <w:rsid w:val="00186F4C"/>
    <w:rsid w:val="00193187"/>
    <w:rsid w:val="001A1772"/>
    <w:rsid w:val="001A61C4"/>
    <w:rsid w:val="001C3AEC"/>
    <w:rsid w:val="001D27C9"/>
    <w:rsid w:val="001D730C"/>
    <w:rsid w:val="001E3BF3"/>
    <w:rsid w:val="001E50B8"/>
    <w:rsid w:val="001F1A43"/>
    <w:rsid w:val="001F4463"/>
    <w:rsid w:val="00222B96"/>
    <w:rsid w:val="0022401F"/>
    <w:rsid w:val="00234FA0"/>
    <w:rsid w:val="00266E5C"/>
    <w:rsid w:val="00266ED7"/>
    <w:rsid w:val="00267E8B"/>
    <w:rsid w:val="00296A0F"/>
    <w:rsid w:val="002C49A3"/>
    <w:rsid w:val="002D0939"/>
    <w:rsid w:val="002F1566"/>
    <w:rsid w:val="002F3DAD"/>
    <w:rsid w:val="002F59F5"/>
    <w:rsid w:val="002F77B1"/>
    <w:rsid w:val="0032482F"/>
    <w:rsid w:val="00326A0E"/>
    <w:rsid w:val="00333FB1"/>
    <w:rsid w:val="00376536"/>
    <w:rsid w:val="0037730B"/>
    <w:rsid w:val="00387222"/>
    <w:rsid w:val="00391FFC"/>
    <w:rsid w:val="003A2328"/>
    <w:rsid w:val="003B4569"/>
    <w:rsid w:val="003B5335"/>
    <w:rsid w:val="003C3920"/>
    <w:rsid w:val="003C56AF"/>
    <w:rsid w:val="003F0139"/>
    <w:rsid w:val="003F5254"/>
    <w:rsid w:val="003F5720"/>
    <w:rsid w:val="003F77CD"/>
    <w:rsid w:val="003F7870"/>
    <w:rsid w:val="0040259D"/>
    <w:rsid w:val="004110D9"/>
    <w:rsid w:val="00412BFB"/>
    <w:rsid w:val="0041738C"/>
    <w:rsid w:val="004218A7"/>
    <w:rsid w:val="0043023A"/>
    <w:rsid w:val="00443646"/>
    <w:rsid w:val="00451F48"/>
    <w:rsid w:val="00453304"/>
    <w:rsid w:val="00456D4C"/>
    <w:rsid w:val="004610E9"/>
    <w:rsid w:val="00465C3D"/>
    <w:rsid w:val="00472392"/>
    <w:rsid w:val="004731CE"/>
    <w:rsid w:val="0047350B"/>
    <w:rsid w:val="00475DE8"/>
    <w:rsid w:val="00486D15"/>
    <w:rsid w:val="004923EF"/>
    <w:rsid w:val="004944E5"/>
    <w:rsid w:val="00495799"/>
    <w:rsid w:val="004A10C6"/>
    <w:rsid w:val="004B34BD"/>
    <w:rsid w:val="004B68C2"/>
    <w:rsid w:val="004D62B3"/>
    <w:rsid w:val="004E31B0"/>
    <w:rsid w:val="004E45AC"/>
    <w:rsid w:val="004F1021"/>
    <w:rsid w:val="004F3E73"/>
    <w:rsid w:val="004F77BF"/>
    <w:rsid w:val="005053D5"/>
    <w:rsid w:val="005067F2"/>
    <w:rsid w:val="00507276"/>
    <w:rsid w:val="0052668D"/>
    <w:rsid w:val="0053026F"/>
    <w:rsid w:val="005318DB"/>
    <w:rsid w:val="00535CD4"/>
    <w:rsid w:val="00542FFD"/>
    <w:rsid w:val="005454B2"/>
    <w:rsid w:val="00547064"/>
    <w:rsid w:val="0056124D"/>
    <w:rsid w:val="0059272D"/>
    <w:rsid w:val="00593EB7"/>
    <w:rsid w:val="005E50DD"/>
    <w:rsid w:val="00607971"/>
    <w:rsid w:val="00611DB9"/>
    <w:rsid w:val="00612615"/>
    <w:rsid w:val="00616063"/>
    <w:rsid w:val="00622442"/>
    <w:rsid w:val="00626A92"/>
    <w:rsid w:val="006406C8"/>
    <w:rsid w:val="00641A1B"/>
    <w:rsid w:val="00647A9F"/>
    <w:rsid w:val="00651B9C"/>
    <w:rsid w:val="00656918"/>
    <w:rsid w:val="00671252"/>
    <w:rsid w:val="00671B17"/>
    <w:rsid w:val="006818D1"/>
    <w:rsid w:val="00684C19"/>
    <w:rsid w:val="00692398"/>
    <w:rsid w:val="00695C17"/>
    <w:rsid w:val="006C4A8E"/>
    <w:rsid w:val="006E2BE2"/>
    <w:rsid w:val="006E3BB0"/>
    <w:rsid w:val="006F336E"/>
    <w:rsid w:val="006F4813"/>
    <w:rsid w:val="007158CD"/>
    <w:rsid w:val="00716680"/>
    <w:rsid w:val="0072189E"/>
    <w:rsid w:val="00724979"/>
    <w:rsid w:val="0074019E"/>
    <w:rsid w:val="00741732"/>
    <w:rsid w:val="007577BB"/>
    <w:rsid w:val="0076458D"/>
    <w:rsid w:val="007859C1"/>
    <w:rsid w:val="007937A2"/>
    <w:rsid w:val="007A292B"/>
    <w:rsid w:val="007A57F3"/>
    <w:rsid w:val="007A5AA1"/>
    <w:rsid w:val="007B4B71"/>
    <w:rsid w:val="007C6415"/>
    <w:rsid w:val="007C781B"/>
    <w:rsid w:val="007D568D"/>
    <w:rsid w:val="007D57ED"/>
    <w:rsid w:val="007D7399"/>
    <w:rsid w:val="0081555F"/>
    <w:rsid w:val="00827EE7"/>
    <w:rsid w:val="00830742"/>
    <w:rsid w:val="00851162"/>
    <w:rsid w:val="008513BA"/>
    <w:rsid w:val="008526D9"/>
    <w:rsid w:val="00871DC3"/>
    <w:rsid w:val="0089117B"/>
    <w:rsid w:val="0089463E"/>
    <w:rsid w:val="008A209E"/>
    <w:rsid w:val="008B2B8D"/>
    <w:rsid w:val="008B44D0"/>
    <w:rsid w:val="008B7857"/>
    <w:rsid w:val="008D0108"/>
    <w:rsid w:val="008D0D8A"/>
    <w:rsid w:val="008D54CC"/>
    <w:rsid w:val="008E4DF3"/>
    <w:rsid w:val="008E72F0"/>
    <w:rsid w:val="008F1561"/>
    <w:rsid w:val="0090220C"/>
    <w:rsid w:val="0091566A"/>
    <w:rsid w:val="00935526"/>
    <w:rsid w:val="009368F7"/>
    <w:rsid w:val="009548E9"/>
    <w:rsid w:val="00956965"/>
    <w:rsid w:val="00956AEF"/>
    <w:rsid w:val="00966B79"/>
    <w:rsid w:val="00974113"/>
    <w:rsid w:val="00974380"/>
    <w:rsid w:val="0097532D"/>
    <w:rsid w:val="00975B99"/>
    <w:rsid w:val="0098188B"/>
    <w:rsid w:val="0099093B"/>
    <w:rsid w:val="009A2BDC"/>
    <w:rsid w:val="009A75E8"/>
    <w:rsid w:val="009C0987"/>
    <w:rsid w:val="009E46D8"/>
    <w:rsid w:val="009E5EC9"/>
    <w:rsid w:val="00A02B20"/>
    <w:rsid w:val="00A041CB"/>
    <w:rsid w:val="00A067E1"/>
    <w:rsid w:val="00A11214"/>
    <w:rsid w:val="00A259D7"/>
    <w:rsid w:val="00A351DF"/>
    <w:rsid w:val="00A358D7"/>
    <w:rsid w:val="00A421AE"/>
    <w:rsid w:val="00A45444"/>
    <w:rsid w:val="00A46CEA"/>
    <w:rsid w:val="00A475E9"/>
    <w:rsid w:val="00A55B09"/>
    <w:rsid w:val="00A61908"/>
    <w:rsid w:val="00A708F2"/>
    <w:rsid w:val="00A7268E"/>
    <w:rsid w:val="00A7505B"/>
    <w:rsid w:val="00A7678A"/>
    <w:rsid w:val="00A85E4A"/>
    <w:rsid w:val="00A903B7"/>
    <w:rsid w:val="00A95D43"/>
    <w:rsid w:val="00AA2D64"/>
    <w:rsid w:val="00AB2A37"/>
    <w:rsid w:val="00AB3DE6"/>
    <w:rsid w:val="00AB5594"/>
    <w:rsid w:val="00AD15C7"/>
    <w:rsid w:val="00AD331C"/>
    <w:rsid w:val="00B26007"/>
    <w:rsid w:val="00B348C1"/>
    <w:rsid w:val="00B46E69"/>
    <w:rsid w:val="00B51A1F"/>
    <w:rsid w:val="00B5574F"/>
    <w:rsid w:val="00B62F1F"/>
    <w:rsid w:val="00B76ED1"/>
    <w:rsid w:val="00B957BD"/>
    <w:rsid w:val="00BA7111"/>
    <w:rsid w:val="00BA73E8"/>
    <w:rsid w:val="00BD3D6C"/>
    <w:rsid w:val="00BE0C42"/>
    <w:rsid w:val="00BE482E"/>
    <w:rsid w:val="00BE6E11"/>
    <w:rsid w:val="00BE7B56"/>
    <w:rsid w:val="00C060EA"/>
    <w:rsid w:val="00C33D57"/>
    <w:rsid w:val="00C35422"/>
    <w:rsid w:val="00C35B7E"/>
    <w:rsid w:val="00C461EF"/>
    <w:rsid w:val="00C672EE"/>
    <w:rsid w:val="00C67716"/>
    <w:rsid w:val="00C70717"/>
    <w:rsid w:val="00C73FA6"/>
    <w:rsid w:val="00C91062"/>
    <w:rsid w:val="00C978AA"/>
    <w:rsid w:val="00CA2B8B"/>
    <w:rsid w:val="00CB38D7"/>
    <w:rsid w:val="00CD0185"/>
    <w:rsid w:val="00CD1F7C"/>
    <w:rsid w:val="00CE441C"/>
    <w:rsid w:val="00CE4DE6"/>
    <w:rsid w:val="00D23E09"/>
    <w:rsid w:val="00D246A3"/>
    <w:rsid w:val="00D307FD"/>
    <w:rsid w:val="00D4618A"/>
    <w:rsid w:val="00D62326"/>
    <w:rsid w:val="00D723AE"/>
    <w:rsid w:val="00D76031"/>
    <w:rsid w:val="00D801E1"/>
    <w:rsid w:val="00D828A9"/>
    <w:rsid w:val="00D83532"/>
    <w:rsid w:val="00D9142E"/>
    <w:rsid w:val="00D91C88"/>
    <w:rsid w:val="00D94088"/>
    <w:rsid w:val="00D94A06"/>
    <w:rsid w:val="00D96927"/>
    <w:rsid w:val="00DA7D2B"/>
    <w:rsid w:val="00DC5F85"/>
    <w:rsid w:val="00DD6150"/>
    <w:rsid w:val="00E048F7"/>
    <w:rsid w:val="00E10361"/>
    <w:rsid w:val="00E1725C"/>
    <w:rsid w:val="00E20F10"/>
    <w:rsid w:val="00E236CF"/>
    <w:rsid w:val="00E306DD"/>
    <w:rsid w:val="00E40374"/>
    <w:rsid w:val="00E428DF"/>
    <w:rsid w:val="00E45AA2"/>
    <w:rsid w:val="00E575C9"/>
    <w:rsid w:val="00E64466"/>
    <w:rsid w:val="00E74E2F"/>
    <w:rsid w:val="00E758BD"/>
    <w:rsid w:val="00E9779C"/>
    <w:rsid w:val="00EA2752"/>
    <w:rsid w:val="00EA6C5D"/>
    <w:rsid w:val="00EB74AF"/>
    <w:rsid w:val="00EC6F68"/>
    <w:rsid w:val="00ED6DF4"/>
    <w:rsid w:val="00EE2A6B"/>
    <w:rsid w:val="00EE612E"/>
    <w:rsid w:val="00EF0F2E"/>
    <w:rsid w:val="00F0557D"/>
    <w:rsid w:val="00F12218"/>
    <w:rsid w:val="00F1519F"/>
    <w:rsid w:val="00F159D8"/>
    <w:rsid w:val="00F2707E"/>
    <w:rsid w:val="00F3239E"/>
    <w:rsid w:val="00F340F1"/>
    <w:rsid w:val="00F433C5"/>
    <w:rsid w:val="00F4382E"/>
    <w:rsid w:val="00F501C6"/>
    <w:rsid w:val="00F55A92"/>
    <w:rsid w:val="00F662A8"/>
    <w:rsid w:val="00F712B0"/>
    <w:rsid w:val="00F77D79"/>
    <w:rsid w:val="00F8463A"/>
    <w:rsid w:val="00F8627C"/>
    <w:rsid w:val="00F95A5B"/>
    <w:rsid w:val="00FB0924"/>
    <w:rsid w:val="00FC459B"/>
    <w:rsid w:val="00FC6EF9"/>
    <w:rsid w:val="00FE045E"/>
    <w:rsid w:val="00FF6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D52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A2D64"/>
    <w:pPr>
      <w:keepNext/>
      <w:spacing w:after="0" w:line="240" w:lineRule="auto"/>
      <w:jc w:val="both"/>
      <w:outlineLvl w:val="0"/>
    </w:pPr>
    <w:rPr>
      <w:rFonts w:ascii="Times New Roman" w:eastAsia="Times New Roman" w:hAnsi="Times New Roman" w:cs="Traditional Arabic"/>
      <w:b/>
      <w:bCs/>
      <w:noProo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58D7"/>
    <w:rPr>
      <w:color w:val="0000FF"/>
      <w:u w:val="single"/>
    </w:rPr>
  </w:style>
  <w:style w:type="paragraph" w:styleId="FootnoteText">
    <w:name w:val="footnote text"/>
    <w:basedOn w:val="Normal"/>
    <w:link w:val="FootnoteTextChar"/>
    <w:unhideWhenUsed/>
    <w:rsid w:val="001A1772"/>
    <w:rPr>
      <w:sz w:val="20"/>
      <w:szCs w:val="20"/>
    </w:rPr>
  </w:style>
  <w:style w:type="character" w:customStyle="1" w:styleId="FootnoteTextChar">
    <w:name w:val="Footnote Text Char"/>
    <w:basedOn w:val="DefaultParagraphFont"/>
    <w:link w:val="FootnoteText"/>
    <w:rsid w:val="001A1772"/>
  </w:style>
  <w:style w:type="character" w:styleId="FootnoteReference">
    <w:name w:val="footnote reference"/>
    <w:unhideWhenUsed/>
    <w:rsid w:val="001A1772"/>
    <w:rPr>
      <w:vertAlign w:val="superscript"/>
    </w:rPr>
  </w:style>
  <w:style w:type="paragraph" w:styleId="BalloonText">
    <w:name w:val="Balloon Text"/>
    <w:basedOn w:val="Normal"/>
    <w:link w:val="BalloonTextChar"/>
    <w:uiPriority w:val="99"/>
    <w:semiHidden/>
    <w:unhideWhenUsed/>
    <w:rsid w:val="008A20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209E"/>
    <w:rPr>
      <w:rFonts w:ascii="Tahoma" w:hAnsi="Tahoma" w:cs="Tahoma"/>
      <w:sz w:val="16"/>
      <w:szCs w:val="16"/>
    </w:rPr>
  </w:style>
  <w:style w:type="character" w:customStyle="1" w:styleId="Heading1Char">
    <w:name w:val="Heading 1 Char"/>
    <w:link w:val="Heading1"/>
    <w:rsid w:val="00AA2D64"/>
    <w:rPr>
      <w:rFonts w:ascii="Times New Roman" w:eastAsia="Times New Roman" w:hAnsi="Times New Roman" w:cs="Traditional Arabic"/>
      <w:b/>
      <w:bCs/>
      <w:noProof/>
      <w:sz w:val="24"/>
      <w:szCs w:val="28"/>
    </w:rPr>
  </w:style>
  <w:style w:type="paragraph" w:styleId="Header">
    <w:name w:val="header"/>
    <w:basedOn w:val="Normal"/>
    <w:link w:val="HeaderChar"/>
    <w:uiPriority w:val="99"/>
    <w:unhideWhenUsed/>
    <w:rsid w:val="002F59F5"/>
    <w:pPr>
      <w:tabs>
        <w:tab w:val="center" w:pos="4680"/>
        <w:tab w:val="right" w:pos="9360"/>
      </w:tabs>
    </w:pPr>
  </w:style>
  <w:style w:type="character" w:customStyle="1" w:styleId="HeaderChar">
    <w:name w:val="Header Char"/>
    <w:link w:val="Header"/>
    <w:uiPriority w:val="99"/>
    <w:rsid w:val="002F59F5"/>
    <w:rPr>
      <w:sz w:val="22"/>
      <w:szCs w:val="22"/>
    </w:rPr>
  </w:style>
  <w:style w:type="paragraph" w:styleId="Footer">
    <w:name w:val="footer"/>
    <w:basedOn w:val="Normal"/>
    <w:link w:val="FooterChar"/>
    <w:uiPriority w:val="99"/>
    <w:unhideWhenUsed/>
    <w:rsid w:val="002F59F5"/>
    <w:pPr>
      <w:tabs>
        <w:tab w:val="center" w:pos="4680"/>
        <w:tab w:val="right" w:pos="9360"/>
      </w:tabs>
    </w:pPr>
  </w:style>
  <w:style w:type="character" w:customStyle="1" w:styleId="FooterChar">
    <w:name w:val="Footer Char"/>
    <w:link w:val="Footer"/>
    <w:uiPriority w:val="99"/>
    <w:rsid w:val="002F59F5"/>
    <w:rPr>
      <w:sz w:val="22"/>
      <w:szCs w:val="22"/>
    </w:rPr>
  </w:style>
  <w:style w:type="table" w:styleId="TableGrid">
    <w:name w:val="Table Grid"/>
    <w:basedOn w:val="TableNormal"/>
    <w:uiPriority w:val="59"/>
    <w:rsid w:val="00A42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ntenseQuote1">
    <w:name w:val="Intense Quote1"/>
    <w:basedOn w:val="TableNormal"/>
    <w:uiPriority w:val="60"/>
    <w:qFormat/>
    <w:rsid w:val="0074173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5">
    <w:name w:val="Medium Grid 3 Accent 5"/>
    <w:basedOn w:val="TableNormal"/>
    <w:uiPriority w:val="60"/>
    <w:rsid w:val="00EC6F6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EndnoteText">
    <w:name w:val="endnote text"/>
    <w:basedOn w:val="Normal"/>
    <w:link w:val="EndnoteTextChar"/>
    <w:uiPriority w:val="99"/>
    <w:semiHidden/>
    <w:unhideWhenUsed/>
    <w:rsid w:val="00C73FA6"/>
    <w:rPr>
      <w:sz w:val="20"/>
      <w:szCs w:val="20"/>
    </w:rPr>
  </w:style>
  <w:style w:type="character" w:customStyle="1" w:styleId="EndnoteTextChar">
    <w:name w:val="Endnote Text Char"/>
    <w:basedOn w:val="DefaultParagraphFont"/>
    <w:link w:val="EndnoteText"/>
    <w:uiPriority w:val="99"/>
    <w:semiHidden/>
    <w:rsid w:val="00C73FA6"/>
  </w:style>
  <w:style w:type="character" w:styleId="EndnoteReference">
    <w:name w:val="endnote reference"/>
    <w:uiPriority w:val="99"/>
    <w:semiHidden/>
    <w:unhideWhenUsed/>
    <w:rsid w:val="00C73FA6"/>
    <w:rPr>
      <w:vertAlign w:val="superscript"/>
    </w:rPr>
  </w:style>
  <w:style w:type="table" w:styleId="MediumGrid3">
    <w:name w:val="Medium Grid 3"/>
    <w:basedOn w:val="TableNormal"/>
    <w:uiPriority w:val="60"/>
    <w:rsid w:val="0017489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2-Accent6">
    <w:name w:val="Medium Grid 2 Accent 6"/>
    <w:basedOn w:val="TableNormal"/>
    <w:uiPriority w:val="73"/>
    <w:rsid w:val="0017489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MediumGrid2-Accent2">
    <w:name w:val="Medium Grid 2 Accent 2"/>
    <w:basedOn w:val="TableNormal"/>
    <w:uiPriority w:val="73"/>
    <w:rsid w:val="0017489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odyText">
    <w:name w:val="Body Text"/>
    <w:basedOn w:val="Normal"/>
    <w:link w:val="BodyTextChar"/>
    <w:rsid w:val="00C33D57"/>
    <w:pPr>
      <w:spacing w:after="0" w:line="240" w:lineRule="auto"/>
    </w:pPr>
    <w:rPr>
      <w:rFonts w:ascii="Times New Roman" w:eastAsia="Times New Roman" w:hAnsi="Times New Roman"/>
      <w:sz w:val="20"/>
      <w:szCs w:val="24"/>
    </w:rPr>
  </w:style>
  <w:style w:type="character" w:customStyle="1" w:styleId="BodyTextChar">
    <w:name w:val="Body Text Char"/>
    <w:link w:val="BodyText"/>
    <w:rsid w:val="00C33D57"/>
    <w:rPr>
      <w:rFonts w:ascii="Times New Roman" w:eastAsia="Times New Roman" w:hAnsi="Times New Roman"/>
      <w:szCs w:val="24"/>
    </w:rPr>
  </w:style>
  <w:style w:type="table" w:styleId="MediumShading2-Accent6">
    <w:name w:val="Medium Shading 2 Accent 6"/>
    <w:basedOn w:val="TableNormal"/>
    <w:uiPriority w:val="69"/>
    <w:rsid w:val="000A689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A2D64"/>
    <w:pPr>
      <w:keepNext/>
      <w:spacing w:after="0" w:line="240" w:lineRule="auto"/>
      <w:jc w:val="both"/>
      <w:outlineLvl w:val="0"/>
    </w:pPr>
    <w:rPr>
      <w:rFonts w:ascii="Times New Roman" w:eastAsia="Times New Roman" w:hAnsi="Times New Roman" w:cs="Traditional Arabic"/>
      <w:b/>
      <w:bCs/>
      <w:noProo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58D7"/>
    <w:rPr>
      <w:color w:val="0000FF"/>
      <w:u w:val="single"/>
    </w:rPr>
  </w:style>
  <w:style w:type="paragraph" w:styleId="FootnoteText">
    <w:name w:val="footnote text"/>
    <w:basedOn w:val="Normal"/>
    <w:link w:val="FootnoteTextChar"/>
    <w:unhideWhenUsed/>
    <w:rsid w:val="001A1772"/>
    <w:rPr>
      <w:sz w:val="20"/>
      <w:szCs w:val="20"/>
    </w:rPr>
  </w:style>
  <w:style w:type="character" w:customStyle="1" w:styleId="FootnoteTextChar">
    <w:name w:val="Footnote Text Char"/>
    <w:basedOn w:val="DefaultParagraphFont"/>
    <w:link w:val="FootnoteText"/>
    <w:rsid w:val="001A1772"/>
  </w:style>
  <w:style w:type="character" w:styleId="FootnoteReference">
    <w:name w:val="footnote reference"/>
    <w:unhideWhenUsed/>
    <w:rsid w:val="001A1772"/>
    <w:rPr>
      <w:vertAlign w:val="superscript"/>
    </w:rPr>
  </w:style>
  <w:style w:type="paragraph" w:styleId="BalloonText">
    <w:name w:val="Balloon Text"/>
    <w:basedOn w:val="Normal"/>
    <w:link w:val="BalloonTextChar"/>
    <w:uiPriority w:val="99"/>
    <w:semiHidden/>
    <w:unhideWhenUsed/>
    <w:rsid w:val="008A20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209E"/>
    <w:rPr>
      <w:rFonts w:ascii="Tahoma" w:hAnsi="Tahoma" w:cs="Tahoma"/>
      <w:sz w:val="16"/>
      <w:szCs w:val="16"/>
    </w:rPr>
  </w:style>
  <w:style w:type="character" w:customStyle="1" w:styleId="Heading1Char">
    <w:name w:val="Heading 1 Char"/>
    <w:link w:val="Heading1"/>
    <w:rsid w:val="00AA2D64"/>
    <w:rPr>
      <w:rFonts w:ascii="Times New Roman" w:eastAsia="Times New Roman" w:hAnsi="Times New Roman" w:cs="Traditional Arabic"/>
      <w:b/>
      <w:bCs/>
      <w:noProof/>
      <w:sz w:val="24"/>
      <w:szCs w:val="28"/>
    </w:rPr>
  </w:style>
  <w:style w:type="paragraph" w:styleId="Header">
    <w:name w:val="header"/>
    <w:basedOn w:val="Normal"/>
    <w:link w:val="HeaderChar"/>
    <w:uiPriority w:val="99"/>
    <w:unhideWhenUsed/>
    <w:rsid w:val="002F59F5"/>
    <w:pPr>
      <w:tabs>
        <w:tab w:val="center" w:pos="4680"/>
        <w:tab w:val="right" w:pos="9360"/>
      </w:tabs>
    </w:pPr>
  </w:style>
  <w:style w:type="character" w:customStyle="1" w:styleId="HeaderChar">
    <w:name w:val="Header Char"/>
    <w:link w:val="Header"/>
    <w:uiPriority w:val="99"/>
    <w:rsid w:val="002F59F5"/>
    <w:rPr>
      <w:sz w:val="22"/>
      <w:szCs w:val="22"/>
    </w:rPr>
  </w:style>
  <w:style w:type="paragraph" w:styleId="Footer">
    <w:name w:val="footer"/>
    <w:basedOn w:val="Normal"/>
    <w:link w:val="FooterChar"/>
    <w:uiPriority w:val="99"/>
    <w:unhideWhenUsed/>
    <w:rsid w:val="002F59F5"/>
    <w:pPr>
      <w:tabs>
        <w:tab w:val="center" w:pos="4680"/>
        <w:tab w:val="right" w:pos="9360"/>
      </w:tabs>
    </w:pPr>
  </w:style>
  <w:style w:type="character" w:customStyle="1" w:styleId="FooterChar">
    <w:name w:val="Footer Char"/>
    <w:link w:val="Footer"/>
    <w:uiPriority w:val="99"/>
    <w:rsid w:val="002F59F5"/>
    <w:rPr>
      <w:sz w:val="22"/>
      <w:szCs w:val="22"/>
    </w:rPr>
  </w:style>
  <w:style w:type="table" w:styleId="TableGrid">
    <w:name w:val="Table Grid"/>
    <w:basedOn w:val="TableNormal"/>
    <w:uiPriority w:val="59"/>
    <w:rsid w:val="00A42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ntenseQuote1">
    <w:name w:val="Intense Quote1"/>
    <w:basedOn w:val="TableNormal"/>
    <w:uiPriority w:val="60"/>
    <w:qFormat/>
    <w:rsid w:val="0074173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5">
    <w:name w:val="Medium Grid 3 Accent 5"/>
    <w:basedOn w:val="TableNormal"/>
    <w:uiPriority w:val="60"/>
    <w:rsid w:val="00EC6F6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EndnoteText">
    <w:name w:val="endnote text"/>
    <w:basedOn w:val="Normal"/>
    <w:link w:val="EndnoteTextChar"/>
    <w:uiPriority w:val="99"/>
    <w:semiHidden/>
    <w:unhideWhenUsed/>
    <w:rsid w:val="00C73FA6"/>
    <w:rPr>
      <w:sz w:val="20"/>
      <w:szCs w:val="20"/>
    </w:rPr>
  </w:style>
  <w:style w:type="character" w:customStyle="1" w:styleId="EndnoteTextChar">
    <w:name w:val="Endnote Text Char"/>
    <w:basedOn w:val="DefaultParagraphFont"/>
    <w:link w:val="EndnoteText"/>
    <w:uiPriority w:val="99"/>
    <w:semiHidden/>
    <w:rsid w:val="00C73FA6"/>
  </w:style>
  <w:style w:type="character" w:styleId="EndnoteReference">
    <w:name w:val="endnote reference"/>
    <w:uiPriority w:val="99"/>
    <w:semiHidden/>
    <w:unhideWhenUsed/>
    <w:rsid w:val="00C73FA6"/>
    <w:rPr>
      <w:vertAlign w:val="superscript"/>
    </w:rPr>
  </w:style>
  <w:style w:type="table" w:styleId="MediumGrid3">
    <w:name w:val="Medium Grid 3"/>
    <w:basedOn w:val="TableNormal"/>
    <w:uiPriority w:val="60"/>
    <w:rsid w:val="0017489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2-Accent6">
    <w:name w:val="Medium Grid 2 Accent 6"/>
    <w:basedOn w:val="TableNormal"/>
    <w:uiPriority w:val="73"/>
    <w:rsid w:val="0017489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MediumGrid2-Accent2">
    <w:name w:val="Medium Grid 2 Accent 2"/>
    <w:basedOn w:val="TableNormal"/>
    <w:uiPriority w:val="73"/>
    <w:rsid w:val="0017489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odyText">
    <w:name w:val="Body Text"/>
    <w:basedOn w:val="Normal"/>
    <w:link w:val="BodyTextChar"/>
    <w:rsid w:val="00C33D57"/>
    <w:pPr>
      <w:spacing w:after="0" w:line="240" w:lineRule="auto"/>
    </w:pPr>
    <w:rPr>
      <w:rFonts w:ascii="Times New Roman" w:eastAsia="Times New Roman" w:hAnsi="Times New Roman"/>
      <w:sz w:val="20"/>
      <w:szCs w:val="24"/>
    </w:rPr>
  </w:style>
  <w:style w:type="character" w:customStyle="1" w:styleId="BodyTextChar">
    <w:name w:val="Body Text Char"/>
    <w:link w:val="BodyText"/>
    <w:rsid w:val="00C33D57"/>
    <w:rPr>
      <w:rFonts w:ascii="Times New Roman" w:eastAsia="Times New Roman" w:hAnsi="Times New Roman"/>
      <w:szCs w:val="24"/>
    </w:rPr>
  </w:style>
  <w:style w:type="table" w:styleId="MediumShading2-Accent6">
    <w:name w:val="Medium Shading 2 Accent 6"/>
    <w:basedOn w:val="TableNormal"/>
    <w:uiPriority w:val="69"/>
    <w:rsid w:val="000A689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5164">
      <w:bodyDiv w:val="1"/>
      <w:marLeft w:val="0"/>
      <w:marRight w:val="0"/>
      <w:marTop w:val="0"/>
      <w:marBottom w:val="0"/>
      <w:divBdr>
        <w:top w:val="none" w:sz="0" w:space="0" w:color="auto"/>
        <w:left w:val="none" w:sz="0" w:space="0" w:color="auto"/>
        <w:bottom w:val="none" w:sz="0" w:space="0" w:color="auto"/>
        <w:right w:val="none" w:sz="0" w:space="0" w:color="auto"/>
      </w:divBdr>
    </w:div>
    <w:div w:id="302740482">
      <w:bodyDiv w:val="1"/>
      <w:marLeft w:val="0"/>
      <w:marRight w:val="0"/>
      <w:marTop w:val="0"/>
      <w:marBottom w:val="0"/>
      <w:divBdr>
        <w:top w:val="none" w:sz="0" w:space="0" w:color="auto"/>
        <w:left w:val="none" w:sz="0" w:space="0" w:color="auto"/>
        <w:bottom w:val="none" w:sz="0" w:space="0" w:color="auto"/>
        <w:right w:val="none" w:sz="0" w:space="0" w:color="auto"/>
      </w:divBdr>
    </w:div>
    <w:div w:id="415826794">
      <w:bodyDiv w:val="1"/>
      <w:marLeft w:val="0"/>
      <w:marRight w:val="0"/>
      <w:marTop w:val="0"/>
      <w:marBottom w:val="0"/>
      <w:divBdr>
        <w:top w:val="none" w:sz="0" w:space="0" w:color="auto"/>
        <w:left w:val="none" w:sz="0" w:space="0" w:color="auto"/>
        <w:bottom w:val="none" w:sz="0" w:space="0" w:color="auto"/>
        <w:right w:val="none" w:sz="0" w:space="0" w:color="auto"/>
      </w:divBdr>
    </w:div>
    <w:div w:id="538010063">
      <w:bodyDiv w:val="1"/>
      <w:marLeft w:val="0"/>
      <w:marRight w:val="0"/>
      <w:marTop w:val="0"/>
      <w:marBottom w:val="0"/>
      <w:divBdr>
        <w:top w:val="none" w:sz="0" w:space="0" w:color="auto"/>
        <w:left w:val="none" w:sz="0" w:space="0" w:color="auto"/>
        <w:bottom w:val="none" w:sz="0" w:space="0" w:color="auto"/>
        <w:right w:val="none" w:sz="0" w:space="0" w:color="auto"/>
      </w:divBdr>
    </w:div>
    <w:div w:id="1164206860">
      <w:bodyDiv w:val="1"/>
      <w:marLeft w:val="0"/>
      <w:marRight w:val="0"/>
      <w:marTop w:val="0"/>
      <w:marBottom w:val="0"/>
      <w:divBdr>
        <w:top w:val="none" w:sz="0" w:space="0" w:color="auto"/>
        <w:left w:val="none" w:sz="0" w:space="0" w:color="auto"/>
        <w:bottom w:val="none" w:sz="0" w:space="0" w:color="auto"/>
        <w:right w:val="none" w:sz="0" w:space="0" w:color="auto"/>
      </w:divBdr>
    </w:div>
    <w:div w:id="1186675171">
      <w:bodyDiv w:val="1"/>
      <w:marLeft w:val="0"/>
      <w:marRight w:val="0"/>
      <w:marTop w:val="0"/>
      <w:marBottom w:val="0"/>
      <w:divBdr>
        <w:top w:val="none" w:sz="0" w:space="0" w:color="auto"/>
        <w:left w:val="none" w:sz="0" w:space="0" w:color="auto"/>
        <w:bottom w:val="none" w:sz="0" w:space="0" w:color="auto"/>
        <w:right w:val="none" w:sz="0" w:space="0" w:color="auto"/>
      </w:divBdr>
    </w:div>
    <w:div w:id="1743526873">
      <w:bodyDiv w:val="1"/>
      <w:marLeft w:val="0"/>
      <w:marRight w:val="0"/>
      <w:marTop w:val="0"/>
      <w:marBottom w:val="0"/>
      <w:divBdr>
        <w:top w:val="none" w:sz="0" w:space="0" w:color="auto"/>
        <w:left w:val="none" w:sz="0" w:space="0" w:color="auto"/>
        <w:bottom w:val="none" w:sz="0" w:space="0" w:color="auto"/>
        <w:right w:val="none" w:sz="0" w:space="0" w:color="auto"/>
      </w:divBdr>
    </w:div>
    <w:div w:id="1809400823">
      <w:bodyDiv w:val="1"/>
      <w:marLeft w:val="0"/>
      <w:marRight w:val="0"/>
      <w:marTop w:val="0"/>
      <w:marBottom w:val="0"/>
      <w:divBdr>
        <w:top w:val="none" w:sz="0" w:space="0" w:color="auto"/>
        <w:left w:val="none" w:sz="0" w:space="0" w:color="auto"/>
        <w:bottom w:val="none" w:sz="0" w:space="0" w:color="auto"/>
        <w:right w:val="none" w:sz="0" w:space="0" w:color="auto"/>
      </w:divBdr>
    </w:div>
    <w:div w:id="1867331064">
      <w:bodyDiv w:val="1"/>
      <w:marLeft w:val="0"/>
      <w:marRight w:val="0"/>
      <w:marTop w:val="0"/>
      <w:marBottom w:val="0"/>
      <w:divBdr>
        <w:top w:val="none" w:sz="0" w:space="0" w:color="auto"/>
        <w:left w:val="none" w:sz="0" w:space="0" w:color="auto"/>
        <w:bottom w:val="none" w:sz="0" w:space="0" w:color="auto"/>
        <w:right w:val="none" w:sz="0" w:space="0" w:color="auto"/>
      </w:divBdr>
    </w:div>
    <w:div w:id="1882588302">
      <w:bodyDiv w:val="1"/>
      <w:marLeft w:val="0"/>
      <w:marRight w:val="0"/>
      <w:marTop w:val="0"/>
      <w:marBottom w:val="0"/>
      <w:divBdr>
        <w:top w:val="none" w:sz="0" w:space="0" w:color="auto"/>
        <w:left w:val="none" w:sz="0" w:space="0" w:color="auto"/>
        <w:bottom w:val="none" w:sz="0" w:space="0" w:color="auto"/>
        <w:right w:val="none" w:sz="0" w:space="0" w:color="auto"/>
      </w:divBdr>
    </w:div>
    <w:div w:id="2011366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1.wmf"/><Relationship Id="rId11" Type="http://schemas.openxmlformats.org/officeDocument/2006/relationships/oleObject" Target="embeddings/Microsoft_Equation1.bin"/><Relationship Id="rId12" Type="http://schemas.openxmlformats.org/officeDocument/2006/relationships/image" Target="media/image2.wmf"/><Relationship Id="rId13" Type="http://schemas.openxmlformats.org/officeDocument/2006/relationships/oleObject" Target="embeddings/Microsoft_Equation2.bin"/><Relationship Id="rId14" Type="http://schemas.openxmlformats.org/officeDocument/2006/relationships/hyperlink" Target="http://www.bis.org/publ/bcbs04a.pdf" TargetMode="External"/><Relationship Id="rId15" Type="http://schemas.openxmlformats.org/officeDocument/2006/relationships/hyperlink" Target="http://www.bis.org/publ/bcbs118.pdf" TargetMode="External"/><Relationship Id="rId16" Type="http://schemas.openxmlformats.org/officeDocument/2006/relationships/hyperlink" Target="http://www.bis.org/publ/bcbs0128.pdf" TargetMode="External"/><Relationship Id="rId17" Type="http://schemas.openxmlformats.org/officeDocument/2006/relationships/hyperlink" Target="http://www.docstoc.com/docs/94924334/Bank-Disclosure-Index" TargetMode="External"/><Relationship Id="rId18" Type="http://schemas.openxmlformats.org/officeDocument/2006/relationships/hyperlink" Target="http://www.allbankingsolutions.com/Banking-Tutor/Basel-iii-Accord-Basel-3-Norms.shtml" TargetMode="External"/><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7E0CB-9EB3-A445-A8A5-004A9C36D8C1}">
  <ds:schemaRefs>
    <ds:schemaRef ds:uri="http://schemas.openxmlformats.org/officeDocument/2006/bibliography"/>
  </ds:schemaRefs>
</ds:datastoreItem>
</file>

<file path=customXml/itemProps2.xml><?xml version="1.0" encoding="utf-8"?>
<ds:datastoreItem xmlns:ds="http://schemas.openxmlformats.org/officeDocument/2006/customXml" ds:itemID="{2CA47437-7462-3743-94FA-8776C360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5472</Words>
  <Characters>31191</Characters>
  <Application>Microsoft Macintosh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Toyota Financial Services</Company>
  <LinksUpToDate>false</LinksUpToDate>
  <CharactersWithSpaces>36590</CharactersWithSpaces>
  <SharedDoc>false</SharedDoc>
  <HLinks>
    <vt:vector size="30" baseType="variant">
      <vt:variant>
        <vt:i4>3997743</vt:i4>
      </vt:variant>
      <vt:variant>
        <vt:i4>15</vt:i4>
      </vt:variant>
      <vt:variant>
        <vt:i4>0</vt:i4>
      </vt:variant>
      <vt:variant>
        <vt:i4>5</vt:i4>
      </vt:variant>
      <vt:variant>
        <vt:lpwstr>http://www.docstoc.com/docs/94924334/Bank-Disclosure-Index</vt:lpwstr>
      </vt:variant>
      <vt:variant>
        <vt:lpwstr/>
      </vt:variant>
      <vt:variant>
        <vt:i4>27</vt:i4>
      </vt:variant>
      <vt:variant>
        <vt:i4>12</vt:i4>
      </vt:variant>
      <vt:variant>
        <vt:i4>0</vt:i4>
      </vt:variant>
      <vt:variant>
        <vt:i4>5</vt:i4>
      </vt:variant>
      <vt:variant>
        <vt:lpwstr>http://www.bis.org/publ/bcbs0128.pdf</vt:lpwstr>
      </vt:variant>
      <vt:variant>
        <vt:lpwstr/>
      </vt:variant>
      <vt:variant>
        <vt:i4>6553642</vt:i4>
      </vt:variant>
      <vt:variant>
        <vt:i4>9</vt:i4>
      </vt:variant>
      <vt:variant>
        <vt:i4>0</vt:i4>
      </vt:variant>
      <vt:variant>
        <vt:i4>5</vt:i4>
      </vt:variant>
      <vt:variant>
        <vt:lpwstr>http://www.bis.org/publ/bcbs118.pdf</vt:lpwstr>
      </vt:variant>
      <vt:variant>
        <vt:lpwstr/>
      </vt:variant>
      <vt:variant>
        <vt:i4>6357106</vt:i4>
      </vt:variant>
      <vt:variant>
        <vt:i4>6</vt:i4>
      </vt:variant>
      <vt:variant>
        <vt:i4>0</vt:i4>
      </vt:variant>
      <vt:variant>
        <vt:i4>5</vt:i4>
      </vt:variant>
      <vt:variant>
        <vt:lpwstr>http://www.bis.org/publ/bcbs04a.pdf</vt:lpwstr>
      </vt:variant>
      <vt:variant>
        <vt:lpwstr/>
      </vt:variant>
      <vt:variant>
        <vt:i4>6684761</vt:i4>
      </vt:variant>
      <vt:variant>
        <vt:i4>0</vt:i4>
      </vt:variant>
      <vt:variant>
        <vt:i4>0</vt:i4>
      </vt:variant>
      <vt:variant>
        <vt:i4>5</vt:i4>
      </vt:variant>
      <vt:variant>
        <vt:lpwstr>mailto:mhaddad@utm.edu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Hakim</dc:creator>
  <cp:lastModifiedBy>mahmoud haddad</cp:lastModifiedBy>
  <cp:revision>2</cp:revision>
  <cp:lastPrinted>2014-05-20T23:56:00Z</cp:lastPrinted>
  <dcterms:created xsi:type="dcterms:W3CDTF">2014-10-14T18:35:00Z</dcterms:created>
  <dcterms:modified xsi:type="dcterms:W3CDTF">2014-10-14T18:35:00Z</dcterms:modified>
</cp:coreProperties>
</file>