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4F" w:rsidRPr="00CF2A9C" w:rsidRDefault="00DC7D4F" w:rsidP="00DC7D4F">
      <w:pPr>
        <w:ind w:left="482"/>
        <w:rPr>
          <w:b/>
          <w:color w:val="000000"/>
          <w:sz w:val="30"/>
          <w:szCs w:val="30"/>
        </w:rPr>
      </w:pPr>
      <w:r w:rsidRPr="00CF2A9C">
        <w:rPr>
          <w:b/>
          <w:color w:val="000000"/>
          <w:sz w:val="30"/>
          <w:szCs w:val="30"/>
        </w:rPr>
        <w:t>M</w:t>
      </w:r>
      <w:r w:rsidR="009D0429">
        <w:rPr>
          <w:b/>
          <w:color w:val="000000"/>
          <w:sz w:val="30"/>
          <w:szCs w:val="30"/>
        </w:rPr>
        <w:t xml:space="preserve">ediating Role </w:t>
      </w:r>
      <w:r w:rsidRPr="00CF2A9C">
        <w:rPr>
          <w:b/>
          <w:color w:val="000000"/>
          <w:sz w:val="30"/>
          <w:szCs w:val="30"/>
        </w:rPr>
        <w:t xml:space="preserve">of </w:t>
      </w:r>
      <w:r w:rsidR="009D0429">
        <w:rPr>
          <w:b/>
          <w:color w:val="000000"/>
          <w:sz w:val="30"/>
          <w:szCs w:val="30"/>
        </w:rPr>
        <w:t xml:space="preserve">Absorptive Capacity </w:t>
      </w:r>
      <w:r w:rsidRPr="00CF2A9C">
        <w:rPr>
          <w:b/>
          <w:color w:val="000000"/>
          <w:sz w:val="30"/>
          <w:szCs w:val="30"/>
        </w:rPr>
        <w:t>on the relationship between Foreign Direct Investment and local Firm’s Performance</w:t>
      </w:r>
    </w:p>
    <w:p w:rsidR="00DC7D4F" w:rsidRPr="009C4D33" w:rsidRDefault="00DC7D4F" w:rsidP="00DC7D4F">
      <w:pPr>
        <w:jc w:val="center"/>
        <w:rPr>
          <w:b/>
          <w:color w:val="000000"/>
          <w:sz w:val="16"/>
          <w:szCs w:val="16"/>
        </w:rPr>
      </w:pPr>
    </w:p>
    <w:p w:rsidR="00DC7D4F" w:rsidRPr="00A360C4" w:rsidRDefault="00DC7D4F" w:rsidP="00DC7D4F">
      <w:pPr>
        <w:jc w:val="center"/>
        <w:rPr>
          <w:color w:val="000000"/>
        </w:rPr>
      </w:pPr>
      <w:r w:rsidRPr="00A360C4">
        <w:rPr>
          <w:color w:val="000000"/>
        </w:rPr>
        <w:t>Wanjere M. D</w:t>
      </w:r>
      <w:r w:rsidRPr="00A360C4">
        <w:rPr>
          <w:color w:val="000000"/>
          <w:vertAlign w:val="superscript"/>
        </w:rPr>
        <w:footnoteReference w:id="1"/>
      </w:r>
      <w:r w:rsidRPr="00A360C4">
        <w:rPr>
          <w:color w:val="000000"/>
        </w:rPr>
        <w:t>, Prof. X.N. Iraki</w:t>
      </w:r>
      <w:r w:rsidR="00D42D29" w:rsidRPr="00A360C4">
        <w:rPr>
          <w:color w:val="000000"/>
          <w:vertAlign w:val="superscript"/>
        </w:rPr>
        <w:footnoteReference w:id="2"/>
      </w:r>
      <w:r w:rsidR="00D42D29">
        <w:rPr>
          <w:color w:val="000000"/>
        </w:rPr>
        <w:t>,</w:t>
      </w:r>
      <w:r w:rsidRPr="00A360C4">
        <w:rPr>
          <w:color w:val="000000"/>
          <w:vertAlign w:val="superscript"/>
        </w:rPr>
        <w:t xml:space="preserve"> </w:t>
      </w:r>
      <w:r w:rsidRPr="00A360C4">
        <w:rPr>
          <w:color w:val="000000"/>
        </w:rPr>
        <w:t>Prof. M. Ogutu</w:t>
      </w:r>
      <w:r w:rsidR="00D42D29" w:rsidRPr="00A360C4">
        <w:rPr>
          <w:color w:val="000000"/>
          <w:vertAlign w:val="superscript"/>
        </w:rPr>
        <w:footnoteReference w:id="3"/>
      </w:r>
      <w:r w:rsidRPr="00A360C4">
        <w:rPr>
          <w:color w:val="000000"/>
        </w:rPr>
        <w:t>,</w:t>
      </w:r>
      <w:r w:rsidR="009D0429" w:rsidRPr="009D0429">
        <w:rPr>
          <w:color w:val="000000"/>
        </w:rPr>
        <w:t xml:space="preserve"> </w:t>
      </w:r>
      <w:r w:rsidR="009D0429" w:rsidRPr="00A360C4">
        <w:rPr>
          <w:color w:val="000000"/>
        </w:rPr>
        <w:t>Prof. M. Kinoti</w:t>
      </w:r>
      <w:r w:rsidR="00D42D29" w:rsidRPr="00A360C4">
        <w:rPr>
          <w:color w:val="000000"/>
          <w:vertAlign w:val="superscript"/>
        </w:rPr>
        <w:footnoteReference w:id="4"/>
      </w:r>
    </w:p>
    <w:p w:rsidR="00DC7D4F" w:rsidRPr="009C4D33" w:rsidRDefault="00DC7D4F" w:rsidP="00DC7D4F">
      <w:pPr>
        <w:autoSpaceDE w:val="0"/>
        <w:autoSpaceDN w:val="0"/>
        <w:jc w:val="center"/>
        <w:textAlignment w:val="bottom"/>
        <w:rPr>
          <w:b/>
          <w:color w:val="000000"/>
          <w:sz w:val="16"/>
          <w:szCs w:val="16"/>
        </w:rPr>
      </w:pPr>
    </w:p>
    <w:p w:rsidR="00DC7D4F" w:rsidRPr="00A360C4" w:rsidRDefault="00DC7D4F" w:rsidP="00DC7D4F">
      <w:pPr>
        <w:autoSpaceDE w:val="0"/>
        <w:autoSpaceDN w:val="0"/>
        <w:jc w:val="center"/>
        <w:textAlignment w:val="bottom"/>
        <w:rPr>
          <w:b/>
          <w:color w:val="000000"/>
          <w:sz w:val="26"/>
          <w:szCs w:val="26"/>
        </w:rPr>
      </w:pPr>
      <w:bookmarkStart w:id="0" w:name="_GoBack"/>
      <w:r w:rsidRPr="00A360C4">
        <w:rPr>
          <w:b/>
          <w:color w:val="000000"/>
          <w:sz w:val="26"/>
          <w:szCs w:val="26"/>
        </w:rPr>
        <w:t>Abstract</w:t>
      </w:r>
    </w:p>
    <w:p w:rsidR="00DC7D4F" w:rsidRPr="009C4D33" w:rsidRDefault="00DC7D4F" w:rsidP="00DC7D4F">
      <w:pPr>
        <w:jc w:val="center"/>
        <w:rPr>
          <w:color w:val="000000"/>
          <w:sz w:val="16"/>
          <w:szCs w:val="16"/>
        </w:rPr>
      </w:pPr>
    </w:p>
    <w:p w:rsidR="00DC7D4F" w:rsidRPr="009D0429" w:rsidRDefault="00D30774" w:rsidP="00DC7D4F">
      <w:pPr>
        <w:autoSpaceDE w:val="0"/>
        <w:autoSpaceDN w:val="0"/>
        <w:ind w:left="360" w:right="-173"/>
      </w:pPr>
      <w:r w:rsidRPr="009D0429">
        <w:t>There is little documentation on the role of absorptive capacity on the relationship between FDI and performance of firms.</w:t>
      </w:r>
      <w:r w:rsidRPr="009D0429">
        <w:rPr>
          <w:b/>
          <w:sz w:val="20"/>
        </w:rPr>
        <w:t xml:space="preserve"> </w:t>
      </w:r>
      <w:r w:rsidR="005B656B">
        <w:rPr>
          <w:noProof/>
          <w:lang w:eastAsia="en-US"/>
        </w:rPr>
        <mc:AlternateContent>
          <mc:Choice Requires="wpi">
            <w:drawing>
              <wp:anchor distT="0" distB="0" distL="114300" distR="114300" simplePos="0" relativeHeight="251689984" behindDoc="0" locked="0" layoutInCell="1" allowOverlap="1">
                <wp:simplePos x="0" y="0"/>
                <wp:positionH relativeFrom="column">
                  <wp:posOffset>3231060</wp:posOffset>
                </wp:positionH>
                <wp:positionV relativeFrom="paragraph">
                  <wp:posOffset>1233170</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63026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53.2pt;margin-top:95.9pt;width:2.45pt;height:2.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">
                <v:imagedata r:id="rId9" o:title=""/>
              </v:shape>
            </w:pict>
          </mc:Fallback>
        </mc:AlternateContent>
      </w:r>
      <w:r w:rsidR="005B656B">
        <w:rPr>
          <w:noProof/>
          <w:lang w:eastAsia="en-US"/>
        </w:rPr>
        <mc:AlternateContent>
          <mc:Choice Requires="wpi">
            <w:drawing>
              <wp:anchor distT="0" distB="0" distL="114300" distR="114300" simplePos="0" relativeHeight="251688960" behindDoc="0" locked="0" layoutInCell="1" allowOverlap="1">
                <wp:simplePos x="0" y="0"/>
                <wp:positionH relativeFrom="column">
                  <wp:posOffset>3231060</wp:posOffset>
                </wp:positionH>
                <wp:positionV relativeFrom="paragraph">
                  <wp:posOffset>1233170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2212908B" id="Ink 1" o:spid="_x0000_s1026" type="#_x0000_t75" style="position:absolute;margin-left:253.2pt;margin-top:95.9pt;width:2.45pt;height:2.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">
                <v:imagedata r:id="rId9" o:title=""/>
              </v:shape>
            </w:pict>
          </mc:Fallback>
        </mc:AlternateContent>
      </w:r>
      <w:r w:rsidR="00DC7D4F" w:rsidRPr="009D0429">
        <w:t>This paper investigates the m</w:t>
      </w:r>
      <w:r w:rsidR="009D0429" w:rsidRPr="009D0429">
        <w:t xml:space="preserve">ediating </w:t>
      </w:r>
      <w:r w:rsidR="00DC7D4F" w:rsidRPr="009D0429">
        <w:t xml:space="preserve">role of </w:t>
      </w:r>
      <w:r w:rsidR="009D0429" w:rsidRPr="009D0429">
        <w:t xml:space="preserve">absorptive capacity </w:t>
      </w:r>
      <w:r w:rsidR="00DC7D4F" w:rsidRPr="009D0429">
        <w:t>on the relationship between FDI and performance of manufacturing firms in Kenya</w:t>
      </w:r>
      <w:r w:rsidR="00DC4476" w:rsidRPr="009D0429">
        <w:t xml:space="preserve">. </w:t>
      </w:r>
      <w:r w:rsidR="00DC7D4F" w:rsidRPr="009D0429">
        <w:t xml:space="preserve">The population of study comprised 100 companies registered with Kenya Association of Manufacturers </w:t>
      </w:r>
      <w:r>
        <w:t xml:space="preserve">that </w:t>
      </w:r>
      <w:r w:rsidRPr="009D0429">
        <w:t>had ove</w:t>
      </w:r>
      <w:r>
        <w:t>r 10 percent foreign ownership</w:t>
      </w:r>
      <w:r w:rsidRPr="009D0429">
        <w:t xml:space="preserve"> </w:t>
      </w:r>
      <w:r w:rsidR="00DC7D4F" w:rsidRPr="009D0429">
        <w:t>as at the time of data collection in 2019</w:t>
      </w:r>
      <w:r w:rsidR="005B656B">
        <w:t xml:space="preserve">. </w:t>
      </w:r>
      <w:r w:rsidR="00DC7D4F" w:rsidRPr="009D0429">
        <w:t xml:space="preserve">The respondents were the CEOs of organization or their designated officers. The study used a structured questionnaire to collect primary data. </w:t>
      </w:r>
      <w:r w:rsidR="005B656B" w:rsidRPr="008709F6">
        <w:t>The respondent were required to indicate how the introduction of FDI impacted on organizations capital flow, advanced production technology, marketing expertise and management knowhow. The</w:t>
      </w:r>
      <w:r w:rsidR="005826F0" w:rsidRPr="008709F6">
        <w:t xml:space="preserve">y </w:t>
      </w:r>
      <w:r w:rsidR="005B656B" w:rsidRPr="008709F6">
        <w:t>were also to indicate the extent their Organisation had invested in absorptive capacity</w:t>
      </w:r>
      <w:r w:rsidR="00E15F4B" w:rsidRPr="008709F6">
        <w:t xml:space="preserve"> and </w:t>
      </w:r>
      <w:r w:rsidR="00183558" w:rsidRPr="008709F6">
        <w:t xml:space="preserve">the </w:t>
      </w:r>
      <w:r w:rsidR="00E15F4B" w:rsidRPr="008709F6">
        <w:t xml:space="preserve">effect </w:t>
      </w:r>
      <w:r w:rsidR="00DC7403" w:rsidRPr="008709F6">
        <w:t>absorptive</w:t>
      </w:r>
      <w:r w:rsidR="00183558" w:rsidRPr="008709F6">
        <w:t xml:space="preserve"> </w:t>
      </w:r>
      <w:r w:rsidR="00DC7403" w:rsidRPr="008709F6">
        <w:t>capacity</w:t>
      </w:r>
      <w:r w:rsidR="00183558" w:rsidRPr="008709F6">
        <w:t xml:space="preserve"> had on the relationship between FDI and local</w:t>
      </w:r>
      <w:r w:rsidR="00E15F4B" w:rsidRPr="008709F6">
        <w:t xml:space="preserve"> </w:t>
      </w:r>
      <w:r w:rsidR="00183558" w:rsidRPr="008709F6">
        <w:t xml:space="preserve">firm </w:t>
      </w:r>
      <w:r w:rsidR="00E15F4B" w:rsidRPr="008709F6">
        <w:t>performance</w:t>
      </w:r>
      <w:r w:rsidR="005B656B" w:rsidRPr="008709F6">
        <w:t xml:space="preserve">. </w:t>
      </w:r>
      <w:r w:rsidR="00DC7D4F" w:rsidRPr="008709F6">
        <w:t>Descriptive and inferential statistics were both used to analyze the data.</w:t>
      </w:r>
      <w:r w:rsidR="00DC7D4F" w:rsidRPr="008709F6">
        <w:rPr>
          <w:color w:val="FF0000"/>
        </w:rPr>
        <w:t xml:space="preserve"> </w:t>
      </w:r>
      <w:r w:rsidR="00DC7D4F" w:rsidRPr="008709F6">
        <w:t>The results revealed that</w:t>
      </w:r>
      <w:r w:rsidR="009D0429">
        <w:t xml:space="preserve"> absorptive capacity has </w:t>
      </w:r>
      <w:r w:rsidR="00DC7D4F" w:rsidRPr="009D0429">
        <w:t xml:space="preserve">statistically significant </w:t>
      </w:r>
      <w:r w:rsidR="000259E5" w:rsidRPr="009D0429">
        <w:t>m</w:t>
      </w:r>
      <w:r w:rsidR="009D0429">
        <w:t xml:space="preserve">ediating </w:t>
      </w:r>
      <w:r w:rsidR="000259E5" w:rsidRPr="009D0429">
        <w:t xml:space="preserve">effect on the </w:t>
      </w:r>
      <w:r w:rsidR="00DC7D4F" w:rsidRPr="009D0429">
        <w:t>relationship between</w:t>
      </w:r>
      <w:r w:rsidR="006149A0" w:rsidRPr="009D0429">
        <w:t xml:space="preserve"> </w:t>
      </w:r>
      <w:r w:rsidR="00DC7D4F" w:rsidRPr="009D0429">
        <w:t xml:space="preserve">FDI and firm performance. This imply that </w:t>
      </w:r>
      <w:r w:rsidR="000259E5" w:rsidRPr="009D0429">
        <w:t xml:space="preserve">an incremental change in the </w:t>
      </w:r>
      <w:r w:rsidR="009D0429">
        <w:t xml:space="preserve">absorptive capacity </w:t>
      </w:r>
      <w:r w:rsidR="000259E5" w:rsidRPr="009D0429">
        <w:t xml:space="preserve">would generate growth in </w:t>
      </w:r>
      <w:r w:rsidR="006149A0" w:rsidRPr="009D0429">
        <w:t>company’s</w:t>
      </w:r>
      <w:r w:rsidR="000259E5" w:rsidRPr="009D0429">
        <w:t xml:space="preserve"> performance. As such </w:t>
      </w:r>
      <w:r w:rsidR="006149A0" w:rsidRPr="009D0429">
        <w:t xml:space="preserve">Kenyan and other sub-Sahara African countries </w:t>
      </w:r>
      <w:r w:rsidR="00DC7D4F" w:rsidRPr="009D0429">
        <w:t xml:space="preserve">government need to come up with polices geared to </w:t>
      </w:r>
      <w:r w:rsidR="009D0429">
        <w:t xml:space="preserve">supporting </w:t>
      </w:r>
      <w:r w:rsidR="006149A0" w:rsidRPr="009D0429">
        <w:t>improv</w:t>
      </w:r>
      <w:r w:rsidR="009D0429">
        <w:t xml:space="preserve">ement of firms absorptive capacities </w:t>
      </w:r>
      <w:r w:rsidR="006149A0" w:rsidRPr="009D0429">
        <w:t xml:space="preserve">so as to spur the growth of their </w:t>
      </w:r>
      <w:r w:rsidR="00DC7D4F" w:rsidRPr="009D0429">
        <w:t>key sectors of the economy.</w:t>
      </w:r>
      <w:r w:rsidR="00DC7D4F" w:rsidRPr="009D0429">
        <w:rPr>
          <w:rFonts w:eastAsia="Calibri"/>
        </w:rPr>
        <w:t xml:space="preserve"> </w:t>
      </w:r>
    </w:p>
    <w:bookmarkEnd w:id="0"/>
    <w:p w:rsidR="00DC7D4F" w:rsidRPr="001169A2" w:rsidRDefault="00DC7D4F" w:rsidP="00DC7D4F">
      <w:pPr>
        <w:ind w:left="482" w:hanging="212"/>
        <w:rPr>
          <w:b/>
          <w:color w:val="FF0000"/>
          <w:sz w:val="16"/>
          <w:szCs w:val="16"/>
          <w:highlight w:val="yellow"/>
        </w:rPr>
      </w:pPr>
      <w:r w:rsidRPr="001169A2">
        <w:rPr>
          <w:b/>
          <w:color w:val="FF0000"/>
          <w:sz w:val="30"/>
          <w:szCs w:val="30"/>
        </w:rPr>
        <w:t xml:space="preserve">      </w:t>
      </w:r>
    </w:p>
    <w:p w:rsidR="00DC7D4F" w:rsidRPr="009D0429" w:rsidRDefault="00072607" w:rsidP="00DC7D4F">
      <w:pPr>
        <w:ind w:left="482" w:hanging="212"/>
      </w:pPr>
      <w:r w:rsidRPr="001169A2">
        <w:rPr>
          <w:b/>
          <w:color w:val="FF0000"/>
        </w:rPr>
        <w:t xml:space="preserve"> </w:t>
      </w:r>
      <w:r w:rsidR="00DC7D4F" w:rsidRPr="009D0429">
        <w:rPr>
          <w:b/>
        </w:rPr>
        <w:t>JEL classification numbers:</w:t>
      </w:r>
      <w:r w:rsidR="00DC7D4F" w:rsidRPr="009D0429">
        <w:t xml:space="preserve"> xxxxx</w:t>
      </w:r>
    </w:p>
    <w:p w:rsidR="00DC4476" w:rsidRPr="009D0429" w:rsidRDefault="00DC7D4F" w:rsidP="00DC7D4F">
      <w:pPr>
        <w:pStyle w:val="NormalIndent"/>
        <w:tabs>
          <w:tab w:val="left" w:pos="765"/>
        </w:tabs>
        <w:spacing w:line="240" w:lineRule="auto"/>
        <w:ind w:left="0"/>
        <w:jc w:val="both"/>
        <w:rPr>
          <w:rFonts w:ascii="Times New Roman"/>
          <w:b/>
          <w:szCs w:val="24"/>
        </w:rPr>
      </w:pPr>
      <w:r w:rsidRPr="009D0429">
        <w:rPr>
          <w:rFonts w:ascii="Times New Roman"/>
          <w:b/>
          <w:szCs w:val="24"/>
        </w:rPr>
        <w:t xml:space="preserve">   </w:t>
      </w:r>
    </w:p>
    <w:p w:rsidR="00DC4476" w:rsidRPr="001169A2" w:rsidRDefault="00DC7D4F" w:rsidP="00DC4476">
      <w:pPr>
        <w:pStyle w:val="ColorfulList-Accent11"/>
        <w:spacing w:before="0" w:after="0" w:line="240" w:lineRule="auto"/>
        <w:ind w:left="270" w:right="-90"/>
        <w:jc w:val="both"/>
        <w:rPr>
          <w:rFonts w:ascii="Times New Roman" w:hAnsi="Times New Roman"/>
          <w:color w:val="FF0000"/>
          <w:sz w:val="24"/>
          <w:szCs w:val="24"/>
        </w:rPr>
      </w:pPr>
      <w:r w:rsidRPr="009D0429">
        <w:rPr>
          <w:rFonts w:ascii="Times New Roman"/>
          <w:b/>
          <w:sz w:val="24"/>
          <w:szCs w:val="24"/>
        </w:rPr>
        <w:t xml:space="preserve">Keywords: </w:t>
      </w:r>
      <w:r w:rsidRPr="009D0429">
        <w:rPr>
          <w:rFonts w:ascii="Times New Roman"/>
          <w:sz w:val="24"/>
          <w:szCs w:val="24"/>
        </w:rPr>
        <w:t>Foreign Direct Investment,</w:t>
      </w:r>
      <w:r w:rsidR="00587AFB">
        <w:rPr>
          <w:rFonts w:ascii="Times New Roman"/>
          <w:sz w:val="24"/>
          <w:szCs w:val="24"/>
        </w:rPr>
        <w:t xml:space="preserve"> </w:t>
      </w:r>
      <w:r w:rsidR="009D0429" w:rsidRPr="009D0429">
        <w:rPr>
          <w:rFonts w:ascii="Times New Roman"/>
          <w:sz w:val="24"/>
          <w:szCs w:val="24"/>
        </w:rPr>
        <w:t>Absorptive capacity</w:t>
      </w:r>
      <w:r w:rsidRPr="009D0429">
        <w:rPr>
          <w:rFonts w:ascii="Times New Roman"/>
          <w:sz w:val="24"/>
          <w:szCs w:val="24"/>
        </w:rPr>
        <w:t>,</w:t>
      </w:r>
      <w:r w:rsidRPr="009D0429">
        <w:rPr>
          <w:sz w:val="24"/>
          <w:szCs w:val="24"/>
        </w:rPr>
        <w:t xml:space="preserve"> </w:t>
      </w:r>
      <w:r w:rsidRPr="009D0429">
        <w:rPr>
          <w:rFonts w:ascii="Times New Roman"/>
          <w:sz w:val="24"/>
          <w:szCs w:val="24"/>
        </w:rPr>
        <w:t>Firm Performance</w:t>
      </w:r>
      <w:r w:rsidR="00DC4476" w:rsidRPr="009D0429">
        <w:rPr>
          <w:rFonts w:ascii="Times New Roman"/>
          <w:sz w:val="24"/>
          <w:szCs w:val="24"/>
        </w:rPr>
        <w:t xml:space="preserve">, </w:t>
      </w:r>
    </w:p>
    <w:p w:rsidR="00DC7D4F" w:rsidRDefault="00DC7D4F" w:rsidP="00DC4476">
      <w:pPr>
        <w:pStyle w:val="ColorfulList-Accent11"/>
        <w:tabs>
          <w:tab w:val="left" w:pos="90"/>
          <w:tab w:val="num" w:pos="180"/>
        </w:tabs>
        <w:spacing w:before="0" w:after="0" w:line="240" w:lineRule="auto"/>
        <w:ind w:left="482" w:right="-130"/>
        <w:jc w:val="both"/>
        <w:rPr>
          <w:rFonts w:ascii="Times New Roman"/>
          <w:color w:val="000000"/>
          <w:sz w:val="24"/>
          <w:szCs w:val="24"/>
        </w:rPr>
      </w:pPr>
    </w:p>
    <w:p w:rsidR="005F5F49" w:rsidRPr="00551413" w:rsidRDefault="005F5F49" w:rsidP="00671410">
      <w:pPr>
        <w:pStyle w:val="NormalIndent"/>
        <w:numPr>
          <w:ilvl w:val="0"/>
          <w:numId w:val="26"/>
        </w:numPr>
        <w:tabs>
          <w:tab w:val="left" w:pos="540"/>
        </w:tabs>
        <w:spacing w:line="240" w:lineRule="auto"/>
        <w:ind w:hanging="1435"/>
        <w:jc w:val="both"/>
        <w:rPr>
          <w:b/>
          <w:sz w:val="26"/>
          <w:szCs w:val="26"/>
        </w:rPr>
      </w:pPr>
      <w:bookmarkStart w:id="1" w:name="_Toc488422210"/>
      <w:bookmarkStart w:id="2" w:name="_Toc499227988"/>
      <w:bookmarkStart w:id="3" w:name="_Toc520293285"/>
      <w:bookmarkStart w:id="4" w:name="_Toc2000907"/>
      <w:bookmarkStart w:id="5" w:name="_Toc38966701"/>
      <w:bookmarkStart w:id="6" w:name="_Toc39048580"/>
      <w:r w:rsidRPr="00551413">
        <w:rPr>
          <w:b/>
          <w:sz w:val="26"/>
          <w:szCs w:val="26"/>
        </w:rPr>
        <w:t xml:space="preserve">Introduction </w:t>
      </w:r>
    </w:p>
    <w:p w:rsidR="001169A2" w:rsidRDefault="001169A2" w:rsidP="00117695">
      <w:pPr>
        <w:spacing w:line="360" w:lineRule="auto"/>
        <w:ind w:left="482"/>
      </w:pPr>
      <w:r w:rsidRPr="00876BAF">
        <w:lastRenderedPageBreak/>
        <w:t>The significance surrounding the notion of absorptive capacity in organization learning</w:t>
      </w:r>
      <w:r>
        <w:t xml:space="preserve"> </w:t>
      </w:r>
      <w:r w:rsidRPr="00876BAF">
        <w:t>began to take recognition in the 1980s.</w:t>
      </w:r>
      <w:r>
        <w:t xml:space="preserve"> </w:t>
      </w:r>
      <w:r w:rsidRPr="00876BAF">
        <w:t>This is evident from the numerous studies that accentuated the critical role played by application of newly found knowledge in</w:t>
      </w:r>
      <w:r>
        <w:t xml:space="preserve"> </w:t>
      </w:r>
      <w:r w:rsidRPr="00876BAF">
        <w:t xml:space="preserve">leveraging the firm competitiveness. Early researchers like Cohen </w:t>
      </w:r>
      <w:r>
        <w:t>and</w:t>
      </w:r>
      <w:r w:rsidRPr="00876BAF">
        <w:t xml:space="preserve"> Levinthal (1990) </w:t>
      </w:r>
      <w:r>
        <w:t xml:space="preserve">conceptualized </w:t>
      </w:r>
      <w:r w:rsidRPr="00876BAF">
        <w:t>absorptive capacity as the</w:t>
      </w:r>
      <w:r>
        <w:t xml:space="preserve"> </w:t>
      </w:r>
      <w:r w:rsidRPr="00876BAF">
        <w:t>potentiality of a</w:t>
      </w:r>
      <w:r>
        <w:t xml:space="preserve">n enterprise </w:t>
      </w:r>
      <w:r w:rsidRPr="00876BAF">
        <w:t>to identify, integrate, and apply any form of external and valuable knowledge in pursuit of commercial success.</w:t>
      </w:r>
      <w:r w:rsidRPr="00CC4134">
        <w:rPr>
          <w:color w:val="FF0000"/>
        </w:rPr>
        <w:t xml:space="preserve"> </w:t>
      </w:r>
      <w:r w:rsidRPr="00DA5147">
        <w:t>Further,</w:t>
      </w:r>
      <w:r>
        <w:rPr>
          <w:color w:val="FF0000"/>
        </w:rPr>
        <w:t xml:space="preserve"> </w:t>
      </w:r>
      <w:r w:rsidRPr="00876BAF">
        <w:t>K</w:t>
      </w:r>
      <w:r>
        <w:t>n</w:t>
      </w:r>
      <w:r w:rsidRPr="00876BAF">
        <w:t>eller (</w:t>
      </w:r>
      <w:r>
        <w:t>2005</w:t>
      </w:r>
      <w:r w:rsidRPr="00876BAF">
        <w:t xml:space="preserve">) describes absorptive capacity as the </w:t>
      </w:r>
      <w:r>
        <w:t>capability developed by local</w:t>
      </w:r>
      <w:r w:rsidR="00117695">
        <w:t xml:space="preserve"> </w:t>
      </w:r>
      <w:r>
        <w:t>organizations</w:t>
      </w:r>
      <w:r w:rsidRPr="00876BAF">
        <w:t xml:space="preserve">, which is </w:t>
      </w:r>
      <w:r>
        <w:t xml:space="preserve">crucial </w:t>
      </w:r>
      <w:r w:rsidRPr="00876BAF">
        <w:t>for the</w:t>
      </w:r>
      <w:r>
        <w:t xml:space="preserve">se organizations </w:t>
      </w:r>
      <w:r w:rsidRPr="00876BAF">
        <w:t>to make successful use of foreign technology.</w:t>
      </w:r>
      <w:r>
        <w:rPr>
          <w:color w:val="FF0000"/>
        </w:rPr>
        <w:t xml:space="preserve"> </w:t>
      </w:r>
    </w:p>
    <w:p w:rsidR="001169A2" w:rsidRPr="00CC4134" w:rsidRDefault="00671410" w:rsidP="00117695">
      <w:pPr>
        <w:spacing w:line="360" w:lineRule="auto"/>
        <w:rPr>
          <w:sz w:val="20"/>
        </w:rPr>
      </w:pPr>
      <w:r>
        <w:rPr>
          <w:sz w:val="20"/>
        </w:rPr>
        <w:tab/>
      </w:r>
    </w:p>
    <w:p w:rsidR="001169A2" w:rsidRPr="00876BAF" w:rsidRDefault="001169A2" w:rsidP="00117695">
      <w:pPr>
        <w:spacing w:line="360" w:lineRule="auto"/>
        <w:ind w:left="475"/>
        <w:rPr>
          <w:color w:val="FF0000"/>
        </w:rPr>
      </w:pPr>
      <w:r w:rsidRPr="00876BAF">
        <w:t>More recently Lenart</w:t>
      </w:r>
      <w:r w:rsidR="00671410">
        <w:t>,</w:t>
      </w:r>
      <w:r w:rsidRPr="00876BAF">
        <w:t xml:space="preserve"> (2014) defined absorptive capacity as the ability of firms to use</w:t>
      </w:r>
      <w:r>
        <w:t xml:space="preserve"> </w:t>
      </w:r>
      <w:r w:rsidRPr="00876BAF">
        <w:t xml:space="preserve">existing </w:t>
      </w:r>
      <w:r>
        <w:t xml:space="preserve">information </w:t>
      </w:r>
      <w:r w:rsidRPr="00876BAF">
        <w:t xml:space="preserve">with an emphasis on their capability to transform and assimilate it together with their ability to acknowledge external knowledge as a rightful resource for innovation. </w:t>
      </w:r>
      <w:bookmarkStart w:id="7" w:name="_Hlk523999419"/>
      <w:r w:rsidRPr="00876BAF">
        <w:t xml:space="preserve">Andrea and Carlos (2015) </w:t>
      </w:r>
      <w:bookmarkEnd w:id="7"/>
      <w:r w:rsidRPr="00876BAF">
        <w:t>supported this by defining absorptive capacity as the dynamic ability that companies had in the processes of acquiring, assimilating,</w:t>
      </w:r>
      <w:r>
        <w:t xml:space="preserve"> </w:t>
      </w:r>
      <w:r w:rsidRPr="00876BAF">
        <w:t>transforming and applying external knowledge in the processes of enhancing their</w:t>
      </w:r>
      <w:r>
        <w:t xml:space="preserve"> </w:t>
      </w:r>
      <w:r w:rsidR="00671410">
        <w:t xml:space="preserve">innovative processes. </w:t>
      </w:r>
      <w:r w:rsidRPr="00876BAF">
        <w:t>Research on absorptive capacity suggests that innovative organizations tend to join forces with external actors in the processes of acquiring new knowledge. This may involve</w:t>
      </w:r>
      <w:r>
        <w:t xml:space="preserve"> </w:t>
      </w:r>
      <w:r w:rsidRPr="00876BAF">
        <w:t xml:space="preserve">acquiring knowledge from external sources that are outside firms’ foundations. During this process, organizations are able to improve their learning processes and competitive advantages (Laursen </w:t>
      </w:r>
      <w:r>
        <w:t>and</w:t>
      </w:r>
      <w:r w:rsidRPr="00876BAF">
        <w:t xml:space="preserve"> Salter, 2014). </w:t>
      </w:r>
    </w:p>
    <w:p w:rsidR="001169A2" w:rsidRPr="00087336" w:rsidRDefault="001169A2" w:rsidP="00117695">
      <w:pPr>
        <w:spacing w:line="360" w:lineRule="auto"/>
        <w:rPr>
          <w:sz w:val="20"/>
        </w:rPr>
      </w:pPr>
    </w:p>
    <w:p w:rsidR="001169A2" w:rsidRPr="00876BAF" w:rsidRDefault="001169A2" w:rsidP="00117695">
      <w:pPr>
        <w:spacing w:line="360" w:lineRule="auto"/>
        <w:ind w:left="482"/>
      </w:pPr>
      <w:r w:rsidRPr="00876BAF">
        <w:rPr>
          <w:iCs/>
        </w:rPr>
        <w:t xml:space="preserve">Onyekwena, </w:t>
      </w:r>
      <w:r>
        <w:rPr>
          <w:iCs/>
        </w:rPr>
        <w:t>(</w:t>
      </w:r>
      <w:r w:rsidRPr="00876BAF">
        <w:rPr>
          <w:iCs/>
        </w:rPr>
        <w:t>2012)</w:t>
      </w:r>
      <w:r>
        <w:rPr>
          <w:iCs/>
        </w:rPr>
        <w:t xml:space="preserve"> asserted that knowledge </w:t>
      </w:r>
      <w:r w:rsidRPr="00876BAF">
        <w:t xml:space="preserve">spillover from advanced industrial </w:t>
      </w:r>
      <w:r>
        <w:t>economies</w:t>
      </w:r>
      <w:r w:rsidRPr="00876BAF">
        <w:t xml:space="preserve"> to</w:t>
      </w:r>
      <w:r>
        <w:t xml:space="preserve"> </w:t>
      </w:r>
      <w:r w:rsidRPr="00876BAF">
        <w:t xml:space="preserve">developing economies </w:t>
      </w:r>
      <w:r>
        <w:t xml:space="preserve">require that </w:t>
      </w:r>
      <w:r w:rsidRPr="00876BAF">
        <w:t xml:space="preserve">local capabilities </w:t>
      </w:r>
      <w:r>
        <w:t xml:space="preserve">be </w:t>
      </w:r>
      <w:r w:rsidRPr="00876BAF">
        <w:t>present</w:t>
      </w:r>
      <w:r>
        <w:t xml:space="preserve"> in host countries</w:t>
      </w:r>
      <w:r w:rsidRPr="00876BAF">
        <w:rPr>
          <w:iCs/>
        </w:rPr>
        <w:t>.</w:t>
      </w:r>
      <w:r w:rsidRPr="00876BAF">
        <w:rPr>
          <w:color w:val="FF0000"/>
        </w:rPr>
        <w:t xml:space="preserve"> </w:t>
      </w:r>
      <w:r w:rsidRPr="00876BAF">
        <w:t xml:space="preserve">It is also noted that </w:t>
      </w:r>
      <w:r w:rsidRPr="00FB6C2F">
        <w:t>foreign direct investment</w:t>
      </w:r>
      <w:r w:rsidRPr="00876BAF">
        <w:t xml:space="preserve"> activity takes places within an</w:t>
      </w:r>
      <w:r>
        <w:t xml:space="preserve"> </w:t>
      </w:r>
      <w:r w:rsidRPr="00876BAF">
        <w:t xml:space="preserve">organizational </w:t>
      </w:r>
      <w:r>
        <w:t>setting</w:t>
      </w:r>
      <w:r w:rsidRPr="00876BAF">
        <w:t>,</w:t>
      </w:r>
      <w:r w:rsidRPr="00876BAF">
        <w:rPr>
          <w:color w:val="FF0000"/>
        </w:rPr>
        <w:t xml:space="preserve"> </w:t>
      </w:r>
      <w:r w:rsidRPr="00876BAF">
        <w:t>such as firms. The implication of this is that the knowledge</w:t>
      </w:r>
      <w:r>
        <w:t xml:space="preserve"> </w:t>
      </w:r>
      <w:r w:rsidRPr="00876BAF">
        <w:t>resources also referred to as absorptive capacity available within such organizations</w:t>
      </w:r>
      <w:r>
        <w:t xml:space="preserve"> plays a significant role in facilitating </w:t>
      </w:r>
      <w:r w:rsidRPr="00876BAF">
        <w:t xml:space="preserve">successful </w:t>
      </w:r>
      <w:r>
        <w:lastRenderedPageBreak/>
        <w:t xml:space="preserve">knowledge and </w:t>
      </w:r>
      <w:r w:rsidRPr="00876BAF">
        <w:t>technology spillover</w:t>
      </w:r>
      <w:r>
        <w:t xml:space="preserve"> from foreign firms</w:t>
      </w:r>
      <w:r w:rsidRPr="00876BAF">
        <w:t xml:space="preserve">. Lau and Lo (2015) </w:t>
      </w:r>
      <w:r>
        <w:t xml:space="preserve">further </w:t>
      </w:r>
      <w:r w:rsidRPr="00876BAF">
        <w:t>noted that absorptive capacity is considered a crucial part of the</w:t>
      </w:r>
      <w:r>
        <w:t xml:space="preserve"> </w:t>
      </w:r>
      <w:r w:rsidRPr="00876BAF">
        <w:t>learning system as it provides the potentiality to transform the knowledge base of an</w:t>
      </w:r>
      <w:r>
        <w:t xml:space="preserve"> </w:t>
      </w:r>
      <w:r w:rsidRPr="00876BAF">
        <w:t>organization through acquisition, assimilation, reshaping and capitalization processes</w:t>
      </w:r>
      <w:r>
        <w:t xml:space="preserve"> giving</w:t>
      </w:r>
      <w:r w:rsidRPr="00876BAF">
        <w:t xml:space="preserve"> the firm real adaptive capacity. </w:t>
      </w:r>
    </w:p>
    <w:p w:rsidR="001169A2" w:rsidRPr="00087336" w:rsidRDefault="001169A2" w:rsidP="001169A2">
      <w:pPr>
        <w:autoSpaceDE w:val="0"/>
        <w:autoSpaceDN w:val="0"/>
        <w:spacing w:line="360" w:lineRule="auto"/>
        <w:rPr>
          <w:sz w:val="20"/>
        </w:rPr>
      </w:pPr>
    </w:p>
    <w:p w:rsidR="001169A2" w:rsidRDefault="00587AFB" w:rsidP="00117695">
      <w:pPr>
        <w:spacing w:line="360" w:lineRule="auto"/>
        <w:ind w:left="475"/>
      </w:pPr>
      <w:r>
        <w:t>The study</w:t>
      </w:r>
      <w:r w:rsidR="001169A2">
        <w:t xml:space="preserve"> operationalized absorptive </w:t>
      </w:r>
      <w:r w:rsidR="001169A2" w:rsidRPr="004A6492">
        <w:t>capacity</w:t>
      </w:r>
      <w:r w:rsidR="001169A2">
        <w:t xml:space="preserve"> as a system constituting of firm’s </w:t>
      </w:r>
      <w:r w:rsidR="001169A2" w:rsidRPr="002042D3">
        <w:t xml:space="preserve">ability to acquire, </w:t>
      </w:r>
      <w:r w:rsidR="001169A2">
        <w:t xml:space="preserve">assimilate, </w:t>
      </w:r>
      <w:r w:rsidR="001169A2" w:rsidRPr="002042D3">
        <w:t>transform and exploit.</w:t>
      </w:r>
      <w:r w:rsidR="001169A2">
        <w:rPr>
          <w:color w:val="5B9BD5"/>
        </w:rPr>
        <w:t xml:space="preserve"> </w:t>
      </w:r>
      <w:r w:rsidR="00D30774" w:rsidRPr="004802DE">
        <w:t>Th</w:t>
      </w:r>
      <w:r w:rsidR="00D30774">
        <w:t>e</w:t>
      </w:r>
      <w:r w:rsidR="00D30774" w:rsidRPr="004802DE">
        <w:t xml:space="preserve"> internal system that constitutes the absorptive capacity within firms enable firms to make use of newly developed technologies.</w:t>
      </w:r>
      <w:r w:rsidR="00D30774" w:rsidRPr="002A5D55">
        <w:rPr>
          <w:color w:val="5B9BD5"/>
        </w:rPr>
        <w:t xml:space="preserve"> </w:t>
      </w:r>
      <w:r w:rsidR="001169A2" w:rsidRPr="00636193">
        <w:t>This is in line with the knowledge</w:t>
      </w:r>
      <w:r>
        <w:t xml:space="preserve"> </w:t>
      </w:r>
      <w:r w:rsidR="001169A2" w:rsidRPr="00636193">
        <w:t>based theory that considers knowledge as the most strategic resource</w:t>
      </w:r>
      <w:r w:rsidR="001169A2">
        <w:t xml:space="preserve"> and dynamic capabilities theory that stress integration, reconfiguration and renewal of resources. </w:t>
      </w:r>
      <w:r w:rsidR="001169A2" w:rsidRPr="004802DE">
        <w:t>The study adopted the four variables of acquisition, assimilation,</w:t>
      </w:r>
      <w:r w:rsidR="00671410">
        <w:t xml:space="preserve"> </w:t>
      </w:r>
      <w:r w:rsidR="001169A2" w:rsidRPr="004802DE">
        <w:t xml:space="preserve">transformation and exploitation to operationalize absorptive capacity.   </w:t>
      </w:r>
    </w:p>
    <w:p w:rsidR="005F5F49" w:rsidRPr="001169A2" w:rsidRDefault="005F5F49" w:rsidP="005F5F49">
      <w:pPr>
        <w:spacing w:line="360" w:lineRule="auto"/>
        <w:ind w:left="360"/>
        <w:rPr>
          <w:color w:val="FF0000"/>
          <w:sz w:val="20"/>
          <w:highlight w:val="yellow"/>
        </w:rPr>
      </w:pPr>
    </w:p>
    <w:p w:rsidR="005F5F49" w:rsidRPr="00587AFB" w:rsidRDefault="003300FB" w:rsidP="00551413">
      <w:pPr>
        <w:spacing w:line="360" w:lineRule="auto"/>
        <w:rPr>
          <w:b/>
          <w:szCs w:val="24"/>
        </w:rPr>
      </w:pPr>
      <w:r w:rsidRPr="00587AFB">
        <w:rPr>
          <w:b/>
          <w:szCs w:val="24"/>
        </w:rPr>
        <w:t>1.1</w:t>
      </w:r>
      <w:r w:rsidR="005F5F49" w:rsidRPr="00587AFB">
        <w:rPr>
          <w:b/>
          <w:szCs w:val="24"/>
        </w:rPr>
        <w:tab/>
        <w:t>Kenya’s Manufacturing Sector</w:t>
      </w:r>
    </w:p>
    <w:p w:rsidR="00D44C71" w:rsidRPr="00587AFB" w:rsidRDefault="00D44C71" w:rsidP="00587AFB">
      <w:pPr>
        <w:pStyle w:val="Heading3"/>
        <w:ind w:left="475"/>
        <w:rPr>
          <w:b w:val="0"/>
          <w:sz w:val="16"/>
          <w:szCs w:val="16"/>
        </w:rPr>
      </w:pPr>
    </w:p>
    <w:p w:rsidR="00D44C71" w:rsidRPr="00587AFB" w:rsidRDefault="00D44C71" w:rsidP="00D44C71">
      <w:pPr>
        <w:pStyle w:val="Heading3"/>
        <w:spacing w:line="360" w:lineRule="auto"/>
        <w:ind w:left="475"/>
        <w:rPr>
          <w:b w:val="0"/>
        </w:rPr>
      </w:pPr>
      <w:r w:rsidRPr="00587AFB">
        <w:rPr>
          <w:b w:val="0"/>
        </w:rPr>
        <w:t>The Kenyan manufacturing industry is part of the key agenda in the Kenya Government transformation program. With a GDP contribution of 9.5</w:t>
      </w:r>
      <w:r w:rsidR="00D30774">
        <w:rPr>
          <w:b w:val="0"/>
        </w:rPr>
        <w:t xml:space="preserve"> per cent </w:t>
      </w:r>
      <w:r w:rsidRPr="00587AFB">
        <w:rPr>
          <w:b w:val="0"/>
        </w:rPr>
        <w:t>% in 2018, the sector is at the heart of Kenya industrialization policy and provide the best entry point for FDI.  However, the level of investment realized in this sector is still very low and credit to the sector declined by 4.6</w:t>
      </w:r>
      <w:r w:rsidR="00D30774">
        <w:rPr>
          <w:b w:val="0"/>
        </w:rPr>
        <w:t xml:space="preserve"> per cent </w:t>
      </w:r>
      <w:r w:rsidRPr="00587AFB">
        <w:rPr>
          <w:b w:val="0"/>
        </w:rPr>
        <w:t xml:space="preserve"> to Ksh 277.4 billion in 2016 form from Ksh 290.9 billion in 2015 (KNBS, 2017). </w:t>
      </w:r>
    </w:p>
    <w:p w:rsidR="00D44C71" w:rsidRPr="00587AFB" w:rsidRDefault="00D44C71" w:rsidP="00D44C71">
      <w:pPr>
        <w:spacing w:line="360" w:lineRule="auto"/>
        <w:ind w:left="475"/>
        <w:rPr>
          <w:sz w:val="20"/>
        </w:rPr>
      </w:pPr>
    </w:p>
    <w:p w:rsidR="00D44C71" w:rsidRPr="00D44C71" w:rsidRDefault="00D44C71" w:rsidP="00587AFB">
      <w:pPr>
        <w:spacing w:line="360" w:lineRule="auto"/>
        <w:ind w:left="475" w:right="-173"/>
      </w:pPr>
      <w:r w:rsidRPr="00D44C71">
        <w:t xml:space="preserve">Despite the importance of the manufacturing sector for the Kenyan economy and the important role played by the absorptive capacity in facilitating FDI spillover, the mediating effect of absorptive capacity in the relationship between FDI and firm performance has not been systematically studied making sector a suitable for this study. The study will analyze the effect of absorptive capacity in the </w:t>
      </w:r>
      <w:r w:rsidRPr="00D44C71">
        <w:lastRenderedPageBreak/>
        <w:t xml:space="preserve">relationship between FDI and local firm’s performance. </w:t>
      </w:r>
    </w:p>
    <w:p w:rsidR="005F5F49" w:rsidRPr="00D44C71" w:rsidRDefault="005F5F49" w:rsidP="005F5F49">
      <w:pPr>
        <w:spacing w:line="360" w:lineRule="auto"/>
        <w:ind w:left="360"/>
        <w:rPr>
          <w:sz w:val="20"/>
        </w:rPr>
      </w:pPr>
      <w:r w:rsidRPr="00D44C71">
        <w:rPr>
          <w:sz w:val="20"/>
        </w:rPr>
        <w:tab/>
      </w:r>
    </w:p>
    <w:p w:rsidR="005F5F49" w:rsidRPr="00551413" w:rsidRDefault="003300FB" w:rsidP="00D42D29">
      <w:pPr>
        <w:autoSpaceDE w:val="0"/>
        <w:autoSpaceDN w:val="0"/>
        <w:spacing w:line="360" w:lineRule="auto"/>
        <w:rPr>
          <w:b/>
          <w:sz w:val="26"/>
          <w:szCs w:val="26"/>
        </w:rPr>
      </w:pPr>
      <w:r w:rsidRPr="00551413">
        <w:rPr>
          <w:b/>
          <w:bCs/>
          <w:sz w:val="26"/>
          <w:szCs w:val="26"/>
        </w:rPr>
        <w:t>2</w:t>
      </w:r>
      <w:r w:rsidR="005F5F49" w:rsidRPr="00551413">
        <w:rPr>
          <w:b/>
          <w:bCs/>
          <w:sz w:val="26"/>
          <w:szCs w:val="26"/>
        </w:rPr>
        <w:t>.0</w:t>
      </w:r>
      <w:r w:rsidR="005F5F49" w:rsidRPr="00551413">
        <w:rPr>
          <w:b/>
          <w:bCs/>
          <w:sz w:val="26"/>
          <w:szCs w:val="26"/>
        </w:rPr>
        <w:tab/>
      </w:r>
      <w:bookmarkStart w:id="8" w:name="_Toc5007929"/>
      <w:r w:rsidR="005F5F49" w:rsidRPr="00551413">
        <w:rPr>
          <w:b/>
          <w:bCs/>
          <w:sz w:val="26"/>
          <w:szCs w:val="26"/>
        </w:rPr>
        <w:t xml:space="preserve">Related Literature </w:t>
      </w:r>
    </w:p>
    <w:p w:rsidR="001169A2" w:rsidRPr="00876BAF" w:rsidRDefault="001169A2" w:rsidP="00117695">
      <w:pPr>
        <w:spacing w:line="360" w:lineRule="auto"/>
        <w:ind w:left="482"/>
        <w:rPr>
          <w:bCs/>
        </w:rPr>
      </w:pPr>
      <w:bookmarkStart w:id="9" w:name="_Toc5007937"/>
      <w:bookmarkEnd w:id="8"/>
      <w:r>
        <w:t xml:space="preserve">The breadth of empirical base touching on the link between FDI and </w:t>
      </w:r>
      <w:r w:rsidR="00587AFB">
        <w:t xml:space="preserve">firm </w:t>
      </w:r>
      <w:r>
        <w:t xml:space="preserve">performance has to a large extent indicated inconclusive results </w:t>
      </w:r>
      <w:r w:rsidRPr="00876BAF">
        <w:t>attribut</w:t>
      </w:r>
      <w:r>
        <w:t xml:space="preserve">able to </w:t>
      </w:r>
      <w:r w:rsidRPr="00876BAF">
        <w:t xml:space="preserve">isolated </w:t>
      </w:r>
      <w:r>
        <w:t xml:space="preserve">study </w:t>
      </w:r>
      <w:r w:rsidRPr="00876BAF">
        <w:t xml:space="preserve">of </w:t>
      </w:r>
      <w:r>
        <w:t>f</w:t>
      </w:r>
      <w:r w:rsidRPr="005267E6">
        <w:t xml:space="preserve">oreign </w:t>
      </w:r>
      <w:r>
        <w:t>d</w:t>
      </w:r>
      <w:r w:rsidRPr="005267E6">
        <w:t xml:space="preserve">irect </w:t>
      </w:r>
      <w:r>
        <w:t>i</w:t>
      </w:r>
      <w:r w:rsidRPr="005267E6">
        <w:t>nvestment</w:t>
      </w:r>
      <w:r w:rsidRPr="00876BAF">
        <w:t xml:space="preserve"> and ignoring other </w:t>
      </w:r>
      <w:r>
        <w:t xml:space="preserve">variables </w:t>
      </w:r>
      <w:r w:rsidRPr="00876BAF">
        <w:t>that could i</w:t>
      </w:r>
      <w:r>
        <w:t xml:space="preserve">mpact </w:t>
      </w:r>
      <w:r w:rsidRPr="00876BAF">
        <w:t xml:space="preserve">the relationship. </w:t>
      </w:r>
      <w:r w:rsidRPr="001B5C87">
        <w:t xml:space="preserve">Asuantri and Yasmin (2017) established that foreign direct investment and absorptive capacity have </w:t>
      </w:r>
      <w:r>
        <w:t xml:space="preserve">no </w:t>
      </w:r>
      <w:r w:rsidRPr="001B5C87">
        <w:t>significant</w:t>
      </w:r>
      <w:r>
        <w:t xml:space="preserve"> effect on</w:t>
      </w:r>
      <w:r w:rsidRPr="001B5C87">
        <w:t xml:space="preserve"> </w:t>
      </w:r>
      <w:r>
        <w:t xml:space="preserve">                  </w:t>
      </w:r>
      <w:r w:rsidRPr="001B5C87">
        <w:t>technological</w:t>
      </w:r>
      <w:r>
        <w:t xml:space="preserve"> </w:t>
      </w:r>
      <w:r w:rsidRPr="001B5C87">
        <w:t xml:space="preserve">innovation when estimated separately but yields significant </w:t>
      </w:r>
      <w:r>
        <w:t xml:space="preserve">positive effect on </w:t>
      </w:r>
      <w:r w:rsidRPr="001B5C87">
        <w:t>technological innovation</w:t>
      </w:r>
      <w:r>
        <w:t xml:space="preserve"> when their interaction</w:t>
      </w:r>
      <w:r w:rsidRPr="001F7302">
        <w:t xml:space="preserve"> </w:t>
      </w:r>
      <w:r>
        <w:t>considered</w:t>
      </w:r>
      <w:r w:rsidRPr="001B5C87">
        <w:t xml:space="preserve">. </w:t>
      </w:r>
      <w:r>
        <w:t xml:space="preserve">This imply that </w:t>
      </w:r>
      <w:r w:rsidRPr="001B5C87">
        <w:t>learning process occurs when local firms intermingle with MNEs and is made</w:t>
      </w:r>
      <w:r w:rsidRPr="00876BAF">
        <w:t xml:space="preserve"> possible by</w:t>
      </w:r>
      <w:r w:rsidR="00BD4C83">
        <w:t xml:space="preserve"> </w:t>
      </w:r>
      <w:r w:rsidRPr="00876BAF">
        <w:t xml:space="preserve">absorptive capacity of the </w:t>
      </w:r>
      <w:r w:rsidRPr="00876BAF">
        <w:rPr>
          <w:bCs/>
        </w:rPr>
        <w:t>local firms. Th</w:t>
      </w:r>
      <w:r>
        <w:rPr>
          <w:bCs/>
        </w:rPr>
        <w:t xml:space="preserve">e position </w:t>
      </w:r>
      <w:r w:rsidRPr="00876BAF">
        <w:rPr>
          <w:bCs/>
        </w:rPr>
        <w:t xml:space="preserve">is supported by Leman and Ismet (2015) study which </w:t>
      </w:r>
      <w:r>
        <w:rPr>
          <w:bCs/>
        </w:rPr>
        <w:t xml:space="preserve">established that innovation attributable to </w:t>
      </w:r>
      <w:r w:rsidRPr="00876BAF">
        <w:rPr>
          <w:bCs/>
        </w:rPr>
        <w:t>FDI inflows</w:t>
      </w:r>
      <w:r>
        <w:rPr>
          <w:bCs/>
        </w:rPr>
        <w:t xml:space="preserve"> increase</w:t>
      </w:r>
      <w:r w:rsidRPr="00876BAF">
        <w:rPr>
          <w:bCs/>
        </w:rPr>
        <w:t xml:space="preserve"> with increase in absorptive capacity in host countries. </w:t>
      </w:r>
    </w:p>
    <w:p w:rsidR="001169A2" w:rsidRPr="00557987" w:rsidRDefault="001169A2" w:rsidP="00117695">
      <w:pPr>
        <w:spacing w:line="360" w:lineRule="auto"/>
        <w:rPr>
          <w:sz w:val="20"/>
        </w:rPr>
      </w:pPr>
    </w:p>
    <w:p w:rsidR="001169A2" w:rsidRDefault="001169A2" w:rsidP="00117695">
      <w:pPr>
        <w:spacing w:line="360" w:lineRule="auto"/>
        <w:ind w:left="482"/>
      </w:pPr>
      <w:r w:rsidRPr="00876BAF">
        <w:t xml:space="preserve">Rueda and Shamsub’s study (as cited in Asuantri </w:t>
      </w:r>
      <w:r>
        <w:t>and</w:t>
      </w:r>
      <w:r w:rsidR="00117695">
        <w:t xml:space="preserve"> Yasmin, 2017) explained that </w:t>
      </w:r>
      <w:r w:rsidRPr="00876BAF">
        <w:t xml:space="preserve">countries </w:t>
      </w:r>
      <w:r>
        <w:t xml:space="preserve">do </w:t>
      </w:r>
      <w:r w:rsidRPr="00876BAF">
        <w:t>not achieve the same level of</w:t>
      </w:r>
      <w:r>
        <w:t xml:space="preserve"> </w:t>
      </w:r>
      <w:r w:rsidRPr="00876BAF">
        <w:t xml:space="preserve">success in </w:t>
      </w:r>
      <w:r>
        <w:t xml:space="preserve">transforming </w:t>
      </w:r>
      <w:r w:rsidRPr="00876BAF">
        <w:t>t</w:t>
      </w:r>
      <w:r>
        <w:t xml:space="preserve">echnologies </w:t>
      </w:r>
      <w:r w:rsidRPr="00876BAF">
        <w:t>into innovation</w:t>
      </w:r>
      <w:r>
        <w:t xml:space="preserve"> even where they receive the same technology</w:t>
      </w:r>
      <w:r w:rsidRPr="00876BAF">
        <w:t xml:space="preserve">. </w:t>
      </w:r>
      <w:r>
        <w:t>Further, t</w:t>
      </w:r>
      <w:r w:rsidRPr="00876BAF">
        <w:t xml:space="preserve">hey established that FDI impacted the survival of indigenous firms positively in top performing tech firms and none on those in low-tech industries meaning that local firms with relatively higher absorptive capacity gain more from </w:t>
      </w:r>
      <w:r>
        <w:t>FDI</w:t>
      </w:r>
      <w:r w:rsidRPr="00876BAF">
        <w:t xml:space="preserve"> than other firms. Ricardo, Luisa and Simona (2015) noted that </w:t>
      </w:r>
      <w:r>
        <w:t>f</w:t>
      </w:r>
      <w:r w:rsidRPr="005267E6">
        <w:t xml:space="preserve">oreign </w:t>
      </w:r>
      <w:r>
        <w:t>d</w:t>
      </w:r>
      <w:r w:rsidRPr="005267E6">
        <w:t xml:space="preserve">irect </w:t>
      </w:r>
      <w:r>
        <w:t>i</w:t>
      </w:r>
      <w:r w:rsidRPr="005267E6">
        <w:t>nvestment</w:t>
      </w:r>
      <w:r w:rsidRPr="00876BAF">
        <w:t xml:space="preserve"> </w:t>
      </w:r>
      <w:r>
        <w:t xml:space="preserve">had positive implications on the performance of local companies and contended that the capacity of local companies to assimilate fresh knowledge was a key ingredient for them to capitalize on FDI. The efficacy levels of companies shape their absorptive capacity particularly in relation to new technology implying that the companies’ ability to seamless integrate new technologies in their operations rested on their level of productivity </w:t>
      </w:r>
      <w:r w:rsidRPr="00876BAF">
        <w:t>(Ilboudo, 2014).</w:t>
      </w:r>
    </w:p>
    <w:p w:rsidR="001169A2" w:rsidRPr="00824216" w:rsidRDefault="001169A2" w:rsidP="00117695">
      <w:pPr>
        <w:spacing w:line="360" w:lineRule="auto"/>
        <w:rPr>
          <w:sz w:val="20"/>
        </w:rPr>
      </w:pPr>
    </w:p>
    <w:p w:rsidR="001169A2" w:rsidRPr="00501593" w:rsidRDefault="001169A2" w:rsidP="00117695">
      <w:pPr>
        <w:spacing w:line="360" w:lineRule="auto"/>
        <w:ind w:left="482"/>
        <w:rPr>
          <w:color w:val="000000"/>
        </w:rPr>
      </w:pPr>
      <w:r>
        <w:rPr>
          <w:color w:val="000000"/>
        </w:rPr>
        <w:t xml:space="preserve">In their work, Thorbecke and Wan (2004) stressed on the gravity of building absorptive capacities in that it creates linkages and spillovers from FDIs in the economic development of East Asian countries. </w:t>
      </w:r>
      <w:r w:rsidRPr="00642203">
        <w:t xml:space="preserve">The lessons from several East Asian countries have shown that </w:t>
      </w:r>
      <w:r>
        <w:t xml:space="preserve">staff </w:t>
      </w:r>
      <w:r w:rsidRPr="00642203">
        <w:t>training</w:t>
      </w:r>
      <w:r w:rsidRPr="00501593">
        <w:rPr>
          <w:color w:val="000000"/>
        </w:rPr>
        <w:t xml:space="preserve"> </w:t>
      </w:r>
      <w:r>
        <w:rPr>
          <w:color w:val="000000"/>
        </w:rPr>
        <w:t xml:space="preserve">and other education </w:t>
      </w:r>
      <w:r w:rsidRPr="00501593">
        <w:rPr>
          <w:color w:val="000000"/>
        </w:rPr>
        <w:t xml:space="preserve">programmes ensure </w:t>
      </w:r>
      <w:r>
        <w:rPr>
          <w:color w:val="000000"/>
        </w:rPr>
        <w:t xml:space="preserve">acquisition and application of new technology. </w:t>
      </w:r>
      <w:r w:rsidRPr="00501593">
        <w:rPr>
          <w:color w:val="000000"/>
        </w:rPr>
        <w:t>Besides there is</w:t>
      </w:r>
      <w:r>
        <w:rPr>
          <w:color w:val="000000"/>
        </w:rPr>
        <w:t xml:space="preserve"> </w:t>
      </w:r>
      <w:r w:rsidRPr="00501593">
        <w:rPr>
          <w:color w:val="000000"/>
        </w:rPr>
        <w:t xml:space="preserve">evidence that </w:t>
      </w:r>
      <w:r>
        <w:rPr>
          <w:color w:val="000000"/>
        </w:rPr>
        <w:t xml:space="preserve">highlights the significance of thoughtful </w:t>
      </w:r>
      <w:r w:rsidRPr="00501593">
        <w:rPr>
          <w:color w:val="000000"/>
        </w:rPr>
        <w:t xml:space="preserve">action to </w:t>
      </w:r>
      <w:r>
        <w:rPr>
          <w:color w:val="000000"/>
        </w:rPr>
        <w:t xml:space="preserve">advance </w:t>
      </w:r>
      <w:r w:rsidRPr="00501593">
        <w:rPr>
          <w:color w:val="000000"/>
        </w:rPr>
        <w:t>absorptive capacity within firms. (Thorbecke and Wan Jr. 2004</w:t>
      </w:r>
      <w:r w:rsidR="000E2988">
        <w:rPr>
          <w:color w:val="000000"/>
        </w:rPr>
        <w:t>)</w:t>
      </w:r>
      <w:r w:rsidRPr="00501593">
        <w:rPr>
          <w:color w:val="000000"/>
        </w:rPr>
        <w:t>.</w:t>
      </w:r>
      <w:r w:rsidRPr="00824216">
        <w:rPr>
          <w:color w:val="70AD47"/>
        </w:rPr>
        <w:t xml:space="preserve"> </w:t>
      </w:r>
      <w:r w:rsidRPr="00501593">
        <w:rPr>
          <w:color w:val="000000"/>
        </w:rPr>
        <w:t xml:space="preserve">Chang, Gong, Way </w:t>
      </w:r>
      <w:r>
        <w:rPr>
          <w:color w:val="000000"/>
        </w:rPr>
        <w:t>and</w:t>
      </w:r>
      <w:r w:rsidRPr="00501593">
        <w:rPr>
          <w:color w:val="000000"/>
        </w:rPr>
        <w:t xml:space="preserve"> Jia, (2013) asserted that organizational ability to learn from past experiences together with flexible </w:t>
      </w:r>
      <w:r>
        <w:rPr>
          <w:color w:val="000000"/>
        </w:rPr>
        <w:t>staff</w:t>
      </w:r>
      <w:r w:rsidRPr="00501593">
        <w:rPr>
          <w:color w:val="000000"/>
        </w:rPr>
        <w:t xml:space="preserve"> management practices may be used to explain the differences in firms’ performance.</w:t>
      </w:r>
      <w:r w:rsidRPr="00D87C1C">
        <w:rPr>
          <w:color w:val="70AD47"/>
        </w:rPr>
        <w:t xml:space="preserve"> </w:t>
      </w:r>
      <w:r w:rsidRPr="00501593">
        <w:rPr>
          <w:color w:val="000000"/>
        </w:rPr>
        <w:t>Anwar and Nguyen (2010) study of the Swiss and Vietnam manufacturing</w:t>
      </w:r>
      <w:r>
        <w:rPr>
          <w:color w:val="000000"/>
        </w:rPr>
        <w:t xml:space="preserve"> </w:t>
      </w:r>
      <w:r w:rsidRPr="00501593">
        <w:rPr>
          <w:color w:val="000000"/>
        </w:rPr>
        <w:t xml:space="preserve">respectively found proof </w:t>
      </w:r>
      <w:r>
        <w:rPr>
          <w:color w:val="000000"/>
        </w:rPr>
        <w:t xml:space="preserve">of spillover from FDI activities to local </w:t>
      </w:r>
      <w:r w:rsidRPr="00501593">
        <w:rPr>
          <w:color w:val="000000"/>
        </w:rPr>
        <w:t xml:space="preserve">firms with </w:t>
      </w:r>
      <w:r>
        <w:rPr>
          <w:color w:val="000000"/>
        </w:rPr>
        <w:t xml:space="preserve">adequate levels of </w:t>
      </w:r>
      <w:r w:rsidRPr="00501593">
        <w:rPr>
          <w:color w:val="000000"/>
        </w:rPr>
        <w:t>absorptive capacity</w:t>
      </w:r>
      <w:r>
        <w:rPr>
          <w:color w:val="000000"/>
        </w:rPr>
        <w:t xml:space="preserve">. </w:t>
      </w:r>
    </w:p>
    <w:p w:rsidR="001169A2" w:rsidRPr="00527A17" w:rsidRDefault="001169A2" w:rsidP="001169A2">
      <w:pPr>
        <w:spacing w:line="360" w:lineRule="auto"/>
        <w:rPr>
          <w:sz w:val="20"/>
        </w:rPr>
      </w:pPr>
      <w:r w:rsidRPr="00876BAF">
        <w:t xml:space="preserve"> </w:t>
      </w:r>
    </w:p>
    <w:p w:rsidR="001169A2" w:rsidRDefault="001169A2" w:rsidP="00117695">
      <w:pPr>
        <w:spacing w:line="360" w:lineRule="auto"/>
        <w:ind w:left="482"/>
      </w:pPr>
      <w:r w:rsidRPr="00876BAF">
        <w:t xml:space="preserve">Lau and Lo (2015) argues that a firm must take steps aimed at enhancing absorptive capacity in order to improve its innovation performance. They noted that </w:t>
      </w:r>
      <w:r>
        <w:t xml:space="preserve">research and development </w:t>
      </w:r>
      <w:r w:rsidRPr="00876BAF">
        <w:t>activity is a spur for innovation</w:t>
      </w:r>
      <w:r>
        <w:t xml:space="preserve"> </w:t>
      </w:r>
      <w:r w:rsidRPr="00876BAF">
        <w:t xml:space="preserve">industries and greater </w:t>
      </w:r>
      <w:r>
        <w:t xml:space="preserve">research and development </w:t>
      </w:r>
      <w:r w:rsidRPr="00876BAF">
        <w:t xml:space="preserve">investment </w:t>
      </w:r>
      <w:r>
        <w:t>support</w:t>
      </w:r>
      <w:r w:rsidRPr="00876BAF">
        <w:t xml:space="preserve"> better adoption of new </w:t>
      </w:r>
      <w:r>
        <w:t>technologies</w:t>
      </w:r>
      <w:r w:rsidRPr="00876BAF">
        <w:t xml:space="preserve"> in design</w:t>
      </w:r>
      <w:r>
        <w:t xml:space="preserve"> and innovation</w:t>
      </w:r>
      <w:r w:rsidRPr="00876BAF">
        <w:t xml:space="preserve"> of new products. </w:t>
      </w:r>
      <w:r w:rsidRPr="0071012B">
        <w:t>Kneller and Stevens (2006)</w:t>
      </w:r>
      <w:r w:rsidRPr="00C97204">
        <w:t>) noted that a country needs to possess sufficient levels of absorptive capacity to fully benefit from the technology</w:t>
      </w:r>
      <w:r>
        <w:t xml:space="preserve"> </w:t>
      </w:r>
      <w:r w:rsidRPr="00C97204">
        <w:t xml:space="preserve">content of imported intermediate inputs. Li (2011), demonstrated that Chinese </w:t>
      </w:r>
      <w:r>
        <w:t>companies utilized local research and development efforts to drive the capacity of the local companies to integrate foreign technological know-how in their operations.</w:t>
      </w:r>
    </w:p>
    <w:p w:rsidR="001169A2" w:rsidRPr="00AB6D50" w:rsidRDefault="001169A2" w:rsidP="00117695">
      <w:pPr>
        <w:spacing w:line="360" w:lineRule="auto"/>
        <w:rPr>
          <w:sz w:val="20"/>
        </w:rPr>
      </w:pPr>
    </w:p>
    <w:p w:rsidR="001169A2" w:rsidRDefault="001169A2" w:rsidP="00117695">
      <w:pPr>
        <w:spacing w:line="360" w:lineRule="auto"/>
        <w:ind w:left="482"/>
      </w:pPr>
      <w:r w:rsidRPr="0062484A">
        <w:t xml:space="preserve">Blalock and Gertler (2004) studied the Swiss manufacturing firms and found that </w:t>
      </w:r>
      <w:r>
        <w:t xml:space="preserve">companies with comparatively sufficient absorptive capacities were more poised to gain from spillovers. Similar evidence was adduced by Anwar and Ngueyn (2010). </w:t>
      </w:r>
      <w:r w:rsidRPr="00CF1D4B">
        <w:t>Codjoe, (2012</w:t>
      </w:r>
      <w:r>
        <w:t xml:space="preserve">) asserted that although local companies may face major obstacles in their ability to make huge investments in innovation </w:t>
      </w:r>
      <w:r>
        <w:lastRenderedPageBreak/>
        <w:t>and research and development activities, it is of vital importance, that an internal mechanism exist that governs the firm ability to integrate new technologies into the operations of a company.</w:t>
      </w:r>
      <w:r w:rsidRPr="00704D95">
        <w:t xml:space="preserve"> </w:t>
      </w:r>
      <w:r w:rsidRPr="00AC1E08">
        <w:t>Wanjere and Yabs (2017) observed that absorptive capacity is</w:t>
      </w:r>
      <w:r>
        <w:t xml:space="preserve"> </w:t>
      </w:r>
      <w:r w:rsidRPr="00AC1E08">
        <w:t>a powerful tool to upgrade the</w:t>
      </w:r>
      <w:r>
        <w:t xml:space="preserve"> </w:t>
      </w:r>
      <w:r w:rsidR="00224B3A">
        <w:t>efficiency of the firms</w:t>
      </w:r>
      <w:r w:rsidR="00C363AA">
        <w:t xml:space="preserve">, </w:t>
      </w:r>
      <w:r w:rsidRPr="00AC1E08">
        <w:t>gain more from MNES spillovers</w:t>
      </w:r>
      <w:r w:rsidR="00C363AA">
        <w:t xml:space="preserve"> and </w:t>
      </w:r>
      <w:r>
        <w:t xml:space="preserve">improves their competitive advantage. </w:t>
      </w:r>
      <w:r w:rsidRPr="001B5C87">
        <w:t xml:space="preserve">Cohen and Levinthal, (1990) asserted that </w:t>
      </w:r>
      <w:r>
        <w:t>organizations</w:t>
      </w:r>
      <w:r w:rsidRPr="001B5C87">
        <w:t xml:space="preserve"> that c</w:t>
      </w:r>
      <w:r>
        <w:t xml:space="preserve">arry out </w:t>
      </w:r>
      <w:r w:rsidRPr="001B5C87">
        <w:t>their own research and development are better</w:t>
      </w:r>
      <w:r>
        <w:t xml:space="preserve"> placed to exploit and</w:t>
      </w:r>
      <w:r w:rsidRPr="001B5C87">
        <w:t xml:space="preserve"> replicat</w:t>
      </w:r>
      <w:r>
        <w:t>e outside knowledge than</w:t>
      </w:r>
      <w:r w:rsidR="00BD4C83">
        <w:t xml:space="preserve"> </w:t>
      </w:r>
      <w:r>
        <w:t xml:space="preserve">companies devoid of R&amp;D initiatives. </w:t>
      </w:r>
      <w:r w:rsidRPr="001B5C87">
        <w:t xml:space="preserve">Glass and Saggi (1998), and Kinoshita (2001) as cited in Damgaard, (2011) </w:t>
      </w:r>
      <w:r>
        <w:t xml:space="preserve">observed </w:t>
      </w:r>
      <w:r w:rsidRPr="001B5C87">
        <w:t xml:space="preserve">that productivity spillovers and the technological gap </w:t>
      </w:r>
      <w:r>
        <w:t xml:space="preserve">are contrariwise associated </w:t>
      </w:r>
      <w:r w:rsidRPr="001B5C87">
        <w:t xml:space="preserve">meaning that </w:t>
      </w:r>
      <w:r>
        <w:t xml:space="preserve">highly productive local firms gain </w:t>
      </w:r>
      <w:r w:rsidRPr="001B5C87">
        <w:t>mo</w:t>
      </w:r>
      <w:r>
        <w:t xml:space="preserve">re </w:t>
      </w:r>
      <w:r w:rsidRPr="001B5C87">
        <w:t xml:space="preserve">from foreign </w:t>
      </w:r>
      <w:r>
        <w:t>direct investment.</w:t>
      </w:r>
      <w:r w:rsidRPr="001B5C87">
        <w:t xml:space="preserve"> </w:t>
      </w:r>
    </w:p>
    <w:p w:rsidR="001169A2" w:rsidRPr="00EF364D" w:rsidRDefault="001169A2" w:rsidP="00117695">
      <w:pPr>
        <w:spacing w:line="360" w:lineRule="auto"/>
        <w:rPr>
          <w:color w:val="FF0000"/>
          <w:sz w:val="20"/>
        </w:rPr>
      </w:pPr>
    </w:p>
    <w:p w:rsidR="001169A2" w:rsidRPr="00876BAF" w:rsidRDefault="001169A2" w:rsidP="00117695">
      <w:pPr>
        <w:spacing w:line="360" w:lineRule="auto"/>
        <w:ind w:left="482"/>
      </w:pPr>
      <w:r>
        <w:t xml:space="preserve">Absorptive capacity has been progressively researched the objective of such study being the belief that positive FDI spillover to domestic economies depends on their capacity to exploit the opportunity. This reflects a promising phase for renewed interest in the uncovering of the interplay between FDI and </w:t>
      </w:r>
      <w:r w:rsidR="00210593">
        <w:t>performance, which</w:t>
      </w:r>
      <w:r>
        <w:t xml:space="preserve"> is imperative owing to the contingency of outcomes.</w:t>
      </w:r>
      <w:r>
        <w:rPr>
          <w:color w:val="00B050"/>
        </w:rPr>
        <w:t xml:space="preserve"> </w:t>
      </w:r>
      <w:r w:rsidRPr="00876BAF">
        <w:t xml:space="preserve">Therefore, these two </w:t>
      </w:r>
      <w:r>
        <w:t xml:space="preserve">variables </w:t>
      </w:r>
      <w:r w:rsidRPr="00876BAF">
        <w:t xml:space="preserve">can be combined to propose that </w:t>
      </w:r>
      <w:r>
        <w:t>f</w:t>
      </w:r>
      <w:r w:rsidRPr="005267E6">
        <w:t xml:space="preserve">oreign </w:t>
      </w:r>
      <w:r>
        <w:t>d</w:t>
      </w:r>
      <w:r w:rsidRPr="005267E6">
        <w:t xml:space="preserve">irect </w:t>
      </w:r>
      <w:r>
        <w:t>i</w:t>
      </w:r>
      <w:r w:rsidRPr="005267E6">
        <w:t>nvestment</w:t>
      </w:r>
      <w:r w:rsidRPr="00876BAF">
        <w:t xml:space="preserve"> influences absorptive capacity that in turn influences</w:t>
      </w:r>
      <w:r>
        <w:t xml:space="preserve"> firm’s </w:t>
      </w:r>
      <w:r w:rsidRPr="00876BAF">
        <w:t xml:space="preserve">performance. </w:t>
      </w:r>
      <w:r>
        <w:t>From this, we can infer that</w:t>
      </w:r>
      <w:r w:rsidRPr="00876BAF">
        <w:t xml:space="preserve"> absorptive capacity mediate</w:t>
      </w:r>
      <w:r>
        <w:t>s</w:t>
      </w:r>
      <w:r w:rsidRPr="00876BAF">
        <w:t xml:space="preserve"> </w:t>
      </w:r>
      <w:r>
        <w:t>the link</w:t>
      </w:r>
      <w:r w:rsidR="00D42D29">
        <w:t xml:space="preserve"> </w:t>
      </w:r>
      <w:r w:rsidRPr="00876BAF">
        <w:t xml:space="preserve">between </w:t>
      </w:r>
      <w:r>
        <w:t xml:space="preserve">FDI </w:t>
      </w:r>
      <w:r w:rsidRPr="00876BAF">
        <w:t xml:space="preserve">and </w:t>
      </w:r>
      <w:r>
        <w:t>performance.</w:t>
      </w:r>
    </w:p>
    <w:p w:rsidR="005F5F49" w:rsidRPr="001169A2" w:rsidRDefault="00210593" w:rsidP="00E1057E">
      <w:pPr>
        <w:ind w:left="360"/>
        <w:rPr>
          <w:color w:val="FF0000"/>
          <w:sz w:val="20"/>
        </w:rPr>
      </w:pPr>
      <w:r>
        <w:rPr>
          <w:color w:val="FF0000"/>
          <w:sz w:val="20"/>
        </w:rPr>
        <w:t xml:space="preserve"> </w:t>
      </w:r>
    </w:p>
    <w:p w:rsidR="005F5F49" w:rsidRPr="00551413" w:rsidRDefault="003300FB" w:rsidP="00EC17E5">
      <w:pPr>
        <w:pStyle w:val="Heading2"/>
        <w:numPr>
          <w:ilvl w:val="0"/>
          <w:numId w:val="0"/>
        </w:numPr>
        <w:ind w:left="180" w:hanging="180"/>
        <w:rPr>
          <w:bCs/>
          <w:sz w:val="26"/>
          <w:szCs w:val="26"/>
          <w:lang w:eastAsia="en-US"/>
        </w:rPr>
      </w:pPr>
      <w:r w:rsidRPr="00551413">
        <w:rPr>
          <w:bCs/>
          <w:sz w:val="26"/>
          <w:szCs w:val="26"/>
          <w:lang w:eastAsia="en-US"/>
        </w:rPr>
        <w:t>3</w:t>
      </w:r>
      <w:r w:rsidR="005F5F49" w:rsidRPr="00551413">
        <w:rPr>
          <w:bCs/>
          <w:sz w:val="26"/>
          <w:szCs w:val="26"/>
          <w:lang w:eastAsia="en-US"/>
        </w:rPr>
        <w:t>.0 Conceptual Fra</w:t>
      </w:r>
      <w:r w:rsidR="00EC17E5" w:rsidRPr="00551413">
        <w:rPr>
          <w:bCs/>
          <w:sz w:val="26"/>
          <w:szCs w:val="26"/>
          <w:lang w:eastAsia="en-US"/>
        </w:rPr>
        <w:t xml:space="preserve">mework and </w:t>
      </w:r>
      <w:r w:rsidR="005F5F49" w:rsidRPr="00551413">
        <w:rPr>
          <w:bCs/>
          <w:sz w:val="26"/>
          <w:szCs w:val="26"/>
          <w:lang w:eastAsia="en-US"/>
        </w:rPr>
        <w:t xml:space="preserve">Hypothesis </w:t>
      </w:r>
    </w:p>
    <w:p w:rsidR="00083484" w:rsidRPr="00D42D29" w:rsidRDefault="00083484" w:rsidP="00083484">
      <w:pPr>
        <w:rPr>
          <w:sz w:val="16"/>
          <w:szCs w:val="16"/>
          <w:lang w:eastAsia="en-US"/>
        </w:rPr>
      </w:pPr>
    </w:p>
    <w:bookmarkEnd w:id="9"/>
    <w:p w:rsidR="00402EC1" w:rsidRPr="00551413" w:rsidRDefault="003300FB" w:rsidP="00551413">
      <w:pPr>
        <w:spacing w:line="360" w:lineRule="auto"/>
        <w:rPr>
          <w:rFonts w:eastAsia="Calibri"/>
          <w:b/>
          <w:sz w:val="26"/>
          <w:szCs w:val="26"/>
        </w:rPr>
      </w:pPr>
      <w:r w:rsidRPr="00551413">
        <w:rPr>
          <w:b/>
          <w:bCs/>
          <w:sz w:val="26"/>
          <w:szCs w:val="26"/>
          <w:lang w:eastAsia="en-US"/>
        </w:rPr>
        <w:t>3</w:t>
      </w:r>
      <w:r w:rsidR="00083484" w:rsidRPr="00551413">
        <w:rPr>
          <w:b/>
          <w:bCs/>
          <w:sz w:val="26"/>
          <w:szCs w:val="26"/>
          <w:lang w:eastAsia="en-US"/>
        </w:rPr>
        <w:t>.1</w:t>
      </w:r>
      <w:r w:rsidR="00083484" w:rsidRPr="00551413">
        <w:rPr>
          <w:b/>
          <w:bCs/>
          <w:sz w:val="26"/>
          <w:szCs w:val="26"/>
          <w:lang w:eastAsia="en-US"/>
        </w:rPr>
        <w:tab/>
        <w:t>Conceptual Framework</w:t>
      </w:r>
    </w:p>
    <w:p w:rsidR="00402EC1" w:rsidRPr="00D42D29" w:rsidRDefault="006A26B6" w:rsidP="00117695">
      <w:pPr>
        <w:spacing w:line="360" w:lineRule="auto"/>
        <w:ind w:left="482"/>
      </w:pPr>
      <w:r w:rsidRPr="00D42D29">
        <w:rPr>
          <w:rFonts w:eastAsia="Calibri"/>
        </w:rPr>
        <w:t>Kombo and Tromp (2009)</w:t>
      </w:r>
      <w:r w:rsidR="00083484" w:rsidRPr="00D42D29">
        <w:rPr>
          <w:rFonts w:eastAsia="Calibri"/>
        </w:rPr>
        <w:t xml:space="preserve"> noted that</w:t>
      </w:r>
      <w:r w:rsidRPr="00D42D29">
        <w:rPr>
          <w:rFonts w:eastAsia="Calibri"/>
        </w:rPr>
        <w:t xml:space="preserve"> </w:t>
      </w:r>
      <w:r w:rsidR="00083484" w:rsidRPr="00D42D29">
        <w:rPr>
          <w:bCs/>
          <w:szCs w:val="24"/>
          <w:lang w:eastAsia="en-US"/>
        </w:rPr>
        <w:t>c</w:t>
      </w:r>
      <w:r w:rsidRPr="00D42D29">
        <w:rPr>
          <w:bCs/>
          <w:szCs w:val="24"/>
          <w:lang w:eastAsia="en-US"/>
        </w:rPr>
        <w:t xml:space="preserve">onceptual </w:t>
      </w:r>
      <w:r w:rsidR="00083484" w:rsidRPr="00D42D29">
        <w:rPr>
          <w:bCs/>
          <w:szCs w:val="24"/>
          <w:lang w:eastAsia="en-US"/>
        </w:rPr>
        <w:t>f</w:t>
      </w:r>
      <w:r w:rsidRPr="00D42D29">
        <w:rPr>
          <w:bCs/>
          <w:szCs w:val="24"/>
          <w:lang w:eastAsia="en-US"/>
        </w:rPr>
        <w:t xml:space="preserve">ramework </w:t>
      </w:r>
      <w:r w:rsidR="00402EC1" w:rsidRPr="00D42D29">
        <w:rPr>
          <w:rFonts w:eastAsia="Calibri"/>
        </w:rPr>
        <w:t xml:space="preserve">denotes a set of broad thoughts and values extracted from relevant spheres of study and adapted in configuring a sub-sequent presentation. </w:t>
      </w:r>
      <w:r w:rsidR="005A2F88">
        <w:t>T</w:t>
      </w:r>
      <w:r w:rsidR="00402EC1" w:rsidRPr="00D42D29">
        <w:t>he conceptual framework was established on a diverse theoretical underpinning</w:t>
      </w:r>
      <w:r w:rsidRPr="00D42D29">
        <w:t xml:space="preserve"> including F</w:t>
      </w:r>
      <w:r w:rsidR="00402EC1" w:rsidRPr="00D42D29">
        <w:t>DI theories, dynamic capabilities, knowledge based and resource dependence</w:t>
      </w:r>
      <w:r w:rsidR="00C80EAB" w:rsidRPr="00D42D29">
        <w:t>.</w:t>
      </w:r>
      <w:r w:rsidR="00EC17E5">
        <w:t xml:space="preserve"> </w:t>
      </w:r>
      <w:r w:rsidR="005A2F88">
        <w:t xml:space="preserve">The study </w:t>
      </w:r>
      <w:r w:rsidR="005A2F88">
        <w:lastRenderedPageBreak/>
        <w:t>conceptualized t</w:t>
      </w:r>
      <w:r w:rsidR="00402EC1" w:rsidRPr="00D42D29">
        <w:t xml:space="preserve">he link </w:t>
      </w:r>
      <w:r w:rsidRPr="00D42D29">
        <w:t>between FDI and f</w:t>
      </w:r>
      <w:r w:rsidR="00083484" w:rsidRPr="00D42D29">
        <w:t>i</w:t>
      </w:r>
      <w:r w:rsidRPr="00D42D29">
        <w:t xml:space="preserve">rm performance as </w:t>
      </w:r>
      <w:r w:rsidR="00083484" w:rsidRPr="00D42D29">
        <w:t>m</w:t>
      </w:r>
      <w:r w:rsidR="00D42D29" w:rsidRPr="00D42D29">
        <w:t xml:space="preserve">ediated </w:t>
      </w:r>
      <w:r w:rsidR="00402EC1" w:rsidRPr="00D42D29">
        <w:t xml:space="preserve">by the </w:t>
      </w:r>
      <w:r w:rsidR="00D42D29" w:rsidRPr="00D42D29">
        <w:t>absorptive capacity of the firm</w:t>
      </w:r>
      <w:r w:rsidR="00402EC1" w:rsidRPr="00D42D29">
        <w:t xml:space="preserve">. The framework is illustrated in figure </w:t>
      </w:r>
      <w:r w:rsidR="00EC17E5">
        <w:t>i</w:t>
      </w:r>
      <w:r w:rsidR="00402EC1" w:rsidRPr="00D42D29">
        <w:t>:</w:t>
      </w:r>
    </w:p>
    <w:p w:rsidR="005F5F49" w:rsidRPr="00D42D29" w:rsidRDefault="00E1057E" w:rsidP="002A776D">
      <w:pPr>
        <w:pStyle w:val="Caption"/>
        <w:spacing w:after="0"/>
        <w:ind w:left="360" w:firstLine="122"/>
        <w:rPr>
          <w:b/>
        </w:rPr>
      </w:pPr>
      <w:bookmarkStart w:id="10" w:name="_Toc488422195"/>
      <w:bookmarkStart w:id="11" w:name="_Toc520293267"/>
      <w:bookmarkStart w:id="12" w:name="_Toc1999905"/>
      <w:bookmarkStart w:id="13" w:name="_Toc2000751"/>
      <w:bookmarkStart w:id="14" w:name="_Toc2000905"/>
      <w:r w:rsidRPr="00D42D29">
        <w:rPr>
          <w:b/>
        </w:rPr>
        <w:t xml:space="preserve">Figure </w:t>
      </w:r>
      <w:r w:rsidR="00EC17E5">
        <w:rPr>
          <w:b/>
        </w:rPr>
        <w:t>i</w:t>
      </w:r>
      <w:r w:rsidRPr="00D42D29">
        <w:rPr>
          <w:b/>
        </w:rPr>
        <w:t xml:space="preserve">: Conceptual </w:t>
      </w:r>
      <w:bookmarkEnd w:id="10"/>
      <w:r w:rsidRPr="00D42D29">
        <w:rPr>
          <w:b/>
        </w:rPr>
        <w:t>Model</w:t>
      </w:r>
      <w:bookmarkEnd w:id="11"/>
      <w:bookmarkEnd w:id="12"/>
      <w:bookmarkEnd w:id="13"/>
      <w:bookmarkEnd w:id="14"/>
    </w:p>
    <w:p w:rsidR="005F5F49" w:rsidRPr="001169A2" w:rsidRDefault="005F5F49" w:rsidP="005F5F49">
      <w:pPr>
        <w:ind w:left="540" w:right="-547"/>
        <w:rPr>
          <w:b/>
          <w:color w:val="FF0000"/>
          <w:sz w:val="20"/>
        </w:rPr>
      </w:pPr>
    </w:p>
    <w:p w:rsidR="00BB426B" w:rsidRPr="003D0C25" w:rsidRDefault="00BB426B" w:rsidP="00BB426B">
      <w:pPr>
        <w:ind w:left="540" w:right="-547"/>
        <w:rPr>
          <w:b/>
        </w:rPr>
      </w:pPr>
      <w:r w:rsidRPr="003D0C25">
        <w:rPr>
          <w:b/>
        </w:rPr>
        <w:t>Independent Variable</w:t>
      </w:r>
      <w:r w:rsidRPr="003D0C25">
        <w:rPr>
          <w:b/>
        </w:rPr>
        <w:tab/>
        <w:t xml:space="preserve">      Mediating Variable</w:t>
      </w:r>
      <w:r>
        <w:rPr>
          <w:b/>
        </w:rPr>
        <w:t xml:space="preserve">  </w:t>
      </w:r>
      <w:r w:rsidRPr="003D0C25">
        <w:rPr>
          <w:b/>
        </w:rPr>
        <w:t xml:space="preserve">   Dependent variable</w:t>
      </w:r>
    </w:p>
    <w:p w:rsidR="00BB426B" w:rsidRPr="003D0C25" w:rsidRDefault="00210593" w:rsidP="00BB426B">
      <w:pPr>
        <w:ind w:left="540" w:firstLine="720"/>
        <w:rPr>
          <w:b/>
        </w:rPr>
      </w:pPr>
      <w:r>
        <w:rPr>
          <w:b/>
          <w:noProof/>
          <w:lang w:eastAsia="en-US"/>
        </w:rPr>
        <mc:AlternateContent>
          <mc:Choice Requires="wps">
            <w:drawing>
              <wp:anchor distT="0" distB="0" distL="114300" distR="114300" simplePos="0" relativeHeight="251674624" behindDoc="0" locked="0" layoutInCell="1" allowOverlap="1" wp14:anchorId="1FEC66FD" wp14:editId="4B37AEFB">
                <wp:simplePos x="0" y="0"/>
                <wp:positionH relativeFrom="column">
                  <wp:posOffset>2379980</wp:posOffset>
                </wp:positionH>
                <wp:positionV relativeFrom="paragraph">
                  <wp:posOffset>144780</wp:posOffset>
                </wp:positionV>
                <wp:extent cx="1374140" cy="929640"/>
                <wp:effectExtent l="0" t="0" r="22860" b="35560"/>
                <wp:wrapSquare wrapText="bothSides"/>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929640"/>
                        </a:xfrm>
                        <a:prstGeom prst="rect">
                          <a:avLst/>
                        </a:prstGeom>
                        <a:solidFill>
                          <a:srgbClr val="FFFFFF"/>
                        </a:solidFill>
                        <a:ln w="9525">
                          <a:solidFill>
                            <a:srgbClr val="000000"/>
                          </a:solidFill>
                          <a:miter lim="800000"/>
                          <a:headEnd/>
                          <a:tailEnd/>
                        </a:ln>
                      </wps:spPr>
                      <wps:txbx>
                        <w:txbxContent>
                          <w:p w:rsidR="008709F6" w:rsidRPr="001846A0" w:rsidRDefault="008709F6" w:rsidP="00BB426B">
                            <w:pPr>
                              <w:tabs>
                                <w:tab w:val="left" w:pos="-90"/>
                                <w:tab w:val="left" w:pos="2790"/>
                              </w:tabs>
                              <w:ind w:left="-90" w:right="-210" w:hanging="90"/>
                              <w:rPr>
                                <w:b/>
                                <w:sz w:val="22"/>
                                <w:szCs w:val="22"/>
                                <w:u w:val="single"/>
                              </w:rPr>
                            </w:pPr>
                            <w:r>
                              <w:rPr>
                                <w:b/>
                                <w:sz w:val="22"/>
                                <w:szCs w:val="22"/>
                              </w:rPr>
                              <w:t xml:space="preserve">  </w:t>
                            </w:r>
                            <w:r w:rsidRPr="001846A0">
                              <w:rPr>
                                <w:b/>
                                <w:sz w:val="22"/>
                                <w:szCs w:val="22"/>
                                <w:u w:val="single"/>
                              </w:rPr>
                              <w:t>Absorptive capacity</w:t>
                            </w:r>
                          </w:p>
                          <w:p w:rsidR="008709F6" w:rsidRDefault="008709F6" w:rsidP="00BB426B">
                            <w:pPr>
                              <w:widowControl/>
                              <w:numPr>
                                <w:ilvl w:val="0"/>
                                <w:numId w:val="32"/>
                              </w:numPr>
                              <w:tabs>
                                <w:tab w:val="left" w:pos="0"/>
                                <w:tab w:val="left" w:pos="180"/>
                              </w:tabs>
                              <w:adjustRightInd/>
                              <w:ind w:left="90" w:right="-432" w:hanging="180"/>
                              <w:jc w:val="left"/>
                              <w:textAlignment w:val="auto"/>
                              <w:rPr>
                                <w:sz w:val="22"/>
                                <w:szCs w:val="22"/>
                              </w:rPr>
                            </w:pPr>
                            <w:r>
                              <w:rPr>
                                <w:sz w:val="22"/>
                                <w:szCs w:val="22"/>
                              </w:rPr>
                              <w:t xml:space="preserve">Acquisition </w:t>
                            </w:r>
                          </w:p>
                          <w:p w:rsidR="008709F6" w:rsidRDefault="008709F6" w:rsidP="00BB426B">
                            <w:pPr>
                              <w:widowControl/>
                              <w:numPr>
                                <w:ilvl w:val="0"/>
                                <w:numId w:val="32"/>
                              </w:numPr>
                              <w:tabs>
                                <w:tab w:val="left" w:pos="0"/>
                                <w:tab w:val="left" w:pos="180"/>
                              </w:tabs>
                              <w:adjustRightInd/>
                              <w:ind w:left="90" w:right="-432" w:hanging="180"/>
                              <w:jc w:val="left"/>
                              <w:textAlignment w:val="auto"/>
                              <w:rPr>
                                <w:sz w:val="22"/>
                                <w:szCs w:val="22"/>
                              </w:rPr>
                            </w:pPr>
                            <w:r>
                              <w:rPr>
                                <w:sz w:val="22"/>
                                <w:szCs w:val="22"/>
                              </w:rPr>
                              <w:t>Assimilation</w:t>
                            </w:r>
                          </w:p>
                          <w:p w:rsidR="008709F6" w:rsidRDefault="008709F6" w:rsidP="00BB426B">
                            <w:pPr>
                              <w:widowControl/>
                              <w:numPr>
                                <w:ilvl w:val="0"/>
                                <w:numId w:val="32"/>
                              </w:numPr>
                              <w:tabs>
                                <w:tab w:val="left" w:pos="0"/>
                                <w:tab w:val="left" w:pos="180"/>
                              </w:tabs>
                              <w:adjustRightInd/>
                              <w:ind w:left="90" w:right="-432" w:hanging="180"/>
                              <w:jc w:val="left"/>
                              <w:textAlignment w:val="auto"/>
                              <w:rPr>
                                <w:sz w:val="22"/>
                                <w:szCs w:val="22"/>
                              </w:rPr>
                            </w:pPr>
                            <w:r>
                              <w:rPr>
                                <w:sz w:val="22"/>
                                <w:szCs w:val="22"/>
                              </w:rPr>
                              <w:t xml:space="preserve">Transformation  </w:t>
                            </w:r>
                          </w:p>
                          <w:p w:rsidR="008709F6" w:rsidRDefault="008709F6" w:rsidP="00BB426B">
                            <w:pPr>
                              <w:widowControl/>
                              <w:numPr>
                                <w:ilvl w:val="0"/>
                                <w:numId w:val="32"/>
                              </w:numPr>
                              <w:tabs>
                                <w:tab w:val="left" w:pos="0"/>
                                <w:tab w:val="left" w:pos="180"/>
                              </w:tabs>
                              <w:adjustRightInd/>
                              <w:ind w:left="90" w:right="-432" w:hanging="180"/>
                              <w:jc w:val="left"/>
                              <w:textAlignment w:val="auto"/>
                              <w:rPr>
                                <w:sz w:val="22"/>
                                <w:szCs w:val="22"/>
                              </w:rPr>
                            </w:pPr>
                            <w:r>
                              <w:rPr>
                                <w:sz w:val="22"/>
                                <w:szCs w:val="22"/>
                              </w:rPr>
                              <w:t xml:space="preserve">Exploitation </w:t>
                            </w:r>
                          </w:p>
                          <w:p w:rsidR="008709F6" w:rsidRPr="00544D2E" w:rsidRDefault="008709F6" w:rsidP="00BB426B">
                            <w:pPr>
                              <w:pStyle w:val="ColorfulList-Accent11"/>
                              <w:ind w:left="270"/>
                              <w:rPr>
                                <w:rFonts w:ascii="Times New Roman" w:hAnsi="Times New Roman"/>
                                <w:b/>
                                <w:bCs/>
                                <w:color w:val="000000"/>
                                <w:kern w:val="32"/>
                              </w:rPr>
                            </w:pPr>
                          </w:p>
                          <w:p w:rsidR="008709F6" w:rsidRDefault="008709F6" w:rsidP="00BB426B">
                            <w:pPr>
                              <w:tabs>
                                <w:tab w:val="left" w:pos="0"/>
                                <w:tab w:val="left" w:pos="180"/>
                              </w:tabs>
                              <w:ind w:left="-90" w:right="-4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66FD" id="Rectangle 42" o:spid="_x0000_s1026" style="position:absolute;left:0;text-align:left;margin-left:187.4pt;margin-top:11.4pt;width:108.2pt;height:7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">
                <v:textbox>
                  <w:txbxContent>
                    <w:p w:rsidR="008709F6" w:rsidRPr="001846A0" w:rsidRDefault="008709F6" w:rsidP="00BB426B">
                      <w:pPr>
                        <w:tabs>
                          <w:tab w:val="left" w:pos="-90"/>
                          <w:tab w:val="left" w:pos="2790"/>
                        </w:tabs>
                        <w:ind w:left="-90" w:right="-210" w:hanging="90"/>
                        <w:rPr>
                          <w:b/>
                          <w:sz w:val="22"/>
                          <w:szCs w:val="22"/>
                          <w:u w:val="single"/>
                        </w:rPr>
                      </w:pPr>
                      <w:r>
                        <w:rPr>
                          <w:b/>
                          <w:sz w:val="22"/>
                          <w:szCs w:val="22"/>
                        </w:rPr>
                        <w:t xml:space="preserve">  </w:t>
                      </w:r>
                      <w:r w:rsidRPr="001846A0">
                        <w:rPr>
                          <w:b/>
                          <w:sz w:val="22"/>
                          <w:szCs w:val="22"/>
                          <w:u w:val="single"/>
                        </w:rPr>
                        <w:t>Absorptive capacity</w:t>
                      </w:r>
                    </w:p>
                    <w:p w:rsidR="008709F6" w:rsidRDefault="008709F6" w:rsidP="00BB426B">
                      <w:pPr>
                        <w:widowControl/>
                        <w:numPr>
                          <w:ilvl w:val="0"/>
                          <w:numId w:val="32"/>
                        </w:numPr>
                        <w:tabs>
                          <w:tab w:val="left" w:pos="0"/>
                          <w:tab w:val="left" w:pos="180"/>
                        </w:tabs>
                        <w:adjustRightInd/>
                        <w:ind w:left="90" w:right="-432" w:hanging="180"/>
                        <w:jc w:val="left"/>
                        <w:textAlignment w:val="auto"/>
                        <w:rPr>
                          <w:sz w:val="22"/>
                          <w:szCs w:val="22"/>
                        </w:rPr>
                      </w:pPr>
                      <w:r>
                        <w:rPr>
                          <w:sz w:val="22"/>
                          <w:szCs w:val="22"/>
                        </w:rPr>
                        <w:t xml:space="preserve">Acquisition </w:t>
                      </w:r>
                    </w:p>
                    <w:p w:rsidR="008709F6" w:rsidRDefault="008709F6" w:rsidP="00BB426B">
                      <w:pPr>
                        <w:widowControl/>
                        <w:numPr>
                          <w:ilvl w:val="0"/>
                          <w:numId w:val="32"/>
                        </w:numPr>
                        <w:tabs>
                          <w:tab w:val="left" w:pos="0"/>
                          <w:tab w:val="left" w:pos="180"/>
                        </w:tabs>
                        <w:adjustRightInd/>
                        <w:ind w:left="90" w:right="-432" w:hanging="180"/>
                        <w:jc w:val="left"/>
                        <w:textAlignment w:val="auto"/>
                        <w:rPr>
                          <w:sz w:val="22"/>
                          <w:szCs w:val="22"/>
                        </w:rPr>
                      </w:pPr>
                      <w:r>
                        <w:rPr>
                          <w:sz w:val="22"/>
                          <w:szCs w:val="22"/>
                        </w:rPr>
                        <w:t>Assimilation</w:t>
                      </w:r>
                    </w:p>
                    <w:p w:rsidR="008709F6" w:rsidRDefault="008709F6" w:rsidP="00BB426B">
                      <w:pPr>
                        <w:widowControl/>
                        <w:numPr>
                          <w:ilvl w:val="0"/>
                          <w:numId w:val="32"/>
                        </w:numPr>
                        <w:tabs>
                          <w:tab w:val="left" w:pos="0"/>
                          <w:tab w:val="left" w:pos="180"/>
                        </w:tabs>
                        <w:adjustRightInd/>
                        <w:ind w:left="90" w:right="-432" w:hanging="180"/>
                        <w:jc w:val="left"/>
                        <w:textAlignment w:val="auto"/>
                        <w:rPr>
                          <w:sz w:val="22"/>
                          <w:szCs w:val="22"/>
                        </w:rPr>
                      </w:pPr>
                      <w:r>
                        <w:rPr>
                          <w:sz w:val="22"/>
                          <w:szCs w:val="22"/>
                        </w:rPr>
                        <w:t xml:space="preserve">Transformation  </w:t>
                      </w:r>
                    </w:p>
                    <w:p w:rsidR="008709F6" w:rsidRDefault="008709F6" w:rsidP="00BB426B">
                      <w:pPr>
                        <w:widowControl/>
                        <w:numPr>
                          <w:ilvl w:val="0"/>
                          <w:numId w:val="32"/>
                        </w:numPr>
                        <w:tabs>
                          <w:tab w:val="left" w:pos="0"/>
                          <w:tab w:val="left" w:pos="180"/>
                        </w:tabs>
                        <w:adjustRightInd/>
                        <w:ind w:left="90" w:right="-432" w:hanging="180"/>
                        <w:jc w:val="left"/>
                        <w:textAlignment w:val="auto"/>
                        <w:rPr>
                          <w:sz w:val="22"/>
                          <w:szCs w:val="22"/>
                        </w:rPr>
                      </w:pPr>
                      <w:r>
                        <w:rPr>
                          <w:sz w:val="22"/>
                          <w:szCs w:val="22"/>
                        </w:rPr>
                        <w:t xml:space="preserve">Exploitation </w:t>
                      </w:r>
                    </w:p>
                    <w:p w:rsidR="008709F6" w:rsidRPr="00544D2E" w:rsidRDefault="008709F6" w:rsidP="00BB426B">
                      <w:pPr>
                        <w:pStyle w:val="ColorfulList-Accent11"/>
                        <w:ind w:left="270"/>
                        <w:rPr>
                          <w:rFonts w:ascii="Times New Roman" w:hAnsi="Times New Roman"/>
                          <w:b/>
                          <w:bCs/>
                          <w:color w:val="000000"/>
                          <w:kern w:val="32"/>
                        </w:rPr>
                      </w:pPr>
                    </w:p>
                    <w:p w:rsidR="008709F6" w:rsidRDefault="008709F6" w:rsidP="00BB426B">
                      <w:pPr>
                        <w:tabs>
                          <w:tab w:val="left" w:pos="0"/>
                          <w:tab w:val="left" w:pos="180"/>
                        </w:tabs>
                        <w:ind w:left="-90" w:right="-432"/>
                      </w:pPr>
                    </w:p>
                  </w:txbxContent>
                </v:textbox>
                <w10:wrap type="square"/>
              </v:rect>
            </w:pict>
          </mc:Fallback>
        </mc:AlternateContent>
      </w:r>
    </w:p>
    <w:p w:rsidR="00BB426B" w:rsidRPr="003D0C25" w:rsidRDefault="00BB426B" w:rsidP="00BB426B">
      <w:pPr>
        <w:ind w:left="540"/>
        <w:rPr>
          <w:b/>
        </w:rPr>
      </w:pPr>
    </w:p>
    <w:p w:rsidR="00BB426B" w:rsidRPr="003D0C25" w:rsidRDefault="00BB426B" w:rsidP="00BB426B">
      <w:pPr>
        <w:ind w:left="540"/>
      </w:pPr>
      <w:r>
        <w:rPr>
          <w:noProof/>
          <w:lang w:eastAsia="en-US"/>
        </w:rPr>
        <mc:AlternateContent>
          <mc:Choice Requires="wps">
            <w:drawing>
              <wp:anchor distT="0" distB="0" distL="114300" distR="114300" simplePos="0" relativeHeight="251682816" behindDoc="0" locked="0" layoutInCell="1" allowOverlap="1" wp14:anchorId="3240C06E" wp14:editId="79230F5A">
                <wp:simplePos x="0" y="0"/>
                <wp:positionH relativeFrom="column">
                  <wp:posOffset>1186815</wp:posOffset>
                </wp:positionH>
                <wp:positionV relativeFrom="paragraph">
                  <wp:posOffset>137795</wp:posOffset>
                </wp:positionV>
                <wp:extent cx="1208405" cy="0"/>
                <wp:effectExtent l="18415" t="10795" r="30480" b="27305"/>
                <wp:wrapNone/>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936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3C3C" id="_x0000_t32" coordsize="21600,21600" o:spt="32" o:oned="t" path="m,l21600,21600e" filled="f">
                <v:path arrowok="t" fillok="f" o:connecttype="none"/>
                <o:lock v:ext="edit" shapetype="t"/>
              </v:shapetype>
              <v:shape id="AutoShape 98" o:spid="_x0000_s1026" type="#_x0000_t32" style="position:absolute;margin-left:93.45pt;margin-top:10.85pt;width:9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nN/gEAAMgDAAAOAAAAZHJzL2Uyb0RvYy54bWysU02P2jAQvVfqf7B8hyTAUo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" strokeweight=".26mm"/>
            </w:pict>
          </mc:Fallback>
        </mc:AlternateContent>
      </w:r>
      <w:r>
        <w:rPr>
          <w:b/>
          <w:noProof/>
          <w:lang w:eastAsia="en-US"/>
        </w:rPr>
        <mc:AlternateContent>
          <mc:Choice Requires="wps">
            <w:drawing>
              <wp:anchor distT="0" distB="0" distL="114300" distR="114300" simplePos="0" relativeHeight="251685888" behindDoc="0" locked="0" layoutInCell="1" allowOverlap="1" wp14:anchorId="5110F644" wp14:editId="12C4713D">
                <wp:simplePos x="0" y="0"/>
                <wp:positionH relativeFrom="column">
                  <wp:posOffset>895350</wp:posOffset>
                </wp:positionH>
                <wp:positionV relativeFrom="paragraph">
                  <wp:posOffset>432435</wp:posOffset>
                </wp:positionV>
                <wp:extent cx="582295" cy="635"/>
                <wp:effectExtent l="55880" t="52705" r="57785" b="63500"/>
                <wp:wrapNone/>
                <wp:docPr id="3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2295" cy="635"/>
                        </a:xfrm>
                        <a:prstGeom prst="bentConnector3">
                          <a:avLst>
                            <a:gd name="adj1" fmla="val 49944"/>
                          </a:avLst>
                        </a:prstGeom>
                        <a:noFill/>
                        <a:ln w="9360">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9B19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margin-left:70.5pt;margin-top:34.05pt;width:45.8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" adj="10788" strokeweight=".26mm"/>
            </w:pict>
          </mc:Fallback>
        </mc:AlternateContent>
      </w:r>
      <w:r>
        <w:rPr>
          <w:b/>
          <w:noProof/>
          <w:lang w:eastAsia="en-US"/>
        </w:rPr>
        <mc:AlternateContent>
          <mc:Choice Requires="wps">
            <w:drawing>
              <wp:anchor distT="0" distB="0" distL="114300" distR="114300" simplePos="0" relativeHeight="251686912" behindDoc="0" locked="0" layoutInCell="1" allowOverlap="1" wp14:anchorId="1538DF2B" wp14:editId="41D63C54">
                <wp:simplePos x="0" y="0"/>
                <wp:positionH relativeFrom="column">
                  <wp:posOffset>4529455</wp:posOffset>
                </wp:positionH>
                <wp:positionV relativeFrom="paragraph">
                  <wp:posOffset>391160</wp:posOffset>
                </wp:positionV>
                <wp:extent cx="506095" cy="0"/>
                <wp:effectExtent l="45720" t="10795" r="81280" b="41910"/>
                <wp:wrapNone/>
                <wp:docPr id="3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6095" cy="0"/>
                        </a:xfrm>
                        <a:prstGeom prst="straightConnector1">
                          <a:avLst/>
                        </a:prstGeom>
                        <a:noFill/>
                        <a:ln w="9398">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25D22" id="AutoShape 110" o:spid="_x0000_s1026" type="#_x0000_t32" style="position:absolute;margin-left:356.65pt;margin-top:30.8pt;width:39.8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" strokeweight=".74pt">
                <v:stroke endarrow="block"/>
              </v:shape>
            </w:pict>
          </mc:Fallback>
        </mc:AlternateContent>
      </w:r>
      <w:r>
        <w:rPr>
          <w:b/>
          <w:noProof/>
          <w:lang w:eastAsia="en-US"/>
        </w:rPr>
        <mc:AlternateContent>
          <mc:Choice Requires="wps">
            <w:drawing>
              <wp:anchor distT="4294967295" distB="4294967295" distL="114300" distR="114300" simplePos="0" relativeHeight="251687936" behindDoc="0" locked="0" layoutInCell="1" allowOverlap="1" wp14:anchorId="52D535D6" wp14:editId="587F2BFB">
                <wp:simplePos x="0" y="0"/>
                <wp:positionH relativeFrom="column">
                  <wp:posOffset>3754120</wp:posOffset>
                </wp:positionH>
                <wp:positionV relativeFrom="paragraph">
                  <wp:posOffset>137794</wp:posOffset>
                </wp:positionV>
                <wp:extent cx="1028700" cy="0"/>
                <wp:effectExtent l="0" t="0" r="12700" b="2540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36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71D83" id="AutoShape 25" o:spid="_x0000_s1026" type="#_x0000_t32" style="position:absolute;margin-left:295.6pt;margin-top:10.85pt;width:81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gN/wEAAMgDAAAOAAAAZHJzL2Uyb0RvYy54bWysU9tu2zAMfR+wfxD0nvqSN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" strokeweight=".26mm"/>
            </w:pict>
          </mc:Fallback>
        </mc:AlternateContent>
      </w:r>
    </w:p>
    <w:p w:rsidR="00BB426B" w:rsidRPr="003D0C25" w:rsidRDefault="00BB426B" w:rsidP="00BB426B">
      <w:pPr>
        <w:ind w:left="540"/>
        <w:rPr>
          <w:b/>
        </w:rPr>
      </w:pPr>
    </w:p>
    <w:p w:rsidR="00BB426B" w:rsidRPr="003D0C25" w:rsidRDefault="00BB426B" w:rsidP="00BB426B">
      <w:pPr>
        <w:ind w:left="540"/>
        <w:rPr>
          <w:b/>
        </w:rPr>
      </w:pPr>
      <w:r w:rsidRPr="003D0C25">
        <w:t xml:space="preserve">                Ho2</w:t>
      </w:r>
    </w:p>
    <w:p w:rsidR="00BB426B" w:rsidRPr="003D0C25" w:rsidRDefault="00BB426B" w:rsidP="00BB426B">
      <w:pPr>
        <w:ind w:left="540"/>
        <w:rPr>
          <w:b/>
        </w:rPr>
      </w:pPr>
      <w:r>
        <w:rPr>
          <w:b/>
          <w:noProof/>
          <w:lang w:eastAsia="en-US"/>
        </w:rPr>
        <mc:AlternateContent>
          <mc:Choice Requires="wps">
            <w:drawing>
              <wp:anchor distT="0" distB="0" distL="114300" distR="114300" simplePos="0" relativeHeight="251675648" behindDoc="0" locked="0" layoutInCell="1" allowOverlap="1" wp14:anchorId="21C722D6" wp14:editId="6F903FBC">
                <wp:simplePos x="0" y="0"/>
                <wp:positionH relativeFrom="column">
                  <wp:posOffset>4023360</wp:posOffset>
                </wp:positionH>
                <wp:positionV relativeFrom="paragraph">
                  <wp:posOffset>113030</wp:posOffset>
                </wp:positionV>
                <wp:extent cx="1501140" cy="1350010"/>
                <wp:effectExtent l="0" t="0" r="22860" b="2159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350010"/>
                        </a:xfrm>
                        <a:prstGeom prst="rect">
                          <a:avLst/>
                        </a:prstGeom>
                        <a:solidFill>
                          <a:srgbClr val="FFFFFF"/>
                        </a:solidFill>
                        <a:ln w="9525">
                          <a:solidFill>
                            <a:srgbClr val="000000"/>
                          </a:solidFill>
                          <a:miter lim="800000"/>
                          <a:headEnd/>
                          <a:tailEnd/>
                        </a:ln>
                      </wps:spPr>
                      <wps:txbx>
                        <w:txbxContent>
                          <w:p w:rsidR="008709F6" w:rsidRPr="001846A0" w:rsidRDefault="008709F6" w:rsidP="00BB426B">
                            <w:pPr>
                              <w:pStyle w:val="Default"/>
                              <w:ind w:right="-270"/>
                              <w:rPr>
                                <w:sz w:val="22"/>
                                <w:szCs w:val="22"/>
                                <w:u w:val="single"/>
                              </w:rPr>
                            </w:pPr>
                            <w:r w:rsidRPr="001846A0">
                              <w:rPr>
                                <w:b/>
                                <w:bCs/>
                                <w:sz w:val="22"/>
                                <w:szCs w:val="22"/>
                                <w:u w:val="single"/>
                              </w:rPr>
                              <w:t>Firm Performance</w:t>
                            </w:r>
                          </w:p>
                          <w:p w:rsidR="008709F6" w:rsidRDefault="008709F6" w:rsidP="00BB426B">
                            <w:pPr>
                              <w:pStyle w:val="ColorfulList-Accent11"/>
                              <w:spacing w:before="0" w:after="0" w:line="240" w:lineRule="auto"/>
                              <w:ind w:left="0" w:right="-90"/>
                              <w:rPr>
                                <w:rFonts w:ascii="Times New Roman" w:hAnsi="Times New Roman"/>
                                <w:sz w:val="22"/>
                                <w:szCs w:val="22"/>
                              </w:rPr>
                            </w:pPr>
                            <w:r w:rsidRPr="00C84E3B">
                              <w:rPr>
                                <w:rFonts w:ascii="Times New Roman" w:hAnsi="Times New Roman"/>
                                <w:sz w:val="22"/>
                                <w:szCs w:val="22"/>
                              </w:rPr>
                              <w:t xml:space="preserve">Financial </w:t>
                            </w:r>
                            <w:r>
                              <w:rPr>
                                <w:rFonts w:ascii="Times New Roman" w:hAnsi="Times New Roman"/>
                                <w:sz w:val="22"/>
                                <w:szCs w:val="22"/>
                              </w:rPr>
                              <w:t xml:space="preserve">Indicator </w:t>
                            </w:r>
                          </w:p>
                          <w:p w:rsidR="008709F6" w:rsidRDefault="008709F6" w:rsidP="00BB426B">
                            <w:pPr>
                              <w:pStyle w:val="ColorfulList-Accent11"/>
                              <w:numPr>
                                <w:ilvl w:val="0"/>
                                <w:numId w:val="24"/>
                              </w:numPr>
                              <w:spacing w:before="0" w:after="0" w:line="240" w:lineRule="auto"/>
                              <w:ind w:left="270" w:right="-90" w:hanging="270"/>
                              <w:rPr>
                                <w:rFonts w:ascii="Times New Roman" w:hAnsi="Times New Roman"/>
                                <w:sz w:val="22"/>
                                <w:szCs w:val="22"/>
                              </w:rPr>
                            </w:pPr>
                            <w:r>
                              <w:rPr>
                                <w:rFonts w:ascii="Times New Roman" w:hAnsi="Times New Roman"/>
                                <w:sz w:val="22"/>
                                <w:szCs w:val="22"/>
                              </w:rPr>
                              <w:t xml:space="preserve">Profitability </w:t>
                            </w:r>
                          </w:p>
                          <w:p w:rsidR="008709F6" w:rsidRDefault="008709F6" w:rsidP="00BB426B">
                            <w:pPr>
                              <w:pStyle w:val="ColorfulList-Accent11"/>
                              <w:numPr>
                                <w:ilvl w:val="0"/>
                                <w:numId w:val="24"/>
                              </w:numPr>
                              <w:spacing w:before="0" w:after="0" w:line="240" w:lineRule="auto"/>
                              <w:ind w:left="270" w:right="-90" w:hanging="270"/>
                              <w:rPr>
                                <w:rFonts w:ascii="Times New Roman" w:hAnsi="Times New Roman"/>
                                <w:sz w:val="22"/>
                                <w:szCs w:val="22"/>
                              </w:rPr>
                            </w:pPr>
                            <w:r>
                              <w:rPr>
                                <w:rFonts w:ascii="Times New Roman" w:hAnsi="Times New Roman"/>
                                <w:sz w:val="22"/>
                                <w:szCs w:val="22"/>
                              </w:rPr>
                              <w:t>ROE</w:t>
                            </w:r>
                          </w:p>
                          <w:p w:rsidR="008709F6" w:rsidRDefault="008709F6" w:rsidP="00BB426B">
                            <w:pPr>
                              <w:pStyle w:val="ColorfulList-Accent11"/>
                              <w:spacing w:before="0" w:after="0" w:line="240" w:lineRule="auto"/>
                              <w:ind w:left="0" w:right="-90"/>
                              <w:rPr>
                                <w:rFonts w:ascii="Times New Roman" w:hAnsi="Times New Roman"/>
                                <w:sz w:val="22"/>
                                <w:szCs w:val="22"/>
                              </w:rPr>
                            </w:pPr>
                            <w:r>
                              <w:rPr>
                                <w:rFonts w:ascii="Times New Roman" w:hAnsi="Times New Roman"/>
                                <w:sz w:val="22"/>
                                <w:szCs w:val="22"/>
                              </w:rPr>
                              <w:t xml:space="preserve">Non-Financial Indicator </w:t>
                            </w:r>
                          </w:p>
                          <w:p w:rsidR="008709F6" w:rsidRDefault="008709F6" w:rsidP="00BB426B">
                            <w:pPr>
                              <w:pStyle w:val="ColorfulList-Accent11"/>
                              <w:numPr>
                                <w:ilvl w:val="0"/>
                                <w:numId w:val="25"/>
                              </w:numPr>
                              <w:spacing w:before="0" w:after="0" w:line="240" w:lineRule="auto"/>
                              <w:ind w:left="270" w:right="-90" w:hanging="270"/>
                              <w:rPr>
                                <w:rFonts w:ascii="Times New Roman" w:hAnsi="Times New Roman"/>
                                <w:sz w:val="22"/>
                                <w:szCs w:val="22"/>
                              </w:rPr>
                            </w:pPr>
                            <w:r>
                              <w:rPr>
                                <w:rFonts w:ascii="Times New Roman" w:hAnsi="Times New Roman"/>
                                <w:sz w:val="22"/>
                                <w:szCs w:val="22"/>
                              </w:rPr>
                              <w:t xml:space="preserve">Capacity utilization </w:t>
                            </w:r>
                          </w:p>
                          <w:p w:rsidR="008709F6" w:rsidRDefault="008709F6" w:rsidP="00BB426B">
                            <w:pPr>
                              <w:pStyle w:val="ColorfulList-Accent11"/>
                              <w:numPr>
                                <w:ilvl w:val="0"/>
                                <w:numId w:val="25"/>
                              </w:numPr>
                              <w:spacing w:before="0" w:after="0" w:line="240" w:lineRule="auto"/>
                              <w:ind w:left="270" w:right="-90" w:hanging="270"/>
                              <w:rPr>
                                <w:rFonts w:ascii="Times New Roman" w:hAnsi="Times New Roman"/>
                                <w:sz w:val="22"/>
                                <w:szCs w:val="22"/>
                              </w:rPr>
                            </w:pPr>
                            <w:r>
                              <w:rPr>
                                <w:rFonts w:ascii="Times New Roman" w:hAnsi="Times New Roman"/>
                                <w:sz w:val="22"/>
                                <w:szCs w:val="22"/>
                              </w:rPr>
                              <w:t>Productivity</w:t>
                            </w:r>
                          </w:p>
                          <w:p w:rsidR="008709F6" w:rsidRPr="00360338" w:rsidRDefault="008709F6" w:rsidP="00BB426B">
                            <w:pPr>
                              <w:pStyle w:val="ColorfulList-Accent11"/>
                              <w:spacing w:before="0" w:after="0" w:line="240" w:lineRule="auto"/>
                              <w:ind w:left="0" w:right="-90"/>
                              <w:rPr>
                                <w:rFonts w:ascii="Times New Roman" w:hAnsi="Times New Roman"/>
                                <w:sz w:val="22"/>
                                <w:szCs w:val="22"/>
                              </w:rPr>
                            </w:pPr>
                          </w:p>
                          <w:p w:rsidR="008709F6" w:rsidRDefault="008709F6" w:rsidP="00BB426B">
                            <w:r w:rsidRPr="00F05F9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22D6" id="Rectangle 43" o:spid="_x0000_s1027" style="position:absolute;left:0;text-align:left;margin-left:316.8pt;margin-top:8.9pt;width:118.2pt;height:10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">
                <v:textbox>
                  <w:txbxContent>
                    <w:p w:rsidR="008709F6" w:rsidRPr="001846A0" w:rsidRDefault="008709F6" w:rsidP="00BB426B">
                      <w:pPr>
                        <w:pStyle w:val="Default"/>
                        <w:ind w:right="-270"/>
                        <w:rPr>
                          <w:sz w:val="22"/>
                          <w:szCs w:val="22"/>
                          <w:u w:val="single"/>
                        </w:rPr>
                      </w:pPr>
                      <w:r w:rsidRPr="001846A0">
                        <w:rPr>
                          <w:b/>
                          <w:bCs/>
                          <w:sz w:val="22"/>
                          <w:szCs w:val="22"/>
                          <w:u w:val="single"/>
                        </w:rPr>
                        <w:t>Firm Performance</w:t>
                      </w:r>
                    </w:p>
                    <w:p w:rsidR="008709F6" w:rsidRDefault="008709F6" w:rsidP="00BB426B">
                      <w:pPr>
                        <w:pStyle w:val="ColorfulList-Accent11"/>
                        <w:spacing w:before="0" w:after="0" w:line="240" w:lineRule="auto"/>
                        <w:ind w:left="0" w:right="-90"/>
                        <w:rPr>
                          <w:rFonts w:ascii="Times New Roman" w:hAnsi="Times New Roman"/>
                          <w:sz w:val="22"/>
                          <w:szCs w:val="22"/>
                        </w:rPr>
                      </w:pPr>
                      <w:r w:rsidRPr="00C84E3B">
                        <w:rPr>
                          <w:rFonts w:ascii="Times New Roman" w:hAnsi="Times New Roman"/>
                          <w:sz w:val="22"/>
                          <w:szCs w:val="22"/>
                        </w:rPr>
                        <w:t xml:space="preserve">Financial </w:t>
                      </w:r>
                      <w:r>
                        <w:rPr>
                          <w:rFonts w:ascii="Times New Roman" w:hAnsi="Times New Roman"/>
                          <w:sz w:val="22"/>
                          <w:szCs w:val="22"/>
                        </w:rPr>
                        <w:t xml:space="preserve">Indicator </w:t>
                      </w:r>
                    </w:p>
                    <w:p w:rsidR="008709F6" w:rsidRDefault="008709F6" w:rsidP="00BB426B">
                      <w:pPr>
                        <w:pStyle w:val="ColorfulList-Accent11"/>
                        <w:numPr>
                          <w:ilvl w:val="0"/>
                          <w:numId w:val="24"/>
                        </w:numPr>
                        <w:spacing w:before="0" w:after="0" w:line="240" w:lineRule="auto"/>
                        <w:ind w:left="270" w:right="-90" w:hanging="270"/>
                        <w:rPr>
                          <w:rFonts w:ascii="Times New Roman" w:hAnsi="Times New Roman"/>
                          <w:sz w:val="22"/>
                          <w:szCs w:val="22"/>
                        </w:rPr>
                      </w:pPr>
                      <w:r>
                        <w:rPr>
                          <w:rFonts w:ascii="Times New Roman" w:hAnsi="Times New Roman"/>
                          <w:sz w:val="22"/>
                          <w:szCs w:val="22"/>
                        </w:rPr>
                        <w:t xml:space="preserve">Profitability </w:t>
                      </w:r>
                    </w:p>
                    <w:p w:rsidR="008709F6" w:rsidRDefault="008709F6" w:rsidP="00BB426B">
                      <w:pPr>
                        <w:pStyle w:val="ColorfulList-Accent11"/>
                        <w:numPr>
                          <w:ilvl w:val="0"/>
                          <w:numId w:val="24"/>
                        </w:numPr>
                        <w:spacing w:before="0" w:after="0" w:line="240" w:lineRule="auto"/>
                        <w:ind w:left="270" w:right="-90" w:hanging="270"/>
                        <w:rPr>
                          <w:rFonts w:ascii="Times New Roman" w:hAnsi="Times New Roman"/>
                          <w:sz w:val="22"/>
                          <w:szCs w:val="22"/>
                        </w:rPr>
                      </w:pPr>
                      <w:r>
                        <w:rPr>
                          <w:rFonts w:ascii="Times New Roman" w:hAnsi="Times New Roman"/>
                          <w:sz w:val="22"/>
                          <w:szCs w:val="22"/>
                        </w:rPr>
                        <w:t>ROE</w:t>
                      </w:r>
                    </w:p>
                    <w:p w:rsidR="008709F6" w:rsidRDefault="008709F6" w:rsidP="00BB426B">
                      <w:pPr>
                        <w:pStyle w:val="ColorfulList-Accent11"/>
                        <w:spacing w:before="0" w:after="0" w:line="240" w:lineRule="auto"/>
                        <w:ind w:left="0" w:right="-90"/>
                        <w:rPr>
                          <w:rFonts w:ascii="Times New Roman" w:hAnsi="Times New Roman"/>
                          <w:sz w:val="22"/>
                          <w:szCs w:val="22"/>
                        </w:rPr>
                      </w:pPr>
                      <w:r>
                        <w:rPr>
                          <w:rFonts w:ascii="Times New Roman" w:hAnsi="Times New Roman"/>
                          <w:sz w:val="22"/>
                          <w:szCs w:val="22"/>
                        </w:rPr>
                        <w:t xml:space="preserve">Non-Financial Indicator </w:t>
                      </w:r>
                    </w:p>
                    <w:p w:rsidR="008709F6" w:rsidRDefault="008709F6" w:rsidP="00BB426B">
                      <w:pPr>
                        <w:pStyle w:val="ColorfulList-Accent11"/>
                        <w:numPr>
                          <w:ilvl w:val="0"/>
                          <w:numId w:val="25"/>
                        </w:numPr>
                        <w:spacing w:before="0" w:after="0" w:line="240" w:lineRule="auto"/>
                        <w:ind w:left="270" w:right="-90" w:hanging="270"/>
                        <w:rPr>
                          <w:rFonts w:ascii="Times New Roman" w:hAnsi="Times New Roman"/>
                          <w:sz w:val="22"/>
                          <w:szCs w:val="22"/>
                        </w:rPr>
                      </w:pPr>
                      <w:r>
                        <w:rPr>
                          <w:rFonts w:ascii="Times New Roman" w:hAnsi="Times New Roman"/>
                          <w:sz w:val="22"/>
                          <w:szCs w:val="22"/>
                        </w:rPr>
                        <w:t xml:space="preserve">Capacity utilization </w:t>
                      </w:r>
                    </w:p>
                    <w:p w:rsidR="008709F6" w:rsidRDefault="008709F6" w:rsidP="00BB426B">
                      <w:pPr>
                        <w:pStyle w:val="ColorfulList-Accent11"/>
                        <w:numPr>
                          <w:ilvl w:val="0"/>
                          <w:numId w:val="25"/>
                        </w:numPr>
                        <w:spacing w:before="0" w:after="0" w:line="240" w:lineRule="auto"/>
                        <w:ind w:left="270" w:right="-90" w:hanging="270"/>
                        <w:rPr>
                          <w:rFonts w:ascii="Times New Roman" w:hAnsi="Times New Roman"/>
                          <w:sz w:val="22"/>
                          <w:szCs w:val="22"/>
                        </w:rPr>
                      </w:pPr>
                      <w:r>
                        <w:rPr>
                          <w:rFonts w:ascii="Times New Roman" w:hAnsi="Times New Roman"/>
                          <w:sz w:val="22"/>
                          <w:szCs w:val="22"/>
                        </w:rPr>
                        <w:t>Productivity</w:t>
                      </w:r>
                    </w:p>
                    <w:p w:rsidR="008709F6" w:rsidRPr="00360338" w:rsidRDefault="008709F6" w:rsidP="00BB426B">
                      <w:pPr>
                        <w:pStyle w:val="ColorfulList-Accent11"/>
                        <w:spacing w:before="0" w:after="0" w:line="240" w:lineRule="auto"/>
                        <w:ind w:left="0" w:right="-90"/>
                        <w:rPr>
                          <w:rFonts w:ascii="Times New Roman" w:hAnsi="Times New Roman"/>
                          <w:sz w:val="22"/>
                          <w:szCs w:val="22"/>
                        </w:rPr>
                      </w:pPr>
                    </w:p>
                    <w:p w:rsidR="008709F6" w:rsidRDefault="008709F6" w:rsidP="00BB426B">
                      <w:r w:rsidRPr="00F05F9D">
                        <w:t xml:space="preserve">    </w:t>
                      </w:r>
                    </w:p>
                  </w:txbxContent>
                </v:textbox>
              </v:rect>
            </w:pict>
          </mc:Fallback>
        </mc:AlternateContent>
      </w:r>
    </w:p>
    <w:p w:rsidR="00BB426B" w:rsidRPr="003D0C25" w:rsidRDefault="00210593" w:rsidP="00BB426B">
      <w:pPr>
        <w:ind w:left="540" w:right="-547"/>
        <w:rPr>
          <w:b/>
        </w:rPr>
      </w:pPr>
      <w:r>
        <w:rPr>
          <w:noProof/>
          <w:lang w:eastAsia="en-US"/>
        </w:rPr>
        <mc:AlternateContent>
          <mc:Choice Requires="wps">
            <w:drawing>
              <wp:anchor distT="0" distB="0" distL="114300" distR="114300" simplePos="0" relativeHeight="251673600" behindDoc="0" locked="0" layoutInCell="1" allowOverlap="1" wp14:anchorId="0BEA00E4" wp14:editId="2B30EC64">
                <wp:simplePos x="0" y="0"/>
                <wp:positionH relativeFrom="margin">
                  <wp:posOffset>175895</wp:posOffset>
                </wp:positionH>
                <wp:positionV relativeFrom="paragraph">
                  <wp:posOffset>22860</wp:posOffset>
                </wp:positionV>
                <wp:extent cx="1880235" cy="1266190"/>
                <wp:effectExtent l="0" t="0" r="24765" b="2921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66190"/>
                        </a:xfrm>
                        <a:prstGeom prst="rect">
                          <a:avLst/>
                        </a:prstGeom>
                        <a:solidFill>
                          <a:srgbClr val="FFFFFF"/>
                        </a:solidFill>
                        <a:ln w="9525">
                          <a:solidFill>
                            <a:srgbClr val="000000"/>
                          </a:solidFill>
                          <a:miter lim="800000"/>
                          <a:headEnd/>
                          <a:tailEnd/>
                        </a:ln>
                      </wps:spPr>
                      <wps:txbx>
                        <w:txbxContent>
                          <w:p w:rsidR="008709F6" w:rsidRPr="001846A0" w:rsidRDefault="008709F6" w:rsidP="00BB426B">
                            <w:pPr>
                              <w:tabs>
                                <w:tab w:val="left" w:pos="-90"/>
                                <w:tab w:val="left" w:pos="2790"/>
                              </w:tabs>
                              <w:ind w:left="-90" w:right="-609"/>
                              <w:rPr>
                                <w:b/>
                                <w:u w:val="single"/>
                              </w:rPr>
                            </w:pPr>
                            <w:r w:rsidRPr="001846A0">
                              <w:rPr>
                                <w:b/>
                                <w:u w:val="single"/>
                              </w:rPr>
                              <w:t xml:space="preserve">Foreign Direct Investment </w:t>
                            </w:r>
                          </w:p>
                          <w:p w:rsidR="008709F6" w:rsidRPr="00825028" w:rsidRDefault="008709F6" w:rsidP="00BB426B">
                            <w:pPr>
                              <w:widowControl/>
                              <w:numPr>
                                <w:ilvl w:val="0"/>
                                <w:numId w:val="23"/>
                              </w:numPr>
                              <w:tabs>
                                <w:tab w:val="left" w:pos="-90"/>
                                <w:tab w:val="left" w:pos="180"/>
                                <w:tab w:val="left" w:pos="2790"/>
                              </w:tabs>
                              <w:adjustRightInd/>
                              <w:ind w:right="-230"/>
                              <w:jc w:val="left"/>
                              <w:textAlignment w:val="auto"/>
                            </w:pPr>
                            <w:r w:rsidRPr="00825028">
                              <w:t xml:space="preserve">Capital </w:t>
                            </w:r>
                            <w:r>
                              <w:t>F</w:t>
                            </w:r>
                            <w:r w:rsidRPr="00825028">
                              <w:t xml:space="preserve">low </w:t>
                            </w:r>
                          </w:p>
                          <w:p w:rsidR="008709F6" w:rsidRDefault="008709F6" w:rsidP="00BB426B">
                            <w:pPr>
                              <w:widowControl/>
                              <w:numPr>
                                <w:ilvl w:val="0"/>
                                <w:numId w:val="23"/>
                              </w:numPr>
                              <w:tabs>
                                <w:tab w:val="clear" w:pos="360"/>
                                <w:tab w:val="left" w:pos="-90"/>
                                <w:tab w:val="num" w:pos="180"/>
                                <w:tab w:val="left" w:pos="2790"/>
                              </w:tabs>
                              <w:adjustRightInd/>
                              <w:ind w:left="180" w:right="-230" w:hanging="180"/>
                              <w:jc w:val="left"/>
                              <w:textAlignment w:val="auto"/>
                            </w:pPr>
                            <w:r w:rsidRPr="00825028">
                              <w:t xml:space="preserve">Advanced </w:t>
                            </w:r>
                            <w:r>
                              <w:t>P</w:t>
                            </w:r>
                            <w:r w:rsidRPr="00825028">
                              <w:t xml:space="preserve">roduction </w:t>
                            </w:r>
                          </w:p>
                          <w:p w:rsidR="008709F6" w:rsidRPr="00825028" w:rsidRDefault="008709F6" w:rsidP="00BB426B">
                            <w:pPr>
                              <w:tabs>
                                <w:tab w:val="left" w:pos="-90"/>
                                <w:tab w:val="left" w:pos="2790"/>
                              </w:tabs>
                              <w:ind w:left="180" w:right="-230"/>
                            </w:pPr>
                            <w:r>
                              <w:t>T</w:t>
                            </w:r>
                            <w:r w:rsidRPr="00825028">
                              <w:t xml:space="preserve">echnology, </w:t>
                            </w:r>
                          </w:p>
                          <w:p w:rsidR="008709F6" w:rsidRPr="00825028" w:rsidRDefault="008709F6" w:rsidP="00BB426B">
                            <w:pPr>
                              <w:widowControl/>
                              <w:numPr>
                                <w:ilvl w:val="0"/>
                                <w:numId w:val="23"/>
                              </w:numPr>
                              <w:tabs>
                                <w:tab w:val="clear" w:pos="360"/>
                                <w:tab w:val="left" w:pos="-90"/>
                                <w:tab w:val="num" w:pos="180"/>
                                <w:tab w:val="left" w:pos="2790"/>
                              </w:tabs>
                              <w:adjustRightInd/>
                              <w:ind w:left="180" w:right="-230" w:hanging="180"/>
                              <w:jc w:val="left"/>
                              <w:textAlignment w:val="auto"/>
                            </w:pPr>
                            <w:r w:rsidRPr="00825028">
                              <w:t xml:space="preserve">Marketing </w:t>
                            </w:r>
                            <w:r>
                              <w:t>E</w:t>
                            </w:r>
                            <w:r w:rsidRPr="00825028">
                              <w:t xml:space="preserve">xpertise </w:t>
                            </w:r>
                          </w:p>
                          <w:p w:rsidR="008709F6" w:rsidRPr="00825028" w:rsidRDefault="008709F6" w:rsidP="00BB426B">
                            <w:pPr>
                              <w:widowControl/>
                              <w:numPr>
                                <w:ilvl w:val="0"/>
                                <w:numId w:val="23"/>
                              </w:numPr>
                              <w:tabs>
                                <w:tab w:val="clear" w:pos="360"/>
                                <w:tab w:val="left" w:pos="-90"/>
                                <w:tab w:val="num" w:pos="180"/>
                                <w:tab w:val="left" w:pos="2790"/>
                              </w:tabs>
                              <w:adjustRightInd/>
                              <w:ind w:left="180" w:right="-230" w:hanging="180"/>
                              <w:jc w:val="left"/>
                              <w:textAlignment w:val="auto"/>
                            </w:pPr>
                            <w:r w:rsidRPr="00825028">
                              <w:t xml:space="preserve">Management </w:t>
                            </w:r>
                            <w:r>
                              <w:t>K</w:t>
                            </w:r>
                            <w:r w:rsidRPr="00825028">
                              <w:t>nowhow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00E4" id="Rectangle 49" o:spid="_x0000_s1028" style="position:absolute;left:0;text-align:left;margin-left:13.85pt;margin-top:1.8pt;width:148.05pt;height:99.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diLgIAAFEEAAAOAAAAZHJzL2Uyb0RvYy54bWysVNuO0zAQfUfiHyy/01y2LW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">
                <v:textbox>
                  <w:txbxContent>
                    <w:p w:rsidR="008709F6" w:rsidRPr="001846A0" w:rsidRDefault="008709F6" w:rsidP="00BB426B">
                      <w:pPr>
                        <w:tabs>
                          <w:tab w:val="left" w:pos="-90"/>
                          <w:tab w:val="left" w:pos="2790"/>
                        </w:tabs>
                        <w:ind w:left="-90" w:right="-609"/>
                        <w:rPr>
                          <w:b/>
                          <w:u w:val="single"/>
                        </w:rPr>
                      </w:pPr>
                      <w:r w:rsidRPr="001846A0">
                        <w:rPr>
                          <w:b/>
                          <w:u w:val="single"/>
                        </w:rPr>
                        <w:t xml:space="preserve">Foreign Direct Investment </w:t>
                      </w:r>
                    </w:p>
                    <w:p w:rsidR="008709F6" w:rsidRPr="00825028" w:rsidRDefault="008709F6" w:rsidP="00BB426B">
                      <w:pPr>
                        <w:widowControl/>
                        <w:numPr>
                          <w:ilvl w:val="0"/>
                          <w:numId w:val="23"/>
                        </w:numPr>
                        <w:tabs>
                          <w:tab w:val="left" w:pos="-90"/>
                          <w:tab w:val="left" w:pos="180"/>
                          <w:tab w:val="left" w:pos="2790"/>
                        </w:tabs>
                        <w:adjustRightInd/>
                        <w:ind w:right="-230"/>
                        <w:jc w:val="left"/>
                        <w:textAlignment w:val="auto"/>
                      </w:pPr>
                      <w:r w:rsidRPr="00825028">
                        <w:t xml:space="preserve">Capital </w:t>
                      </w:r>
                      <w:r>
                        <w:t>F</w:t>
                      </w:r>
                      <w:r w:rsidRPr="00825028">
                        <w:t xml:space="preserve">low </w:t>
                      </w:r>
                    </w:p>
                    <w:p w:rsidR="008709F6" w:rsidRDefault="008709F6" w:rsidP="00BB426B">
                      <w:pPr>
                        <w:widowControl/>
                        <w:numPr>
                          <w:ilvl w:val="0"/>
                          <w:numId w:val="23"/>
                        </w:numPr>
                        <w:tabs>
                          <w:tab w:val="clear" w:pos="360"/>
                          <w:tab w:val="left" w:pos="-90"/>
                          <w:tab w:val="num" w:pos="180"/>
                          <w:tab w:val="left" w:pos="2790"/>
                        </w:tabs>
                        <w:adjustRightInd/>
                        <w:ind w:left="180" w:right="-230" w:hanging="180"/>
                        <w:jc w:val="left"/>
                        <w:textAlignment w:val="auto"/>
                      </w:pPr>
                      <w:r w:rsidRPr="00825028">
                        <w:t xml:space="preserve">Advanced </w:t>
                      </w:r>
                      <w:r>
                        <w:t>P</w:t>
                      </w:r>
                      <w:r w:rsidRPr="00825028">
                        <w:t xml:space="preserve">roduction </w:t>
                      </w:r>
                    </w:p>
                    <w:p w:rsidR="008709F6" w:rsidRPr="00825028" w:rsidRDefault="008709F6" w:rsidP="00BB426B">
                      <w:pPr>
                        <w:tabs>
                          <w:tab w:val="left" w:pos="-90"/>
                          <w:tab w:val="left" w:pos="2790"/>
                        </w:tabs>
                        <w:ind w:left="180" w:right="-230"/>
                      </w:pPr>
                      <w:r>
                        <w:t>T</w:t>
                      </w:r>
                      <w:r w:rsidRPr="00825028">
                        <w:t xml:space="preserve">echnology, </w:t>
                      </w:r>
                    </w:p>
                    <w:p w:rsidR="008709F6" w:rsidRPr="00825028" w:rsidRDefault="008709F6" w:rsidP="00BB426B">
                      <w:pPr>
                        <w:widowControl/>
                        <w:numPr>
                          <w:ilvl w:val="0"/>
                          <w:numId w:val="23"/>
                        </w:numPr>
                        <w:tabs>
                          <w:tab w:val="clear" w:pos="360"/>
                          <w:tab w:val="left" w:pos="-90"/>
                          <w:tab w:val="num" w:pos="180"/>
                          <w:tab w:val="left" w:pos="2790"/>
                        </w:tabs>
                        <w:adjustRightInd/>
                        <w:ind w:left="180" w:right="-230" w:hanging="180"/>
                        <w:jc w:val="left"/>
                        <w:textAlignment w:val="auto"/>
                      </w:pPr>
                      <w:r w:rsidRPr="00825028">
                        <w:t xml:space="preserve">Marketing </w:t>
                      </w:r>
                      <w:r>
                        <w:t>E</w:t>
                      </w:r>
                      <w:r w:rsidRPr="00825028">
                        <w:t xml:space="preserve">xpertise </w:t>
                      </w:r>
                    </w:p>
                    <w:p w:rsidR="008709F6" w:rsidRPr="00825028" w:rsidRDefault="008709F6" w:rsidP="00BB426B">
                      <w:pPr>
                        <w:widowControl/>
                        <w:numPr>
                          <w:ilvl w:val="0"/>
                          <w:numId w:val="23"/>
                        </w:numPr>
                        <w:tabs>
                          <w:tab w:val="clear" w:pos="360"/>
                          <w:tab w:val="left" w:pos="-90"/>
                          <w:tab w:val="num" w:pos="180"/>
                          <w:tab w:val="left" w:pos="2790"/>
                        </w:tabs>
                        <w:adjustRightInd/>
                        <w:ind w:left="180" w:right="-230" w:hanging="180"/>
                        <w:jc w:val="left"/>
                        <w:textAlignment w:val="auto"/>
                      </w:pPr>
                      <w:r w:rsidRPr="00825028">
                        <w:t xml:space="preserve">Management </w:t>
                      </w:r>
                      <w:r>
                        <w:t>K</w:t>
                      </w:r>
                      <w:r w:rsidRPr="00825028">
                        <w:t>nowhow</w:t>
                      </w:r>
                    </w:p>
                  </w:txbxContent>
                </v:textbox>
                <w10:wrap anchorx="margin"/>
              </v:rect>
            </w:pict>
          </mc:Fallback>
        </mc:AlternateContent>
      </w:r>
    </w:p>
    <w:p w:rsidR="00BB426B" w:rsidRPr="003D0C25" w:rsidRDefault="00BB426B" w:rsidP="00BB426B">
      <w:pPr>
        <w:tabs>
          <w:tab w:val="left" w:pos="360"/>
        </w:tabs>
        <w:ind w:left="540"/>
      </w:pPr>
    </w:p>
    <w:p w:rsidR="00BB426B" w:rsidRPr="003D0C25" w:rsidRDefault="00BB426B" w:rsidP="00BB426B">
      <w:pPr>
        <w:ind w:left="540"/>
      </w:pPr>
    </w:p>
    <w:p w:rsidR="00BB426B" w:rsidRPr="003D0C25" w:rsidRDefault="00BB426B" w:rsidP="00BB426B">
      <w:pPr>
        <w:tabs>
          <w:tab w:val="left" w:pos="360"/>
        </w:tabs>
        <w:ind w:left="540"/>
      </w:pPr>
      <w:r w:rsidRPr="003D0C25">
        <w:t xml:space="preserve">                                                                                       Ho4                       </w:t>
      </w:r>
    </w:p>
    <w:p w:rsidR="00BB426B" w:rsidRPr="003D0C25" w:rsidRDefault="00BB426B" w:rsidP="00BB426B">
      <w:pPr>
        <w:tabs>
          <w:tab w:val="left" w:pos="360"/>
        </w:tabs>
        <w:ind w:left="540"/>
      </w:pPr>
    </w:p>
    <w:p w:rsidR="00BB426B" w:rsidRPr="00EC17E5" w:rsidRDefault="00BB426B" w:rsidP="00EC17E5">
      <w:pPr>
        <w:ind w:left="540"/>
        <w:rPr>
          <w:bCs/>
        </w:rPr>
      </w:pPr>
      <w:r w:rsidRPr="003D0C25">
        <w:tab/>
      </w:r>
      <w:r w:rsidRPr="003D0C25">
        <w:tab/>
      </w:r>
      <w:r w:rsidRPr="003D0C25">
        <w:tab/>
      </w:r>
      <w:r w:rsidRPr="003D0C25">
        <w:tab/>
      </w:r>
      <w:r w:rsidRPr="003D0C25">
        <w:tab/>
        <w:t xml:space="preserve">     </w:t>
      </w:r>
      <w:r w:rsidR="00E62C7B">
        <w:tab/>
      </w:r>
      <w:r w:rsidR="00E62C7B">
        <w:tab/>
      </w:r>
      <w:r w:rsidR="00E62C7B">
        <w:tab/>
      </w:r>
      <w:r w:rsidR="00E62C7B">
        <w:tab/>
      </w:r>
      <w:r w:rsidR="00E62C7B">
        <w:tab/>
      </w:r>
      <w:r w:rsidRPr="003D0C25">
        <w:t xml:space="preserve">       </w:t>
      </w:r>
      <w:r w:rsidRPr="003D0C25">
        <w:tab/>
      </w:r>
    </w:p>
    <w:p w:rsidR="005F5F49" w:rsidRPr="00D42D29" w:rsidRDefault="00BB426B" w:rsidP="00EC17E5">
      <w:pPr>
        <w:autoSpaceDE w:val="0"/>
        <w:autoSpaceDN w:val="0"/>
        <w:spacing w:before="100" w:beforeAutospacing="1"/>
        <w:ind w:left="547"/>
        <w:rPr>
          <w:color w:val="FF0000"/>
        </w:rPr>
      </w:pPr>
      <w:r w:rsidRPr="003D0C25">
        <w:t xml:space="preserve">Source: Researcher 2017.  </w:t>
      </w:r>
      <w:r w:rsidR="005F5F49" w:rsidRPr="001169A2">
        <w:rPr>
          <w:color w:val="FF0000"/>
        </w:rPr>
        <w:tab/>
      </w:r>
      <w:r w:rsidR="005F5F49" w:rsidRPr="001169A2">
        <w:rPr>
          <w:color w:val="FF0000"/>
        </w:rPr>
        <w:tab/>
      </w:r>
      <w:r w:rsidR="005F5F49" w:rsidRPr="001169A2">
        <w:rPr>
          <w:color w:val="FF0000"/>
        </w:rPr>
        <w:tab/>
      </w:r>
      <w:r w:rsidR="005F5F49" w:rsidRPr="001169A2">
        <w:rPr>
          <w:color w:val="FF0000"/>
        </w:rPr>
        <w:tab/>
        <w:t xml:space="preserve">                                                        </w:t>
      </w:r>
    </w:p>
    <w:p w:rsidR="005F5F49" w:rsidRPr="001169A2" w:rsidRDefault="005F5F49" w:rsidP="005F5F49">
      <w:pPr>
        <w:ind w:left="540" w:right="-547" w:firstLine="720"/>
        <w:rPr>
          <w:color w:val="FF0000"/>
        </w:rPr>
      </w:pPr>
      <w:r w:rsidRPr="001169A2">
        <w:rPr>
          <w:i/>
          <w:color w:val="FF0000"/>
        </w:rPr>
        <w:tab/>
      </w:r>
      <w:r w:rsidRPr="001169A2">
        <w:rPr>
          <w:i/>
          <w:color w:val="FF0000"/>
        </w:rPr>
        <w:tab/>
      </w:r>
      <w:r w:rsidRPr="001169A2">
        <w:rPr>
          <w:i/>
          <w:color w:val="FF0000"/>
        </w:rPr>
        <w:tab/>
      </w:r>
      <w:r w:rsidRPr="001169A2">
        <w:rPr>
          <w:i/>
          <w:color w:val="FF0000"/>
        </w:rPr>
        <w:tab/>
      </w:r>
      <w:r w:rsidRPr="001169A2">
        <w:rPr>
          <w:i/>
          <w:color w:val="FF0000"/>
        </w:rPr>
        <w:tab/>
      </w:r>
      <w:r w:rsidRPr="001169A2">
        <w:rPr>
          <w:i/>
          <w:color w:val="FF0000"/>
        </w:rPr>
        <w:tab/>
        <w:t xml:space="preserve">    </w:t>
      </w:r>
    </w:p>
    <w:p w:rsidR="005F5F49" w:rsidRPr="00551413" w:rsidRDefault="003300FB" w:rsidP="00551413">
      <w:pPr>
        <w:pStyle w:val="Heading2"/>
        <w:numPr>
          <w:ilvl w:val="0"/>
          <w:numId w:val="0"/>
        </w:numPr>
        <w:ind w:left="180" w:hanging="180"/>
        <w:rPr>
          <w:bCs/>
          <w:sz w:val="26"/>
          <w:szCs w:val="26"/>
        </w:rPr>
      </w:pPr>
      <w:r w:rsidRPr="00551413">
        <w:rPr>
          <w:bCs/>
          <w:sz w:val="26"/>
          <w:szCs w:val="26"/>
        </w:rPr>
        <w:t>3</w:t>
      </w:r>
      <w:r w:rsidR="005F5F49" w:rsidRPr="00551413">
        <w:rPr>
          <w:bCs/>
          <w:sz w:val="26"/>
          <w:szCs w:val="26"/>
        </w:rPr>
        <w:t>.</w:t>
      </w:r>
      <w:r w:rsidR="00083484" w:rsidRPr="00551413">
        <w:rPr>
          <w:bCs/>
          <w:sz w:val="26"/>
          <w:szCs w:val="26"/>
        </w:rPr>
        <w:t>2</w:t>
      </w:r>
      <w:r w:rsidR="00551413" w:rsidRPr="00551413">
        <w:rPr>
          <w:bCs/>
          <w:sz w:val="26"/>
          <w:szCs w:val="26"/>
        </w:rPr>
        <w:t xml:space="preserve"> </w:t>
      </w:r>
      <w:r w:rsidR="005F5F49" w:rsidRPr="00551413">
        <w:rPr>
          <w:bCs/>
          <w:sz w:val="26"/>
          <w:szCs w:val="26"/>
        </w:rPr>
        <w:t>Conceptual Hypotheses</w:t>
      </w:r>
    </w:p>
    <w:p w:rsidR="005F5F49" w:rsidRPr="00BD4C83" w:rsidRDefault="005F5F49" w:rsidP="008A7268">
      <w:pPr>
        <w:ind w:left="360"/>
        <w:rPr>
          <w:sz w:val="16"/>
          <w:szCs w:val="16"/>
          <w:lang w:val="en-GB" w:eastAsia="x-none"/>
        </w:rPr>
      </w:pPr>
    </w:p>
    <w:p w:rsidR="005F5F49" w:rsidRPr="00BD4C83" w:rsidRDefault="005F5F49" w:rsidP="006E2353">
      <w:pPr>
        <w:tabs>
          <w:tab w:val="left" w:pos="540"/>
        </w:tabs>
        <w:spacing w:line="360" w:lineRule="auto"/>
        <w:ind w:left="360" w:right="-274" w:hanging="90"/>
      </w:pPr>
      <w:r w:rsidRPr="00BD4C83">
        <w:t xml:space="preserve">The </w:t>
      </w:r>
      <w:r w:rsidR="006E2353" w:rsidRPr="00BD4C83">
        <w:t xml:space="preserve">study was guided by the following </w:t>
      </w:r>
      <w:r w:rsidRPr="00BD4C83">
        <w:t xml:space="preserve">hypotheses: </w:t>
      </w:r>
    </w:p>
    <w:p w:rsidR="00681B2A" w:rsidRPr="00117695" w:rsidRDefault="00681B2A" w:rsidP="00681B2A">
      <w:pPr>
        <w:tabs>
          <w:tab w:val="left" w:pos="540"/>
        </w:tabs>
        <w:ind w:left="274" w:right="-274" w:firstLine="86"/>
        <w:rPr>
          <w:sz w:val="16"/>
          <w:szCs w:val="16"/>
        </w:rPr>
      </w:pPr>
    </w:p>
    <w:p w:rsidR="00E62C7B" w:rsidRDefault="00D42D29" w:rsidP="00EC17E5">
      <w:pPr>
        <w:tabs>
          <w:tab w:val="left" w:pos="360"/>
          <w:tab w:val="left" w:pos="9000"/>
        </w:tabs>
        <w:autoSpaceDE w:val="0"/>
        <w:autoSpaceDN w:val="0"/>
        <w:spacing w:line="360" w:lineRule="auto"/>
        <w:ind w:left="1440" w:hanging="1440"/>
      </w:pPr>
      <w:r>
        <w:tab/>
      </w:r>
      <w:r w:rsidR="00EC17E5">
        <w:t xml:space="preserve">Hypothesis: </w:t>
      </w:r>
      <w:r w:rsidR="00E62C7B" w:rsidRPr="00BD4C83">
        <w:t>Absorptive capacity has no significant mediating effect on the relationship between FDIs and performance of manufacturing firms in Kenya</w:t>
      </w:r>
      <w:r>
        <w:t>.</w:t>
      </w:r>
    </w:p>
    <w:p w:rsidR="00D42D29" w:rsidRPr="008E50D3" w:rsidRDefault="00D42D29" w:rsidP="00D42D29">
      <w:pPr>
        <w:tabs>
          <w:tab w:val="left" w:pos="360"/>
          <w:tab w:val="left" w:pos="9000"/>
        </w:tabs>
        <w:autoSpaceDE w:val="0"/>
        <w:autoSpaceDN w:val="0"/>
        <w:ind w:left="1440" w:hanging="1440"/>
        <w:rPr>
          <w:sz w:val="16"/>
          <w:szCs w:val="16"/>
        </w:rPr>
      </w:pPr>
    </w:p>
    <w:p w:rsidR="003162E2" w:rsidRPr="002A776D" w:rsidRDefault="003300FB" w:rsidP="001B1289">
      <w:pPr>
        <w:tabs>
          <w:tab w:val="left" w:pos="0"/>
        </w:tabs>
        <w:autoSpaceDE w:val="0"/>
        <w:autoSpaceDN w:val="0"/>
        <w:spacing w:line="360" w:lineRule="auto"/>
        <w:rPr>
          <w:b/>
          <w:sz w:val="30"/>
          <w:szCs w:val="30"/>
        </w:rPr>
      </w:pPr>
      <w:r w:rsidRPr="002A776D">
        <w:rPr>
          <w:b/>
          <w:sz w:val="30"/>
          <w:szCs w:val="30"/>
        </w:rPr>
        <w:t>4</w:t>
      </w:r>
      <w:r w:rsidR="003162E2" w:rsidRPr="002A776D">
        <w:rPr>
          <w:b/>
          <w:sz w:val="30"/>
          <w:szCs w:val="30"/>
        </w:rPr>
        <w:t>.0</w:t>
      </w:r>
      <w:r w:rsidR="003162E2" w:rsidRPr="002A776D">
        <w:rPr>
          <w:b/>
          <w:sz w:val="30"/>
          <w:szCs w:val="30"/>
        </w:rPr>
        <w:tab/>
        <w:t>Methodology and Data</w:t>
      </w:r>
    </w:p>
    <w:p w:rsidR="003162E2" w:rsidRPr="002A776D" w:rsidRDefault="003162E2" w:rsidP="00B91C51">
      <w:pPr>
        <w:pStyle w:val="Default"/>
        <w:spacing w:line="360" w:lineRule="auto"/>
        <w:ind w:left="360"/>
        <w:jc w:val="both"/>
        <w:rPr>
          <w:color w:val="auto"/>
        </w:rPr>
      </w:pPr>
      <w:bookmarkStart w:id="15" w:name="_Toc299717622"/>
      <w:r w:rsidRPr="002A776D">
        <w:rPr>
          <w:color w:val="auto"/>
        </w:rPr>
        <w:t>This research adopted a c</w:t>
      </w:r>
      <w:r w:rsidR="00FB0418" w:rsidRPr="002A776D">
        <w:rPr>
          <w:color w:val="auto"/>
        </w:rPr>
        <w:t xml:space="preserve">orrelational </w:t>
      </w:r>
      <w:r w:rsidRPr="002A776D">
        <w:rPr>
          <w:color w:val="auto"/>
        </w:rPr>
        <w:t>design to evaluate relationship among variables</w:t>
      </w:r>
      <w:bookmarkStart w:id="16" w:name="_Hlk525212692"/>
      <w:bookmarkEnd w:id="15"/>
      <w:r w:rsidR="00FB0418" w:rsidRPr="002A776D">
        <w:rPr>
          <w:color w:val="auto"/>
        </w:rPr>
        <w:t xml:space="preserve">. </w:t>
      </w:r>
      <w:r w:rsidRPr="002A776D">
        <w:rPr>
          <w:color w:val="auto"/>
        </w:rPr>
        <w:t xml:space="preserve">The study population consisted of all the 100 manufacturing firms registered with KAM </w:t>
      </w:r>
      <w:r w:rsidR="0014479C" w:rsidRPr="002A776D">
        <w:rPr>
          <w:color w:val="auto"/>
        </w:rPr>
        <w:t xml:space="preserve">and that had over 10% foreign investment </w:t>
      </w:r>
      <w:r w:rsidRPr="002A776D">
        <w:rPr>
          <w:color w:val="auto"/>
        </w:rPr>
        <w:t>in Kenya</w:t>
      </w:r>
      <w:r w:rsidR="0014479C" w:rsidRPr="002A776D">
        <w:rPr>
          <w:color w:val="auto"/>
        </w:rPr>
        <w:t xml:space="preserve">. The </w:t>
      </w:r>
      <w:r w:rsidRPr="002A776D">
        <w:rPr>
          <w:color w:val="auto"/>
        </w:rPr>
        <w:t>firm was the principal unit under investigation.</w:t>
      </w:r>
      <w:r w:rsidR="00EC17E5">
        <w:rPr>
          <w:color w:val="auto"/>
        </w:rPr>
        <w:t xml:space="preserve"> </w:t>
      </w:r>
      <w:bookmarkEnd w:id="16"/>
      <w:r w:rsidRPr="002A776D">
        <w:rPr>
          <w:color w:val="auto"/>
        </w:rPr>
        <w:t xml:space="preserve">The data was collected from one member of the top management preferably CEO or the finance and strategy director who were considered knowledgeable about the issue under investigation; as such, they were the </w:t>
      </w:r>
      <w:r w:rsidR="00EC17E5">
        <w:rPr>
          <w:color w:val="auto"/>
        </w:rPr>
        <w:t>key</w:t>
      </w:r>
      <w:r w:rsidRPr="002A776D">
        <w:rPr>
          <w:color w:val="auto"/>
        </w:rPr>
        <w:t xml:space="preserve"> informants. Their choice is consistent with similar studies conducted by Shabarati, Jawad and Bontis (2010) and </w:t>
      </w:r>
      <w:r w:rsidRPr="002A776D">
        <w:rPr>
          <w:color w:val="auto"/>
        </w:rPr>
        <w:lastRenderedPageBreak/>
        <w:t xml:space="preserve">Cabrita and Bontis (2008) who claim top managers are knowledgeable about organizational characteristics. </w:t>
      </w:r>
    </w:p>
    <w:p w:rsidR="00B91C51" w:rsidRPr="002A776D" w:rsidRDefault="00B91C51" w:rsidP="00DE49C5">
      <w:pPr>
        <w:pStyle w:val="Default"/>
        <w:ind w:left="360"/>
        <w:jc w:val="both"/>
        <w:rPr>
          <w:color w:val="auto"/>
          <w:sz w:val="20"/>
          <w:szCs w:val="20"/>
        </w:rPr>
      </w:pPr>
    </w:p>
    <w:p w:rsidR="003162E2" w:rsidRDefault="003162E2" w:rsidP="00681B2A">
      <w:pPr>
        <w:pStyle w:val="Default"/>
        <w:spacing w:line="360" w:lineRule="auto"/>
        <w:ind w:left="360"/>
        <w:jc w:val="both"/>
        <w:rPr>
          <w:color w:val="auto"/>
        </w:rPr>
      </w:pPr>
      <w:r w:rsidRPr="002A776D">
        <w:rPr>
          <w:color w:val="auto"/>
        </w:rPr>
        <w:t>Both descriptive and inferential statistics were utilized to analyze the data. Descriptive statistics was computed to represent general information and firm characteristics (Kothari, 20</w:t>
      </w:r>
      <w:r w:rsidR="00FB0418" w:rsidRPr="002A776D">
        <w:rPr>
          <w:color w:val="auto"/>
        </w:rPr>
        <w:t>14</w:t>
      </w:r>
      <w:r w:rsidRPr="002A776D">
        <w:rPr>
          <w:color w:val="auto"/>
        </w:rPr>
        <w:t>). Additionally, a series of regression analyses was conducted to assess the relationship between the independent and dependent variables to determine whether the results are significant or not.</w:t>
      </w:r>
      <w:r w:rsidR="001B1289" w:rsidRPr="002A776D">
        <w:rPr>
          <w:color w:val="auto"/>
        </w:rPr>
        <w:t xml:space="preserve"> Table i provides a summary of the hypothesis test and analytical procedures.</w:t>
      </w:r>
    </w:p>
    <w:p w:rsidR="00D64FD1" w:rsidRPr="002A776D" w:rsidRDefault="00D64FD1" w:rsidP="00681B2A">
      <w:pPr>
        <w:pStyle w:val="Caption"/>
        <w:spacing w:before="0" w:after="0"/>
        <w:ind w:firstLine="360"/>
      </w:pPr>
      <w:bookmarkStart w:id="17" w:name="_Toc57963047"/>
      <w:bookmarkEnd w:id="1"/>
      <w:bookmarkEnd w:id="2"/>
      <w:bookmarkEnd w:id="3"/>
      <w:bookmarkEnd w:id="4"/>
      <w:bookmarkEnd w:id="5"/>
      <w:bookmarkEnd w:id="6"/>
      <w:r w:rsidRPr="002A776D">
        <w:t xml:space="preserve">Table </w:t>
      </w:r>
      <w:r w:rsidR="007A0742" w:rsidRPr="002A776D">
        <w:t>i</w:t>
      </w:r>
      <w:r w:rsidRPr="002A776D">
        <w:t>: Objectives, Hypotheses, Tests and Analytical Models</w:t>
      </w:r>
      <w:bookmarkEnd w:id="17"/>
    </w:p>
    <w:tbl>
      <w:tblPr>
        <w:tblW w:w="5407"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430"/>
        <w:gridCol w:w="2996"/>
        <w:gridCol w:w="2730"/>
      </w:tblGrid>
      <w:tr w:rsidR="001169A2" w:rsidRPr="002A776D" w:rsidTr="00E65374">
        <w:trPr>
          <w:trHeight w:val="341"/>
        </w:trPr>
        <w:tc>
          <w:tcPr>
            <w:tcW w:w="861" w:type="pct"/>
          </w:tcPr>
          <w:p w:rsidR="00D64FD1" w:rsidRPr="002A776D" w:rsidRDefault="00D64FD1" w:rsidP="00681B2A">
            <w:pPr>
              <w:pStyle w:val="Default"/>
              <w:ind w:left="-108" w:right="-198"/>
              <w:rPr>
                <w:color w:val="auto"/>
                <w:sz w:val="22"/>
                <w:szCs w:val="22"/>
              </w:rPr>
            </w:pPr>
            <w:r w:rsidRPr="002A776D">
              <w:rPr>
                <w:b/>
                <w:bCs/>
                <w:color w:val="auto"/>
                <w:sz w:val="22"/>
                <w:szCs w:val="22"/>
              </w:rPr>
              <w:t xml:space="preserve">Objective </w:t>
            </w:r>
          </w:p>
        </w:tc>
        <w:tc>
          <w:tcPr>
            <w:tcW w:w="827" w:type="pct"/>
          </w:tcPr>
          <w:p w:rsidR="00D64FD1" w:rsidRPr="002A776D" w:rsidRDefault="00D64FD1" w:rsidP="00681B2A">
            <w:pPr>
              <w:ind w:right="-963"/>
              <w:rPr>
                <w:b/>
                <w:sz w:val="22"/>
                <w:szCs w:val="22"/>
              </w:rPr>
            </w:pPr>
            <w:r w:rsidRPr="002A776D">
              <w:rPr>
                <w:b/>
                <w:sz w:val="22"/>
                <w:szCs w:val="22"/>
              </w:rPr>
              <w:t xml:space="preserve">Hypothesis </w:t>
            </w:r>
          </w:p>
        </w:tc>
        <w:tc>
          <w:tcPr>
            <w:tcW w:w="1733" w:type="pct"/>
          </w:tcPr>
          <w:p w:rsidR="00D64FD1" w:rsidRPr="002A776D" w:rsidRDefault="00D64FD1" w:rsidP="00681B2A">
            <w:pPr>
              <w:ind w:right="-963"/>
              <w:rPr>
                <w:b/>
                <w:sz w:val="22"/>
                <w:szCs w:val="22"/>
              </w:rPr>
            </w:pPr>
            <w:r w:rsidRPr="002A776D">
              <w:rPr>
                <w:b/>
                <w:sz w:val="22"/>
                <w:szCs w:val="22"/>
              </w:rPr>
              <w:t>Hypothesis Test</w:t>
            </w:r>
          </w:p>
        </w:tc>
        <w:tc>
          <w:tcPr>
            <w:tcW w:w="1579" w:type="pct"/>
          </w:tcPr>
          <w:p w:rsidR="00D64FD1" w:rsidRPr="002A776D" w:rsidRDefault="00D64FD1" w:rsidP="008E50D3">
            <w:pPr>
              <w:ind w:right="114"/>
              <w:rPr>
                <w:b/>
                <w:sz w:val="22"/>
                <w:szCs w:val="22"/>
              </w:rPr>
            </w:pPr>
            <w:r w:rsidRPr="002A776D">
              <w:rPr>
                <w:b/>
                <w:sz w:val="22"/>
                <w:szCs w:val="22"/>
              </w:rPr>
              <w:t xml:space="preserve">Analytical model </w:t>
            </w:r>
          </w:p>
        </w:tc>
      </w:tr>
      <w:tr w:rsidR="00BD4C83" w:rsidRPr="001169A2" w:rsidTr="008E50D3">
        <w:trPr>
          <w:trHeight w:val="58"/>
        </w:trPr>
        <w:tc>
          <w:tcPr>
            <w:tcW w:w="861" w:type="pct"/>
          </w:tcPr>
          <w:p w:rsidR="00BD4C83" w:rsidRPr="00B61BB6" w:rsidRDefault="00BD4C83" w:rsidP="00BD4C83">
            <w:pPr>
              <w:tabs>
                <w:tab w:val="left" w:pos="540"/>
                <w:tab w:val="left" w:pos="900"/>
                <w:tab w:val="num" w:pos="1260"/>
              </w:tabs>
              <w:autoSpaceDE w:val="0"/>
              <w:autoSpaceDN w:val="0"/>
              <w:spacing w:line="276" w:lineRule="auto"/>
              <w:ind w:right="-102"/>
              <w:rPr>
                <w:sz w:val="22"/>
                <w:szCs w:val="22"/>
              </w:rPr>
            </w:pPr>
            <w:r w:rsidRPr="00B61BB6">
              <w:rPr>
                <w:sz w:val="22"/>
                <w:szCs w:val="22"/>
              </w:rPr>
              <w:t>Objective :</w:t>
            </w:r>
          </w:p>
          <w:p w:rsidR="00BD4C83" w:rsidRDefault="00BD4C83" w:rsidP="00BD4C83">
            <w:pPr>
              <w:tabs>
                <w:tab w:val="left" w:pos="1447"/>
                <w:tab w:val="num" w:pos="1512"/>
              </w:tabs>
              <w:autoSpaceDE w:val="0"/>
              <w:autoSpaceDN w:val="0"/>
              <w:spacing w:line="276" w:lineRule="auto"/>
              <w:ind w:right="-102"/>
              <w:rPr>
                <w:sz w:val="22"/>
                <w:szCs w:val="22"/>
              </w:rPr>
            </w:pPr>
            <w:r w:rsidRPr="00B61BB6">
              <w:rPr>
                <w:sz w:val="22"/>
                <w:szCs w:val="22"/>
              </w:rPr>
              <w:t xml:space="preserve">Determine the mediating role of absorptive capacity on the </w:t>
            </w:r>
          </w:p>
          <w:p w:rsidR="00BD4C83" w:rsidRDefault="00BD4C83" w:rsidP="00BD4C83">
            <w:pPr>
              <w:tabs>
                <w:tab w:val="left" w:pos="1447"/>
                <w:tab w:val="num" w:pos="1512"/>
              </w:tabs>
              <w:autoSpaceDE w:val="0"/>
              <w:autoSpaceDN w:val="0"/>
              <w:spacing w:line="276" w:lineRule="auto"/>
              <w:ind w:right="-102"/>
              <w:rPr>
                <w:sz w:val="22"/>
                <w:szCs w:val="22"/>
              </w:rPr>
            </w:pPr>
            <w:r w:rsidRPr="00B61BB6">
              <w:rPr>
                <w:sz w:val="22"/>
                <w:szCs w:val="22"/>
              </w:rPr>
              <w:t xml:space="preserve">relationship between FDI and n firm </w:t>
            </w:r>
          </w:p>
          <w:p w:rsidR="00BD4C83" w:rsidRPr="00B61BB6" w:rsidRDefault="00BD4C83" w:rsidP="00BD4C83">
            <w:pPr>
              <w:tabs>
                <w:tab w:val="left" w:pos="1447"/>
                <w:tab w:val="num" w:pos="1512"/>
              </w:tabs>
              <w:autoSpaceDE w:val="0"/>
              <w:autoSpaceDN w:val="0"/>
              <w:spacing w:line="276" w:lineRule="auto"/>
              <w:ind w:right="-102"/>
              <w:rPr>
                <w:sz w:val="22"/>
                <w:szCs w:val="22"/>
              </w:rPr>
            </w:pPr>
            <w:r w:rsidRPr="00B61BB6">
              <w:rPr>
                <w:sz w:val="22"/>
                <w:szCs w:val="22"/>
              </w:rPr>
              <w:t>performance.</w:t>
            </w:r>
          </w:p>
          <w:p w:rsidR="00BD4C83" w:rsidRPr="00B61BB6" w:rsidRDefault="00BD4C83" w:rsidP="00BD4C83">
            <w:pPr>
              <w:spacing w:line="276" w:lineRule="auto"/>
              <w:ind w:right="-102"/>
              <w:rPr>
                <w:sz w:val="22"/>
                <w:szCs w:val="22"/>
              </w:rPr>
            </w:pPr>
          </w:p>
        </w:tc>
        <w:tc>
          <w:tcPr>
            <w:tcW w:w="827" w:type="pct"/>
          </w:tcPr>
          <w:p w:rsidR="00BD4C83" w:rsidRDefault="00BD4C83" w:rsidP="00F749FB">
            <w:pPr>
              <w:tabs>
                <w:tab w:val="left" w:pos="360"/>
                <w:tab w:val="left" w:pos="810"/>
                <w:tab w:val="left" w:pos="9000"/>
              </w:tabs>
              <w:autoSpaceDE w:val="0"/>
              <w:autoSpaceDN w:val="0"/>
              <w:spacing w:line="276" w:lineRule="auto"/>
              <w:ind w:right="-12"/>
              <w:rPr>
                <w:sz w:val="22"/>
                <w:szCs w:val="22"/>
              </w:rPr>
            </w:pPr>
            <w:r w:rsidRPr="00B61BB6">
              <w:rPr>
                <w:sz w:val="22"/>
                <w:szCs w:val="22"/>
              </w:rPr>
              <w:t>H2: Absorptive capacity has no significant</w:t>
            </w:r>
            <w:r>
              <w:rPr>
                <w:sz w:val="22"/>
                <w:szCs w:val="22"/>
              </w:rPr>
              <w:t xml:space="preserve">   </w:t>
            </w:r>
          </w:p>
          <w:p w:rsidR="00BD4C83" w:rsidRDefault="00BD4C83" w:rsidP="00BD4C83">
            <w:pPr>
              <w:tabs>
                <w:tab w:val="left" w:pos="360"/>
                <w:tab w:val="left" w:pos="810"/>
                <w:tab w:val="left" w:pos="9000"/>
              </w:tabs>
              <w:autoSpaceDE w:val="0"/>
              <w:autoSpaceDN w:val="0"/>
              <w:spacing w:line="276" w:lineRule="auto"/>
              <w:ind w:right="29"/>
              <w:rPr>
                <w:sz w:val="22"/>
                <w:szCs w:val="22"/>
              </w:rPr>
            </w:pPr>
            <w:r w:rsidRPr="00B61BB6">
              <w:rPr>
                <w:sz w:val="22"/>
                <w:szCs w:val="22"/>
              </w:rPr>
              <w:t xml:space="preserve">mediating effect on the </w:t>
            </w:r>
          </w:p>
          <w:p w:rsidR="00BD4C83" w:rsidRDefault="00BD4C83" w:rsidP="00BD4C83">
            <w:pPr>
              <w:tabs>
                <w:tab w:val="left" w:pos="360"/>
                <w:tab w:val="left" w:pos="810"/>
                <w:tab w:val="left" w:pos="9000"/>
              </w:tabs>
              <w:autoSpaceDE w:val="0"/>
              <w:autoSpaceDN w:val="0"/>
              <w:spacing w:line="276" w:lineRule="auto"/>
              <w:ind w:right="29"/>
              <w:rPr>
                <w:sz w:val="22"/>
                <w:szCs w:val="22"/>
              </w:rPr>
            </w:pPr>
            <w:r w:rsidRPr="00B61BB6">
              <w:rPr>
                <w:sz w:val="22"/>
                <w:szCs w:val="22"/>
              </w:rPr>
              <w:t xml:space="preserve">relationship </w:t>
            </w:r>
          </w:p>
          <w:p w:rsidR="00BD4C83" w:rsidRPr="00B61BB6" w:rsidRDefault="00BD4C83" w:rsidP="00F749FB">
            <w:pPr>
              <w:tabs>
                <w:tab w:val="left" w:pos="360"/>
                <w:tab w:val="left" w:pos="810"/>
                <w:tab w:val="left" w:pos="9000"/>
              </w:tabs>
              <w:autoSpaceDE w:val="0"/>
              <w:autoSpaceDN w:val="0"/>
              <w:spacing w:line="276" w:lineRule="auto"/>
              <w:ind w:right="29"/>
              <w:rPr>
                <w:b/>
                <w:sz w:val="22"/>
                <w:szCs w:val="22"/>
              </w:rPr>
            </w:pPr>
            <w:r w:rsidRPr="00B61BB6">
              <w:rPr>
                <w:sz w:val="22"/>
                <w:szCs w:val="22"/>
              </w:rPr>
              <w:t>between FDIs and firm</w:t>
            </w:r>
            <w:r w:rsidR="00F749FB">
              <w:rPr>
                <w:sz w:val="22"/>
                <w:szCs w:val="22"/>
              </w:rPr>
              <w:t xml:space="preserve"> </w:t>
            </w:r>
            <w:r w:rsidRPr="00B61BB6">
              <w:rPr>
                <w:sz w:val="22"/>
                <w:szCs w:val="22"/>
              </w:rPr>
              <w:t>performance.</w:t>
            </w:r>
          </w:p>
        </w:tc>
        <w:tc>
          <w:tcPr>
            <w:tcW w:w="1733" w:type="pct"/>
          </w:tcPr>
          <w:p w:rsidR="00BD4C83" w:rsidRPr="00B61BB6" w:rsidRDefault="00BD4C83" w:rsidP="00BD4C83">
            <w:pPr>
              <w:pStyle w:val="Default"/>
              <w:spacing w:line="276" w:lineRule="auto"/>
              <w:ind w:left="-73"/>
              <w:rPr>
                <w:color w:val="auto"/>
                <w:sz w:val="22"/>
                <w:szCs w:val="22"/>
              </w:rPr>
            </w:pPr>
            <w:r w:rsidRPr="00B61BB6">
              <w:rPr>
                <w:color w:val="auto"/>
                <w:sz w:val="22"/>
                <w:szCs w:val="22"/>
              </w:rPr>
              <w:t xml:space="preserve">Mediation Methodology: (Baron and Kenny (1986). </w:t>
            </w:r>
          </w:p>
          <w:p w:rsidR="00BD4C83" w:rsidRPr="00B61BB6" w:rsidRDefault="00BD4C83" w:rsidP="00BD4C83">
            <w:pPr>
              <w:pStyle w:val="Default"/>
              <w:spacing w:line="276" w:lineRule="auto"/>
              <w:ind w:left="-73"/>
              <w:rPr>
                <w:color w:val="auto"/>
                <w:sz w:val="22"/>
                <w:szCs w:val="22"/>
              </w:rPr>
            </w:pPr>
            <w:r w:rsidRPr="00B61BB6">
              <w:rPr>
                <w:color w:val="auto"/>
                <w:sz w:val="22"/>
                <w:szCs w:val="22"/>
              </w:rPr>
              <w:t xml:space="preserve">Hierarchical regression analysis </w:t>
            </w:r>
          </w:p>
          <w:p w:rsidR="00BD4C83" w:rsidRPr="00B61BB6" w:rsidRDefault="00BD4C83" w:rsidP="00BD4C83">
            <w:pPr>
              <w:pStyle w:val="Default"/>
              <w:spacing w:line="276" w:lineRule="auto"/>
              <w:ind w:left="-73" w:right="-130"/>
              <w:rPr>
                <w:color w:val="auto"/>
                <w:sz w:val="22"/>
                <w:szCs w:val="22"/>
              </w:rPr>
            </w:pPr>
            <w:r w:rsidRPr="00B61BB6">
              <w:rPr>
                <w:color w:val="auto"/>
                <w:sz w:val="22"/>
                <w:szCs w:val="22"/>
              </w:rPr>
              <w:t>Step 1: FP= β0+ β1FDI+ ε</w:t>
            </w:r>
          </w:p>
          <w:p w:rsidR="00BD4C83" w:rsidRPr="00B61BB6" w:rsidRDefault="00BD4C83" w:rsidP="00BD4C83">
            <w:pPr>
              <w:pStyle w:val="Default"/>
              <w:spacing w:line="276" w:lineRule="auto"/>
              <w:ind w:left="-73" w:right="-153" w:hanging="108"/>
              <w:rPr>
                <w:color w:val="auto"/>
                <w:sz w:val="22"/>
                <w:szCs w:val="22"/>
              </w:rPr>
            </w:pPr>
            <w:r w:rsidRPr="00B61BB6">
              <w:rPr>
                <w:color w:val="C00000"/>
                <w:sz w:val="22"/>
                <w:szCs w:val="22"/>
              </w:rPr>
              <w:t xml:space="preserve"> </w:t>
            </w:r>
            <w:r w:rsidR="00F749FB">
              <w:rPr>
                <w:color w:val="auto"/>
                <w:sz w:val="22"/>
                <w:szCs w:val="22"/>
              </w:rPr>
              <w:t>Step 2: FP= β0+β1FDI+</w:t>
            </w:r>
            <w:r w:rsidRPr="00B61BB6">
              <w:rPr>
                <w:color w:val="auto"/>
                <w:sz w:val="22"/>
                <w:szCs w:val="22"/>
              </w:rPr>
              <w:t>β2AC+ε</w:t>
            </w:r>
            <w:r w:rsidRPr="00B61BB6">
              <w:rPr>
                <w:color w:val="C00000"/>
                <w:sz w:val="22"/>
                <w:szCs w:val="22"/>
              </w:rPr>
              <w:t xml:space="preserve">     </w:t>
            </w:r>
            <w:r w:rsidRPr="00B61BB6">
              <w:rPr>
                <w:i/>
                <w:color w:val="auto"/>
                <w:sz w:val="22"/>
                <w:szCs w:val="22"/>
              </w:rPr>
              <w:t xml:space="preserve">Where, </w:t>
            </w:r>
            <w:r w:rsidRPr="00B61BB6">
              <w:rPr>
                <w:color w:val="auto"/>
                <w:sz w:val="22"/>
                <w:szCs w:val="22"/>
              </w:rPr>
              <w:t xml:space="preserve">β0=Constant, </w:t>
            </w:r>
          </w:p>
          <w:p w:rsidR="00BD4C83" w:rsidRPr="00B61BB6" w:rsidRDefault="00BD4C83" w:rsidP="00BD4C83">
            <w:pPr>
              <w:pStyle w:val="Default"/>
              <w:spacing w:line="276" w:lineRule="auto"/>
              <w:ind w:left="-73" w:right="-130"/>
              <w:rPr>
                <w:color w:val="auto"/>
                <w:sz w:val="22"/>
                <w:szCs w:val="22"/>
              </w:rPr>
            </w:pPr>
            <w:r w:rsidRPr="00B61BB6">
              <w:rPr>
                <w:color w:val="auto"/>
                <w:sz w:val="22"/>
                <w:szCs w:val="22"/>
              </w:rPr>
              <w:t xml:space="preserve">β1, β2=Regression coefficient </w:t>
            </w:r>
          </w:p>
          <w:p w:rsidR="00BD4C83" w:rsidRPr="00B61BB6" w:rsidRDefault="00BD4C83" w:rsidP="00BD4C83">
            <w:pPr>
              <w:pStyle w:val="Default"/>
              <w:spacing w:line="276" w:lineRule="auto"/>
              <w:ind w:left="-73" w:right="-130"/>
              <w:rPr>
                <w:color w:val="auto"/>
                <w:sz w:val="22"/>
                <w:szCs w:val="22"/>
              </w:rPr>
            </w:pPr>
            <w:r w:rsidRPr="00B61BB6">
              <w:rPr>
                <w:color w:val="auto"/>
                <w:sz w:val="22"/>
                <w:szCs w:val="22"/>
              </w:rPr>
              <w:t xml:space="preserve">FP = Firm performance </w:t>
            </w:r>
          </w:p>
          <w:p w:rsidR="00BD4C83" w:rsidRPr="00B61BB6" w:rsidRDefault="00BD4C83" w:rsidP="00BD4C83">
            <w:pPr>
              <w:pStyle w:val="Default"/>
              <w:spacing w:line="276" w:lineRule="auto"/>
              <w:ind w:left="-73" w:right="-86"/>
              <w:rPr>
                <w:color w:val="auto"/>
                <w:sz w:val="22"/>
                <w:szCs w:val="22"/>
              </w:rPr>
            </w:pPr>
            <w:r w:rsidRPr="00B61BB6">
              <w:rPr>
                <w:color w:val="auto"/>
                <w:sz w:val="22"/>
                <w:szCs w:val="22"/>
              </w:rPr>
              <w:t xml:space="preserve">FDI = composite index of Foreign Direct Investment </w:t>
            </w:r>
          </w:p>
          <w:p w:rsidR="00BD4C83" w:rsidRDefault="00BD4C83" w:rsidP="00BD4C83">
            <w:pPr>
              <w:pStyle w:val="Default"/>
              <w:spacing w:line="276" w:lineRule="auto"/>
              <w:ind w:left="-73" w:right="-108"/>
              <w:rPr>
                <w:color w:val="auto"/>
                <w:sz w:val="22"/>
                <w:szCs w:val="22"/>
              </w:rPr>
            </w:pPr>
            <w:r w:rsidRPr="00B61BB6">
              <w:rPr>
                <w:color w:val="auto"/>
                <w:sz w:val="22"/>
                <w:szCs w:val="22"/>
              </w:rPr>
              <w:t>AC =composite index of Absorptive capacity,</w:t>
            </w:r>
          </w:p>
          <w:p w:rsidR="00BD4C83" w:rsidRPr="00B61BB6" w:rsidRDefault="00BD4C83" w:rsidP="00BD4C83">
            <w:pPr>
              <w:pStyle w:val="Default"/>
              <w:spacing w:line="276" w:lineRule="auto"/>
              <w:ind w:left="-73" w:right="-108"/>
              <w:rPr>
                <w:color w:val="C00000"/>
                <w:sz w:val="22"/>
                <w:szCs w:val="22"/>
              </w:rPr>
            </w:pPr>
            <w:r w:rsidRPr="00B61BB6">
              <w:rPr>
                <w:color w:val="auto"/>
                <w:sz w:val="22"/>
                <w:szCs w:val="22"/>
              </w:rPr>
              <w:t xml:space="preserve"> ε =Error term</w:t>
            </w:r>
            <w:r w:rsidRPr="00B61BB6">
              <w:rPr>
                <w:color w:val="C00000"/>
                <w:sz w:val="22"/>
                <w:szCs w:val="22"/>
              </w:rPr>
              <w:t xml:space="preserve"> </w:t>
            </w:r>
          </w:p>
        </w:tc>
        <w:tc>
          <w:tcPr>
            <w:tcW w:w="1579" w:type="pct"/>
          </w:tcPr>
          <w:p w:rsidR="00BD4C83" w:rsidRPr="00B61BB6" w:rsidRDefault="00BD4C83" w:rsidP="008E50D3">
            <w:pPr>
              <w:pStyle w:val="Default"/>
              <w:spacing w:line="276" w:lineRule="auto"/>
              <w:ind w:left="-22" w:right="114" w:hanging="22"/>
              <w:rPr>
                <w:color w:val="auto"/>
                <w:sz w:val="22"/>
                <w:szCs w:val="22"/>
              </w:rPr>
            </w:pPr>
            <w:r w:rsidRPr="00B61BB6">
              <w:rPr>
                <w:color w:val="auto"/>
                <w:sz w:val="22"/>
                <w:szCs w:val="22"/>
              </w:rPr>
              <w:t>The value of adjusted R</w:t>
            </w:r>
            <w:r w:rsidRPr="00B61BB6">
              <w:rPr>
                <w:color w:val="auto"/>
                <w:sz w:val="22"/>
                <w:szCs w:val="22"/>
                <w:vertAlign w:val="superscript"/>
              </w:rPr>
              <w:t>2</w:t>
            </w:r>
            <w:r w:rsidRPr="00B61BB6">
              <w:rPr>
                <w:color w:val="auto"/>
                <w:sz w:val="22"/>
                <w:szCs w:val="22"/>
              </w:rPr>
              <w:t xml:space="preserve"> will show variation in firm’s performance explained by FDI </w:t>
            </w:r>
          </w:p>
          <w:p w:rsidR="00BD4C83" w:rsidRPr="00B61BB6" w:rsidRDefault="00BD4C83" w:rsidP="008E50D3">
            <w:pPr>
              <w:pStyle w:val="Default"/>
              <w:spacing w:line="276" w:lineRule="auto"/>
              <w:ind w:left="-22" w:right="114" w:hanging="22"/>
              <w:rPr>
                <w:color w:val="auto"/>
                <w:sz w:val="22"/>
                <w:szCs w:val="22"/>
              </w:rPr>
            </w:pPr>
            <w:r w:rsidRPr="00B61BB6">
              <w:rPr>
                <w:color w:val="auto"/>
                <w:sz w:val="22"/>
                <w:szCs w:val="22"/>
              </w:rPr>
              <w:t xml:space="preserve">F ratio will show the overall robustness and significance of the model </w:t>
            </w:r>
          </w:p>
          <w:p w:rsidR="00BD4C83" w:rsidRPr="00B61BB6" w:rsidRDefault="00BD4C83" w:rsidP="008E50D3">
            <w:pPr>
              <w:pStyle w:val="Default"/>
              <w:spacing w:line="276" w:lineRule="auto"/>
              <w:ind w:left="-22" w:right="114" w:hanging="22"/>
              <w:rPr>
                <w:color w:val="auto"/>
                <w:sz w:val="22"/>
                <w:szCs w:val="22"/>
              </w:rPr>
            </w:pPr>
            <w:r w:rsidRPr="00B61BB6">
              <w:rPr>
                <w:color w:val="auto"/>
                <w:sz w:val="22"/>
                <w:szCs w:val="22"/>
              </w:rPr>
              <w:t>Reject Hₒ if p&gt;0.05</w:t>
            </w:r>
          </w:p>
          <w:p w:rsidR="00BD4C83" w:rsidRPr="00B61BB6" w:rsidRDefault="00BD4C83" w:rsidP="008E50D3">
            <w:pPr>
              <w:pStyle w:val="Default"/>
              <w:spacing w:line="276" w:lineRule="auto"/>
              <w:ind w:left="-22" w:right="114" w:hanging="22"/>
              <w:rPr>
                <w:color w:val="auto"/>
                <w:sz w:val="22"/>
                <w:szCs w:val="22"/>
              </w:rPr>
            </w:pPr>
            <w:r w:rsidRPr="00B61BB6">
              <w:rPr>
                <w:color w:val="auto"/>
                <w:sz w:val="22"/>
                <w:szCs w:val="22"/>
              </w:rPr>
              <w:t xml:space="preserve"> Some form of mediation is supported when FDI is no longer significant when AC is controlled </w:t>
            </w:r>
          </w:p>
        </w:tc>
      </w:tr>
    </w:tbl>
    <w:p w:rsidR="00707ED3" w:rsidRPr="001169A2" w:rsidRDefault="00707ED3" w:rsidP="00EC17E5">
      <w:pPr>
        <w:pStyle w:val="Heading3"/>
        <w:ind w:left="360"/>
        <w:rPr>
          <w:color w:val="FF0000"/>
          <w:sz w:val="20"/>
        </w:rPr>
      </w:pPr>
    </w:p>
    <w:p w:rsidR="002A5C1A" w:rsidRPr="00551413" w:rsidRDefault="003300FB" w:rsidP="00551413">
      <w:pPr>
        <w:pStyle w:val="Heading3"/>
        <w:spacing w:line="360" w:lineRule="auto"/>
        <w:rPr>
          <w:rFonts w:eastAsia="Calibri"/>
          <w:sz w:val="26"/>
          <w:szCs w:val="26"/>
          <w:lang w:val="en-GB"/>
        </w:rPr>
      </w:pPr>
      <w:r w:rsidRPr="00551413">
        <w:rPr>
          <w:sz w:val="26"/>
          <w:szCs w:val="26"/>
        </w:rPr>
        <w:t>5</w:t>
      </w:r>
      <w:r w:rsidR="002A5C1A" w:rsidRPr="00551413">
        <w:rPr>
          <w:sz w:val="26"/>
          <w:szCs w:val="26"/>
        </w:rPr>
        <w:t xml:space="preserve">.0 </w:t>
      </w:r>
      <w:r w:rsidR="002A5C1A" w:rsidRPr="00551413">
        <w:rPr>
          <w:rFonts w:eastAsia="Calibri"/>
          <w:sz w:val="26"/>
          <w:szCs w:val="26"/>
          <w:lang w:val="en-GB"/>
        </w:rPr>
        <w:t>Preliminary Analysis</w:t>
      </w:r>
    </w:p>
    <w:p w:rsidR="00F1052D" w:rsidRPr="00551413" w:rsidRDefault="003300FB" w:rsidP="00117695">
      <w:pPr>
        <w:pStyle w:val="Heading2"/>
        <w:numPr>
          <w:ilvl w:val="0"/>
          <w:numId w:val="0"/>
        </w:numPr>
        <w:tabs>
          <w:tab w:val="clear" w:pos="454"/>
          <w:tab w:val="left" w:pos="360"/>
        </w:tabs>
        <w:spacing w:line="360" w:lineRule="auto"/>
        <w:ind w:left="187" w:hanging="187"/>
        <w:rPr>
          <w:rFonts w:eastAsia="Times New Roman"/>
          <w:sz w:val="26"/>
          <w:szCs w:val="26"/>
          <w:lang w:eastAsia="en-US"/>
        </w:rPr>
      </w:pPr>
      <w:bookmarkStart w:id="18" w:name="_Toc53409147"/>
      <w:bookmarkStart w:id="19" w:name="_Toc58496097"/>
      <w:r w:rsidRPr="00551413">
        <w:rPr>
          <w:sz w:val="26"/>
          <w:szCs w:val="26"/>
        </w:rPr>
        <w:t>5</w:t>
      </w:r>
      <w:r w:rsidR="003114D0" w:rsidRPr="00551413">
        <w:rPr>
          <w:sz w:val="26"/>
          <w:szCs w:val="26"/>
        </w:rPr>
        <w:t>.</w:t>
      </w:r>
      <w:r w:rsidR="00F749FB" w:rsidRPr="00551413">
        <w:rPr>
          <w:sz w:val="26"/>
          <w:szCs w:val="26"/>
        </w:rPr>
        <w:t>1</w:t>
      </w:r>
      <w:r w:rsidR="003114D0" w:rsidRPr="00551413">
        <w:rPr>
          <w:sz w:val="26"/>
          <w:szCs w:val="26"/>
        </w:rPr>
        <w:t xml:space="preserve"> </w:t>
      </w:r>
      <w:bookmarkEnd w:id="18"/>
      <w:bookmarkEnd w:id="19"/>
      <w:r w:rsidR="00F1052D" w:rsidRPr="00551413">
        <w:rPr>
          <w:rFonts w:eastAsia="Times New Roman"/>
          <w:sz w:val="26"/>
          <w:szCs w:val="26"/>
          <w:lang w:eastAsia="en-US"/>
        </w:rPr>
        <w:t xml:space="preserve">Diagnostic test </w:t>
      </w:r>
    </w:p>
    <w:p w:rsidR="00CE417B" w:rsidRPr="002A776D" w:rsidRDefault="00CE417B" w:rsidP="00CE417B">
      <w:pPr>
        <w:keepNext/>
        <w:keepLines/>
        <w:widowControl/>
        <w:adjustRightInd/>
        <w:spacing w:line="360" w:lineRule="auto"/>
        <w:ind w:left="360"/>
        <w:textAlignment w:val="auto"/>
        <w:outlineLvl w:val="1"/>
        <w:rPr>
          <w:rFonts w:eastAsia="Calibri"/>
          <w:szCs w:val="24"/>
          <w:lang w:eastAsia="en-US"/>
        </w:rPr>
      </w:pPr>
      <w:bookmarkStart w:id="20" w:name="_Toc53409545"/>
      <w:bookmarkStart w:id="21" w:name="_Toc38969407"/>
      <w:bookmarkStart w:id="22" w:name="_Toc39054193"/>
      <w:r w:rsidRPr="002A776D">
        <w:rPr>
          <w:rFonts w:eastAsia="Calibri"/>
          <w:szCs w:val="24"/>
          <w:lang w:eastAsia="en-US"/>
        </w:rPr>
        <w:t>T</w:t>
      </w:r>
      <w:r w:rsidR="00F749FB">
        <w:rPr>
          <w:rFonts w:eastAsia="Calibri"/>
          <w:szCs w:val="24"/>
          <w:lang w:eastAsia="en-US"/>
        </w:rPr>
        <w:t xml:space="preserve">he </w:t>
      </w:r>
      <w:r w:rsidR="00EC17E5">
        <w:rPr>
          <w:rFonts w:eastAsia="Calibri"/>
          <w:szCs w:val="24"/>
          <w:lang w:eastAsia="en-US"/>
        </w:rPr>
        <w:t>data</w:t>
      </w:r>
      <w:r w:rsidR="00F749FB" w:rsidRPr="002A776D">
        <w:rPr>
          <w:rFonts w:eastAsia="Calibri"/>
          <w:szCs w:val="24"/>
          <w:lang w:eastAsia="en-US"/>
        </w:rPr>
        <w:t xml:space="preserve"> </w:t>
      </w:r>
      <w:r w:rsidR="00F749FB">
        <w:rPr>
          <w:rFonts w:eastAsia="Calibri"/>
          <w:szCs w:val="24"/>
          <w:lang w:eastAsia="en-US"/>
        </w:rPr>
        <w:t xml:space="preserve">was checked for </w:t>
      </w:r>
      <w:r w:rsidR="00F749FB" w:rsidRPr="002A776D">
        <w:rPr>
          <w:rFonts w:eastAsia="Calibri"/>
          <w:szCs w:val="24"/>
          <w:lang w:eastAsia="en-US"/>
        </w:rPr>
        <w:t xml:space="preserve">normality and multicollinearity </w:t>
      </w:r>
      <w:r w:rsidR="00F749FB">
        <w:rPr>
          <w:rFonts w:eastAsia="Calibri"/>
          <w:szCs w:val="24"/>
          <w:lang w:eastAsia="en-US"/>
        </w:rPr>
        <w:t xml:space="preserve">before proceeding </w:t>
      </w:r>
      <w:r w:rsidRPr="002A776D">
        <w:rPr>
          <w:rFonts w:eastAsia="Calibri"/>
          <w:szCs w:val="24"/>
          <w:lang w:eastAsia="en-US"/>
        </w:rPr>
        <w:t>with regression analysis</w:t>
      </w:r>
      <w:r w:rsidR="00F749FB">
        <w:rPr>
          <w:rFonts w:eastAsia="Calibri"/>
          <w:szCs w:val="24"/>
          <w:lang w:eastAsia="en-US"/>
        </w:rPr>
        <w:t xml:space="preserve">. </w:t>
      </w:r>
      <w:r w:rsidRPr="002A776D">
        <w:rPr>
          <w:rFonts w:eastAsia="Calibri"/>
          <w:szCs w:val="24"/>
          <w:lang w:eastAsia="en-US"/>
        </w:rPr>
        <w:t xml:space="preserve">The model must meet </w:t>
      </w:r>
      <w:r w:rsidR="00F749FB">
        <w:rPr>
          <w:rFonts w:eastAsia="Calibri"/>
          <w:szCs w:val="24"/>
          <w:lang w:eastAsia="en-US"/>
        </w:rPr>
        <w:t xml:space="preserve">the </w:t>
      </w:r>
      <w:r w:rsidRPr="002A776D">
        <w:rPr>
          <w:rFonts w:eastAsia="Calibri"/>
          <w:szCs w:val="24"/>
          <w:lang w:eastAsia="en-US"/>
        </w:rPr>
        <w:t>condi</w:t>
      </w:r>
      <w:r w:rsidR="00C64709" w:rsidRPr="002A776D">
        <w:rPr>
          <w:rFonts w:eastAsia="Calibri"/>
          <w:szCs w:val="24"/>
          <w:lang w:eastAsia="en-US"/>
        </w:rPr>
        <w:t>tions</w:t>
      </w:r>
      <w:r w:rsidR="00F749FB">
        <w:rPr>
          <w:rFonts w:eastAsia="Calibri"/>
          <w:szCs w:val="24"/>
          <w:lang w:eastAsia="en-US"/>
        </w:rPr>
        <w:t xml:space="preserve"> of </w:t>
      </w:r>
      <w:r w:rsidR="00F749FB" w:rsidRPr="007743FF">
        <w:rPr>
          <w:rFonts w:eastAsia="Calibri"/>
          <w:lang w:val="en-GB"/>
        </w:rPr>
        <w:t>normal distribution</w:t>
      </w:r>
      <w:r w:rsidR="00F749FB">
        <w:rPr>
          <w:rFonts w:eastAsia="Calibri"/>
          <w:szCs w:val="24"/>
          <w:lang w:eastAsia="en-US"/>
        </w:rPr>
        <w:t xml:space="preserve"> and absence of </w:t>
      </w:r>
      <w:r w:rsidR="00F749FB" w:rsidRPr="007743FF">
        <w:rPr>
          <w:rFonts w:eastAsia="Calibri"/>
        </w:rPr>
        <w:t>multicollinearity</w:t>
      </w:r>
      <w:r w:rsidR="00F749FB">
        <w:rPr>
          <w:rFonts w:eastAsia="Calibri"/>
        </w:rPr>
        <w:t>.</w:t>
      </w:r>
      <w:r w:rsidRPr="002A776D">
        <w:rPr>
          <w:rFonts w:eastAsia="Calibri"/>
          <w:szCs w:val="24"/>
          <w:lang w:eastAsia="en-US"/>
        </w:rPr>
        <w:t xml:space="preserve"> Violation of these assumptions puts the researcher at the risk of producing misleading estimates (Brooks, 2008). </w:t>
      </w:r>
      <w:bookmarkEnd w:id="20"/>
    </w:p>
    <w:p w:rsidR="00E264A8" w:rsidRPr="00551413" w:rsidRDefault="003300FB" w:rsidP="00551413">
      <w:pPr>
        <w:keepNext/>
        <w:widowControl/>
        <w:adjustRightInd/>
        <w:spacing w:before="240" w:after="60"/>
        <w:jc w:val="left"/>
        <w:textAlignment w:val="auto"/>
        <w:outlineLvl w:val="3"/>
        <w:rPr>
          <w:rFonts w:ascii="Calibri" w:eastAsia="Times New Roman" w:hAnsi="Calibri"/>
          <w:b/>
          <w:bCs/>
          <w:sz w:val="26"/>
          <w:szCs w:val="26"/>
          <w:lang w:val="en-GB" w:eastAsia="en-US"/>
        </w:rPr>
      </w:pPr>
      <w:r w:rsidRPr="00551413">
        <w:rPr>
          <w:rFonts w:ascii="Calibri" w:eastAsia="Times New Roman" w:hAnsi="Calibri"/>
          <w:b/>
          <w:bCs/>
          <w:sz w:val="26"/>
          <w:szCs w:val="26"/>
          <w:lang w:val="en-GB" w:eastAsia="en-US"/>
        </w:rPr>
        <w:t>5</w:t>
      </w:r>
      <w:r w:rsidR="00E264A8" w:rsidRPr="00551413">
        <w:rPr>
          <w:rFonts w:ascii="Calibri" w:eastAsia="Times New Roman" w:hAnsi="Calibri"/>
          <w:b/>
          <w:bCs/>
          <w:sz w:val="26"/>
          <w:szCs w:val="26"/>
          <w:lang w:val="en-GB" w:eastAsia="en-US"/>
        </w:rPr>
        <w:t>.</w:t>
      </w:r>
      <w:r w:rsidR="002A6C2E" w:rsidRPr="00551413">
        <w:rPr>
          <w:rFonts w:ascii="Calibri" w:eastAsia="Times New Roman" w:hAnsi="Calibri"/>
          <w:b/>
          <w:bCs/>
          <w:sz w:val="26"/>
          <w:szCs w:val="26"/>
          <w:lang w:val="en-GB" w:eastAsia="en-US"/>
        </w:rPr>
        <w:t>1</w:t>
      </w:r>
      <w:r w:rsidR="00E264A8" w:rsidRPr="00551413">
        <w:rPr>
          <w:rFonts w:ascii="Calibri" w:eastAsia="Times New Roman" w:hAnsi="Calibri"/>
          <w:b/>
          <w:bCs/>
          <w:sz w:val="26"/>
          <w:szCs w:val="26"/>
          <w:lang w:val="en-GB" w:eastAsia="en-US"/>
        </w:rPr>
        <w:t>.1 Normality Tests</w:t>
      </w:r>
    </w:p>
    <w:bookmarkEnd w:id="21"/>
    <w:bookmarkEnd w:id="22"/>
    <w:p w:rsidR="000B1E38" w:rsidRPr="007743FF" w:rsidRDefault="000B1E38" w:rsidP="00EC17E5">
      <w:pPr>
        <w:spacing w:line="360" w:lineRule="auto"/>
        <w:ind w:left="360"/>
        <w:rPr>
          <w:rFonts w:eastAsia="Calibri"/>
          <w:lang w:val="en-GB"/>
        </w:rPr>
      </w:pPr>
      <w:r w:rsidRPr="007743FF">
        <w:rPr>
          <w:rFonts w:eastAsia="Calibri"/>
          <w:lang w:val="en-GB"/>
        </w:rPr>
        <w:t xml:space="preserve">Normality test is used to assess whether data matches a normal distribution. Variables that exhibit significant deviations from normality are likely to alter </w:t>
      </w:r>
      <w:r w:rsidRPr="007743FF">
        <w:rPr>
          <w:rFonts w:eastAsia="Calibri"/>
          <w:lang w:val="en-GB"/>
        </w:rPr>
        <w:lastRenderedPageBreak/>
        <w:t xml:space="preserve">relationships. </w:t>
      </w:r>
      <w:r w:rsidRPr="00D973C3">
        <w:t>McCabe</w:t>
      </w:r>
      <w:r>
        <w:t xml:space="preserve">, Moore </w:t>
      </w:r>
      <w:r w:rsidRPr="00D973C3">
        <w:t>and Craig</w:t>
      </w:r>
      <w:r>
        <w:t xml:space="preserve"> </w:t>
      </w:r>
      <w:r w:rsidRPr="00E14A21">
        <w:t xml:space="preserve">(2014) </w:t>
      </w:r>
      <w:r w:rsidRPr="007743FF">
        <w:t>posited that the tests for normality is very essential in determining whether or not the data collected was modelled properly by a normal distribution.</w:t>
      </w:r>
      <w:r w:rsidRPr="007743FF">
        <w:rPr>
          <w:rFonts w:eastAsia="Calibri"/>
          <w:lang w:val="en-GB"/>
        </w:rPr>
        <w:t xml:space="preserve"> </w:t>
      </w:r>
      <w:r w:rsidRPr="007743FF">
        <w:rPr>
          <w:lang w:val="en-GB"/>
        </w:rPr>
        <w:t>Normality of data w</w:t>
      </w:r>
      <w:r w:rsidR="00EC17E5">
        <w:rPr>
          <w:lang w:val="en-GB"/>
        </w:rPr>
        <w:t xml:space="preserve">as established using histograms. </w:t>
      </w:r>
      <w:r w:rsidRPr="007743FF">
        <w:rPr>
          <w:rFonts w:eastAsia="Calibri"/>
        </w:rPr>
        <w:t xml:space="preserve">Miot (2017) posited that a good and decent data used in research is that which can be said to be normally distributed. </w:t>
      </w:r>
      <w:r w:rsidRPr="007743FF">
        <w:rPr>
          <w:rFonts w:eastAsia="Calibri"/>
          <w:lang w:val="en-GB"/>
        </w:rPr>
        <w:t>The results</w:t>
      </w:r>
      <w:r w:rsidR="00EC17E5">
        <w:rPr>
          <w:rFonts w:eastAsia="Calibri"/>
          <w:lang w:val="en-GB"/>
        </w:rPr>
        <w:t xml:space="preserve"> of the normality test </w:t>
      </w:r>
      <w:r w:rsidRPr="007743FF">
        <w:rPr>
          <w:rFonts w:eastAsia="Calibri"/>
          <w:lang w:val="en-GB"/>
        </w:rPr>
        <w:t xml:space="preserve">are presented in the proceeding section. </w:t>
      </w:r>
    </w:p>
    <w:p w:rsidR="00F1052D" w:rsidRPr="001169A2" w:rsidRDefault="00F1052D" w:rsidP="000F6938">
      <w:pPr>
        <w:widowControl/>
        <w:tabs>
          <w:tab w:val="left" w:pos="1260"/>
        </w:tabs>
        <w:adjustRightInd/>
        <w:spacing w:line="360" w:lineRule="auto"/>
        <w:ind w:left="360"/>
        <w:textAlignment w:val="auto"/>
        <w:rPr>
          <w:rFonts w:eastAsia="Calibri"/>
          <w:color w:val="FF0000"/>
          <w:sz w:val="20"/>
          <w:lang w:val="en-GB" w:eastAsia="en-US"/>
        </w:rPr>
      </w:pPr>
      <w:r w:rsidRPr="001169A2">
        <w:rPr>
          <w:rFonts w:eastAsia="Times New Roman"/>
          <w:color w:val="FF0000"/>
          <w:szCs w:val="24"/>
          <w:lang w:eastAsia="en-US"/>
        </w:rPr>
        <w:t xml:space="preserve"> </w:t>
      </w:r>
    </w:p>
    <w:p w:rsidR="00F1052D" w:rsidRPr="008E4678" w:rsidRDefault="003300FB" w:rsidP="008E4678">
      <w:pPr>
        <w:widowControl/>
        <w:adjustRightInd/>
        <w:spacing w:line="360" w:lineRule="auto"/>
        <w:jc w:val="left"/>
        <w:textAlignment w:val="auto"/>
        <w:outlineLvl w:val="4"/>
        <w:rPr>
          <w:rFonts w:eastAsia="Calibri"/>
          <w:b/>
          <w:bCs/>
          <w:iCs/>
          <w:sz w:val="26"/>
          <w:szCs w:val="26"/>
          <w:lang w:eastAsia="en-US"/>
        </w:rPr>
      </w:pPr>
      <w:r w:rsidRPr="008E4678">
        <w:rPr>
          <w:rFonts w:ascii="Calibri" w:eastAsia="Calibri" w:hAnsi="Calibri"/>
          <w:b/>
          <w:bCs/>
          <w:iCs/>
          <w:sz w:val="26"/>
          <w:szCs w:val="26"/>
          <w:lang w:eastAsia="en-US"/>
        </w:rPr>
        <w:t>5</w:t>
      </w:r>
      <w:r w:rsidR="00C80C8A" w:rsidRPr="008E4678">
        <w:rPr>
          <w:rFonts w:ascii="Calibri" w:eastAsia="Calibri" w:hAnsi="Calibri"/>
          <w:b/>
          <w:bCs/>
          <w:iCs/>
          <w:sz w:val="26"/>
          <w:szCs w:val="26"/>
          <w:lang w:eastAsia="en-US"/>
        </w:rPr>
        <w:t>.</w:t>
      </w:r>
      <w:r w:rsidR="002A6C2E" w:rsidRPr="008E4678">
        <w:rPr>
          <w:rFonts w:ascii="Calibri" w:eastAsia="Calibri" w:hAnsi="Calibri"/>
          <w:b/>
          <w:bCs/>
          <w:iCs/>
          <w:sz w:val="26"/>
          <w:szCs w:val="26"/>
          <w:lang w:eastAsia="en-US"/>
        </w:rPr>
        <w:t>1</w:t>
      </w:r>
      <w:r w:rsidR="00C80C8A" w:rsidRPr="008E4678">
        <w:rPr>
          <w:rFonts w:ascii="Calibri" w:eastAsia="Calibri" w:hAnsi="Calibri"/>
          <w:b/>
          <w:bCs/>
          <w:iCs/>
          <w:sz w:val="26"/>
          <w:szCs w:val="26"/>
          <w:lang w:eastAsia="en-US"/>
        </w:rPr>
        <w:t>.1</w:t>
      </w:r>
      <w:r w:rsidR="00F1052D" w:rsidRPr="008E4678">
        <w:rPr>
          <w:rFonts w:eastAsia="Calibri"/>
          <w:b/>
          <w:bCs/>
          <w:iCs/>
          <w:sz w:val="26"/>
          <w:szCs w:val="26"/>
          <w:lang w:eastAsia="en-US"/>
        </w:rPr>
        <w:t>.1 Histogram Graphs for Normality of Responses</w:t>
      </w:r>
    </w:p>
    <w:p w:rsidR="00F1052D" w:rsidRPr="00C22F52" w:rsidRDefault="00F1052D" w:rsidP="00E97E94">
      <w:pPr>
        <w:widowControl/>
        <w:numPr>
          <w:ilvl w:val="0"/>
          <w:numId w:val="20"/>
        </w:numPr>
        <w:autoSpaceDE w:val="0"/>
        <w:autoSpaceDN w:val="0"/>
        <w:adjustRightInd/>
        <w:spacing w:line="360" w:lineRule="auto"/>
        <w:ind w:left="0" w:firstLine="450"/>
        <w:jc w:val="left"/>
        <w:textAlignment w:val="auto"/>
        <w:rPr>
          <w:rFonts w:eastAsia="Calibri"/>
          <w:szCs w:val="24"/>
          <w:lang w:eastAsia="en-US"/>
        </w:rPr>
      </w:pPr>
      <w:r w:rsidRPr="00C22F52">
        <w:rPr>
          <w:rFonts w:eastAsia="Calibri"/>
          <w:b/>
          <w:bCs/>
          <w:szCs w:val="24"/>
          <w:lang w:eastAsia="en-US"/>
        </w:rPr>
        <w:t xml:space="preserve">Foreign Direct Investment </w:t>
      </w:r>
    </w:p>
    <w:p w:rsidR="00F1052D" w:rsidRPr="00C22F52" w:rsidRDefault="00F1052D" w:rsidP="00E97E94">
      <w:pPr>
        <w:widowControl/>
        <w:autoSpaceDE w:val="0"/>
        <w:autoSpaceDN w:val="0"/>
        <w:spacing w:line="360" w:lineRule="auto"/>
        <w:ind w:left="475"/>
        <w:textAlignment w:val="auto"/>
        <w:rPr>
          <w:rFonts w:eastAsia="Times New Roman"/>
          <w:szCs w:val="24"/>
          <w:lang w:val="en-GB" w:eastAsia="en-US"/>
        </w:rPr>
      </w:pPr>
      <w:r w:rsidRPr="00C22F52">
        <w:rPr>
          <w:rFonts w:eastAsia="Times New Roman"/>
          <w:szCs w:val="24"/>
          <w:lang w:val="en-GB" w:eastAsia="en-US"/>
        </w:rPr>
        <w:t xml:space="preserve">Figure </w:t>
      </w:r>
      <w:r w:rsidR="00DE49C5" w:rsidRPr="00C22F52">
        <w:rPr>
          <w:rFonts w:eastAsia="Times New Roman"/>
          <w:szCs w:val="24"/>
          <w:lang w:val="en-GB" w:eastAsia="en-US"/>
        </w:rPr>
        <w:t>ii</w:t>
      </w:r>
      <w:r w:rsidRPr="00C22F52">
        <w:rPr>
          <w:rFonts w:eastAsia="Times New Roman"/>
          <w:szCs w:val="24"/>
          <w:lang w:val="en-GB" w:eastAsia="en-US"/>
        </w:rPr>
        <w:t xml:space="preserve"> displays a symmetrical histogram, an indication that FDI was normally distributed. Specifically, the variable followed a normal distribution with a mean equal to 2.46 and standard deviation of 0.311. As such, it was concluded that the foreign direct investment variable met the normality condition.</w:t>
      </w:r>
    </w:p>
    <w:p w:rsidR="00F1052D" w:rsidRPr="00C22F52" w:rsidRDefault="00F1052D" w:rsidP="006D3307">
      <w:pPr>
        <w:widowControl/>
        <w:adjustRightInd/>
        <w:spacing w:after="200" w:line="276" w:lineRule="auto"/>
        <w:ind w:left="482" w:firstLine="482"/>
        <w:jc w:val="left"/>
        <w:textAlignment w:val="auto"/>
        <w:rPr>
          <w:rFonts w:eastAsia="Times New Roman"/>
          <w:caps/>
          <w:spacing w:val="10"/>
          <w:szCs w:val="18"/>
          <w:lang w:eastAsia="en-US" w:bidi="en-US"/>
        </w:rPr>
      </w:pPr>
      <w:bookmarkStart w:id="23" w:name="_Toc53410592"/>
      <w:bookmarkStart w:id="24" w:name="_Toc53410645"/>
      <w:r w:rsidRPr="00C22F52">
        <w:rPr>
          <w:rFonts w:eastAsia="Times New Roman"/>
          <w:spacing w:val="10"/>
          <w:szCs w:val="18"/>
          <w:lang w:eastAsia="en-US" w:bidi="en-US"/>
        </w:rPr>
        <w:t>F</w:t>
      </w:r>
      <w:r w:rsidRPr="00C22F52">
        <w:rPr>
          <w:rFonts w:eastAsia="Times New Roman"/>
          <w:b/>
          <w:spacing w:val="10"/>
          <w:szCs w:val="18"/>
          <w:lang w:eastAsia="en-US" w:bidi="en-US"/>
        </w:rPr>
        <w:t xml:space="preserve">igure </w:t>
      </w:r>
      <w:r w:rsidR="00A31ED3" w:rsidRPr="00C22F52">
        <w:rPr>
          <w:rFonts w:eastAsia="Times New Roman"/>
          <w:b/>
          <w:spacing w:val="10"/>
          <w:szCs w:val="18"/>
          <w:lang w:eastAsia="en-US" w:bidi="en-US"/>
        </w:rPr>
        <w:t>ii</w:t>
      </w:r>
      <w:r w:rsidRPr="00C22F52">
        <w:rPr>
          <w:rFonts w:eastAsia="Times New Roman"/>
          <w:b/>
          <w:spacing w:val="10"/>
          <w:szCs w:val="18"/>
          <w:lang w:eastAsia="en-US" w:bidi="en-US"/>
        </w:rPr>
        <w:t>: Histogram of Foreign Direct Investment</w:t>
      </w:r>
      <w:bookmarkEnd w:id="23"/>
      <w:bookmarkEnd w:id="24"/>
    </w:p>
    <w:p w:rsidR="00F1052D" w:rsidRPr="00C22F52" w:rsidRDefault="00F1052D" w:rsidP="006D3307">
      <w:pPr>
        <w:widowControl/>
        <w:autoSpaceDE w:val="0"/>
        <w:autoSpaceDN w:val="0"/>
        <w:ind w:left="482"/>
        <w:jc w:val="left"/>
        <w:textAlignment w:val="auto"/>
        <w:rPr>
          <w:rFonts w:eastAsia="Times New Roman"/>
          <w:szCs w:val="24"/>
          <w:lang w:eastAsia="en-US"/>
        </w:rPr>
      </w:pPr>
      <w:r w:rsidRPr="00C22F52">
        <w:rPr>
          <w:rFonts w:eastAsia="Times New Roman"/>
          <w:noProof/>
          <w:szCs w:val="24"/>
          <w:lang w:eastAsia="en-US"/>
        </w:rPr>
        <w:drawing>
          <wp:inline distT="0" distB="0" distL="0" distR="0">
            <wp:extent cx="591312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1828800"/>
                    </a:xfrm>
                    <a:prstGeom prst="rect">
                      <a:avLst/>
                    </a:prstGeom>
                    <a:noFill/>
                    <a:ln>
                      <a:noFill/>
                    </a:ln>
                  </pic:spPr>
                </pic:pic>
              </a:graphicData>
            </a:graphic>
          </wp:inline>
        </w:drawing>
      </w:r>
    </w:p>
    <w:p w:rsidR="00F1052D" w:rsidRPr="00C22F52" w:rsidRDefault="00F1052D" w:rsidP="006D3307">
      <w:pPr>
        <w:widowControl/>
        <w:autoSpaceDE w:val="0"/>
        <w:autoSpaceDN w:val="0"/>
        <w:spacing w:line="360" w:lineRule="auto"/>
        <w:ind w:left="482" w:right="-259" w:firstLine="482"/>
        <w:textAlignment w:val="auto"/>
        <w:rPr>
          <w:rFonts w:eastAsia="Times New Roman"/>
          <w:bCs/>
          <w:szCs w:val="24"/>
          <w:lang w:val="en-GB" w:eastAsia="en-US"/>
        </w:rPr>
      </w:pPr>
      <w:r w:rsidRPr="00C22F52">
        <w:rPr>
          <w:rFonts w:eastAsia="Times New Roman"/>
          <w:bCs/>
          <w:szCs w:val="24"/>
          <w:lang w:val="en-GB" w:eastAsia="en-US"/>
        </w:rPr>
        <w:t>Source: Field Data 2019</w:t>
      </w:r>
    </w:p>
    <w:p w:rsidR="00A31ED3" w:rsidRPr="00C22F52" w:rsidRDefault="00A31ED3" w:rsidP="00A31ED3">
      <w:pPr>
        <w:widowControl/>
        <w:adjustRightInd/>
        <w:jc w:val="left"/>
        <w:textAlignment w:val="auto"/>
        <w:rPr>
          <w:rFonts w:eastAsia="Times New Roman"/>
          <w:b/>
          <w:spacing w:val="10"/>
          <w:sz w:val="20"/>
          <w:lang w:val="en-GB" w:eastAsia="en-US" w:bidi="en-US"/>
        </w:rPr>
      </w:pPr>
      <w:bookmarkStart w:id="25" w:name="_Toc462621268"/>
      <w:bookmarkStart w:id="26" w:name="_Toc53410595"/>
    </w:p>
    <w:p w:rsidR="00BD4C83" w:rsidRPr="00E97E94" w:rsidRDefault="000F6938" w:rsidP="00E97E94">
      <w:pPr>
        <w:pStyle w:val="Caption"/>
        <w:spacing w:before="0" w:after="0" w:line="360" w:lineRule="auto"/>
        <w:ind w:firstLine="482"/>
        <w:rPr>
          <w:b/>
          <w:caps/>
          <w:lang w:val="en-GB"/>
        </w:rPr>
      </w:pPr>
      <w:r w:rsidRPr="00E97E94">
        <w:rPr>
          <w:rFonts w:eastAsia="Times New Roman"/>
          <w:b/>
          <w:spacing w:val="10"/>
          <w:szCs w:val="18"/>
          <w:lang w:val="en-GB" w:eastAsia="en-US" w:bidi="en-US"/>
        </w:rPr>
        <w:t>i</w:t>
      </w:r>
      <w:r w:rsidR="00F1052D" w:rsidRPr="00E97E94">
        <w:rPr>
          <w:rFonts w:eastAsia="Times New Roman"/>
          <w:b/>
          <w:spacing w:val="10"/>
          <w:szCs w:val="18"/>
          <w:lang w:val="en-GB" w:eastAsia="en-US" w:bidi="en-US"/>
        </w:rPr>
        <w:t>i).</w:t>
      </w:r>
      <w:bookmarkStart w:id="27" w:name="_Toc462621266"/>
      <w:bookmarkStart w:id="28" w:name="_Toc53410593"/>
      <w:bookmarkStart w:id="29" w:name="_Toc57963054"/>
      <w:bookmarkStart w:id="30" w:name="_Toc38966246"/>
      <w:bookmarkStart w:id="31" w:name="_Toc38966704"/>
      <w:bookmarkStart w:id="32" w:name="_Toc39048583"/>
      <w:bookmarkEnd w:id="25"/>
      <w:bookmarkEnd w:id="26"/>
      <w:r w:rsidR="00BD4C83" w:rsidRPr="00E97E94">
        <w:rPr>
          <w:b/>
          <w:lang w:val="en-GB"/>
        </w:rPr>
        <w:t xml:space="preserve"> Absorptive Capacity</w:t>
      </w:r>
      <w:bookmarkEnd w:id="27"/>
      <w:bookmarkEnd w:id="28"/>
      <w:bookmarkEnd w:id="29"/>
      <w:r w:rsidR="00BD4C83" w:rsidRPr="00E97E94">
        <w:rPr>
          <w:b/>
          <w:lang w:val="en-GB"/>
        </w:rPr>
        <w:t xml:space="preserve"> </w:t>
      </w:r>
    </w:p>
    <w:p w:rsidR="00BD4C83" w:rsidRPr="00C22F52" w:rsidRDefault="00BD4C83" w:rsidP="00E97E94">
      <w:pPr>
        <w:autoSpaceDE w:val="0"/>
        <w:autoSpaceDN w:val="0"/>
        <w:spacing w:line="360" w:lineRule="auto"/>
        <w:ind w:left="482"/>
        <w:rPr>
          <w:rFonts w:eastAsia="Calibri"/>
        </w:rPr>
      </w:pPr>
      <w:r w:rsidRPr="00C22F52">
        <w:rPr>
          <w:lang w:val="en-GB"/>
        </w:rPr>
        <w:t xml:space="preserve">Figure </w:t>
      </w:r>
      <w:r w:rsidR="00EC17E5">
        <w:rPr>
          <w:lang w:val="en-GB"/>
        </w:rPr>
        <w:t>iii</w:t>
      </w:r>
      <w:r w:rsidRPr="00C22F52">
        <w:rPr>
          <w:lang w:val="en-GB"/>
        </w:rPr>
        <w:t xml:space="preserve"> is a symmetrical histogram indicating that the mediating variable absorptive capacity </w:t>
      </w:r>
      <w:r w:rsidRPr="00C22F52">
        <w:rPr>
          <w:rFonts w:eastAsia="Calibri"/>
        </w:rPr>
        <w:t xml:space="preserve">provided responses that upon exploring for normality showed that the distribution of responses for the variable was normal or bell-shaped </w:t>
      </w:r>
      <w:r w:rsidRPr="00C22F52">
        <w:rPr>
          <w:lang w:val="en-GB"/>
        </w:rPr>
        <w:t>with</w:t>
      </w:r>
      <w:r w:rsidRPr="00C22F52">
        <w:rPr>
          <w:rFonts w:eastAsia="Calibri"/>
        </w:rPr>
        <w:t xml:space="preserve"> a mean equal to </w:t>
      </w:r>
      <w:r w:rsidR="004518B5">
        <w:rPr>
          <w:rFonts w:eastAsia="Calibri"/>
        </w:rPr>
        <w:t>3</w:t>
      </w:r>
      <w:r w:rsidRPr="00C22F52">
        <w:rPr>
          <w:rFonts w:eastAsia="Calibri"/>
        </w:rPr>
        <w:t xml:space="preserve">.81 </w:t>
      </w:r>
      <w:r w:rsidR="004518B5">
        <w:rPr>
          <w:rFonts w:eastAsia="Calibri"/>
        </w:rPr>
        <w:t xml:space="preserve">and </w:t>
      </w:r>
      <w:r w:rsidR="004518B5" w:rsidRPr="00C22F52">
        <w:rPr>
          <w:rFonts w:eastAsia="Times New Roman"/>
          <w:szCs w:val="24"/>
          <w:lang w:val="en-GB" w:eastAsia="en-US"/>
        </w:rPr>
        <w:t xml:space="preserve">standard deviation of </w:t>
      </w:r>
      <w:r w:rsidRPr="00C22F52">
        <w:rPr>
          <w:rFonts w:eastAsia="Calibri"/>
        </w:rPr>
        <w:t>0.507. It was thus concluded that the absorptive capacity variable fulfilled the normality pre-condition.</w:t>
      </w:r>
    </w:p>
    <w:p w:rsidR="00BD4C83" w:rsidRPr="00C22F52" w:rsidRDefault="00BD4C83" w:rsidP="00CA1A40">
      <w:pPr>
        <w:pStyle w:val="Caption"/>
        <w:spacing w:after="0"/>
        <w:ind w:firstLine="475"/>
      </w:pPr>
      <w:bookmarkStart w:id="33" w:name="_Toc53410594"/>
      <w:bookmarkStart w:id="34" w:name="_Toc57963055"/>
      <w:bookmarkStart w:id="35" w:name="_Toc57963104"/>
      <w:r w:rsidRPr="00C22F52">
        <w:lastRenderedPageBreak/>
        <w:t xml:space="preserve">Figure </w:t>
      </w:r>
      <w:r w:rsidR="00EC17E5">
        <w:t>iii</w:t>
      </w:r>
      <w:r w:rsidRPr="00C22F52">
        <w:t>: Histogram of Absorptive Capacity</w:t>
      </w:r>
      <w:bookmarkEnd w:id="33"/>
      <w:bookmarkEnd w:id="34"/>
      <w:bookmarkEnd w:id="35"/>
    </w:p>
    <w:p w:rsidR="00BD4C83" w:rsidRPr="00C22F52" w:rsidRDefault="00BD4C83" w:rsidP="00BD4C83">
      <w:pPr>
        <w:autoSpaceDE w:val="0"/>
        <w:autoSpaceDN w:val="0"/>
        <w:rPr>
          <w:sz w:val="16"/>
          <w:szCs w:val="16"/>
        </w:rPr>
      </w:pPr>
    </w:p>
    <w:p w:rsidR="00BD4C83" w:rsidRPr="00C22F52" w:rsidRDefault="00BD4C83" w:rsidP="00BD4C83">
      <w:pPr>
        <w:autoSpaceDE w:val="0"/>
        <w:autoSpaceDN w:val="0"/>
      </w:pPr>
      <w:r w:rsidRPr="00C22F52">
        <w:rPr>
          <w:noProof/>
          <w:lang w:eastAsia="en-US"/>
        </w:rPr>
        <w:drawing>
          <wp:inline distT="0" distB="0" distL="0" distR="0" wp14:anchorId="06EF4B1A" wp14:editId="2520D659">
            <wp:extent cx="5526405" cy="223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0690" cy="2234391"/>
                    </a:xfrm>
                    <a:prstGeom prst="rect">
                      <a:avLst/>
                    </a:prstGeom>
                    <a:noFill/>
                    <a:ln>
                      <a:noFill/>
                    </a:ln>
                  </pic:spPr>
                </pic:pic>
              </a:graphicData>
            </a:graphic>
          </wp:inline>
        </w:drawing>
      </w:r>
    </w:p>
    <w:p w:rsidR="00BD4C83" w:rsidRPr="00C22F52" w:rsidRDefault="00BD4C83" w:rsidP="00724391">
      <w:pPr>
        <w:autoSpaceDE w:val="0"/>
        <w:autoSpaceDN w:val="0"/>
        <w:spacing w:line="360" w:lineRule="auto"/>
        <w:ind w:right="-259" w:firstLine="482"/>
        <w:rPr>
          <w:bCs/>
          <w:lang w:val="en-GB"/>
        </w:rPr>
      </w:pPr>
      <w:r w:rsidRPr="00C22F52">
        <w:rPr>
          <w:bCs/>
          <w:lang w:val="en-GB"/>
        </w:rPr>
        <w:t>Source: Field Data 2019</w:t>
      </w:r>
    </w:p>
    <w:p w:rsidR="00F1052D" w:rsidRPr="00724391" w:rsidRDefault="00F1052D" w:rsidP="00724391">
      <w:pPr>
        <w:widowControl/>
        <w:adjustRightInd/>
        <w:spacing w:line="276" w:lineRule="auto"/>
        <w:ind w:firstLine="475"/>
        <w:jc w:val="left"/>
        <w:textAlignment w:val="auto"/>
        <w:rPr>
          <w:rFonts w:eastAsia="Times New Roman"/>
          <w:b/>
          <w:sz w:val="16"/>
          <w:szCs w:val="16"/>
          <w:lang w:val="en-GB" w:eastAsia="en-US"/>
        </w:rPr>
      </w:pPr>
    </w:p>
    <w:p w:rsidR="00F1052D" w:rsidRPr="00C22F52" w:rsidRDefault="00F1052D" w:rsidP="00E97E94">
      <w:pPr>
        <w:widowControl/>
        <w:autoSpaceDE w:val="0"/>
        <w:autoSpaceDN w:val="0"/>
        <w:spacing w:line="360" w:lineRule="auto"/>
        <w:ind w:firstLine="482"/>
        <w:textAlignment w:val="auto"/>
        <w:rPr>
          <w:rFonts w:eastAsia="Times New Roman"/>
          <w:b/>
          <w:szCs w:val="24"/>
          <w:lang w:val="en-GB" w:eastAsia="en-US"/>
        </w:rPr>
      </w:pPr>
      <w:r w:rsidRPr="00C22F52">
        <w:rPr>
          <w:rFonts w:eastAsia="Times New Roman"/>
          <w:b/>
          <w:szCs w:val="24"/>
          <w:lang w:val="en-GB" w:eastAsia="en-US"/>
        </w:rPr>
        <w:t>i</w:t>
      </w:r>
      <w:r w:rsidR="00DE49C5" w:rsidRPr="00C22F52">
        <w:rPr>
          <w:rFonts w:eastAsia="Times New Roman"/>
          <w:b/>
          <w:szCs w:val="24"/>
          <w:lang w:val="en-GB" w:eastAsia="en-US"/>
        </w:rPr>
        <w:t>ii</w:t>
      </w:r>
      <w:r w:rsidRPr="00C22F52">
        <w:rPr>
          <w:rFonts w:eastAsia="Times New Roman"/>
          <w:b/>
          <w:szCs w:val="24"/>
          <w:lang w:val="en-GB" w:eastAsia="en-US"/>
        </w:rPr>
        <w:t xml:space="preserve">) Manufacturing Performance </w:t>
      </w:r>
      <w:r w:rsidRPr="00C22F52">
        <w:rPr>
          <w:rFonts w:eastAsia="Times New Roman"/>
          <w:b/>
          <w:szCs w:val="24"/>
          <w:lang w:val="en-GB" w:eastAsia="en-US"/>
        </w:rPr>
        <w:tab/>
      </w:r>
      <w:r w:rsidRPr="00C22F52">
        <w:rPr>
          <w:rFonts w:eastAsia="Times New Roman"/>
          <w:b/>
          <w:szCs w:val="24"/>
          <w:lang w:val="en-GB" w:eastAsia="en-US"/>
        </w:rPr>
        <w:tab/>
      </w:r>
    </w:p>
    <w:p w:rsidR="00F1052D" w:rsidRPr="00C22F52" w:rsidRDefault="00F1052D" w:rsidP="00E97E94">
      <w:pPr>
        <w:widowControl/>
        <w:autoSpaceDE w:val="0"/>
        <w:autoSpaceDN w:val="0"/>
        <w:spacing w:line="360" w:lineRule="auto"/>
        <w:ind w:left="475"/>
        <w:textAlignment w:val="auto"/>
        <w:rPr>
          <w:rFonts w:eastAsia="Times New Roman"/>
          <w:szCs w:val="24"/>
          <w:lang w:val="en-GB" w:eastAsia="en-US"/>
        </w:rPr>
      </w:pPr>
      <w:r w:rsidRPr="00C22F52">
        <w:rPr>
          <w:rFonts w:eastAsia="Times New Roman"/>
          <w:szCs w:val="24"/>
          <w:lang w:val="en-GB" w:eastAsia="en-US"/>
        </w:rPr>
        <w:t xml:space="preserve">The manufacturing performance variable was investigated for normality using histogram and results of analysis presented in figure </w:t>
      </w:r>
      <w:r w:rsidR="00DE49C5" w:rsidRPr="00C22F52">
        <w:rPr>
          <w:rFonts w:eastAsia="Times New Roman"/>
          <w:szCs w:val="24"/>
          <w:lang w:val="en-GB" w:eastAsia="en-US"/>
        </w:rPr>
        <w:t>iv</w:t>
      </w:r>
      <w:r w:rsidRPr="00C22F52">
        <w:rPr>
          <w:rFonts w:eastAsia="Times New Roman"/>
          <w:szCs w:val="24"/>
          <w:lang w:val="en-GB" w:eastAsia="en-US"/>
        </w:rPr>
        <w:t xml:space="preserve"> below; </w:t>
      </w:r>
    </w:p>
    <w:p w:rsidR="00F1052D" w:rsidRPr="00C22F52" w:rsidRDefault="00F1052D" w:rsidP="006D3307">
      <w:pPr>
        <w:widowControl/>
        <w:adjustRightInd/>
        <w:spacing w:after="200" w:line="276" w:lineRule="auto"/>
        <w:ind w:left="482" w:firstLine="482"/>
        <w:jc w:val="left"/>
        <w:textAlignment w:val="auto"/>
        <w:rPr>
          <w:rFonts w:eastAsia="Times New Roman"/>
          <w:b/>
          <w:caps/>
          <w:spacing w:val="10"/>
          <w:szCs w:val="18"/>
          <w:lang w:eastAsia="en-US" w:bidi="en-US"/>
        </w:rPr>
      </w:pPr>
      <w:bookmarkStart w:id="36" w:name="_Toc53410597"/>
      <w:bookmarkStart w:id="37" w:name="_Toc53410648"/>
      <w:bookmarkEnd w:id="30"/>
      <w:bookmarkEnd w:id="31"/>
      <w:bookmarkEnd w:id="32"/>
      <w:r w:rsidRPr="00C22F52">
        <w:rPr>
          <w:rFonts w:eastAsia="Times New Roman"/>
          <w:b/>
          <w:spacing w:val="10"/>
          <w:szCs w:val="18"/>
          <w:lang w:eastAsia="en-US" w:bidi="en-US"/>
        </w:rPr>
        <w:t xml:space="preserve">Figure </w:t>
      </w:r>
      <w:r w:rsidR="00A31ED3" w:rsidRPr="00C22F52">
        <w:rPr>
          <w:rFonts w:eastAsia="Times New Roman"/>
          <w:b/>
          <w:spacing w:val="10"/>
          <w:szCs w:val="18"/>
          <w:lang w:eastAsia="en-US" w:bidi="en-US"/>
        </w:rPr>
        <w:t>iv</w:t>
      </w:r>
      <w:r w:rsidRPr="00C22F52">
        <w:rPr>
          <w:rFonts w:eastAsia="Times New Roman"/>
          <w:b/>
          <w:spacing w:val="10"/>
          <w:szCs w:val="18"/>
          <w:lang w:eastAsia="en-US" w:bidi="en-US"/>
        </w:rPr>
        <w:t>: Histogram Of Firm Performance</w:t>
      </w:r>
      <w:bookmarkEnd w:id="36"/>
      <w:bookmarkEnd w:id="37"/>
    </w:p>
    <w:p w:rsidR="00F1052D" w:rsidRPr="00C22F52" w:rsidRDefault="00F1052D" w:rsidP="006D3307">
      <w:pPr>
        <w:widowControl/>
        <w:autoSpaceDE w:val="0"/>
        <w:autoSpaceDN w:val="0"/>
        <w:ind w:left="482"/>
        <w:jc w:val="left"/>
        <w:textAlignment w:val="auto"/>
        <w:rPr>
          <w:rFonts w:eastAsia="Times New Roman"/>
          <w:szCs w:val="24"/>
          <w:lang w:eastAsia="en-US"/>
        </w:rPr>
      </w:pPr>
      <w:r w:rsidRPr="00C22F52">
        <w:rPr>
          <w:rFonts w:eastAsia="Times New Roman"/>
          <w:noProof/>
          <w:szCs w:val="24"/>
          <w:lang w:eastAsia="en-US"/>
        </w:rPr>
        <w:drawing>
          <wp:inline distT="0" distB="0" distL="0" distR="0">
            <wp:extent cx="4983480" cy="23164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3480" cy="2316480"/>
                    </a:xfrm>
                    <a:prstGeom prst="rect">
                      <a:avLst/>
                    </a:prstGeom>
                    <a:noFill/>
                    <a:ln>
                      <a:noFill/>
                    </a:ln>
                  </pic:spPr>
                </pic:pic>
              </a:graphicData>
            </a:graphic>
          </wp:inline>
        </w:drawing>
      </w:r>
    </w:p>
    <w:p w:rsidR="00F1052D" w:rsidRPr="00C22F52" w:rsidRDefault="00F1052D" w:rsidP="006D3307">
      <w:pPr>
        <w:widowControl/>
        <w:autoSpaceDE w:val="0"/>
        <w:autoSpaceDN w:val="0"/>
        <w:spacing w:line="360" w:lineRule="auto"/>
        <w:ind w:left="482" w:firstLine="482"/>
        <w:textAlignment w:val="auto"/>
        <w:rPr>
          <w:rFonts w:eastAsia="Times New Roman"/>
          <w:bCs/>
          <w:szCs w:val="24"/>
          <w:lang w:val="en-GB" w:eastAsia="en-US"/>
        </w:rPr>
      </w:pPr>
      <w:r w:rsidRPr="00C22F52">
        <w:rPr>
          <w:rFonts w:eastAsia="Times New Roman"/>
          <w:bCs/>
          <w:szCs w:val="24"/>
          <w:lang w:val="en-GB" w:eastAsia="en-US"/>
        </w:rPr>
        <w:t>Source: Field Data 2019</w:t>
      </w:r>
    </w:p>
    <w:p w:rsidR="006D3307" w:rsidRDefault="00F1052D" w:rsidP="00E97E94">
      <w:pPr>
        <w:widowControl/>
        <w:autoSpaceDE w:val="0"/>
        <w:autoSpaceDN w:val="0"/>
        <w:spacing w:line="360" w:lineRule="auto"/>
        <w:ind w:left="475"/>
        <w:textAlignment w:val="auto"/>
        <w:rPr>
          <w:rFonts w:eastAsia="Calibri"/>
          <w:szCs w:val="24"/>
          <w:lang w:eastAsia="en-US"/>
        </w:rPr>
      </w:pPr>
      <w:r w:rsidRPr="00C22F52">
        <w:rPr>
          <w:rFonts w:eastAsia="Times New Roman"/>
          <w:szCs w:val="24"/>
          <w:lang w:val="en-GB" w:eastAsia="en-US"/>
        </w:rPr>
        <w:t xml:space="preserve">Figure </w:t>
      </w:r>
      <w:r w:rsidR="006D3307" w:rsidRPr="00C22F52">
        <w:rPr>
          <w:rFonts w:eastAsia="Times New Roman"/>
          <w:szCs w:val="24"/>
          <w:lang w:val="en-GB" w:eastAsia="en-US"/>
        </w:rPr>
        <w:t>iv</w:t>
      </w:r>
      <w:r w:rsidRPr="00C22F52">
        <w:rPr>
          <w:rFonts w:eastAsia="Times New Roman"/>
          <w:szCs w:val="24"/>
          <w:lang w:val="en-GB" w:eastAsia="en-US"/>
        </w:rPr>
        <w:t xml:space="preserve"> is a symmetrical histogram indicating that the independent variable                   Manufacturing Perfo</w:t>
      </w:r>
      <w:r w:rsidR="00EC17E5">
        <w:rPr>
          <w:rFonts w:eastAsia="Times New Roman"/>
          <w:szCs w:val="24"/>
          <w:lang w:val="en-GB" w:eastAsia="en-US"/>
        </w:rPr>
        <w:t>rmance was normally distributed</w:t>
      </w:r>
      <w:r w:rsidRPr="00C22F52">
        <w:rPr>
          <w:rFonts w:eastAsia="Times New Roman"/>
          <w:szCs w:val="24"/>
          <w:lang w:val="en-GB" w:eastAsia="en-US"/>
        </w:rPr>
        <w:t xml:space="preserve"> </w:t>
      </w:r>
      <w:r w:rsidR="00EC17E5">
        <w:rPr>
          <w:rFonts w:eastAsia="Times New Roman"/>
          <w:szCs w:val="24"/>
          <w:lang w:val="en-GB" w:eastAsia="en-US"/>
        </w:rPr>
        <w:t>as</w:t>
      </w:r>
      <w:r w:rsidRPr="00C22F52">
        <w:rPr>
          <w:rFonts w:eastAsia="Calibri"/>
          <w:szCs w:val="24"/>
          <w:lang w:eastAsia="en-US"/>
        </w:rPr>
        <w:t xml:space="preserve"> </w:t>
      </w:r>
      <w:r w:rsidR="00CA1A40">
        <w:rPr>
          <w:rFonts w:eastAsia="Calibri"/>
          <w:szCs w:val="24"/>
          <w:lang w:eastAsia="en-US"/>
        </w:rPr>
        <w:t xml:space="preserve">the </w:t>
      </w:r>
      <w:r w:rsidRPr="00C22F52">
        <w:rPr>
          <w:rFonts w:eastAsia="Calibri"/>
          <w:szCs w:val="24"/>
          <w:lang w:eastAsia="en-US"/>
        </w:rPr>
        <w:t xml:space="preserve">histogram was bell-shaped </w:t>
      </w:r>
      <w:r w:rsidR="00CA1A40">
        <w:rPr>
          <w:rFonts w:eastAsia="Calibri"/>
          <w:szCs w:val="24"/>
          <w:lang w:eastAsia="en-US"/>
        </w:rPr>
        <w:t>with</w:t>
      </w:r>
      <w:r w:rsidRPr="00C22F52">
        <w:rPr>
          <w:rFonts w:eastAsia="Calibri"/>
          <w:szCs w:val="24"/>
          <w:lang w:eastAsia="en-US"/>
        </w:rPr>
        <w:t xml:space="preserve"> a mean equal to 2.77 </w:t>
      </w:r>
      <w:r w:rsidR="004518B5">
        <w:rPr>
          <w:rFonts w:eastAsia="Calibri"/>
          <w:szCs w:val="24"/>
          <w:lang w:eastAsia="en-US"/>
        </w:rPr>
        <w:t xml:space="preserve">and </w:t>
      </w:r>
      <w:r w:rsidR="004518B5" w:rsidRPr="00C22F52">
        <w:rPr>
          <w:rFonts w:eastAsia="Times New Roman"/>
          <w:szCs w:val="24"/>
          <w:lang w:val="en-GB" w:eastAsia="en-US"/>
        </w:rPr>
        <w:t xml:space="preserve">standard deviation of </w:t>
      </w:r>
      <w:r w:rsidRPr="00C22F52">
        <w:rPr>
          <w:rFonts w:eastAsia="Calibri"/>
          <w:szCs w:val="24"/>
          <w:lang w:eastAsia="en-US"/>
        </w:rPr>
        <w:t xml:space="preserve">0.52. </w:t>
      </w:r>
    </w:p>
    <w:p w:rsidR="006F7ACB" w:rsidRPr="00C22F52" w:rsidRDefault="006F7ACB" w:rsidP="00E97E94">
      <w:pPr>
        <w:widowControl/>
        <w:autoSpaceDE w:val="0"/>
        <w:autoSpaceDN w:val="0"/>
        <w:spacing w:line="360" w:lineRule="auto"/>
        <w:ind w:left="475"/>
        <w:textAlignment w:val="auto"/>
        <w:rPr>
          <w:rFonts w:eastAsia="Calibri"/>
          <w:szCs w:val="24"/>
          <w:lang w:eastAsia="en-US"/>
        </w:rPr>
      </w:pPr>
    </w:p>
    <w:p w:rsidR="00F1052D" w:rsidRPr="008E4678" w:rsidRDefault="003300FB" w:rsidP="008E4678">
      <w:pPr>
        <w:widowControl/>
        <w:autoSpaceDE w:val="0"/>
        <w:autoSpaceDN w:val="0"/>
        <w:spacing w:before="100" w:beforeAutospacing="1" w:after="100" w:afterAutospacing="1" w:line="360" w:lineRule="auto"/>
        <w:textAlignment w:val="auto"/>
        <w:rPr>
          <w:rFonts w:eastAsia="Times New Roman"/>
          <w:b/>
          <w:bCs/>
          <w:sz w:val="26"/>
          <w:szCs w:val="26"/>
          <w:lang w:val="en-GB" w:eastAsia="en-US"/>
        </w:rPr>
      </w:pPr>
      <w:r w:rsidRPr="008E4678">
        <w:rPr>
          <w:rFonts w:eastAsia="Times New Roman"/>
          <w:b/>
          <w:bCs/>
          <w:sz w:val="26"/>
          <w:szCs w:val="26"/>
          <w:lang w:val="en-GB" w:eastAsia="en-US"/>
        </w:rPr>
        <w:lastRenderedPageBreak/>
        <w:t>5</w:t>
      </w:r>
      <w:r w:rsidR="006741B1" w:rsidRPr="008E4678">
        <w:rPr>
          <w:rFonts w:eastAsia="Times New Roman"/>
          <w:b/>
          <w:bCs/>
          <w:sz w:val="26"/>
          <w:szCs w:val="26"/>
          <w:lang w:val="en-GB" w:eastAsia="en-US"/>
        </w:rPr>
        <w:t>.</w:t>
      </w:r>
      <w:r w:rsidR="002A6C2E" w:rsidRPr="008E4678">
        <w:rPr>
          <w:rFonts w:eastAsia="Times New Roman"/>
          <w:b/>
          <w:bCs/>
          <w:sz w:val="26"/>
          <w:szCs w:val="26"/>
          <w:lang w:val="en-GB" w:eastAsia="en-US"/>
        </w:rPr>
        <w:t>1</w:t>
      </w:r>
      <w:r w:rsidR="00F1052D" w:rsidRPr="008E4678">
        <w:rPr>
          <w:rFonts w:eastAsia="Times New Roman"/>
          <w:b/>
          <w:bCs/>
          <w:sz w:val="26"/>
          <w:szCs w:val="26"/>
          <w:lang w:val="en-GB" w:eastAsia="en-US"/>
        </w:rPr>
        <w:t>.2 Multicollinearity Test</w:t>
      </w:r>
    </w:p>
    <w:p w:rsidR="00C22F52" w:rsidRPr="00724391" w:rsidRDefault="00F1052D" w:rsidP="00676AB8">
      <w:pPr>
        <w:widowControl/>
        <w:autoSpaceDE w:val="0"/>
        <w:autoSpaceDN w:val="0"/>
        <w:spacing w:line="360" w:lineRule="auto"/>
        <w:ind w:left="475"/>
        <w:contextualSpacing/>
        <w:textAlignment w:val="auto"/>
        <w:rPr>
          <w:rFonts w:eastAsia="Calibri"/>
          <w:szCs w:val="24"/>
          <w:lang w:eastAsia="en-US"/>
        </w:rPr>
      </w:pPr>
      <w:r w:rsidRPr="00CA1A40">
        <w:rPr>
          <w:rFonts w:eastAsia="Calibri"/>
          <w:szCs w:val="24"/>
          <w:lang w:val="en-GB" w:eastAsia="en-US"/>
        </w:rPr>
        <w:t xml:space="preserve">Multicollinearity occurs when there are multiple explanatory variables that exhibit high degree of correlations </w:t>
      </w:r>
      <w:r w:rsidRPr="00CA1A40">
        <w:rPr>
          <w:rFonts w:eastAsia="Calibri"/>
          <w:szCs w:val="24"/>
          <w:lang w:eastAsia="en-US"/>
        </w:rPr>
        <w:t>(Mugenda &amp; Mugenda, 200</w:t>
      </w:r>
      <w:r w:rsidR="00576E71" w:rsidRPr="00CA1A40">
        <w:rPr>
          <w:rFonts w:eastAsia="Calibri"/>
          <w:szCs w:val="24"/>
          <w:lang w:eastAsia="en-US"/>
        </w:rPr>
        <w:t>3</w:t>
      </w:r>
      <w:r w:rsidRPr="00CA1A40">
        <w:rPr>
          <w:rFonts w:eastAsia="Calibri"/>
          <w:szCs w:val="24"/>
          <w:lang w:eastAsia="en-US"/>
        </w:rPr>
        <w:t>; Zientek, Kim</w:t>
      </w:r>
      <w:r w:rsidRPr="00724391">
        <w:rPr>
          <w:rFonts w:eastAsia="Calibri"/>
          <w:szCs w:val="24"/>
          <w:lang w:eastAsia="en-US"/>
        </w:rPr>
        <w:t xml:space="preserve"> &amp; </w:t>
      </w:r>
      <w:r w:rsidR="00576E71" w:rsidRPr="00724391">
        <w:rPr>
          <w:rFonts w:eastAsia="Calibri"/>
          <w:szCs w:val="24"/>
          <w:lang w:eastAsia="en-US"/>
        </w:rPr>
        <w:t>Amanda</w:t>
      </w:r>
      <w:r w:rsidRPr="00724391">
        <w:rPr>
          <w:rFonts w:eastAsia="Calibri"/>
          <w:szCs w:val="24"/>
          <w:lang w:eastAsia="en-US"/>
        </w:rPr>
        <w:t xml:space="preserve">, 2016). </w:t>
      </w:r>
      <w:r w:rsidR="00CA1A40">
        <w:rPr>
          <w:rFonts w:eastAsia="Calibri"/>
          <w:szCs w:val="24"/>
          <w:lang w:eastAsia="en-US"/>
        </w:rPr>
        <w:t>T</w:t>
      </w:r>
      <w:r w:rsidRPr="00724391">
        <w:rPr>
          <w:rFonts w:eastAsia="Calibri"/>
          <w:szCs w:val="24"/>
          <w:lang w:eastAsia="en-US"/>
        </w:rPr>
        <w:t>o check for this precondition, the variance inflation factor (VIF) test was invoked</w:t>
      </w:r>
      <w:r w:rsidR="007939AB">
        <w:rPr>
          <w:rFonts w:eastAsia="Calibri"/>
          <w:szCs w:val="24"/>
          <w:lang w:eastAsia="en-US"/>
        </w:rPr>
        <w:t xml:space="preserve"> with </w:t>
      </w:r>
      <w:r w:rsidRPr="00724391">
        <w:rPr>
          <w:rFonts w:eastAsia="Calibri"/>
          <w:szCs w:val="24"/>
          <w:lang w:eastAsia="en-US"/>
        </w:rPr>
        <w:t>a VIF exceeding 10 indicati</w:t>
      </w:r>
      <w:r w:rsidR="007939AB">
        <w:rPr>
          <w:rFonts w:eastAsia="Calibri"/>
          <w:szCs w:val="24"/>
          <w:lang w:eastAsia="en-US"/>
        </w:rPr>
        <w:t>ng</w:t>
      </w:r>
      <w:r w:rsidRPr="00724391">
        <w:rPr>
          <w:rFonts w:eastAsia="Calibri"/>
          <w:szCs w:val="24"/>
          <w:lang w:eastAsia="en-US"/>
        </w:rPr>
        <w:t xml:space="preserve"> multicollinearity (</w:t>
      </w:r>
      <w:r w:rsidR="00576E71" w:rsidRPr="00724391">
        <w:rPr>
          <w:lang w:val="x-none" w:eastAsia="x-none"/>
        </w:rPr>
        <w:t xml:space="preserve">Hair, Anderson, Tatham </w:t>
      </w:r>
      <w:r w:rsidR="00576E71" w:rsidRPr="00724391">
        <w:rPr>
          <w:lang w:eastAsia="x-none"/>
        </w:rPr>
        <w:t>and</w:t>
      </w:r>
      <w:r w:rsidR="00576E71" w:rsidRPr="00724391">
        <w:rPr>
          <w:lang w:val="x-none" w:eastAsia="x-none"/>
        </w:rPr>
        <w:t xml:space="preserve"> Black</w:t>
      </w:r>
      <w:r w:rsidR="00576E71" w:rsidRPr="00724391">
        <w:rPr>
          <w:rFonts w:eastAsia="Calibri"/>
          <w:szCs w:val="24"/>
          <w:lang w:eastAsia="en-US"/>
        </w:rPr>
        <w:t xml:space="preserve"> ,</w:t>
      </w:r>
      <w:r w:rsidRPr="00724391">
        <w:rPr>
          <w:rFonts w:eastAsia="Calibri"/>
          <w:szCs w:val="24"/>
          <w:lang w:eastAsia="en-US"/>
        </w:rPr>
        <w:t xml:space="preserve"> 2008). </w:t>
      </w:r>
    </w:p>
    <w:p w:rsidR="00C22F52" w:rsidRPr="007743FF" w:rsidRDefault="00C22F52" w:rsidP="006F7ACB">
      <w:pPr>
        <w:pStyle w:val="Caption"/>
        <w:spacing w:before="100" w:beforeAutospacing="1" w:after="100" w:afterAutospacing="1"/>
        <w:ind w:left="475"/>
        <w:rPr>
          <w:caps/>
          <w:sz w:val="20"/>
          <w:lang w:val="en-GB"/>
        </w:rPr>
      </w:pPr>
      <w:bookmarkStart w:id="38" w:name="_Toc57963059"/>
      <w:r>
        <w:t xml:space="preserve">Table </w:t>
      </w:r>
      <w:r w:rsidR="00CA1A40">
        <w:t>ii</w:t>
      </w:r>
      <w:r>
        <w:t>: Collinearity Statistics</w:t>
      </w:r>
      <w:bookmarkEnd w:id="38"/>
    </w:p>
    <w:tbl>
      <w:tblPr>
        <w:tblW w:w="4677" w:type="pct"/>
        <w:tblInd w:w="475" w:type="dxa"/>
        <w:tblLook w:val="04A0" w:firstRow="1" w:lastRow="0" w:firstColumn="1" w:lastColumn="0" w:noHBand="0" w:noVBand="1"/>
      </w:tblPr>
      <w:tblGrid>
        <w:gridCol w:w="3299"/>
        <w:gridCol w:w="2407"/>
        <w:gridCol w:w="1780"/>
      </w:tblGrid>
      <w:tr w:rsidR="00C22F52" w:rsidRPr="007743FF" w:rsidTr="00724391">
        <w:trPr>
          <w:trHeight w:val="75"/>
        </w:trPr>
        <w:tc>
          <w:tcPr>
            <w:tcW w:w="2203" w:type="pct"/>
            <w:tcBorders>
              <w:top w:val="single" w:sz="4" w:space="0" w:color="auto"/>
            </w:tcBorders>
            <w:shd w:val="clear" w:color="auto" w:fill="auto"/>
            <w:vAlign w:val="bottom"/>
            <w:hideMark/>
          </w:tcPr>
          <w:p w:rsidR="00C22F52" w:rsidRPr="007743FF" w:rsidRDefault="00C22F52" w:rsidP="007939AB">
            <w:pPr>
              <w:jc w:val="center"/>
              <w:rPr>
                <w:b/>
                <w:sz w:val="22"/>
                <w:szCs w:val="22"/>
                <w:lang w:val="en-GB" w:eastAsia="en-GB"/>
              </w:rPr>
            </w:pPr>
            <w:r w:rsidRPr="007743FF">
              <w:rPr>
                <w:b/>
                <w:sz w:val="22"/>
                <w:szCs w:val="22"/>
                <w:lang w:val="en-GB" w:eastAsia="en-GB"/>
              </w:rPr>
              <w:t>Variable</w:t>
            </w:r>
          </w:p>
        </w:tc>
        <w:tc>
          <w:tcPr>
            <w:tcW w:w="2797" w:type="pct"/>
            <w:gridSpan w:val="2"/>
            <w:tcBorders>
              <w:top w:val="single" w:sz="4" w:space="0" w:color="auto"/>
            </w:tcBorders>
            <w:shd w:val="clear" w:color="auto" w:fill="auto"/>
            <w:vAlign w:val="bottom"/>
            <w:hideMark/>
          </w:tcPr>
          <w:p w:rsidR="00C22F52" w:rsidRPr="007743FF" w:rsidRDefault="00C22F52" w:rsidP="007939AB">
            <w:pPr>
              <w:jc w:val="center"/>
              <w:rPr>
                <w:b/>
                <w:sz w:val="22"/>
                <w:szCs w:val="22"/>
                <w:lang w:val="en-GB" w:eastAsia="en-GB"/>
              </w:rPr>
            </w:pPr>
            <w:r w:rsidRPr="007743FF">
              <w:rPr>
                <w:b/>
                <w:sz w:val="22"/>
                <w:szCs w:val="22"/>
                <w:lang w:val="en-GB" w:eastAsia="en-GB"/>
              </w:rPr>
              <w:t>Collinearity Statistics</w:t>
            </w:r>
          </w:p>
        </w:tc>
      </w:tr>
      <w:tr w:rsidR="00C22F52" w:rsidRPr="007743FF" w:rsidTr="00724391">
        <w:trPr>
          <w:trHeight w:val="243"/>
        </w:trPr>
        <w:tc>
          <w:tcPr>
            <w:tcW w:w="2203" w:type="pct"/>
            <w:tcBorders>
              <w:top w:val="nil"/>
              <w:bottom w:val="single" w:sz="4" w:space="0" w:color="auto"/>
            </w:tcBorders>
            <w:shd w:val="clear" w:color="auto" w:fill="auto"/>
            <w:vAlign w:val="bottom"/>
            <w:hideMark/>
          </w:tcPr>
          <w:p w:rsidR="00C22F52" w:rsidRPr="007743FF" w:rsidRDefault="00C22F52" w:rsidP="007939AB">
            <w:pPr>
              <w:rPr>
                <w:b/>
                <w:sz w:val="22"/>
                <w:szCs w:val="22"/>
                <w:lang w:val="en-GB" w:eastAsia="en-GB"/>
              </w:rPr>
            </w:pPr>
            <w:r w:rsidRPr="007743FF">
              <w:rPr>
                <w:b/>
                <w:sz w:val="22"/>
                <w:szCs w:val="22"/>
                <w:lang w:val="en-GB" w:eastAsia="en-GB"/>
              </w:rPr>
              <w:t> </w:t>
            </w:r>
          </w:p>
        </w:tc>
        <w:tc>
          <w:tcPr>
            <w:tcW w:w="1608" w:type="pct"/>
            <w:tcBorders>
              <w:top w:val="nil"/>
              <w:bottom w:val="single" w:sz="4" w:space="0" w:color="auto"/>
            </w:tcBorders>
            <w:shd w:val="clear" w:color="auto" w:fill="auto"/>
            <w:vAlign w:val="bottom"/>
            <w:hideMark/>
          </w:tcPr>
          <w:p w:rsidR="00C22F52" w:rsidRPr="007743FF" w:rsidRDefault="00C22F52" w:rsidP="007939AB">
            <w:pPr>
              <w:jc w:val="center"/>
              <w:rPr>
                <w:b/>
                <w:sz w:val="22"/>
                <w:szCs w:val="22"/>
                <w:lang w:val="en-GB" w:eastAsia="en-GB"/>
              </w:rPr>
            </w:pPr>
            <w:r w:rsidRPr="007743FF">
              <w:rPr>
                <w:b/>
                <w:sz w:val="22"/>
                <w:szCs w:val="22"/>
                <w:lang w:val="en-GB" w:eastAsia="en-GB"/>
              </w:rPr>
              <w:t>Tolerance</w:t>
            </w:r>
          </w:p>
        </w:tc>
        <w:tc>
          <w:tcPr>
            <w:tcW w:w="1189" w:type="pct"/>
            <w:tcBorders>
              <w:top w:val="nil"/>
              <w:bottom w:val="single" w:sz="4" w:space="0" w:color="auto"/>
            </w:tcBorders>
            <w:shd w:val="clear" w:color="auto" w:fill="auto"/>
            <w:vAlign w:val="bottom"/>
            <w:hideMark/>
          </w:tcPr>
          <w:p w:rsidR="00C22F52" w:rsidRPr="007743FF" w:rsidRDefault="00C22F52" w:rsidP="007939AB">
            <w:pPr>
              <w:jc w:val="center"/>
              <w:rPr>
                <w:b/>
                <w:sz w:val="22"/>
                <w:szCs w:val="22"/>
                <w:lang w:val="en-GB" w:eastAsia="en-GB"/>
              </w:rPr>
            </w:pPr>
            <w:r w:rsidRPr="007743FF">
              <w:rPr>
                <w:b/>
                <w:sz w:val="22"/>
                <w:szCs w:val="22"/>
                <w:lang w:val="en-GB" w:eastAsia="en-GB"/>
              </w:rPr>
              <w:t>VIF</w:t>
            </w:r>
          </w:p>
        </w:tc>
      </w:tr>
      <w:tr w:rsidR="00C22F52" w:rsidRPr="007743FF" w:rsidTr="00724391">
        <w:trPr>
          <w:trHeight w:val="315"/>
        </w:trPr>
        <w:tc>
          <w:tcPr>
            <w:tcW w:w="2203" w:type="pct"/>
            <w:tcBorders>
              <w:top w:val="single" w:sz="4" w:space="0" w:color="auto"/>
              <w:bottom w:val="nil"/>
            </w:tcBorders>
            <w:shd w:val="clear" w:color="auto" w:fill="auto"/>
            <w:hideMark/>
          </w:tcPr>
          <w:p w:rsidR="00C22F52" w:rsidRPr="007743FF" w:rsidRDefault="00C22F52" w:rsidP="007939AB">
            <w:pPr>
              <w:rPr>
                <w:lang w:val="en-GB" w:eastAsia="en-GB"/>
              </w:rPr>
            </w:pPr>
            <w:r w:rsidRPr="007743FF">
              <w:rPr>
                <w:lang w:val="en-GB" w:eastAsia="en-GB"/>
              </w:rPr>
              <w:t>Foreign Direct Investment</w:t>
            </w:r>
          </w:p>
        </w:tc>
        <w:tc>
          <w:tcPr>
            <w:tcW w:w="1608" w:type="pct"/>
            <w:tcBorders>
              <w:top w:val="single" w:sz="4" w:space="0" w:color="auto"/>
              <w:bottom w:val="nil"/>
            </w:tcBorders>
            <w:shd w:val="clear" w:color="auto" w:fill="auto"/>
            <w:noWrap/>
            <w:vAlign w:val="center"/>
            <w:hideMark/>
          </w:tcPr>
          <w:p w:rsidR="00C22F52" w:rsidRPr="007743FF" w:rsidRDefault="00C22F52" w:rsidP="007939AB">
            <w:pPr>
              <w:jc w:val="center"/>
              <w:rPr>
                <w:sz w:val="22"/>
                <w:szCs w:val="22"/>
                <w:lang w:val="en-GB" w:eastAsia="en-GB"/>
              </w:rPr>
            </w:pPr>
            <w:r w:rsidRPr="007743FF">
              <w:rPr>
                <w:sz w:val="22"/>
                <w:szCs w:val="22"/>
                <w:lang w:val="en-GB" w:eastAsia="en-GB"/>
              </w:rPr>
              <w:t>.984</w:t>
            </w:r>
          </w:p>
        </w:tc>
        <w:tc>
          <w:tcPr>
            <w:tcW w:w="1189" w:type="pct"/>
            <w:tcBorders>
              <w:top w:val="single" w:sz="4" w:space="0" w:color="auto"/>
              <w:bottom w:val="nil"/>
            </w:tcBorders>
            <w:shd w:val="clear" w:color="auto" w:fill="auto"/>
            <w:noWrap/>
            <w:vAlign w:val="center"/>
            <w:hideMark/>
          </w:tcPr>
          <w:p w:rsidR="00C22F52" w:rsidRPr="007743FF" w:rsidRDefault="00C22F52" w:rsidP="007939AB">
            <w:pPr>
              <w:jc w:val="center"/>
              <w:rPr>
                <w:sz w:val="22"/>
                <w:szCs w:val="22"/>
                <w:lang w:val="en-GB" w:eastAsia="en-GB"/>
              </w:rPr>
            </w:pPr>
            <w:r w:rsidRPr="007743FF">
              <w:rPr>
                <w:sz w:val="22"/>
                <w:szCs w:val="22"/>
                <w:lang w:val="en-GB" w:eastAsia="en-GB"/>
              </w:rPr>
              <w:t>1.016</w:t>
            </w:r>
          </w:p>
        </w:tc>
      </w:tr>
      <w:tr w:rsidR="00C22F52" w:rsidRPr="007743FF" w:rsidTr="00CA1A40">
        <w:trPr>
          <w:trHeight w:val="279"/>
        </w:trPr>
        <w:tc>
          <w:tcPr>
            <w:tcW w:w="2203" w:type="pct"/>
            <w:tcBorders>
              <w:top w:val="nil"/>
            </w:tcBorders>
            <w:shd w:val="clear" w:color="auto" w:fill="auto"/>
            <w:hideMark/>
          </w:tcPr>
          <w:p w:rsidR="00C22F52" w:rsidRPr="007743FF" w:rsidRDefault="00C22F52" w:rsidP="007939AB">
            <w:pPr>
              <w:rPr>
                <w:lang w:val="en-GB" w:eastAsia="en-GB"/>
              </w:rPr>
            </w:pPr>
            <w:r w:rsidRPr="007743FF">
              <w:rPr>
                <w:lang w:val="en-GB" w:eastAsia="en-GB"/>
              </w:rPr>
              <w:t>Absorption Capacity</w:t>
            </w:r>
          </w:p>
        </w:tc>
        <w:tc>
          <w:tcPr>
            <w:tcW w:w="1608" w:type="pct"/>
            <w:tcBorders>
              <w:top w:val="nil"/>
            </w:tcBorders>
            <w:shd w:val="clear" w:color="auto" w:fill="auto"/>
            <w:noWrap/>
            <w:vAlign w:val="center"/>
            <w:hideMark/>
          </w:tcPr>
          <w:p w:rsidR="00C22F52" w:rsidRPr="007743FF" w:rsidRDefault="00C22F52" w:rsidP="007939AB">
            <w:pPr>
              <w:jc w:val="center"/>
              <w:rPr>
                <w:sz w:val="22"/>
                <w:szCs w:val="22"/>
                <w:lang w:val="en-GB" w:eastAsia="en-GB"/>
              </w:rPr>
            </w:pPr>
            <w:r w:rsidRPr="007743FF">
              <w:rPr>
                <w:sz w:val="22"/>
                <w:szCs w:val="22"/>
                <w:lang w:val="en-GB" w:eastAsia="en-GB"/>
              </w:rPr>
              <w:t>.988</w:t>
            </w:r>
          </w:p>
        </w:tc>
        <w:tc>
          <w:tcPr>
            <w:tcW w:w="1189" w:type="pct"/>
            <w:tcBorders>
              <w:top w:val="nil"/>
            </w:tcBorders>
            <w:shd w:val="clear" w:color="auto" w:fill="auto"/>
            <w:noWrap/>
            <w:vAlign w:val="center"/>
            <w:hideMark/>
          </w:tcPr>
          <w:p w:rsidR="00C22F52" w:rsidRPr="007743FF" w:rsidRDefault="00C22F52" w:rsidP="007939AB">
            <w:pPr>
              <w:jc w:val="center"/>
              <w:rPr>
                <w:sz w:val="22"/>
                <w:szCs w:val="22"/>
                <w:lang w:val="en-GB" w:eastAsia="en-GB"/>
              </w:rPr>
            </w:pPr>
            <w:r w:rsidRPr="007743FF">
              <w:rPr>
                <w:sz w:val="22"/>
                <w:szCs w:val="22"/>
                <w:lang w:val="en-GB" w:eastAsia="en-GB"/>
              </w:rPr>
              <w:t>1.012</w:t>
            </w:r>
          </w:p>
        </w:tc>
      </w:tr>
      <w:tr w:rsidR="00C22F52" w:rsidRPr="007743FF" w:rsidTr="00CA1A40">
        <w:trPr>
          <w:trHeight w:val="58"/>
        </w:trPr>
        <w:tc>
          <w:tcPr>
            <w:tcW w:w="5000" w:type="pct"/>
            <w:gridSpan w:val="3"/>
            <w:tcBorders>
              <w:top w:val="single" w:sz="4" w:space="0" w:color="auto"/>
            </w:tcBorders>
            <w:shd w:val="clear" w:color="auto" w:fill="auto"/>
            <w:hideMark/>
          </w:tcPr>
          <w:p w:rsidR="00C22F52" w:rsidRPr="007743FF" w:rsidRDefault="00C22F52" w:rsidP="007939AB">
            <w:pPr>
              <w:rPr>
                <w:lang w:val="en-GB" w:eastAsia="en-GB"/>
              </w:rPr>
            </w:pPr>
            <w:r w:rsidRPr="007743FF">
              <w:rPr>
                <w:lang w:val="en-GB" w:eastAsia="en-GB"/>
              </w:rPr>
              <w:t xml:space="preserve">Dependent Variable: </w:t>
            </w:r>
            <w:r>
              <w:rPr>
                <w:lang w:val="en-GB" w:eastAsia="en-GB"/>
              </w:rPr>
              <w:t>“</w:t>
            </w:r>
            <w:r w:rsidRPr="007743FF">
              <w:rPr>
                <w:lang w:val="en-GB" w:eastAsia="en-GB"/>
              </w:rPr>
              <w:t>Manufacturing Performance</w:t>
            </w:r>
          </w:p>
        </w:tc>
      </w:tr>
    </w:tbl>
    <w:p w:rsidR="00C22F52" w:rsidRPr="007743FF" w:rsidRDefault="00C22F52" w:rsidP="007939AB">
      <w:pPr>
        <w:ind w:firstLine="482"/>
        <w:rPr>
          <w:rFonts w:eastAsia="Calibri"/>
          <w:bCs/>
          <w:lang w:val="en-GB"/>
        </w:rPr>
      </w:pPr>
      <w:r w:rsidRPr="007743FF">
        <w:rPr>
          <w:rFonts w:eastAsia="Calibri"/>
          <w:bCs/>
          <w:lang w:val="en-GB"/>
        </w:rPr>
        <w:t>Source: Field Data (2019)</w:t>
      </w:r>
    </w:p>
    <w:p w:rsidR="00676AB8" w:rsidRPr="00676AB8" w:rsidRDefault="00676AB8" w:rsidP="007939AB">
      <w:pPr>
        <w:ind w:left="475"/>
        <w:rPr>
          <w:rFonts w:eastAsia="Calibri"/>
          <w:sz w:val="16"/>
          <w:szCs w:val="16"/>
        </w:rPr>
      </w:pPr>
    </w:p>
    <w:p w:rsidR="00C22F52" w:rsidRPr="007743FF" w:rsidRDefault="00C22F52" w:rsidP="00676AB8">
      <w:pPr>
        <w:spacing w:line="360" w:lineRule="auto"/>
        <w:ind w:left="475"/>
        <w:rPr>
          <w:rFonts w:eastAsia="Calibri"/>
        </w:rPr>
      </w:pPr>
      <w:r w:rsidRPr="007743FF">
        <w:rPr>
          <w:rFonts w:eastAsia="Calibri"/>
        </w:rPr>
        <w:t xml:space="preserve">Table </w:t>
      </w:r>
      <w:r w:rsidR="00CA1A40">
        <w:rPr>
          <w:rFonts w:eastAsia="Calibri"/>
        </w:rPr>
        <w:t>ii</w:t>
      </w:r>
      <w:r w:rsidRPr="007743FF">
        <w:rPr>
          <w:rFonts w:eastAsia="Calibri"/>
        </w:rPr>
        <w:t xml:space="preserve"> shows that for the t</w:t>
      </w:r>
      <w:r w:rsidR="00CA1A40">
        <w:rPr>
          <w:rFonts w:eastAsia="Calibri"/>
        </w:rPr>
        <w:t>wo</w:t>
      </w:r>
      <w:r w:rsidRPr="007743FF">
        <w:rPr>
          <w:rFonts w:eastAsia="Calibri"/>
        </w:rPr>
        <w:t xml:space="preserve"> variables of interest, the VIF </w:t>
      </w:r>
      <w:r w:rsidRPr="007743FF">
        <w:rPr>
          <w:rFonts w:eastAsia="Calibri"/>
          <w:bCs/>
          <w:lang w:val="en-GB"/>
        </w:rPr>
        <w:t>ranged from 1.012 to 1.016. The values</w:t>
      </w:r>
      <w:r w:rsidRPr="007743FF">
        <w:rPr>
          <w:rFonts w:eastAsia="Calibri"/>
        </w:rPr>
        <w:t xml:space="preserve"> being more than 1 and less than 10 indicate that there was absence of multic</w:t>
      </w:r>
      <w:r w:rsidR="00676AB8">
        <w:rPr>
          <w:rFonts w:eastAsia="Calibri"/>
        </w:rPr>
        <w:t xml:space="preserve">ollinearity. Additionally, the </w:t>
      </w:r>
      <w:r w:rsidRPr="007743FF">
        <w:rPr>
          <w:rFonts w:eastAsia="Calibri"/>
          <w:bCs/>
          <w:lang w:val="en-GB"/>
        </w:rPr>
        <w:t>tolerance values for all the variables ranged from 0.984 to 0.988 further confirming non-violation of the precondition.</w:t>
      </w:r>
      <w:r w:rsidRPr="007743FF">
        <w:rPr>
          <w:rFonts w:eastAsia="Calibri"/>
        </w:rPr>
        <w:t xml:space="preserve"> </w:t>
      </w:r>
    </w:p>
    <w:p w:rsidR="00C22F52" w:rsidRPr="00BA694B" w:rsidRDefault="00C22F52" w:rsidP="006F7ACB">
      <w:pPr>
        <w:widowControl/>
        <w:autoSpaceDE w:val="0"/>
        <w:autoSpaceDN w:val="0"/>
        <w:ind w:left="475"/>
        <w:contextualSpacing/>
        <w:textAlignment w:val="auto"/>
        <w:rPr>
          <w:rFonts w:eastAsia="Calibri"/>
          <w:sz w:val="16"/>
          <w:szCs w:val="16"/>
          <w:lang w:eastAsia="en-US"/>
        </w:rPr>
      </w:pPr>
    </w:p>
    <w:p w:rsidR="00F1052D" w:rsidRPr="008E4678" w:rsidRDefault="003300FB" w:rsidP="008E4678">
      <w:pPr>
        <w:keepNext/>
        <w:widowControl/>
        <w:adjustRightInd/>
        <w:spacing w:before="100" w:beforeAutospacing="1" w:after="100" w:afterAutospacing="1" w:line="360" w:lineRule="auto"/>
        <w:jc w:val="left"/>
        <w:textAlignment w:val="auto"/>
        <w:outlineLvl w:val="3"/>
        <w:rPr>
          <w:rFonts w:eastAsia="Times New Roman"/>
          <w:b/>
          <w:bCs/>
          <w:sz w:val="26"/>
          <w:szCs w:val="26"/>
          <w:lang w:val="en-GB" w:eastAsia="en-US"/>
        </w:rPr>
      </w:pPr>
      <w:r w:rsidRPr="008E4678">
        <w:rPr>
          <w:rFonts w:eastAsia="Calibri"/>
          <w:b/>
          <w:sz w:val="26"/>
          <w:szCs w:val="26"/>
          <w:lang w:eastAsia="en-US"/>
        </w:rPr>
        <w:t>5</w:t>
      </w:r>
      <w:r w:rsidR="006741B1" w:rsidRPr="008E4678">
        <w:rPr>
          <w:rFonts w:eastAsia="Calibri"/>
          <w:b/>
          <w:sz w:val="26"/>
          <w:szCs w:val="26"/>
          <w:lang w:eastAsia="en-US"/>
        </w:rPr>
        <w:t>.</w:t>
      </w:r>
      <w:r w:rsidR="002A6C2E" w:rsidRPr="008E4678">
        <w:rPr>
          <w:rFonts w:eastAsia="Calibri"/>
          <w:b/>
          <w:sz w:val="26"/>
          <w:szCs w:val="26"/>
          <w:lang w:eastAsia="en-US"/>
        </w:rPr>
        <w:t>1.</w:t>
      </w:r>
      <w:r w:rsidR="00F1052D" w:rsidRPr="008E4678">
        <w:rPr>
          <w:rFonts w:eastAsia="Times New Roman"/>
          <w:b/>
          <w:bCs/>
          <w:sz w:val="26"/>
          <w:szCs w:val="26"/>
          <w:lang w:val="en-GB" w:eastAsia="en-US"/>
        </w:rPr>
        <w:t xml:space="preserve">3 Homogeneity Tests </w:t>
      </w:r>
    </w:p>
    <w:p w:rsidR="000B1E38" w:rsidRPr="007743FF" w:rsidRDefault="000B1E38" w:rsidP="00CA1A40">
      <w:pPr>
        <w:widowControl/>
        <w:adjustRightInd/>
        <w:spacing w:line="360" w:lineRule="auto"/>
        <w:ind w:left="475" w:firstLine="5"/>
        <w:textAlignment w:val="auto"/>
        <w:rPr>
          <w:rFonts w:eastAsia="Calibri"/>
        </w:rPr>
      </w:pPr>
      <w:r w:rsidRPr="007743FF">
        <w:rPr>
          <w:rFonts w:eastAsia="Calibri"/>
        </w:rPr>
        <w:t>Homoscedasticity assumption means that standard deviation and variance of errors about the regression line is unvaried fo</w:t>
      </w:r>
      <w:r w:rsidR="00676AB8">
        <w:rPr>
          <w:rFonts w:eastAsia="Calibri"/>
        </w:rPr>
        <w:t xml:space="preserve">r all the explanatory variables </w:t>
      </w:r>
      <w:r w:rsidRPr="007743FF">
        <w:rPr>
          <w:rFonts w:eastAsia="Calibri"/>
        </w:rPr>
        <w:t xml:space="preserve">(Tabachnick </w:t>
      </w:r>
      <w:r>
        <w:rPr>
          <w:rFonts w:eastAsia="Calibri"/>
        </w:rPr>
        <w:t>and</w:t>
      </w:r>
      <w:r w:rsidRPr="007743FF">
        <w:rPr>
          <w:rFonts w:eastAsia="Calibri"/>
        </w:rPr>
        <w:t xml:space="preserve"> Fidel</w:t>
      </w:r>
      <w:r>
        <w:rPr>
          <w:rFonts w:eastAsia="Calibri"/>
        </w:rPr>
        <w:t>l</w:t>
      </w:r>
      <w:r w:rsidRPr="007743FF">
        <w:rPr>
          <w:rFonts w:eastAsia="Calibri"/>
        </w:rPr>
        <w:t>, 201</w:t>
      </w:r>
      <w:r>
        <w:rPr>
          <w:rFonts w:eastAsia="Calibri"/>
        </w:rPr>
        <w:t>3</w:t>
      </w:r>
      <w:r w:rsidRPr="007743FF">
        <w:rPr>
          <w:rFonts w:eastAsia="Calibri"/>
        </w:rPr>
        <w:t>)</w:t>
      </w:r>
      <w:r w:rsidR="007939AB">
        <w:rPr>
          <w:rFonts w:eastAsia="Calibri"/>
        </w:rPr>
        <w:t>.</w:t>
      </w:r>
      <w:r w:rsidRPr="007743FF">
        <w:rPr>
          <w:rFonts w:eastAsia="Calibri"/>
        </w:rPr>
        <w:t xml:space="preserve"> The </w:t>
      </w:r>
      <w:r>
        <w:rPr>
          <w:rFonts w:eastAsia="Calibri"/>
        </w:rPr>
        <w:t>l</w:t>
      </w:r>
      <w:r w:rsidRPr="007743FF">
        <w:rPr>
          <w:rFonts w:eastAsia="Calibri"/>
        </w:rPr>
        <w:t>evene test was used to assess this precondition</w:t>
      </w:r>
      <w:r w:rsidR="00CA1A40">
        <w:rPr>
          <w:rFonts w:eastAsia="Calibri"/>
        </w:rPr>
        <w:t xml:space="preserve"> by </w:t>
      </w:r>
      <w:r w:rsidRPr="00BA694B">
        <w:rPr>
          <w:rFonts w:eastAsia="Calibri"/>
        </w:rPr>
        <w:t>examin</w:t>
      </w:r>
      <w:r w:rsidR="00CA1A40">
        <w:rPr>
          <w:rFonts w:eastAsia="Calibri"/>
        </w:rPr>
        <w:t xml:space="preserve">ing </w:t>
      </w:r>
      <w:r w:rsidRPr="00BA694B">
        <w:rPr>
          <w:rFonts w:eastAsia="Calibri"/>
        </w:rPr>
        <w:t>whether or not there is no equality in the variances</w:t>
      </w:r>
      <w:r w:rsidR="00CA1A40">
        <w:rPr>
          <w:rFonts w:eastAsia="Calibri"/>
        </w:rPr>
        <w:t xml:space="preserve"> of the </w:t>
      </w:r>
      <w:r w:rsidRPr="00BA694B">
        <w:rPr>
          <w:rFonts w:eastAsia="Calibri"/>
        </w:rPr>
        <w:t>two populations is true</w:t>
      </w:r>
      <w:r w:rsidRPr="007743FF">
        <w:rPr>
          <w:rFonts w:eastAsia="Calibri"/>
        </w:rPr>
        <w:t xml:space="preserve"> (Hair et al., 2010).</w:t>
      </w:r>
      <w:r w:rsidR="00CA1A40">
        <w:rPr>
          <w:rFonts w:eastAsia="Calibri"/>
        </w:rPr>
        <w:t xml:space="preserve"> The </w:t>
      </w:r>
      <w:r w:rsidRPr="007743FF">
        <w:rPr>
          <w:rFonts w:eastAsia="Calibri"/>
        </w:rPr>
        <w:t xml:space="preserve">test was </w:t>
      </w:r>
      <w:r w:rsidR="00CA1A40">
        <w:rPr>
          <w:rFonts w:eastAsia="Calibri"/>
        </w:rPr>
        <w:t xml:space="preserve">done </w:t>
      </w:r>
      <w:r w:rsidRPr="007743FF">
        <w:rPr>
          <w:rFonts w:eastAsia="Calibri"/>
        </w:rPr>
        <w:t>on a 5% significance level</w:t>
      </w:r>
      <w:r w:rsidR="007939AB">
        <w:rPr>
          <w:rFonts w:eastAsia="Calibri"/>
        </w:rPr>
        <w:t xml:space="preserve"> and </w:t>
      </w:r>
      <w:r w:rsidRPr="007743FF">
        <w:rPr>
          <w:rFonts w:eastAsia="Calibri"/>
        </w:rPr>
        <w:t xml:space="preserve">results are as shown in Table </w:t>
      </w:r>
      <w:r w:rsidR="00CA1A40">
        <w:rPr>
          <w:rFonts w:eastAsia="Calibri"/>
        </w:rPr>
        <w:t>iii</w:t>
      </w:r>
      <w:r w:rsidRPr="007743FF">
        <w:rPr>
          <w:rFonts w:eastAsia="Calibri"/>
        </w:rPr>
        <w:t>.</w:t>
      </w:r>
      <w:bookmarkStart w:id="39" w:name="_Toc39048585"/>
    </w:p>
    <w:p w:rsidR="000B1E38" w:rsidRDefault="000B1E38" w:rsidP="007939AB">
      <w:pPr>
        <w:pStyle w:val="Caption"/>
        <w:spacing w:before="0" w:after="0"/>
        <w:ind w:firstLine="475"/>
      </w:pPr>
      <w:bookmarkStart w:id="40" w:name="_Toc53410546"/>
      <w:bookmarkStart w:id="41" w:name="_Toc57963060"/>
      <w:bookmarkEnd w:id="39"/>
      <w:r>
        <w:t xml:space="preserve">Table </w:t>
      </w:r>
      <w:r w:rsidR="00CA1A40">
        <w:t>iii</w:t>
      </w:r>
      <w:r>
        <w:t>: Levene Test Statistics</w:t>
      </w:r>
      <w:bookmarkEnd w:id="40"/>
      <w:bookmarkEnd w:id="41"/>
    </w:p>
    <w:tbl>
      <w:tblPr>
        <w:tblW w:w="4555" w:type="pct"/>
        <w:tblInd w:w="540" w:type="dxa"/>
        <w:tblBorders>
          <w:top w:val="single" w:sz="4" w:space="0" w:color="auto"/>
          <w:bottom w:val="single" w:sz="4" w:space="0" w:color="auto"/>
        </w:tblBorders>
        <w:tblLook w:val="04A0" w:firstRow="1" w:lastRow="0" w:firstColumn="1" w:lastColumn="0" w:noHBand="0" w:noVBand="1"/>
      </w:tblPr>
      <w:tblGrid>
        <w:gridCol w:w="2880"/>
        <w:gridCol w:w="1871"/>
        <w:gridCol w:w="710"/>
        <w:gridCol w:w="916"/>
        <w:gridCol w:w="914"/>
      </w:tblGrid>
      <w:tr w:rsidR="00BA694B" w:rsidRPr="007743FF" w:rsidTr="00BA694B">
        <w:trPr>
          <w:trHeight w:val="330"/>
        </w:trPr>
        <w:tc>
          <w:tcPr>
            <w:tcW w:w="1975" w:type="pct"/>
            <w:tcBorders>
              <w:top w:val="single" w:sz="4" w:space="0" w:color="auto"/>
              <w:bottom w:val="single" w:sz="4" w:space="0" w:color="auto"/>
            </w:tcBorders>
            <w:shd w:val="clear" w:color="auto" w:fill="auto"/>
            <w:vAlign w:val="bottom"/>
            <w:hideMark/>
          </w:tcPr>
          <w:p w:rsidR="000B1E38" w:rsidRPr="007743FF" w:rsidRDefault="000B1E38" w:rsidP="007939AB">
            <w:pPr>
              <w:ind w:left="540" w:hanging="558"/>
              <w:rPr>
                <w:b/>
                <w:bCs/>
                <w:lang w:val="en-GB" w:eastAsia="en-GB"/>
              </w:rPr>
            </w:pPr>
            <w:r w:rsidRPr="007743FF">
              <w:rPr>
                <w:b/>
                <w:bCs/>
                <w:lang w:val="en-GB" w:eastAsia="en-GB"/>
              </w:rPr>
              <w:t>Variable </w:t>
            </w:r>
          </w:p>
        </w:tc>
        <w:tc>
          <w:tcPr>
            <w:tcW w:w="1283" w:type="pct"/>
            <w:tcBorders>
              <w:top w:val="single" w:sz="4" w:space="0" w:color="auto"/>
              <w:bottom w:val="single" w:sz="4" w:space="0" w:color="auto"/>
            </w:tcBorders>
            <w:shd w:val="clear" w:color="auto" w:fill="auto"/>
            <w:vAlign w:val="bottom"/>
            <w:hideMark/>
          </w:tcPr>
          <w:p w:rsidR="000B1E38" w:rsidRPr="007743FF" w:rsidRDefault="000B1E38" w:rsidP="007939AB">
            <w:pPr>
              <w:rPr>
                <w:b/>
                <w:bCs/>
                <w:lang w:val="en-GB" w:eastAsia="en-GB"/>
              </w:rPr>
            </w:pPr>
            <w:r w:rsidRPr="007743FF">
              <w:rPr>
                <w:b/>
                <w:bCs/>
                <w:lang w:val="en-GB" w:eastAsia="en-GB"/>
              </w:rPr>
              <w:t>Levene Statistic</w:t>
            </w:r>
          </w:p>
        </w:tc>
        <w:tc>
          <w:tcPr>
            <w:tcW w:w="487" w:type="pct"/>
            <w:tcBorders>
              <w:top w:val="single" w:sz="4" w:space="0" w:color="auto"/>
              <w:bottom w:val="single" w:sz="4" w:space="0" w:color="auto"/>
            </w:tcBorders>
            <w:shd w:val="clear" w:color="auto" w:fill="auto"/>
            <w:vAlign w:val="bottom"/>
            <w:hideMark/>
          </w:tcPr>
          <w:p w:rsidR="000B1E38" w:rsidRPr="007743FF" w:rsidRDefault="00BA694B" w:rsidP="007939AB">
            <w:pPr>
              <w:ind w:left="-138"/>
              <w:jc w:val="center"/>
              <w:rPr>
                <w:b/>
                <w:bCs/>
                <w:lang w:val="en-GB" w:eastAsia="en-GB"/>
              </w:rPr>
            </w:pPr>
            <w:r>
              <w:rPr>
                <w:b/>
                <w:bCs/>
                <w:lang w:val="en-GB" w:eastAsia="en-GB"/>
              </w:rPr>
              <w:t xml:space="preserve">  </w:t>
            </w:r>
            <w:r w:rsidR="000B1E38" w:rsidRPr="007743FF">
              <w:rPr>
                <w:b/>
                <w:bCs/>
                <w:lang w:val="en-GB" w:eastAsia="en-GB"/>
              </w:rPr>
              <w:t>df1</w:t>
            </w:r>
          </w:p>
        </w:tc>
        <w:tc>
          <w:tcPr>
            <w:tcW w:w="628" w:type="pct"/>
            <w:tcBorders>
              <w:top w:val="single" w:sz="4" w:space="0" w:color="auto"/>
              <w:bottom w:val="single" w:sz="4" w:space="0" w:color="auto"/>
            </w:tcBorders>
            <w:shd w:val="clear" w:color="auto" w:fill="auto"/>
            <w:vAlign w:val="bottom"/>
            <w:hideMark/>
          </w:tcPr>
          <w:p w:rsidR="000B1E38" w:rsidRPr="007743FF" w:rsidRDefault="000B1E38" w:rsidP="007939AB">
            <w:pPr>
              <w:ind w:left="540" w:hanging="654"/>
              <w:jc w:val="center"/>
              <w:rPr>
                <w:b/>
                <w:bCs/>
                <w:lang w:val="en-GB" w:eastAsia="en-GB"/>
              </w:rPr>
            </w:pPr>
            <w:r w:rsidRPr="007743FF">
              <w:rPr>
                <w:b/>
                <w:bCs/>
                <w:lang w:val="en-GB" w:eastAsia="en-GB"/>
              </w:rPr>
              <w:t>df2</w:t>
            </w:r>
          </w:p>
        </w:tc>
        <w:tc>
          <w:tcPr>
            <w:tcW w:w="628" w:type="pct"/>
            <w:tcBorders>
              <w:top w:val="single" w:sz="4" w:space="0" w:color="auto"/>
              <w:bottom w:val="single" w:sz="4" w:space="0" w:color="auto"/>
            </w:tcBorders>
            <w:shd w:val="clear" w:color="auto" w:fill="auto"/>
            <w:vAlign w:val="bottom"/>
            <w:hideMark/>
          </w:tcPr>
          <w:p w:rsidR="000B1E38" w:rsidRPr="007743FF" w:rsidRDefault="000B1E38" w:rsidP="007939AB">
            <w:pPr>
              <w:ind w:left="324" w:hanging="504"/>
              <w:jc w:val="right"/>
              <w:rPr>
                <w:b/>
                <w:bCs/>
                <w:lang w:val="en-GB" w:eastAsia="en-GB"/>
              </w:rPr>
            </w:pPr>
            <w:r w:rsidRPr="007743FF">
              <w:rPr>
                <w:b/>
                <w:bCs/>
                <w:lang w:val="en-GB" w:eastAsia="en-GB"/>
              </w:rPr>
              <w:t>Sig.</w:t>
            </w:r>
          </w:p>
        </w:tc>
      </w:tr>
      <w:tr w:rsidR="00BA694B" w:rsidRPr="007743FF" w:rsidTr="00BA694B">
        <w:trPr>
          <w:trHeight w:val="315"/>
        </w:trPr>
        <w:tc>
          <w:tcPr>
            <w:tcW w:w="1975" w:type="pct"/>
            <w:tcBorders>
              <w:top w:val="single" w:sz="4" w:space="0" w:color="auto"/>
            </w:tcBorders>
            <w:shd w:val="clear" w:color="auto" w:fill="auto"/>
            <w:hideMark/>
          </w:tcPr>
          <w:p w:rsidR="000B1E38" w:rsidRPr="007743FF" w:rsidRDefault="000B1E38" w:rsidP="007939AB">
            <w:pPr>
              <w:ind w:left="540" w:hanging="558"/>
              <w:rPr>
                <w:lang w:val="en-GB" w:eastAsia="en-GB"/>
              </w:rPr>
            </w:pPr>
            <w:r w:rsidRPr="007743FF">
              <w:rPr>
                <w:lang w:val="en-GB" w:eastAsia="en-GB"/>
              </w:rPr>
              <w:t>Foreign Direct Investment</w:t>
            </w:r>
          </w:p>
        </w:tc>
        <w:tc>
          <w:tcPr>
            <w:tcW w:w="1283" w:type="pct"/>
            <w:tcBorders>
              <w:top w:val="single" w:sz="4" w:space="0" w:color="auto"/>
            </w:tcBorders>
            <w:shd w:val="clear" w:color="auto" w:fill="auto"/>
            <w:noWrap/>
            <w:vAlign w:val="center"/>
            <w:hideMark/>
          </w:tcPr>
          <w:p w:rsidR="000B1E38" w:rsidRPr="007743FF" w:rsidRDefault="00BA694B" w:rsidP="007939AB">
            <w:pPr>
              <w:rPr>
                <w:lang w:val="en-GB" w:eastAsia="en-GB"/>
              </w:rPr>
            </w:pPr>
            <w:r>
              <w:rPr>
                <w:lang w:val="en-GB" w:eastAsia="en-GB"/>
              </w:rPr>
              <w:t xml:space="preserve">   </w:t>
            </w:r>
            <w:r w:rsidR="000B1E38" w:rsidRPr="007743FF">
              <w:rPr>
                <w:lang w:val="en-GB" w:eastAsia="en-GB"/>
              </w:rPr>
              <w:t>2.733</w:t>
            </w:r>
          </w:p>
        </w:tc>
        <w:tc>
          <w:tcPr>
            <w:tcW w:w="487" w:type="pct"/>
            <w:tcBorders>
              <w:top w:val="single" w:sz="4" w:space="0" w:color="auto"/>
            </w:tcBorders>
            <w:shd w:val="clear" w:color="auto" w:fill="auto"/>
            <w:noWrap/>
            <w:vAlign w:val="center"/>
            <w:hideMark/>
          </w:tcPr>
          <w:p w:rsidR="000B1E38" w:rsidRPr="007743FF" w:rsidRDefault="00BA694B" w:rsidP="007939AB">
            <w:pPr>
              <w:rPr>
                <w:lang w:val="en-GB" w:eastAsia="en-GB"/>
              </w:rPr>
            </w:pPr>
            <w:r>
              <w:rPr>
                <w:lang w:val="en-GB" w:eastAsia="en-GB"/>
              </w:rPr>
              <w:t xml:space="preserve">  </w:t>
            </w:r>
            <w:r w:rsidR="000B1E38" w:rsidRPr="007743FF">
              <w:rPr>
                <w:lang w:val="en-GB" w:eastAsia="en-GB"/>
              </w:rPr>
              <w:t>12</w:t>
            </w:r>
          </w:p>
        </w:tc>
        <w:tc>
          <w:tcPr>
            <w:tcW w:w="628" w:type="pct"/>
            <w:tcBorders>
              <w:top w:val="single" w:sz="4" w:space="0" w:color="auto"/>
            </w:tcBorders>
            <w:shd w:val="clear" w:color="auto" w:fill="auto"/>
            <w:noWrap/>
            <w:vAlign w:val="center"/>
            <w:hideMark/>
          </w:tcPr>
          <w:p w:rsidR="000B1E38" w:rsidRPr="007743FF" w:rsidRDefault="000B1E38" w:rsidP="007939AB">
            <w:pPr>
              <w:ind w:left="540" w:hanging="654"/>
              <w:jc w:val="center"/>
              <w:rPr>
                <w:lang w:val="en-GB" w:eastAsia="en-GB"/>
              </w:rPr>
            </w:pPr>
            <w:r w:rsidRPr="007743FF">
              <w:rPr>
                <w:lang w:val="en-GB" w:eastAsia="en-GB"/>
              </w:rPr>
              <w:t>58</w:t>
            </w:r>
          </w:p>
        </w:tc>
        <w:tc>
          <w:tcPr>
            <w:tcW w:w="628" w:type="pct"/>
            <w:tcBorders>
              <w:top w:val="single" w:sz="4" w:space="0" w:color="auto"/>
            </w:tcBorders>
            <w:shd w:val="clear" w:color="auto" w:fill="auto"/>
            <w:noWrap/>
            <w:vAlign w:val="center"/>
            <w:hideMark/>
          </w:tcPr>
          <w:p w:rsidR="000B1E38" w:rsidRPr="007743FF" w:rsidRDefault="000B1E38" w:rsidP="007939AB">
            <w:pPr>
              <w:ind w:left="324" w:hanging="504"/>
              <w:jc w:val="right"/>
              <w:rPr>
                <w:lang w:val="en-GB" w:eastAsia="en-GB"/>
              </w:rPr>
            </w:pPr>
            <w:r w:rsidRPr="007743FF">
              <w:rPr>
                <w:lang w:val="en-GB" w:eastAsia="en-GB"/>
              </w:rPr>
              <w:t>.005</w:t>
            </w:r>
          </w:p>
        </w:tc>
      </w:tr>
      <w:tr w:rsidR="00BA694B" w:rsidRPr="007743FF" w:rsidTr="00BA694B">
        <w:trPr>
          <w:trHeight w:val="300"/>
        </w:trPr>
        <w:tc>
          <w:tcPr>
            <w:tcW w:w="1975" w:type="pct"/>
            <w:shd w:val="clear" w:color="auto" w:fill="auto"/>
            <w:hideMark/>
          </w:tcPr>
          <w:p w:rsidR="000B1E38" w:rsidRPr="007743FF" w:rsidRDefault="000B1E38" w:rsidP="007939AB">
            <w:pPr>
              <w:ind w:left="540" w:hanging="558"/>
              <w:rPr>
                <w:lang w:val="en-GB" w:eastAsia="en-GB"/>
              </w:rPr>
            </w:pPr>
            <w:r w:rsidRPr="007743FF">
              <w:rPr>
                <w:lang w:val="en-GB" w:eastAsia="en-GB"/>
              </w:rPr>
              <w:t>Absorption Capacity</w:t>
            </w:r>
          </w:p>
        </w:tc>
        <w:tc>
          <w:tcPr>
            <w:tcW w:w="1283" w:type="pct"/>
            <w:shd w:val="clear" w:color="auto" w:fill="auto"/>
            <w:noWrap/>
            <w:vAlign w:val="center"/>
            <w:hideMark/>
          </w:tcPr>
          <w:p w:rsidR="000B1E38" w:rsidRPr="007743FF" w:rsidRDefault="00BA694B" w:rsidP="007939AB">
            <w:pPr>
              <w:rPr>
                <w:lang w:val="en-GB" w:eastAsia="en-GB"/>
              </w:rPr>
            </w:pPr>
            <w:r>
              <w:rPr>
                <w:lang w:val="en-GB" w:eastAsia="en-GB"/>
              </w:rPr>
              <w:t xml:space="preserve">   </w:t>
            </w:r>
            <w:r w:rsidR="000B1E38" w:rsidRPr="007743FF">
              <w:rPr>
                <w:lang w:val="en-GB" w:eastAsia="en-GB"/>
              </w:rPr>
              <w:t>1.110</w:t>
            </w:r>
          </w:p>
        </w:tc>
        <w:tc>
          <w:tcPr>
            <w:tcW w:w="487" w:type="pct"/>
            <w:shd w:val="clear" w:color="auto" w:fill="auto"/>
            <w:noWrap/>
            <w:vAlign w:val="center"/>
            <w:hideMark/>
          </w:tcPr>
          <w:p w:rsidR="000B1E38" w:rsidRPr="007743FF" w:rsidRDefault="00BA694B" w:rsidP="007939AB">
            <w:pPr>
              <w:rPr>
                <w:lang w:val="en-GB" w:eastAsia="en-GB"/>
              </w:rPr>
            </w:pPr>
            <w:r>
              <w:rPr>
                <w:lang w:val="en-GB" w:eastAsia="en-GB"/>
              </w:rPr>
              <w:t xml:space="preserve">  </w:t>
            </w:r>
            <w:r w:rsidR="000B1E38" w:rsidRPr="007743FF">
              <w:rPr>
                <w:lang w:val="en-GB" w:eastAsia="en-GB"/>
              </w:rPr>
              <w:t>12</w:t>
            </w:r>
          </w:p>
        </w:tc>
        <w:tc>
          <w:tcPr>
            <w:tcW w:w="628" w:type="pct"/>
            <w:shd w:val="clear" w:color="auto" w:fill="auto"/>
            <w:noWrap/>
            <w:vAlign w:val="center"/>
            <w:hideMark/>
          </w:tcPr>
          <w:p w:rsidR="000B1E38" w:rsidRPr="007743FF" w:rsidRDefault="000B1E38" w:rsidP="007939AB">
            <w:pPr>
              <w:ind w:left="540" w:hanging="654"/>
              <w:jc w:val="center"/>
              <w:rPr>
                <w:lang w:val="en-GB" w:eastAsia="en-GB"/>
              </w:rPr>
            </w:pPr>
            <w:r w:rsidRPr="007743FF">
              <w:rPr>
                <w:lang w:val="en-GB" w:eastAsia="en-GB"/>
              </w:rPr>
              <w:t>58</w:t>
            </w:r>
          </w:p>
        </w:tc>
        <w:tc>
          <w:tcPr>
            <w:tcW w:w="628" w:type="pct"/>
            <w:shd w:val="clear" w:color="auto" w:fill="auto"/>
            <w:noWrap/>
            <w:vAlign w:val="center"/>
            <w:hideMark/>
          </w:tcPr>
          <w:p w:rsidR="000B1E38" w:rsidRPr="007743FF" w:rsidRDefault="000B1E38" w:rsidP="007939AB">
            <w:pPr>
              <w:ind w:left="324" w:hanging="504"/>
              <w:jc w:val="right"/>
              <w:rPr>
                <w:lang w:val="en-GB" w:eastAsia="en-GB"/>
              </w:rPr>
            </w:pPr>
            <w:r w:rsidRPr="007743FF">
              <w:rPr>
                <w:lang w:val="en-GB" w:eastAsia="en-GB"/>
              </w:rPr>
              <w:t>.370</w:t>
            </w:r>
          </w:p>
        </w:tc>
      </w:tr>
    </w:tbl>
    <w:p w:rsidR="000B1E38" w:rsidRDefault="000B1E38" w:rsidP="007939AB">
      <w:pPr>
        <w:ind w:firstLine="482"/>
        <w:rPr>
          <w:rFonts w:eastAsia="Calibri"/>
          <w:bCs/>
          <w:lang w:val="en-GB"/>
        </w:rPr>
      </w:pPr>
      <w:r w:rsidRPr="007743FF">
        <w:rPr>
          <w:rFonts w:eastAsia="Calibri"/>
          <w:bCs/>
          <w:lang w:val="en-GB"/>
        </w:rPr>
        <w:t>Source: Field Data (2019)</w:t>
      </w:r>
    </w:p>
    <w:p w:rsidR="007939AB" w:rsidRPr="007743FF" w:rsidRDefault="007939AB" w:rsidP="007939AB">
      <w:pPr>
        <w:ind w:firstLine="482"/>
        <w:rPr>
          <w:rFonts w:eastAsia="Calibri"/>
          <w:bCs/>
          <w:lang w:val="en-GB"/>
        </w:rPr>
      </w:pPr>
    </w:p>
    <w:p w:rsidR="000B1E38" w:rsidRDefault="000B1E38" w:rsidP="008E50D3">
      <w:pPr>
        <w:spacing w:line="360" w:lineRule="auto"/>
        <w:ind w:left="482"/>
        <w:rPr>
          <w:rFonts w:eastAsia="Calibri"/>
          <w:lang w:val="en-GB"/>
        </w:rPr>
      </w:pPr>
      <w:r w:rsidRPr="007743FF">
        <w:rPr>
          <w:rFonts w:eastAsia="Calibri"/>
          <w:lang w:val="en-GB"/>
        </w:rPr>
        <w:lastRenderedPageBreak/>
        <w:t xml:space="preserve">Table </w:t>
      </w:r>
      <w:r w:rsidR="00CA1A40">
        <w:rPr>
          <w:rFonts w:eastAsia="Calibri"/>
          <w:lang w:val="en-GB"/>
        </w:rPr>
        <w:t>iii</w:t>
      </w:r>
      <w:r w:rsidRPr="007743FF">
        <w:rPr>
          <w:rFonts w:eastAsia="Calibri"/>
          <w:lang w:val="en-GB"/>
        </w:rPr>
        <w:t xml:space="preserve"> shows that out of the t</w:t>
      </w:r>
      <w:r w:rsidR="00BA694B">
        <w:rPr>
          <w:rFonts w:eastAsia="Calibri"/>
          <w:lang w:val="en-GB"/>
        </w:rPr>
        <w:t>wo</w:t>
      </w:r>
      <w:r w:rsidRPr="007743FF">
        <w:rPr>
          <w:rFonts w:eastAsia="Calibri"/>
          <w:lang w:val="en-GB"/>
        </w:rPr>
        <w:t xml:space="preserve"> variables, only absorption capacity had a </w:t>
      </w:r>
      <w:r w:rsidRPr="007743FF">
        <w:rPr>
          <w:rFonts w:eastAsia="Calibri"/>
          <w:i/>
          <w:lang w:val="en-GB"/>
        </w:rPr>
        <w:t>p</w:t>
      </w:r>
      <w:r w:rsidRPr="007743FF">
        <w:rPr>
          <w:rFonts w:eastAsia="Calibri"/>
          <w:lang w:val="en-GB"/>
        </w:rPr>
        <w:t xml:space="preserve">-value greater than 0.05. Therefore, the null hypothesis that the data for absorption capacity did not fulfil the homoscedasticity condition was rejected. It was also concluded on the basis of the </w:t>
      </w:r>
      <w:r w:rsidRPr="007743FF">
        <w:rPr>
          <w:rFonts w:eastAsia="Calibri"/>
          <w:i/>
          <w:lang w:val="en-GB"/>
        </w:rPr>
        <w:t>p-</w:t>
      </w:r>
      <w:r w:rsidRPr="007743FF">
        <w:rPr>
          <w:rFonts w:eastAsia="Calibri"/>
          <w:lang w:val="en-GB"/>
        </w:rPr>
        <w:t>values that foreign direct investment did not meet t</w:t>
      </w:r>
      <w:r>
        <w:rPr>
          <w:rFonts w:eastAsia="Calibri"/>
          <w:lang w:val="en-GB"/>
        </w:rPr>
        <w:t>he precondition.</w:t>
      </w:r>
    </w:p>
    <w:p w:rsidR="00BA694B" w:rsidRPr="00BA694B" w:rsidRDefault="00724391" w:rsidP="00CA1A40">
      <w:pPr>
        <w:pStyle w:val="Heading2"/>
        <w:numPr>
          <w:ilvl w:val="0"/>
          <w:numId w:val="0"/>
        </w:numPr>
        <w:tabs>
          <w:tab w:val="clear" w:pos="454"/>
          <w:tab w:val="left" w:pos="360"/>
        </w:tabs>
        <w:ind w:left="187" w:hanging="187"/>
        <w:rPr>
          <w:rFonts w:eastAsia="Times New Roman"/>
          <w:sz w:val="16"/>
          <w:szCs w:val="16"/>
          <w:lang w:eastAsia="en-US"/>
        </w:rPr>
      </w:pPr>
      <w:r>
        <w:rPr>
          <w:rFonts w:eastAsia="Times New Roman"/>
          <w:color w:val="FF0000"/>
          <w:szCs w:val="24"/>
          <w:lang w:eastAsia="en-US"/>
        </w:rPr>
        <w:tab/>
      </w:r>
      <w:r>
        <w:rPr>
          <w:rFonts w:eastAsia="Times New Roman"/>
          <w:color w:val="FF0000"/>
          <w:szCs w:val="24"/>
          <w:lang w:eastAsia="en-US"/>
        </w:rPr>
        <w:tab/>
      </w:r>
      <w:r w:rsidRPr="00724391">
        <w:rPr>
          <w:rFonts w:eastAsia="Times New Roman"/>
          <w:szCs w:val="24"/>
          <w:lang w:eastAsia="en-US"/>
        </w:rPr>
        <w:tab/>
      </w:r>
    </w:p>
    <w:p w:rsidR="00C85B4F" w:rsidRPr="008E4678" w:rsidRDefault="00BA694B" w:rsidP="008E50D3">
      <w:pPr>
        <w:pStyle w:val="Heading2"/>
        <w:numPr>
          <w:ilvl w:val="0"/>
          <w:numId w:val="0"/>
        </w:numPr>
        <w:tabs>
          <w:tab w:val="clear" w:pos="454"/>
          <w:tab w:val="left" w:pos="360"/>
        </w:tabs>
        <w:spacing w:line="360" w:lineRule="auto"/>
        <w:ind w:left="187" w:hanging="187"/>
        <w:rPr>
          <w:sz w:val="26"/>
          <w:szCs w:val="26"/>
        </w:rPr>
      </w:pPr>
      <w:r>
        <w:rPr>
          <w:rFonts w:eastAsia="Times New Roman"/>
          <w:szCs w:val="24"/>
          <w:lang w:eastAsia="en-US"/>
        </w:rPr>
        <w:t xml:space="preserve"> </w:t>
      </w:r>
      <w:r w:rsidR="00C85B4F" w:rsidRPr="008E4678">
        <w:rPr>
          <w:sz w:val="26"/>
          <w:szCs w:val="26"/>
        </w:rPr>
        <w:t>5.</w:t>
      </w:r>
      <w:r w:rsidR="002A6C2E" w:rsidRPr="008E4678">
        <w:rPr>
          <w:sz w:val="26"/>
          <w:szCs w:val="26"/>
        </w:rPr>
        <w:t>2</w:t>
      </w:r>
      <w:r w:rsidR="00C85B4F" w:rsidRPr="008E4678">
        <w:rPr>
          <w:sz w:val="26"/>
          <w:szCs w:val="26"/>
        </w:rPr>
        <w:t xml:space="preserve"> Descriptive Statistics </w:t>
      </w:r>
    </w:p>
    <w:p w:rsidR="00C85B4F" w:rsidRDefault="00C85B4F" w:rsidP="00284290">
      <w:pPr>
        <w:spacing w:line="360" w:lineRule="auto"/>
        <w:ind w:left="475"/>
        <w:rPr>
          <w:rFonts w:eastAsia="Calibri"/>
        </w:rPr>
      </w:pPr>
      <w:r w:rsidRPr="00724391">
        <w:rPr>
          <w:lang w:val="en-GB"/>
        </w:rPr>
        <w:t>Descriptive statistics were useful in this study as they presented quantitative d</w:t>
      </w:r>
      <w:r w:rsidR="00D83A86">
        <w:rPr>
          <w:lang w:val="en-GB"/>
        </w:rPr>
        <w:t>ata</w:t>
      </w:r>
      <w:r w:rsidRPr="00724391">
        <w:rPr>
          <w:lang w:val="en-GB"/>
        </w:rPr>
        <w:t xml:space="preserve"> in a manageable form. </w:t>
      </w:r>
      <w:r w:rsidRPr="00724391">
        <w:rPr>
          <w:rFonts w:eastAsia="Calibri"/>
        </w:rPr>
        <w:t xml:space="preserve">The findings are presented in the </w:t>
      </w:r>
      <w:r w:rsidR="00D83A86">
        <w:rPr>
          <w:rFonts w:eastAsia="Calibri"/>
        </w:rPr>
        <w:t xml:space="preserve">next </w:t>
      </w:r>
      <w:r w:rsidRPr="00724391">
        <w:rPr>
          <w:rFonts w:eastAsia="Calibri"/>
        </w:rPr>
        <w:t xml:space="preserve">section. </w:t>
      </w:r>
    </w:p>
    <w:p w:rsidR="008E4678" w:rsidRPr="008E4678" w:rsidRDefault="008E4678" w:rsidP="00284290">
      <w:pPr>
        <w:spacing w:line="360" w:lineRule="auto"/>
        <w:ind w:left="475"/>
        <w:rPr>
          <w:rFonts w:eastAsia="Calibri"/>
          <w:sz w:val="20"/>
        </w:rPr>
      </w:pPr>
    </w:p>
    <w:p w:rsidR="00C85B4F" w:rsidRPr="008E4678" w:rsidRDefault="00C85B4F" w:rsidP="008E4678">
      <w:pPr>
        <w:spacing w:line="360" w:lineRule="auto"/>
        <w:rPr>
          <w:rFonts w:eastAsia="Calibri"/>
          <w:sz w:val="26"/>
          <w:szCs w:val="26"/>
        </w:rPr>
      </w:pPr>
      <w:r w:rsidRPr="008E4678">
        <w:rPr>
          <w:b/>
          <w:sz w:val="26"/>
          <w:szCs w:val="26"/>
          <w:lang w:val="en-GB"/>
        </w:rPr>
        <w:t>5.</w:t>
      </w:r>
      <w:r w:rsidR="002A6C2E" w:rsidRPr="008E4678">
        <w:rPr>
          <w:b/>
          <w:sz w:val="26"/>
          <w:szCs w:val="26"/>
          <w:lang w:val="en-GB"/>
        </w:rPr>
        <w:t>2</w:t>
      </w:r>
      <w:r w:rsidRPr="008E4678">
        <w:rPr>
          <w:b/>
          <w:sz w:val="26"/>
          <w:szCs w:val="26"/>
          <w:lang w:val="en-GB"/>
        </w:rPr>
        <w:t>.1 Foreign Direct Investment</w:t>
      </w:r>
    </w:p>
    <w:p w:rsidR="00C85B4F" w:rsidRPr="00724391" w:rsidRDefault="00C85B4F" w:rsidP="008E50D3">
      <w:pPr>
        <w:pStyle w:val="Default"/>
        <w:tabs>
          <w:tab w:val="left" w:pos="360"/>
        </w:tabs>
        <w:spacing w:line="360" w:lineRule="auto"/>
        <w:ind w:left="482" w:right="-50"/>
        <w:jc w:val="both"/>
        <w:rPr>
          <w:rFonts w:eastAsia="Calibri"/>
          <w:color w:val="auto"/>
          <w:lang w:val="en-GB"/>
        </w:rPr>
      </w:pPr>
      <w:r w:rsidRPr="00724391">
        <w:rPr>
          <w:rFonts w:eastAsia="Calibri"/>
          <w:color w:val="auto"/>
          <w:lang w:val="en-GB"/>
        </w:rPr>
        <w:t xml:space="preserve">In this study FDI was conceptualised using four variables namely: capital flow, advanced production technology, marketing expertise and management knowhow as guided by Muhammad and Kashif (2013) and </w:t>
      </w:r>
      <w:r w:rsidRPr="00724391">
        <w:rPr>
          <w:color w:val="auto"/>
        </w:rPr>
        <w:t xml:space="preserve">Leman and Ismet, (2015). </w:t>
      </w:r>
      <w:r w:rsidRPr="00724391">
        <w:rPr>
          <w:rFonts w:eastAsia="Calibri"/>
          <w:color w:val="auto"/>
          <w:lang w:val="en-GB"/>
        </w:rPr>
        <w:t xml:space="preserve">The respondents were required to respond by indicating if FDI introduction led to certain activities associated with the capital flow, advanced production technology, marketing expertise and management knowhow in their organizations. The findings are presented in </w:t>
      </w:r>
      <w:r w:rsidR="00D52421">
        <w:rPr>
          <w:rFonts w:eastAsia="Calibri"/>
          <w:color w:val="auto"/>
          <w:lang w:val="en-GB"/>
        </w:rPr>
        <w:t xml:space="preserve">table iv. </w:t>
      </w:r>
      <w:r w:rsidRPr="00724391">
        <w:rPr>
          <w:rFonts w:eastAsia="Calibri"/>
          <w:color w:val="auto"/>
          <w:lang w:val="en-GB"/>
        </w:rPr>
        <w:t xml:space="preserve"> </w:t>
      </w:r>
    </w:p>
    <w:p w:rsidR="00C85B4F" w:rsidRPr="001169A2" w:rsidRDefault="00C85B4F" w:rsidP="00C85B4F">
      <w:pPr>
        <w:ind w:left="360"/>
        <w:rPr>
          <w:b/>
          <w:color w:val="FF0000"/>
          <w:sz w:val="16"/>
          <w:szCs w:val="16"/>
          <w:lang w:val="en-GB"/>
        </w:rPr>
      </w:pPr>
    </w:p>
    <w:p w:rsidR="00C85B4F" w:rsidRPr="00724391" w:rsidRDefault="00C85B4F" w:rsidP="00C85B4F">
      <w:pPr>
        <w:keepNext/>
        <w:keepLines/>
        <w:ind w:left="360"/>
        <w:outlineLvl w:val="2"/>
        <w:rPr>
          <w:b/>
          <w:lang w:val="en-GB"/>
        </w:rPr>
      </w:pPr>
      <w:bookmarkStart w:id="42" w:name="_Toc38966713"/>
      <w:bookmarkStart w:id="43" w:name="_Toc39048592"/>
      <w:r w:rsidRPr="00724391">
        <w:rPr>
          <w:b/>
          <w:lang w:val="en-GB"/>
        </w:rPr>
        <w:t>Table i</w:t>
      </w:r>
      <w:r w:rsidR="00284290">
        <w:rPr>
          <w:b/>
          <w:lang w:val="en-GB"/>
        </w:rPr>
        <w:t>v</w:t>
      </w:r>
      <w:r w:rsidRPr="00724391">
        <w:rPr>
          <w:b/>
          <w:lang w:val="en-GB"/>
        </w:rPr>
        <w:t>: Foreign Direct Investment</w:t>
      </w:r>
      <w:bookmarkEnd w:id="42"/>
      <w:bookmarkEnd w:id="43"/>
      <w:r w:rsidRPr="00724391">
        <w:rPr>
          <w:b/>
          <w:lang w:val="en-GB"/>
        </w:rPr>
        <w:t xml:space="preserve">                                                              </w:t>
      </w:r>
    </w:p>
    <w:tbl>
      <w:tblPr>
        <w:tblW w:w="4793" w:type="pct"/>
        <w:tblInd w:w="468" w:type="dxa"/>
        <w:tblLayout w:type="fixed"/>
        <w:tblLook w:val="04A0" w:firstRow="1" w:lastRow="0" w:firstColumn="1" w:lastColumn="0" w:noHBand="0" w:noVBand="1"/>
      </w:tblPr>
      <w:tblGrid>
        <w:gridCol w:w="1755"/>
        <w:gridCol w:w="388"/>
        <w:gridCol w:w="710"/>
        <w:gridCol w:w="321"/>
        <w:gridCol w:w="554"/>
        <w:gridCol w:w="321"/>
        <w:gridCol w:w="858"/>
        <w:gridCol w:w="321"/>
        <w:gridCol w:w="786"/>
        <w:gridCol w:w="178"/>
        <w:gridCol w:w="1304"/>
        <w:gridCol w:w="176"/>
      </w:tblGrid>
      <w:tr w:rsidR="00712DDE" w:rsidRPr="00724391" w:rsidTr="00D52421">
        <w:trPr>
          <w:trHeight w:val="513"/>
        </w:trPr>
        <w:tc>
          <w:tcPr>
            <w:tcW w:w="1144" w:type="pct"/>
            <w:shd w:val="clear" w:color="auto" w:fill="auto"/>
            <w:hideMark/>
          </w:tcPr>
          <w:p w:rsidR="00C85B4F" w:rsidRPr="00724391" w:rsidRDefault="00C85B4F" w:rsidP="005B0E3E">
            <w:pPr>
              <w:ind w:left="360" w:right="-113"/>
              <w:rPr>
                <w:rFonts w:eastAsia="Calibri"/>
                <w:b/>
                <w:bCs/>
                <w:caps/>
                <w:sz w:val="20"/>
                <w:lang w:val="en-GB" w:eastAsia="en-GB"/>
              </w:rPr>
            </w:pPr>
          </w:p>
          <w:p w:rsidR="00C85B4F" w:rsidRPr="00724391" w:rsidRDefault="00C85B4F" w:rsidP="005B0E3E">
            <w:pPr>
              <w:ind w:left="360" w:right="-113"/>
              <w:rPr>
                <w:rFonts w:eastAsia="Calibri"/>
                <w:b/>
                <w:bCs/>
                <w:caps/>
                <w:sz w:val="20"/>
                <w:lang w:val="en-GB" w:eastAsia="en-GB"/>
              </w:rPr>
            </w:pPr>
            <w:r w:rsidRPr="00724391">
              <w:rPr>
                <w:rFonts w:eastAsia="Calibri"/>
                <w:b/>
                <w:bCs/>
                <w:caps/>
                <w:sz w:val="20"/>
                <w:lang w:val="en-GB" w:eastAsia="en-GB"/>
              </w:rPr>
              <w:t>Variables</w:t>
            </w:r>
          </w:p>
        </w:tc>
        <w:tc>
          <w:tcPr>
            <w:tcW w:w="716" w:type="pct"/>
            <w:gridSpan w:val="2"/>
            <w:shd w:val="clear" w:color="auto" w:fill="auto"/>
            <w:hideMark/>
          </w:tcPr>
          <w:p w:rsidR="00C85B4F" w:rsidRPr="00724391" w:rsidRDefault="00C85B4F" w:rsidP="005B0E3E">
            <w:pPr>
              <w:ind w:left="360" w:right="-113"/>
              <w:jc w:val="center"/>
              <w:rPr>
                <w:rFonts w:eastAsia="Calibri"/>
                <w:b/>
                <w:bCs/>
                <w:caps/>
                <w:sz w:val="20"/>
                <w:lang w:val="en-GB" w:eastAsia="en-GB"/>
              </w:rPr>
            </w:pPr>
          </w:p>
          <w:p w:rsidR="00C85B4F" w:rsidRPr="00724391" w:rsidRDefault="00D52421" w:rsidP="005B0E3E">
            <w:pPr>
              <w:ind w:right="-113"/>
              <w:jc w:val="center"/>
              <w:rPr>
                <w:rFonts w:eastAsia="Calibri"/>
                <w:b/>
                <w:bCs/>
                <w:caps/>
                <w:sz w:val="20"/>
                <w:lang w:val="en-GB" w:eastAsia="en-GB"/>
              </w:rPr>
            </w:pPr>
            <w:r>
              <w:rPr>
                <w:rFonts w:eastAsia="Calibri"/>
                <w:b/>
                <w:bCs/>
                <w:caps/>
                <w:sz w:val="20"/>
                <w:lang w:val="en-GB" w:eastAsia="en-GB"/>
              </w:rPr>
              <w:t xml:space="preserve">      </w:t>
            </w:r>
            <w:r w:rsidR="00C85B4F" w:rsidRPr="00724391">
              <w:rPr>
                <w:rFonts w:eastAsia="Calibri"/>
                <w:b/>
                <w:bCs/>
                <w:caps/>
                <w:sz w:val="20"/>
                <w:lang w:val="en-GB" w:eastAsia="en-GB"/>
              </w:rPr>
              <w:t>N</w:t>
            </w:r>
          </w:p>
        </w:tc>
        <w:tc>
          <w:tcPr>
            <w:tcW w:w="570" w:type="pct"/>
            <w:gridSpan w:val="2"/>
            <w:shd w:val="clear" w:color="auto" w:fill="auto"/>
            <w:hideMark/>
          </w:tcPr>
          <w:p w:rsidR="00C85B4F" w:rsidRPr="00724391" w:rsidRDefault="00C85B4F" w:rsidP="005B0E3E">
            <w:pPr>
              <w:ind w:left="268" w:right="-113"/>
              <w:jc w:val="center"/>
              <w:rPr>
                <w:rFonts w:eastAsia="Calibri"/>
                <w:b/>
                <w:bCs/>
                <w:caps/>
                <w:sz w:val="20"/>
                <w:lang w:val="en-GB" w:eastAsia="en-GB"/>
              </w:rPr>
            </w:pPr>
          </w:p>
          <w:p w:rsidR="00C85B4F" w:rsidRPr="00724391" w:rsidRDefault="00C85B4F" w:rsidP="005B0E3E">
            <w:pPr>
              <w:ind w:right="-113"/>
              <w:jc w:val="center"/>
              <w:rPr>
                <w:rFonts w:eastAsia="Calibri"/>
                <w:b/>
                <w:bCs/>
                <w:caps/>
                <w:sz w:val="20"/>
                <w:lang w:val="en-GB" w:eastAsia="en-GB"/>
              </w:rPr>
            </w:pPr>
            <w:r w:rsidRPr="00724391">
              <w:rPr>
                <w:rFonts w:eastAsia="Calibri"/>
                <w:b/>
                <w:bCs/>
                <w:caps/>
                <w:sz w:val="20"/>
                <w:lang w:val="en-GB" w:eastAsia="en-GB"/>
              </w:rPr>
              <w:t>Mean</w:t>
            </w:r>
          </w:p>
        </w:tc>
        <w:tc>
          <w:tcPr>
            <w:tcW w:w="768" w:type="pct"/>
            <w:gridSpan w:val="2"/>
            <w:shd w:val="clear" w:color="auto" w:fill="auto"/>
            <w:hideMark/>
          </w:tcPr>
          <w:p w:rsidR="00C85B4F" w:rsidRPr="00724391" w:rsidRDefault="00C85B4F" w:rsidP="005B0E3E">
            <w:pPr>
              <w:tabs>
                <w:tab w:val="left" w:pos="1352"/>
              </w:tabs>
              <w:ind w:left="-87" w:right="-204"/>
              <w:jc w:val="center"/>
              <w:rPr>
                <w:rFonts w:eastAsia="Calibri"/>
                <w:b/>
                <w:bCs/>
                <w:caps/>
                <w:sz w:val="20"/>
                <w:lang w:val="en-GB" w:eastAsia="en-GB"/>
              </w:rPr>
            </w:pPr>
            <w:r w:rsidRPr="00724391">
              <w:rPr>
                <w:rFonts w:eastAsia="Calibri"/>
                <w:b/>
                <w:bCs/>
                <w:caps/>
                <w:sz w:val="20"/>
                <w:lang w:val="en-GB" w:eastAsia="en-GB"/>
              </w:rPr>
              <w:t xml:space="preserve">Std. </w:t>
            </w:r>
          </w:p>
          <w:p w:rsidR="00C85B4F" w:rsidRPr="00724391" w:rsidRDefault="00C85B4F" w:rsidP="00D52421">
            <w:pPr>
              <w:tabs>
                <w:tab w:val="left" w:pos="1352"/>
              </w:tabs>
              <w:ind w:left="-198" w:right="-222"/>
              <w:rPr>
                <w:rFonts w:eastAsia="Calibri"/>
                <w:b/>
                <w:bCs/>
                <w:caps/>
                <w:sz w:val="20"/>
                <w:lang w:val="en-GB" w:eastAsia="en-GB"/>
              </w:rPr>
            </w:pPr>
            <w:r w:rsidRPr="00724391">
              <w:rPr>
                <w:rFonts w:eastAsia="Calibri"/>
                <w:b/>
                <w:bCs/>
                <w:caps/>
                <w:sz w:val="20"/>
                <w:lang w:val="en-GB" w:eastAsia="en-GB"/>
              </w:rPr>
              <w:t xml:space="preserve"> </w:t>
            </w:r>
            <w:r w:rsidR="00D52421">
              <w:rPr>
                <w:rFonts w:eastAsia="Calibri"/>
                <w:b/>
                <w:bCs/>
                <w:caps/>
                <w:sz w:val="20"/>
                <w:lang w:val="en-GB" w:eastAsia="en-GB"/>
              </w:rPr>
              <w:t xml:space="preserve"> </w:t>
            </w:r>
            <w:r w:rsidRPr="00724391">
              <w:rPr>
                <w:rFonts w:eastAsia="Calibri"/>
                <w:b/>
                <w:bCs/>
                <w:caps/>
                <w:sz w:val="20"/>
                <w:lang w:val="en-GB" w:eastAsia="en-GB"/>
              </w:rPr>
              <w:t>Deviation</w:t>
            </w:r>
          </w:p>
        </w:tc>
        <w:tc>
          <w:tcPr>
            <w:tcW w:w="837" w:type="pct"/>
            <w:gridSpan w:val="3"/>
            <w:shd w:val="clear" w:color="auto" w:fill="auto"/>
            <w:hideMark/>
          </w:tcPr>
          <w:p w:rsidR="00C85B4F" w:rsidRPr="00724391" w:rsidRDefault="00C85B4F" w:rsidP="005B0E3E">
            <w:pPr>
              <w:ind w:left="360" w:right="-288"/>
              <w:jc w:val="center"/>
              <w:rPr>
                <w:rFonts w:eastAsia="Calibri"/>
                <w:b/>
                <w:bCs/>
                <w:caps/>
                <w:sz w:val="20"/>
                <w:lang w:val="en-GB" w:eastAsia="en-GB"/>
              </w:rPr>
            </w:pPr>
          </w:p>
          <w:p w:rsidR="00C85B4F" w:rsidRPr="00724391" w:rsidRDefault="00D52421" w:rsidP="005B0E3E">
            <w:pPr>
              <w:ind w:right="-288"/>
              <w:rPr>
                <w:rFonts w:eastAsia="Calibri"/>
                <w:b/>
                <w:bCs/>
                <w:caps/>
                <w:sz w:val="20"/>
                <w:lang w:val="en-GB" w:eastAsia="en-GB"/>
              </w:rPr>
            </w:pPr>
            <w:r>
              <w:rPr>
                <w:rFonts w:eastAsia="Calibri"/>
                <w:b/>
                <w:bCs/>
                <w:caps/>
                <w:sz w:val="20"/>
                <w:lang w:val="en-GB" w:eastAsia="en-GB"/>
              </w:rPr>
              <w:t xml:space="preserve">  </w:t>
            </w:r>
            <w:r w:rsidR="00C85B4F" w:rsidRPr="00724391">
              <w:rPr>
                <w:rFonts w:eastAsia="Calibri"/>
                <w:b/>
                <w:bCs/>
                <w:caps/>
                <w:sz w:val="20"/>
                <w:lang w:val="en-GB" w:eastAsia="en-GB"/>
              </w:rPr>
              <w:t>Variance</w:t>
            </w:r>
          </w:p>
        </w:tc>
        <w:tc>
          <w:tcPr>
            <w:tcW w:w="965" w:type="pct"/>
            <w:gridSpan w:val="2"/>
            <w:shd w:val="clear" w:color="auto" w:fill="auto"/>
            <w:hideMark/>
          </w:tcPr>
          <w:p w:rsidR="00C85B4F" w:rsidRPr="00724391" w:rsidRDefault="00C85B4F" w:rsidP="005B0E3E">
            <w:pPr>
              <w:ind w:left="360" w:right="-113"/>
              <w:jc w:val="center"/>
              <w:rPr>
                <w:rFonts w:eastAsia="Calibri"/>
                <w:b/>
                <w:bCs/>
                <w:caps/>
                <w:sz w:val="20"/>
                <w:lang w:val="en-GB" w:eastAsia="en-GB"/>
              </w:rPr>
            </w:pPr>
          </w:p>
          <w:p w:rsidR="00C85B4F" w:rsidRPr="00724391" w:rsidRDefault="00D52421" w:rsidP="005B0E3E">
            <w:pPr>
              <w:ind w:right="-113"/>
              <w:rPr>
                <w:rFonts w:eastAsia="Calibri"/>
                <w:b/>
                <w:bCs/>
                <w:caps/>
                <w:sz w:val="20"/>
                <w:lang w:val="en-GB" w:eastAsia="en-GB"/>
              </w:rPr>
            </w:pPr>
            <w:r>
              <w:rPr>
                <w:rFonts w:eastAsia="Calibri"/>
                <w:b/>
                <w:bCs/>
                <w:caps/>
                <w:sz w:val="20"/>
                <w:lang w:val="en-GB" w:eastAsia="en-GB"/>
              </w:rPr>
              <w:t xml:space="preserve">   </w:t>
            </w:r>
            <w:r w:rsidR="00C85B4F" w:rsidRPr="00724391">
              <w:rPr>
                <w:rFonts w:eastAsia="Calibri"/>
                <w:b/>
                <w:bCs/>
                <w:caps/>
                <w:sz w:val="20"/>
                <w:lang w:val="en-GB" w:eastAsia="en-GB"/>
              </w:rPr>
              <w:t>CV</w:t>
            </w:r>
          </w:p>
        </w:tc>
      </w:tr>
      <w:tr w:rsidR="00712DDE" w:rsidRPr="00724391" w:rsidTr="00D52421">
        <w:trPr>
          <w:gridAfter w:val="1"/>
          <w:wAfter w:w="116" w:type="pct"/>
          <w:trHeight w:val="269"/>
        </w:trPr>
        <w:tc>
          <w:tcPr>
            <w:tcW w:w="1397" w:type="pct"/>
            <w:gridSpan w:val="2"/>
            <w:shd w:val="clear" w:color="auto" w:fill="F2F2F2"/>
          </w:tcPr>
          <w:p w:rsidR="00C85B4F" w:rsidRPr="00724391" w:rsidRDefault="00C85B4F" w:rsidP="005B0E3E">
            <w:pPr>
              <w:ind w:left="360" w:right="-192" w:hanging="360"/>
              <w:rPr>
                <w:rFonts w:eastAsia="Calibri"/>
                <w:bCs/>
                <w:caps/>
                <w:sz w:val="22"/>
                <w:szCs w:val="22"/>
                <w:lang w:val="en-GB" w:eastAsia="en-GB"/>
              </w:rPr>
            </w:pPr>
            <w:r w:rsidRPr="00724391">
              <w:rPr>
                <w:rFonts w:eastAsia="Calibri"/>
                <w:bCs/>
                <w:sz w:val="22"/>
                <w:szCs w:val="22"/>
                <w:lang w:val="en-GB" w:eastAsia="en-GB"/>
              </w:rPr>
              <w:t xml:space="preserve">Capital Flow                                                       </w:t>
            </w:r>
          </w:p>
        </w:tc>
        <w:tc>
          <w:tcPr>
            <w:tcW w:w="672" w:type="pct"/>
            <w:gridSpan w:val="2"/>
            <w:shd w:val="clear" w:color="auto" w:fill="F2F2F2"/>
            <w:noWrap/>
          </w:tcPr>
          <w:p w:rsidR="00C85B4F" w:rsidRPr="00724391" w:rsidRDefault="00C85B4F" w:rsidP="005B0E3E">
            <w:pPr>
              <w:ind w:left="-37" w:right="-113"/>
              <w:jc w:val="center"/>
              <w:rPr>
                <w:rFonts w:eastAsia="Calibri"/>
                <w:sz w:val="22"/>
                <w:szCs w:val="22"/>
                <w:lang w:val="en-GB" w:eastAsia="en-GB"/>
              </w:rPr>
            </w:pPr>
            <w:r w:rsidRPr="00724391">
              <w:rPr>
                <w:rFonts w:eastAsia="Calibri"/>
                <w:sz w:val="22"/>
                <w:szCs w:val="22"/>
                <w:lang w:val="en-GB" w:eastAsia="en-GB"/>
              </w:rPr>
              <w:t>75</w:t>
            </w:r>
          </w:p>
        </w:tc>
        <w:tc>
          <w:tcPr>
            <w:tcW w:w="570" w:type="pct"/>
            <w:gridSpan w:val="2"/>
            <w:shd w:val="clear" w:color="auto" w:fill="F2F2F2"/>
            <w:noWrap/>
          </w:tcPr>
          <w:p w:rsidR="00C85B4F" w:rsidRPr="00724391" w:rsidRDefault="00C85B4F" w:rsidP="00D52421">
            <w:pPr>
              <w:ind w:left="268" w:right="-113" w:hanging="682"/>
              <w:jc w:val="center"/>
              <w:rPr>
                <w:rFonts w:eastAsia="Calibri"/>
                <w:sz w:val="22"/>
                <w:szCs w:val="22"/>
                <w:lang w:val="en-GB" w:eastAsia="en-GB"/>
              </w:rPr>
            </w:pPr>
            <w:r w:rsidRPr="00724391">
              <w:rPr>
                <w:rFonts w:eastAsia="Calibri"/>
                <w:sz w:val="22"/>
                <w:szCs w:val="22"/>
                <w:lang w:val="en-GB" w:eastAsia="en-GB"/>
              </w:rPr>
              <w:t>2.68</w:t>
            </w:r>
          </w:p>
        </w:tc>
        <w:tc>
          <w:tcPr>
            <w:tcW w:w="768" w:type="pct"/>
            <w:gridSpan w:val="2"/>
            <w:shd w:val="clear" w:color="auto" w:fill="F2F2F2"/>
            <w:noWrap/>
          </w:tcPr>
          <w:p w:rsidR="00C85B4F" w:rsidRPr="00724391" w:rsidRDefault="00C85B4F" w:rsidP="005B0E3E">
            <w:pPr>
              <w:ind w:left="-87" w:right="-113"/>
              <w:jc w:val="center"/>
              <w:rPr>
                <w:rFonts w:eastAsia="Calibri"/>
                <w:sz w:val="22"/>
                <w:szCs w:val="22"/>
                <w:lang w:val="en-GB" w:eastAsia="en-GB"/>
              </w:rPr>
            </w:pPr>
            <w:r w:rsidRPr="00724391">
              <w:rPr>
                <w:rFonts w:eastAsia="Calibri"/>
                <w:sz w:val="22"/>
                <w:szCs w:val="22"/>
                <w:lang w:val="en-GB" w:eastAsia="en-GB"/>
              </w:rPr>
              <w:t>0.70</w:t>
            </w:r>
          </w:p>
        </w:tc>
        <w:tc>
          <w:tcPr>
            <w:tcW w:w="512" w:type="pct"/>
            <w:shd w:val="clear" w:color="auto" w:fill="F2F2F2"/>
            <w:noWrap/>
          </w:tcPr>
          <w:p w:rsidR="00C85B4F" w:rsidRPr="00724391" w:rsidRDefault="00C85B4F" w:rsidP="00D52421">
            <w:pPr>
              <w:ind w:left="360" w:right="-288"/>
              <w:jc w:val="center"/>
              <w:rPr>
                <w:rFonts w:eastAsia="Calibri"/>
                <w:sz w:val="22"/>
                <w:szCs w:val="22"/>
                <w:lang w:val="en-GB" w:eastAsia="en-GB"/>
              </w:rPr>
            </w:pPr>
            <w:r w:rsidRPr="00724391">
              <w:rPr>
                <w:rFonts w:eastAsia="Calibri"/>
                <w:sz w:val="22"/>
                <w:szCs w:val="22"/>
                <w:lang w:val="en-GB" w:eastAsia="en-GB"/>
              </w:rPr>
              <w:t>0.49</w:t>
            </w:r>
          </w:p>
        </w:tc>
        <w:tc>
          <w:tcPr>
            <w:tcW w:w="966" w:type="pct"/>
            <w:gridSpan w:val="2"/>
            <w:shd w:val="clear" w:color="auto" w:fill="F2F2F2"/>
            <w:noWrap/>
          </w:tcPr>
          <w:p w:rsidR="00C85B4F" w:rsidRPr="00724391" w:rsidRDefault="00C85B4F" w:rsidP="00D52421">
            <w:pPr>
              <w:ind w:left="-97" w:right="-64" w:firstLine="90"/>
              <w:jc w:val="center"/>
              <w:rPr>
                <w:rFonts w:eastAsia="Calibri"/>
                <w:sz w:val="22"/>
                <w:szCs w:val="22"/>
                <w:lang w:val="en-GB" w:eastAsia="en-GB"/>
              </w:rPr>
            </w:pPr>
            <w:r w:rsidRPr="00724391">
              <w:rPr>
                <w:rFonts w:eastAsia="Calibri"/>
                <w:sz w:val="22"/>
                <w:szCs w:val="22"/>
                <w:lang w:val="en-GB" w:eastAsia="en-GB"/>
              </w:rPr>
              <w:t>0.26</w:t>
            </w:r>
          </w:p>
        </w:tc>
      </w:tr>
      <w:tr w:rsidR="00712DDE" w:rsidRPr="00724391" w:rsidTr="00D52421">
        <w:trPr>
          <w:gridAfter w:val="1"/>
          <w:wAfter w:w="116" w:type="pct"/>
          <w:trHeight w:val="315"/>
        </w:trPr>
        <w:tc>
          <w:tcPr>
            <w:tcW w:w="1397" w:type="pct"/>
            <w:gridSpan w:val="2"/>
            <w:shd w:val="clear" w:color="auto" w:fill="auto"/>
          </w:tcPr>
          <w:p w:rsidR="00C85B4F" w:rsidRPr="00724391" w:rsidRDefault="00C85B4F" w:rsidP="005B0E3E">
            <w:pPr>
              <w:tabs>
                <w:tab w:val="left" w:pos="1134"/>
              </w:tabs>
              <w:ind w:right="-192" w:hanging="36"/>
              <w:jc w:val="left"/>
              <w:rPr>
                <w:rFonts w:eastAsia="Calibri"/>
                <w:bCs/>
                <w:caps/>
                <w:sz w:val="22"/>
                <w:szCs w:val="22"/>
                <w:lang w:val="en-GB" w:eastAsia="en-GB"/>
              </w:rPr>
            </w:pPr>
            <w:r w:rsidRPr="00724391">
              <w:rPr>
                <w:rFonts w:eastAsia="Calibri"/>
                <w:bCs/>
                <w:sz w:val="22"/>
                <w:szCs w:val="22"/>
              </w:rPr>
              <w:t>Advanced production    Technology</w:t>
            </w:r>
          </w:p>
        </w:tc>
        <w:tc>
          <w:tcPr>
            <w:tcW w:w="672" w:type="pct"/>
            <w:gridSpan w:val="2"/>
            <w:shd w:val="clear" w:color="auto" w:fill="auto"/>
            <w:noWrap/>
          </w:tcPr>
          <w:p w:rsidR="00C85B4F" w:rsidRPr="00724391" w:rsidRDefault="00C85B4F" w:rsidP="005B0E3E">
            <w:pPr>
              <w:tabs>
                <w:tab w:val="left" w:pos="3402"/>
              </w:tabs>
              <w:ind w:left="-37" w:right="-113"/>
              <w:jc w:val="center"/>
              <w:rPr>
                <w:rFonts w:eastAsia="Calibri"/>
                <w:bCs/>
                <w:sz w:val="22"/>
                <w:szCs w:val="22"/>
                <w:lang w:val="en-GB" w:eastAsia="en-GB"/>
              </w:rPr>
            </w:pPr>
            <w:r w:rsidRPr="00724391">
              <w:rPr>
                <w:rFonts w:eastAsia="Calibri"/>
                <w:bCs/>
                <w:sz w:val="22"/>
                <w:szCs w:val="22"/>
                <w:lang w:val="en-GB" w:eastAsia="en-GB"/>
              </w:rPr>
              <w:t>75</w:t>
            </w:r>
          </w:p>
        </w:tc>
        <w:tc>
          <w:tcPr>
            <w:tcW w:w="570" w:type="pct"/>
            <w:gridSpan w:val="2"/>
            <w:shd w:val="clear" w:color="auto" w:fill="auto"/>
            <w:noWrap/>
          </w:tcPr>
          <w:p w:rsidR="00C85B4F" w:rsidRPr="00724391" w:rsidRDefault="00C85B4F" w:rsidP="00D52421">
            <w:pPr>
              <w:tabs>
                <w:tab w:val="left" w:pos="3402"/>
              </w:tabs>
              <w:ind w:left="268" w:right="-113" w:hanging="682"/>
              <w:jc w:val="center"/>
              <w:rPr>
                <w:rFonts w:eastAsia="Calibri"/>
                <w:bCs/>
                <w:sz w:val="22"/>
                <w:szCs w:val="22"/>
                <w:lang w:val="en-GB" w:eastAsia="en-GB"/>
              </w:rPr>
            </w:pPr>
            <w:r w:rsidRPr="00724391">
              <w:rPr>
                <w:rFonts w:eastAsia="Calibri"/>
                <w:bCs/>
                <w:sz w:val="22"/>
                <w:szCs w:val="22"/>
                <w:lang w:val="en-GB" w:eastAsia="en-GB"/>
              </w:rPr>
              <w:t>2.31</w:t>
            </w:r>
          </w:p>
        </w:tc>
        <w:tc>
          <w:tcPr>
            <w:tcW w:w="768" w:type="pct"/>
            <w:gridSpan w:val="2"/>
            <w:shd w:val="clear" w:color="auto" w:fill="auto"/>
            <w:noWrap/>
          </w:tcPr>
          <w:p w:rsidR="00C85B4F" w:rsidRPr="00724391" w:rsidRDefault="00C85B4F" w:rsidP="005B0E3E">
            <w:pPr>
              <w:tabs>
                <w:tab w:val="left" w:pos="3402"/>
              </w:tabs>
              <w:ind w:left="-87" w:right="-113"/>
              <w:rPr>
                <w:rFonts w:eastAsia="Calibri"/>
                <w:bCs/>
                <w:sz w:val="22"/>
                <w:szCs w:val="22"/>
                <w:lang w:val="en-GB" w:eastAsia="en-GB"/>
              </w:rPr>
            </w:pPr>
            <w:r w:rsidRPr="00724391">
              <w:rPr>
                <w:rFonts w:eastAsia="Calibri"/>
                <w:bCs/>
                <w:sz w:val="22"/>
                <w:szCs w:val="22"/>
                <w:lang w:val="en-GB" w:eastAsia="en-GB"/>
              </w:rPr>
              <w:t xml:space="preserve">    0.86</w:t>
            </w:r>
          </w:p>
        </w:tc>
        <w:tc>
          <w:tcPr>
            <w:tcW w:w="512" w:type="pct"/>
            <w:shd w:val="clear" w:color="auto" w:fill="auto"/>
            <w:noWrap/>
          </w:tcPr>
          <w:p w:rsidR="00C85B4F" w:rsidRPr="00724391" w:rsidRDefault="00C85B4F" w:rsidP="00D52421">
            <w:pPr>
              <w:tabs>
                <w:tab w:val="left" w:pos="3402"/>
              </w:tabs>
              <w:ind w:left="360" w:right="-288"/>
              <w:jc w:val="center"/>
              <w:rPr>
                <w:rFonts w:eastAsia="Calibri"/>
                <w:bCs/>
                <w:sz w:val="22"/>
                <w:szCs w:val="22"/>
                <w:lang w:val="en-GB" w:eastAsia="en-GB"/>
              </w:rPr>
            </w:pPr>
            <w:r w:rsidRPr="00724391">
              <w:rPr>
                <w:rFonts w:eastAsia="Calibri"/>
                <w:bCs/>
                <w:sz w:val="22"/>
                <w:szCs w:val="22"/>
                <w:lang w:val="en-GB" w:eastAsia="en-GB"/>
              </w:rPr>
              <w:t>0.75</w:t>
            </w:r>
          </w:p>
        </w:tc>
        <w:tc>
          <w:tcPr>
            <w:tcW w:w="966" w:type="pct"/>
            <w:gridSpan w:val="2"/>
            <w:shd w:val="clear" w:color="auto" w:fill="auto"/>
            <w:noWrap/>
          </w:tcPr>
          <w:p w:rsidR="00C85B4F" w:rsidRPr="00724391" w:rsidRDefault="00C85B4F" w:rsidP="00D52421">
            <w:pPr>
              <w:tabs>
                <w:tab w:val="left" w:pos="3402"/>
              </w:tabs>
              <w:ind w:left="-97" w:right="-113" w:firstLine="90"/>
              <w:jc w:val="center"/>
              <w:rPr>
                <w:rFonts w:eastAsia="Calibri"/>
                <w:bCs/>
                <w:sz w:val="22"/>
                <w:szCs w:val="22"/>
                <w:lang w:val="en-GB" w:eastAsia="en-GB"/>
              </w:rPr>
            </w:pPr>
            <w:r w:rsidRPr="00724391">
              <w:rPr>
                <w:rFonts w:eastAsia="Calibri"/>
                <w:bCs/>
                <w:sz w:val="22"/>
                <w:szCs w:val="22"/>
                <w:lang w:val="en-GB" w:eastAsia="en-GB"/>
              </w:rPr>
              <w:t>0.38</w:t>
            </w:r>
          </w:p>
        </w:tc>
      </w:tr>
      <w:tr w:rsidR="00712DDE" w:rsidRPr="00724391" w:rsidTr="00D52421">
        <w:trPr>
          <w:gridAfter w:val="1"/>
          <w:wAfter w:w="116" w:type="pct"/>
          <w:trHeight w:val="261"/>
        </w:trPr>
        <w:tc>
          <w:tcPr>
            <w:tcW w:w="1397" w:type="pct"/>
            <w:gridSpan w:val="2"/>
            <w:shd w:val="clear" w:color="auto" w:fill="F2F2F2"/>
          </w:tcPr>
          <w:p w:rsidR="00C85B4F" w:rsidRPr="00724391" w:rsidRDefault="00C85B4F" w:rsidP="005B0E3E">
            <w:pPr>
              <w:pStyle w:val="Heading3"/>
              <w:ind w:left="360" w:right="-192" w:hanging="360"/>
              <w:rPr>
                <w:b w:val="0"/>
                <w:bCs/>
                <w:caps/>
                <w:sz w:val="22"/>
                <w:szCs w:val="22"/>
              </w:rPr>
            </w:pPr>
            <w:r w:rsidRPr="00724391">
              <w:rPr>
                <w:b w:val="0"/>
                <w:bCs/>
                <w:sz w:val="22"/>
                <w:szCs w:val="22"/>
              </w:rPr>
              <w:t xml:space="preserve">Marketing Expertise                                   </w:t>
            </w:r>
          </w:p>
        </w:tc>
        <w:tc>
          <w:tcPr>
            <w:tcW w:w="672" w:type="pct"/>
            <w:gridSpan w:val="2"/>
            <w:shd w:val="clear" w:color="auto" w:fill="F2F2F2"/>
            <w:noWrap/>
          </w:tcPr>
          <w:p w:rsidR="00C85B4F" w:rsidRPr="00724391" w:rsidRDefault="00C85B4F" w:rsidP="005B0E3E">
            <w:pPr>
              <w:tabs>
                <w:tab w:val="left" w:pos="0"/>
              </w:tabs>
              <w:ind w:left="-37" w:right="-113"/>
              <w:jc w:val="center"/>
              <w:rPr>
                <w:rFonts w:eastAsia="Calibri"/>
                <w:bCs/>
                <w:sz w:val="22"/>
                <w:szCs w:val="22"/>
                <w:lang w:val="en-GB" w:eastAsia="en-GB"/>
              </w:rPr>
            </w:pPr>
            <w:r w:rsidRPr="00724391">
              <w:rPr>
                <w:rFonts w:eastAsia="Calibri"/>
                <w:bCs/>
                <w:sz w:val="22"/>
                <w:szCs w:val="22"/>
                <w:lang w:val="en-GB" w:eastAsia="en-GB"/>
              </w:rPr>
              <w:t>75</w:t>
            </w:r>
          </w:p>
        </w:tc>
        <w:tc>
          <w:tcPr>
            <w:tcW w:w="570" w:type="pct"/>
            <w:gridSpan w:val="2"/>
            <w:shd w:val="clear" w:color="auto" w:fill="F2F2F2"/>
            <w:noWrap/>
          </w:tcPr>
          <w:p w:rsidR="00C85B4F" w:rsidRPr="00724391" w:rsidRDefault="00C85B4F" w:rsidP="00D52421">
            <w:pPr>
              <w:tabs>
                <w:tab w:val="left" w:pos="0"/>
              </w:tabs>
              <w:ind w:left="268" w:right="-113" w:hanging="682"/>
              <w:jc w:val="center"/>
              <w:rPr>
                <w:rFonts w:eastAsia="Calibri"/>
                <w:bCs/>
                <w:sz w:val="22"/>
                <w:szCs w:val="22"/>
                <w:lang w:val="en-GB" w:eastAsia="en-GB"/>
              </w:rPr>
            </w:pPr>
            <w:r w:rsidRPr="00724391">
              <w:rPr>
                <w:rFonts w:eastAsia="Calibri"/>
                <w:bCs/>
                <w:sz w:val="22"/>
                <w:szCs w:val="22"/>
                <w:lang w:val="en-GB" w:eastAsia="en-GB"/>
              </w:rPr>
              <w:t>2.43</w:t>
            </w:r>
          </w:p>
        </w:tc>
        <w:tc>
          <w:tcPr>
            <w:tcW w:w="768" w:type="pct"/>
            <w:gridSpan w:val="2"/>
            <w:shd w:val="clear" w:color="auto" w:fill="F2F2F2"/>
            <w:noWrap/>
          </w:tcPr>
          <w:p w:rsidR="00C85B4F" w:rsidRPr="00724391" w:rsidRDefault="00C85B4F" w:rsidP="005B0E3E">
            <w:pPr>
              <w:tabs>
                <w:tab w:val="left" w:pos="0"/>
              </w:tabs>
              <w:ind w:left="-87" w:right="-113"/>
              <w:jc w:val="center"/>
              <w:rPr>
                <w:rFonts w:eastAsia="Calibri"/>
                <w:bCs/>
                <w:sz w:val="22"/>
                <w:szCs w:val="22"/>
                <w:lang w:val="en-GB" w:eastAsia="en-GB"/>
              </w:rPr>
            </w:pPr>
            <w:r w:rsidRPr="00724391">
              <w:rPr>
                <w:rFonts w:eastAsia="Calibri"/>
                <w:bCs/>
                <w:sz w:val="22"/>
                <w:szCs w:val="22"/>
                <w:lang w:val="en-GB" w:eastAsia="en-GB"/>
              </w:rPr>
              <w:t>0.86</w:t>
            </w:r>
          </w:p>
        </w:tc>
        <w:tc>
          <w:tcPr>
            <w:tcW w:w="512" w:type="pct"/>
            <w:shd w:val="clear" w:color="auto" w:fill="F2F2F2"/>
            <w:noWrap/>
          </w:tcPr>
          <w:p w:rsidR="00C85B4F" w:rsidRPr="00724391" w:rsidRDefault="00C85B4F" w:rsidP="00D52421">
            <w:pPr>
              <w:tabs>
                <w:tab w:val="left" w:pos="0"/>
              </w:tabs>
              <w:ind w:left="360" w:right="-288"/>
              <w:jc w:val="center"/>
              <w:rPr>
                <w:rFonts w:eastAsia="Calibri"/>
                <w:bCs/>
                <w:sz w:val="22"/>
                <w:szCs w:val="22"/>
                <w:lang w:val="en-GB" w:eastAsia="en-GB"/>
              </w:rPr>
            </w:pPr>
            <w:r w:rsidRPr="00724391">
              <w:rPr>
                <w:rFonts w:eastAsia="Calibri"/>
                <w:bCs/>
                <w:sz w:val="22"/>
                <w:szCs w:val="22"/>
                <w:lang w:val="en-GB" w:eastAsia="en-GB"/>
              </w:rPr>
              <w:t>0.76</w:t>
            </w:r>
          </w:p>
        </w:tc>
        <w:tc>
          <w:tcPr>
            <w:tcW w:w="966" w:type="pct"/>
            <w:gridSpan w:val="2"/>
            <w:shd w:val="clear" w:color="auto" w:fill="F2F2F2"/>
            <w:noWrap/>
          </w:tcPr>
          <w:p w:rsidR="00C85B4F" w:rsidRPr="00724391" w:rsidRDefault="00C85B4F" w:rsidP="00D52421">
            <w:pPr>
              <w:tabs>
                <w:tab w:val="left" w:pos="0"/>
              </w:tabs>
              <w:ind w:left="-97" w:right="-113" w:firstLine="90"/>
              <w:jc w:val="center"/>
              <w:rPr>
                <w:rFonts w:eastAsia="Calibri"/>
                <w:bCs/>
                <w:sz w:val="22"/>
                <w:szCs w:val="22"/>
                <w:lang w:val="en-GB" w:eastAsia="en-GB"/>
              </w:rPr>
            </w:pPr>
            <w:r w:rsidRPr="00724391">
              <w:rPr>
                <w:rFonts w:eastAsia="Calibri"/>
                <w:bCs/>
                <w:sz w:val="22"/>
                <w:szCs w:val="22"/>
                <w:lang w:val="en-GB" w:eastAsia="en-GB"/>
              </w:rPr>
              <w:t>0.31</w:t>
            </w:r>
          </w:p>
        </w:tc>
      </w:tr>
      <w:tr w:rsidR="00712DDE" w:rsidRPr="00724391" w:rsidTr="00D52421">
        <w:trPr>
          <w:gridAfter w:val="1"/>
          <w:wAfter w:w="116" w:type="pct"/>
          <w:trHeight w:val="243"/>
        </w:trPr>
        <w:tc>
          <w:tcPr>
            <w:tcW w:w="1397" w:type="pct"/>
            <w:gridSpan w:val="2"/>
            <w:shd w:val="clear" w:color="auto" w:fill="auto"/>
          </w:tcPr>
          <w:p w:rsidR="00C85B4F" w:rsidRPr="00724391" w:rsidRDefault="00C85B4F" w:rsidP="00D52421">
            <w:pPr>
              <w:ind w:left="360" w:right="-192" w:hanging="360"/>
              <w:rPr>
                <w:rFonts w:eastAsia="Calibri"/>
                <w:bCs/>
                <w:caps/>
                <w:sz w:val="22"/>
                <w:szCs w:val="22"/>
                <w:lang w:val="en-GB" w:eastAsia="en-GB"/>
              </w:rPr>
            </w:pPr>
            <w:r w:rsidRPr="00724391">
              <w:rPr>
                <w:rFonts w:eastAsia="Calibri"/>
                <w:bCs/>
                <w:sz w:val="22"/>
                <w:szCs w:val="22"/>
                <w:lang w:val="en-GB" w:eastAsia="en-GB"/>
              </w:rPr>
              <w:t>Management</w:t>
            </w:r>
            <w:r w:rsidR="00D52421">
              <w:rPr>
                <w:rFonts w:eastAsia="Calibri"/>
                <w:bCs/>
                <w:sz w:val="22"/>
                <w:szCs w:val="22"/>
                <w:lang w:val="en-GB" w:eastAsia="en-GB"/>
              </w:rPr>
              <w:t xml:space="preserve"> </w:t>
            </w:r>
            <w:r w:rsidRPr="00724391">
              <w:rPr>
                <w:rFonts w:eastAsia="Calibri"/>
                <w:bCs/>
                <w:sz w:val="22"/>
                <w:szCs w:val="22"/>
                <w:lang w:val="en-GB" w:eastAsia="en-GB"/>
              </w:rPr>
              <w:t xml:space="preserve">Knowhow </w:t>
            </w:r>
          </w:p>
        </w:tc>
        <w:tc>
          <w:tcPr>
            <w:tcW w:w="672" w:type="pct"/>
            <w:gridSpan w:val="2"/>
            <w:shd w:val="clear" w:color="auto" w:fill="auto"/>
            <w:noWrap/>
          </w:tcPr>
          <w:p w:rsidR="00C85B4F" w:rsidRPr="00724391" w:rsidRDefault="00C85B4F" w:rsidP="005B0E3E">
            <w:pPr>
              <w:ind w:left="-37" w:right="-113"/>
              <w:jc w:val="center"/>
              <w:rPr>
                <w:rFonts w:eastAsia="Calibri"/>
                <w:bCs/>
                <w:sz w:val="22"/>
                <w:szCs w:val="22"/>
                <w:lang w:val="en-GB" w:eastAsia="en-GB"/>
              </w:rPr>
            </w:pPr>
            <w:r w:rsidRPr="00724391">
              <w:rPr>
                <w:rFonts w:eastAsia="Calibri"/>
                <w:bCs/>
                <w:sz w:val="22"/>
                <w:szCs w:val="22"/>
                <w:lang w:val="en-GB" w:eastAsia="en-GB"/>
              </w:rPr>
              <w:t>75</w:t>
            </w:r>
          </w:p>
        </w:tc>
        <w:tc>
          <w:tcPr>
            <w:tcW w:w="570" w:type="pct"/>
            <w:gridSpan w:val="2"/>
            <w:shd w:val="clear" w:color="auto" w:fill="auto"/>
            <w:noWrap/>
          </w:tcPr>
          <w:p w:rsidR="00C85B4F" w:rsidRPr="00724391" w:rsidRDefault="00C85B4F" w:rsidP="00D52421">
            <w:pPr>
              <w:ind w:left="268" w:right="-113" w:hanging="682"/>
              <w:jc w:val="center"/>
              <w:rPr>
                <w:rFonts w:eastAsia="Calibri"/>
                <w:bCs/>
                <w:sz w:val="22"/>
                <w:szCs w:val="22"/>
                <w:lang w:val="en-GB" w:eastAsia="en-GB"/>
              </w:rPr>
            </w:pPr>
            <w:r w:rsidRPr="00724391">
              <w:rPr>
                <w:rFonts w:eastAsia="Calibri"/>
                <w:bCs/>
                <w:sz w:val="22"/>
                <w:szCs w:val="22"/>
                <w:lang w:val="en-GB" w:eastAsia="en-GB"/>
              </w:rPr>
              <w:t>2.46</w:t>
            </w:r>
          </w:p>
        </w:tc>
        <w:tc>
          <w:tcPr>
            <w:tcW w:w="768" w:type="pct"/>
            <w:gridSpan w:val="2"/>
            <w:shd w:val="clear" w:color="auto" w:fill="auto"/>
            <w:noWrap/>
          </w:tcPr>
          <w:p w:rsidR="00C85B4F" w:rsidRPr="00724391" w:rsidRDefault="00C85B4F" w:rsidP="005B0E3E">
            <w:pPr>
              <w:ind w:left="-87" w:right="-113"/>
              <w:jc w:val="center"/>
              <w:rPr>
                <w:rFonts w:eastAsia="Calibri"/>
                <w:bCs/>
                <w:sz w:val="22"/>
                <w:szCs w:val="22"/>
                <w:lang w:val="en-GB" w:eastAsia="en-GB"/>
              </w:rPr>
            </w:pPr>
            <w:r w:rsidRPr="00724391">
              <w:rPr>
                <w:rFonts w:eastAsia="Calibri"/>
                <w:bCs/>
                <w:sz w:val="22"/>
                <w:szCs w:val="22"/>
                <w:lang w:val="en-GB" w:eastAsia="en-GB"/>
              </w:rPr>
              <w:t>0.86</w:t>
            </w:r>
          </w:p>
        </w:tc>
        <w:tc>
          <w:tcPr>
            <w:tcW w:w="512" w:type="pct"/>
            <w:shd w:val="clear" w:color="auto" w:fill="auto"/>
            <w:noWrap/>
          </w:tcPr>
          <w:p w:rsidR="00C85B4F" w:rsidRPr="00724391" w:rsidRDefault="00C85B4F" w:rsidP="00D52421">
            <w:pPr>
              <w:ind w:left="360" w:right="-288"/>
              <w:jc w:val="center"/>
              <w:rPr>
                <w:rFonts w:eastAsia="Calibri"/>
                <w:bCs/>
                <w:sz w:val="22"/>
                <w:szCs w:val="22"/>
                <w:lang w:val="en-GB" w:eastAsia="en-GB"/>
              </w:rPr>
            </w:pPr>
            <w:r w:rsidRPr="00724391">
              <w:rPr>
                <w:rFonts w:eastAsia="Calibri"/>
                <w:bCs/>
                <w:sz w:val="22"/>
                <w:szCs w:val="22"/>
                <w:lang w:val="en-GB" w:eastAsia="en-GB"/>
              </w:rPr>
              <w:t>0.74</w:t>
            </w:r>
          </w:p>
        </w:tc>
        <w:tc>
          <w:tcPr>
            <w:tcW w:w="966" w:type="pct"/>
            <w:gridSpan w:val="2"/>
            <w:shd w:val="clear" w:color="auto" w:fill="auto"/>
            <w:noWrap/>
          </w:tcPr>
          <w:p w:rsidR="00C85B4F" w:rsidRPr="00724391" w:rsidRDefault="00C85B4F" w:rsidP="00D52421">
            <w:pPr>
              <w:ind w:left="-97" w:right="-113" w:firstLine="90"/>
              <w:jc w:val="center"/>
              <w:rPr>
                <w:rFonts w:eastAsia="Calibri"/>
                <w:bCs/>
                <w:sz w:val="22"/>
                <w:szCs w:val="22"/>
                <w:lang w:val="en-GB" w:eastAsia="en-GB"/>
              </w:rPr>
            </w:pPr>
            <w:r w:rsidRPr="00724391">
              <w:rPr>
                <w:rFonts w:eastAsia="Calibri"/>
                <w:bCs/>
                <w:sz w:val="22"/>
                <w:szCs w:val="22"/>
                <w:lang w:val="en-GB" w:eastAsia="en-GB"/>
              </w:rPr>
              <w:t>0.30</w:t>
            </w:r>
          </w:p>
        </w:tc>
      </w:tr>
      <w:tr w:rsidR="00712DDE" w:rsidRPr="00724391" w:rsidTr="00D52421">
        <w:trPr>
          <w:gridAfter w:val="1"/>
          <w:wAfter w:w="116" w:type="pct"/>
          <w:trHeight w:val="216"/>
        </w:trPr>
        <w:tc>
          <w:tcPr>
            <w:tcW w:w="1397" w:type="pct"/>
            <w:gridSpan w:val="2"/>
            <w:shd w:val="clear" w:color="auto" w:fill="F2F2F2"/>
          </w:tcPr>
          <w:p w:rsidR="00C85B4F" w:rsidRPr="00724391" w:rsidRDefault="00C85B4F" w:rsidP="005B0E3E">
            <w:pPr>
              <w:ind w:left="360" w:right="-192" w:hanging="360"/>
              <w:rPr>
                <w:rFonts w:eastAsia="Calibri"/>
                <w:bCs/>
                <w:caps/>
                <w:sz w:val="22"/>
                <w:szCs w:val="22"/>
                <w:lang w:val="en-GB" w:eastAsia="en-GB"/>
              </w:rPr>
            </w:pPr>
            <w:r w:rsidRPr="00724391">
              <w:rPr>
                <w:rFonts w:eastAsia="Calibri"/>
                <w:bCs/>
                <w:sz w:val="22"/>
                <w:szCs w:val="22"/>
                <w:lang w:val="en-GB" w:eastAsia="en-GB"/>
              </w:rPr>
              <w:t>Overall FDI</w:t>
            </w:r>
          </w:p>
        </w:tc>
        <w:tc>
          <w:tcPr>
            <w:tcW w:w="672" w:type="pct"/>
            <w:gridSpan w:val="2"/>
            <w:shd w:val="clear" w:color="auto" w:fill="F2F2F2"/>
            <w:noWrap/>
          </w:tcPr>
          <w:p w:rsidR="00C85B4F" w:rsidRPr="00724391" w:rsidRDefault="00C85B4F" w:rsidP="005B0E3E">
            <w:pPr>
              <w:ind w:left="-37" w:right="-113"/>
              <w:jc w:val="center"/>
              <w:rPr>
                <w:rFonts w:eastAsia="Calibri"/>
                <w:bCs/>
                <w:sz w:val="22"/>
                <w:szCs w:val="22"/>
                <w:lang w:val="en-GB" w:eastAsia="en-GB"/>
              </w:rPr>
            </w:pPr>
            <w:r w:rsidRPr="00724391">
              <w:rPr>
                <w:rFonts w:eastAsia="Calibri"/>
                <w:bCs/>
                <w:sz w:val="22"/>
                <w:szCs w:val="22"/>
                <w:lang w:val="en-GB" w:eastAsia="en-GB"/>
              </w:rPr>
              <w:t>75</w:t>
            </w:r>
          </w:p>
        </w:tc>
        <w:tc>
          <w:tcPr>
            <w:tcW w:w="570" w:type="pct"/>
            <w:gridSpan w:val="2"/>
            <w:shd w:val="clear" w:color="auto" w:fill="F2F2F2"/>
          </w:tcPr>
          <w:p w:rsidR="00C85B4F" w:rsidRPr="00724391" w:rsidRDefault="00C85B4F" w:rsidP="00D52421">
            <w:pPr>
              <w:ind w:left="268" w:right="-113" w:hanging="682"/>
              <w:jc w:val="center"/>
              <w:rPr>
                <w:sz w:val="22"/>
                <w:szCs w:val="22"/>
              </w:rPr>
            </w:pPr>
            <w:r w:rsidRPr="00724391">
              <w:rPr>
                <w:sz w:val="22"/>
                <w:szCs w:val="22"/>
              </w:rPr>
              <w:t>2.47</w:t>
            </w:r>
          </w:p>
        </w:tc>
        <w:tc>
          <w:tcPr>
            <w:tcW w:w="768" w:type="pct"/>
            <w:gridSpan w:val="2"/>
            <w:shd w:val="clear" w:color="auto" w:fill="F2F2F2"/>
          </w:tcPr>
          <w:p w:rsidR="00C85B4F" w:rsidRPr="00724391" w:rsidRDefault="00C85B4F" w:rsidP="005B0E3E">
            <w:pPr>
              <w:ind w:left="-87" w:right="-113"/>
              <w:rPr>
                <w:sz w:val="22"/>
                <w:szCs w:val="22"/>
              </w:rPr>
            </w:pPr>
            <w:r w:rsidRPr="00724391">
              <w:rPr>
                <w:sz w:val="22"/>
                <w:szCs w:val="22"/>
              </w:rPr>
              <w:t xml:space="preserve">    0.82</w:t>
            </w:r>
          </w:p>
        </w:tc>
        <w:tc>
          <w:tcPr>
            <w:tcW w:w="512" w:type="pct"/>
            <w:shd w:val="clear" w:color="auto" w:fill="F2F2F2"/>
          </w:tcPr>
          <w:p w:rsidR="00C85B4F" w:rsidRPr="00724391" w:rsidRDefault="00C85B4F" w:rsidP="00D52421">
            <w:pPr>
              <w:ind w:left="360" w:right="-288"/>
              <w:jc w:val="center"/>
              <w:rPr>
                <w:sz w:val="22"/>
                <w:szCs w:val="22"/>
              </w:rPr>
            </w:pPr>
            <w:r w:rsidRPr="00724391">
              <w:rPr>
                <w:sz w:val="22"/>
                <w:szCs w:val="22"/>
              </w:rPr>
              <w:t>0.685</w:t>
            </w:r>
          </w:p>
        </w:tc>
        <w:tc>
          <w:tcPr>
            <w:tcW w:w="966" w:type="pct"/>
            <w:gridSpan w:val="2"/>
            <w:shd w:val="clear" w:color="auto" w:fill="F2F2F2"/>
            <w:noWrap/>
          </w:tcPr>
          <w:p w:rsidR="00C85B4F" w:rsidRPr="00724391" w:rsidRDefault="00C85B4F" w:rsidP="00D52421">
            <w:pPr>
              <w:ind w:left="-97" w:right="-113" w:firstLine="90"/>
              <w:jc w:val="center"/>
              <w:rPr>
                <w:sz w:val="22"/>
                <w:szCs w:val="22"/>
              </w:rPr>
            </w:pPr>
            <w:r w:rsidRPr="00724391">
              <w:rPr>
                <w:sz w:val="22"/>
                <w:szCs w:val="22"/>
              </w:rPr>
              <w:t>0.3125</w:t>
            </w:r>
          </w:p>
        </w:tc>
      </w:tr>
    </w:tbl>
    <w:p w:rsidR="00C85B4F" w:rsidRPr="00724391" w:rsidRDefault="00C85B4F" w:rsidP="00C85B4F">
      <w:pPr>
        <w:ind w:left="360"/>
        <w:rPr>
          <w:rFonts w:eastAsia="Calibri"/>
          <w:b/>
          <w:bCs/>
          <w:lang w:val="en-GB"/>
        </w:rPr>
      </w:pPr>
      <w:r w:rsidRPr="00724391">
        <w:rPr>
          <w:rFonts w:eastAsia="Calibri"/>
          <w:b/>
          <w:bCs/>
          <w:lang w:val="en-GB"/>
        </w:rPr>
        <w:t>Source: Field Data (2019)</w:t>
      </w:r>
    </w:p>
    <w:p w:rsidR="00C85B4F" w:rsidRPr="00724391" w:rsidRDefault="00C85B4F" w:rsidP="00C85B4F">
      <w:pPr>
        <w:ind w:left="360"/>
        <w:rPr>
          <w:rFonts w:eastAsia="Calibri"/>
          <w:sz w:val="20"/>
          <w:lang w:val="en-GB"/>
        </w:rPr>
      </w:pPr>
      <w:r w:rsidRPr="00724391">
        <w:rPr>
          <w:rFonts w:eastAsia="Calibri"/>
          <w:sz w:val="20"/>
          <w:lang w:val="en-GB"/>
        </w:rPr>
        <w:tab/>
      </w:r>
    </w:p>
    <w:p w:rsidR="00C85B4F" w:rsidRPr="00724391" w:rsidRDefault="00C85B4F" w:rsidP="008E50D3">
      <w:pPr>
        <w:spacing w:line="360" w:lineRule="auto"/>
        <w:ind w:left="360"/>
        <w:rPr>
          <w:rFonts w:eastAsia="Calibri"/>
          <w:lang w:val="en-GB"/>
        </w:rPr>
      </w:pPr>
      <w:r w:rsidRPr="00724391">
        <w:rPr>
          <w:rFonts w:eastAsia="Calibri"/>
          <w:lang w:val="en-GB"/>
        </w:rPr>
        <w:t>The overall ranking for FDI was a mean score of 2.47, std deviation of 0.82, variance of 0.68 and CV of 0.3125. On specific variable, the highest ranked was capital flow with a score (mean scores above 2.68, standard deviation of 0.70, Variance of 0.49 and CV of 0.026), followed by management knowhow with</w:t>
      </w:r>
      <w:r w:rsidR="004518B5">
        <w:rPr>
          <w:rFonts w:eastAsia="Calibri"/>
          <w:lang w:val="en-GB"/>
        </w:rPr>
        <w:t xml:space="preserve"> scores of </w:t>
      </w:r>
      <w:r w:rsidRPr="00724391">
        <w:rPr>
          <w:rFonts w:eastAsia="Calibri"/>
          <w:lang w:val="en-GB"/>
        </w:rPr>
        <w:t xml:space="preserve">(mean scores </w:t>
      </w:r>
      <w:r w:rsidR="004518B5">
        <w:rPr>
          <w:rFonts w:eastAsia="Calibri"/>
          <w:lang w:val="en-GB"/>
        </w:rPr>
        <w:t xml:space="preserve">of </w:t>
      </w:r>
      <w:r w:rsidRPr="00724391">
        <w:rPr>
          <w:rFonts w:eastAsia="Calibri"/>
          <w:lang w:val="en-GB"/>
        </w:rPr>
        <w:t xml:space="preserve">2.46, standard deviation of 0.86, Variance of 0.7 and </w:t>
      </w:r>
      <w:r w:rsidRPr="00724391">
        <w:rPr>
          <w:rFonts w:eastAsia="Calibri"/>
          <w:lang w:val="en-GB"/>
        </w:rPr>
        <w:lastRenderedPageBreak/>
        <w:t xml:space="preserve">CV of 0.30), them marketing expertise with mean scores above 2.43, standard deviation of 0.86, Variance of 0.7 and CV of 0.31) and finally advanced production technology with a scores of (mean scores above 2.31, standard deviation of 0.86, Variance of 0.7 and CV of 0.38). </w:t>
      </w:r>
    </w:p>
    <w:p w:rsidR="00724391" w:rsidRPr="00BA694B" w:rsidRDefault="00724391" w:rsidP="008E50D3">
      <w:pPr>
        <w:pStyle w:val="Heading3"/>
        <w:spacing w:line="360" w:lineRule="auto"/>
        <w:ind w:firstLine="360"/>
        <w:rPr>
          <w:rFonts w:eastAsia="Calibri"/>
          <w:sz w:val="16"/>
          <w:szCs w:val="16"/>
        </w:rPr>
      </w:pPr>
    </w:p>
    <w:p w:rsidR="00C85B4F" w:rsidRPr="008E4678" w:rsidRDefault="002A6C2E" w:rsidP="008E4678">
      <w:pPr>
        <w:pStyle w:val="Heading3"/>
        <w:spacing w:line="360" w:lineRule="auto"/>
        <w:rPr>
          <w:rFonts w:eastAsia="Calibri"/>
          <w:sz w:val="26"/>
          <w:szCs w:val="26"/>
        </w:rPr>
      </w:pPr>
      <w:r w:rsidRPr="008E4678">
        <w:rPr>
          <w:rFonts w:eastAsia="Calibri"/>
          <w:sz w:val="26"/>
          <w:szCs w:val="26"/>
        </w:rPr>
        <w:t xml:space="preserve">5.2.2 </w:t>
      </w:r>
      <w:r w:rsidR="00C85B4F" w:rsidRPr="008E4678">
        <w:rPr>
          <w:rFonts w:eastAsia="Calibri"/>
          <w:sz w:val="26"/>
          <w:szCs w:val="26"/>
        </w:rPr>
        <w:t>Absorptive Capacity</w:t>
      </w:r>
    </w:p>
    <w:p w:rsidR="00E65374" w:rsidRDefault="00C85B4F" w:rsidP="007939AB">
      <w:pPr>
        <w:spacing w:line="360" w:lineRule="auto"/>
        <w:ind w:left="360"/>
        <w:rPr>
          <w:rFonts w:eastAsia="Calibri"/>
          <w:lang w:val="en-GB"/>
        </w:rPr>
      </w:pPr>
      <w:r>
        <w:t xml:space="preserve">This represents the dynamic ability </w:t>
      </w:r>
      <w:r w:rsidRPr="007743FF">
        <w:t>that comp</w:t>
      </w:r>
      <w:r>
        <w:t xml:space="preserve">anies have in the processes of </w:t>
      </w:r>
      <w:r w:rsidRPr="007743FF">
        <w:t xml:space="preserve">acquiring, assimilating, transforming and applying external knowledge </w:t>
      </w:r>
      <w:r w:rsidR="00D83A86">
        <w:t>to</w:t>
      </w:r>
      <w:r w:rsidRPr="007743FF">
        <w:t xml:space="preserve"> enhanc</w:t>
      </w:r>
      <w:r w:rsidR="00D83A86">
        <w:t>e</w:t>
      </w:r>
      <w:r w:rsidRPr="007743FF">
        <w:t xml:space="preserve"> their innovative processes (Andrea and Carlos, 2015). </w:t>
      </w:r>
      <w:r w:rsidRPr="007743FF">
        <w:rPr>
          <w:iCs/>
        </w:rPr>
        <w:t xml:space="preserve">Onyekwena (2012) </w:t>
      </w:r>
      <w:r w:rsidR="00D83A86">
        <w:rPr>
          <w:iCs/>
        </w:rPr>
        <w:t xml:space="preserve">noted </w:t>
      </w:r>
      <w:r w:rsidRPr="007743FF">
        <w:rPr>
          <w:iCs/>
        </w:rPr>
        <w:t>that t</w:t>
      </w:r>
      <w:r w:rsidRPr="007743FF">
        <w:t xml:space="preserve">his capacity is critical for successful transmission of know-how </w:t>
      </w:r>
      <w:r>
        <w:t xml:space="preserve">from </w:t>
      </w:r>
      <w:r w:rsidRPr="007743FF">
        <w:t>industrialized nations to less developed countries</w:t>
      </w:r>
      <w:r w:rsidRPr="007743FF">
        <w:rPr>
          <w:iCs/>
        </w:rPr>
        <w:t>.</w:t>
      </w:r>
      <w:r w:rsidRPr="007743FF">
        <w:t xml:space="preserve"> </w:t>
      </w:r>
      <w:r w:rsidRPr="007743FF">
        <w:rPr>
          <w:rFonts w:eastAsia="Calibri"/>
          <w:lang w:val="en-GB"/>
        </w:rPr>
        <w:t xml:space="preserve">Absorptive capacity was postulated as the </w:t>
      </w:r>
      <w:r>
        <w:rPr>
          <w:rFonts w:eastAsia="Calibri"/>
          <w:lang w:val="en-GB"/>
        </w:rPr>
        <w:t xml:space="preserve">mediator </w:t>
      </w:r>
      <w:r w:rsidRPr="007743FF">
        <w:rPr>
          <w:rFonts w:eastAsia="Calibri"/>
          <w:lang w:val="en-GB"/>
        </w:rPr>
        <w:t xml:space="preserve">in the model and was measured using four variables </w:t>
      </w:r>
      <w:r w:rsidR="00D83A86">
        <w:rPr>
          <w:rFonts w:eastAsia="Calibri"/>
          <w:lang w:val="en-GB"/>
        </w:rPr>
        <w:t>of</w:t>
      </w:r>
      <w:r w:rsidRPr="007743FF">
        <w:rPr>
          <w:rFonts w:eastAsia="Calibri"/>
          <w:lang w:val="en-GB"/>
        </w:rPr>
        <w:t xml:space="preserve"> acquisition, assimilation, transformation and exploitation. </w:t>
      </w:r>
      <w:r>
        <w:rPr>
          <w:lang w:val="en-GB" w:eastAsia="x-none"/>
        </w:rPr>
        <w:t xml:space="preserve">The </w:t>
      </w:r>
      <w:r w:rsidRPr="007743FF">
        <w:rPr>
          <w:rFonts w:eastAsia="Calibri"/>
          <w:lang w:val="en-GB"/>
        </w:rPr>
        <w:t xml:space="preserve">results </w:t>
      </w:r>
      <w:r w:rsidR="00E65374">
        <w:rPr>
          <w:rFonts w:eastAsia="Calibri"/>
          <w:lang w:val="en-GB"/>
        </w:rPr>
        <w:t xml:space="preserve">are presented on the table below; </w:t>
      </w:r>
    </w:p>
    <w:p w:rsidR="00E65374" w:rsidRPr="00724391" w:rsidRDefault="00E65374" w:rsidP="00284290">
      <w:pPr>
        <w:pStyle w:val="Caption"/>
        <w:ind w:firstLine="360"/>
        <w:rPr>
          <w:b/>
        </w:rPr>
      </w:pPr>
      <w:r w:rsidRPr="00724391">
        <w:rPr>
          <w:b/>
        </w:rPr>
        <w:t>Table 4.</w:t>
      </w:r>
      <w:r w:rsidRPr="00724391">
        <w:rPr>
          <w:b/>
        </w:rPr>
        <w:fldChar w:fldCharType="begin"/>
      </w:r>
      <w:r w:rsidRPr="00724391">
        <w:rPr>
          <w:b/>
        </w:rPr>
        <w:instrText xml:space="preserve"> SEQ Table \* ARABIC \s 1 </w:instrText>
      </w:r>
      <w:r w:rsidRPr="00724391">
        <w:rPr>
          <w:b/>
        </w:rPr>
        <w:fldChar w:fldCharType="separate"/>
      </w:r>
      <w:r w:rsidR="00BE1046">
        <w:rPr>
          <w:b/>
          <w:noProof/>
        </w:rPr>
        <w:t>1</w:t>
      </w:r>
      <w:r w:rsidRPr="00724391">
        <w:rPr>
          <w:b/>
          <w:noProof/>
        </w:rPr>
        <w:fldChar w:fldCharType="end"/>
      </w:r>
      <w:r w:rsidRPr="00724391">
        <w:rPr>
          <w:b/>
        </w:rPr>
        <w:t>: A</w:t>
      </w:r>
      <w:r>
        <w:rPr>
          <w:b/>
        </w:rPr>
        <w:t xml:space="preserve">bsorption Capacity </w:t>
      </w:r>
    </w:p>
    <w:tbl>
      <w:tblPr>
        <w:tblpPr w:leftFromText="180" w:rightFromText="180" w:vertAnchor="text" w:tblpX="540" w:tblpY="1"/>
        <w:tblOverlap w:val="never"/>
        <w:tblW w:w="4667" w:type="pct"/>
        <w:tblBorders>
          <w:top w:val="single" w:sz="4" w:space="0" w:color="auto"/>
          <w:bottom w:val="single" w:sz="4" w:space="0" w:color="auto"/>
        </w:tblBorders>
        <w:tblLook w:val="04A0" w:firstRow="1" w:lastRow="0" w:firstColumn="1" w:lastColumn="0" w:noHBand="0" w:noVBand="1"/>
      </w:tblPr>
      <w:tblGrid>
        <w:gridCol w:w="2249"/>
        <w:gridCol w:w="566"/>
        <w:gridCol w:w="689"/>
        <w:gridCol w:w="205"/>
        <w:gridCol w:w="1091"/>
        <w:gridCol w:w="1038"/>
        <w:gridCol w:w="1224"/>
        <w:gridCol w:w="408"/>
      </w:tblGrid>
      <w:tr w:rsidR="00E65374" w:rsidRPr="007743FF" w:rsidTr="004824A2">
        <w:trPr>
          <w:trHeight w:val="620"/>
        </w:trPr>
        <w:tc>
          <w:tcPr>
            <w:tcW w:w="1506" w:type="pct"/>
            <w:tcBorders>
              <w:top w:val="single" w:sz="4" w:space="0" w:color="auto"/>
              <w:bottom w:val="single" w:sz="4" w:space="0" w:color="auto"/>
            </w:tcBorders>
            <w:shd w:val="clear" w:color="auto" w:fill="auto"/>
            <w:vAlign w:val="bottom"/>
            <w:hideMark/>
          </w:tcPr>
          <w:p w:rsidR="00E65374" w:rsidRPr="007743FF" w:rsidRDefault="00E65374" w:rsidP="00284290">
            <w:pPr>
              <w:ind w:left="-114"/>
              <w:rPr>
                <w:b/>
                <w:bCs/>
                <w:lang w:val="en-GB" w:eastAsia="en-GB"/>
              </w:rPr>
            </w:pPr>
          </w:p>
        </w:tc>
        <w:tc>
          <w:tcPr>
            <w:tcW w:w="379" w:type="pct"/>
            <w:tcBorders>
              <w:top w:val="single" w:sz="4" w:space="0" w:color="auto"/>
              <w:bottom w:val="single" w:sz="4" w:space="0" w:color="auto"/>
            </w:tcBorders>
            <w:shd w:val="clear" w:color="auto" w:fill="auto"/>
            <w:vAlign w:val="bottom"/>
            <w:hideMark/>
          </w:tcPr>
          <w:p w:rsidR="00E65374" w:rsidRPr="007743FF" w:rsidRDefault="00E65374" w:rsidP="00284290">
            <w:pPr>
              <w:ind w:left="-114"/>
              <w:jc w:val="center"/>
              <w:rPr>
                <w:b/>
                <w:bCs/>
                <w:lang w:val="en-GB" w:eastAsia="en-GB"/>
              </w:rPr>
            </w:pPr>
            <w:r w:rsidRPr="007743FF">
              <w:rPr>
                <w:b/>
                <w:bCs/>
                <w:lang w:val="en-GB" w:eastAsia="en-GB"/>
              </w:rPr>
              <w:t>N</w:t>
            </w:r>
          </w:p>
        </w:tc>
        <w:tc>
          <w:tcPr>
            <w:tcW w:w="461" w:type="pct"/>
            <w:tcBorders>
              <w:top w:val="single" w:sz="4" w:space="0" w:color="auto"/>
              <w:bottom w:val="single" w:sz="4" w:space="0" w:color="auto"/>
            </w:tcBorders>
            <w:shd w:val="clear" w:color="auto" w:fill="auto"/>
            <w:vAlign w:val="bottom"/>
            <w:hideMark/>
          </w:tcPr>
          <w:p w:rsidR="00E65374" w:rsidRPr="007743FF" w:rsidRDefault="00E65374" w:rsidP="00284290">
            <w:pPr>
              <w:ind w:left="-114"/>
              <w:jc w:val="center"/>
              <w:rPr>
                <w:b/>
                <w:bCs/>
                <w:lang w:val="en-GB" w:eastAsia="en-GB"/>
              </w:rPr>
            </w:pPr>
            <w:r w:rsidRPr="007743FF">
              <w:rPr>
                <w:b/>
                <w:bCs/>
                <w:lang w:val="en-GB" w:eastAsia="en-GB"/>
              </w:rPr>
              <w:t>Mean</w:t>
            </w:r>
          </w:p>
        </w:tc>
        <w:tc>
          <w:tcPr>
            <w:tcW w:w="867" w:type="pct"/>
            <w:gridSpan w:val="2"/>
            <w:tcBorders>
              <w:top w:val="single" w:sz="4" w:space="0" w:color="auto"/>
              <w:bottom w:val="single" w:sz="4" w:space="0" w:color="auto"/>
            </w:tcBorders>
            <w:shd w:val="clear" w:color="auto" w:fill="auto"/>
            <w:vAlign w:val="bottom"/>
            <w:hideMark/>
          </w:tcPr>
          <w:p w:rsidR="00E65374" w:rsidRPr="007743FF" w:rsidRDefault="00E65374" w:rsidP="00284290">
            <w:pPr>
              <w:ind w:left="-114"/>
              <w:jc w:val="center"/>
              <w:rPr>
                <w:b/>
                <w:bCs/>
                <w:lang w:val="en-GB" w:eastAsia="en-GB"/>
              </w:rPr>
            </w:pPr>
            <w:r w:rsidRPr="007743FF">
              <w:rPr>
                <w:b/>
                <w:bCs/>
                <w:lang w:val="en-GB" w:eastAsia="en-GB"/>
              </w:rPr>
              <w:t xml:space="preserve">Std. </w:t>
            </w:r>
          </w:p>
          <w:p w:rsidR="00E65374" w:rsidRPr="007743FF" w:rsidRDefault="00E65374" w:rsidP="00284290">
            <w:pPr>
              <w:ind w:left="-114"/>
              <w:jc w:val="center"/>
              <w:rPr>
                <w:b/>
                <w:bCs/>
                <w:lang w:val="en-GB" w:eastAsia="en-GB"/>
              </w:rPr>
            </w:pPr>
            <w:r w:rsidRPr="007743FF">
              <w:rPr>
                <w:b/>
                <w:bCs/>
                <w:lang w:val="en-GB" w:eastAsia="en-GB"/>
              </w:rPr>
              <w:t>Deviation</w:t>
            </w:r>
          </w:p>
        </w:tc>
        <w:tc>
          <w:tcPr>
            <w:tcW w:w="695" w:type="pct"/>
            <w:tcBorders>
              <w:top w:val="single" w:sz="4" w:space="0" w:color="auto"/>
              <w:bottom w:val="single" w:sz="4" w:space="0" w:color="auto"/>
            </w:tcBorders>
            <w:shd w:val="clear" w:color="auto" w:fill="auto"/>
            <w:vAlign w:val="bottom"/>
            <w:hideMark/>
          </w:tcPr>
          <w:p w:rsidR="00E65374" w:rsidRPr="007743FF" w:rsidRDefault="00E65374" w:rsidP="00284290">
            <w:pPr>
              <w:ind w:left="-114"/>
              <w:jc w:val="center"/>
              <w:rPr>
                <w:b/>
                <w:bCs/>
                <w:lang w:val="en-GB" w:eastAsia="en-GB"/>
              </w:rPr>
            </w:pPr>
            <w:r w:rsidRPr="007743FF">
              <w:rPr>
                <w:b/>
                <w:bCs/>
                <w:lang w:val="en-GB" w:eastAsia="en-GB"/>
              </w:rPr>
              <w:t>Variance</w:t>
            </w:r>
          </w:p>
        </w:tc>
        <w:tc>
          <w:tcPr>
            <w:tcW w:w="1092" w:type="pct"/>
            <w:gridSpan w:val="2"/>
            <w:tcBorders>
              <w:top w:val="single" w:sz="4" w:space="0" w:color="auto"/>
              <w:bottom w:val="single" w:sz="4" w:space="0" w:color="auto"/>
            </w:tcBorders>
            <w:shd w:val="clear" w:color="auto" w:fill="auto"/>
            <w:vAlign w:val="bottom"/>
            <w:hideMark/>
          </w:tcPr>
          <w:p w:rsidR="00E65374" w:rsidRPr="007743FF" w:rsidRDefault="00E65374" w:rsidP="00284290">
            <w:pPr>
              <w:ind w:left="-236" w:firstLine="122"/>
              <w:jc w:val="center"/>
              <w:rPr>
                <w:b/>
                <w:bCs/>
                <w:lang w:val="en-GB" w:eastAsia="en-GB"/>
              </w:rPr>
            </w:pPr>
            <w:r w:rsidRPr="007743FF">
              <w:rPr>
                <w:b/>
                <w:bCs/>
                <w:lang w:val="en-GB" w:eastAsia="en-GB"/>
              </w:rPr>
              <w:t xml:space="preserve">Coefficient </w:t>
            </w:r>
          </w:p>
          <w:p w:rsidR="00E65374" w:rsidRPr="007743FF" w:rsidRDefault="00E65374" w:rsidP="00284290">
            <w:pPr>
              <w:ind w:left="-236" w:firstLine="122"/>
              <w:jc w:val="center"/>
              <w:rPr>
                <w:b/>
                <w:bCs/>
                <w:lang w:val="en-GB" w:eastAsia="en-GB"/>
              </w:rPr>
            </w:pPr>
            <w:r w:rsidRPr="007743FF">
              <w:rPr>
                <w:b/>
                <w:bCs/>
                <w:lang w:val="en-GB" w:eastAsia="en-GB"/>
              </w:rPr>
              <w:t>of Variation</w:t>
            </w:r>
          </w:p>
        </w:tc>
      </w:tr>
      <w:tr w:rsidR="00E65374" w:rsidRPr="007743FF" w:rsidTr="004518B5">
        <w:trPr>
          <w:trHeight w:val="414"/>
        </w:trPr>
        <w:tc>
          <w:tcPr>
            <w:tcW w:w="1506" w:type="pct"/>
            <w:tcBorders>
              <w:top w:val="single" w:sz="4" w:space="0" w:color="auto"/>
            </w:tcBorders>
            <w:shd w:val="clear" w:color="auto" w:fill="auto"/>
            <w:vAlign w:val="center"/>
          </w:tcPr>
          <w:p w:rsidR="00E65374" w:rsidRPr="00944666" w:rsidRDefault="00E65374" w:rsidP="004518B5">
            <w:pPr>
              <w:ind w:hanging="108"/>
              <w:rPr>
                <w:lang w:val="en-GB" w:eastAsia="en-GB"/>
              </w:rPr>
            </w:pPr>
            <w:r w:rsidRPr="00944666">
              <w:rPr>
                <w:lang w:val="en-GB"/>
              </w:rPr>
              <w:t xml:space="preserve">Acquisition </w:t>
            </w:r>
          </w:p>
        </w:tc>
        <w:tc>
          <w:tcPr>
            <w:tcW w:w="379" w:type="pct"/>
            <w:tcBorders>
              <w:top w:val="single" w:sz="4" w:space="0" w:color="auto"/>
              <w:bottom w:val="nil"/>
            </w:tcBorders>
            <w:shd w:val="clear" w:color="auto" w:fill="auto"/>
            <w:noWrap/>
            <w:vAlign w:val="center"/>
          </w:tcPr>
          <w:p w:rsidR="00E65374" w:rsidRPr="00284290" w:rsidRDefault="00E65374" w:rsidP="004518B5">
            <w:pPr>
              <w:ind w:left="-114" w:hanging="108"/>
              <w:jc w:val="center"/>
              <w:rPr>
                <w:bCs/>
                <w:szCs w:val="24"/>
                <w:lang w:val="en-GB" w:eastAsia="en-GB"/>
              </w:rPr>
            </w:pPr>
            <w:r w:rsidRPr="00284290">
              <w:rPr>
                <w:bCs/>
                <w:szCs w:val="24"/>
                <w:lang w:val="en-GB" w:eastAsia="en-GB"/>
              </w:rPr>
              <w:t>75</w:t>
            </w:r>
          </w:p>
        </w:tc>
        <w:tc>
          <w:tcPr>
            <w:tcW w:w="461" w:type="pct"/>
            <w:tcBorders>
              <w:top w:val="single" w:sz="4" w:space="0" w:color="auto"/>
              <w:bottom w:val="nil"/>
            </w:tcBorders>
            <w:shd w:val="clear" w:color="auto" w:fill="auto"/>
            <w:noWrap/>
            <w:vAlign w:val="center"/>
          </w:tcPr>
          <w:p w:rsidR="00E65374" w:rsidRPr="00284290" w:rsidRDefault="00E65374" w:rsidP="004518B5">
            <w:pPr>
              <w:ind w:left="-114" w:hanging="108"/>
              <w:jc w:val="center"/>
              <w:rPr>
                <w:bCs/>
                <w:szCs w:val="24"/>
                <w:lang w:val="en-GB" w:eastAsia="en-GB"/>
              </w:rPr>
            </w:pPr>
            <w:r w:rsidRPr="00284290">
              <w:rPr>
                <w:bCs/>
                <w:szCs w:val="24"/>
                <w:lang w:val="en-GB" w:eastAsia="en-GB"/>
              </w:rPr>
              <w:t>3.70</w:t>
            </w:r>
          </w:p>
        </w:tc>
        <w:tc>
          <w:tcPr>
            <w:tcW w:w="867" w:type="pct"/>
            <w:gridSpan w:val="2"/>
            <w:tcBorders>
              <w:top w:val="single" w:sz="4" w:space="0" w:color="auto"/>
              <w:bottom w:val="nil"/>
            </w:tcBorders>
            <w:shd w:val="clear" w:color="auto" w:fill="auto"/>
            <w:noWrap/>
            <w:vAlign w:val="center"/>
          </w:tcPr>
          <w:p w:rsidR="00E65374" w:rsidRPr="00284290" w:rsidRDefault="00E65374" w:rsidP="004518B5">
            <w:pPr>
              <w:ind w:left="-114" w:hanging="108"/>
              <w:jc w:val="center"/>
              <w:rPr>
                <w:bCs/>
                <w:szCs w:val="24"/>
                <w:lang w:val="en-GB" w:eastAsia="en-GB"/>
              </w:rPr>
            </w:pPr>
            <w:r w:rsidRPr="00284290">
              <w:rPr>
                <w:bCs/>
                <w:szCs w:val="24"/>
                <w:lang w:val="en-GB" w:eastAsia="en-GB"/>
              </w:rPr>
              <w:t>1.12</w:t>
            </w:r>
          </w:p>
        </w:tc>
        <w:tc>
          <w:tcPr>
            <w:tcW w:w="695" w:type="pct"/>
            <w:tcBorders>
              <w:top w:val="single" w:sz="4" w:space="0" w:color="auto"/>
              <w:bottom w:val="nil"/>
            </w:tcBorders>
            <w:shd w:val="clear" w:color="auto" w:fill="auto"/>
            <w:noWrap/>
            <w:vAlign w:val="center"/>
          </w:tcPr>
          <w:p w:rsidR="00E65374" w:rsidRPr="00284290" w:rsidRDefault="00E65374" w:rsidP="004518B5">
            <w:pPr>
              <w:ind w:left="-114" w:hanging="108"/>
              <w:jc w:val="center"/>
              <w:rPr>
                <w:bCs/>
                <w:szCs w:val="24"/>
                <w:lang w:val="en-GB" w:eastAsia="en-GB"/>
              </w:rPr>
            </w:pPr>
            <w:r w:rsidRPr="00284290">
              <w:rPr>
                <w:bCs/>
                <w:szCs w:val="24"/>
                <w:lang w:val="en-GB" w:eastAsia="en-GB"/>
              </w:rPr>
              <w:t>1.28</w:t>
            </w:r>
          </w:p>
        </w:tc>
        <w:tc>
          <w:tcPr>
            <w:tcW w:w="1092" w:type="pct"/>
            <w:gridSpan w:val="2"/>
            <w:tcBorders>
              <w:top w:val="single" w:sz="4" w:space="0" w:color="auto"/>
              <w:bottom w:val="nil"/>
            </w:tcBorders>
            <w:shd w:val="clear" w:color="auto" w:fill="auto"/>
            <w:noWrap/>
            <w:vAlign w:val="center"/>
          </w:tcPr>
          <w:p w:rsidR="00E65374" w:rsidRPr="00284290" w:rsidRDefault="004824A2" w:rsidP="004518B5">
            <w:pPr>
              <w:ind w:left="-236" w:hanging="108"/>
              <w:rPr>
                <w:bCs/>
                <w:szCs w:val="24"/>
                <w:lang w:val="en-GB" w:eastAsia="en-GB"/>
              </w:rPr>
            </w:pPr>
            <w:r>
              <w:rPr>
                <w:bCs/>
                <w:szCs w:val="24"/>
                <w:lang w:val="en-GB" w:eastAsia="en-GB"/>
              </w:rPr>
              <w:t xml:space="preserve">    </w:t>
            </w:r>
            <w:r w:rsidR="003526F5">
              <w:rPr>
                <w:bCs/>
                <w:szCs w:val="24"/>
                <w:lang w:val="en-GB" w:eastAsia="en-GB"/>
              </w:rPr>
              <w:t xml:space="preserve"> </w:t>
            </w:r>
            <w:r w:rsidR="00E65374" w:rsidRPr="00284290">
              <w:rPr>
                <w:bCs/>
                <w:szCs w:val="24"/>
                <w:lang w:val="en-GB" w:eastAsia="en-GB"/>
              </w:rPr>
              <w:t>0.35</w:t>
            </w:r>
          </w:p>
        </w:tc>
      </w:tr>
      <w:tr w:rsidR="00E65374" w:rsidRPr="007743FF" w:rsidTr="004518B5">
        <w:trPr>
          <w:trHeight w:val="414"/>
        </w:trPr>
        <w:tc>
          <w:tcPr>
            <w:tcW w:w="1506" w:type="pct"/>
            <w:shd w:val="clear" w:color="auto" w:fill="auto"/>
            <w:vAlign w:val="center"/>
          </w:tcPr>
          <w:p w:rsidR="00E65374" w:rsidRPr="00944666" w:rsidRDefault="00E65374" w:rsidP="004518B5">
            <w:pPr>
              <w:ind w:hanging="108"/>
              <w:rPr>
                <w:lang w:val="en-GB" w:eastAsia="en-GB"/>
              </w:rPr>
            </w:pPr>
            <w:r w:rsidRPr="00944666">
              <w:t>Assimilation</w:t>
            </w:r>
          </w:p>
        </w:tc>
        <w:tc>
          <w:tcPr>
            <w:tcW w:w="379" w:type="pct"/>
            <w:tcBorders>
              <w:top w:val="nil"/>
              <w:bottom w:val="nil"/>
            </w:tcBorders>
            <w:shd w:val="clear" w:color="auto" w:fill="auto"/>
            <w:noWrap/>
            <w:vAlign w:val="center"/>
          </w:tcPr>
          <w:p w:rsidR="00E65374" w:rsidRPr="00284290" w:rsidRDefault="00E65374" w:rsidP="004518B5">
            <w:pPr>
              <w:ind w:hanging="108"/>
              <w:jc w:val="center"/>
              <w:rPr>
                <w:bCs/>
                <w:szCs w:val="24"/>
                <w:lang w:val="en-GB" w:eastAsia="en-GB"/>
              </w:rPr>
            </w:pPr>
            <w:r w:rsidRPr="00284290">
              <w:rPr>
                <w:bCs/>
                <w:szCs w:val="24"/>
                <w:lang w:val="en-GB" w:eastAsia="en-GB"/>
              </w:rPr>
              <w:t>75</w:t>
            </w:r>
          </w:p>
        </w:tc>
        <w:tc>
          <w:tcPr>
            <w:tcW w:w="461" w:type="pct"/>
            <w:tcBorders>
              <w:top w:val="nil"/>
              <w:bottom w:val="nil"/>
            </w:tcBorders>
            <w:shd w:val="clear" w:color="auto" w:fill="auto"/>
            <w:noWrap/>
            <w:vAlign w:val="center"/>
          </w:tcPr>
          <w:p w:rsidR="00E65374" w:rsidRPr="00284290" w:rsidRDefault="00E65374" w:rsidP="004518B5">
            <w:pPr>
              <w:ind w:hanging="108"/>
              <w:jc w:val="center"/>
              <w:rPr>
                <w:bCs/>
                <w:szCs w:val="24"/>
                <w:lang w:val="en-GB" w:eastAsia="en-GB"/>
              </w:rPr>
            </w:pPr>
            <w:r w:rsidRPr="00284290">
              <w:rPr>
                <w:rFonts w:eastAsia="Calibri"/>
                <w:bCs/>
                <w:szCs w:val="24"/>
                <w:lang w:val="en-GB"/>
              </w:rPr>
              <w:t>3.76</w:t>
            </w:r>
          </w:p>
        </w:tc>
        <w:tc>
          <w:tcPr>
            <w:tcW w:w="867" w:type="pct"/>
            <w:gridSpan w:val="2"/>
            <w:tcBorders>
              <w:top w:val="nil"/>
              <w:bottom w:val="nil"/>
            </w:tcBorders>
            <w:shd w:val="clear" w:color="auto" w:fill="auto"/>
            <w:noWrap/>
            <w:vAlign w:val="center"/>
          </w:tcPr>
          <w:p w:rsidR="00E65374" w:rsidRPr="00284290" w:rsidRDefault="00E65374" w:rsidP="004518B5">
            <w:pPr>
              <w:ind w:hanging="108"/>
              <w:jc w:val="center"/>
              <w:rPr>
                <w:bCs/>
                <w:szCs w:val="24"/>
                <w:lang w:val="en-GB" w:eastAsia="en-GB"/>
              </w:rPr>
            </w:pPr>
            <w:r w:rsidRPr="00284290">
              <w:rPr>
                <w:bCs/>
                <w:szCs w:val="24"/>
                <w:lang w:val="en-GB" w:eastAsia="en-GB"/>
              </w:rPr>
              <w:t>1.08</w:t>
            </w:r>
          </w:p>
        </w:tc>
        <w:tc>
          <w:tcPr>
            <w:tcW w:w="695" w:type="pct"/>
            <w:tcBorders>
              <w:top w:val="nil"/>
              <w:bottom w:val="nil"/>
            </w:tcBorders>
            <w:shd w:val="clear" w:color="auto" w:fill="auto"/>
            <w:noWrap/>
            <w:vAlign w:val="center"/>
          </w:tcPr>
          <w:p w:rsidR="00E65374" w:rsidRPr="00284290" w:rsidRDefault="004518B5" w:rsidP="004518B5">
            <w:pPr>
              <w:ind w:hanging="108"/>
              <w:rPr>
                <w:bCs/>
                <w:szCs w:val="24"/>
                <w:lang w:val="en-GB" w:eastAsia="en-GB"/>
              </w:rPr>
            </w:pPr>
            <w:r>
              <w:rPr>
                <w:bCs/>
                <w:szCs w:val="24"/>
                <w:lang w:val="en-GB" w:eastAsia="en-GB"/>
              </w:rPr>
              <w:t xml:space="preserve">  </w:t>
            </w:r>
            <w:r w:rsidR="00E65374" w:rsidRPr="00284290">
              <w:rPr>
                <w:bCs/>
                <w:szCs w:val="24"/>
                <w:lang w:val="en-GB" w:eastAsia="en-GB"/>
              </w:rPr>
              <w:t>1.18</w:t>
            </w:r>
          </w:p>
        </w:tc>
        <w:tc>
          <w:tcPr>
            <w:tcW w:w="1092" w:type="pct"/>
            <w:gridSpan w:val="2"/>
            <w:tcBorders>
              <w:top w:val="nil"/>
              <w:bottom w:val="nil"/>
            </w:tcBorders>
            <w:shd w:val="clear" w:color="auto" w:fill="auto"/>
            <w:noWrap/>
            <w:vAlign w:val="center"/>
          </w:tcPr>
          <w:p w:rsidR="00E65374" w:rsidRPr="00284290" w:rsidRDefault="004824A2" w:rsidP="004518B5">
            <w:pPr>
              <w:ind w:hanging="108"/>
              <w:rPr>
                <w:bCs/>
                <w:szCs w:val="24"/>
                <w:lang w:val="en-GB" w:eastAsia="en-GB"/>
              </w:rPr>
            </w:pPr>
            <w:r>
              <w:rPr>
                <w:bCs/>
                <w:szCs w:val="24"/>
                <w:lang w:val="en-GB" w:eastAsia="en-GB"/>
              </w:rPr>
              <w:t xml:space="preserve">   </w:t>
            </w:r>
            <w:r w:rsidR="00E65374" w:rsidRPr="00284290">
              <w:rPr>
                <w:bCs/>
                <w:szCs w:val="24"/>
                <w:lang w:val="en-GB" w:eastAsia="en-GB"/>
              </w:rPr>
              <w:t>0.32</w:t>
            </w:r>
          </w:p>
        </w:tc>
      </w:tr>
      <w:tr w:rsidR="00E65374" w:rsidRPr="007743FF" w:rsidTr="004518B5">
        <w:trPr>
          <w:trHeight w:val="414"/>
        </w:trPr>
        <w:tc>
          <w:tcPr>
            <w:tcW w:w="1506" w:type="pct"/>
            <w:shd w:val="clear" w:color="auto" w:fill="auto"/>
            <w:vAlign w:val="center"/>
          </w:tcPr>
          <w:p w:rsidR="00E65374" w:rsidRPr="00944666" w:rsidRDefault="00E65374" w:rsidP="004518B5">
            <w:pPr>
              <w:ind w:hanging="108"/>
              <w:rPr>
                <w:lang w:val="en-GB" w:eastAsia="en-GB"/>
              </w:rPr>
            </w:pPr>
            <w:r w:rsidRPr="00944666">
              <w:t xml:space="preserve">Transformation                                         </w:t>
            </w:r>
          </w:p>
        </w:tc>
        <w:tc>
          <w:tcPr>
            <w:tcW w:w="379" w:type="pct"/>
            <w:tcBorders>
              <w:top w:val="nil"/>
            </w:tcBorders>
            <w:shd w:val="clear" w:color="auto" w:fill="auto"/>
            <w:noWrap/>
            <w:vAlign w:val="center"/>
          </w:tcPr>
          <w:p w:rsidR="00E65374" w:rsidRPr="00284290" w:rsidRDefault="00E65374" w:rsidP="004518B5">
            <w:pPr>
              <w:tabs>
                <w:tab w:val="left" w:pos="1620"/>
              </w:tabs>
              <w:ind w:hanging="108"/>
              <w:jc w:val="center"/>
              <w:rPr>
                <w:bCs/>
                <w:szCs w:val="24"/>
                <w:lang w:val="en-GB" w:eastAsia="en-GB"/>
              </w:rPr>
            </w:pPr>
            <w:r w:rsidRPr="00284290">
              <w:rPr>
                <w:bCs/>
                <w:szCs w:val="24"/>
                <w:lang w:val="en-GB" w:eastAsia="en-GB"/>
              </w:rPr>
              <w:t>75</w:t>
            </w:r>
          </w:p>
        </w:tc>
        <w:tc>
          <w:tcPr>
            <w:tcW w:w="461" w:type="pct"/>
            <w:tcBorders>
              <w:top w:val="nil"/>
            </w:tcBorders>
            <w:shd w:val="clear" w:color="auto" w:fill="auto"/>
            <w:noWrap/>
            <w:vAlign w:val="center"/>
          </w:tcPr>
          <w:p w:rsidR="00E65374" w:rsidRPr="00284290" w:rsidRDefault="00E65374" w:rsidP="004518B5">
            <w:pPr>
              <w:tabs>
                <w:tab w:val="left" w:pos="1620"/>
              </w:tabs>
              <w:ind w:hanging="108"/>
              <w:jc w:val="center"/>
              <w:rPr>
                <w:bCs/>
                <w:szCs w:val="24"/>
                <w:lang w:val="en-GB" w:eastAsia="en-GB"/>
              </w:rPr>
            </w:pPr>
            <w:r w:rsidRPr="00284290">
              <w:rPr>
                <w:bCs/>
                <w:szCs w:val="24"/>
                <w:lang w:val="en-GB" w:eastAsia="en-GB"/>
              </w:rPr>
              <w:t>3.71</w:t>
            </w:r>
          </w:p>
        </w:tc>
        <w:tc>
          <w:tcPr>
            <w:tcW w:w="867" w:type="pct"/>
            <w:gridSpan w:val="2"/>
            <w:tcBorders>
              <w:top w:val="nil"/>
            </w:tcBorders>
            <w:shd w:val="clear" w:color="auto" w:fill="auto"/>
            <w:noWrap/>
            <w:vAlign w:val="center"/>
          </w:tcPr>
          <w:p w:rsidR="00E65374" w:rsidRPr="00284290" w:rsidRDefault="003526F5" w:rsidP="004518B5">
            <w:pPr>
              <w:tabs>
                <w:tab w:val="left" w:pos="1620"/>
              </w:tabs>
              <w:rPr>
                <w:bCs/>
                <w:szCs w:val="24"/>
                <w:lang w:val="en-GB" w:eastAsia="en-GB"/>
              </w:rPr>
            </w:pPr>
            <w:r>
              <w:rPr>
                <w:bCs/>
                <w:szCs w:val="24"/>
                <w:lang w:val="en-GB" w:eastAsia="en-GB"/>
              </w:rPr>
              <w:t xml:space="preserve"> </w:t>
            </w:r>
            <w:r w:rsidR="004518B5">
              <w:rPr>
                <w:bCs/>
                <w:szCs w:val="24"/>
                <w:lang w:val="en-GB" w:eastAsia="en-GB"/>
              </w:rPr>
              <w:t xml:space="preserve"> </w:t>
            </w:r>
            <w:r w:rsidR="00E65374" w:rsidRPr="00284290">
              <w:rPr>
                <w:bCs/>
                <w:szCs w:val="24"/>
                <w:lang w:val="en-GB" w:eastAsia="en-GB"/>
              </w:rPr>
              <w:t>0.96</w:t>
            </w:r>
          </w:p>
        </w:tc>
        <w:tc>
          <w:tcPr>
            <w:tcW w:w="695" w:type="pct"/>
            <w:tcBorders>
              <w:top w:val="nil"/>
            </w:tcBorders>
            <w:shd w:val="clear" w:color="auto" w:fill="auto"/>
            <w:noWrap/>
            <w:vAlign w:val="center"/>
          </w:tcPr>
          <w:p w:rsidR="00E65374" w:rsidRPr="00284290" w:rsidRDefault="003526F5" w:rsidP="004518B5">
            <w:pPr>
              <w:tabs>
                <w:tab w:val="left" w:pos="1620"/>
              </w:tabs>
              <w:rPr>
                <w:bCs/>
                <w:szCs w:val="24"/>
                <w:lang w:val="en-GB" w:eastAsia="en-GB"/>
              </w:rPr>
            </w:pPr>
            <w:r>
              <w:rPr>
                <w:bCs/>
                <w:szCs w:val="24"/>
                <w:lang w:val="en-GB" w:eastAsia="en-GB"/>
              </w:rPr>
              <w:t xml:space="preserve"> </w:t>
            </w:r>
            <w:r w:rsidR="00E65374" w:rsidRPr="00284290">
              <w:rPr>
                <w:bCs/>
                <w:szCs w:val="24"/>
                <w:lang w:val="en-GB" w:eastAsia="en-GB"/>
              </w:rPr>
              <w:t>0.97</w:t>
            </w:r>
          </w:p>
        </w:tc>
        <w:tc>
          <w:tcPr>
            <w:tcW w:w="1092" w:type="pct"/>
            <w:gridSpan w:val="2"/>
            <w:tcBorders>
              <w:top w:val="nil"/>
            </w:tcBorders>
            <w:shd w:val="clear" w:color="auto" w:fill="auto"/>
            <w:noWrap/>
            <w:vAlign w:val="center"/>
          </w:tcPr>
          <w:p w:rsidR="00E65374" w:rsidRPr="00284290" w:rsidRDefault="004518B5" w:rsidP="004518B5">
            <w:pPr>
              <w:tabs>
                <w:tab w:val="left" w:pos="1620"/>
              </w:tabs>
              <w:rPr>
                <w:bCs/>
                <w:szCs w:val="24"/>
                <w:lang w:val="en-GB" w:eastAsia="en-GB"/>
              </w:rPr>
            </w:pPr>
            <w:r>
              <w:rPr>
                <w:bCs/>
                <w:szCs w:val="24"/>
                <w:lang w:val="en-GB" w:eastAsia="en-GB"/>
              </w:rPr>
              <w:t xml:space="preserve">  </w:t>
            </w:r>
            <w:r w:rsidR="00E65374" w:rsidRPr="00284290">
              <w:rPr>
                <w:bCs/>
                <w:szCs w:val="24"/>
                <w:lang w:val="en-GB" w:eastAsia="en-GB"/>
              </w:rPr>
              <w:t>0.27</w:t>
            </w:r>
          </w:p>
        </w:tc>
      </w:tr>
      <w:tr w:rsidR="00E65374" w:rsidRPr="007743FF" w:rsidTr="004518B5">
        <w:trPr>
          <w:trHeight w:val="414"/>
        </w:trPr>
        <w:tc>
          <w:tcPr>
            <w:tcW w:w="1506" w:type="pct"/>
            <w:tcBorders>
              <w:bottom w:val="nil"/>
            </w:tcBorders>
            <w:shd w:val="clear" w:color="auto" w:fill="auto"/>
            <w:vAlign w:val="center"/>
          </w:tcPr>
          <w:p w:rsidR="00E65374" w:rsidRPr="00944666" w:rsidRDefault="00E65374" w:rsidP="004518B5">
            <w:pPr>
              <w:ind w:left="-198" w:firstLine="90"/>
              <w:rPr>
                <w:lang w:val="en-GB" w:eastAsia="en-GB"/>
              </w:rPr>
            </w:pPr>
            <w:r w:rsidRPr="00944666">
              <w:t>Exploitation</w:t>
            </w:r>
          </w:p>
        </w:tc>
        <w:tc>
          <w:tcPr>
            <w:tcW w:w="379" w:type="pct"/>
            <w:tcBorders>
              <w:bottom w:val="nil"/>
            </w:tcBorders>
            <w:shd w:val="clear" w:color="auto" w:fill="auto"/>
            <w:noWrap/>
            <w:vAlign w:val="center"/>
          </w:tcPr>
          <w:p w:rsidR="00E65374" w:rsidRPr="00284290" w:rsidRDefault="00E65374" w:rsidP="004518B5">
            <w:pPr>
              <w:ind w:hanging="108"/>
              <w:jc w:val="center"/>
              <w:rPr>
                <w:color w:val="000000"/>
                <w:szCs w:val="24"/>
              </w:rPr>
            </w:pPr>
            <w:r w:rsidRPr="00284290">
              <w:rPr>
                <w:color w:val="000000"/>
                <w:szCs w:val="24"/>
              </w:rPr>
              <w:t>75</w:t>
            </w:r>
          </w:p>
        </w:tc>
        <w:tc>
          <w:tcPr>
            <w:tcW w:w="461" w:type="pct"/>
            <w:tcBorders>
              <w:bottom w:val="nil"/>
            </w:tcBorders>
            <w:shd w:val="clear" w:color="auto" w:fill="auto"/>
            <w:noWrap/>
            <w:vAlign w:val="center"/>
          </w:tcPr>
          <w:p w:rsidR="00E65374" w:rsidRPr="00284290" w:rsidRDefault="00E65374" w:rsidP="004518B5">
            <w:pPr>
              <w:ind w:hanging="108"/>
              <w:jc w:val="center"/>
              <w:rPr>
                <w:color w:val="000000"/>
                <w:szCs w:val="24"/>
              </w:rPr>
            </w:pPr>
            <w:r w:rsidRPr="00284290">
              <w:rPr>
                <w:color w:val="000000"/>
                <w:szCs w:val="24"/>
              </w:rPr>
              <w:t>4.06</w:t>
            </w:r>
          </w:p>
        </w:tc>
        <w:tc>
          <w:tcPr>
            <w:tcW w:w="867" w:type="pct"/>
            <w:gridSpan w:val="2"/>
            <w:tcBorders>
              <w:bottom w:val="nil"/>
            </w:tcBorders>
            <w:shd w:val="clear" w:color="auto" w:fill="auto"/>
            <w:noWrap/>
            <w:vAlign w:val="center"/>
          </w:tcPr>
          <w:p w:rsidR="00E65374" w:rsidRPr="00284290" w:rsidRDefault="00E65374" w:rsidP="004518B5">
            <w:pPr>
              <w:ind w:hanging="108"/>
              <w:jc w:val="center"/>
              <w:rPr>
                <w:color w:val="000000"/>
                <w:szCs w:val="24"/>
              </w:rPr>
            </w:pPr>
            <w:r w:rsidRPr="00284290">
              <w:rPr>
                <w:color w:val="000000"/>
                <w:szCs w:val="24"/>
              </w:rPr>
              <w:t>0.90</w:t>
            </w:r>
          </w:p>
        </w:tc>
        <w:tc>
          <w:tcPr>
            <w:tcW w:w="695" w:type="pct"/>
            <w:tcBorders>
              <w:bottom w:val="nil"/>
            </w:tcBorders>
            <w:shd w:val="clear" w:color="auto" w:fill="auto"/>
            <w:noWrap/>
            <w:vAlign w:val="center"/>
          </w:tcPr>
          <w:p w:rsidR="00E65374" w:rsidRPr="00284290" w:rsidRDefault="00E65374" w:rsidP="004518B5">
            <w:pPr>
              <w:ind w:hanging="108"/>
              <w:jc w:val="center"/>
              <w:rPr>
                <w:color w:val="000000"/>
                <w:szCs w:val="24"/>
              </w:rPr>
            </w:pPr>
            <w:r w:rsidRPr="00284290">
              <w:rPr>
                <w:color w:val="000000"/>
                <w:szCs w:val="24"/>
              </w:rPr>
              <w:t>0.81</w:t>
            </w:r>
          </w:p>
        </w:tc>
        <w:tc>
          <w:tcPr>
            <w:tcW w:w="1092" w:type="pct"/>
            <w:gridSpan w:val="2"/>
            <w:tcBorders>
              <w:bottom w:val="nil"/>
            </w:tcBorders>
            <w:shd w:val="clear" w:color="auto" w:fill="auto"/>
            <w:noWrap/>
            <w:vAlign w:val="center"/>
          </w:tcPr>
          <w:p w:rsidR="00E65374" w:rsidRPr="00284290" w:rsidRDefault="004824A2" w:rsidP="004518B5">
            <w:pPr>
              <w:ind w:hanging="108"/>
              <w:rPr>
                <w:color w:val="000000"/>
                <w:szCs w:val="24"/>
              </w:rPr>
            </w:pPr>
            <w:r>
              <w:rPr>
                <w:color w:val="000000"/>
                <w:szCs w:val="24"/>
              </w:rPr>
              <w:t xml:space="preserve">   </w:t>
            </w:r>
            <w:r w:rsidR="00E65374" w:rsidRPr="00284290">
              <w:rPr>
                <w:color w:val="000000"/>
                <w:szCs w:val="24"/>
              </w:rPr>
              <w:t>0.20</w:t>
            </w:r>
          </w:p>
        </w:tc>
      </w:tr>
      <w:tr w:rsidR="00E65374" w:rsidRPr="007743FF" w:rsidTr="004824A2">
        <w:trPr>
          <w:gridAfter w:val="1"/>
          <w:wAfter w:w="275" w:type="pct"/>
          <w:trHeight w:val="305"/>
        </w:trPr>
        <w:tc>
          <w:tcPr>
            <w:tcW w:w="1506" w:type="pct"/>
            <w:tcBorders>
              <w:top w:val="single" w:sz="4" w:space="0" w:color="auto"/>
              <w:bottom w:val="single" w:sz="4" w:space="0" w:color="auto"/>
            </w:tcBorders>
            <w:shd w:val="clear" w:color="auto" w:fill="auto"/>
            <w:vAlign w:val="center"/>
            <w:hideMark/>
          </w:tcPr>
          <w:p w:rsidR="00E65374" w:rsidRDefault="00E65374" w:rsidP="00284290">
            <w:pPr>
              <w:jc w:val="right"/>
              <w:rPr>
                <w:rFonts w:ascii="Calibri" w:hAnsi="Calibri" w:cs="Calibri"/>
                <w:color w:val="000000"/>
                <w:sz w:val="22"/>
                <w:szCs w:val="22"/>
              </w:rPr>
            </w:pPr>
          </w:p>
        </w:tc>
        <w:tc>
          <w:tcPr>
            <w:tcW w:w="379" w:type="pct"/>
            <w:tcBorders>
              <w:top w:val="single" w:sz="4" w:space="0" w:color="auto"/>
              <w:bottom w:val="single" w:sz="4" w:space="0" w:color="auto"/>
            </w:tcBorders>
            <w:shd w:val="clear" w:color="auto" w:fill="auto"/>
            <w:noWrap/>
            <w:vAlign w:val="center"/>
          </w:tcPr>
          <w:p w:rsidR="00E65374" w:rsidRPr="00284290" w:rsidRDefault="00E65374" w:rsidP="00284290">
            <w:pPr>
              <w:jc w:val="center"/>
              <w:rPr>
                <w:color w:val="000000"/>
                <w:szCs w:val="24"/>
              </w:rPr>
            </w:pPr>
            <w:r w:rsidRPr="00284290">
              <w:rPr>
                <w:color w:val="000000"/>
                <w:szCs w:val="24"/>
              </w:rPr>
              <w:t>75</w:t>
            </w:r>
          </w:p>
        </w:tc>
        <w:tc>
          <w:tcPr>
            <w:tcW w:w="598" w:type="pct"/>
            <w:gridSpan w:val="2"/>
            <w:tcBorders>
              <w:top w:val="single" w:sz="4" w:space="0" w:color="auto"/>
              <w:bottom w:val="single" w:sz="4" w:space="0" w:color="auto"/>
            </w:tcBorders>
            <w:shd w:val="clear" w:color="auto" w:fill="auto"/>
            <w:vAlign w:val="center"/>
          </w:tcPr>
          <w:p w:rsidR="00E65374" w:rsidRPr="00284290" w:rsidRDefault="00E65374" w:rsidP="004518B5">
            <w:pPr>
              <w:rPr>
                <w:color w:val="000000"/>
                <w:szCs w:val="24"/>
              </w:rPr>
            </w:pPr>
            <w:r w:rsidRPr="00284290">
              <w:rPr>
                <w:color w:val="000000"/>
                <w:szCs w:val="24"/>
              </w:rPr>
              <w:t>3.81</w:t>
            </w:r>
          </w:p>
        </w:tc>
        <w:tc>
          <w:tcPr>
            <w:tcW w:w="730" w:type="pct"/>
            <w:tcBorders>
              <w:top w:val="single" w:sz="4" w:space="0" w:color="auto"/>
              <w:bottom w:val="single" w:sz="4" w:space="0" w:color="auto"/>
            </w:tcBorders>
            <w:shd w:val="clear" w:color="auto" w:fill="auto"/>
            <w:vAlign w:val="center"/>
          </w:tcPr>
          <w:p w:rsidR="00E65374" w:rsidRPr="00284290" w:rsidRDefault="003526F5" w:rsidP="004518B5">
            <w:pPr>
              <w:rPr>
                <w:color w:val="000000"/>
                <w:szCs w:val="24"/>
              </w:rPr>
            </w:pPr>
            <w:r>
              <w:rPr>
                <w:color w:val="000000"/>
                <w:szCs w:val="24"/>
              </w:rPr>
              <w:t xml:space="preserve"> </w:t>
            </w:r>
            <w:r w:rsidR="00E65374" w:rsidRPr="00284290">
              <w:rPr>
                <w:color w:val="000000"/>
                <w:szCs w:val="24"/>
              </w:rPr>
              <w:t>1.02</w:t>
            </w:r>
          </w:p>
        </w:tc>
        <w:tc>
          <w:tcPr>
            <w:tcW w:w="693" w:type="pct"/>
            <w:tcBorders>
              <w:top w:val="single" w:sz="4" w:space="0" w:color="auto"/>
              <w:bottom w:val="single" w:sz="4" w:space="0" w:color="auto"/>
            </w:tcBorders>
            <w:shd w:val="clear" w:color="auto" w:fill="auto"/>
            <w:vAlign w:val="center"/>
          </w:tcPr>
          <w:p w:rsidR="00E65374" w:rsidRPr="00284290" w:rsidRDefault="003526F5" w:rsidP="004518B5">
            <w:pPr>
              <w:rPr>
                <w:color w:val="000000"/>
                <w:szCs w:val="24"/>
              </w:rPr>
            </w:pPr>
            <w:r>
              <w:rPr>
                <w:color w:val="000000"/>
                <w:szCs w:val="24"/>
              </w:rPr>
              <w:t xml:space="preserve"> </w:t>
            </w:r>
            <w:r w:rsidR="00E65374" w:rsidRPr="00284290">
              <w:rPr>
                <w:color w:val="000000"/>
                <w:szCs w:val="24"/>
              </w:rPr>
              <w:t>1.06</w:t>
            </w:r>
          </w:p>
        </w:tc>
        <w:tc>
          <w:tcPr>
            <w:tcW w:w="819" w:type="pct"/>
            <w:tcBorders>
              <w:top w:val="single" w:sz="4" w:space="0" w:color="auto"/>
              <w:bottom w:val="single" w:sz="4" w:space="0" w:color="auto"/>
            </w:tcBorders>
            <w:shd w:val="clear" w:color="auto" w:fill="auto"/>
            <w:noWrap/>
            <w:vAlign w:val="center"/>
          </w:tcPr>
          <w:p w:rsidR="00E65374" w:rsidRPr="00284290" w:rsidRDefault="004518B5" w:rsidP="004518B5">
            <w:pPr>
              <w:rPr>
                <w:color w:val="000000"/>
                <w:szCs w:val="24"/>
              </w:rPr>
            </w:pPr>
            <w:r>
              <w:rPr>
                <w:color w:val="000000"/>
                <w:szCs w:val="24"/>
              </w:rPr>
              <w:t xml:space="preserve">  </w:t>
            </w:r>
            <w:r w:rsidR="00E65374" w:rsidRPr="00284290">
              <w:rPr>
                <w:color w:val="000000"/>
                <w:szCs w:val="24"/>
              </w:rPr>
              <w:t>0.29</w:t>
            </w:r>
          </w:p>
        </w:tc>
      </w:tr>
    </w:tbl>
    <w:p w:rsidR="00E65374" w:rsidRPr="007743FF" w:rsidRDefault="00E65374" w:rsidP="00284290">
      <w:pPr>
        <w:ind w:firstLine="482"/>
        <w:rPr>
          <w:rFonts w:eastAsia="Calibri"/>
          <w:bCs/>
          <w:lang w:val="en-GB"/>
        </w:rPr>
      </w:pPr>
      <w:r w:rsidRPr="007743FF">
        <w:rPr>
          <w:rFonts w:eastAsia="Calibri"/>
          <w:bCs/>
          <w:lang w:val="en-GB"/>
        </w:rPr>
        <w:t>Source: Field Data (2019)</w:t>
      </w:r>
    </w:p>
    <w:tbl>
      <w:tblPr>
        <w:tblW w:w="2880" w:type="dxa"/>
        <w:tblLook w:val="04A0" w:firstRow="1" w:lastRow="0" w:firstColumn="1" w:lastColumn="0" w:noHBand="0" w:noVBand="1"/>
      </w:tblPr>
      <w:tblGrid>
        <w:gridCol w:w="960"/>
        <w:gridCol w:w="960"/>
        <w:gridCol w:w="960"/>
      </w:tblGrid>
      <w:tr w:rsidR="00E65374" w:rsidTr="00E65374">
        <w:trPr>
          <w:trHeight w:val="288"/>
        </w:trPr>
        <w:tc>
          <w:tcPr>
            <w:tcW w:w="960" w:type="dxa"/>
            <w:tcBorders>
              <w:top w:val="nil"/>
              <w:left w:val="nil"/>
              <w:bottom w:val="nil"/>
              <w:right w:val="nil"/>
            </w:tcBorders>
            <w:shd w:val="clear" w:color="auto" w:fill="auto"/>
            <w:noWrap/>
            <w:vAlign w:val="bottom"/>
          </w:tcPr>
          <w:p w:rsidR="00E65374" w:rsidRDefault="00E65374" w:rsidP="00E65374">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E65374" w:rsidRDefault="00E65374" w:rsidP="00E65374">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E65374" w:rsidRDefault="00E65374" w:rsidP="00E65374">
            <w:pPr>
              <w:jc w:val="right"/>
              <w:rPr>
                <w:rFonts w:ascii="Calibri" w:hAnsi="Calibri" w:cs="Calibri"/>
                <w:color w:val="000000"/>
                <w:sz w:val="22"/>
                <w:szCs w:val="22"/>
              </w:rPr>
            </w:pPr>
          </w:p>
        </w:tc>
      </w:tr>
    </w:tbl>
    <w:p w:rsidR="00C85B4F" w:rsidRPr="004D1FFC" w:rsidRDefault="006F7ACB" w:rsidP="004D1FFC">
      <w:pPr>
        <w:spacing w:line="360" w:lineRule="auto"/>
        <w:ind w:left="450"/>
        <w:rPr>
          <w:rFonts w:eastAsia="Calibri"/>
          <w:lang w:val="en-GB"/>
        </w:rPr>
      </w:pPr>
      <w:r w:rsidRPr="004D1FFC">
        <w:rPr>
          <w:rFonts w:eastAsia="Calibri"/>
          <w:lang w:val="en-GB"/>
        </w:rPr>
        <w:t xml:space="preserve">The overall ranking for absorptive capacity was a mean score of 3.81, </w:t>
      </w:r>
      <w:r w:rsidR="004D1FFC" w:rsidRPr="004D1FFC">
        <w:rPr>
          <w:rFonts w:eastAsia="Calibri"/>
          <w:lang w:val="en-GB"/>
        </w:rPr>
        <w:t>standard deviation</w:t>
      </w:r>
      <w:r w:rsidRPr="004D1FFC">
        <w:rPr>
          <w:rFonts w:eastAsia="Calibri"/>
          <w:lang w:val="en-GB"/>
        </w:rPr>
        <w:t xml:space="preserve"> of 1.02, variance of 1.06 and CV of 0.29. On specific variable, the highest ranked was exploitation with a score (mean scores 4.06, standard deviation of 0.90, Variance of 0.</w:t>
      </w:r>
      <w:r w:rsidR="004D1FFC" w:rsidRPr="004D1FFC">
        <w:rPr>
          <w:rFonts w:eastAsia="Calibri"/>
          <w:lang w:val="en-GB"/>
        </w:rPr>
        <w:t>81 and CV of 0.</w:t>
      </w:r>
      <w:r w:rsidRPr="004D1FFC">
        <w:rPr>
          <w:rFonts w:eastAsia="Calibri"/>
          <w:lang w:val="en-GB"/>
        </w:rPr>
        <w:t>2</w:t>
      </w:r>
      <w:r w:rsidR="004D1FFC" w:rsidRPr="004D1FFC">
        <w:rPr>
          <w:rFonts w:eastAsia="Calibri"/>
          <w:lang w:val="en-GB"/>
        </w:rPr>
        <w:t>0</w:t>
      </w:r>
      <w:r w:rsidRPr="004D1FFC">
        <w:rPr>
          <w:rFonts w:eastAsia="Calibri"/>
          <w:lang w:val="en-GB"/>
        </w:rPr>
        <w:t xml:space="preserve">), followed by </w:t>
      </w:r>
      <w:r w:rsidR="004D1FFC" w:rsidRPr="004D1FFC">
        <w:rPr>
          <w:rFonts w:eastAsia="Calibri"/>
          <w:lang w:val="en-GB"/>
        </w:rPr>
        <w:t xml:space="preserve">assimilation </w:t>
      </w:r>
      <w:r w:rsidRPr="004D1FFC">
        <w:rPr>
          <w:rFonts w:eastAsia="Calibri"/>
          <w:lang w:val="en-GB"/>
        </w:rPr>
        <w:t xml:space="preserve">with (mean scores </w:t>
      </w:r>
      <w:r w:rsidR="004D1FFC" w:rsidRPr="004D1FFC">
        <w:rPr>
          <w:rFonts w:eastAsia="Calibri"/>
          <w:lang w:val="en-GB"/>
        </w:rPr>
        <w:t>3.76</w:t>
      </w:r>
      <w:r w:rsidRPr="004D1FFC">
        <w:rPr>
          <w:rFonts w:eastAsia="Calibri"/>
          <w:lang w:val="en-GB"/>
        </w:rPr>
        <w:t xml:space="preserve">, standard deviation of </w:t>
      </w:r>
      <w:r w:rsidR="004D1FFC" w:rsidRPr="004D1FFC">
        <w:rPr>
          <w:rFonts w:eastAsia="Calibri"/>
          <w:lang w:val="en-GB"/>
        </w:rPr>
        <w:t>1.</w:t>
      </w:r>
      <w:r w:rsidRPr="004D1FFC">
        <w:rPr>
          <w:rFonts w:eastAsia="Calibri"/>
          <w:lang w:val="en-GB"/>
        </w:rPr>
        <w:t xml:space="preserve">08, Variance of </w:t>
      </w:r>
      <w:r w:rsidR="004D1FFC" w:rsidRPr="004D1FFC">
        <w:rPr>
          <w:rFonts w:eastAsia="Calibri"/>
          <w:lang w:val="en-GB"/>
        </w:rPr>
        <w:t>1.18</w:t>
      </w:r>
      <w:r w:rsidRPr="004D1FFC">
        <w:rPr>
          <w:rFonts w:eastAsia="Calibri"/>
          <w:lang w:val="en-GB"/>
        </w:rPr>
        <w:t xml:space="preserve"> and CV of 0.3</w:t>
      </w:r>
      <w:r w:rsidR="004D1FFC" w:rsidRPr="004D1FFC">
        <w:rPr>
          <w:rFonts w:eastAsia="Calibri"/>
          <w:lang w:val="en-GB"/>
        </w:rPr>
        <w:t>2</w:t>
      </w:r>
      <w:r w:rsidRPr="004D1FFC">
        <w:rPr>
          <w:rFonts w:eastAsia="Calibri"/>
          <w:lang w:val="en-GB"/>
        </w:rPr>
        <w:t>), the</w:t>
      </w:r>
      <w:r w:rsidR="004D1FFC">
        <w:rPr>
          <w:rFonts w:eastAsia="Calibri"/>
          <w:lang w:val="en-GB"/>
        </w:rPr>
        <w:t>n</w:t>
      </w:r>
      <w:r w:rsidRPr="004D1FFC">
        <w:rPr>
          <w:rFonts w:eastAsia="Calibri"/>
          <w:lang w:val="en-GB"/>
        </w:rPr>
        <w:t xml:space="preserve"> </w:t>
      </w:r>
      <w:r w:rsidR="004D1FFC" w:rsidRPr="004D1FFC">
        <w:rPr>
          <w:rFonts w:eastAsia="Calibri"/>
          <w:lang w:val="en-GB"/>
        </w:rPr>
        <w:t xml:space="preserve">transformation </w:t>
      </w:r>
      <w:r w:rsidR="00D83A86">
        <w:rPr>
          <w:rFonts w:eastAsia="Calibri"/>
          <w:lang w:val="en-GB"/>
        </w:rPr>
        <w:t xml:space="preserve">with </w:t>
      </w:r>
      <w:r w:rsidRPr="004D1FFC">
        <w:rPr>
          <w:rFonts w:eastAsia="Calibri"/>
          <w:lang w:val="en-GB"/>
        </w:rPr>
        <w:t>mean scores .</w:t>
      </w:r>
      <w:r w:rsidR="004D1FFC" w:rsidRPr="004D1FFC">
        <w:rPr>
          <w:rFonts w:eastAsia="Calibri"/>
          <w:lang w:val="en-GB"/>
        </w:rPr>
        <w:t>3.71</w:t>
      </w:r>
      <w:r w:rsidRPr="004D1FFC">
        <w:rPr>
          <w:rFonts w:eastAsia="Calibri"/>
          <w:lang w:val="en-GB"/>
        </w:rPr>
        <w:t>, standard deviation of 0.</w:t>
      </w:r>
      <w:r w:rsidR="004D1FFC" w:rsidRPr="004D1FFC">
        <w:rPr>
          <w:rFonts w:eastAsia="Calibri"/>
          <w:lang w:val="en-GB"/>
        </w:rPr>
        <w:t>9</w:t>
      </w:r>
      <w:r w:rsidRPr="004D1FFC">
        <w:rPr>
          <w:rFonts w:eastAsia="Calibri"/>
          <w:lang w:val="en-GB"/>
        </w:rPr>
        <w:t>6, Variance of 0.</w:t>
      </w:r>
      <w:r w:rsidR="004D1FFC" w:rsidRPr="004D1FFC">
        <w:rPr>
          <w:rFonts w:eastAsia="Calibri"/>
          <w:lang w:val="en-GB"/>
        </w:rPr>
        <w:t>97</w:t>
      </w:r>
      <w:r w:rsidRPr="004D1FFC">
        <w:rPr>
          <w:rFonts w:eastAsia="Calibri"/>
          <w:lang w:val="en-GB"/>
        </w:rPr>
        <w:t xml:space="preserve"> and CV of 0.</w:t>
      </w:r>
      <w:r w:rsidR="004D1FFC" w:rsidRPr="004D1FFC">
        <w:rPr>
          <w:rFonts w:eastAsia="Calibri"/>
          <w:lang w:val="en-GB"/>
        </w:rPr>
        <w:t>27</w:t>
      </w:r>
      <w:r w:rsidRPr="004D1FFC">
        <w:rPr>
          <w:rFonts w:eastAsia="Calibri"/>
          <w:lang w:val="en-GB"/>
        </w:rPr>
        <w:t>) and finally a</w:t>
      </w:r>
      <w:r w:rsidR="004D1FFC" w:rsidRPr="004D1FFC">
        <w:rPr>
          <w:rFonts w:eastAsia="Calibri"/>
          <w:lang w:val="en-GB"/>
        </w:rPr>
        <w:t xml:space="preserve">cquisition </w:t>
      </w:r>
      <w:r w:rsidRPr="004D1FFC">
        <w:rPr>
          <w:rFonts w:eastAsia="Calibri"/>
          <w:lang w:val="en-GB"/>
        </w:rPr>
        <w:t xml:space="preserve">with a scores of (mean </w:t>
      </w:r>
      <w:r w:rsidRPr="004D1FFC">
        <w:rPr>
          <w:rFonts w:eastAsia="Calibri"/>
          <w:lang w:val="en-GB"/>
        </w:rPr>
        <w:lastRenderedPageBreak/>
        <w:t xml:space="preserve">scores above </w:t>
      </w:r>
      <w:r w:rsidR="004D1FFC" w:rsidRPr="004D1FFC">
        <w:rPr>
          <w:rFonts w:eastAsia="Calibri"/>
          <w:lang w:val="en-GB"/>
        </w:rPr>
        <w:t>3.70</w:t>
      </w:r>
      <w:r w:rsidRPr="004D1FFC">
        <w:rPr>
          <w:rFonts w:eastAsia="Calibri"/>
          <w:lang w:val="en-GB"/>
        </w:rPr>
        <w:t xml:space="preserve">, standard deviation of </w:t>
      </w:r>
      <w:r w:rsidR="004D1FFC" w:rsidRPr="004D1FFC">
        <w:rPr>
          <w:rFonts w:eastAsia="Calibri"/>
          <w:lang w:val="en-GB"/>
        </w:rPr>
        <w:t>1.12</w:t>
      </w:r>
      <w:r w:rsidRPr="004D1FFC">
        <w:rPr>
          <w:rFonts w:eastAsia="Calibri"/>
          <w:lang w:val="en-GB"/>
        </w:rPr>
        <w:t xml:space="preserve">, Variance of </w:t>
      </w:r>
      <w:r w:rsidR="004D1FFC" w:rsidRPr="004D1FFC">
        <w:rPr>
          <w:rFonts w:eastAsia="Calibri"/>
          <w:lang w:val="en-GB"/>
        </w:rPr>
        <w:t>1.28</w:t>
      </w:r>
      <w:r w:rsidRPr="004D1FFC">
        <w:rPr>
          <w:rFonts w:eastAsia="Calibri"/>
          <w:lang w:val="en-GB"/>
        </w:rPr>
        <w:t xml:space="preserve"> and CV of 0.3</w:t>
      </w:r>
      <w:r w:rsidR="004D1FFC" w:rsidRPr="004D1FFC">
        <w:rPr>
          <w:rFonts w:eastAsia="Calibri"/>
          <w:lang w:val="en-GB"/>
        </w:rPr>
        <w:t>5</w:t>
      </w:r>
      <w:r w:rsidRPr="004D1FFC">
        <w:rPr>
          <w:rFonts w:eastAsia="Calibri"/>
          <w:lang w:val="en-GB"/>
        </w:rPr>
        <w:t>).</w:t>
      </w:r>
    </w:p>
    <w:p w:rsidR="004D1FFC" w:rsidRPr="00D83A86" w:rsidRDefault="004D1FFC" w:rsidP="00712DDE">
      <w:pPr>
        <w:ind w:left="450"/>
        <w:rPr>
          <w:rFonts w:eastAsia="Calibri"/>
          <w:bCs/>
          <w:sz w:val="20"/>
          <w:lang w:val="en-GB"/>
        </w:rPr>
      </w:pPr>
    </w:p>
    <w:p w:rsidR="00E22A5E" w:rsidRPr="008E4678" w:rsidRDefault="003300FB" w:rsidP="008E4678">
      <w:pPr>
        <w:widowControl/>
        <w:tabs>
          <w:tab w:val="left" w:pos="1224"/>
        </w:tabs>
        <w:adjustRightInd/>
        <w:spacing w:line="360" w:lineRule="auto"/>
        <w:textAlignment w:val="auto"/>
        <w:rPr>
          <w:b/>
          <w:sz w:val="26"/>
          <w:szCs w:val="26"/>
        </w:rPr>
      </w:pPr>
      <w:r w:rsidRPr="008E4678">
        <w:rPr>
          <w:b/>
          <w:sz w:val="26"/>
          <w:szCs w:val="26"/>
        </w:rPr>
        <w:t>5</w:t>
      </w:r>
      <w:r w:rsidR="002A5C1A" w:rsidRPr="008E4678">
        <w:rPr>
          <w:b/>
          <w:sz w:val="26"/>
          <w:szCs w:val="26"/>
        </w:rPr>
        <w:t>.</w:t>
      </w:r>
      <w:r w:rsidR="002A6C2E" w:rsidRPr="008E4678">
        <w:rPr>
          <w:b/>
          <w:sz w:val="26"/>
          <w:szCs w:val="26"/>
        </w:rPr>
        <w:t>2.</w:t>
      </w:r>
      <w:r w:rsidR="000A3132" w:rsidRPr="008E4678">
        <w:rPr>
          <w:b/>
          <w:sz w:val="26"/>
          <w:szCs w:val="26"/>
        </w:rPr>
        <w:t>3</w:t>
      </w:r>
      <w:r w:rsidR="008E4678" w:rsidRPr="008E4678">
        <w:rPr>
          <w:b/>
          <w:sz w:val="26"/>
          <w:szCs w:val="26"/>
        </w:rPr>
        <w:t xml:space="preserve"> </w:t>
      </w:r>
      <w:r w:rsidR="00E22A5E" w:rsidRPr="008E4678">
        <w:rPr>
          <w:b/>
          <w:sz w:val="26"/>
          <w:szCs w:val="26"/>
        </w:rPr>
        <w:t xml:space="preserve">Regression Analysis </w:t>
      </w:r>
    </w:p>
    <w:p w:rsidR="00E22A5E" w:rsidRPr="00817D88" w:rsidRDefault="00972BE1" w:rsidP="00817D88">
      <w:pPr>
        <w:spacing w:line="360" w:lineRule="auto"/>
        <w:ind w:left="446"/>
      </w:pPr>
      <w:r>
        <w:t>``</w:t>
      </w:r>
      <w:r w:rsidR="00E22A5E" w:rsidRPr="00817D88">
        <w:t xml:space="preserve">The researcher set out to test the effect of </w:t>
      </w:r>
      <w:r w:rsidR="008D76C2">
        <w:t>absorptive capacity</w:t>
      </w:r>
      <w:r w:rsidR="00C64709" w:rsidRPr="00817D88">
        <w:t xml:space="preserve"> </w:t>
      </w:r>
      <w:r w:rsidR="00E22A5E" w:rsidRPr="00817D88">
        <w:t>on</w:t>
      </w:r>
      <w:r w:rsidR="00C64709" w:rsidRPr="00817D88">
        <w:t xml:space="preserve"> the relationship between FDI and </w:t>
      </w:r>
      <w:r w:rsidR="00E22A5E" w:rsidRPr="00817D88">
        <w:t xml:space="preserve">performance of manufacturing firms. The study developed </w:t>
      </w:r>
      <w:r w:rsidR="00C64709" w:rsidRPr="00817D88">
        <w:t xml:space="preserve">a </w:t>
      </w:r>
      <w:r w:rsidR="00E22A5E" w:rsidRPr="00817D88">
        <w:t xml:space="preserve">hypothesis and </w:t>
      </w:r>
      <w:r w:rsidR="00C64709" w:rsidRPr="00817D88">
        <w:t>was</w:t>
      </w:r>
      <w:r w:rsidR="00E22A5E" w:rsidRPr="00817D88">
        <w:t xml:space="preserve"> tested using simple linear regression analysis. The results from the test of hypothesis are presented in the </w:t>
      </w:r>
      <w:r w:rsidR="00C64709" w:rsidRPr="00817D88">
        <w:t>preceding section.</w:t>
      </w:r>
      <w:r w:rsidR="00E22A5E" w:rsidRPr="00817D88">
        <w:t xml:space="preserve"> </w:t>
      </w:r>
    </w:p>
    <w:p w:rsidR="00E22A5E" w:rsidRPr="003767AC" w:rsidRDefault="00E22A5E" w:rsidP="00712DDE">
      <w:pPr>
        <w:pStyle w:val="Caption"/>
        <w:spacing w:before="0" w:after="0"/>
        <w:ind w:left="450"/>
        <w:rPr>
          <w:b/>
          <w:caps/>
          <w:sz w:val="20"/>
        </w:rPr>
      </w:pPr>
      <w:bookmarkStart w:id="44" w:name="_Toc53410570"/>
      <w:bookmarkStart w:id="45" w:name="_Toc53410623"/>
    </w:p>
    <w:p w:rsidR="008E4678" w:rsidRPr="008E4678" w:rsidRDefault="002A6C2E" w:rsidP="008E4678">
      <w:pPr>
        <w:pStyle w:val="Heading3"/>
        <w:rPr>
          <w:sz w:val="26"/>
          <w:szCs w:val="26"/>
        </w:rPr>
      </w:pPr>
      <w:bookmarkStart w:id="46" w:name="_Toc53409163"/>
      <w:bookmarkStart w:id="47" w:name="_Toc57962403"/>
      <w:bookmarkEnd w:id="44"/>
      <w:bookmarkEnd w:id="45"/>
      <w:r w:rsidRPr="008E4678">
        <w:rPr>
          <w:sz w:val="26"/>
          <w:szCs w:val="26"/>
        </w:rPr>
        <w:t>5.2.3.1</w:t>
      </w:r>
      <w:r w:rsidR="008E4678" w:rsidRPr="008E4678">
        <w:rPr>
          <w:sz w:val="26"/>
          <w:szCs w:val="26"/>
        </w:rPr>
        <w:t xml:space="preserve"> </w:t>
      </w:r>
      <w:r w:rsidR="00651CE1" w:rsidRPr="008E4678">
        <w:rPr>
          <w:sz w:val="26"/>
          <w:szCs w:val="26"/>
        </w:rPr>
        <w:t xml:space="preserve">The Mediating Role of Absorptive Capacity on FDI and </w:t>
      </w:r>
    </w:p>
    <w:p w:rsidR="00651CE1" w:rsidRPr="008E4678" w:rsidRDefault="008E4678" w:rsidP="008E4678">
      <w:pPr>
        <w:pStyle w:val="Heading3"/>
        <w:rPr>
          <w:sz w:val="26"/>
          <w:szCs w:val="26"/>
        </w:rPr>
      </w:pPr>
      <w:r w:rsidRPr="008E4678">
        <w:rPr>
          <w:sz w:val="26"/>
          <w:szCs w:val="26"/>
        </w:rPr>
        <w:t xml:space="preserve">    </w:t>
      </w:r>
      <w:r w:rsidR="00651CE1" w:rsidRPr="008E4678">
        <w:rPr>
          <w:sz w:val="26"/>
          <w:szCs w:val="26"/>
        </w:rPr>
        <w:t>Performance</w:t>
      </w:r>
      <w:r w:rsidRPr="008E4678">
        <w:rPr>
          <w:sz w:val="26"/>
          <w:szCs w:val="26"/>
        </w:rPr>
        <w:t xml:space="preserve"> </w:t>
      </w:r>
      <w:r w:rsidR="00651CE1" w:rsidRPr="008E4678">
        <w:rPr>
          <w:sz w:val="26"/>
          <w:szCs w:val="26"/>
        </w:rPr>
        <w:t>of Manufacturing Firm</w:t>
      </w:r>
      <w:bookmarkEnd w:id="46"/>
      <w:bookmarkEnd w:id="47"/>
      <w:r w:rsidR="00651CE1" w:rsidRPr="008E4678">
        <w:rPr>
          <w:sz w:val="26"/>
          <w:szCs w:val="26"/>
        </w:rPr>
        <w:t xml:space="preserve"> </w:t>
      </w:r>
    </w:p>
    <w:p w:rsidR="00651CE1" w:rsidRPr="003767AC" w:rsidRDefault="00651CE1" w:rsidP="00712DDE">
      <w:pPr>
        <w:ind w:left="450"/>
        <w:rPr>
          <w:sz w:val="20"/>
          <w:lang w:eastAsia="x-none"/>
        </w:rPr>
      </w:pPr>
    </w:p>
    <w:p w:rsidR="00651CE1" w:rsidRDefault="00651CE1" w:rsidP="00D8454C">
      <w:pPr>
        <w:spacing w:line="360" w:lineRule="auto"/>
        <w:ind w:left="446"/>
      </w:pPr>
      <w:bookmarkStart w:id="48" w:name="_Hlk36103668"/>
      <w:r>
        <w:t>As pertains to the objective, the intended g</w:t>
      </w:r>
      <w:r w:rsidR="00817D88">
        <w:t xml:space="preserve">oal was to investigate whether </w:t>
      </w:r>
      <w:r>
        <w:t>intervening force of absorptive capacity would be found operative in the link between FDI and performance. A corresponding hypothesis was put forward which held the following statement;</w:t>
      </w:r>
    </w:p>
    <w:bookmarkEnd w:id="48"/>
    <w:p w:rsidR="003767AC" w:rsidRDefault="003767AC" w:rsidP="003767AC">
      <w:pPr>
        <w:ind w:left="446"/>
        <w:rPr>
          <w:i/>
          <w:iCs/>
        </w:rPr>
      </w:pPr>
    </w:p>
    <w:p w:rsidR="00651CE1" w:rsidRPr="007743FF" w:rsidRDefault="00651CE1" w:rsidP="00D52421">
      <w:pPr>
        <w:ind w:left="446"/>
        <w:rPr>
          <w:i/>
          <w:iCs/>
        </w:rPr>
      </w:pPr>
      <w:r w:rsidRPr="007743FF">
        <w:rPr>
          <w:i/>
          <w:iCs/>
        </w:rPr>
        <w:t>H</w:t>
      </w:r>
      <w:r w:rsidRPr="007743FF">
        <w:rPr>
          <w:i/>
          <w:iCs/>
          <w:vertAlign w:val="subscript"/>
        </w:rPr>
        <w:t>02</w:t>
      </w:r>
      <w:r w:rsidRPr="007743FF">
        <w:rPr>
          <w:i/>
          <w:iCs/>
        </w:rPr>
        <w:t>: Absorptive capacity does not have a statistically significant mediating influence on the relationship between FDI and performance of manufacturing firms in Kenya.</w:t>
      </w:r>
    </w:p>
    <w:p w:rsidR="00651CE1" w:rsidRPr="00073516" w:rsidRDefault="00651CE1" w:rsidP="00D8454C">
      <w:pPr>
        <w:spacing w:line="360" w:lineRule="auto"/>
        <w:ind w:left="446"/>
        <w:rPr>
          <w:sz w:val="16"/>
          <w:szCs w:val="16"/>
        </w:rPr>
      </w:pPr>
    </w:p>
    <w:p w:rsidR="00651CE1" w:rsidRDefault="00651CE1" w:rsidP="00D8454C">
      <w:pPr>
        <w:spacing w:line="360" w:lineRule="auto"/>
        <w:ind w:left="446"/>
      </w:pPr>
      <w:r>
        <w:t xml:space="preserve">The mediating role of absorptive capacity was examined through hierarchical regression models. In the first model, the link between FDI and performance was established. The second model assessed whether or not the combined effect of FDI and absorptive capacity on performance was statistically valid. Manifestation of the intervening forces of absorptive capacity would be attested if the change in </w:t>
      </w:r>
      <w:r w:rsidRPr="004B6A7A">
        <w:t>R</w:t>
      </w:r>
      <w:r w:rsidRPr="004B6A7A">
        <w:rPr>
          <w:vertAlign w:val="superscript"/>
        </w:rPr>
        <w:t>2</w:t>
      </w:r>
      <w:r>
        <w:t xml:space="preserve"> would be found to be significant.</w:t>
      </w:r>
    </w:p>
    <w:p w:rsidR="003767AC" w:rsidRPr="00D52421" w:rsidRDefault="003767AC" w:rsidP="00D8454C">
      <w:pPr>
        <w:spacing w:line="360" w:lineRule="auto"/>
        <w:ind w:left="446"/>
        <w:rPr>
          <w:sz w:val="20"/>
        </w:rPr>
      </w:pPr>
    </w:p>
    <w:p w:rsidR="00651CE1" w:rsidRDefault="00651CE1" w:rsidP="00D8454C">
      <w:pPr>
        <w:spacing w:line="360" w:lineRule="auto"/>
        <w:ind w:left="446"/>
      </w:pPr>
      <w:r>
        <w:t xml:space="preserve">The coefficients of determination for the first and second model were 0.079 and 0.086, respectively. The implication is that FDI together with absorptive capacity accounted for 8.6 percent change in performance. The associated change in </w:t>
      </w:r>
      <w:r w:rsidRPr="004B6A7A">
        <w:t>R</w:t>
      </w:r>
      <w:r w:rsidRPr="004B6A7A">
        <w:rPr>
          <w:vertAlign w:val="superscript"/>
        </w:rPr>
        <w:t>2</w:t>
      </w:r>
      <w:r>
        <w:t xml:space="preserve"> was thus 0.007, which was significant. </w:t>
      </w:r>
      <w:r w:rsidRPr="004B6A7A">
        <w:t xml:space="preserve">The results further show that overall significance of the model with mediating effects indicated a p-value of 0.039 which was less than 0.05 and on the basis of these results, </w:t>
      </w:r>
      <w:bookmarkStart w:id="49" w:name="_Hlk36103849"/>
      <w:r w:rsidR="003767AC">
        <w:t xml:space="preserve">the </w:t>
      </w:r>
      <w:r w:rsidR="003767AC">
        <w:lastRenderedPageBreak/>
        <w:t xml:space="preserve">hypothesis </w:t>
      </w:r>
      <w:r w:rsidRPr="004B6A7A">
        <w:t xml:space="preserve">is not supported </w:t>
      </w:r>
      <w:r w:rsidR="003767AC">
        <w:t>and is</w:t>
      </w:r>
      <w:r w:rsidRPr="004B6A7A">
        <w:t xml:space="preserve"> therefore rejected</w:t>
      </w:r>
      <w:r>
        <w:t>. I</w:t>
      </w:r>
      <w:r w:rsidRPr="004B6A7A">
        <w:t>t</w:t>
      </w:r>
      <w:r>
        <w:t xml:space="preserve"> </w:t>
      </w:r>
      <w:r w:rsidRPr="004B6A7A">
        <w:t xml:space="preserve">was thus </w:t>
      </w:r>
      <w:bookmarkStart w:id="50" w:name="_Hlk36069205"/>
      <w:r w:rsidRPr="004B6A7A">
        <w:t>concluded that absorption capacity had a statistically significant mediating effect in the relationship between FDI and performance.</w:t>
      </w:r>
      <w:bookmarkEnd w:id="49"/>
      <w:r w:rsidRPr="004B6A7A">
        <w:t xml:space="preserve"> </w:t>
      </w:r>
      <w:bookmarkEnd w:id="50"/>
      <w:r>
        <w:t xml:space="preserve">As such, the findings were indicative that the intervening forces of absorptive capacity in the link between FDI and performance were operative. The results of these models are illustrated in table </w:t>
      </w:r>
      <w:r w:rsidR="003767AC">
        <w:t>vi</w:t>
      </w:r>
      <w:r>
        <w:t>.</w:t>
      </w:r>
    </w:p>
    <w:p w:rsidR="00651CE1" w:rsidRPr="002F733B" w:rsidRDefault="00651CE1" w:rsidP="00712DDE">
      <w:pPr>
        <w:pStyle w:val="Caption"/>
        <w:ind w:left="450"/>
      </w:pPr>
      <w:bookmarkStart w:id="51" w:name="_Toc53410572"/>
      <w:bookmarkStart w:id="52" w:name="_Toc57963087"/>
      <w:r w:rsidRPr="002F733B">
        <w:t xml:space="preserve">Table </w:t>
      </w:r>
      <w:r w:rsidR="003767AC">
        <w:t>vi</w:t>
      </w:r>
      <w:r w:rsidRPr="002F733B">
        <w:t xml:space="preserve">: </w:t>
      </w:r>
      <w:r>
        <w:t>The Mediating Role of Absorptive Capacity on FDI and                Performance</w:t>
      </w:r>
      <w:bookmarkEnd w:id="51"/>
      <w:bookmarkEnd w:id="52"/>
    </w:p>
    <w:tbl>
      <w:tblPr>
        <w:tblW w:w="5000" w:type="pct"/>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2"/>
        <w:gridCol w:w="695"/>
        <w:gridCol w:w="647"/>
        <w:gridCol w:w="414"/>
        <w:gridCol w:w="16"/>
        <w:gridCol w:w="272"/>
        <w:gridCol w:w="982"/>
        <w:gridCol w:w="1148"/>
        <w:gridCol w:w="903"/>
        <w:gridCol w:w="14"/>
        <w:gridCol w:w="868"/>
        <w:gridCol w:w="484"/>
        <w:gridCol w:w="10"/>
        <w:gridCol w:w="542"/>
        <w:gridCol w:w="766"/>
      </w:tblGrid>
      <w:tr w:rsidR="00651CE1" w:rsidRPr="007743FF" w:rsidTr="00D52421">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tcPr>
          <w:p w:rsidR="00651CE1" w:rsidRPr="007743FF" w:rsidRDefault="00651CE1" w:rsidP="00817D88">
            <w:pPr>
              <w:autoSpaceDE w:val="0"/>
              <w:autoSpaceDN w:val="0"/>
              <w:spacing w:line="276" w:lineRule="auto"/>
              <w:ind w:firstLine="90"/>
            </w:pPr>
            <w:r w:rsidRPr="007743FF">
              <w:rPr>
                <w:b/>
                <w:bCs/>
              </w:rPr>
              <w:t>Model Summary</w:t>
            </w:r>
          </w:p>
        </w:tc>
      </w:tr>
      <w:tr w:rsidR="00651CE1" w:rsidRPr="007743FF" w:rsidTr="00D52421">
        <w:trPr>
          <w:cantSplit/>
        </w:trPr>
        <w:tc>
          <w:tcPr>
            <w:tcW w:w="580" w:type="pct"/>
            <w:gridSpan w:val="2"/>
            <w:vMerge w:val="restart"/>
            <w:tcBorders>
              <w:top w:val="single" w:sz="4" w:space="0" w:color="auto"/>
              <w:left w:val="single" w:sz="16" w:space="0" w:color="000000"/>
              <w:bottom w:val="nil"/>
              <w:right w:val="single" w:sz="16" w:space="0" w:color="000000"/>
            </w:tcBorders>
            <w:shd w:val="clear" w:color="auto" w:fill="FFFFFF"/>
          </w:tcPr>
          <w:p w:rsidR="00651CE1" w:rsidRPr="007743FF" w:rsidRDefault="00651CE1" w:rsidP="00817D88">
            <w:pPr>
              <w:autoSpaceDE w:val="0"/>
              <w:autoSpaceDN w:val="0"/>
              <w:ind w:firstLine="90"/>
            </w:pPr>
            <w:r w:rsidRPr="007743FF">
              <w:t>Model</w:t>
            </w:r>
          </w:p>
        </w:tc>
        <w:tc>
          <w:tcPr>
            <w:tcW w:w="405" w:type="pct"/>
            <w:vMerge w:val="restart"/>
            <w:tcBorders>
              <w:top w:val="single" w:sz="4" w:space="0" w:color="auto"/>
              <w:left w:val="single" w:sz="16" w:space="0" w:color="000000"/>
            </w:tcBorders>
            <w:shd w:val="clear" w:color="auto" w:fill="FFFFFF"/>
          </w:tcPr>
          <w:p w:rsidR="00651CE1" w:rsidRPr="007743FF" w:rsidRDefault="00651CE1" w:rsidP="00817D88">
            <w:pPr>
              <w:autoSpaceDE w:val="0"/>
              <w:autoSpaceDN w:val="0"/>
              <w:ind w:firstLine="90"/>
            </w:pPr>
            <w:r w:rsidRPr="007743FF">
              <w:t>R</w:t>
            </w:r>
          </w:p>
        </w:tc>
        <w:tc>
          <w:tcPr>
            <w:tcW w:w="439" w:type="pct"/>
            <w:gridSpan w:val="3"/>
            <w:vMerge w:val="restart"/>
            <w:tcBorders>
              <w:top w:val="single" w:sz="4" w:space="0" w:color="auto"/>
            </w:tcBorders>
            <w:shd w:val="clear" w:color="auto" w:fill="FFFFFF"/>
          </w:tcPr>
          <w:p w:rsidR="00651CE1" w:rsidRPr="007743FF" w:rsidRDefault="00651CE1" w:rsidP="00817D88">
            <w:pPr>
              <w:autoSpaceDE w:val="0"/>
              <w:autoSpaceDN w:val="0"/>
              <w:ind w:firstLine="90"/>
            </w:pPr>
            <w:r w:rsidRPr="007743FF">
              <w:t>R Square</w:t>
            </w:r>
          </w:p>
        </w:tc>
        <w:tc>
          <w:tcPr>
            <w:tcW w:w="613" w:type="pct"/>
            <w:vMerge w:val="restart"/>
            <w:tcBorders>
              <w:top w:val="single" w:sz="4" w:space="0" w:color="auto"/>
            </w:tcBorders>
            <w:shd w:val="clear" w:color="auto" w:fill="FFFFFF"/>
          </w:tcPr>
          <w:p w:rsidR="00651CE1" w:rsidRPr="007743FF" w:rsidRDefault="00651CE1" w:rsidP="00817D88">
            <w:pPr>
              <w:autoSpaceDE w:val="0"/>
              <w:autoSpaceDN w:val="0"/>
              <w:ind w:firstLine="90"/>
            </w:pPr>
            <w:r w:rsidRPr="007743FF">
              <w:t>Adjusted R Square</w:t>
            </w:r>
          </w:p>
        </w:tc>
        <w:tc>
          <w:tcPr>
            <w:tcW w:w="718" w:type="pct"/>
            <w:vMerge w:val="restart"/>
            <w:tcBorders>
              <w:top w:val="single" w:sz="4" w:space="0" w:color="auto"/>
            </w:tcBorders>
            <w:shd w:val="clear" w:color="auto" w:fill="FFFFFF"/>
          </w:tcPr>
          <w:p w:rsidR="00651CE1" w:rsidRPr="007743FF" w:rsidRDefault="00651CE1" w:rsidP="00817D88">
            <w:pPr>
              <w:autoSpaceDE w:val="0"/>
              <w:autoSpaceDN w:val="0"/>
              <w:ind w:firstLine="90"/>
            </w:pPr>
            <w:r w:rsidRPr="007743FF">
              <w:t xml:space="preserve">Std. Error of the </w:t>
            </w:r>
          </w:p>
          <w:p w:rsidR="00651CE1" w:rsidRPr="007743FF" w:rsidRDefault="00651CE1" w:rsidP="00817D88">
            <w:pPr>
              <w:autoSpaceDE w:val="0"/>
              <w:autoSpaceDN w:val="0"/>
              <w:ind w:firstLine="90"/>
            </w:pPr>
            <w:r w:rsidRPr="007743FF">
              <w:t>Estimate</w:t>
            </w:r>
          </w:p>
        </w:tc>
        <w:tc>
          <w:tcPr>
            <w:tcW w:w="2244" w:type="pct"/>
            <w:gridSpan w:val="7"/>
            <w:tcBorders>
              <w:top w:val="single" w:sz="4" w:space="0" w:color="auto"/>
            </w:tcBorders>
            <w:shd w:val="clear" w:color="auto" w:fill="FFFFFF"/>
          </w:tcPr>
          <w:p w:rsidR="00651CE1" w:rsidRPr="007743FF" w:rsidRDefault="00651CE1" w:rsidP="00817D88">
            <w:pPr>
              <w:autoSpaceDE w:val="0"/>
              <w:autoSpaceDN w:val="0"/>
              <w:ind w:firstLine="90"/>
            </w:pPr>
            <w:r w:rsidRPr="007743FF">
              <w:t>Change Statistics</w:t>
            </w:r>
          </w:p>
        </w:tc>
      </w:tr>
      <w:tr w:rsidR="00817D88" w:rsidRPr="007743FF" w:rsidTr="00D52421">
        <w:trPr>
          <w:cantSplit/>
        </w:trPr>
        <w:tc>
          <w:tcPr>
            <w:tcW w:w="580" w:type="pct"/>
            <w:gridSpan w:val="2"/>
            <w:vMerge/>
            <w:tcBorders>
              <w:top w:val="single" w:sz="16" w:space="0" w:color="000000"/>
              <w:left w:val="single" w:sz="16" w:space="0" w:color="000000"/>
              <w:bottom w:val="nil"/>
              <w:right w:val="single" w:sz="16" w:space="0" w:color="000000"/>
            </w:tcBorders>
            <w:shd w:val="clear" w:color="auto" w:fill="FFFFFF"/>
          </w:tcPr>
          <w:p w:rsidR="00651CE1" w:rsidRPr="007743FF" w:rsidRDefault="00651CE1" w:rsidP="00817D88">
            <w:pPr>
              <w:autoSpaceDE w:val="0"/>
              <w:autoSpaceDN w:val="0"/>
              <w:ind w:firstLine="90"/>
            </w:pPr>
          </w:p>
        </w:tc>
        <w:tc>
          <w:tcPr>
            <w:tcW w:w="405" w:type="pct"/>
            <w:vMerge/>
            <w:tcBorders>
              <w:top w:val="single" w:sz="16" w:space="0" w:color="000000"/>
              <w:left w:val="single" w:sz="16" w:space="0" w:color="000000"/>
            </w:tcBorders>
            <w:shd w:val="clear" w:color="auto" w:fill="FFFFFF"/>
          </w:tcPr>
          <w:p w:rsidR="00651CE1" w:rsidRPr="007743FF" w:rsidRDefault="00651CE1" w:rsidP="00817D88">
            <w:pPr>
              <w:autoSpaceDE w:val="0"/>
              <w:autoSpaceDN w:val="0"/>
              <w:ind w:firstLine="90"/>
            </w:pPr>
          </w:p>
        </w:tc>
        <w:tc>
          <w:tcPr>
            <w:tcW w:w="439" w:type="pct"/>
            <w:gridSpan w:val="3"/>
            <w:vMerge/>
            <w:tcBorders>
              <w:top w:val="single" w:sz="16" w:space="0" w:color="000000"/>
            </w:tcBorders>
            <w:shd w:val="clear" w:color="auto" w:fill="FFFFFF"/>
          </w:tcPr>
          <w:p w:rsidR="00651CE1" w:rsidRPr="007743FF" w:rsidRDefault="00651CE1" w:rsidP="00817D88">
            <w:pPr>
              <w:autoSpaceDE w:val="0"/>
              <w:autoSpaceDN w:val="0"/>
              <w:ind w:firstLine="90"/>
            </w:pPr>
          </w:p>
        </w:tc>
        <w:tc>
          <w:tcPr>
            <w:tcW w:w="613" w:type="pct"/>
            <w:vMerge/>
            <w:tcBorders>
              <w:top w:val="single" w:sz="16" w:space="0" w:color="000000"/>
            </w:tcBorders>
            <w:shd w:val="clear" w:color="auto" w:fill="FFFFFF"/>
          </w:tcPr>
          <w:p w:rsidR="00651CE1" w:rsidRPr="007743FF" w:rsidRDefault="00651CE1" w:rsidP="00817D88">
            <w:pPr>
              <w:autoSpaceDE w:val="0"/>
              <w:autoSpaceDN w:val="0"/>
              <w:ind w:firstLine="90"/>
            </w:pPr>
          </w:p>
        </w:tc>
        <w:tc>
          <w:tcPr>
            <w:tcW w:w="718" w:type="pct"/>
            <w:vMerge/>
            <w:tcBorders>
              <w:top w:val="single" w:sz="16" w:space="0" w:color="000000"/>
            </w:tcBorders>
            <w:shd w:val="clear" w:color="auto" w:fill="FFFFFF"/>
          </w:tcPr>
          <w:p w:rsidR="00651CE1" w:rsidRPr="007743FF" w:rsidRDefault="00651CE1" w:rsidP="00817D88">
            <w:pPr>
              <w:autoSpaceDE w:val="0"/>
              <w:autoSpaceDN w:val="0"/>
              <w:ind w:firstLine="90"/>
            </w:pPr>
          </w:p>
        </w:tc>
        <w:tc>
          <w:tcPr>
            <w:tcW w:w="565" w:type="pct"/>
            <w:tcBorders>
              <w:bottom w:val="single" w:sz="16" w:space="0" w:color="000000"/>
            </w:tcBorders>
            <w:shd w:val="clear" w:color="auto" w:fill="FFFFFF"/>
          </w:tcPr>
          <w:p w:rsidR="00651CE1" w:rsidRPr="007743FF" w:rsidRDefault="00651CE1" w:rsidP="00817D88">
            <w:pPr>
              <w:autoSpaceDE w:val="0"/>
              <w:autoSpaceDN w:val="0"/>
              <w:ind w:firstLine="90"/>
            </w:pPr>
            <w:r w:rsidRPr="007743FF">
              <w:t>R Square Change</w:t>
            </w:r>
          </w:p>
        </w:tc>
        <w:tc>
          <w:tcPr>
            <w:tcW w:w="552" w:type="pct"/>
            <w:gridSpan w:val="2"/>
            <w:tcBorders>
              <w:bottom w:val="single" w:sz="16" w:space="0" w:color="000000"/>
            </w:tcBorders>
            <w:shd w:val="clear" w:color="auto" w:fill="FFFFFF"/>
          </w:tcPr>
          <w:p w:rsidR="00651CE1" w:rsidRPr="007743FF" w:rsidRDefault="00651CE1" w:rsidP="00817D88">
            <w:pPr>
              <w:autoSpaceDE w:val="0"/>
              <w:autoSpaceDN w:val="0"/>
              <w:ind w:firstLine="90"/>
            </w:pPr>
            <w:r w:rsidRPr="007743FF">
              <w:t>F Change</w:t>
            </w:r>
          </w:p>
        </w:tc>
        <w:tc>
          <w:tcPr>
            <w:tcW w:w="303" w:type="pct"/>
            <w:tcBorders>
              <w:bottom w:val="single" w:sz="16" w:space="0" w:color="000000"/>
            </w:tcBorders>
            <w:shd w:val="clear" w:color="auto" w:fill="FFFFFF"/>
          </w:tcPr>
          <w:p w:rsidR="00651CE1" w:rsidRPr="007743FF" w:rsidRDefault="00651CE1" w:rsidP="00817D88">
            <w:pPr>
              <w:autoSpaceDE w:val="0"/>
              <w:autoSpaceDN w:val="0"/>
              <w:ind w:firstLine="90"/>
            </w:pPr>
            <w:r w:rsidRPr="007743FF">
              <w:t>df1</w:t>
            </w:r>
          </w:p>
        </w:tc>
        <w:tc>
          <w:tcPr>
            <w:tcW w:w="345" w:type="pct"/>
            <w:gridSpan w:val="2"/>
            <w:tcBorders>
              <w:bottom w:val="single" w:sz="16" w:space="0" w:color="000000"/>
            </w:tcBorders>
            <w:shd w:val="clear" w:color="auto" w:fill="FFFFFF"/>
          </w:tcPr>
          <w:p w:rsidR="00651CE1" w:rsidRPr="007743FF" w:rsidRDefault="00651CE1" w:rsidP="00817D88">
            <w:pPr>
              <w:autoSpaceDE w:val="0"/>
              <w:autoSpaceDN w:val="0"/>
              <w:ind w:firstLine="90"/>
            </w:pPr>
            <w:r w:rsidRPr="007743FF">
              <w:t>df2</w:t>
            </w:r>
          </w:p>
        </w:tc>
        <w:tc>
          <w:tcPr>
            <w:tcW w:w="479" w:type="pct"/>
            <w:tcBorders>
              <w:bottom w:val="single" w:sz="16" w:space="0" w:color="000000"/>
              <w:right w:val="single" w:sz="16" w:space="0" w:color="000000"/>
            </w:tcBorders>
            <w:shd w:val="clear" w:color="auto" w:fill="FFFFFF"/>
          </w:tcPr>
          <w:p w:rsidR="00651CE1" w:rsidRPr="007743FF" w:rsidRDefault="00651CE1" w:rsidP="00817D88">
            <w:pPr>
              <w:autoSpaceDE w:val="0"/>
              <w:autoSpaceDN w:val="0"/>
              <w:ind w:firstLine="90"/>
            </w:pPr>
            <w:r w:rsidRPr="007743FF">
              <w:t>Sig. F Change</w:t>
            </w:r>
          </w:p>
        </w:tc>
      </w:tr>
      <w:tr w:rsidR="00817D88" w:rsidRPr="007743FF" w:rsidTr="00D52421">
        <w:trPr>
          <w:cantSplit/>
        </w:trPr>
        <w:tc>
          <w:tcPr>
            <w:tcW w:w="580" w:type="pct"/>
            <w:gridSpan w:val="2"/>
            <w:tcBorders>
              <w:top w:val="single" w:sz="16" w:space="0" w:color="000000"/>
              <w:left w:val="single" w:sz="16" w:space="0" w:color="000000"/>
              <w:bottom w:val="nil"/>
              <w:right w:val="single" w:sz="16" w:space="0" w:color="000000"/>
            </w:tcBorders>
            <w:shd w:val="clear" w:color="auto" w:fill="FFFFFF"/>
            <w:vAlign w:val="center"/>
          </w:tcPr>
          <w:p w:rsidR="00651CE1" w:rsidRPr="007743FF" w:rsidRDefault="00651CE1" w:rsidP="00817D88">
            <w:pPr>
              <w:autoSpaceDE w:val="0"/>
              <w:autoSpaceDN w:val="0"/>
              <w:ind w:firstLine="90"/>
            </w:pPr>
            <w:r w:rsidRPr="007743FF">
              <w:t>1</w:t>
            </w:r>
          </w:p>
        </w:tc>
        <w:tc>
          <w:tcPr>
            <w:tcW w:w="405" w:type="pct"/>
            <w:tcBorders>
              <w:top w:val="single" w:sz="16" w:space="0" w:color="000000"/>
              <w:left w:val="single" w:sz="16" w:space="0" w:color="000000"/>
              <w:bottom w:val="nil"/>
            </w:tcBorders>
            <w:shd w:val="clear" w:color="auto" w:fill="FFFFFF"/>
          </w:tcPr>
          <w:p w:rsidR="00651CE1" w:rsidRPr="007743FF" w:rsidRDefault="00651CE1" w:rsidP="00817D88">
            <w:pPr>
              <w:autoSpaceDE w:val="0"/>
              <w:autoSpaceDN w:val="0"/>
              <w:ind w:firstLine="90"/>
            </w:pPr>
            <w:r w:rsidRPr="007743FF">
              <w:t>.281</w:t>
            </w:r>
            <w:r w:rsidRPr="007743FF">
              <w:rPr>
                <w:vertAlign w:val="superscript"/>
              </w:rPr>
              <w:t>a</w:t>
            </w:r>
          </w:p>
        </w:tc>
        <w:tc>
          <w:tcPr>
            <w:tcW w:w="439" w:type="pct"/>
            <w:gridSpan w:val="3"/>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.079</w:t>
            </w:r>
          </w:p>
        </w:tc>
        <w:tc>
          <w:tcPr>
            <w:tcW w:w="613" w:type="pct"/>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.067</w:t>
            </w:r>
          </w:p>
        </w:tc>
        <w:tc>
          <w:tcPr>
            <w:tcW w:w="718" w:type="pct"/>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.49882</w:t>
            </w:r>
          </w:p>
        </w:tc>
        <w:tc>
          <w:tcPr>
            <w:tcW w:w="565" w:type="pct"/>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.079</w:t>
            </w:r>
          </w:p>
        </w:tc>
        <w:tc>
          <w:tcPr>
            <w:tcW w:w="552" w:type="pct"/>
            <w:gridSpan w:val="2"/>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6.282</w:t>
            </w:r>
          </w:p>
        </w:tc>
        <w:tc>
          <w:tcPr>
            <w:tcW w:w="303" w:type="pct"/>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1</w:t>
            </w:r>
          </w:p>
        </w:tc>
        <w:tc>
          <w:tcPr>
            <w:tcW w:w="345" w:type="pct"/>
            <w:gridSpan w:val="2"/>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73</w:t>
            </w:r>
          </w:p>
        </w:tc>
        <w:tc>
          <w:tcPr>
            <w:tcW w:w="479" w:type="pct"/>
            <w:tcBorders>
              <w:top w:val="single" w:sz="16" w:space="0" w:color="000000"/>
              <w:bottom w:val="nil"/>
              <w:right w:val="single" w:sz="16" w:space="0" w:color="000000"/>
            </w:tcBorders>
            <w:shd w:val="clear" w:color="auto" w:fill="FFFFFF"/>
          </w:tcPr>
          <w:p w:rsidR="00651CE1" w:rsidRPr="007743FF" w:rsidRDefault="00651CE1" w:rsidP="00817D88">
            <w:pPr>
              <w:autoSpaceDE w:val="0"/>
              <w:autoSpaceDN w:val="0"/>
              <w:ind w:firstLine="90"/>
            </w:pPr>
            <w:r w:rsidRPr="007743FF">
              <w:t>.014</w:t>
            </w:r>
          </w:p>
        </w:tc>
      </w:tr>
      <w:tr w:rsidR="00817D88" w:rsidRPr="007743FF" w:rsidTr="00D52421">
        <w:trPr>
          <w:cantSplit/>
        </w:trPr>
        <w:tc>
          <w:tcPr>
            <w:tcW w:w="580" w:type="pct"/>
            <w:gridSpan w:val="2"/>
            <w:tcBorders>
              <w:top w:val="nil"/>
              <w:left w:val="single" w:sz="16" w:space="0" w:color="000000"/>
              <w:bottom w:val="single" w:sz="4" w:space="0" w:color="auto"/>
              <w:right w:val="single" w:sz="16" w:space="0" w:color="000000"/>
            </w:tcBorders>
            <w:shd w:val="clear" w:color="auto" w:fill="FFFFFF"/>
            <w:vAlign w:val="center"/>
          </w:tcPr>
          <w:p w:rsidR="00651CE1" w:rsidRPr="007743FF" w:rsidRDefault="00651CE1" w:rsidP="00817D88">
            <w:pPr>
              <w:autoSpaceDE w:val="0"/>
              <w:autoSpaceDN w:val="0"/>
              <w:ind w:firstLine="90"/>
            </w:pPr>
            <w:r w:rsidRPr="007743FF">
              <w:t>2</w:t>
            </w:r>
          </w:p>
        </w:tc>
        <w:tc>
          <w:tcPr>
            <w:tcW w:w="405" w:type="pct"/>
            <w:tcBorders>
              <w:top w:val="nil"/>
              <w:left w:val="single" w:sz="16" w:space="0" w:color="000000"/>
              <w:bottom w:val="single" w:sz="4" w:space="0" w:color="auto"/>
            </w:tcBorders>
            <w:shd w:val="clear" w:color="auto" w:fill="FFFFFF"/>
          </w:tcPr>
          <w:p w:rsidR="00651CE1" w:rsidRPr="007743FF" w:rsidRDefault="00651CE1" w:rsidP="00817D88">
            <w:pPr>
              <w:autoSpaceDE w:val="0"/>
              <w:autoSpaceDN w:val="0"/>
              <w:ind w:firstLine="90"/>
            </w:pPr>
            <w:r w:rsidRPr="007743FF">
              <w:t>.293</w:t>
            </w:r>
            <w:r w:rsidRPr="007743FF">
              <w:rPr>
                <w:vertAlign w:val="superscript"/>
              </w:rPr>
              <w:t>b</w:t>
            </w:r>
          </w:p>
        </w:tc>
        <w:tc>
          <w:tcPr>
            <w:tcW w:w="439" w:type="pct"/>
            <w:gridSpan w:val="3"/>
            <w:tcBorders>
              <w:top w:val="nil"/>
              <w:bottom w:val="single" w:sz="4" w:space="0" w:color="auto"/>
            </w:tcBorders>
            <w:shd w:val="clear" w:color="auto" w:fill="FFFFFF"/>
          </w:tcPr>
          <w:p w:rsidR="00651CE1" w:rsidRPr="007743FF" w:rsidRDefault="00651CE1" w:rsidP="00817D88">
            <w:pPr>
              <w:autoSpaceDE w:val="0"/>
              <w:autoSpaceDN w:val="0"/>
              <w:ind w:firstLine="90"/>
            </w:pPr>
            <w:r w:rsidRPr="007743FF">
              <w:t>.086</w:t>
            </w:r>
          </w:p>
        </w:tc>
        <w:tc>
          <w:tcPr>
            <w:tcW w:w="613" w:type="pct"/>
            <w:tcBorders>
              <w:top w:val="nil"/>
              <w:bottom w:val="single" w:sz="4" w:space="0" w:color="auto"/>
            </w:tcBorders>
            <w:shd w:val="clear" w:color="auto" w:fill="FFFFFF"/>
          </w:tcPr>
          <w:p w:rsidR="00651CE1" w:rsidRPr="007743FF" w:rsidRDefault="00651CE1" w:rsidP="00817D88">
            <w:pPr>
              <w:autoSpaceDE w:val="0"/>
              <w:autoSpaceDN w:val="0"/>
              <w:ind w:firstLine="90"/>
            </w:pPr>
            <w:r w:rsidRPr="007743FF">
              <w:t>.060</w:t>
            </w:r>
          </w:p>
        </w:tc>
        <w:tc>
          <w:tcPr>
            <w:tcW w:w="718" w:type="pct"/>
            <w:tcBorders>
              <w:top w:val="nil"/>
              <w:bottom w:val="single" w:sz="4" w:space="0" w:color="auto"/>
            </w:tcBorders>
            <w:shd w:val="clear" w:color="auto" w:fill="FFFFFF"/>
          </w:tcPr>
          <w:p w:rsidR="00651CE1" w:rsidRPr="007743FF" w:rsidRDefault="00651CE1" w:rsidP="00817D88">
            <w:pPr>
              <w:autoSpaceDE w:val="0"/>
              <w:autoSpaceDN w:val="0"/>
              <w:ind w:firstLine="90"/>
            </w:pPr>
            <w:r w:rsidRPr="007743FF">
              <w:t>.50047</w:t>
            </w:r>
          </w:p>
        </w:tc>
        <w:tc>
          <w:tcPr>
            <w:tcW w:w="565" w:type="pct"/>
            <w:tcBorders>
              <w:top w:val="nil"/>
              <w:bottom w:val="single" w:sz="4" w:space="0" w:color="auto"/>
            </w:tcBorders>
            <w:shd w:val="clear" w:color="auto" w:fill="FFFFFF"/>
          </w:tcPr>
          <w:p w:rsidR="00651CE1" w:rsidRPr="007743FF" w:rsidRDefault="00651CE1" w:rsidP="00817D88">
            <w:pPr>
              <w:autoSpaceDE w:val="0"/>
              <w:autoSpaceDN w:val="0"/>
              <w:ind w:firstLine="90"/>
            </w:pPr>
            <w:r w:rsidRPr="007743FF">
              <w:t>.007</w:t>
            </w:r>
          </w:p>
        </w:tc>
        <w:tc>
          <w:tcPr>
            <w:tcW w:w="552" w:type="pct"/>
            <w:gridSpan w:val="2"/>
            <w:tcBorders>
              <w:top w:val="nil"/>
              <w:bottom w:val="single" w:sz="4" w:space="0" w:color="auto"/>
            </w:tcBorders>
            <w:shd w:val="clear" w:color="auto" w:fill="FFFFFF"/>
          </w:tcPr>
          <w:p w:rsidR="00651CE1" w:rsidRPr="007743FF" w:rsidRDefault="00651CE1" w:rsidP="00817D88">
            <w:pPr>
              <w:autoSpaceDE w:val="0"/>
              <w:autoSpaceDN w:val="0"/>
              <w:ind w:firstLine="90"/>
            </w:pPr>
            <w:r w:rsidRPr="007743FF">
              <w:t>.521</w:t>
            </w:r>
          </w:p>
        </w:tc>
        <w:tc>
          <w:tcPr>
            <w:tcW w:w="303" w:type="pct"/>
            <w:tcBorders>
              <w:top w:val="nil"/>
              <w:bottom w:val="single" w:sz="4" w:space="0" w:color="auto"/>
            </w:tcBorders>
            <w:shd w:val="clear" w:color="auto" w:fill="FFFFFF"/>
          </w:tcPr>
          <w:p w:rsidR="00651CE1" w:rsidRPr="007743FF" w:rsidRDefault="00651CE1" w:rsidP="00817D88">
            <w:pPr>
              <w:autoSpaceDE w:val="0"/>
              <w:autoSpaceDN w:val="0"/>
              <w:ind w:firstLine="90"/>
            </w:pPr>
            <w:r w:rsidRPr="007743FF">
              <w:t>1</w:t>
            </w:r>
          </w:p>
        </w:tc>
        <w:tc>
          <w:tcPr>
            <w:tcW w:w="345" w:type="pct"/>
            <w:gridSpan w:val="2"/>
            <w:tcBorders>
              <w:top w:val="nil"/>
              <w:bottom w:val="single" w:sz="4" w:space="0" w:color="auto"/>
            </w:tcBorders>
            <w:shd w:val="clear" w:color="auto" w:fill="FFFFFF"/>
          </w:tcPr>
          <w:p w:rsidR="00651CE1" w:rsidRPr="007743FF" w:rsidRDefault="00651CE1" w:rsidP="00817D88">
            <w:pPr>
              <w:autoSpaceDE w:val="0"/>
              <w:autoSpaceDN w:val="0"/>
              <w:ind w:firstLine="90"/>
            </w:pPr>
            <w:r w:rsidRPr="007743FF">
              <w:t>72</w:t>
            </w:r>
          </w:p>
        </w:tc>
        <w:tc>
          <w:tcPr>
            <w:tcW w:w="479" w:type="pct"/>
            <w:tcBorders>
              <w:top w:val="nil"/>
              <w:bottom w:val="single" w:sz="4" w:space="0" w:color="auto"/>
              <w:right w:val="single" w:sz="16" w:space="0" w:color="000000"/>
            </w:tcBorders>
            <w:shd w:val="clear" w:color="auto" w:fill="FFFFFF"/>
          </w:tcPr>
          <w:p w:rsidR="00651CE1" w:rsidRPr="007743FF" w:rsidRDefault="00651CE1" w:rsidP="00817D88">
            <w:pPr>
              <w:autoSpaceDE w:val="0"/>
              <w:autoSpaceDN w:val="0"/>
              <w:ind w:firstLine="90"/>
            </w:pPr>
            <w:r w:rsidRPr="007743FF">
              <w:t>.473</w:t>
            </w:r>
          </w:p>
        </w:tc>
      </w:tr>
      <w:tr w:rsidR="00651CE1" w:rsidRPr="007743FF" w:rsidTr="00D52421">
        <w:trPr>
          <w:cantSplit/>
        </w:trPr>
        <w:tc>
          <w:tcPr>
            <w:tcW w:w="5000" w:type="pct"/>
            <w:gridSpan w:val="15"/>
            <w:tcBorders>
              <w:top w:val="single" w:sz="4" w:space="0" w:color="auto"/>
              <w:left w:val="single" w:sz="4" w:space="0" w:color="auto"/>
              <w:bottom w:val="nil"/>
              <w:right w:val="single" w:sz="4" w:space="0" w:color="auto"/>
            </w:tcBorders>
            <w:shd w:val="clear" w:color="auto" w:fill="FFFFFF"/>
          </w:tcPr>
          <w:p w:rsidR="00651CE1" w:rsidRPr="007743FF" w:rsidRDefault="00651CE1" w:rsidP="00817D88">
            <w:pPr>
              <w:autoSpaceDE w:val="0"/>
              <w:autoSpaceDN w:val="0"/>
              <w:ind w:firstLine="90"/>
            </w:pPr>
            <w:r w:rsidRPr="007743FF">
              <w:t>a. Predictors: (Constant), Foreign Direct Investment</w:t>
            </w:r>
          </w:p>
        </w:tc>
      </w:tr>
      <w:tr w:rsidR="00651CE1" w:rsidRPr="007743FF" w:rsidTr="00D52421">
        <w:trPr>
          <w:cantSplit/>
        </w:trPr>
        <w:tc>
          <w:tcPr>
            <w:tcW w:w="5000" w:type="pct"/>
            <w:gridSpan w:val="15"/>
            <w:tcBorders>
              <w:top w:val="nil"/>
              <w:left w:val="single" w:sz="4" w:space="0" w:color="auto"/>
              <w:bottom w:val="single" w:sz="4" w:space="0" w:color="auto"/>
              <w:right w:val="single" w:sz="4" w:space="0" w:color="auto"/>
            </w:tcBorders>
            <w:shd w:val="clear" w:color="auto" w:fill="FFFFFF"/>
          </w:tcPr>
          <w:p w:rsidR="00651CE1" w:rsidRPr="007743FF" w:rsidRDefault="00651CE1" w:rsidP="00817D88">
            <w:pPr>
              <w:autoSpaceDE w:val="0"/>
              <w:autoSpaceDN w:val="0"/>
              <w:ind w:firstLine="90"/>
            </w:pPr>
            <w:r w:rsidRPr="007743FF">
              <w:t>b. Predictors: (Constant), Foreign Direct Investment, Absorption Capacity</w:t>
            </w:r>
          </w:p>
        </w:tc>
      </w:tr>
      <w:tr w:rsidR="00651CE1" w:rsidRPr="007743FF" w:rsidTr="00D52421">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tcPr>
          <w:p w:rsidR="00651CE1" w:rsidRPr="007743FF" w:rsidRDefault="00651CE1" w:rsidP="00817D88">
            <w:pPr>
              <w:autoSpaceDE w:val="0"/>
              <w:autoSpaceDN w:val="0"/>
              <w:ind w:firstLine="90"/>
            </w:pPr>
            <w:r w:rsidRPr="007743FF">
              <w:rPr>
                <w:b/>
                <w:bCs/>
              </w:rPr>
              <w:t>ANOVA</w:t>
            </w:r>
            <w:r w:rsidRPr="007743FF">
              <w:rPr>
                <w:b/>
                <w:bCs/>
                <w:vertAlign w:val="superscript"/>
              </w:rPr>
              <w:t>a</w:t>
            </w:r>
          </w:p>
        </w:tc>
      </w:tr>
      <w:tr w:rsidR="00651CE1" w:rsidRPr="007743FF" w:rsidTr="00D52421">
        <w:trPr>
          <w:cantSplit/>
        </w:trPr>
        <w:tc>
          <w:tcPr>
            <w:tcW w:w="1244" w:type="pct"/>
            <w:gridSpan w:val="4"/>
            <w:tcBorders>
              <w:top w:val="single" w:sz="4" w:space="0" w:color="auto"/>
              <w:left w:val="single" w:sz="16" w:space="0" w:color="000000"/>
              <w:bottom w:val="single" w:sz="16" w:space="0" w:color="000000"/>
              <w:right w:val="nil"/>
            </w:tcBorders>
            <w:shd w:val="clear" w:color="auto" w:fill="FFFFFF"/>
          </w:tcPr>
          <w:p w:rsidR="00651CE1" w:rsidRPr="007743FF" w:rsidRDefault="00651CE1" w:rsidP="00817D88">
            <w:pPr>
              <w:autoSpaceDE w:val="0"/>
              <w:autoSpaceDN w:val="0"/>
              <w:ind w:firstLine="90"/>
            </w:pPr>
            <w:r w:rsidRPr="007743FF">
              <w:t>Model</w:t>
            </w:r>
          </w:p>
        </w:tc>
        <w:tc>
          <w:tcPr>
            <w:tcW w:w="794" w:type="pct"/>
            <w:gridSpan w:val="3"/>
            <w:tcBorders>
              <w:top w:val="single" w:sz="4" w:space="0" w:color="auto"/>
              <w:left w:val="single" w:sz="16" w:space="0" w:color="000000"/>
              <w:bottom w:val="single" w:sz="16" w:space="0" w:color="000000"/>
            </w:tcBorders>
            <w:shd w:val="clear" w:color="auto" w:fill="FFFFFF"/>
          </w:tcPr>
          <w:p w:rsidR="00651CE1" w:rsidRPr="007743FF" w:rsidRDefault="00651CE1" w:rsidP="00D52421">
            <w:pPr>
              <w:autoSpaceDE w:val="0"/>
              <w:autoSpaceDN w:val="0"/>
              <w:ind w:firstLine="90"/>
              <w:jc w:val="left"/>
            </w:pPr>
            <w:r w:rsidRPr="007743FF">
              <w:t>Sum of Squares</w:t>
            </w:r>
          </w:p>
        </w:tc>
        <w:tc>
          <w:tcPr>
            <w:tcW w:w="718" w:type="pct"/>
            <w:tcBorders>
              <w:top w:val="single" w:sz="4" w:space="0" w:color="auto"/>
              <w:bottom w:val="single" w:sz="16" w:space="0" w:color="000000"/>
            </w:tcBorders>
            <w:shd w:val="clear" w:color="auto" w:fill="FFFFFF"/>
          </w:tcPr>
          <w:p w:rsidR="00651CE1" w:rsidRPr="007743FF" w:rsidRDefault="00651CE1" w:rsidP="00817D88">
            <w:pPr>
              <w:autoSpaceDE w:val="0"/>
              <w:autoSpaceDN w:val="0"/>
              <w:ind w:firstLine="90"/>
            </w:pPr>
            <w:r w:rsidRPr="007743FF">
              <w:t>df</w:t>
            </w:r>
          </w:p>
        </w:tc>
        <w:tc>
          <w:tcPr>
            <w:tcW w:w="565" w:type="pct"/>
            <w:tcBorders>
              <w:top w:val="single" w:sz="4" w:space="0" w:color="auto"/>
              <w:bottom w:val="single" w:sz="16" w:space="0" w:color="000000"/>
            </w:tcBorders>
            <w:shd w:val="clear" w:color="auto" w:fill="FFFFFF"/>
          </w:tcPr>
          <w:p w:rsidR="00651CE1" w:rsidRPr="007743FF" w:rsidRDefault="00651CE1" w:rsidP="00817D88">
            <w:pPr>
              <w:autoSpaceDE w:val="0"/>
              <w:autoSpaceDN w:val="0"/>
              <w:ind w:firstLine="90"/>
            </w:pPr>
            <w:r w:rsidRPr="007743FF">
              <w:t>Mean Square</w:t>
            </w:r>
          </w:p>
        </w:tc>
        <w:tc>
          <w:tcPr>
            <w:tcW w:w="855" w:type="pct"/>
            <w:gridSpan w:val="3"/>
            <w:tcBorders>
              <w:top w:val="single" w:sz="4" w:space="0" w:color="auto"/>
              <w:bottom w:val="single" w:sz="16" w:space="0" w:color="000000"/>
            </w:tcBorders>
            <w:shd w:val="clear" w:color="auto" w:fill="FFFFFF"/>
          </w:tcPr>
          <w:p w:rsidR="00651CE1" w:rsidRPr="007743FF" w:rsidRDefault="00651CE1" w:rsidP="00817D88">
            <w:pPr>
              <w:autoSpaceDE w:val="0"/>
              <w:autoSpaceDN w:val="0"/>
              <w:ind w:firstLine="90"/>
            </w:pPr>
            <w:r w:rsidRPr="007743FF">
              <w:t>F</w:t>
            </w:r>
          </w:p>
        </w:tc>
        <w:tc>
          <w:tcPr>
            <w:tcW w:w="824" w:type="pct"/>
            <w:gridSpan w:val="3"/>
            <w:tcBorders>
              <w:top w:val="single" w:sz="4" w:space="0" w:color="auto"/>
              <w:bottom w:val="single" w:sz="16" w:space="0" w:color="000000"/>
              <w:right w:val="single" w:sz="16" w:space="0" w:color="000000"/>
            </w:tcBorders>
            <w:shd w:val="clear" w:color="auto" w:fill="FFFFFF"/>
          </w:tcPr>
          <w:p w:rsidR="00651CE1" w:rsidRPr="007743FF" w:rsidRDefault="00651CE1" w:rsidP="00817D88">
            <w:pPr>
              <w:autoSpaceDE w:val="0"/>
              <w:autoSpaceDN w:val="0"/>
              <w:ind w:firstLine="90"/>
            </w:pPr>
            <w:r w:rsidRPr="007743FF">
              <w:t>Sig.</w:t>
            </w:r>
          </w:p>
        </w:tc>
      </w:tr>
      <w:tr w:rsidR="00651CE1" w:rsidRPr="007743FF" w:rsidTr="00D52421">
        <w:trPr>
          <w:cantSplit/>
        </w:trPr>
        <w:tc>
          <w:tcPr>
            <w:tcW w:w="145" w:type="pct"/>
            <w:vMerge w:val="restart"/>
            <w:tcBorders>
              <w:top w:val="single" w:sz="16" w:space="0" w:color="000000"/>
              <w:left w:val="single" w:sz="16" w:space="0" w:color="000000"/>
              <w:bottom w:val="nil"/>
              <w:right w:val="nil"/>
            </w:tcBorders>
            <w:shd w:val="clear" w:color="auto" w:fill="FFFFFF"/>
            <w:vAlign w:val="center"/>
          </w:tcPr>
          <w:p w:rsidR="00651CE1" w:rsidRPr="007743FF" w:rsidRDefault="00651CE1" w:rsidP="00817D88">
            <w:pPr>
              <w:autoSpaceDE w:val="0"/>
              <w:autoSpaceDN w:val="0"/>
              <w:ind w:firstLine="90"/>
            </w:pPr>
            <w:r w:rsidRPr="007743FF">
              <w:t>1</w:t>
            </w:r>
          </w:p>
        </w:tc>
        <w:tc>
          <w:tcPr>
            <w:tcW w:w="1109" w:type="pct"/>
            <w:gridSpan w:val="4"/>
            <w:tcBorders>
              <w:top w:val="single" w:sz="16" w:space="0" w:color="000000"/>
              <w:left w:val="nil"/>
              <w:bottom w:val="nil"/>
              <w:right w:val="single" w:sz="16" w:space="0" w:color="000000"/>
            </w:tcBorders>
            <w:shd w:val="clear" w:color="auto" w:fill="FFFFFF"/>
            <w:vAlign w:val="center"/>
          </w:tcPr>
          <w:p w:rsidR="00651CE1" w:rsidRPr="007743FF" w:rsidRDefault="00651CE1" w:rsidP="00817D88">
            <w:pPr>
              <w:autoSpaceDE w:val="0"/>
              <w:autoSpaceDN w:val="0"/>
              <w:ind w:firstLine="90"/>
            </w:pPr>
            <w:r w:rsidRPr="007743FF">
              <w:t>Regression</w:t>
            </w:r>
          </w:p>
        </w:tc>
        <w:tc>
          <w:tcPr>
            <w:tcW w:w="784" w:type="pct"/>
            <w:gridSpan w:val="2"/>
            <w:tcBorders>
              <w:top w:val="single" w:sz="16" w:space="0" w:color="000000"/>
              <w:left w:val="single" w:sz="16" w:space="0" w:color="000000"/>
              <w:bottom w:val="nil"/>
            </w:tcBorders>
            <w:shd w:val="clear" w:color="auto" w:fill="FFFFFF"/>
          </w:tcPr>
          <w:p w:rsidR="00651CE1" w:rsidRPr="007743FF" w:rsidRDefault="00651CE1" w:rsidP="00817D88">
            <w:pPr>
              <w:autoSpaceDE w:val="0"/>
              <w:autoSpaceDN w:val="0"/>
              <w:ind w:firstLine="90"/>
            </w:pPr>
            <w:r w:rsidRPr="007743FF">
              <w:t>1.563</w:t>
            </w:r>
          </w:p>
        </w:tc>
        <w:tc>
          <w:tcPr>
            <w:tcW w:w="718" w:type="pct"/>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1</w:t>
            </w:r>
          </w:p>
        </w:tc>
        <w:tc>
          <w:tcPr>
            <w:tcW w:w="574" w:type="pct"/>
            <w:gridSpan w:val="2"/>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1.563</w:t>
            </w:r>
          </w:p>
        </w:tc>
        <w:tc>
          <w:tcPr>
            <w:tcW w:w="852" w:type="pct"/>
            <w:gridSpan w:val="3"/>
            <w:tcBorders>
              <w:top w:val="single" w:sz="16" w:space="0" w:color="000000"/>
              <w:bottom w:val="nil"/>
            </w:tcBorders>
            <w:shd w:val="clear" w:color="auto" w:fill="FFFFFF"/>
          </w:tcPr>
          <w:p w:rsidR="00651CE1" w:rsidRPr="007743FF" w:rsidRDefault="00651CE1" w:rsidP="00817D88">
            <w:pPr>
              <w:autoSpaceDE w:val="0"/>
              <w:autoSpaceDN w:val="0"/>
              <w:ind w:firstLine="90"/>
            </w:pPr>
            <w:r w:rsidRPr="007743FF">
              <w:t>6.282</w:t>
            </w:r>
          </w:p>
        </w:tc>
        <w:tc>
          <w:tcPr>
            <w:tcW w:w="818" w:type="pct"/>
            <w:gridSpan w:val="2"/>
            <w:tcBorders>
              <w:top w:val="single" w:sz="16" w:space="0" w:color="000000"/>
              <w:bottom w:val="nil"/>
              <w:right w:val="single" w:sz="16" w:space="0" w:color="000000"/>
            </w:tcBorders>
            <w:shd w:val="clear" w:color="auto" w:fill="FFFFFF"/>
          </w:tcPr>
          <w:p w:rsidR="00651CE1" w:rsidRPr="007743FF" w:rsidRDefault="00651CE1" w:rsidP="00817D88">
            <w:pPr>
              <w:autoSpaceDE w:val="0"/>
              <w:autoSpaceDN w:val="0"/>
              <w:ind w:firstLine="90"/>
            </w:pPr>
            <w:r w:rsidRPr="007743FF">
              <w:t>.014</w:t>
            </w:r>
            <w:r w:rsidRPr="007743FF">
              <w:rPr>
                <w:vertAlign w:val="superscript"/>
              </w:rPr>
              <w:t>b</w:t>
            </w:r>
          </w:p>
        </w:tc>
      </w:tr>
      <w:tr w:rsidR="00651CE1" w:rsidRPr="007743FF" w:rsidTr="00D52421">
        <w:trPr>
          <w:cantSplit/>
        </w:trPr>
        <w:tc>
          <w:tcPr>
            <w:tcW w:w="145" w:type="pct"/>
            <w:vMerge/>
            <w:tcBorders>
              <w:top w:val="single" w:sz="16" w:space="0" w:color="000000"/>
              <w:left w:val="single" w:sz="16" w:space="0" w:color="000000"/>
              <w:bottom w:val="nil"/>
              <w:right w:val="nil"/>
            </w:tcBorders>
            <w:shd w:val="clear" w:color="auto" w:fill="FFFFFF"/>
            <w:vAlign w:val="center"/>
          </w:tcPr>
          <w:p w:rsidR="00651CE1" w:rsidRPr="007743FF" w:rsidRDefault="00651CE1" w:rsidP="00817D88">
            <w:pPr>
              <w:autoSpaceDE w:val="0"/>
              <w:autoSpaceDN w:val="0"/>
              <w:ind w:firstLine="90"/>
            </w:pPr>
          </w:p>
        </w:tc>
        <w:tc>
          <w:tcPr>
            <w:tcW w:w="1109" w:type="pct"/>
            <w:gridSpan w:val="4"/>
            <w:tcBorders>
              <w:top w:val="nil"/>
              <w:left w:val="nil"/>
              <w:bottom w:val="nil"/>
              <w:right w:val="single" w:sz="16" w:space="0" w:color="000000"/>
            </w:tcBorders>
            <w:shd w:val="clear" w:color="auto" w:fill="FFFFFF"/>
            <w:vAlign w:val="center"/>
          </w:tcPr>
          <w:p w:rsidR="00651CE1" w:rsidRPr="007743FF" w:rsidRDefault="00651CE1" w:rsidP="00817D88">
            <w:pPr>
              <w:autoSpaceDE w:val="0"/>
              <w:autoSpaceDN w:val="0"/>
              <w:ind w:firstLine="90"/>
            </w:pPr>
            <w:r w:rsidRPr="007743FF">
              <w:t>Residual</w:t>
            </w:r>
          </w:p>
        </w:tc>
        <w:tc>
          <w:tcPr>
            <w:tcW w:w="784" w:type="pct"/>
            <w:gridSpan w:val="2"/>
            <w:tcBorders>
              <w:top w:val="nil"/>
              <w:left w:val="single" w:sz="16" w:space="0" w:color="000000"/>
              <w:bottom w:val="nil"/>
            </w:tcBorders>
            <w:shd w:val="clear" w:color="auto" w:fill="FFFFFF"/>
          </w:tcPr>
          <w:p w:rsidR="00651CE1" w:rsidRPr="007743FF" w:rsidRDefault="00651CE1" w:rsidP="00817D88">
            <w:pPr>
              <w:autoSpaceDE w:val="0"/>
              <w:autoSpaceDN w:val="0"/>
              <w:ind w:firstLine="90"/>
            </w:pPr>
            <w:r w:rsidRPr="007743FF">
              <w:t>18.164</w:t>
            </w:r>
          </w:p>
        </w:tc>
        <w:tc>
          <w:tcPr>
            <w:tcW w:w="718" w:type="pct"/>
            <w:tcBorders>
              <w:top w:val="nil"/>
              <w:bottom w:val="nil"/>
            </w:tcBorders>
            <w:shd w:val="clear" w:color="auto" w:fill="FFFFFF"/>
          </w:tcPr>
          <w:p w:rsidR="00651CE1" w:rsidRPr="007743FF" w:rsidRDefault="00651CE1" w:rsidP="00817D88">
            <w:pPr>
              <w:autoSpaceDE w:val="0"/>
              <w:autoSpaceDN w:val="0"/>
              <w:ind w:firstLine="90"/>
            </w:pPr>
            <w:r w:rsidRPr="007743FF">
              <w:t>73</w:t>
            </w:r>
          </w:p>
        </w:tc>
        <w:tc>
          <w:tcPr>
            <w:tcW w:w="574" w:type="pct"/>
            <w:gridSpan w:val="2"/>
            <w:tcBorders>
              <w:top w:val="nil"/>
              <w:bottom w:val="nil"/>
            </w:tcBorders>
            <w:shd w:val="clear" w:color="auto" w:fill="FFFFFF"/>
          </w:tcPr>
          <w:p w:rsidR="00651CE1" w:rsidRPr="007743FF" w:rsidRDefault="00651CE1" w:rsidP="00817D88">
            <w:pPr>
              <w:autoSpaceDE w:val="0"/>
              <w:autoSpaceDN w:val="0"/>
              <w:ind w:firstLine="90"/>
            </w:pPr>
            <w:r w:rsidRPr="007743FF">
              <w:t>.249</w:t>
            </w:r>
          </w:p>
        </w:tc>
        <w:tc>
          <w:tcPr>
            <w:tcW w:w="852" w:type="pct"/>
            <w:gridSpan w:val="3"/>
            <w:tcBorders>
              <w:top w:val="nil"/>
              <w:bottom w:val="nil"/>
            </w:tcBorders>
            <w:shd w:val="clear" w:color="auto" w:fill="FFFFFF"/>
          </w:tcPr>
          <w:p w:rsidR="00651CE1" w:rsidRPr="007743FF" w:rsidRDefault="00651CE1" w:rsidP="00817D88">
            <w:pPr>
              <w:autoSpaceDE w:val="0"/>
              <w:autoSpaceDN w:val="0"/>
              <w:ind w:firstLine="90"/>
            </w:pPr>
          </w:p>
        </w:tc>
        <w:tc>
          <w:tcPr>
            <w:tcW w:w="818" w:type="pct"/>
            <w:gridSpan w:val="2"/>
            <w:tcBorders>
              <w:top w:val="nil"/>
              <w:bottom w:val="nil"/>
              <w:right w:val="single" w:sz="16" w:space="0" w:color="000000"/>
            </w:tcBorders>
            <w:shd w:val="clear" w:color="auto" w:fill="FFFFFF"/>
          </w:tcPr>
          <w:p w:rsidR="00651CE1" w:rsidRPr="007743FF" w:rsidRDefault="00651CE1" w:rsidP="00817D88">
            <w:pPr>
              <w:autoSpaceDE w:val="0"/>
              <w:autoSpaceDN w:val="0"/>
              <w:ind w:firstLine="90"/>
            </w:pPr>
          </w:p>
        </w:tc>
      </w:tr>
      <w:tr w:rsidR="00651CE1" w:rsidRPr="007743FF" w:rsidTr="00D52421">
        <w:trPr>
          <w:cantSplit/>
        </w:trPr>
        <w:tc>
          <w:tcPr>
            <w:tcW w:w="145" w:type="pct"/>
            <w:vMerge/>
            <w:tcBorders>
              <w:top w:val="single" w:sz="16" w:space="0" w:color="000000"/>
              <w:left w:val="single" w:sz="16" w:space="0" w:color="000000"/>
              <w:bottom w:val="nil"/>
              <w:right w:val="nil"/>
            </w:tcBorders>
            <w:shd w:val="clear" w:color="auto" w:fill="FFFFFF"/>
            <w:vAlign w:val="center"/>
          </w:tcPr>
          <w:p w:rsidR="00651CE1" w:rsidRPr="007743FF" w:rsidRDefault="00651CE1" w:rsidP="00817D88">
            <w:pPr>
              <w:autoSpaceDE w:val="0"/>
              <w:autoSpaceDN w:val="0"/>
              <w:ind w:firstLine="90"/>
            </w:pPr>
          </w:p>
        </w:tc>
        <w:tc>
          <w:tcPr>
            <w:tcW w:w="1109" w:type="pct"/>
            <w:gridSpan w:val="4"/>
            <w:tcBorders>
              <w:top w:val="nil"/>
              <w:left w:val="nil"/>
              <w:bottom w:val="nil"/>
              <w:right w:val="single" w:sz="16" w:space="0" w:color="000000"/>
            </w:tcBorders>
            <w:shd w:val="clear" w:color="auto" w:fill="FFFFFF"/>
            <w:vAlign w:val="center"/>
          </w:tcPr>
          <w:p w:rsidR="00651CE1" w:rsidRPr="007743FF" w:rsidRDefault="00651CE1" w:rsidP="00817D88">
            <w:pPr>
              <w:autoSpaceDE w:val="0"/>
              <w:autoSpaceDN w:val="0"/>
              <w:ind w:firstLine="90"/>
            </w:pPr>
            <w:r w:rsidRPr="007743FF">
              <w:t>Total</w:t>
            </w:r>
          </w:p>
        </w:tc>
        <w:tc>
          <w:tcPr>
            <w:tcW w:w="784" w:type="pct"/>
            <w:gridSpan w:val="2"/>
            <w:tcBorders>
              <w:top w:val="nil"/>
              <w:left w:val="single" w:sz="16" w:space="0" w:color="000000"/>
              <w:bottom w:val="nil"/>
            </w:tcBorders>
            <w:shd w:val="clear" w:color="auto" w:fill="FFFFFF"/>
          </w:tcPr>
          <w:p w:rsidR="00651CE1" w:rsidRPr="007743FF" w:rsidRDefault="00651CE1" w:rsidP="00817D88">
            <w:pPr>
              <w:autoSpaceDE w:val="0"/>
              <w:autoSpaceDN w:val="0"/>
              <w:ind w:firstLine="90"/>
            </w:pPr>
            <w:r w:rsidRPr="007743FF">
              <w:t>19.727</w:t>
            </w:r>
          </w:p>
        </w:tc>
        <w:tc>
          <w:tcPr>
            <w:tcW w:w="718" w:type="pct"/>
            <w:tcBorders>
              <w:top w:val="nil"/>
              <w:bottom w:val="nil"/>
            </w:tcBorders>
            <w:shd w:val="clear" w:color="auto" w:fill="FFFFFF"/>
          </w:tcPr>
          <w:p w:rsidR="00651CE1" w:rsidRPr="007743FF" w:rsidRDefault="00651CE1" w:rsidP="00817D88">
            <w:pPr>
              <w:autoSpaceDE w:val="0"/>
              <w:autoSpaceDN w:val="0"/>
              <w:ind w:firstLine="90"/>
            </w:pPr>
            <w:r w:rsidRPr="007743FF">
              <w:t>74</w:t>
            </w:r>
          </w:p>
        </w:tc>
        <w:tc>
          <w:tcPr>
            <w:tcW w:w="574" w:type="pct"/>
            <w:gridSpan w:val="2"/>
            <w:tcBorders>
              <w:top w:val="nil"/>
              <w:bottom w:val="nil"/>
            </w:tcBorders>
            <w:shd w:val="clear" w:color="auto" w:fill="FFFFFF"/>
          </w:tcPr>
          <w:p w:rsidR="00651CE1" w:rsidRPr="007743FF" w:rsidRDefault="00651CE1" w:rsidP="00817D88">
            <w:pPr>
              <w:autoSpaceDE w:val="0"/>
              <w:autoSpaceDN w:val="0"/>
              <w:ind w:firstLine="90"/>
            </w:pPr>
          </w:p>
        </w:tc>
        <w:tc>
          <w:tcPr>
            <w:tcW w:w="852" w:type="pct"/>
            <w:gridSpan w:val="3"/>
            <w:tcBorders>
              <w:top w:val="nil"/>
              <w:bottom w:val="nil"/>
            </w:tcBorders>
            <w:shd w:val="clear" w:color="auto" w:fill="FFFFFF"/>
          </w:tcPr>
          <w:p w:rsidR="00651CE1" w:rsidRPr="007743FF" w:rsidRDefault="00651CE1" w:rsidP="00817D88">
            <w:pPr>
              <w:autoSpaceDE w:val="0"/>
              <w:autoSpaceDN w:val="0"/>
              <w:ind w:firstLine="90"/>
            </w:pPr>
          </w:p>
        </w:tc>
        <w:tc>
          <w:tcPr>
            <w:tcW w:w="818" w:type="pct"/>
            <w:gridSpan w:val="2"/>
            <w:tcBorders>
              <w:top w:val="nil"/>
              <w:bottom w:val="nil"/>
              <w:right w:val="single" w:sz="16" w:space="0" w:color="000000"/>
            </w:tcBorders>
            <w:shd w:val="clear" w:color="auto" w:fill="FFFFFF"/>
          </w:tcPr>
          <w:p w:rsidR="00651CE1" w:rsidRPr="007743FF" w:rsidRDefault="00651CE1" w:rsidP="00817D88">
            <w:pPr>
              <w:autoSpaceDE w:val="0"/>
              <w:autoSpaceDN w:val="0"/>
              <w:ind w:firstLine="90"/>
            </w:pPr>
          </w:p>
        </w:tc>
      </w:tr>
      <w:tr w:rsidR="00651CE1" w:rsidRPr="007743FF" w:rsidTr="00D52421">
        <w:trPr>
          <w:cantSplit/>
        </w:trPr>
        <w:tc>
          <w:tcPr>
            <w:tcW w:w="145" w:type="pct"/>
            <w:vMerge w:val="restart"/>
            <w:tcBorders>
              <w:top w:val="nil"/>
              <w:left w:val="single" w:sz="16" w:space="0" w:color="000000"/>
              <w:bottom w:val="single" w:sz="16" w:space="0" w:color="000000"/>
              <w:right w:val="nil"/>
            </w:tcBorders>
            <w:shd w:val="clear" w:color="auto" w:fill="FFFFFF"/>
            <w:vAlign w:val="center"/>
          </w:tcPr>
          <w:p w:rsidR="00651CE1" w:rsidRPr="007743FF" w:rsidRDefault="00651CE1" w:rsidP="00817D88">
            <w:pPr>
              <w:autoSpaceDE w:val="0"/>
              <w:autoSpaceDN w:val="0"/>
              <w:ind w:firstLine="90"/>
            </w:pPr>
            <w:r w:rsidRPr="007743FF">
              <w:t>2</w:t>
            </w:r>
          </w:p>
        </w:tc>
        <w:tc>
          <w:tcPr>
            <w:tcW w:w="1109" w:type="pct"/>
            <w:gridSpan w:val="4"/>
            <w:tcBorders>
              <w:top w:val="nil"/>
              <w:left w:val="nil"/>
              <w:bottom w:val="nil"/>
              <w:right w:val="single" w:sz="16" w:space="0" w:color="000000"/>
            </w:tcBorders>
            <w:shd w:val="clear" w:color="auto" w:fill="FFFFFF"/>
            <w:vAlign w:val="center"/>
          </w:tcPr>
          <w:p w:rsidR="00651CE1" w:rsidRPr="007743FF" w:rsidRDefault="00651CE1" w:rsidP="00817D88">
            <w:pPr>
              <w:autoSpaceDE w:val="0"/>
              <w:autoSpaceDN w:val="0"/>
              <w:ind w:firstLine="90"/>
            </w:pPr>
            <w:r w:rsidRPr="007743FF">
              <w:t>Regression</w:t>
            </w:r>
          </w:p>
        </w:tc>
        <w:tc>
          <w:tcPr>
            <w:tcW w:w="784" w:type="pct"/>
            <w:gridSpan w:val="2"/>
            <w:tcBorders>
              <w:top w:val="nil"/>
              <w:left w:val="single" w:sz="16" w:space="0" w:color="000000"/>
              <w:bottom w:val="nil"/>
            </w:tcBorders>
            <w:shd w:val="clear" w:color="auto" w:fill="FFFFFF"/>
          </w:tcPr>
          <w:p w:rsidR="00651CE1" w:rsidRPr="007743FF" w:rsidRDefault="00651CE1" w:rsidP="00817D88">
            <w:pPr>
              <w:autoSpaceDE w:val="0"/>
              <w:autoSpaceDN w:val="0"/>
              <w:ind w:firstLine="90"/>
            </w:pPr>
            <w:r w:rsidRPr="007743FF">
              <w:t>1.694</w:t>
            </w:r>
          </w:p>
        </w:tc>
        <w:tc>
          <w:tcPr>
            <w:tcW w:w="718" w:type="pct"/>
            <w:tcBorders>
              <w:top w:val="nil"/>
              <w:bottom w:val="nil"/>
            </w:tcBorders>
            <w:shd w:val="clear" w:color="auto" w:fill="FFFFFF"/>
          </w:tcPr>
          <w:p w:rsidR="00651CE1" w:rsidRPr="007743FF" w:rsidRDefault="00651CE1" w:rsidP="00817D88">
            <w:pPr>
              <w:autoSpaceDE w:val="0"/>
              <w:autoSpaceDN w:val="0"/>
              <w:ind w:firstLine="90"/>
            </w:pPr>
            <w:r w:rsidRPr="007743FF">
              <w:t>2</w:t>
            </w:r>
          </w:p>
        </w:tc>
        <w:tc>
          <w:tcPr>
            <w:tcW w:w="574" w:type="pct"/>
            <w:gridSpan w:val="2"/>
            <w:tcBorders>
              <w:top w:val="nil"/>
              <w:bottom w:val="nil"/>
            </w:tcBorders>
            <w:shd w:val="clear" w:color="auto" w:fill="FFFFFF"/>
          </w:tcPr>
          <w:p w:rsidR="00651CE1" w:rsidRPr="007743FF" w:rsidRDefault="00651CE1" w:rsidP="00817D88">
            <w:pPr>
              <w:autoSpaceDE w:val="0"/>
              <w:autoSpaceDN w:val="0"/>
              <w:ind w:firstLine="90"/>
            </w:pPr>
            <w:r w:rsidRPr="007743FF">
              <w:t>.847</w:t>
            </w:r>
          </w:p>
        </w:tc>
        <w:tc>
          <w:tcPr>
            <w:tcW w:w="852" w:type="pct"/>
            <w:gridSpan w:val="3"/>
            <w:tcBorders>
              <w:top w:val="nil"/>
              <w:bottom w:val="nil"/>
            </w:tcBorders>
            <w:shd w:val="clear" w:color="auto" w:fill="FFFFFF"/>
          </w:tcPr>
          <w:p w:rsidR="00651CE1" w:rsidRPr="007743FF" w:rsidRDefault="00651CE1" w:rsidP="00817D88">
            <w:pPr>
              <w:autoSpaceDE w:val="0"/>
              <w:autoSpaceDN w:val="0"/>
              <w:ind w:firstLine="90"/>
            </w:pPr>
            <w:r w:rsidRPr="007743FF">
              <w:t>3.381</w:t>
            </w:r>
          </w:p>
        </w:tc>
        <w:tc>
          <w:tcPr>
            <w:tcW w:w="818" w:type="pct"/>
            <w:gridSpan w:val="2"/>
            <w:tcBorders>
              <w:top w:val="nil"/>
              <w:bottom w:val="nil"/>
              <w:right w:val="single" w:sz="16" w:space="0" w:color="000000"/>
            </w:tcBorders>
            <w:shd w:val="clear" w:color="auto" w:fill="FFFFFF"/>
          </w:tcPr>
          <w:p w:rsidR="00651CE1" w:rsidRPr="007743FF" w:rsidRDefault="00651CE1" w:rsidP="00817D88">
            <w:pPr>
              <w:autoSpaceDE w:val="0"/>
              <w:autoSpaceDN w:val="0"/>
              <w:ind w:firstLine="90"/>
            </w:pPr>
            <w:r w:rsidRPr="007743FF">
              <w:t>.039</w:t>
            </w:r>
            <w:r w:rsidRPr="007743FF">
              <w:rPr>
                <w:vertAlign w:val="superscript"/>
              </w:rPr>
              <w:t>c</w:t>
            </w:r>
          </w:p>
        </w:tc>
      </w:tr>
      <w:tr w:rsidR="00651CE1" w:rsidRPr="007743FF" w:rsidTr="00D52421">
        <w:trPr>
          <w:cantSplit/>
        </w:trPr>
        <w:tc>
          <w:tcPr>
            <w:tcW w:w="145" w:type="pct"/>
            <w:vMerge/>
            <w:tcBorders>
              <w:top w:val="nil"/>
              <w:left w:val="single" w:sz="16" w:space="0" w:color="000000"/>
              <w:bottom w:val="single" w:sz="16" w:space="0" w:color="000000"/>
              <w:right w:val="nil"/>
            </w:tcBorders>
            <w:shd w:val="clear" w:color="auto" w:fill="FFFFFF"/>
            <w:vAlign w:val="center"/>
          </w:tcPr>
          <w:p w:rsidR="00651CE1" w:rsidRPr="007743FF" w:rsidRDefault="00651CE1" w:rsidP="00817D88">
            <w:pPr>
              <w:autoSpaceDE w:val="0"/>
              <w:autoSpaceDN w:val="0"/>
              <w:ind w:firstLine="90"/>
            </w:pPr>
          </w:p>
        </w:tc>
        <w:tc>
          <w:tcPr>
            <w:tcW w:w="1109" w:type="pct"/>
            <w:gridSpan w:val="4"/>
            <w:tcBorders>
              <w:top w:val="nil"/>
              <w:left w:val="nil"/>
              <w:bottom w:val="nil"/>
              <w:right w:val="single" w:sz="16" w:space="0" w:color="000000"/>
            </w:tcBorders>
            <w:shd w:val="clear" w:color="auto" w:fill="FFFFFF"/>
            <w:vAlign w:val="center"/>
          </w:tcPr>
          <w:p w:rsidR="00651CE1" w:rsidRPr="007743FF" w:rsidRDefault="00651CE1" w:rsidP="00817D88">
            <w:pPr>
              <w:autoSpaceDE w:val="0"/>
              <w:autoSpaceDN w:val="0"/>
              <w:ind w:firstLine="90"/>
            </w:pPr>
            <w:r w:rsidRPr="007743FF">
              <w:t>Residual</w:t>
            </w:r>
          </w:p>
        </w:tc>
        <w:tc>
          <w:tcPr>
            <w:tcW w:w="784" w:type="pct"/>
            <w:gridSpan w:val="2"/>
            <w:tcBorders>
              <w:top w:val="nil"/>
              <w:left w:val="single" w:sz="16" w:space="0" w:color="000000"/>
              <w:bottom w:val="nil"/>
            </w:tcBorders>
            <w:shd w:val="clear" w:color="auto" w:fill="FFFFFF"/>
          </w:tcPr>
          <w:p w:rsidR="00651CE1" w:rsidRPr="007743FF" w:rsidRDefault="00651CE1" w:rsidP="00817D88">
            <w:pPr>
              <w:autoSpaceDE w:val="0"/>
              <w:autoSpaceDN w:val="0"/>
              <w:ind w:firstLine="90"/>
            </w:pPr>
            <w:r w:rsidRPr="007743FF">
              <w:t>18.034</w:t>
            </w:r>
          </w:p>
        </w:tc>
        <w:tc>
          <w:tcPr>
            <w:tcW w:w="718" w:type="pct"/>
            <w:tcBorders>
              <w:top w:val="nil"/>
              <w:bottom w:val="nil"/>
            </w:tcBorders>
            <w:shd w:val="clear" w:color="auto" w:fill="FFFFFF"/>
          </w:tcPr>
          <w:p w:rsidR="00651CE1" w:rsidRPr="007743FF" w:rsidRDefault="00651CE1" w:rsidP="00817D88">
            <w:pPr>
              <w:autoSpaceDE w:val="0"/>
              <w:autoSpaceDN w:val="0"/>
              <w:ind w:firstLine="90"/>
            </w:pPr>
            <w:r w:rsidRPr="007743FF">
              <w:t>72</w:t>
            </w:r>
          </w:p>
        </w:tc>
        <w:tc>
          <w:tcPr>
            <w:tcW w:w="574" w:type="pct"/>
            <w:gridSpan w:val="2"/>
            <w:tcBorders>
              <w:top w:val="nil"/>
              <w:bottom w:val="nil"/>
            </w:tcBorders>
            <w:shd w:val="clear" w:color="auto" w:fill="FFFFFF"/>
          </w:tcPr>
          <w:p w:rsidR="00651CE1" w:rsidRPr="007743FF" w:rsidRDefault="00651CE1" w:rsidP="00817D88">
            <w:pPr>
              <w:autoSpaceDE w:val="0"/>
              <w:autoSpaceDN w:val="0"/>
              <w:ind w:firstLine="90"/>
            </w:pPr>
            <w:r w:rsidRPr="007743FF">
              <w:t>.250</w:t>
            </w:r>
          </w:p>
        </w:tc>
        <w:tc>
          <w:tcPr>
            <w:tcW w:w="852" w:type="pct"/>
            <w:gridSpan w:val="3"/>
            <w:tcBorders>
              <w:top w:val="nil"/>
              <w:bottom w:val="nil"/>
            </w:tcBorders>
            <w:shd w:val="clear" w:color="auto" w:fill="FFFFFF"/>
          </w:tcPr>
          <w:p w:rsidR="00651CE1" w:rsidRPr="007743FF" w:rsidRDefault="00651CE1" w:rsidP="00817D88">
            <w:pPr>
              <w:autoSpaceDE w:val="0"/>
              <w:autoSpaceDN w:val="0"/>
              <w:ind w:firstLine="90"/>
            </w:pPr>
          </w:p>
        </w:tc>
        <w:tc>
          <w:tcPr>
            <w:tcW w:w="818" w:type="pct"/>
            <w:gridSpan w:val="2"/>
            <w:tcBorders>
              <w:top w:val="nil"/>
              <w:bottom w:val="nil"/>
              <w:right w:val="single" w:sz="16" w:space="0" w:color="000000"/>
            </w:tcBorders>
            <w:shd w:val="clear" w:color="auto" w:fill="FFFFFF"/>
          </w:tcPr>
          <w:p w:rsidR="00651CE1" w:rsidRPr="007743FF" w:rsidRDefault="00651CE1" w:rsidP="00817D88">
            <w:pPr>
              <w:autoSpaceDE w:val="0"/>
              <w:autoSpaceDN w:val="0"/>
              <w:ind w:firstLine="90"/>
            </w:pPr>
          </w:p>
        </w:tc>
      </w:tr>
      <w:tr w:rsidR="00651CE1" w:rsidRPr="007743FF" w:rsidTr="00D52421">
        <w:trPr>
          <w:cantSplit/>
        </w:trPr>
        <w:tc>
          <w:tcPr>
            <w:tcW w:w="145" w:type="pct"/>
            <w:vMerge/>
            <w:tcBorders>
              <w:top w:val="nil"/>
              <w:left w:val="single" w:sz="16" w:space="0" w:color="000000"/>
              <w:bottom w:val="single" w:sz="4" w:space="0" w:color="auto"/>
              <w:right w:val="nil"/>
            </w:tcBorders>
            <w:shd w:val="clear" w:color="auto" w:fill="FFFFFF"/>
            <w:vAlign w:val="center"/>
          </w:tcPr>
          <w:p w:rsidR="00651CE1" w:rsidRPr="007743FF" w:rsidRDefault="00651CE1" w:rsidP="00817D88">
            <w:pPr>
              <w:autoSpaceDE w:val="0"/>
              <w:autoSpaceDN w:val="0"/>
              <w:ind w:firstLine="90"/>
            </w:pPr>
          </w:p>
        </w:tc>
        <w:tc>
          <w:tcPr>
            <w:tcW w:w="1109" w:type="pct"/>
            <w:gridSpan w:val="4"/>
            <w:tcBorders>
              <w:top w:val="nil"/>
              <w:left w:val="nil"/>
              <w:bottom w:val="single" w:sz="4" w:space="0" w:color="auto"/>
              <w:right w:val="single" w:sz="16" w:space="0" w:color="000000"/>
            </w:tcBorders>
            <w:shd w:val="clear" w:color="auto" w:fill="FFFFFF"/>
            <w:vAlign w:val="center"/>
          </w:tcPr>
          <w:p w:rsidR="00651CE1" w:rsidRPr="007743FF" w:rsidRDefault="00651CE1" w:rsidP="00817D88">
            <w:pPr>
              <w:autoSpaceDE w:val="0"/>
              <w:autoSpaceDN w:val="0"/>
              <w:ind w:firstLine="90"/>
            </w:pPr>
            <w:r w:rsidRPr="007743FF">
              <w:t>Total</w:t>
            </w:r>
          </w:p>
        </w:tc>
        <w:tc>
          <w:tcPr>
            <w:tcW w:w="784" w:type="pct"/>
            <w:gridSpan w:val="2"/>
            <w:tcBorders>
              <w:top w:val="nil"/>
              <w:left w:val="single" w:sz="16" w:space="0" w:color="000000"/>
              <w:bottom w:val="single" w:sz="4" w:space="0" w:color="auto"/>
            </w:tcBorders>
            <w:shd w:val="clear" w:color="auto" w:fill="FFFFFF"/>
          </w:tcPr>
          <w:p w:rsidR="00651CE1" w:rsidRPr="007743FF" w:rsidRDefault="00651CE1" w:rsidP="00817D88">
            <w:pPr>
              <w:autoSpaceDE w:val="0"/>
              <w:autoSpaceDN w:val="0"/>
              <w:ind w:firstLine="90"/>
            </w:pPr>
            <w:r w:rsidRPr="007743FF">
              <w:t>19.727</w:t>
            </w:r>
          </w:p>
        </w:tc>
        <w:tc>
          <w:tcPr>
            <w:tcW w:w="718" w:type="pct"/>
            <w:tcBorders>
              <w:top w:val="nil"/>
              <w:bottom w:val="single" w:sz="4" w:space="0" w:color="auto"/>
            </w:tcBorders>
            <w:shd w:val="clear" w:color="auto" w:fill="FFFFFF"/>
          </w:tcPr>
          <w:p w:rsidR="00651CE1" w:rsidRPr="007743FF" w:rsidRDefault="00651CE1" w:rsidP="00817D88">
            <w:pPr>
              <w:autoSpaceDE w:val="0"/>
              <w:autoSpaceDN w:val="0"/>
              <w:ind w:firstLine="90"/>
            </w:pPr>
            <w:r w:rsidRPr="007743FF">
              <w:t>74</w:t>
            </w:r>
          </w:p>
        </w:tc>
        <w:tc>
          <w:tcPr>
            <w:tcW w:w="574" w:type="pct"/>
            <w:gridSpan w:val="2"/>
            <w:tcBorders>
              <w:top w:val="nil"/>
              <w:bottom w:val="single" w:sz="4" w:space="0" w:color="auto"/>
            </w:tcBorders>
            <w:shd w:val="clear" w:color="auto" w:fill="FFFFFF"/>
          </w:tcPr>
          <w:p w:rsidR="00651CE1" w:rsidRPr="007743FF" w:rsidRDefault="00651CE1" w:rsidP="00817D88">
            <w:pPr>
              <w:autoSpaceDE w:val="0"/>
              <w:autoSpaceDN w:val="0"/>
              <w:ind w:firstLine="90"/>
            </w:pPr>
          </w:p>
        </w:tc>
        <w:tc>
          <w:tcPr>
            <w:tcW w:w="852" w:type="pct"/>
            <w:gridSpan w:val="3"/>
            <w:tcBorders>
              <w:top w:val="nil"/>
              <w:bottom w:val="single" w:sz="4" w:space="0" w:color="auto"/>
            </w:tcBorders>
            <w:shd w:val="clear" w:color="auto" w:fill="FFFFFF"/>
          </w:tcPr>
          <w:p w:rsidR="00651CE1" w:rsidRPr="007743FF" w:rsidRDefault="00651CE1" w:rsidP="00817D88">
            <w:pPr>
              <w:autoSpaceDE w:val="0"/>
              <w:autoSpaceDN w:val="0"/>
              <w:ind w:firstLine="90"/>
            </w:pPr>
          </w:p>
        </w:tc>
        <w:tc>
          <w:tcPr>
            <w:tcW w:w="818" w:type="pct"/>
            <w:gridSpan w:val="2"/>
            <w:tcBorders>
              <w:top w:val="nil"/>
              <w:bottom w:val="single" w:sz="4" w:space="0" w:color="auto"/>
              <w:right w:val="single" w:sz="16" w:space="0" w:color="000000"/>
            </w:tcBorders>
            <w:shd w:val="clear" w:color="auto" w:fill="FFFFFF"/>
          </w:tcPr>
          <w:p w:rsidR="00651CE1" w:rsidRPr="007743FF" w:rsidRDefault="00651CE1" w:rsidP="00817D88">
            <w:pPr>
              <w:autoSpaceDE w:val="0"/>
              <w:autoSpaceDN w:val="0"/>
              <w:ind w:firstLine="90"/>
            </w:pPr>
          </w:p>
        </w:tc>
      </w:tr>
      <w:tr w:rsidR="00651CE1" w:rsidRPr="007743FF" w:rsidTr="00D52421">
        <w:trPr>
          <w:cantSplit/>
        </w:trPr>
        <w:tc>
          <w:tcPr>
            <w:tcW w:w="5000" w:type="pct"/>
            <w:gridSpan w:val="15"/>
            <w:tcBorders>
              <w:top w:val="single" w:sz="4" w:space="0" w:color="auto"/>
              <w:left w:val="single" w:sz="4" w:space="0" w:color="auto"/>
              <w:bottom w:val="nil"/>
              <w:right w:val="single" w:sz="4" w:space="0" w:color="auto"/>
            </w:tcBorders>
            <w:shd w:val="clear" w:color="auto" w:fill="FFFFFF"/>
          </w:tcPr>
          <w:p w:rsidR="00651CE1" w:rsidRPr="007743FF" w:rsidRDefault="00651CE1" w:rsidP="00817D88">
            <w:pPr>
              <w:autoSpaceDE w:val="0"/>
              <w:autoSpaceDN w:val="0"/>
              <w:ind w:firstLine="90"/>
            </w:pPr>
            <w:r w:rsidRPr="007743FF">
              <w:t>a. Dependent Variable: Manufacturing Performance</w:t>
            </w:r>
          </w:p>
        </w:tc>
      </w:tr>
      <w:tr w:rsidR="00651CE1" w:rsidRPr="007743FF" w:rsidTr="00D52421">
        <w:trPr>
          <w:cantSplit/>
        </w:trPr>
        <w:tc>
          <w:tcPr>
            <w:tcW w:w="5000" w:type="pct"/>
            <w:gridSpan w:val="15"/>
            <w:tcBorders>
              <w:top w:val="nil"/>
              <w:left w:val="single" w:sz="4" w:space="0" w:color="auto"/>
              <w:bottom w:val="nil"/>
              <w:right w:val="single" w:sz="4" w:space="0" w:color="auto"/>
            </w:tcBorders>
            <w:shd w:val="clear" w:color="auto" w:fill="FFFFFF"/>
          </w:tcPr>
          <w:p w:rsidR="00651CE1" w:rsidRPr="007743FF" w:rsidRDefault="00651CE1" w:rsidP="00817D88">
            <w:pPr>
              <w:autoSpaceDE w:val="0"/>
              <w:autoSpaceDN w:val="0"/>
              <w:ind w:firstLine="90"/>
            </w:pPr>
            <w:r w:rsidRPr="007743FF">
              <w:t>b. Predictors: (Constant), Foreign Direct Investment</w:t>
            </w:r>
          </w:p>
        </w:tc>
      </w:tr>
      <w:tr w:rsidR="00651CE1" w:rsidRPr="007743FF" w:rsidTr="00D52421">
        <w:trPr>
          <w:cantSplit/>
        </w:trPr>
        <w:tc>
          <w:tcPr>
            <w:tcW w:w="5000" w:type="pct"/>
            <w:gridSpan w:val="15"/>
            <w:tcBorders>
              <w:top w:val="nil"/>
              <w:left w:val="single" w:sz="4" w:space="0" w:color="auto"/>
              <w:bottom w:val="single" w:sz="4" w:space="0" w:color="auto"/>
              <w:right w:val="single" w:sz="4" w:space="0" w:color="auto"/>
            </w:tcBorders>
            <w:shd w:val="clear" w:color="auto" w:fill="FFFFFF"/>
          </w:tcPr>
          <w:p w:rsidR="00651CE1" w:rsidRPr="007743FF" w:rsidRDefault="00651CE1" w:rsidP="00817D88">
            <w:pPr>
              <w:autoSpaceDE w:val="0"/>
              <w:autoSpaceDN w:val="0"/>
              <w:ind w:firstLine="90"/>
            </w:pPr>
            <w:r w:rsidRPr="007743FF">
              <w:t>c. Predictors: (Constant), Foreign Direct Investment, Absorption Capacity</w:t>
            </w:r>
          </w:p>
        </w:tc>
      </w:tr>
    </w:tbl>
    <w:p w:rsidR="00651CE1" w:rsidRPr="007743FF" w:rsidRDefault="00651CE1" w:rsidP="00D52421">
      <w:pPr>
        <w:autoSpaceDE w:val="0"/>
        <w:autoSpaceDN w:val="0"/>
        <w:spacing w:line="360" w:lineRule="auto"/>
        <w:ind w:firstLine="446"/>
        <w:rPr>
          <w:bCs/>
        </w:rPr>
      </w:pPr>
      <w:r w:rsidRPr="007743FF">
        <w:rPr>
          <w:bCs/>
        </w:rPr>
        <w:t xml:space="preserve">Source: Field Data (2019) </w:t>
      </w:r>
    </w:p>
    <w:p w:rsidR="00651CE1" w:rsidRPr="007743FF" w:rsidRDefault="00651CE1" w:rsidP="00712DDE">
      <w:pPr>
        <w:ind w:left="450"/>
        <w:rPr>
          <w:sz w:val="20"/>
        </w:rPr>
      </w:pPr>
    </w:p>
    <w:p w:rsidR="00651CE1" w:rsidRDefault="00651CE1" w:rsidP="00D8454C">
      <w:pPr>
        <w:tabs>
          <w:tab w:val="left" w:pos="8364"/>
        </w:tabs>
        <w:spacing w:line="360" w:lineRule="auto"/>
        <w:ind w:left="446"/>
      </w:pPr>
      <w:r>
        <w:t xml:space="preserve">A breakdown of the regression coefficients for the two models is reported in table </w:t>
      </w:r>
      <w:r w:rsidR="003767AC">
        <w:t>vi</w:t>
      </w:r>
      <w:r>
        <w:t xml:space="preserve">. The table </w:t>
      </w:r>
      <w:r w:rsidR="003767AC">
        <w:t>vi</w:t>
      </w:r>
      <w:r>
        <w:t xml:space="preserve"> shows that in the model capturing the link between FDI and performance, the coefficient for FDI was positive and significant</w:t>
      </w:r>
      <w:r w:rsidRPr="007743FF">
        <w:t xml:space="preserve"> (β</w:t>
      </w:r>
      <w:r w:rsidRPr="007743FF">
        <w:rPr>
          <w:vertAlign w:val="subscript"/>
        </w:rPr>
        <w:t>1</w:t>
      </w:r>
      <w:r w:rsidRPr="007743FF">
        <w:t xml:space="preserve"> = 0.479, p-value = 0.013)</w:t>
      </w:r>
      <w:r>
        <w:t xml:space="preserve">. This was an indication that unit increment in FDI would improve performance by 46.7%. In connection to the second model, the </w:t>
      </w:r>
      <w:r>
        <w:lastRenderedPageBreak/>
        <w:t>coefficients associated with the contributory factors of FDI and absorptive capacity were 0.479 (</w:t>
      </w:r>
      <w:r>
        <w:rPr>
          <w:i/>
        </w:rPr>
        <w:t xml:space="preserve">p </w:t>
      </w:r>
      <w:r>
        <w:t>&lt; 0.013) and -0.83 (</w:t>
      </w:r>
      <w:r>
        <w:rPr>
          <w:i/>
        </w:rPr>
        <w:t>p</w:t>
      </w:r>
      <w:r>
        <w:t xml:space="preserve"> &lt; 0.473), respectively. These results suggest that controlling for absorptive capacity, there would still be a positive and significant link between FDI and performance, where a unit increment would elevate</w:t>
      </w:r>
      <w:r w:rsidR="00817D88">
        <w:t xml:space="preserve"> </w:t>
      </w:r>
      <w:r>
        <w:t xml:space="preserve">performance by 47.9%. This is presented in table </w:t>
      </w:r>
      <w:r w:rsidR="003767AC">
        <w:t>vii</w:t>
      </w:r>
      <w:r>
        <w:t xml:space="preserve"> below;</w:t>
      </w:r>
    </w:p>
    <w:p w:rsidR="00651CE1" w:rsidRPr="002F733B" w:rsidRDefault="00651CE1" w:rsidP="00712DDE">
      <w:pPr>
        <w:pStyle w:val="Caption"/>
        <w:ind w:left="450"/>
      </w:pPr>
      <w:bookmarkStart w:id="53" w:name="_Toc53410573"/>
      <w:bookmarkStart w:id="54" w:name="_Toc57963088"/>
      <w:r w:rsidRPr="002F733B">
        <w:t xml:space="preserve">Table </w:t>
      </w:r>
      <w:r w:rsidR="003767AC">
        <w:t>vii</w:t>
      </w:r>
      <w:r w:rsidRPr="002F733B">
        <w:t xml:space="preserve">: </w:t>
      </w:r>
      <w:r>
        <w:t>Regression Coefficients of FDI and Absorptive Capacity</w:t>
      </w:r>
      <w:bookmarkEnd w:id="53"/>
      <w:bookmarkEnd w:id="54"/>
    </w:p>
    <w:tbl>
      <w:tblPr>
        <w:tblW w:w="5176" w:type="pct"/>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1"/>
        <w:gridCol w:w="2803"/>
        <w:gridCol w:w="644"/>
        <w:gridCol w:w="1009"/>
        <w:gridCol w:w="1767"/>
        <w:gridCol w:w="1010"/>
        <w:gridCol w:w="900"/>
      </w:tblGrid>
      <w:tr w:rsidR="00651CE1" w:rsidRPr="007743FF" w:rsidTr="00D5242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651CE1" w:rsidRPr="007743FF" w:rsidRDefault="00651CE1" w:rsidP="00712DDE">
            <w:pPr>
              <w:autoSpaceDE w:val="0"/>
              <w:autoSpaceDN w:val="0"/>
              <w:spacing w:line="276" w:lineRule="auto"/>
              <w:ind w:left="450"/>
            </w:pPr>
            <w:r w:rsidRPr="007743FF">
              <w:rPr>
                <w:b/>
                <w:bCs/>
              </w:rPr>
              <w:t>Coefficients</w:t>
            </w:r>
          </w:p>
        </w:tc>
      </w:tr>
      <w:tr w:rsidR="00651CE1" w:rsidRPr="007743FF" w:rsidTr="00D52421">
        <w:trPr>
          <w:cantSplit/>
        </w:trPr>
        <w:tc>
          <w:tcPr>
            <w:tcW w:w="1778" w:type="pct"/>
            <w:gridSpan w:val="2"/>
            <w:vMerge w:val="restart"/>
            <w:tcBorders>
              <w:top w:val="single" w:sz="4" w:space="0" w:color="auto"/>
              <w:left w:val="single" w:sz="16" w:space="0" w:color="000000"/>
              <w:bottom w:val="nil"/>
              <w:right w:val="nil"/>
            </w:tcBorders>
            <w:shd w:val="clear" w:color="auto" w:fill="FFFFFF"/>
          </w:tcPr>
          <w:p w:rsidR="00651CE1" w:rsidRPr="007743FF" w:rsidRDefault="00651CE1" w:rsidP="003767AC">
            <w:pPr>
              <w:autoSpaceDE w:val="0"/>
              <w:autoSpaceDN w:val="0"/>
              <w:spacing w:line="276" w:lineRule="auto"/>
              <w:ind w:left="450" w:hanging="450"/>
            </w:pPr>
            <w:r w:rsidRPr="007743FF">
              <w:t>Model</w:t>
            </w:r>
          </w:p>
        </w:tc>
        <w:tc>
          <w:tcPr>
            <w:tcW w:w="999" w:type="pct"/>
            <w:gridSpan w:val="2"/>
            <w:tcBorders>
              <w:top w:val="single" w:sz="4" w:space="0" w:color="auto"/>
              <w:left w:val="single" w:sz="16" w:space="0" w:color="000000"/>
            </w:tcBorders>
            <w:shd w:val="clear" w:color="auto" w:fill="FFFFFF"/>
          </w:tcPr>
          <w:p w:rsidR="00651CE1" w:rsidRPr="007743FF" w:rsidRDefault="00651CE1" w:rsidP="003767AC">
            <w:pPr>
              <w:autoSpaceDE w:val="0"/>
              <w:autoSpaceDN w:val="0"/>
              <w:spacing w:line="276" w:lineRule="auto"/>
              <w:ind w:left="450" w:hanging="450"/>
            </w:pPr>
            <w:r w:rsidRPr="007743FF">
              <w:t>Unstandardized Coefficients</w:t>
            </w:r>
          </w:p>
        </w:tc>
        <w:tc>
          <w:tcPr>
            <w:tcW w:w="1068" w:type="pct"/>
            <w:tcBorders>
              <w:top w:val="single" w:sz="4" w:space="0" w:color="auto"/>
            </w:tcBorders>
            <w:shd w:val="clear" w:color="auto" w:fill="FFFFFF"/>
          </w:tcPr>
          <w:p w:rsidR="00651CE1" w:rsidRPr="007743FF" w:rsidRDefault="00651CE1" w:rsidP="00712DDE">
            <w:pPr>
              <w:autoSpaceDE w:val="0"/>
              <w:autoSpaceDN w:val="0"/>
              <w:spacing w:line="276" w:lineRule="auto"/>
              <w:ind w:left="450"/>
            </w:pPr>
            <w:r w:rsidRPr="007743FF">
              <w:t>Standardized Coefficients</w:t>
            </w:r>
          </w:p>
        </w:tc>
        <w:tc>
          <w:tcPr>
            <w:tcW w:w="610" w:type="pct"/>
            <w:vMerge w:val="restart"/>
            <w:tcBorders>
              <w:top w:val="single" w:sz="4" w:space="0" w:color="auto"/>
            </w:tcBorders>
            <w:shd w:val="clear" w:color="auto" w:fill="FFFFFF"/>
          </w:tcPr>
          <w:p w:rsidR="00651CE1" w:rsidRPr="007743FF" w:rsidRDefault="00651CE1" w:rsidP="00712DDE">
            <w:pPr>
              <w:autoSpaceDE w:val="0"/>
              <w:autoSpaceDN w:val="0"/>
              <w:spacing w:line="276" w:lineRule="auto"/>
              <w:ind w:left="450"/>
            </w:pPr>
            <w:r w:rsidRPr="007743FF">
              <w:t>T</w:t>
            </w:r>
          </w:p>
        </w:tc>
        <w:tc>
          <w:tcPr>
            <w:tcW w:w="544" w:type="pct"/>
            <w:vMerge w:val="restart"/>
            <w:tcBorders>
              <w:top w:val="single" w:sz="4" w:space="0" w:color="auto"/>
              <w:right w:val="single" w:sz="16" w:space="0" w:color="000000"/>
            </w:tcBorders>
            <w:shd w:val="clear" w:color="auto" w:fill="FFFFFF"/>
          </w:tcPr>
          <w:p w:rsidR="00651CE1" w:rsidRPr="007743FF" w:rsidRDefault="00651CE1" w:rsidP="00712DDE">
            <w:pPr>
              <w:autoSpaceDE w:val="0"/>
              <w:autoSpaceDN w:val="0"/>
              <w:spacing w:line="276" w:lineRule="auto"/>
              <w:ind w:left="450"/>
            </w:pPr>
            <w:r w:rsidRPr="007743FF">
              <w:t>Sig.</w:t>
            </w:r>
          </w:p>
        </w:tc>
      </w:tr>
      <w:tr w:rsidR="00651CE1" w:rsidRPr="007743FF" w:rsidTr="00D52421">
        <w:trPr>
          <w:cantSplit/>
        </w:trPr>
        <w:tc>
          <w:tcPr>
            <w:tcW w:w="1778" w:type="pct"/>
            <w:gridSpan w:val="2"/>
            <w:vMerge/>
            <w:tcBorders>
              <w:top w:val="single" w:sz="16" w:space="0" w:color="000000"/>
              <w:left w:val="single" w:sz="16" w:space="0" w:color="000000"/>
              <w:bottom w:val="nil"/>
              <w:right w:val="nil"/>
            </w:tcBorders>
            <w:shd w:val="clear" w:color="auto" w:fill="FFFFFF"/>
          </w:tcPr>
          <w:p w:rsidR="00651CE1" w:rsidRPr="007743FF" w:rsidRDefault="00651CE1" w:rsidP="003767AC">
            <w:pPr>
              <w:autoSpaceDE w:val="0"/>
              <w:autoSpaceDN w:val="0"/>
              <w:spacing w:line="276" w:lineRule="auto"/>
              <w:ind w:left="450" w:hanging="450"/>
            </w:pPr>
          </w:p>
        </w:tc>
        <w:tc>
          <w:tcPr>
            <w:tcW w:w="389" w:type="pct"/>
            <w:tcBorders>
              <w:left w:val="single" w:sz="16" w:space="0" w:color="000000"/>
              <w:bottom w:val="single" w:sz="16" w:space="0" w:color="000000"/>
            </w:tcBorders>
            <w:shd w:val="clear" w:color="auto" w:fill="FFFFFF"/>
          </w:tcPr>
          <w:p w:rsidR="00651CE1" w:rsidRPr="007743FF" w:rsidRDefault="00651CE1" w:rsidP="003767AC">
            <w:pPr>
              <w:autoSpaceDE w:val="0"/>
              <w:autoSpaceDN w:val="0"/>
              <w:spacing w:line="276" w:lineRule="auto"/>
              <w:ind w:left="450" w:hanging="450"/>
            </w:pPr>
            <w:r w:rsidRPr="007743FF">
              <w:t>B</w:t>
            </w:r>
          </w:p>
        </w:tc>
        <w:tc>
          <w:tcPr>
            <w:tcW w:w="610" w:type="pct"/>
            <w:tcBorders>
              <w:bottom w:val="single" w:sz="16" w:space="0" w:color="000000"/>
            </w:tcBorders>
            <w:shd w:val="clear" w:color="auto" w:fill="FFFFFF"/>
          </w:tcPr>
          <w:p w:rsidR="00651CE1" w:rsidRPr="007743FF" w:rsidRDefault="00651CE1" w:rsidP="003767AC">
            <w:pPr>
              <w:autoSpaceDE w:val="0"/>
              <w:autoSpaceDN w:val="0"/>
              <w:spacing w:line="276" w:lineRule="auto"/>
              <w:ind w:left="450" w:hanging="450"/>
            </w:pPr>
            <w:r w:rsidRPr="007743FF">
              <w:t>Std. Error</w:t>
            </w:r>
          </w:p>
        </w:tc>
        <w:tc>
          <w:tcPr>
            <w:tcW w:w="1068" w:type="pct"/>
            <w:tcBorders>
              <w:bottom w:val="single" w:sz="16" w:space="0" w:color="000000"/>
            </w:tcBorders>
            <w:shd w:val="clear" w:color="auto" w:fill="FFFFFF"/>
          </w:tcPr>
          <w:p w:rsidR="00651CE1" w:rsidRPr="007743FF" w:rsidRDefault="00651CE1" w:rsidP="00712DDE">
            <w:pPr>
              <w:autoSpaceDE w:val="0"/>
              <w:autoSpaceDN w:val="0"/>
              <w:spacing w:line="276" w:lineRule="auto"/>
              <w:ind w:left="450"/>
            </w:pPr>
            <w:r w:rsidRPr="007743FF">
              <w:t>Beta</w:t>
            </w:r>
          </w:p>
        </w:tc>
        <w:tc>
          <w:tcPr>
            <w:tcW w:w="610" w:type="pct"/>
            <w:vMerge/>
            <w:tcBorders>
              <w:top w:val="single" w:sz="16" w:space="0" w:color="000000"/>
            </w:tcBorders>
            <w:shd w:val="clear" w:color="auto" w:fill="FFFFFF"/>
          </w:tcPr>
          <w:p w:rsidR="00651CE1" w:rsidRPr="007743FF" w:rsidRDefault="00651CE1" w:rsidP="00712DDE">
            <w:pPr>
              <w:autoSpaceDE w:val="0"/>
              <w:autoSpaceDN w:val="0"/>
              <w:spacing w:line="276" w:lineRule="auto"/>
              <w:ind w:left="450"/>
            </w:pPr>
          </w:p>
        </w:tc>
        <w:tc>
          <w:tcPr>
            <w:tcW w:w="544" w:type="pct"/>
            <w:vMerge/>
            <w:tcBorders>
              <w:top w:val="single" w:sz="16" w:space="0" w:color="000000"/>
              <w:right w:val="single" w:sz="16" w:space="0" w:color="000000"/>
            </w:tcBorders>
            <w:shd w:val="clear" w:color="auto" w:fill="FFFFFF"/>
          </w:tcPr>
          <w:p w:rsidR="00651CE1" w:rsidRPr="007743FF" w:rsidRDefault="00651CE1" w:rsidP="00712DDE">
            <w:pPr>
              <w:autoSpaceDE w:val="0"/>
              <w:autoSpaceDN w:val="0"/>
              <w:spacing w:line="276" w:lineRule="auto"/>
              <w:ind w:left="450"/>
            </w:pPr>
          </w:p>
        </w:tc>
      </w:tr>
      <w:tr w:rsidR="00651CE1" w:rsidRPr="007743FF" w:rsidTr="00D52421">
        <w:trPr>
          <w:cantSplit/>
        </w:trPr>
        <w:tc>
          <w:tcPr>
            <w:tcW w:w="85" w:type="pct"/>
            <w:vMerge w:val="restart"/>
            <w:tcBorders>
              <w:top w:val="single" w:sz="16" w:space="0" w:color="000000"/>
              <w:left w:val="single" w:sz="16" w:space="0" w:color="000000"/>
              <w:bottom w:val="nil"/>
              <w:right w:val="nil"/>
            </w:tcBorders>
            <w:shd w:val="clear" w:color="auto" w:fill="FFFFFF"/>
            <w:vAlign w:val="center"/>
          </w:tcPr>
          <w:p w:rsidR="00651CE1" w:rsidRPr="007743FF" w:rsidRDefault="00651CE1" w:rsidP="003767AC">
            <w:pPr>
              <w:autoSpaceDE w:val="0"/>
              <w:autoSpaceDN w:val="0"/>
              <w:spacing w:line="276" w:lineRule="auto"/>
              <w:ind w:left="450" w:hanging="450"/>
            </w:pPr>
            <w:r w:rsidRPr="007743FF">
              <w:t>1</w:t>
            </w:r>
          </w:p>
        </w:tc>
        <w:tc>
          <w:tcPr>
            <w:tcW w:w="1694" w:type="pct"/>
            <w:tcBorders>
              <w:top w:val="single" w:sz="16" w:space="0" w:color="000000"/>
              <w:left w:val="nil"/>
              <w:bottom w:val="nil"/>
              <w:right w:val="single" w:sz="16" w:space="0" w:color="000000"/>
            </w:tcBorders>
            <w:shd w:val="clear" w:color="auto" w:fill="FFFFFF"/>
            <w:vAlign w:val="center"/>
          </w:tcPr>
          <w:p w:rsidR="00651CE1" w:rsidRPr="007743FF" w:rsidRDefault="00D52421" w:rsidP="00D52421">
            <w:pPr>
              <w:autoSpaceDE w:val="0"/>
              <w:autoSpaceDN w:val="0"/>
              <w:spacing w:line="276" w:lineRule="auto"/>
              <w:ind w:left="450" w:hanging="450"/>
            </w:pPr>
            <w:r>
              <w:t xml:space="preserve">   </w:t>
            </w:r>
            <w:r w:rsidR="00651CE1" w:rsidRPr="007743FF">
              <w:t>(Constant)</w:t>
            </w:r>
          </w:p>
        </w:tc>
        <w:tc>
          <w:tcPr>
            <w:tcW w:w="389" w:type="pct"/>
            <w:tcBorders>
              <w:top w:val="single" w:sz="16" w:space="0" w:color="000000"/>
              <w:left w:val="single" w:sz="16" w:space="0" w:color="000000"/>
              <w:bottom w:val="nil"/>
            </w:tcBorders>
            <w:shd w:val="clear" w:color="auto" w:fill="FFFFFF"/>
          </w:tcPr>
          <w:p w:rsidR="00651CE1" w:rsidRPr="007743FF" w:rsidRDefault="00651CE1" w:rsidP="003767AC">
            <w:pPr>
              <w:autoSpaceDE w:val="0"/>
              <w:autoSpaceDN w:val="0"/>
              <w:spacing w:line="276" w:lineRule="auto"/>
              <w:ind w:left="450" w:hanging="450"/>
            </w:pPr>
            <w:r w:rsidRPr="007743FF">
              <w:t>1.618</w:t>
            </w:r>
          </w:p>
        </w:tc>
        <w:tc>
          <w:tcPr>
            <w:tcW w:w="610" w:type="pct"/>
            <w:tcBorders>
              <w:top w:val="single" w:sz="16" w:space="0" w:color="000000"/>
              <w:bottom w:val="nil"/>
            </w:tcBorders>
            <w:shd w:val="clear" w:color="auto" w:fill="FFFFFF"/>
          </w:tcPr>
          <w:p w:rsidR="00651CE1" w:rsidRPr="007743FF" w:rsidRDefault="00651CE1" w:rsidP="003767AC">
            <w:pPr>
              <w:autoSpaceDE w:val="0"/>
              <w:autoSpaceDN w:val="0"/>
              <w:spacing w:line="276" w:lineRule="auto"/>
              <w:ind w:left="450" w:hanging="450"/>
            </w:pPr>
            <w:r w:rsidRPr="007743FF">
              <w:t>.462</w:t>
            </w:r>
          </w:p>
        </w:tc>
        <w:tc>
          <w:tcPr>
            <w:tcW w:w="1068" w:type="pct"/>
            <w:tcBorders>
              <w:top w:val="single" w:sz="16" w:space="0" w:color="000000"/>
              <w:bottom w:val="nil"/>
            </w:tcBorders>
            <w:shd w:val="clear" w:color="auto" w:fill="FFFFFF"/>
          </w:tcPr>
          <w:p w:rsidR="00651CE1" w:rsidRPr="007743FF" w:rsidRDefault="00651CE1" w:rsidP="00712DDE">
            <w:pPr>
              <w:autoSpaceDE w:val="0"/>
              <w:autoSpaceDN w:val="0"/>
              <w:spacing w:line="276" w:lineRule="auto"/>
              <w:ind w:left="450"/>
            </w:pPr>
          </w:p>
        </w:tc>
        <w:tc>
          <w:tcPr>
            <w:tcW w:w="610" w:type="pct"/>
            <w:tcBorders>
              <w:top w:val="single" w:sz="16" w:space="0" w:color="000000"/>
              <w:bottom w:val="nil"/>
            </w:tcBorders>
            <w:shd w:val="clear" w:color="auto" w:fill="FFFFFF"/>
          </w:tcPr>
          <w:p w:rsidR="00651CE1" w:rsidRPr="007743FF" w:rsidRDefault="00651CE1" w:rsidP="00712DDE">
            <w:pPr>
              <w:autoSpaceDE w:val="0"/>
              <w:autoSpaceDN w:val="0"/>
              <w:spacing w:line="276" w:lineRule="auto"/>
              <w:ind w:left="450"/>
            </w:pPr>
            <w:r w:rsidRPr="007743FF">
              <w:t>3.500</w:t>
            </w:r>
          </w:p>
        </w:tc>
        <w:tc>
          <w:tcPr>
            <w:tcW w:w="544" w:type="pct"/>
            <w:tcBorders>
              <w:top w:val="single" w:sz="16" w:space="0" w:color="000000"/>
              <w:bottom w:val="nil"/>
              <w:right w:val="single" w:sz="16" w:space="0" w:color="000000"/>
            </w:tcBorders>
            <w:shd w:val="clear" w:color="auto" w:fill="FFFFFF"/>
          </w:tcPr>
          <w:p w:rsidR="00651CE1" w:rsidRPr="007743FF" w:rsidRDefault="00651CE1" w:rsidP="00712DDE">
            <w:pPr>
              <w:autoSpaceDE w:val="0"/>
              <w:autoSpaceDN w:val="0"/>
              <w:spacing w:line="276" w:lineRule="auto"/>
              <w:ind w:left="450"/>
            </w:pPr>
            <w:r w:rsidRPr="007743FF">
              <w:t>.001</w:t>
            </w:r>
          </w:p>
        </w:tc>
      </w:tr>
      <w:tr w:rsidR="00651CE1" w:rsidRPr="007743FF" w:rsidTr="00D52421">
        <w:trPr>
          <w:cantSplit/>
        </w:trPr>
        <w:tc>
          <w:tcPr>
            <w:tcW w:w="85" w:type="pct"/>
            <w:vMerge/>
            <w:tcBorders>
              <w:top w:val="single" w:sz="16" w:space="0" w:color="000000"/>
              <w:left w:val="single" w:sz="16" w:space="0" w:color="000000"/>
              <w:bottom w:val="nil"/>
              <w:right w:val="nil"/>
            </w:tcBorders>
            <w:shd w:val="clear" w:color="auto" w:fill="FFFFFF"/>
            <w:vAlign w:val="center"/>
          </w:tcPr>
          <w:p w:rsidR="00651CE1" w:rsidRPr="007743FF" w:rsidRDefault="00651CE1" w:rsidP="003767AC">
            <w:pPr>
              <w:autoSpaceDE w:val="0"/>
              <w:autoSpaceDN w:val="0"/>
              <w:spacing w:line="276" w:lineRule="auto"/>
              <w:ind w:left="450" w:hanging="450"/>
            </w:pPr>
          </w:p>
        </w:tc>
        <w:tc>
          <w:tcPr>
            <w:tcW w:w="1694" w:type="pct"/>
            <w:tcBorders>
              <w:top w:val="nil"/>
              <w:left w:val="nil"/>
              <w:bottom w:val="nil"/>
              <w:right w:val="single" w:sz="16" w:space="0" w:color="000000"/>
            </w:tcBorders>
            <w:shd w:val="clear" w:color="auto" w:fill="FFFFFF"/>
            <w:vAlign w:val="center"/>
          </w:tcPr>
          <w:p w:rsidR="00651CE1" w:rsidRPr="007743FF" w:rsidRDefault="003767AC" w:rsidP="003767AC">
            <w:pPr>
              <w:autoSpaceDE w:val="0"/>
              <w:autoSpaceDN w:val="0"/>
              <w:spacing w:line="276" w:lineRule="auto"/>
              <w:ind w:left="450" w:hanging="450"/>
            </w:pPr>
            <w:r>
              <w:t xml:space="preserve">Foreign Direct </w:t>
            </w:r>
            <w:r w:rsidR="00651CE1" w:rsidRPr="007743FF">
              <w:t>Investment</w:t>
            </w:r>
          </w:p>
        </w:tc>
        <w:tc>
          <w:tcPr>
            <w:tcW w:w="389" w:type="pct"/>
            <w:tcBorders>
              <w:top w:val="nil"/>
              <w:left w:val="single" w:sz="16" w:space="0" w:color="000000"/>
              <w:bottom w:val="nil"/>
            </w:tcBorders>
            <w:shd w:val="clear" w:color="auto" w:fill="FFFFFF"/>
          </w:tcPr>
          <w:p w:rsidR="00651CE1" w:rsidRPr="007743FF" w:rsidRDefault="00651CE1" w:rsidP="003767AC">
            <w:pPr>
              <w:autoSpaceDE w:val="0"/>
              <w:autoSpaceDN w:val="0"/>
              <w:spacing w:line="276" w:lineRule="auto"/>
              <w:ind w:left="450" w:hanging="450"/>
            </w:pPr>
            <w:r w:rsidRPr="007743FF">
              <w:t>.467</w:t>
            </w:r>
          </w:p>
        </w:tc>
        <w:tc>
          <w:tcPr>
            <w:tcW w:w="610" w:type="pct"/>
            <w:tcBorders>
              <w:top w:val="nil"/>
              <w:bottom w:val="nil"/>
            </w:tcBorders>
            <w:shd w:val="clear" w:color="auto" w:fill="FFFFFF"/>
          </w:tcPr>
          <w:p w:rsidR="00651CE1" w:rsidRPr="007743FF" w:rsidRDefault="00651CE1" w:rsidP="003767AC">
            <w:pPr>
              <w:autoSpaceDE w:val="0"/>
              <w:autoSpaceDN w:val="0"/>
              <w:spacing w:line="276" w:lineRule="auto"/>
              <w:ind w:left="450" w:hanging="450"/>
            </w:pPr>
            <w:r w:rsidRPr="007743FF">
              <w:t>.186</w:t>
            </w:r>
          </w:p>
        </w:tc>
        <w:tc>
          <w:tcPr>
            <w:tcW w:w="1068" w:type="pct"/>
            <w:tcBorders>
              <w:top w:val="nil"/>
              <w:bottom w:val="nil"/>
            </w:tcBorders>
            <w:shd w:val="clear" w:color="auto" w:fill="FFFFFF"/>
          </w:tcPr>
          <w:p w:rsidR="00651CE1" w:rsidRPr="007743FF" w:rsidRDefault="00651CE1" w:rsidP="00712DDE">
            <w:pPr>
              <w:autoSpaceDE w:val="0"/>
              <w:autoSpaceDN w:val="0"/>
              <w:spacing w:line="276" w:lineRule="auto"/>
              <w:ind w:left="450"/>
            </w:pPr>
            <w:r w:rsidRPr="007743FF">
              <w:t>.281</w:t>
            </w:r>
          </w:p>
        </w:tc>
        <w:tc>
          <w:tcPr>
            <w:tcW w:w="610" w:type="pct"/>
            <w:tcBorders>
              <w:top w:val="nil"/>
              <w:bottom w:val="nil"/>
            </w:tcBorders>
            <w:shd w:val="clear" w:color="auto" w:fill="FFFFFF"/>
          </w:tcPr>
          <w:p w:rsidR="00651CE1" w:rsidRPr="007743FF" w:rsidRDefault="00651CE1" w:rsidP="00712DDE">
            <w:pPr>
              <w:autoSpaceDE w:val="0"/>
              <w:autoSpaceDN w:val="0"/>
              <w:spacing w:line="276" w:lineRule="auto"/>
              <w:ind w:left="450"/>
            </w:pPr>
            <w:r w:rsidRPr="007743FF">
              <w:t>2.506</w:t>
            </w:r>
          </w:p>
        </w:tc>
        <w:tc>
          <w:tcPr>
            <w:tcW w:w="544" w:type="pct"/>
            <w:tcBorders>
              <w:top w:val="nil"/>
              <w:bottom w:val="nil"/>
              <w:right w:val="single" w:sz="16" w:space="0" w:color="000000"/>
            </w:tcBorders>
            <w:shd w:val="clear" w:color="auto" w:fill="FFFFFF"/>
          </w:tcPr>
          <w:p w:rsidR="00651CE1" w:rsidRPr="007743FF" w:rsidRDefault="00651CE1" w:rsidP="00712DDE">
            <w:pPr>
              <w:autoSpaceDE w:val="0"/>
              <w:autoSpaceDN w:val="0"/>
              <w:spacing w:line="276" w:lineRule="auto"/>
              <w:ind w:left="450"/>
            </w:pPr>
            <w:r w:rsidRPr="007743FF">
              <w:t>.014</w:t>
            </w:r>
          </w:p>
        </w:tc>
      </w:tr>
      <w:tr w:rsidR="00651CE1" w:rsidRPr="007743FF" w:rsidTr="00D52421">
        <w:trPr>
          <w:cantSplit/>
        </w:trPr>
        <w:tc>
          <w:tcPr>
            <w:tcW w:w="85" w:type="pct"/>
            <w:vMerge w:val="restart"/>
            <w:tcBorders>
              <w:top w:val="nil"/>
              <w:left w:val="single" w:sz="16" w:space="0" w:color="000000"/>
              <w:bottom w:val="single" w:sz="16" w:space="0" w:color="000000"/>
              <w:right w:val="nil"/>
            </w:tcBorders>
            <w:shd w:val="clear" w:color="auto" w:fill="FFFFFF"/>
            <w:vAlign w:val="center"/>
          </w:tcPr>
          <w:p w:rsidR="00651CE1" w:rsidRPr="007743FF" w:rsidRDefault="00651CE1" w:rsidP="003767AC">
            <w:pPr>
              <w:autoSpaceDE w:val="0"/>
              <w:autoSpaceDN w:val="0"/>
              <w:spacing w:line="276" w:lineRule="auto"/>
              <w:ind w:left="450" w:hanging="450"/>
            </w:pPr>
            <w:r w:rsidRPr="007743FF">
              <w:t>2</w:t>
            </w:r>
          </w:p>
        </w:tc>
        <w:tc>
          <w:tcPr>
            <w:tcW w:w="1694" w:type="pct"/>
            <w:tcBorders>
              <w:top w:val="nil"/>
              <w:left w:val="nil"/>
              <w:bottom w:val="nil"/>
              <w:right w:val="single" w:sz="16" w:space="0" w:color="000000"/>
            </w:tcBorders>
            <w:shd w:val="clear" w:color="auto" w:fill="FFFFFF"/>
            <w:vAlign w:val="center"/>
          </w:tcPr>
          <w:p w:rsidR="00651CE1" w:rsidRPr="007743FF" w:rsidRDefault="00D52421" w:rsidP="00D52421">
            <w:pPr>
              <w:autoSpaceDE w:val="0"/>
              <w:autoSpaceDN w:val="0"/>
              <w:spacing w:line="276" w:lineRule="auto"/>
              <w:ind w:left="450" w:hanging="450"/>
            </w:pPr>
            <w:r>
              <w:t xml:space="preserve">  </w:t>
            </w:r>
            <w:r w:rsidR="00651CE1" w:rsidRPr="007743FF">
              <w:t>(Constant)</w:t>
            </w:r>
          </w:p>
        </w:tc>
        <w:tc>
          <w:tcPr>
            <w:tcW w:w="389" w:type="pct"/>
            <w:tcBorders>
              <w:top w:val="nil"/>
              <w:left w:val="single" w:sz="16" w:space="0" w:color="000000"/>
              <w:bottom w:val="nil"/>
            </w:tcBorders>
            <w:shd w:val="clear" w:color="auto" w:fill="FFFFFF"/>
          </w:tcPr>
          <w:p w:rsidR="00651CE1" w:rsidRPr="007743FF" w:rsidRDefault="00651CE1" w:rsidP="003767AC">
            <w:pPr>
              <w:autoSpaceDE w:val="0"/>
              <w:autoSpaceDN w:val="0"/>
              <w:spacing w:line="276" w:lineRule="auto"/>
              <w:ind w:left="450" w:hanging="450"/>
            </w:pPr>
            <w:r w:rsidRPr="007743FF">
              <w:t>1.905</w:t>
            </w:r>
          </w:p>
        </w:tc>
        <w:tc>
          <w:tcPr>
            <w:tcW w:w="610" w:type="pct"/>
            <w:tcBorders>
              <w:top w:val="nil"/>
              <w:bottom w:val="nil"/>
            </w:tcBorders>
            <w:shd w:val="clear" w:color="auto" w:fill="FFFFFF"/>
          </w:tcPr>
          <w:p w:rsidR="00651CE1" w:rsidRPr="007743FF" w:rsidRDefault="00651CE1" w:rsidP="003767AC">
            <w:pPr>
              <w:autoSpaceDE w:val="0"/>
              <w:autoSpaceDN w:val="0"/>
              <w:spacing w:line="276" w:lineRule="auto"/>
              <w:ind w:left="450" w:hanging="450"/>
            </w:pPr>
            <w:r w:rsidRPr="007743FF">
              <w:t>.611</w:t>
            </w:r>
          </w:p>
        </w:tc>
        <w:tc>
          <w:tcPr>
            <w:tcW w:w="1068" w:type="pct"/>
            <w:tcBorders>
              <w:top w:val="nil"/>
              <w:bottom w:val="nil"/>
            </w:tcBorders>
            <w:shd w:val="clear" w:color="auto" w:fill="FFFFFF"/>
          </w:tcPr>
          <w:p w:rsidR="00651CE1" w:rsidRPr="007743FF" w:rsidRDefault="00651CE1" w:rsidP="00712DDE">
            <w:pPr>
              <w:autoSpaceDE w:val="0"/>
              <w:autoSpaceDN w:val="0"/>
              <w:spacing w:line="276" w:lineRule="auto"/>
              <w:ind w:left="450"/>
            </w:pPr>
          </w:p>
        </w:tc>
        <w:tc>
          <w:tcPr>
            <w:tcW w:w="610" w:type="pct"/>
            <w:tcBorders>
              <w:top w:val="nil"/>
              <w:bottom w:val="nil"/>
            </w:tcBorders>
            <w:shd w:val="clear" w:color="auto" w:fill="FFFFFF"/>
          </w:tcPr>
          <w:p w:rsidR="00651CE1" w:rsidRPr="007743FF" w:rsidRDefault="00651CE1" w:rsidP="00712DDE">
            <w:pPr>
              <w:autoSpaceDE w:val="0"/>
              <w:autoSpaceDN w:val="0"/>
              <w:spacing w:line="276" w:lineRule="auto"/>
              <w:ind w:left="450"/>
            </w:pPr>
            <w:r w:rsidRPr="007743FF">
              <w:t>3.117</w:t>
            </w:r>
          </w:p>
        </w:tc>
        <w:tc>
          <w:tcPr>
            <w:tcW w:w="544" w:type="pct"/>
            <w:tcBorders>
              <w:top w:val="nil"/>
              <w:bottom w:val="nil"/>
              <w:right w:val="single" w:sz="16" w:space="0" w:color="000000"/>
            </w:tcBorders>
            <w:shd w:val="clear" w:color="auto" w:fill="FFFFFF"/>
          </w:tcPr>
          <w:p w:rsidR="00651CE1" w:rsidRPr="007743FF" w:rsidRDefault="00651CE1" w:rsidP="00712DDE">
            <w:pPr>
              <w:autoSpaceDE w:val="0"/>
              <w:autoSpaceDN w:val="0"/>
              <w:spacing w:line="276" w:lineRule="auto"/>
              <w:ind w:left="450"/>
            </w:pPr>
            <w:r w:rsidRPr="007743FF">
              <w:t>.003</w:t>
            </w:r>
          </w:p>
        </w:tc>
      </w:tr>
      <w:tr w:rsidR="00651CE1" w:rsidRPr="007743FF" w:rsidTr="00D52421">
        <w:trPr>
          <w:cantSplit/>
        </w:trPr>
        <w:tc>
          <w:tcPr>
            <w:tcW w:w="85" w:type="pct"/>
            <w:vMerge/>
            <w:tcBorders>
              <w:top w:val="nil"/>
              <w:left w:val="single" w:sz="16" w:space="0" w:color="000000"/>
              <w:bottom w:val="single" w:sz="16" w:space="0" w:color="000000"/>
              <w:right w:val="nil"/>
            </w:tcBorders>
            <w:shd w:val="clear" w:color="auto" w:fill="FFFFFF"/>
            <w:vAlign w:val="center"/>
          </w:tcPr>
          <w:p w:rsidR="00651CE1" w:rsidRPr="007743FF" w:rsidRDefault="00651CE1" w:rsidP="003767AC">
            <w:pPr>
              <w:autoSpaceDE w:val="0"/>
              <w:autoSpaceDN w:val="0"/>
              <w:spacing w:line="276" w:lineRule="auto"/>
              <w:ind w:left="450" w:hanging="450"/>
            </w:pPr>
          </w:p>
        </w:tc>
        <w:tc>
          <w:tcPr>
            <w:tcW w:w="1694" w:type="pct"/>
            <w:tcBorders>
              <w:top w:val="nil"/>
              <w:left w:val="nil"/>
              <w:bottom w:val="nil"/>
              <w:right w:val="single" w:sz="16" w:space="0" w:color="000000"/>
            </w:tcBorders>
            <w:shd w:val="clear" w:color="auto" w:fill="FFFFFF"/>
            <w:vAlign w:val="center"/>
          </w:tcPr>
          <w:p w:rsidR="00D52421" w:rsidRDefault="00D52421" w:rsidP="003767AC">
            <w:pPr>
              <w:autoSpaceDE w:val="0"/>
              <w:autoSpaceDN w:val="0"/>
              <w:spacing w:line="276" w:lineRule="auto"/>
              <w:ind w:left="450" w:hanging="450"/>
            </w:pPr>
          </w:p>
          <w:p w:rsidR="00651CE1" w:rsidRPr="007743FF" w:rsidRDefault="00651CE1" w:rsidP="003767AC">
            <w:pPr>
              <w:autoSpaceDE w:val="0"/>
              <w:autoSpaceDN w:val="0"/>
              <w:spacing w:line="276" w:lineRule="auto"/>
              <w:ind w:left="450" w:hanging="450"/>
            </w:pPr>
            <w:r w:rsidRPr="007743FF">
              <w:t>Foreign</w:t>
            </w:r>
            <w:r w:rsidR="003767AC">
              <w:t xml:space="preserve"> </w:t>
            </w:r>
            <w:r w:rsidRPr="007743FF">
              <w:t>Direct Investment</w:t>
            </w:r>
          </w:p>
        </w:tc>
        <w:tc>
          <w:tcPr>
            <w:tcW w:w="389" w:type="pct"/>
            <w:tcBorders>
              <w:top w:val="nil"/>
              <w:left w:val="single" w:sz="16" w:space="0" w:color="000000"/>
              <w:bottom w:val="nil"/>
            </w:tcBorders>
            <w:shd w:val="clear" w:color="auto" w:fill="FFFFFF"/>
          </w:tcPr>
          <w:p w:rsidR="00651CE1" w:rsidRPr="007743FF" w:rsidRDefault="00651CE1" w:rsidP="003767AC">
            <w:pPr>
              <w:autoSpaceDE w:val="0"/>
              <w:autoSpaceDN w:val="0"/>
              <w:spacing w:line="276" w:lineRule="auto"/>
              <w:ind w:left="450" w:hanging="450"/>
            </w:pPr>
            <w:r w:rsidRPr="007743FF">
              <w:t>.479</w:t>
            </w:r>
          </w:p>
        </w:tc>
        <w:tc>
          <w:tcPr>
            <w:tcW w:w="610" w:type="pct"/>
            <w:tcBorders>
              <w:top w:val="nil"/>
              <w:bottom w:val="nil"/>
            </w:tcBorders>
            <w:shd w:val="clear" w:color="auto" w:fill="FFFFFF"/>
          </w:tcPr>
          <w:p w:rsidR="00651CE1" w:rsidRPr="007743FF" w:rsidRDefault="00651CE1" w:rsidP="003767AC">
            <w:pPr>
              <w:autoSpaceDE w:val="0"/>
              <w:autoSpaceDN w:val="0"/>
              <w:spacing w:line="276" w:lineRule="auto"/>
              <w:ind w:left="450" w:hanging="450"/>
            </w:pPr>
            <w:r w:rsidRPr="007743FF">
              <w:t>.188</w:t>
            </w:r>
          </w:p>
        </w:tc>
        <w:tc>
          <w:tcPr>
            <w:tcW w:w="1068" w:type="pct"/>
            <w:tcBorders>
              <w:top w:val="nil"/>
              <w:bottom w:val="nil"/>
            </w:tcBorders>
            <w:shd w:val="clear" w:color="auto" w:fill="FFFFFF"/>
          </w:tcPr>
          <w:p w:rsidR="00651CE1" w:rsidRPr="007743FF" w:rsidRDefault="00651CE1" w:rsidP="00712DDE">
            <w:pPr>
              <w:autoSpaceDE w:val="0"/>
              <w:autoSpaceDN w:val="0"/>
              <w:spacing w:line="276" w:lineRule="auto"/>
              <w:ind w:left="450"/>
            </w:pPr>
            <w:r w:rsidRPr="007743FF">
              <w:t>.289</w:t>
            </w:r>
          </w:p>
        </w:tc>
        <w:tc>
          <w:tcPr>
            <w:tcW w:w="610" w:type="pct"/>
            <w:tcBorders>
              <w:top w:val="nil"/>
              <w:bottom w:val="nil"/>
            </w:tcBorders>
            <w:shd w:val="clear" w:color="auto" w:fill="FFFFFF"/>
          </w:tcPr>
          <w:p w:rsidR="00651CE1" w:rsidRPr="007743FF" w:rsidRDefault="00651CE1" w:rsidP="00712DDE">
            <w:pPr>
              <w:autoSpaceDE w:val="0"/>
              <w:autoSpaceDN w:val="0"/>
              <w:spacing w:line="276" w:lineRule="auto"/>
              <w:ind w:left="450"/>
            </w:pPr>
            <w:r w:rsidRPr="007743FF">
              <w:t>2.552</w:t>
            </w:r>
          </w:p>
        </w:tc>
        <w:tc>
          <w:tcPr>
            <w:tcW w:w="544" w:type="pct"/>
            <w:tcBorders>
              <w:top w:val="nil"/>
              <w:bottom w:val="nil"/>
              <w:right w:val="single" w:sz="16" w:space="0" w:color="000000"/>
            </w:tcBorders>
            <w:shd w:val="clear" w:color="auto" w:fill="FFFFFF"/>
          </w:tcPr>
          <w:p w:rsidR="00651CE1" w:rsidRPr="007743FF" w:rsidRDefault="00651CE1" w:rsidP="00712DDE">
            <w:pPr>
              <w:autoSpaceDE w:val="0"/>
              <w:autoSpaceDN w:val="0"/>
              <w:spacing w:line="276" w:lineRule="auto"/>
              <w:ind w:left="450"/>
            </w:pPr>
            <w:r w:rsidRPr="007743FF">
              <w:t>.013</w:t>
            </w:r>
          </w:p>
        </w:tc>
      </w:tr>
      <w:tr w:rsidR="00651CE1" w:rsidRPr="007743FF" w:rsidTr="00D52421">
        <w:trPr>
          <w:cantSplit/>
        </w:trPr>
        <w:tc>
          <w:tcPr>
            <w:tcW w:w="85" w:type="pct"/>
            <w:vMerge/>
            <w:tcBorders>
              <w:top w:val="nil"/>
              <w:left w:val="single" w:sz="16" w:space="0" w:color="000000"/>
              <w:bottom w:val="single" w:sz="4" w:space="0" w:color="auto"/>
              <w:right w:val="nil"/>
            </w:tcBorders>
            <w:shd w:val="clear" w:color="auto" w:fill="FFFFFF"/>
            <w:vAlign w:val="center"/>
          </w:tcPr>
          <w:p w:rsidR="00651CE1" w:rsidRPr="007743FF" w:rsidRDefault="00651CE1" w:rsidP="003767AC">
            <w:pPr>
              <w:autoSpaceDE w:val="0"/>
              <w:autoSpaceDN w:val="0"/>
              <w:spacing w:line="276" w:lineRule="auto"/>
              <w:ind w:left="450" w:hanging="450"/>
            </w:pPr>
          </w:p>
        </w:tc>
        <w:tc>
          <w:tcPr>
            <w:tcW w:w="1694" w:type="pct"/>
            <w:tcBorders>
              <w:top w:val="nil"/>
              <w:left w:val="nil"/>
              <w:bottom w:val="single" w:sz="4" w:space="0" w:color="auto"/>
              <w:right w:val="single" w:sz="16" w:space="0" w:color="000000"/>
            </w:tcBorders>
            <w:shd w:val="clear" w:color="auto" w:fill="FFFFFF"/>
            <w:vAlign w:val="center"/>
          </w:tcPr>
          <w:p w:rsidR="00651CE1" w:rsidRPr="007743FF" w:rsidRDefault="00651CE1" w:rsidP="00D52421">
            <w:pPr>
              <w:autoSpaceDE w:val="0"/>
              <w:autoSpaceDN w:val="0"/>
              <w:spacing w:line="276" w:lineRule="auto"/>
              <w:ind w:left="450" w:hanging="450"/>
            </w:pPr>
            <w:r w:rsidRPr="007743FF">
              <w:t>Absorption Capacity</w:t>
            </w:r>
          </w:p>
        </w:tc>
        <w:tc>
          <w:tcPr>
            <w:tcW w:w="389" w:type="pct"/>
            <w:tcBorders>
              <w:top w:val="nil"/>
              <w:left w:val="single" w:sz="16" w:space="0" w:color="000000"/>
              <w:bottom w:val="single" w:sz="4" w:space="0" w:color="auto"/>
            </w:tcBorders>
            <w:shd w:val="clear" w:color="auto" w:fill="FFFFFF"/>
          </w:tcPr>
          <w:p w:rsidR="00651CE1" w:rsidRPr="007743FF" w:rsidRDefault="00651CE1" w:rsidP="003767AC">
            <w:pPr>
              <w:autoSpaceDE w:val="0"/>
              <w:autoSpaceDN w:val="0"/>
              <w:spacing w:line="276" w:lineRule="auto"/>
              <w:ind w:left="450" w:hanging="450"/>
            </w:pPr>
            <w:r w:rsidRPr="007743FF">
              <w:t>-.083</w:t>
            </w:r>
          </w:p>
        </w:tc>
        <w:tc>
          <w:tcPr>
            <w:tcW w:w="610" w:type="pct"/>
            <w:tcBorders>
              <w:top w:val="nil"/>
              <w:bottom w:val="single" w:sz="4" w:space="0" w:color="auto"/>
            </w:tcBorders>
            <w:shd w:val="clear" w:color="auto" w:fill="FFFFFF"/>
          </w:tcPr>
          <w:p w:rsidR="00651CE1" w:rsidRPr="007743FF" w:rsidRDefault="00651CE1" w:rsidP="003767AC">
            <w:pPr>
              <w:autoSpaceDE w:val="0"/>
              <w:autoSpaceDN w:val="0"/>
              <w:spacing w:line="276" w:lineRule="auto"/>
              <w:ind w:left="450" w:hanging="450"/>
            </w:pPr>
            <w:r w:rsidRPr="007743FF">
              <w:t>.115</w:t>
            </w:r>
          </w:p>
        </w:tc>
        <w:tc>
          <w:tcPr>
            <w:tcW w:w="1068" w:type="pct"/>
            <w:tcBorders>
              <w:top w:val="nil"/>
              <w:bottom w:val="single" w:sz="4" w:space="0" w:color="auto"/>
            </w:tcBorders>
            <w:shd w:val="clear" w:color="auto" w:fill="FFFFFF"/>
          </w:tcPr>
          <w:p w:rsidR="00651CE1" w:rsidRPr="007743FF" w:rsidRDefault="00651CE1" w:rsidP="00712DDE">
            <w:pPr>
              <w:autoSpaceDE w:val="0"/>
              <w:autoSpaceDN w:val="0"/>
              <w:spacing w:line="276" w:lineRule="auto"/>
              <w:ind w:left="450"/>
            </w:pPr>
            <w:r w:rsidRPr="007743FF">
              <w:t>-.082</w:t>
            </w:r>
          </w:p>
        </w:tc>
        <w:tc>
          <w:tcPr>
            <w:tcW w:w="610" w:type="pct"/>
            <w:tcBorders>
              <w:top w:val="nil"/>
              <w:bottom w:val="single" w:sz="4" w:space="0" w:color="auto"/>
            </w:tcBorders>
            <w:shd w:val="clear" w:color="auto" w:fill="FFFFFF"/>
          </w:tcPr>
          <w:p w:rsidR="00651CE1" w:rsidRPr="007743FF" w:rsidRDefault="00651CE1" w:rsidP="00712DDE">
            <w:pPr>
              <w:autoSpaceDE w:val="0"/>
              <w:autoSpaceDN w:val="0"/>
              <w:spacing w:line="276" w:lineRule="auto"/>
              <w:ind w:left="450"/>
            </w:pPr>
            <w:r w:rsidRPr="007743FF">
              <w:t>-.722</w:t>
            </w:r>
          </w:p>
        </w:tc>
        <w:tc>
          <w:tcPr>
            <w:tcW w:w="544" w:type="pct"/>
            <w:tcBorders>
              <w:top w:val="nil"/>
              <w:bottom w:val="single" w:sz="4" w:space="0" w:color="auto"/>
              <w:right w:val="single" w:sz="16" w:space="0" w:color="000000"/>
            </w:tcBorders>
            <w:shd w:val="clear" w:color="auto" w:fill="FFFFFF"/>
          </w:tcPr>
          <w:p w:rsidR="00651CE1" w:rsidRPr="007743FF" w:rsidRDefault="00651CE1" w:rsidP="00712DDE">
            <w:pPr>
              <w:autoSpaceDE w:val="0"/>
              <w:autoSpaceDN w:val="0"/>
              <w:spacing w:line="276" w:lineRule="auto"/>
              <w:ind w:left="450"/>
            </w:pPr>
            <w:r w:rsidRPr="007743FF">
              <w:t>.473</w:t>
            </w:r>
          </w:p>
        </w:tc>
      </w:tr>
      <w:tr w:rsidR="00651CE1" w:rsidRPr="007743FF" w:rsidTr="00D5242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651CE1" w:rsidRPr="007743FF" w:rsidRDefault="00651CE1" w:rsidP="00712DDE">
            <w:pPr>
              <w:autoSpaceDE w:val="0"/>
              <w:autoSpaceDN w:val="0"/>
              <w:spacing w:line="276" w:lineRule="auto"/>
              <w:ind w:left="450"/>
            </w:pPr>
            <w:r w:rsidRPr="007743FF">
              <w:t>a. Dependent Variable: Manufacturing Performance</w:t>
            </w:r>
          </w:p>
        </w:tc>
      </w:tr>
    </w:tbl>
    <w:p w:rsidR="00651CE1" w:rsidRPr="007743FF" w:rsidRDefault="00651CE1" w:rsidP="00712DDE">
      <w:pPr>
        <w:spacing w:line="480" w:lineRule="auto"/>
        <w:ind w:left="450"/>
        <w:rPr>
          <w:bCs/>
        </w:rPr>
      </w:pPr>
      <w:r w:rsidRPr="007743FF">
        <w:rPr>
          <w:bCs/>
        </w:rPr>
        <w:t>Source: Field Data (2019)</w:t>
      </w:r>
    </w:p>
    <w:p w:rsidR="005B1162" w:rsidRPr="008E4678" w:rsidRDefault="00476D64" w:rsidP="008E4678">
      <w:pPr>
        <w:spacing w:line="360" w:lineRule="auto"/>
        <w:rPr>
          <w:b/>
          <w:sz w:val="26"/>
          <w:szCs w:val="26"/>
        </w:rPr>
      </w:pPr>
      <w:r w:rsidRPr="008E4678">
        <w:rPr>
          <w:b/>
          <w:sz w:val="26"/>
          <w:szCs w:val="26"/>
        </w:rPr>
        <w:t>5</w:t>
      </w:r>
      <w:r w:rsidR="00DE49C5" w:rsidRPr="008E4678">
        <w:rPr>
          <w:b/>
          <w:sz w:val="26"/>
          <w:szCs w:val="26"/>
        </w:rPr>
        <w:t>.</w:t>
      </w:r>
      <w:r w:rsidRPr="008E4678">
        <w:rPr>
          <w:b/>
          <w:sz w:val="26"/>
          <w:szCs w:val="26"/>
        </w:rPr>
        <w:t>4</w:t>
      </w:r>
      <w:r w:rsidR="00DE49C5" w:rsidRPr="008E4678">
        <w:rPr>
          <w:b/>
          <w:sz w:val="26"/>
          <w:szCs w:val="26"/>
        </w:rPr>
        <w:t xml:space="preserve"> Discussion of results </w:t>
      </w:r>
    </w:p>
    <w:p w:rsidR="008E4678" w:rsidRDefault="002A6C2E" w:rsidP="008E4678">
      <w:pPr>
        <w:pStyle w:val="Heading3"/>
        <w:rPr>
          <w:sz w:val="26"/>
          <w:szCs w:val="26"/>
        </w:rPr>
      </w:pPr>
      <w:bookmarkStart w:id="55" w:name="_Toc53409168"/>
      <w:bookmarkStart w:id="56" w:name="_Toc57962408"/>
      <w:r w:rsidRPr="008E4678">
        <w:rPr>
          <w:sz w:val="26"/>
          <w:szCs w:val="26"/>
        </w:rPr>
        <w:t>5.</w:t>
      </w:r>
      <w:r w:rsidR="00651CE1" w:rsidRPr="008E4678">
        <w:rPr>
          <w:sz w:val="26"/>
          <w:szCs w:val="26"/>
        </w:rPr>
        <w:t>4.</w:t>
      </w:r>
      <w:r w:rsidRPr="008E4678">
        <w:rPr>
          <w:sz w:val="26"/>
          <w:szCs w:val="26"/>
        </w:rPr>
        <w:t>1</w:t>
      </w:r>
      <w:r w:rsidR="00651CE1" w:rsidRPr="008E4678">
        <w:rPr>
          <w:sz w:val="26"/>
          <w:szCs w:val="26"/>
        </w:rPr>
        <w:t xml:space="preserve"> FDI, Absorptive Capacity and Performance of Manufacturing </w:t>
      </w:r>
    </w:p>
    <w:p w:rsidR="00651CE1" w:rsidRPr="008E4678" w:rsidRDefault="008E4678" w:rsidP="008E4678">
      <w:pPr>
        <w:pStyle w:val="Heading3"/>
        <w:rPr>
          <w:sz w:val="26"/>
          <w:szCs w:val="26"/>
        </w:rPr>
      </w:pPr>
      <w:r>
        <w:rPr>
          <w:sz w:val="26"/>
          <w:szCs w:val="26"/>
        </w:rPr>
        <w:t xml:space="preserve">    </w:t>
      </w:r>
      <w:r w:rsidR="00651CE1" w:rsidRPr="008E4678">
        <w:rPr>
          <w:sz w:val="26"/>
          <w:szCs w:val="26"/>
        </w:rPr>
        <w:t>Firms</w:t>
      </w:r>
      <w:bookmarkEnd w:id="55"/>
      <w:bookmarkEnd w:id="56"/>
      <w:r w:rsidR="00651CE1" w:rsidRPr="008E4678">
        <w:rPr>
          <w:sz w:val="26"/>
          <w:szCs w:val="26"/>
        </w:rPr>
        <w:t xml:space="preserve"> </w:t>
      </w:r>
    </w:p>
    <w:p w:rsidR="00651CE1" w:rsidRPr="008E4678" w:rsidRDefault="00651CE1" w:rsidP="00712DDE">
      <w:pPr>
        <w:spacing w:line="360" w:lineRule="auto"/>
        <w:ind w:left="450"/>
        <w:rPr>
          <w:sz w:val="16"/>
          <w:szCs w:val="16"/>
        </w:rPr>
      </w:pPr>
    </w:p>
    <w:p w:rsidR="00651CE1" w:rsidRDefault="00651CE1" w:rsidP="00D8454C">
      <w:pPr>
        <w:spacing w:line="360" w:lineRule="auto"/>
        <w:ind w:left="446"/>
      </w:pPr>
      <w:r>
        <w:t>A central proposition advanced in this study was that there are intervening forces that could potentially reinforce or inhibit the link between FDI and performance of companies. One of these forces was identified to be absorptive capacity. Against this backdrop, the second objective set out to explore whether or not there was any attestation that the intervening forces of absorptive capacity were operative in the relationship.</w:t>
      </w:r>
    </w:p>
    <w:p w:rsidR="00651CE1" w:rsidRPr="007743FF" w:rsidRDefault="00651CE1" w:rsidP="00D8454C">
      <w:pPr>
        <w:spacing w:line="360" w:lineRule="auto"/>
        <w:ind w:left="446"/>
        <w:rPr>
          <w:sz w:val="20"/>
        </w:rPr>
      </w:pPr>
    </w:p>
    <w:p w:rsidR="00651CE1" w:rsidRPr="006E3C4F" w:rsidRDefault="00651CE1" w:rsidP="00D8454C">
      <w:pPr>
        <w:spacing w:line="360" w:lineRule="auto"/>
        <w:ind w:left="446"/>
        <w:rPr>
          <w:color w:val="FF0000"/>
        </w:rPr>
      </w:pPr>
      <w:r w:rsidRPr="00126D44">
        <w:t xml:space="preserve">The findings for firm performance produced R²= 0.086, F =6.282, β=0.479 t=3.5, p &gt;.05. This implies that absorptive capacity had significant and positive </w:t>
      </w:r>
      <w:r w:rsidRPr="00126D44">
        <w:lastRenderedPageBreak/>
        <w:t>relationship with firm performance. Thus, organizations that want to improve their performance by appropriating the benefits of FDI can invest on their absorptive capacity factors by allocating resources to support acquisition, assimilation, exploitation and ensure transformation of ideas</w:t>
      </w:r>
      <w:r w:rsidRPr="006E3C4F">
        <w:rPr>
          <w:color w:val="FF0000"/>
        </w:rPr>
        <w:t>.</w:t>
      </w:r>
    </w:p>
    <w:p w:rsidR="00651CE1" w:rsidRPr="00551413" w:rsidRDefault="00651CE1" w:rsidP="00D8454C">
      <w:pPr>
        <w:spacing w:line="360" w:lineRule="auto"/>
        <w:ind w:left="446"/>
        <w:rPr>
          <w:sz w:val="16"/>
          <w:szCs w:val="16"/>
        </w:rPr>
      </w:pPr>
    </w:p>
    <w:p w:rsidR="00651CE1" w:rsidRDefault="00651CE1" w:rsidP="00D8454C">
      <w:pPr>
        <w:spacing w:line="360" w:lineRule="auto"/>
        <w:ind w:left="446"/>
      </w:pPr>
      <w:r w:rsidRPr="007743FF">
        <w:t xml:space="preserve">The findings of this study support Asuantri and Yasmin (2017) that established that absorptive capacity interaction with FDI inflows have significant effect on technological innovation and subsequent performance of the firm. The outcome of the current research </w:t>
      </w:r>
      <w:r>
        <w:t>is</w:t>
      </w:r>
      <w:r w:rsidRPr="007743FF">
        <w:t xml:space="preserve"> also consistent with the study of </w:t>
      </w:r>
      <w:r w:rsidRPr="007743FF">
        <w:rPr>
          <w:bCs/>
        </w:rPr>
        <w:t xml:space="preserve">Leman and Ismet (2015) which found that FDI inflows improves the level of innovation with upsurge in absorptive capacity in host economies. </w:t>
      </w:r>
      <w:r w:rsidRPr="007743FF">
        <w:t xml:space="preserve">The current findings is also consistent with Ricardo, Luisa and Simona (2015) which </w:t>
      </w:r>
      <w:r>
        <w:t xml:space="preserve">noted that FDI influenced the outcomes </w:t>
      </w:r>
      <w:r w:rsidRPr="007743FF">
        <w:t>of domestic</w:t>
      </w:r>
      <w:r>
        <w:t xml:space="preserve"> firms </w:t>
      </w:r>
      <w:r w:rsidRPr="007743FF">
        <w:t xml:space="preserve">positively and that that the capacity of domestic firms to absorb fresh knowledge was important condition for them to benefit from FDI. The findings also agree with Pedro, Jorge and Jose (2014) whose study on the </w:t>
      </w:r>
      <w:r>
        <w:t>implications</w:t>
      </w:r>
      <w:r w:rsidRPr="007743FF">
        <w:t xml:space="preserve"> of foreign capital on Spanish</w:t>
      </w:r>
      <w:r w:rsidR="00817D88">
        <w:t xml:space="preserve"> </w:t>
      </w:r>
      <w:r w:rsidRPr="007743FF">
        <w:t>manufacturing firms and established that FDI had positive spillovers on domestic</w:t>
      </w:r>
      <w:r>
        <w:t xml:space="preserve"> </w:t>
      </w:r>
      <w:r w:rsidRPr="007743FF">
        <w:t xml:space="preserve">organizations and they attributed this to the absorptive capacity and foreign capital were large enough, they promoted technical progress. </w:t>
      </w:r>
    </w:p>
    <w:p w:rsidR="00BE01E7" w:rsidRPr="007743FF" w:rsidRDefault="00BE01E7" w:rsidP="00D8454C">
      <w:pPr>
        <w:spacing w:line="360" w:lineRule="auto"/>
        <w:ind w:left="446"/>
        <w:rPr>
          <w:sz w:val="20"/>
        </w:rPr>
      </w:pPr>
    </w:p>
    <w:p w:rsidR="00651CE1" w:rsidRDefault="00651CE1" w:rsidP="00D8454C">
      <w:pPr>
        <w:spacing w:line="360" w:lineRule="auto"/>
        <w:ind w:left="446"/>
      </w:pPr>
      <w:r>
        <w:t>This study adds to the expanding body of literature linking absorptive capability of</w:t>
      </w:r>
      <w:r w:rsidR="00817D88">
        <w:t xml:space="preserve"> </w:t>
      </w:r>
      <w:r>
        <w:t>companies and their performance</w:t>
      </w:r>
      <w:r w:rsidRPr="007743FF">
        <w:t>. The dynamic capability theory emphasized the</w:t>
      </w:r>
      <w:r w:rsidR="00817D88">
        <w:t xml:space="preserve"> </w:t>
      </w:r>
      <w:r w:rsidRPr="007743FF">
        <w:t xml:space="preserve">organization’s ability to organize resources, change them as situations require, and adapt to new environments. The findings of this study further support Blalock and Gertler (2004) who </w:t>
      </w:r>
      <w:r>
        <w:t xml:space="preserve">verified that companies that possess a highly qualified set of employees benefit significantly more in their interaction with foreign companies. </w:t>
      </w:r>
      <w:r w:rsidRPr="007743FF">
        <w:t xml:space="preserve">The study also agrees with </w:t>
      </w:r>
      <w:r w:rsidRPr="00507758">
        <w:t>Hamida and Piscitello</w:t>
      </w:r>
      <w:r>
        <w:t xml:space="preserve"> </w:t>
      </w:r>
      <w:r w:rsidRPr="007743FF">
        <w:t>(20</w:t>
      </w:r>
      <w:r>
        <w:t>13</w:t>
      </w:r>
      <w:r w:rsidRPr="007743FF">
        <w:t xml:space="preserve">); Anwar and Nguyen (2010) study of the Swiss and Vietnam manufacturing respectively </w:t>
      </w:r>
      <w:r>
        <w:t xml:space="preserve">who noted that companies that demonstrate high-level absorptive capability are more set to benefit from the spill overs emanating </w:t>
      </w:r>
      <w:r>
        <w:lastRenderedPageBreak/>
        <w:t>from FDI activities.</w:t>
      </w:r>
    </w:p>
    <w:p w:rsidR="008E4678" w:rsidRPr="008E4678" w:rsidRDefault="008E4678" w:rsidP="00D8454C">
      <w:pPr>
        <w:spacing w:line="360" w:lineRule="auto"/>
        <w:ind w:left="446"/>
        <w:rPr>
          <w:sz w:val="20"/>
        </w:rPr>
      </w:pPr>
    </w:p>
    <w:p w:rsidR="00EB3EAB" w:rsidRPr="008E4678" w:rsidRDefault="00476D64" w:rsidP="00D52421">
      <w:pPr>
        <w:pStyle w:val="HeadingNumbering1"/>
        <w:numPr>
          <w:ilvl w:val="0"/>
          <w:numId w:val="0"/>
        </w:numPr>
        <w:spacing w:line="360" w:lineRule="auto"/>
        <w:jc w:val="left"/>
        <w:rPr>
          <w:sz w:val="26"/>
          <w:szCs w:val="26"/>
        </w:rPr>
      </w:pPr>
      <w:r w:rsidRPr="008E4678">
        <w:rPr>
          <w:sz w:val="26"/>
          <w:szCs w:val="26"/>
        </w:rPr>
        <w:t>6</w:t>
      </w:r>
      <w:r w:rsidR="00CA5B2F" w:rsidRPr="008E4678">
        <w:rPr>
          <w:sz w:val="26"/>
          <w:szCs w:val="26"/>
        </w:rPr>
        <w:t>.</w:t>
      </w:r>
      <w:r w:rsidR="00D52421" w:rsidRPr="008E4678">
        <w:rPr>
          <w:sz w:val="26"/>
          <w:szCs w:val="26"/>
        </w:rPr>
        <w:t>0</w:t>
      </w:r>
      <w:r w:rsidR="00CA5B2F" w:rsidRPr="008E4678">
        <w:rPr>
          <w:sz w:val="26"/>
          <w:szCs w:val="26"/>
        </w:rPr>
        <w:t xml:space="preserve"> </w:t>
      </w:r>
      <w:r w:rsidR="00EB3EAB" w:rsidRPr="008E4678">
        <w:rPr>
          <w:sz w:val="26"/>
          <w:szCs w:val="26"/>
        </w:rPr>
        <w:t>Conclusion</w:t>
      </w:r>
    </w:p>
    <w:p w:rsidR="00AF1F31" w:rsidRDefault="00AF1F31" w:rsidP="00D8454C">
      <w:pPr>
        <w:spacing w:line="360" w:lineRule="auto"/>
        <w:ind w:left="446"/>
      </w:pPr>
      <w:r>
        <w:t xml:space="preserve">The study purposed to </w:t>
      </w:r>
      <w:r w:rsidRPr="007743FF">
        <w:t>establish the mediating influence of absorptive capacity on the</w:t>
      </w:r>
      <w:r w:rsidR="005B0E3E">
        <w:t xml:space="preserve"> </w:t>
      </w:r>
      <w:r w:rsidRPr="007743FF">
        <w:t>association between FDI</w:t>
      </w:r>
      <w:r>
        <w:t xml:space="preserve"> and </w:t>
      </w:r>
      <w:r w:rsidRPr="007743FF">
        <w:t xml:space="preserve">performance. Absorptive capacity was operationalized as constituting </w:t>
      </w:r>
      <w:r w:rsidRPr="007743FF">
        <w:rPr>
          <w:rFonts w:eastAsia="Calibri"/>
          <w:lang w:val="en-GB"/>
        </w:rPr>
        <w:t>acquisition, assimilation, transformation and exploitation</w:t>
      </w:r>
      <w:r w:rsidRPr="007743FF">
        <w:t xml:space="preserve">. The outcome provided satisfactory evidence to </w:t>
      </w:r>
      <w:r>
        <w:t xml:space="preserve">infer </w:t>
      </w:r>
      <w:r w:rsidRPr="007743FF">
        <w:t xml:space="preserve">that there is a </w:t>
      </w:r>
      <w:r>
        <w:t xml:space="preserve">link </w:t>
      </w:r>
      <w:r w:rsidRPr="007743FF">
        <w:t xml:space="preserve">between </w:t>
      </w:r>
      <w:r>
        <w:t xml:space="preserve">FDI </w:t>
      </w:r>
      <w:r w:rsidRPr="007743FF">
        <w:t xml:space="preserve">and performance, </w:t>
      </w:r>
      <w:r>
        <w:t xml:space="preserve">FDI </w:t>
      </w:r>
      <w:r w:rsidRPr="007743FF">
        <w:t xml:space="preserve">and absorptive capacity, absorptive capacity and performance and </w:t>
      </w:r>
      <w:r>
        <w:t>control</w:t>
      </w:r>
      <w:r w:rsidR="008909A9">
        <w:t xml:space="preserve">ling for the former, produced </w:t>
      </w:r>
      <w:r>
        <w:t xml:space="preserve">significant impacts on performance. On the grounds of these findings, </w:t>
      </w:r>
      <w:r w:rsidRPr="007743FF">
        <w:t>it can be concluded that</w:t>
      </w:r>
      <w:r>
        <w:t xml:space="preserve"> the intervening forces of</w:t>
      </w:r>
      <w:r w:rsidRPr="007743FF">
        <w:t xml:space="preserve"> absorptive capacity </w:t>
      </w:r>
      <w:r>
        <w:t xml:space="preserve">were present in the link between </w:t>
      </w:r>
      <w:r w:rsidRPr="007743FF">
        <w:t xml:space="preserve">FDI and performance.  </w:t>
      </w:r>
    </w:p>
    <w:p w:rsidR="005B0E3E" w:rsidRPr="008E4678" w:rsidRDefault="005B0E3E" w:rsidP="00D8454C">
      <w:pPr>
        <w:spacing w:line="360" w:lineRule="auto"/>
        <w:ind w:left="446"/>
        <w:rPr>
          <w:sz w:val="20"/>
        </w:rPr>
      </w:pPr>
    </w:p>
    <w:p w:rsidR="005B0E3E" w:rsidRDefault="005B0E3E" w:rsidP="008E4678">
      <w:pPr>
        <w:spacing w:line="360" w:lineRule="auto"/>
        <w:ind w:left="446"/>
      </w:pPr>
      <w:r w:rsidRPr="00AE743C">
        <w:t>The study affirmed that Absorptive capacity intervenes the association between FDI and performance. The results imply that absorptive capacity is necessary if a firm is to fully tap the benefits of FDI and thus managers should invest in the absorptive capacity of their firms. Firms need strong dynamic capabilities to appropriate existing foreign firm’s resources into usable applications among the local firms. The management of local firms should improve their firm's abilities by promoti</w:t>
      </w:r>
      <w:r>
        <w:t xml:space="preserve">ng learning </w:t>
      </w:r>
      <w:r w:rsidRPr="00AE743C">
        <w:t>culture which in turn will support technology and knowledge transfer.</w:t>
      </w:r>
    </w:p>
    <w:p w:rsidR="00547DC2" w:rsidRPr="001169A2" w:rsidRDefault="00547DC2" w:rsidP="00D8454C">
      <w:pPr>
        <w:spacing w:line="360" w:lineRule="auto"/>
        <w:ind w:left="446"/>
        <w:rPr>
          <w:color w:val="FF0000"/>
          <w:sz w:val="20"/>
        </w:rPr>
      </w:pPr>
    </w:p>
    <w:p w:rsidR="00BA0183" w:rsidRPr="001169A2" w:rsidRDefault="0044732A" w:rsidP="00D8454C">
      <w:pPr>
        <w:spacing w:line="360" w:lineRule="auto"/>
        <w:ind w:left="446"/>
        <w:rPr>
          <w:color w:val="FF0000"/>
        </w:rPr>
      </w:pPr>
      <w:r w:rsidRPr="000B7141">
        <w:t xml:space="preserve">This study contributes to the growing body of literature on </w:t>
      </w:r>
      <w:r w:rsidR="00774C02" w:rsidRPr="000B7141">
        <w:t xml:space="preserve">the role of </w:t>
      </w:r>
      <w:r w:rsidR="000B7141" w:rsidRPr="000B7141">
        <w:t xml:space="preserve">absorptive capacity </w:t>
      </w:r>
      <w:r w:rsidR="00774C02" w:rsidRPr="000B7141">
        <w:t xml:space="preserve">in the relationship between </w:t>
      </w:r>
      <w:r w:rsidR="00BA23B1" w:rsidRPr="000B7141">
        <w:t>FDI</w:t>
      </w:r>
      <w:r w:rsidR="00774C02" w:rsidRPr="000B7141">
        <w:t xml:space="preserve"> and firm performance</w:t>
      </w:r>
      <w:r w:rsidRPr="000B7141">
        <w:t>. Kenyan and S</w:t>
      </w:r>
      <w:r w:rsidR="00BA23B1" w:rsidRPr="000B7141">
        <w:t>ub-</w:t>
      </w:r>
      <w:r w:rsidRPr="000B7141">
        <w:t>S</w:t>
      </w:r>
      <w:r w:rsidR="00BA23B1" w:rsidRPr="000B7141">
        <w:t xml:space="preserve">ahara </w:t>
      </w:r>
      <w:r w:rsidRPr="000B7141">
        <w:t>A</w:t>
      </w:r>
      <w:r w:rsidR="00BA23B1" w:rsidRPr="000B7141">
        <w:t xml:space="preserve">frica countries </w:t>
      </w:r>
      <w:r w:rsidRPr="000B7141">
        <w:t>p</w:t>
      </w:r>
      <w:r w:rsidR="00BA23B1" w:rsidRPr="000B7141">
        <w:t xml:space="preserve">olicy makers </w:t>
      </w:r>
      <w:r w:rsidRPr="000B7141">
        <w:t xml:space="preserve">are informed by the findings of this study that </w:t>
      </w:r>
      <w:r w:rsidR="000B7141" w:rsidRPr="000B7141">
        <w:t xml:space="preserve">absorptive capacity </w:t>
      </w:r>
      <w:r w:rsidR="000259E5" w:rsidRPr="000B7141">
        <w:t>is</w:t>
      </w:r>
      <w:r w:rsidRPr="000B7141">
        <w:t xml:space="preserve"> an important ingredient in</w:t>
      </w:r>
      <w:r w:rsidR="000259E5" w:rsidRPr="000B7141">
        <w:t xml:space="preserve"> enabling the spillovers from foreign to</w:t>
      </w:r>
      <w:r w:rsidRPr="000B7141">
        <w:t xml:space="preserve"> local firms. Therefore, there is a need to continue </w:t>
      </w:r>
      <w:r w:rsidR="000259E5" w:rsidRPr="000B7141">
        <w:t xml:space="preserve">improving the </w:t>
      </w:r>
      <w:r w:rsidR="000B7141">
        <w:t xml:space="preserve">firm’s absorptive capacity </w:t>
      </w:r>
      <w:r w:rsidR="000259E5" w:rsidRPr="000B7141">
        <w:t>to facilitate this spillover</w:t>
      </w:r>
      <w:r w:rsidRPr="000B7141">
        <w:t xml:space="preserve">. </w:t>
      </w:r>
    </w:p>
    <w:p w:rsidR="009B02F8" w:rsidRPr="001169A2" w:rsidRDefault="009B02F8" w:rsidP="00712DDE">
      <w:pPr>
        <w:spacing w:line="360" w:lineRule="auto"/>
        <w:ind w:left="450"/>
        <w:rPr>
          <w:color w:val="FF0000"/>
        </w:rPr>
      </w:pPr>
    </w:p>
    <w:p w:rsidR="0044732A" w:rsidRPr="008E4678" w:rsidRDefault="00BA23B1" w:rsidP="00712DDE">
      <w:pPr>
        <w:pStyle w:val="Heading3"/>
        <w:spacing w:line="360" w:lineRule="auto"/>
        <w:ind w:left="450"/>
        <w:rPr>
          <w:sz w:val="26"/>
          <w:szCs w:val="26"/>
        </w:rPr>
      </w:pPr>
      <w:r w:rsidRPr="008E4678">
        <w:rPr>
          <w:sz w:val="26"/>
          <w:szCs w:val="26"/>
        </w:rPr>
        <w:lastRenderedPageBreak/>
        <w:t xml:space="preserve">Acknowledgements. </w:t>
      </w:r>
    </w:p>
    <w:p w:rsidR="0044732A" w:rsidRPr="000B7141" w:rsidRDefault="0044732A" w:rsidP="00712DDE">
      <w:pPr>
        <w:pStyle w:val="Heading3"/>
        <w:spacing w:line="360" w:lineRule="auto"/>
        <w:ind w:left="450"/>
        <w:rPr>
          <w:b w:val="0"/>
          <w:szCs w:val="24"/>
        </w:rPr>
      </w:pPr>
      <w:r w:rsidRPr="000B7141">
        <w:rPr>
          <w:b w:val="0"/>
          <w:szCs w:val="24"/>
        </w:rPr>
        <w:t xml:space="preserve">We wish to profoundly acknowledge the organizations that made the access of data possible namely the Kenya Association of Manufacturer and Kenya Export Promotion Center. In this regard, a special mention goes and the many manufacturing firms that participated in the study. We thank you all! </w:t>
      </w:r>
    </w:p>
    <w:p w:rsidR="00EB3EAB" w:rsidRPr="001169A2" w:rsidRDefault="00EB3EAB" w:rsidP="00712DDE">
      <w:pPr>
        <w:ind w:left="450"/>
        <w:rPr>
          <w:color w:val="FF0000"/>
          <w:szCs w:val="24"/>
        </w:rPr>
      </w:pPr>
    </w:p>
    <w:p w:rsidR="00476D64" w:rsidRDefault="00476D64">
      <w:pPr>
        <w:widowControl/>
        <w:adjustRightInd/>
        <w:jc w:val="left"/>
        <w:textAlignment w:val="auto"/>
        <w:rPr>
          <w:b/>
          <w:color w:val="000000"/>
          <w:sz w:val="30"/>
          <w:szCs w:val="30"/>
        </w:rPr>
      </w:pPr>
      <w:r>
        <w:br w:type="page"/>
      </w:r>
    </w:p>
    <w:p w:rsidR="00AC51AE" w:rsidRPr="008E4678" w:rsidRDefault="00AC51AE" w:rsidP="00AC51AE">
      <w:pPr>
        <w:pStyle w:val="Referencestitle0"/>
        <w:ind w:left="450"/>
        <w:rPr>
          <w:sz w:val="26"/>
          <w:szCs w:val="26"/>
        </w:rPr>
      </w:pPr>
      <w:r w:rsidRPr="008E4678">
        <w:rPr>
          <w:sz w:val="26"/>
          <w:szCs w:val="26"/>
        </w:rPr>
        <w:lastRenderedPageBreak/>
        <w:t>References</w:t>
      </w:r>
    </w:p>
    <w:p w:rsidR="00AC51AE" w:rsidRPr="00BA23B1" w:rsidRDefault="00AC51AE" w:rsidP="00006F69">
      <w:pPr>
        <w:pStyle w:val="Referencestitle0"/>
        <w:spacing w:line="240" w:lineRule="auto"/>
        <w:ind w:left="446"/>
        <w:rPr>
          <w:sz w:val="16"/>
          <w:szCs w:val="16"/>
        </w:rPr>
      </w:pPr>
    </w:p>
    <w:p w:rsidR="00194821" w:rsidRPr="00D973C3" w:rsidRDefault="00194821" w:rsidP="001C2F45">
      <w:pPr>
        <w:ind w:left="450"/>
        <w:rPr>
          <w:bCs/>
        </w:rPr>
      </w:pPr>
      <w:r w:rsidRPr="00D973C3">
        <w:t>Allais, S. (2012). Will skill save us? Rethinking the relationships between vocational education, skills development policies, and social policy in South Africa,</w:t>
      </w:r>
      <w:r w:rsidR="001C2F45">
        <w:t xml:space="preserve"> </w:t>
      </w:r>
      <w:r w:rsidRPr="00D973C3">
        <w:rPr>
          <w:i/>
        </w:rPr>
        <w:t>International Journal of Education Development</w:t>
      </w:r>
      <w:r w:rsidRPr="00D973C3">
        <w:t xml:space="preserve">, </w:t>
      </w:r>
      <w:r w:rsidRPr="00D973C3">
        <w:rPr>
          <w:i/>
        </w:rPr>
        <w:t>32(5)</w:t>
      </w:r>
      <w:r w:rsidRPr="00D973C3">
        <w:t>, 632-642.</w:t>
      </w:r>
    </w:p>
    <w:p w:rsidR="00194821" w:rsidRPr="00006F69" w:rsidRDefault="00194821" w:rsidP="00B44A39">
      <w:pPr>
        <w:ind w:left="720" w:hanging="270"/>
        <w:rPr>
          <w:bCs/>
          <w:sz w:val="20"/>
        </w:rPr>
      </w:pPr>
    </w:p>
    <w:p w:rsidR="001C2F45" w:rsidRDefault="00667A6E" w:rsidP="001C2F45">
      <w:pPr>
        <w:ind w:left="720" w:hanging="270"/>
      </w:pPr>
      <w:r w:rsidRPr="00D973C3">
        <w:rPr>
          <w:bCs/>
        </w:rPr>
        <w:t xml:space="preserve">Andrea, H., and Carlos, H. G. (2015). </w:t>
      </w:r>
      <w:r w:rsidRPr="00D973C3">
        <w:t>Measurement of knowledge absorptive</w:t>
      </w:r>
    </w:p>
    <w:p w:rsidR="001C2F45" w:rsidRDefault="00667A6E" w:rsidP="001C2F45">
      <w:pPr>
        <w:ind w:left="720" w:hanging="270"/>
      </w:pPr>
      <w:r w:rsidRPr="00D973C3">
        <w:t xml:space="preserve">capacity: An estimated indicator for the manufacturing and service sector in </w:t>
      </w:r>
    </w:p>
    <w:p w:rsidR="001C2F45" w:rsidRDefault="00667A6E" w:rsidP="001C2F45">
      <w:pPr>
        <w:ind w:left="720" w:hanging="270"/>
      </w:pPr>
      <w:r w:rsidRPr="00D973C3">
        <w:t xml:space="preserve">Colombia, </w:t>
      </w:r>
      <w:r w:rsidRPr="00D973C3">
        <w:rPr>
          <w:i/>
        </w:rPr>
        <w:t>Revista Journal of Globalization, Competitiveness &amp; Governability</w:t>
      </w:r>
      <w:r w:rsidRPr="00D973C3">
        <w:t xml:space="preserve">, </w:t>
      </w:r>
    </w:p>
    <w:p w:rsidR="00667A6E" w:rsidRPr="00D973C3" w:rsidRDefault="00667A6E" w:rsidP="001C2F45">
      <w:pPr>
        <w:ind w:left="720" w:hanging="270"/>
      </w:pPr>
      <w:r w:rsidRPr="00D973C3">
        <w:t>Georgetown University, 9 (2)</w:t>
      </w:r>
      <w:r>
        <w:t>,</w:t>
      </w:r>
      <w:r w:rsidRPr="00D973C3">
        <w:t xml:space="preserve"> 16-42.</w:t>
      </w:r>
    </w:p>
    <w:p w:rsidR="00B4553F" w:rsidRPr="00006F69" w:rsidRDefault="00006F69" w:rsidP="00B4553F">
      <w:pPr>
        <w:rPr>
          <w:sz w:val="20"/>
        </w:rPr>
      </w:pPr>
      <w:r>
        <w:tab/>
      </w:r>
    </w:p>
    <w:p w:rsidR="00B4553F" w:rsidRPr="00D973C3" w:rsidRDefault="00B4553F" w:rsidP="001C2F45">
      <w:pPr>
        <w:ind w:left="450"/>
      </w:pPr>
      <w:r w:rsidRPr="00D973C3">
        <w:t xml:space="preserve">Anwar, S and Nguyen, L. P., (2010) Foreign direct investment and economic growth in Vietnam, </w:t>
      </w:r>
      <w:r w:rsidRPr="00D973C3">
        <w:rPr>
          <w:i/>
        </w:rPr>
        <w:t>Asia Pacific Business Review</w:t>
      </w:r>
      <w:r w:rsidRPr="00D973C3">
        <w:t xml:space="preserve">, </w:t>
      </w:r>
      <w:r w:rsidRPr="00D973C3">
        <w:rPr>
          <w:i/>
        </w:rPr>
        <w:t>16</w:t>
      </w:r>
      <w:r>
        <w:rPr>
          <w:i/>
        </w:rPr>
        <w:t>(</w:t>
      </w:r>
      <w:r w:rsidRPr="00D973C3">
        <w:rPr>
          <w:i/>
        </w:rPr>
        <w:t>1-2</w:t>
      </w:r>
      <w:r>
        <w:rPr>
          <w:i/>
        </w:rPr>
        <w:t>)</w:t>
      </w:r>
      <w:r w:rsidRPr="00D973C3">
        <w:t>, 183-202.</w:t>
      </w:r>
    </w:p>
    <w:p w:rsidR="00B44A39" w:rsidRPr="00006F69" w:rsidRDefault="00B44A39" w:rsidP="00B44A39">
      <w:pPr>
        <w:ind w:left="720" w:hanging="270"/>
        <w:rPr>
          <w:sz w:val="20"/>
        </w:rPr>
      </w:pPr>
    </w:p>
    <w:p w:rsidR="00B44A39" w:rsidRDefault="00B44A39" w:rsidP="00B44A39">
      <w:pPr>
        <w:ind w:left="450"/>
        <w:rPr>
          <w:bCs/>
        </w:rPr>
      </w:pPr>
      <w:r w:rsidRPr="00D973C3">
        <w:t xml:space="preserve">Asuantri, M., and Yasmin, B. (2017). Foreign Direct Investment, absorptive capacity </w:t>
      </w:r>
      <w:r>
        <w:t>and</w:t>
      </w:r>
      <w:r w:rsidRPr="00D973C3">
        <w:t xml:space="preserve"> technological innovation: Empirical evidence in developing economies</w:t>
      </w:r>
      <w:r w:rsidRPr="00D973C3">
        <w:rPr>
          <w:i/>
        </w:rPr>
        <w:t>. Global conference on business &amp; economics research</w:t>
      </w:r>
      <w:r w:rsidRPr="00D973C3">
        <w:t xml:space="preserve">. Online </w:t>
      </w:r>
      <w:hyperlink r:id="rId14" w:history="1">
        <w:r w:rsidRPr="00D973C3">
          <w:rPr>
            <w:color w:val="0563C1"/>
            <w:u w:val="single"/>
          </w:rPr>
          <w:t>www.econ.upm.edu.my</w:t>
        </w:r>
      </w:hyperlink>
    </w:p>
    <w:p w:rsidR="00667A6E" w:rsidRPr="00006F69" w:rsidRDefault="00667A6E" w:rsidP="00D60232">
      <w:pPr>
        <w:autoSpaceDE w:val="0"/>
        <w:autoSpaceDN w:val="0"/>
        <w:ind w:left="450"/>
        <w:rPr>
          <w:sz w:val="20"/>
        </w:rPr>
      </w:pPr>
    </w:p>
    <w:p w:rsidR="00D60232" w:rsidRDefault="00D60232" w:rsidP="00D60232">
      <w:pPr>
        <w:autoSpaceDE w:val="0"/>
        <w:autoSpaceDN w:val="0"/>
        <w:ind w:left="450"/>
      </w:pPr>
      <w:r w:rsidRPr="00A86280">
        <w:t>Baron, R. M., and Kenny, D. A. (1986). The moderator-mediator variable distinction in social psychological research:</w:t>
      </w:r>
      <w:r>
        <w:t xml:space="preserve"> </w:t>
      </w:r>
      <w:r w:rsidRPr="00A86280">
        <w:t xml:space="preserve">Conceptual, strategic, and statistical considerations. </w:t>
      </w:r>
      <w:r w:rsidRPr="00A86280">
        <w:rPr>
          <w:i/>
          <w:iCs/>
        </w:rPr>
        <w:t>Journal of</w:t>
      </w:r>
      <w:r>
        <w:rPr>
          <w:i/>
          <w:iCs/>
        </w:rPr>
        <w:t xml:space="preserve"> </w:t>
      </w:r>
      <w:r w:rsidRPr="00A86280">
        <w:rPr>
          <w:i/>
          <w:iCs/>
        </w:rPr>
        <w:t>Personality and Social Psychology</w:t>
      </w:r>
      <w:r w:rsidRPr="00A86280">
        <w:t xml:space="preserve">, </w:t>
      </w:r>
      <w:r w:rsidRPr="0006659B">
        <w:rPr>
          <w:i/>
        </w:rPr>
        <w:t>51</w:t>
      </w:r>
      <w:r w:rsidRPr="00A86280">
        <w:t xml:space="preserve">, </w:t>
      </w:r>
      <w:r>
        <w:t xml:space="preserve">pg. </w:t>
      </w:r>
      <w:r w:rsidRPr="00A86280">
        <w:t>1173-1182.</w:t>
      </w:r>
    </w:p>
    <w:p w:rsidR="001C2F45" w:rsidRPr="00006F69" w:rsidRDefault="001C2F45" w:rsidP="00D60232">
      <w:pPr>
        <w:autoSpaceDE w:val="0"/>
        <w:autoSpaceDN w:val="0"/>
        <w:ind w:left="450"/>
        <w:rPr>
          <w:sz w:val="20"/>
        </w:rPr>
      </w:pPr>
    </w:p>
    <w:p w:rsidR="001C2F45" w:rsidRDefault="00493B5B" w:rsidP="001C2F45">
      <w:pPr>
        <w:ind w:left="720" w:hanging="270"/>
      </w:pPr>
      <w:r w:rsidRPr="00D973C3">
        <w:t xml:space="preserve">Barrios, S., and Strobl, E. (2002), Foreign direct investment and productivity </w:t>
      </w:r>
    </w:p>
    <w:p w:rsidR="001C2F45" w:rsidRDefault="00493B5B" w:rsidP="001C2F45">
      <w:pPr>
        <w:ind w:left="720" w:hanging="270"/>
      </w:pPr>
      <w:r w:rsidRPr="00D973C3">
        <w:t xml:space="preserve">spillovers: Evidence from the Spanish experience. </w:t>
      </w:r>
      <w:r w:rsidRPr="00E47BC4">
        <w:rPr>
          <w:i/>
          <w:iCs/>
        </w:rPr>
        <w:t>Weltwirtschaftliches Archiv</w:t>
      </w:r>
      <w:r w:rsidRPr="00E47BC4">
        <w:t xml:space="preserve"> </w:t>
      </w:r>
    </w:p>
    <w:p w:rsidR="00493B5B" w:rsidRPr="00E47BC4" w:rsidRDefault="00493B5B" w:rsidP="001C2F45">
      <w:pPr>
        <w:ind w:left="720" w:hanging="270"/>
      </w:pPr>
      <w:r w:rsidRPr="00E47BC4">
        <w:rPr>
          <w:b/>
          <w:bCs/>
        </w:rPr>
        <w:t xml:space="preserve">138, </w:t>
      </w:r>
      <w:r w:rsidRPr="00E47BC4">
        <w:t>459–481. https://doi.org/10.1007/BF02707949</w:t>
      </w:r>
    </w:p>
    <w:p w:rsidR="00B4553F" w:rsidRPr="00006F69" w:rsidRDefault="00B4553F" w:rsidP="00D60232">
      <w:pPr>
        <w:autoSpaceDE w:val="0"/>
        <w:autoSpaceDN w:val="0"/>
        <w:ind w:left="450"/>
        <w:rPr>
          <w:sz w:val="20"/>
        </w:rPr>
      </w:pPr>
    </w:p>
    <w:p w:rsidR="00B4553F" w:rsidRPr="00D973C3" w:rsidRDefault="008709F6" w:rsidP="001C2F45">
      <w:pPr>
        <w:ind w:left="450" w:right="-270" w:firstLine="30"/>
      </w:pPr>
      <w:hyperlink r:id="rId15" w:history="1">
        <w:r w:rsidR="00B4553F" w:rsidRPr="00D973C3">
          <w:rPr>
            <w:iCs/>
          </w:rPr>
          <w:t>Blalock</w:t>
        </w:r>
      </w:hyperlink>
      <w:r w:rsidR="00B4553F" w:rsidRPr="00D973C3">
        <w:rPr>
          <w:iCs/>
        </w:rPr>
        <w:t>,</w:t>
      </w:r>
      <w:r w:rsidR="00B4553F" w:rsidRPr="00D973C3">
        <w:t xml:space="preserve"> </w:t>
      </w:r>
      <w:r w:rsidR="00B4553F" w:rsidRPr="00D973C3">
        <w:rPr>
          <w:iCs/>
        </w:rPr>
        <w:t>G.</w:t>
      </w:r>
      <w:r w:rsidR="00B4553F" w:rsidRPr="00D973C3">
        <w:t xml:space="preserve"> and </w:t>
      </w:r>
      <w:r w:rsidR="00B4553F" w:rsidRPr="00D973C3">
        <w:rPr>
          <w:iCs/>
        </w:rPr>
        <w:t xml:space="preserve">Gertler, P.J., (2004), </w:t>
      </w:r>
      <w:r w:rsidR="00B4553F" w:rsidRPr="00D973C3">
        <w:rPr>
          <w:i/>
          <w:iCs/>
        </w:rPr>
        <w:t xml:space="preserve"> </w:t>
      </w:r>
      <w:r w:rsidR="00B4553F" w:rsidRPr="00D973C3">
        <w:t>Learning from exporting revisited in a less developed setting</w:t>
      </w:r>
      <w:r w:rsidR="00B4553F">
        <w:t xml:space="preserve">, </w:t>
      </w:r>
      <w:hyperlink r:id="rId16" w:history="1">
        <w:r w:rsidR="00B4553F" w:rsidRPr="00D973C3">
          <w:rPr>
            <w:i/>
            <w:iCs/>
          </w:rPr>
          <w:t>Journal of Development Economics</w:t>
        </w:r>
      </w:hyperlink>
      <w:r w:rsidR="00B4553F" w:rsidRPr="00D973C3">
        <w:t xml:space="preserve">, </w:t>
      </w:r>
      <w:r w:rsidR="00B4553F" w:rsidRPr="00D973C3">
        <w:rPr>
          <w:i/>
        </w:rPr>
        <w:t>vol. 75, issue 2</w:t>
      </w:r>
      <w:r w:rsidR="00B4553F" w:rsidRPr="00D973C3">
        <w:t xml:space="preserve">, 397-416 </w:t>
      </w:r>
    </w:p>
    <w:p w:rsidR="00194821" w:rsidRPr="00006F69" w:rsidRDefault="00006F69" w:rsidP="00194821">
      <w:pPr>
        <w:rPr>
          <w:sz w:val="20"/>
        </w:rPr>
      </w:pPr>
      <w:r>
        <w:tab/>
      </w:r>
    </w:p>
    <w:p w:rsidR="00194821" w:rsidRPr="00E06A9B" w:rsidRDefault="00194821" w:rsidP="001C2F45">
      <w:pPr>
        <w:ind w:left="450"/>
      </w:pPr>
      <w:r w:rsidRPr="00D973C3">
        <w:t xml:space="preserve">Bonga-Bonga, L. and Guma, N. (2017). Assessing the relationship between total factor productivity and foreign direct investment in an economy with a skills shortage:the case of South Africa Online </w:t>
      </w:r>
      <w:r w:rsidRPr="00E06A9B">
        <w:t xml:space="preserve">at </w:t>
      </w:r>
      <w:hyperlink r:id="rId17" w:history="1">
        <w:r w:rsidRPr="00A40682">
          <w:t>https://mpra.ub.uni-muenchen</w:t>
        </w:r>
      </w:hyperlink>
      <w:r w:rsidRPr="00E06A9B">
        <w:t>. de/83288/  MPRA Paper No. 83288.</w:t>
      </w:r>
    </w:p>
    <w:p w:rsidR="001263BA" w:rsidRPr="00006F69" w:rsidRDefault="00006F69" w:rsidP="001263BA">
      <w:pPr>
        <w:rPr>
          <w:sz w:val="20"/>
        </w:rPr>
      </w:pPr>
      <w:r>
        <w:tab/>
      </w:r>
    </w:p>
    <w:p w:rsidR="001C2F45" w:rsidRDefault="001263BA" w:rsidP="001C2F45">
      <w:pPr>
        <w:ind w:firstLine="450"/>
        <w:jc w:val="left"/>
      </w:pPr>
      <w:r w:rsidRPr="00D973C3">
        <w:t>Brooks, C. (2008). Univariatetime series modelling and forecasting.</w:t>
      </w:r>
    </w:p>
    <w:p w:rsidR="001263BA" w:rsidRDefault="001263BA" w:rsidP="001C2F45">
      <w:pPr>
        <w:ind w:firstLine="450"/>
        <w:jc w:val="left"/>
      </w:pPr>
      <w:r w:rsidRPr="00D973C3">
        <w:t>Introductory</w:t>
      </w:r>
      <w:r w:rsidR="001C2F45">
        <w:t xml:space="preserve"> </w:t>
      </w:r>
      <w:r w:rsidRPr="00D973C3">
        <w:t>Econometrics</w:t>
      </w:r>
      <w:r>
        <w:t xml:space="preserve"> </w:t>
      </w:r>
      <w:r w:rsidRPr="00D973C3">
        <w:t xml:space="preserve">for Finance. 2nd Ed. Cambridge University Press. </w:t>
      </w:r>
    </w:p>
    <w:p w:rsidR="001263BA" w:rsidRPr="00D973C3" w:rsidRDefault="001263BA" w:rsidP="001C2F45">
      <w:pPr>
        <w:jc w:val="left"/>
      </w:pPr>
      <w:r>
        <w:tab/>
      </w:r>
      <w:r w:rsidRPr="00D973C3">
        <w:t>Cambridge, Massachusetts.</w:t>
      </w:r>
    </w:p>
    <w:p w:rsidR="001263BA" w:rsidRPr="00006F69" w:rsidRDefault="001263BA" w:rsidP="00760CBF">
      <w:pPr>
        <w:autoSpaceDE w:val="0"/>
        <w:autoSpaceDN w:val="0"/>
        <w:ind w:left="450" w:right="40"/>
        <w:rPr>
          <w:sz w:val="20"/>
        </w:rPr>
      </w:pPr>
    </w:p>
    <w:p w:rsidR="00AC51AE" w:rsidRDefault="00AC51AE" w:rsidP="00760CBF">
      <w:pPr>
        <w:autoSpaceDE w:val="0"/>
        <w:autoSpaceDN w:val="0"/>
        <w:ind w:left="450" w:right="40"/>
      </w:pPr>
      <w:r w:rsidRPr="00D973C3">
        <w:t>Cabrita, R., and Bontis, N. (2008). Intellectual ca</w:t>
      </w:r>
      <w:r>
        <w:t xml:space="preserve">pital &amp; business performance in </w:t>
      </w:r>
      <w:r w:rsidRPr="00D973C3">
        <w:t xml:space="preserve">Portuguese banking industry. </w:t>
      </w:r>
      <w:r w:rsidRPr="00D973C3">
        <w:rPr>
          <w:i/>
          <w:iCs/>
        </w:rPr>
        <w:t>Inte</w:t>
      </w:r>
      <w:r>
        <w:rPr>
          <w:i/>
          <w:iCs/>
        </w:rPr>
        <w:t xml:space="preserve">rnational Journal of Technology </w:t>
      </w:r>
      <w:r w:rsidRPr="00D973C3">
        <w:rPr>
          <w:i/>
          <w:iCs/>
        </w:rPr>
        <w:t>Management</w:t>
      </w:r>
      <w:r w:rsidRPr="00D973C3">
        <w:t xml:space="preserve">, </w:t>
      </w:r>
      <w:r w:rsidRPr="00D973C3">
        <w:rPr>
          <w:i/>
        </w:rPr>
        <w:t>Vol</w:t>
      </w:r>
      <w:r w:rsidRPr="00D973C3">
        <w:t>.</w:t>
      </w:r>
      <w:r w:rsidRPr="00D973C3">
        <w:rPr>
          <w:i/>
        </w:rPr>
        <w:t>43</w:t>
      </w:r>
      <w:r w:rsidRPr="00D973C3">
        <w:t>, pp.212-237.</w:t>
      </w:r>
    </w:p>
    <w:p w:rsidR="00B4553F" w:rsidRPr="00006F69" w:rsidRDefault="00006F69" w:rsidP="00B4553F">
      <w:pPr>
        <w:autoSpaceDE w:val="0"/>
        <w:autoSpaceDN w:val="0"/>
        <w:ind w:left="720" w:right="-265" w:hanging="720"/>
        <w:rPr>
          <w:sz w:val="20"/>
        </w:rPr>
      </w:pPr>
      <w:r>
        <w:tab/>
      </w:r>
    </w:p>
    <w:p w:rsidR="00B4553F" w:rsidRPr="00D973C3" w:rsidRDefault="00B4553F" w:rsidP="001C2F45">
      <w:pPr>
        <w:autoSpaceDE w:val="0"/>
        <w:autoSpaceDN w:val="0"/>
        <w:ind w:left="450" w:right="-265"/>
      </w:pPr>
      <w:r w:rsidRPr="00D973C3">
        <w:t xml:space="preserve">Chang, S., Gong, Y., Way, S.A., and Jia, L., (2013). Flexibility-oriented HRM </w:t>
      </w:r>
      <w:r w:rsidRPr="00D973C3">
        <w:lastRenderedPageBreak/>
        <w:t xml:space="preserve">systems, absorptive capacity,and market responsiveness and firm innovativeness. </w:t>
      </w:r>
      <w:r w:rsidRPr="00D973C3">
        <w:rPr>
          <w:i/>
        </w:rPr>
        <w:t>Journal of Management</w:t>
      </w:r>
      <w:r w:rsidRPr="00D973C3">
        <w:t xml:space="preserve">, </w:t>
      </w:r>
      <w:r w:rsidRPr="00D973C3">
        <w:rPr>
          <w:i/>
        </w:rPr>
        <w:t>39(7),</w:t>
      </w:r>
      <w:r w:rsidRPr="00D973C3">
        <w:t xml:space="preserve"> pp.1924–1951.</w:t>
      </w:r>
    </w:p>
    <w:p w:rsidR="0033685C" w:rsidRPr="00006F69" w:rsidRDefault="00006F69" w:rsidP="0033685C">
      <w:pPr>
        <w:autoSpaceDE w:val="0"/>
        <w:autoSpaceDN w:val="0"/>
        <w:ind w:left="720" w:right="-265" w:hanging="720"/>
        <w:rPr>
          <w:sz w:val="20"/>
        </w:rPr>
      </w:pPr>
      <w:r>
        <w:tab/>
      </w:r>
    </w:p>
    <w:p w:rsidR="0033685C" w:rsidRPr="00D973C3" w:rsidRDefault="0033685C" w:rsidP="001C2F45">
      <w:pPr>
        <w:autoSpaceDE w:val="0"/>
        <w:autoSpaceDN w:val="0"/>
        <w:ind w:left="450" w:right="-265"/>
      </w:pPr>
      <w:r w:rsidRPr="00D973C3">
        <w:t>Codjoe, E. A., (2012). Foreign Direct Investment in Ghanaian Manufacturing: Exploring the Extent of Technology Transfer and Exporting Behaviour by FDI Firms. PhD Thesis, School of Oriental and African Studies (Unpublished PhD Thesis).</w:t>
      </w:r>
    </w:p>
    <w:p w:rsidR="00B44A39" w:rsidRPr="00006F69" w:rsidRDefault="00B44A39" w:rsidP="00667A6E">
      <w:pPr>
        <w:autoSpaceDE w:val="0"/>
        <w:autoSpaceDN w:val="0"/>
        <w:ind w:left="720" w:right="-265" w:hanging="270"/>
        <w:rPr>
          <w:sz w:val="20"/>
        </w:rPr>
      </w:pPr>
    </w:p>
    <w:p w:rsidR="00667A6E" w:rsidRDefault="00667A6E" w:rsidP="001C2F45">
      <w:pPr>
        <w:autoSpaceDE w:val="0"/>
        <w:autoSpaceDN w:val="0"/>
        <w:ind w:left="450" w:right="-265"/>
      </w:pPr>
      <w:r w:rsidRPr="00D973C3">
        <w:t>Cohen, W. M., and Levinthal, D. A. (1990). Absorp</w:t>
      </w:r>
      <w:r w:rsidR="00B44A39">
        <w:t xml:space="preserve">tive capacity: A new </w:t>
      </w:r>
      <w:r w:rsidRPr="00D973C3">
        <w:t xml:space="preserve">perspective on learning and innovation. </w:t>
      </w:r>
      <w:r w:rsidRPr="00D973C3">
        <w:rPr>
          <w:i/>
        </w:rPr>
        <w:t>Administrative science quarterly. Ithaca: Vol.35, Issue. 1</w:t>
      </w:r>
      <w:r w:rsidRPr="00D973C3">
        <w:t>.</w:t>
      </w:r>
    </w:p>
    <w:p w:rsidR="00493B5B" w:rsidRPr="00006F69" w:rsidRDefault="00493B5B" w:rsidP="00667A6E">
      <w:pPr>
        <w:autoSpaceDE w:val="0"/>
        <w:autoSpaceDN w:val="0"/>
        <w:ind w:left="720" w:right="-265" w:hanging="270"/>
        <w:rPr>
          <w:sz w:val="20"/>
        </w:rPr>
      </w:pPr>
    </w:p>
    <w:p w:rsidR="00493B5B" w:rsidRPr="00D973C3" w:rsidRDefault="00493B5B" w:rsidP="001C2F45">
      <w:pPr>
        <w:ind w:left="450"/>
      </w:pPr>
      <w:r w:rsidRPr="00D973C3">
        <w:t>Damgaard, J. (2011)</w:t>
      </w:r>
      <w:r>
        <w:t>,</w:t>
      </w:r>
      <w:r w:rsidRPr="00D973C3">
        <w:t xml:space="preserve"> </w:t>
      </w:r>
      <w:r w:rsidRPr="00D973C3">
        <w:rPr>
          <w:i/>
        </w:rPr>
        <w:t xml:space="preserve">Measuring FDI </w:t>
      </w:r>
      <w:r>
        <w:rPr>
          <w:i/>
        </w:rPr>
        <w:t>&amp;</w:t>
      </w:r>
      <w:r w:rsidRPr="00D973C3">
        <w:rPr>
          <w:i/>
        </w:rPr>
        <w:t xml:space="preserve"> </w:t>
      </w:r>
      <w:r>
        <w:rPr>
          <w:i/>
        </w:rPr>
        <w:t>i</w:t>
      </w:r>
      <w:r w:rsidRPr="00D973C3">
        <w:rPr>
          <w:i/>
        </w:rPr>
        <w:t>ts Impact on the Danish Economy</w:t>
      </w:r>
      <w:r w:rsidRPr="00D973C3">
        <w:t>;</w:t>
      </w:r>
      <w:r>
        <w:t xml:space="preserve"> </w:t>
      </w:r>
      <w:r w:rsidRPr="00142648">
        <w:rPr>
          <w:i/>
        </w:rPr>
        <w:t>unpublished PhD Thesis</w:t>
      </w:r>
      <w:r w:rsidRPr="00D973C3">
        <w:t>, University of Southern Denmark</w:t>
      </w:r>
      <w:r>
        <w:t>.</w:t>
      </w:r>
      <w:r w:rsidRPr="00D973C3">
        <w:t xml:space="preserve"> </w:t>
      </w:r>
    </w:p>
    <w:p w:rsidR="00194821" w:rsidRPr="00006F69" w:rsidRDefault="00006F69" w:rsidP="00194821">
      <w:pPr>
        <w:ind w:left="720" w:right="-265" w:hanging="720"/>
        <w:rPr>
          <w:bCs/>
          <w:sz w:val="20"/>
        </w:rPr>
      </w:pPr>
      <w:r>
        <w:rPr>
          <w:bCs/>
        </w:rPr>
        <w:tab/>
      </w:r>
    </w:p>
    <w:p w:rsidR="00194821" w:rsidRPr="00D973C3" w:rsidRDefault="00194821" w:rsidP="001C2F45">
      <w:pPr>
        <w:ind w:left="450" w:right="-265"/>
        <w:rPr>
          <w:bCs/>
        </w:rPr>
      </w:pPr>
      <w:r w:rsidRPr="00D973C3">
        <w:rPr>
          <w:bCs/>
        </w:rPr>
        <w:t>Görg, H., and Strobl, E. (2001). Multinational companies and productivity spillovers: A</w:t>
      </w:r>
      <w:r w:rsidR="001C2F45">
        <w:rPr>
          <w:bCs/>
        </w:rPr>
        <w:t xml:space="preserve"> </w:t>
      </w:r>
      <w:r w:rsidRPr="00D973C3">
        <w:rPr>
          <w:bCs/>
        </w:rPr>
        <w:t>meta-analysis</w:t>
      </w:r>
      <w:r w:rsidRPr="00D973C3">
        <w:rPr>
          <w:bCs/>
          <w:i/>
        </w:rPr>
        <w:t>. Economic Journal, 111(475),</w:t>
      </w:r>
      <w:r w:rsidRPr="00D973C3">
        <w:rPr>
          <w:bCs/>
        </w:rPr>
        <w:t xml:space="preserve"> pp.723–739.</w:t>
      </w:r>
    </w:p>
    <w:p w:rsidR="00754CE7" w:rsidRPr="00006F69" w:rsidRDefault="00754CE7" w:rsidP="00760CBF">
      <w:pPr>
        <w:autoSpaceDE w:val="0"/>
        <w:autoSpaceDN w:val="0"/>
        <w:ind w:left="450" w:right="40"/>
        <w:rPr>
          <w:sz w:val="20"/>
        </w:rPr>
      </w:pPr>
    </w:p>
    <w:p w:rsidR="00AC51AE" w:rsidRDefault="00AC51AE" w:rsidP="00AC51AE">
      <w:pPr>
        <w:autoSpaceDE w:val="0"/>
        <w:autoSpaceDN w:val="0"/>
        <w:ind w:left="450"/>
        <w:rPr>
          <w:lang w:val="x-none" w:eastAsia="x-none"/>
        </w:rPr>
      </w:pPr>
      <w:r w:rsidRPr="00D973C3">
        <w:rPr>
          <w:lang w:val="x-none" w:eastAsia="x-none"/>
        </w:rPr>
        <w:t xml:space="preserve">Hair, J. F., Anderson, R. E., Tatham, R. L., </w:t>
      </w:r>
      <w:r w:rsidRPr="00D973C3">
        <w:rPr>
          <w:lang w:eastAsia="x-none"/>
        </w:rPr>
        <w:t>and</w:t>
      </w:r>
      <w:r w:rsidRPr="00D973C3">
        <w:rPr>
          <w:lang w:val="x-none" w:eastAsia="x-none"/>
        </w:rPr>
        <w:t xml:space="preserve"> Black, W.C. (</w:t>
      </w:r>
      <w:r w:rsidRPr="00D973C3">
        <w:rPr>
          <w:lang w:eastAsia="x-none"/>
        </w:rPr>
        <w:t>200</w:t>
      </w:r>
      <w:r w:rsidRPr="00D973C3">
        <w:rPr>
          <w:lang w:val="x-none" w:eastAsia="x-none"/>
        </w:rPr>
        <w:t>8)</w:t>
      </w:r>
      <w:r w:rsidRPr="00D973C3">
        <w:rPr>
          <w:lang w:eastAsia="x-none"/>
        </w:rPr>
        <w:t xml:space="preserve">. </w:t>
      </w:r>
      <w:r w:rsidRPr="00D973C3">
        <w:rPr>
          <w:i/>
          <w:iCs/>
          <w:lang w:val="x-none" w:eastAsia="x-none"/>
        </w:rPr>
        <w:t xml:space="preserve">Multivariate data analysis, </w:t>
      </w:r>
      <w:r w:rsidRPr="00D973C3">
        <w:rPr>
          <w:lang w:val="x-none" w:eastAsia="x-none"/>
        </w:rPr>
        <w:t>5th Edition, Upper Sadddle River: NJ, Prentice Hall</w:t>
      </w:r>
    </w:p>
    <w:p w:rsidR="001C2F45" w:rsidRPr="00006F69" w:rsidRDefault="001C2F45" w:rsidP="001C2F45">
      <w:pPr>
        <w:ind w:left="720" w:hanging="810"/>
        <w:rPr>
          <w:sz w:val="20"/>
        </w:rPr>
      </w:pPr>
      <w:r>
        <w:t xml:space="preserve">     </w:t>
      </w:r>
    </w:p>
    <w:p w:rsidR="001C2F45" w:rsidRPr="00D973C3" w:rsidRDefault="001C2F45" w:rsidP="001C2F45">
      <w:pPr>
        <w:ind w:left="450"/>
      </w:pPr>
      <w:r w:rsidRPr="00D973C3">
        <w:t>Hamida, L.B., and Piscitello, L.</w:t>
      </w:r>
      <w:r>
        <w:t xml:space="preserve"> </w:t>
      </w:r>
      <w:r w:rsidRPr="00D973C3">
        <w:t>(2013). The impact of foreign Research and Development activities on the MNC’s performance at home: evidence from the case of Swiss manufacturing firms », retrieved from Revue d'économieindustrielle URL: http://journals.openedition.org/rei/5613.</w:t>
      </w:r>
    </w:p>
    <w:p w:rsidR="00B4553F" w:rsidRPr="00006F69" w:rsidRDefault="00B4553F" w:rsidP="00B4553F">
      <w:pPr>
        <w:autoSpaceDE w:val="0"/>
        <w:autoSpaceDN w:val="0"/>
        <w:ind w:left="922" w:right="-265" w:hanging="472"/>
        <w:rPr>
          <w:sz w:val="20"/>
        </w:rPr>
      </w:pPr>
    </w:p>
    <w:p w:rsidR="00B4553F" w:rsidRPr="00D973C3" w:rsidRDefault="00B4553F" w:rsidP="001C2F45">
      <w:pPr>
        <w:autoSpaceDE w:val="0"/>
        <w:autoSpaceDN w:val="0"/>
        <w:ind w:left="450" w:right="-265"/>
        <w:rPr>
          <w:highlight w:val="yellow"/>
        </w:rPr>
      </w:pPr>
      <w:r w:rsidRPr="00D973C3">
        <w:t xml:space="preserve">Ilboudo, P. S. (2014). "Foreign Direct Investment and Total Factor Productivity in the Mining Sector: The case of Chile" </w:t>
      </w:r>
      <w:r w:rsidRPr="00D973C3">
        <w:rPr>
          <w:i/>
          <w:iCs/>
        </w:rPr>
        <w:t xml:space="preserve">Economics Honors </w:t>
      </w:r>
      <w:r w:rsidRPr="00D973C3">
        <w:rPr>
          <w:iCs/>
        </w:rPr>
        <w:t>Papers</w:t>
      </w:r>
      <w:r w:rsidRPr="00D973C3">
        <w:t xml:space="preserve">. 18. </w:t>
      </w:r>
    </w:p>
    <w:p w:rsidR="007A11F8" w:rsidRPr="00006F69" w:rsidRDefault="00006F69" w:rsidP="007A11F8">
      <w:pPr>
        <w:autoSpaceDE w:val="0"/>
        <w:autoSpaceDN w:val="0"/>
        <w:ind w:left="922" w:right="-265" w:hanging="922"/>
        <w:rPr>
          <w:sz w:val="20"/>
        </w:rPr>
      </w:pPr>
      <w:r>
        <w:tab/>
      </w:r>
    </w:p>
    <w:p w:rsidR="007A11F8" w:rsidRPr="00D973C3" w:rsidRDefault="007A11F8" w:rsidP="00B4553F">
      <w:pPr>
        <w:autoSpaceDE w:val="0"/>
        <w:autoSpaceDN w:val="0"/>
        <w:ind w:left="922" w:right="-265" w:hanging="472"/>
      </w:pPr>
      <w:r w:rsidRPr="00D973C3">
        <w:t xml:space="preserve">Kenya National Bureau of Statistics, (2017). </w:t>
      </w:r>
      <w:r w:rsidRPr="00D973C3">
        <w:rPr>
          <w:i/>
        </w:rPr>
        <w:t>Economic survey report 2017</w:t>
      </w:r>
      <w:r w:rsidRPr="00D973C3">
        <w:t xml:space="preserve">. </w:t>
      </w:r>
    </w:p>
    <w:p w:rsidR="00667A6E" w:rsidRPr="00006F69" w:rsidRDefault="00006F69" w:rsidP="00667A6E">
      <w:pPr>
        <w:autoSpaceDE w:val="0"/>
        <w:autoSpaceDN w:val="0"/>
        <w:rPr>
          <w:sz w:val="20"/>
        </w:rPr>
      </w:pPr>
      <w:r>
        <w:tab/>
      </w:r>
    </w:p>
    <w:p w:rsidR="00667A6E" w:rsidRPr="00D973C3" w:rsidRDefault="00667A6E" w:rsidP="00B4553F">
      <w:pPr>
        <w:autoSpaceDE w:val="0"/>
        <w:autoSpaceDN w:val="0"/>
        <w:ind w:left="450"/>
      </w:pPr>
      <w:r w:rsidRPr="00D973C3">
        <w:t xml:space="preserve">Kneller, R. (2005). “Frontier Technology, Absorptive Capacity and Distance,” </w:t>
      </w:r>
      <w:r w:rsidRPr="00D973C3">
        <w:rPr>
          <w:i/>
        </w:rPr>
        <w:t>Oxford Bulletin of Economics and Statistics, vol. 67(1)</w:t>
      </w:r>
      <w:r w:rsidRPr="00D973C3">
        <w:t>, pp. 1-23.</w:t>
      </w:r>
    </w:p>
    <w:p w:rsidR="00AC51AE" w:rsidRPr="00006F69" w:rsidRDefault="00AC51AE" w:rsidP="00AC51AE">
      <w:pPr>
        <w:autoSpaceDE w:val="0"/>
        <w:autoSpaceDN w:val="0"/>
        <w:ind w:left="450"/>
        <w:rPr>
          <w:sz w:val="20"/>
        </w:rPr>
      </w:pPr>
    </w:p>
    <w:p w:rsidR="00F833EE" w:rsidRPr="00D973C3" w:rsidRDefault="00F833EE" w:rsidP="00F833EE">
      <w:pPr>
        <w:autoSpaceDE w:val="0"/>
        <w:autoSpaceDN w:val="0"/>
        <w:ind w:left="450" w:right="-265"/>
      </w:pPr>
      <w:r w:rsidRPr="00D973C3">
        <w:t>Kombo, D. K., &amp; Tromp, L. A. (2009). Proposal and thesis writing: An introduction.</w:t>
      </w:r>
      <w:r>
        <w:t xml:space="preserve"> </w:t>
      </w:r>
      <w:r w:rsidRPr="00D973C3">
        <w:t>Nairobi: Paulines publications Africa.</w:t>
      </w:r>
    </w:p>
    <w:p w:rsidR="00D60232" w:rsidRPr="00006F69" w:rsidRDefault="00D60232" w:rsidP="00AC51AE">
      <w:pPr>
        <w:autoSpaceDE w:val="0"/>
        <w:autoSpaceDN w:val="0"/>
        <w:ind w:left="450"/>
        <w:rPr>
          <w:sz w:val="20"/>
        </w:rPr>
      </w:pPr>
    </w:p>
    <w:p w:rsidR="00AC51AE" w:rsidRPr="000E2C54" w:rsidRDefault="00AC51AE" w:rsidP="00AC51AE">
      <w:pPr>
        <w:autoSpaceDE w:val="0"/>
        <w:autoSpaceDN w:val="0"/>
        <w:ind w:left="450"/>
      </w:pPr>
      <w:r w:rsidRPr="000E2C54">
        <w:t xml:space="preserve">Kothari, C. R. (2014). </w:t>
      </w:r>
      <w:r w:rsidRPr="000E2C54">
        <w:rPr>
          <w:i/>
          <w:iCs/>
        </w:rPr>
        <w:t xml:space="preserve">Research Methodology: Methods and Techniques. </w:t>
      </w:r>
      <w:r w:rsidRPr="000E2C54">
        <w:t xml:space="preserve">New Delhi, India: New Age International Publishers. Second revised edition </w:t>
      </w:r>
    </w:p>
    <w:p w:rsidR="00B4553F" w:rsidRPr="00006F69" w:rsidRDefault="00006F69" w:rsidP="00B44A39">
      <w:pPr>
        <w:ind w:left="720" w:hanging="720"/>
        <w:rPr>
          <w:iCs/>
          <w:sz w:val="20"/>
        </w:rPr>
      </w:pPr>
      <w:r>
        <w:rPr>
          <w:iCs/>
        </w:rPr>
        <w:tab/>
      </w:r>
    </w:p>
    <w:p w:rsidR="00B44A39" w:rsidRDefault="00B44A39" w:rsidP="001C2F45">
      <w:pPr>
        <w:ind w:left="450"/>
        <w:rPr>
          <w:iCs/>
        </w:rPr>
      </w:pPr>
      <w:r w:rsidRPr="00D973C3">
        <w:rPr>
          <w:iCs/>
        </w:rPr>
        <w:t>Lau, A., and Lo, W. (2015). Regional innovation system, absorptive capacity and innovation performance: An empirical study. Technological Forecasting and Social Change, 92, 99-114.</w:t>
      </w:r>
    </w:p>
    <w:p w:rsidR="001C2F45" w:rsidRPr="00006F69" w:rsidRDefault="001C2F45" w:rsidP="00B4553F">
      <w:pPr>
        <w:ind w:left="720" w:hanging="270"/>
        <w:rPr>
          <w:iCs/>
          <w:sz w:val="20"/>
        </w:rPr>
      </w:pPr>
    </w:p>
    <w:p w:rsidR="00667A6E" w:rsidRDefault="00667A6E" w:rsidP="00B4553F">
      <w:pPr>
        <w:autoSpaceDE w:val="0"/>
        <w:autoSpaceDN w:val="0"/>
        <w:ind w:left="720" w:right="-265" w:hanging="270"/>
      </w:pPr>
      <w:r w:rsidRPr="00D973C3">
        <w:t xml:space="preserve">Laursen, K., and Salter, A.J. (2014). The paradox of openness: Appropriability, </w:t>
      </w:r>
    </w:p>
    <w:p w:rsidR="00667A6E" w:rsidRPr="00D973C3" w:rsidRDefault="00667A6E" w:rsidP="00B4553F">
      <w:pPr>
        <w:autoSpaceDE w:val="0"/>
        <w:autoSpaceDN w:val="0"/>
        <w:ind w:left="720" w:right="-265" w:hanging="270"/>
        <w:rPr>
          <w:highlight w:val="yellow"/>
        </w:rPr>
      </w:pPr>
      <w:r w:rsidRPr="00D973C3">
        <w:t xml:space="preserve">external search and collaboration. </w:t>
      </w:r>
      <w:r w:rsidRPr="00D973C3">
        <w:rPr>
          <w:i/>
        </w:rPr>
        <w:t>Research Policy</w:t>
      </w:r>
      <w:r w:rsidRPr="00D973C3">
        <w:t xml:space="preserve">, </w:t>
      </w:r>
      <w:r w:rsidRPr="00D973C3">
        <w:rPr>
          <w:i/>
        </w:rPr>
        <w:t>43</w:t>
      </w:r>
      <w:r w:rsidRPr="00D973C3">
        <w:t>, pp.867 – 878.</w:t>
      </w:r>
    </w:p>
    <w:p w:rsidR="00AC51AE" w:rsidRPr="000E2C54" w:rsidRDefault="00AC51AE" w:rsidP="00AC51AE">
      <w:pPr>
        <w:ind w:left="450"/>
      </w:pPr>
      <w:r w:rsidRPr="000E2C54">
        <w:lastRenderedPageBreak/>
        <w:t xml:space="preserve">Leman, E., and Ismet, G., (2015). The Effects of Foreign Direct Investment on R&amp;D and Innovations: Panel Data Analysis for Developing Asian Countries. World Conference on Technology, Innovation and Entrepreneurship.  </w:t>
      </w:r>
      <w:r>
        <w:rPr>
          <w:i/>
        </w:rPr>
        <w:t>Procedia</w:t>
      </w:r>
      <w:r w:rsidRPr="000E2C54">
        <w:rPr>
          <w:i/>
        </w:rPr>
        <w:t>-</w:t>
      </w:r>
      <w:r>
        <w:rPr>
          <w:i/>
        </w:rPr>
        <w:t xml:space="preserve">Social and Behavioral Sciences </w:t>
      </w:r>
      <w:r w:rsidRPr="000E2C54">
        <w:rPr>
          <w:i/>
        </w:rPr>
        <w:t>195</w:t>
      </w:r>
      <w:r w:rsidRPr="000E2C54">
        <w:t>, pp.749</w:t>
      </w:r>
      <w:r>
        <w:t>-</w:t>
      </w:r>
      <w:r w:rsidRPr="000E2C54">
        <w:t xml:space="preserve">758. Online at </w:t>
      </w:r>
      <w:hyperlink r:id="rId18" w:history="1">
        <w:r w:rsidRPr="000E2C54">
          <w:rPr>
            <w:u w:val="single"/>
          </w:rPr>
          <w:t>www.sciencedirect.com</w:t>
        </w:r>
      </w:hyperlink>
    </w:p>
    <w:p w:rsidR="00AC51AE" w:rsidRPr="00006F69" w:rsidRDefault="00AC51AE" w:rsidP="00AC51AE">
      <w:pPr>
        <w:ind w:left="450" w:hanging="720"/>
        <w:rPr>
          <w:iCs/>
          <w:color w:val="FF0000"/>
          <w:sz w:val="20"/>
          <w:highlight w:val="yellow"/>
        </w:rPr>
      </w:pPr>
    </w:p>
    <w:p w:rsidR="00667A6E" w:rsidRPr="00D973C3" w:rsidRDefault="00667A6E" w:rsidP="001C2F45">
      <w:pPr>
        <w:ind w:left="450"/>
        <w:rPr>
          <w:highlight w:val="yellow"/>
        </w:rPr>
      </w:pPr>
      <w:r w:rsidRPr="00D973C3">
        <w:t xml:space="preserve">Lenart, R. (2014). Operationalization of Absorptive Capacity. </w:t>
      </w:r>
      <w:r w:rsidRPr="00D973C3">
        <w:rPr>
          <w:i/>
        </w:rPr>
        <w:t>International Journal of Contemporary Managemen</w:t>
      </w:r>
      <w:r w:rsidRPr="00D973C3">
        <w:t xml:space="preserve">t, </w:t>
      </w:r>
      <w:r w:rsidRPr="00D973C3">
        <w:rPr>
          <w:i/>
        </w:rPr>
        <w:t>1(3</w:t>
      </w:r>
      <w:r w:rsidRPr="00D973C3">
        <w:t xml:space="preserve">), 86–98 </w:t>
      </w:r>
    </w:p>
    <w:p w:rsidR="00667A6E" w:rsidRPr="00006F69" w:rsidRDefault="00667A6E" w:rsidP="00AC51AE">
      <w:pPr>
        <w:ind w:left="720" w:hanging="270"/>
        <w:rPr>
          <w:sz w:val="20"/>
        </w:rPr>
      </w:pPr>
    </w:p>
    <w:p w:rsidR="001263BA" w:rsidRPr="00D973C3" w:rsidRDefault="001263BA" w:rsidP="001C2F45">
      <w:pPr>
        <w:ind w:left="450"/>
        <w:rPr>
          <w:i/>
        </w:rPr>
      </w:pPr>
      <w:r w:rsidRPr="00D973C3">
        <w:t>McCabe, G. P., Moore, D. S.and Craig, B.A. (2014). Introduction to the practice of statistics. 8. ed. New York, NY: W.H. Freeman and Co.</w:t>
      </w:r>
    </w:p>
    <w:p w:rsidR="001C2F45" w:rsidRPr="00006F69" w:rsidRDefault="001C2F45" w:rsidP="001263BA">
      <w:pPr>
        <w:ind w:left="720" w:hanging="720"/>
        <w:rPr>
          <w:sz w:val="20"/>
        </w:rPr>
      </w:pPr>
    </w:p>
    <w:p w:rsidR="001263BA" w:rsidRPr="00D973C3" w:rsidRDefault="001263BA" w:rsidP="001C2F45">
      <w:pPr>
        <w:ind w:left="450"/>
      </w:pPr>
      <w:r w:rsidRPr="00D973C3">
        <w:t xml:space="preserve">Miot, H.A. (2017). Assessing Normality of Data in Clinical and Experimental Trials. </w:t>
      </w:r>
      <w:hyperlink r:id="rId19" w:history="1">
        <w:r w:rsidRPr="00D973C3">
          <w:rPr>
            <w:i/>
          </w:rPr>
          <w:t>Journal Vascular Brasileiro</w:t>
        </w:r>
      </w:hyperlink>
      <w:r w:rsidRPr="00D973C3">
        <w:t xml:space="preserve"> , 16(2).</w:t>
      </w:r>
    </w:p>
    <w:p w:rsidR="001263BA" w:rsidRPr="00006F69" w:rsidRDefault="001263BA" w:rsidP="00AC51AE">
      <w:pPr>
        <w:ind w:left="720" w:hanging="270"/>
        <w:rPr>
          <w:sz w:val="20"/>
        </w:rPr>
      </w:pPr>
    </w:p>
    <w:p w:rsidR="00AC51AE" w:rsidRDefault="00AC51AE" w:rsidP="00AC51AE">
      <w:pPr>
        <w:ind w:left="720" w:hanging="270"/>
        <w:rPr>
          <w:i/>
          <w:iCs/>
        </w:rPr>
      </w:pPr>
      <w:r w:rsidRPr="00D973C3">
        <w:t xml:space="preserve">Mugenda, O. M. and Mugenda, A. G. (2003). </w:t>
      </w:r>
      <w:r w:rsidRPr="00D973C3">
        <w:rPr>
          <w:i/>
          <w:iCs/>
        </w:rPr>
        <w:t xml:space="preserve">Research Methods. Quantitative </w:t>
      </w:r>
    </w:p>
    <w:p w:rsidR="00AC51AE" w:rsidRDefault="00AC51AE" w:rsidP="00AC51AE">
      <w:pPr>
        <w:ind w:left="720" w:hanging="270"/>
      </w:pPr>
      <w:r w:rsidRPr="00D973C3">
        <w:rPr>
          <w:i/>
          <w:iCs/>
        </w:rPr>
        <w:t>and Qualitative Approaches</w:t>
      </w:r>
      <w:r w:rsidRPr="00D973C3">
        <w:t>. Nairobi: African Centre for Technology Studies</w:t>
      </w:r>
    </w:p>
    <w:p w:rsidR="00AC51AE" w:rsidRPr="00D973C3" w:rsidRDefault="00AC51AE" w:rsidP="00AC51AE">
      <w:pPr>
        <w:ind w:left="720" w:hanging="270"/>
      </w:pPr>
      <w:r w:rsidRPr="00D973C3">
        <w:t>Press.</w:t>
      </w:r>
    </w:p>
    <w:p w:rsidR="00AC51AE" w:rsidRPr="00006F69" w:rsidRDefault="00AC51AE" w:rsidP="00AC51AE">
      <w:pPr>
        <w:ind w:left="450"/>
        <w:rPr>
          <w:sz w:val="20"/>
        </w:rPr>
      </w:pPr>
    </w:p>
    <w:p w:rsidR="00AC51AE" w:rsidRPr="00AF0842" w:rsidRDefault="00AC51AE" w:rsidP="00AC51AE">
      <w:pPr>
        <w:ind w:left="450"/>
      </w:pPr>
      <w:r w:rsidRPr="00AF0842">
        <w:t xml:space="preserve">Muhammad, T. M., and Kashif, R. (2013). Does Foreign Direct Investment Influence Economic Growth and Human Capital of Host Countries? A Review of Empirical Evidence. </w:t>
      </w:r>
      <w:r w:rsidRPr="00AF0842">
        <w:rPr>
          <w:i/>
        </w:rPr>
        <w:t>World Applied Sciences Journal.</w:t>
      </w:r>
      <w:r w:rsidRPr="00AF0842">
        <w:t xml:space="preserve"> </w:t>
      </w:r>
      <w:r w:rsidRPr="00AF0842">
        <w:rPr>
          <w:i/>
        </w:rPr>
        <w:t>21 (8)</w:t>
      </w:r>
      <w:r w:rsidRPr="00AF0842">
        <w:t>, 1116-1121</w:t>
      </w:r>
    </w:p>
    <w:p w:rsidR="00AC51AE" w:rsidRPr="00006F69" w:rsidRDefault="00AC51AE" w:rsidP="00AC51AE">
      <w:pPr>
        <w:ind w:left="450" w:hanging="720"/>
        <w:rPr>
          <w:iCs/>
          <w:sz w:val="20"/>
        </w:rPr>
      </w:pPr>
      <w:r>
        <w:rPr>
          <w:iCs/>
        </w:rPr>
        <w:tab/>
      </w:r>
    </w:p>
    <w:p w:rsidR="00AC51AE" w:rsidRPr="004963AA" w:rsidRDefault="00AC51AE" w:rsidP="00AC51AE">
      <w:pPr>
        <w:ind w:left="450"/>
        <w:rPr>
          <w:bCs/>
        </w:rPr>
      </w:pPr>
      <w:r w:rsidRPr="004963AA">
        <w:rPr>
          <w:iCs/>
        </w:rPr>
        <w:t xml:space="preserve">Onyekwena, C. (2012), Empirical investigation of the impact of Foreign Direct Investment on manufacturing firms and banks in Nigeria, </w:t>
      </w:r>
      <w:r w:rsidRPr="004963AA">
        <w:rPr>
          <w:i/>
          <w:iCs/>
        </w:rPr>
        <w:t>Unpublished</w:t>
      </w:r>
      <w:r w:rsidRPr="004963AA">
        <w:rPr>
          <w:bCs/>
          <w:i/>
        </w:rPr>
        <w:t xml:space="preserve"> PhD Thesis</w:t>
      </w:r>
      <w:r w:rsidRPr="004963AA">
        <w:rPr>
          <w:bCs/>
        </w:rPr>
        <w:t>, University of Portsmouth</w:t>
      </w:r>
    </w:p>
    <w:p w:rsidR="00AC51AE" w:rsidRPr="00C31AE5" w:rsidRDefault="00AC51AE" w:rsidP="00AC51AE">
      <w:pPr>
        <w:ind w:left="450"/>
        <w:rPr>
          <w:bCs/>
          <w:color w:val="FF0000"/>
          <w:sz w:val="20"/>
          <w:highlight w:val="yellow"/>
        </w:rPr>
      </w:pPr>
    </w:p>
    <w:p w:rsidR="00AC51AE" w:rsidRDefault="00AC51AE" w:rsidP="00AC51AE">
      <w:pPr>
        <w:ind w:left="450"/>
        <w:rPr>
          <w:i/>
          <w:shd w:val="clear" w:color="auto" w:fill="FFFFFF"/>
        </w:rPr>
      </w:pPr>
      <w:r w:rsidRPr="00D973C3">
        <w:rPr>
          <w:shd w:val="clear" w:color="auto" w:fill="FFFFFF"/>
        </w:rPr>
        <w:t xml:space="preserve">Pallant, J. (2005). </w:t>
      </w:r>
      <w:r w:rsidRPr="00D973C3">
        <w:rPr>
          <w:i/>
          <w:shd w:val="clear" w:color="auto" w:fill="FFFFFF"/>
        </w:rPr>
        <w:t>SPSS Survival Manual: A Step by Step Guide to Data Analysis Using SPSS for Windows</w:t>
      </w:r>
      <w:r w:rsidRPr="00D973C3">
        <w:rPr>
          <w:shd w:val="clear" w:color="auto" w:fill="FFFFFF"/>
        </w:rPr>
        <w:t xml:space="preserve"> (</w:t>
      </w:r>
      <w:r w:rsidRPr="00D973C3">
        <w:rPr>
          <w:i/>
          <w:shd w:val="clear" w:color="auto" w:fill="FFFFFF"/>
        </w:rPr>
        <w:t>V.12).</w:t>
      </w:r>
    </w:p>
    <w:p w:rsidR="001C2F45" w:rsidRPr="00006F69" w:rsidRDefault="001C2F45" w:rsidP="00AC51AE">
      <w:pPr>
        <w:ind w:left="450"/>
        <w:rPr>
          <w:sz w:val="20"/>
          <w:shd w:val="clear" w:color="auto" w:fill="FFFFFF"/>
        </w:rPr>
      </w:pPr>
    </w:p>
    <w:p w:rsidR="00B4553F" w:rsidRDefault="0033685C" w:rsidP="001C2F45">
      <w:pPr>
        <w:ind w:left="450"/>
        <w:outlineLvl w:val="0"/>
      </w:pPr>
      <w:r w:rsidRPr="00D973C3">
        <w:t xml:space="preserve">Pedro S.S., Jorge R.M., &amp; Jose, G.G.V. (2014). </w:t>
      </w:r>
      <w:r w:rsidRPr="00D973C3">
        <w:rPr>
          <w:bCs/>
          <w:kern w:val="36"/>
        </w:rPr>
        <w:t xml:space="preserve">Absorptive capacity from FDI in Spanish Manufacturing firms, </w:t>
      </w:r>
      <w:r w:rsidRPr="00D973C3">
        <w:rPr>
          <w:bCs/>
          <w:i/>
          <w:kern w:val="36"/>
        </w:rPr>
        <w:t>International Business Review</w:t>
      </w:r>
      <w:r w:rsidRPr="00D973C3">
        <w:rPr>
          <w:bCs/>
          <w:kern w:val="36"/>
        </w:rPr>
        <w:t>,</w:t>
      </w:r>
      <w:r w:rsidRPr="00D973C3">
        <w:t xml:space="preserve"> </w:t>
      </w:r>
      <w:r w:rsidRPr="00D973C3">
        <w:rPr>
          <w:i/>
        </w:rPr>
        <w:t>Elsevier</w:t>
      </w:r>
      <w:r w:rsidRPr="00D973C3">
        <w:t>, vol. 23(2), 429-439.</w:t>
      </w:r>
    </w:p>
    <w:p w:rsidR="001C2F45" w:rsidRPr="00006F69" w:rsidRDefault="00006F69" w:rsidP="00B4553F">
      <w:pPr>
        <w:ind w:left="720" w:hanging="720"/>
        <w:outlineLvl w:val="0"/>
        <w:rPr>
          <w:sz w:val="20"/>
        </w:rPr>
      </w:pPr>
      <w:r>
        <w:t xml:space="preserve">    </w:t>
      </w:r>
    </w:p>
    <w:p w:rsidR="00B4553F" w:rsidRPr="00D973C3" w:rsidRDefault="008709F6" w:rsidP="001C2F45">
      <w:pPr>
        <w:ind w:left="450"/>
        <w:outlineLvl w:val="0"/>
      </w:pPr>
      <w:hyperlink r:id="rId20" w:anchor="Author" w:history="1">
        <w:r w:rsidR="00B4553F" w:rsidRPr="00D973C3">
          <w:rPr>
            <w:bCs/>
            <w:iCs/>
          </w:rPr>
          <w:t>Ricardo, C.,</w:t>
        </w:r>
      </w:hyperlink>
      <w:r w:rsidR="00B4553F" w:rsidRPr="00D973C3">
        <w:rPr>
          <w:bCs/>
          <w:iCs/>
        </w:rPr>
        <w:t xml:space="preserve"> </w:t>
      </w:r>
      <w:hyperlink r:id="rId21" w:anchor="Author" w:history="1">
        <w:r w:rsidR="00B4553F" w:rsidRPr="00D973C3">
          <w:rPr>
            <w:bCs/>
            <w:iCs/>
          </w:rPr>
          <w:t>Luisa, G.,</w:t>
        </w:r>
      </w:hyperlink>
      <w:r w:rsidR="00B4553F" w:rsidRPr="00D973C3">
        <w:rPr>
          <w:bCs/>
          <w:iCs/>
        </w:rPr>
        <w:t xml:space="preserve"> and </w:t>
      </w:r>
      <w:hyperlink r:id="rId22" w:anchor="Author" w:history="1">
        <w:r w:rsidR="00B4553F" w:rsidRPr="00D973C3">
          <w:rPr>
            <w:bCs/>
            <w:iCs/>
          </w:rPr>
          <w:t>Simona, I.</w:t>
        </w:r>
      </w:hyperlink>
      <w:r w:rsidR="00B4553F" w:rsidRPr="00D973C3">
        <w:rPr>
          <w:bCs/>
          <w:iCs/>
        </w:rPr>
        <w:t xml:space="preserve"> (2015)</w:t>
      </w:r>
      <w:r w:rsidR="00B4553F">
        <w:rPr>
          <w:bCs/>
          <w:iCs/>
        </w:rPr>
        <w:t>.</w:t>
      </w:r>
      <w:r w:rsidR="00B4553F" w:rsidRPr="00D973C3">
        <w:rPr>
          <w:bCs/>
          <w:iCs/>
        </w:rPr>
        <w:t xml:space="preserve"> </w:t>
      </w:r>
      <w:r w:rsidR="00B4553F" w:rsidRPr="00D973C3">
        <w:t xml:space="preserve">Foreign Multinationals and domestic innovation: intra-industry effects and firm heterogeneity. </w:t>
      </w:r>
      <w:r w:rsidR="00B4553F" w:rsidRPr="00D973C3">
        <w:rPr>
          <w:i/>
        </w:rPr>
        <w:t>Research Policy,</w:t>
      </w:r>
      <w:r w:rsidR="00B4553F" w:rsidRPr="00D973C3">
        <w:t xml:space="preserve"> 44 (3). pp. 596-609.  </w:t>
      </w:r>
    </w:p>
    <w:p w:rsidR="00AC51AE" w:rsidRPr="00006F69" w:rsidRDefault="00AC51AE" w:rsidP="00AC51AE">
      <w:pPr>
        <w:ind w:left="450"/>
        <w:rPr>
          <w:sz w:val="20"/>
        </w:rPr>
      </w:pPr>
    </w:p>
    <w:p w:rsidR="00AC51AE" w:rsidRPr="00C31AE5" w:rsidRDefault="00AC51AE" w:rsidP="00AC51AE">
      <w:pPr>
        <w:ind w:left="450"/>
        <w:rPr>
          <w:color w:val="FF0000"/>
          <w:sz w:val="20"/>
        </w:rPr>
      </w:pPr>
      <w:r w:rsidRPr="00D973C3">
        <w:t>Shabarati, A., Jawad, J. and Bontis, N.</w:t>
      </w:r>
      <w:r>
        <w:t xml:space="preserve"> </w:t>
      </w:r>
      <w:r w:rsidRPr="00D973C3">
        <w:t xml:space="preserve">(2010). Intellectual capital and business performance in pharmaceutical sector of Jordan. </w:t>
      </w:r>
      <w:r w:rsidRPr="00D973C3">
        <w:rPr>
          <w:i/>
          <w:iCs/>
        </w:rPr>
        <w:t xml:space="preserve">Management Decision Journal, 48 (1), </w:t>
      </w:r>
      <w:r w:rsidRPr="00D973C3">
        <w:rPr>
          <w:iCs/>
        </w:rPr>
        <w:t>105-13</w:t>
      </w:r>
      <w:r w:rsidRPr="00D973C3">
        <w:rPr>
          <w:i/>
          <w:iCs/>
        </w:rPr>
        <w:t>.</w:t>
      </w:r>
    </w:p>
    <w:p w:rsidR="001C2F45" w:rsidRPr="00006F69" w:rsidRDefault="00006F69" w:rsidP="001263BA">
      <w:pPr>
        <w:ind w:left="720" w:right="-265" w:hanging="720"/>
        <w:rPr>
          <w:sz w:val="20"/>
        </w:rPr>
      </w:pPr>
      <w:r>
        <w:t xml:space="preserve">    </w:t>
      </w:r>
    </w:p>
    <w:p w:rsidR="001263BA" w:rsidRPr="00D973C3" w:rsidRDefault="001263BA" w:rsidP="00006F69">
      <w:pPr>
        <w:ind w:left="450" w:right="-265"/>
      </w:pPr>
      <w:r w:rsidRPr="00D973C3">
        <w:t xml:space="preserve">Temiz, D., and Aytaç, G. (2014). FDI inflow as an international business operation by MNCs </w:t>
      </w:r>
      <w:r>
        <w:t>and</w:t>
      </w:r>
      <w:r w:rsidRPr="00D973C3">
        <w:t xml:space="preserve"> economic growth: An empirical study on Turkey, </w:t>
      </w:r>
      <w:r w:rsidRPr="00D973C3">
        <w:rPr>
          <w:i/>
          <w:iCs/>
        </w:rPr>
        <w:t>International Business Review</w:t>
      </w:r>
      <w:r w:rsidRPr="00D973C3">
        <w:t>, 23, 145-154.</w:t>
      </w:r>
    </w:p>
    <w:p w:rsidR="00B4553F" w:rsidRDefault="00B4553F" w:rsidP="00006F69">
      <w:pPr>
        <w:ind w:left="450" w:right="-265" w:hanging="450"/>
      </w:pPr>
    </w:p>
    <w:p w:rsidR="00B4553F" w:rsidRDefault="00B4553F" w:rsidP="00006F69">
      <w:pPr>
        <w:ind w:left="450" w:right="-265"/>
        <w:rPr>
          <w:bCs/>
        </w:rPr>
      </w:pPr>
      <w:r>
        <w:t>Thorbecke, E., and Wan, H. (2004), “Revisiting East (and South East) Asia’s Development Model,” Paper prepared for the Cornell Conference on Seventy Five Years of Development, Ithaca, NY, May 7-9.</w:t>
      </w:r>
    </w:p>
    <w:p w:rsidR="00AC51AE" w:rsidRPr="00006F69" w:rsidRDefault="00AC51AE" w:rsidP="00AC51AE">
      <w:pPr>
        <w:ind w:left="450"/>
        <w:rPr>
          <w:sz w:val="20"/>
        </w:rPr>
      </w:pPr>
    </w:p>
    <w:p w:rsidR="0033685C" w:rsidRPr="00704D95" w:rsidRDefault="0033685C" w:rsidP="00006F69">
      <w:pPr>
        <w:pStyle w:val="NoSpacing"/>
        <w:ind w:left="450" w:right="-178"/>
        <w:jc w:val="both"/>
        <w:rPr>
          <w:rFonts w:ascii="Times New Roman" w:hAnsi="Times New Roman"/>
          <w:sz w:val="24"/>
          <w:szCs w:val="24"/>
        </w:rPr>
      </w:pPr>
      <w:r w:rsidRPr="00704D95">
        <w:rPr>
          <w:rFonts w:ascii="Times New Roman" w:hAnsi="Times New Roman"/>
          <w:sz w:val="24"/>
          <w:szCs w:val="24"/>
        </w:rPr>
        <w:t>Wanjere, M.D., and Yabs, J. (2017). A critical literature review on the link between Multinational</w:t>
      </w:r>
      <w:r>
        <w:rPr>
          <w:rFonts w:ascii="Times New Roman" w:hAnsi="Times New Roman"/>
          <w:sz w:val="24"/>
          <w:szCs w:val="24"/>
        </w:rPr>
        <w:t xml:space="preserve"> </w:t>
      </w:r>
      <w:r w:rsidRPr="00704D95">
        <w:rPr>
          <w:rFonts w:ascii="Times New Roman" w:hAnsi="Times New Roman"/>
          <w:sz w:val="24"/>
          <w:szCs w:val="24"/>
        </w:rPr>
        <w:t xml:space="preserve">Enterprises presence, Absorptive capacity and Competitive advantage of Firms. </w:t>
      </w:r>
      <w:r w:rsidRPr="00704D95">
        <w:rPr>
          <w:rFonts w:ascii="Times New Roman" w:hAnsi="Times New Roman"/>
          <w:i/>
          <w:sz w:val="24"/>
          <w:szCs w:val="24"/>
        </w:rPr>
        <w:t>Archives of Business Research</w:t>
      </w:r>
      <w:r w:rsidRPr="00704D95">
        <w:rPr>
          <w:rFonts w:ascii="Times New Roman" w:hAnsi="Times New Roman"/>
          <w:sz w:val="24"/>
          <w:szCs w:val="24"/>
        </w:rPr>
        <w:t>, 5(3),101-114.</w:t>
      </w:r>
    </w:p>
    <w:p w:rsidR="001C2F45" w:rsidRPr="00006F69" w:rsidRDefault="00006F69" w:rsidP="001263BA">
      <w:pPr>
        <w:autoSpaceDE w:val="0"/>
        <w:autoSpaceDN w:val="0"/>
        <w:ind w:left="720" w:right="-265" w:hanging="720"/>
        <w:rPr>
          <w:sz w:val="20"/>
        </w:rPr>
      </w:pPr>
      <w:r>
        <w:t xml:space="preserve">    </w:t>
      </w:r>
    </w:p>
    <w:p w:rsidR="001263BA" w:rsidRPr="00D973C3" w:rsidRDefault="001263BA" w:rsidP="00006F69">
      <w:pPr>
        <w:autoSpaceDE w:val="0"/>
        <w:autoSpaceDN w:val="0"/>
        <w:ind w:left="450" w:right="-265"/>
      </w:pPr>
      <w:r w:rsidRPr="00D973C3">
        <w:t>Zahra, S.A., and George, G. (2002). “Absorpti</w:t>
      </w:r>
      <w:r w:rsidR="001C2F45">
        <w:t xml:space="preserve">ve capacity: A review, </w:t>
      </w:r>
      <w:r w:rsidRPr="00D973C3">
        <w:t xml:space="preserve">reconceptualization, and extension”, </w:t>
      </w:r>
      <w:r w:rsidRPr="00D973C3">
        <w:rPr>
          <w:i/>
        </w:rPr>
        <w:t>The Academy of Management review, 27(2)</w:t>
      </w:r>
      <w:r w:rsidRPr="00D973C3">
        <w:t>, 185-204.</w:t>
      </w:r>
    </w:p>
    <w:p w:rsidR="001C2F45" w:rsidRPr="00006F69" w:rsidRDefault="00006F69" w:rsidP="001C2F45">
      <w:pPr>
        <w:ind w:right="-180"/>
        <w:rPr>
          <w:sz w:val="20"/>
        </w:rPr>
      </w:pPr>
      <w:r>
        <w:t xml:space="preserve">    </w:t>
      </w:r>
    </w:p>
    <w:p w:rsidR="00AC51AE" w:rsidRPr="00D973C3" w:rsidRDefault="00AC51AE" w:rsidP="00006F69">
      <w:pPr>
        <w:ind w:left="450" w:right="-180"/>
      </w:pPr>
      <w:r w:rsidRPr="00D973C3">
        <w:t xml:space="preserve">Zientek, L.R, Kim, N., and Amanda, K. (2016). All Possible Subjects for MANOVA and Factorial MANOVAs: Less than a Weekend Project. </w:t>
      </w:r>
      <w:r w:rsidRPr="00D973C3">
        <w:rPr>
          <w:i/>
        </w:rPr>
        <w:t>International Journal of Adult Vocational education and technology</w:t>
      </w:r>
      <w:r w:rsidRPr="00D973C3">
        <w:t>, 7 (2).</w:t>
      </w:r>
    </w:p>
    <w:p w:rsidR="001C2F45" w:rsidRPr="00006F69" w:rsidRDefault="00006F69" w:rsidP="00006F69">
      <w:pPr>
        <w:tabs>
          <w:tab w:val="left" w:pos="1044"/>
        </w:tabs>
        <w:rPr>
          <w:sz w:val="20"/>
        </w:rPr>
      </w:pPr>
      <w:r>
        <w:rPr>
          <w:sz w:val="20"/>
        </w:rPr>
        <w:tab/>
      </w:r>
    </w:p>
    <w:p w:rsidR="00A947A2" w:rsidRPr="00A947A2" w:rsidRDefault="001C2F45" w:rsidP="00006F69">
      <w:pPr>
        <w:ind w:left="450"/>
        <w:rPr>
          <w:color w:val="000000"/>
          <w:szCs w:val="24"/>
        </w:rPr>
      </w:pPr>
      <w:r w:rsidRPr="00D973C3">
        <w:t xml:space="preserve">Zou, Y. (2010). The impact of Inward FDI on Host country: Firm Performance in New Zealand. </w:t>
      </w:r>
      <w:r w:rsidRPr="00D973C3">
        <w:rPr>
          <w:i/>
        </w:rPr>
        <w:t>Unpublished Master of Commerce and Administration in International Business</w:t>
      </w:r>
      <w:r>
        <w:rPr>
          <w:i/>
        </w:rPr>
        <w:t xml:space="preserve"> </w:t>
      </w:r>
      <w:r w:rsidRPr="00D973C3">
        <w:rPr>
          <w:i/>
        </w:rPr>
        <w:t>thesis</w:t>
      </w:r>
      <w:r w:rsidRPr="00D973C3">
        <w:t>, the Victoria University of Wellington.</w:t>
      </w:r>
    </w:p>
    <w:sectPr w:rsidR="00A947A2" w:rsidRPr="00A947A2" w:rsidSect="00BE1046">
      <w:headerReference w:type="even" r:id="rId23"/>
      <w:headerReference w:type="default" r:id="rId24"/>
      <w:headerReference w:type="first" r:id="rId25"/>
      <w:pgSz w:w="10840" w:h="15060" w:code="9"/>
      <w:pgMar w:top="1440" w:right="1037" w:bottom="1440" w:left="1800" w:header="720" w:footer="72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F9" w:rsidRDefault="00520CF9">
      <w:r>
        <w:separator/>
      </w:r>
    </w:p>
  </w:endnote>
  <w:endnote w:type="continuationSeparator" w:id="0">
    <w:p w:rsidR="00520CF9" w:rsidRDefault="0052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Arial Unicode MS"/>
    <w:panose1 w:val="02010609000101010101"/>
    <w:charset w:val="88"/>
    <w:family w:val="modern"/>
    <w:pitch w:val="fixed"/>
    <w:sig w:usb0="A00002FF" w:usb1="28CFFCFA" w:usb2="00000016" w:usb3="00000000" w:csb0="00100001"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F9" w:rsidRDefault="00520CF9">
      <w:r>
        <w:separator/>
      </w:r>
    </w:p>
  </w:footnote>
  <w:footnote w:type="continuationSeparator" w:id="0">
    <w:p w:rsidR="00520CF9" w:rsidRDefault="00520CF9">
      <w:r>
        <w:continuationSeparator/>
      </w:r>
    </w:p>
  </w:footnote>
  <w:footnote w:id="1">
    <w:p w:rsidR="008709F6" w:rsidRPr="00970C94" w:rsidRDefault="008709F6" w:rsidP="00DC7D4F">
      <w:pPr>
        <w:pStyle w:val="FootnoteText"/>
        <w:tabs>
          <w:tab w:val="left" w:pos="4665"/>
        </w:tabs>
        <w:ind w:right="-230"/>
      </w:pPr>
      <w:r>
        <w:t xml:space="preserve">   </w:t>
      </w:r>
      <w:r w:rsidRPr="00970C94">
        <w:rPr>
          <w:rStyle w:val="FootnoteReference"/>
        </w:rPr>
        <w:footnoteRef/>
      </w:r>
      <w:r w:rsidRPr="00970C94">
        <w:t xml:space="preserve"> </w:t>
      </w:r>
      <w:r>
        <w:t xml:space="preserve">PhD Candidate, </w:t>
      </w:r>
      <w:r w:rsidRPr="00970C94">
        <w:rPr>
          <w:color w:val="000000"/>
        </w:rPr>
        <w:t>University of Nairobi</w:t>
      </w:r>
      <w:r w:rsidRPr="00970C94">
        <w:t xml:space="preserve">, </w:t>
      </w:r>
      <w:r>
        <w:t xml:space="preserve">Kenya, </w:t>
      </w:r>
      <w:r w:rsidRPr="00970C94">
        <w:t>mdwanjere@gmail.com:</w:t>
      </w:r>
      <w:r w:rsidRPr="00970C94">
        <w:tab/>
      </w:r>
    </w:p>
  </w:footnote>
  <w:footnote w:id="2">
    <w:p w:rsidR="008709F6" w:rsidRPr="00970C94" w:rsidRDefault="008709F6" w:rsidP="00D42D29">
      <w:pPr>
        <w:tabs>
          <w:tab w:val="left" w:pos="270"/>
        </w:tabs>
        <w:ind w:right="-230"/>
        <w:rPr>
          <w:sz w:val="20"/>
        </w:rPr>
      </w:pPr>
      <w:r>
        <w:rPr>
          <w:sz w:val="20"/>
        </w:rPr>
        <w:t xml:space="preserve">   </w:t>
      </w:r>
      <w:r w:rsidRPr="00970C94">
        <w:rPr>
          <w:rStyle w:val="FootnoteReference"/>
          <w:sz w:val="20"/>
        </w:rPr>
        <w:footnoteRef/>
      </w:r>
      <w:r w:rsidRPr="00970C94">
        <w:rPr>
          <w:sz w:val="20"/>
        </w:rPr>
        <w:t xml:space="preserve"> </w:t>
      </w:r>
      <w:r w:rsidRPr="00970C94">
        <w:rPr>
          <w:color w:val="000000"/>
          <w:sz w:val="20"/>
        </w:rPr>
        <w:t>School of Business, University of Nairobi, Kenya</w:t>
      </w:r>
      <w:r>
        <w:rPr>
          <w:color w:val="000000"/>
          <w:sz w:val="20"/>
        </w:rPr>
        <w:t xml:space="preserve"> </w:t>
      </w:r>
      <w:r w:rsidRPr="00970C94">
        <w:rPr>
          <w:sz w:val="20"/>
        </w:rPr>
        <w:t xml:space="preserve">. </w:t>
      </w:r>
      <w:r>
        <w:rPr>
          <w:sz w:val="20"/>
        </w:rPr>
        <w:t>m.kinoti@uonbi.ac.ke</w:t>
      </w:r>
      <w:r w:rsidRPr="00970C94">
        <w:rPr>
          <w:sz w:val="20"/>
        </w:rPr>
        <w:t>:</w:t>
      </w:r>
    </w:p>
    <w:p w:rsidR="008709F6" w:rsidRPr="00970C94" w:rsidRDefault="008709F6" w:rsidP="00D42D29">
      <w:pPr>
        <w:ind w:right="-230"/>
        <w:rPr>
          <w:sz w:val="20"/>
        </w:rPr>
      </w:pPr>
      <w:r>
        <w:rPr>
          <w:sz w:val="20"/>
        </w:rPr>
        <w:t xml:space="preserve">   </w:t>
      </w:r>
      <w:r>
        <w:rPr>
          <w:rStyle w:val="FootnoteReference"/>
          <w:sz w:val="20"/>
        </w:rPr>
        <w:t>3</w:t>
      </w:r>
      <w:r w:rsidRPr="00970C94">
        <w:rPr>
          <w:color w:val="000000"/>
          <w:sz w:val="20"/>
        </w:rPr>
        <w:t>School of Business, University of Nairobi, Kenya</w:t>
      </w:r>
      <w:r w:rsidRPr="00970C94">
        <w:rPr>
          <w:sz w:val="20"/>
        </w:rPr>
        <w:t xml:space="preserve">. </w:t>
      </w:r>
      <w:r>
        <w:rPr>
          <w:sz w:val="20"/>
        </w:rPr>
        <w:t>xniraki@gmail.com</w:t>
      </w:r>
      <w:r w:rsidRPr="00970C94">
        <w:rPr>
          <w:sz w:val="20"/>
        </w:rPr>
        <w:t>l:</w:t>
      </w:r>
    </w:p>
    <w:p w:rsidR="008709F6" w:rsidRDefault="008709F6" w:rsidP="00D42D29">
      <w:pPr>
        <w:pStyle w:val="FootnoteText"/>
        <w:rPr>
          <w:rFonts w:eastAsia="MS Mincho"/>
          <w:color w:val="000000"/>
          <w:lang w:eastAsia="ja-JP"/>
        </w:rPr>
      </w:pPr>
      <w:r>
        <w:rPr>
          <w:rFonts w:eastAsia="MS Mincho"/>
          <w:color w:val="000000"/>
          <w:lang w:eastAsia="ja-JP"/>
        </w:rPr>
        <w:t xml:space="preserve"> </w:t>
      </w:r>
    </w:p>
    <w:p w:rsidR="008709F6" w:rsidRDefault="008709F6" w:rsidP="00D42D29">
      <w:pPr>
        <w:pStyle w:val="FootnoteText"/>
        <w:rPr>
          <w:rFonts w:eastAsia="MS Mincho"/>
          <w:color w:val="000000"/>
          <w:lang w:eastAsia="ja-JP"/>
        </w:rPr>
      </w:pPr>
    </w:p>
    <w:p w:rsidR="008709F6" w:rsidRPr="009625FC" w:rsidRDefault="008709F6" w:rsidP="00D42D29">
      <w:pPr>
        <w:pStyle w:val="FootnoteText"/>
        <w:ind w:firstLine="482"/>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Pr>
          <w:rFonts w:eastAsia="MS Mincho"/>
          <w:color w:val="000000"/>
          <w:lang w:eastAsia="ja-JP"/>
        </w:rPr>
        <w:t>10</w:t>
      </w:r>
      <w:r w:rsidRPr="009B509E">
        <w:rPr>
          <w:rFonts w:eastAsia="MS Mincho"/>
          <w:color w:val="000000"/>
          <w:vertAlign w:val="superscript"/>
          <w:lang w:eastAsia="ja-JP"/>
        </w:rPr>
        <w:t>th</w:t>
      </w:r>
      <w:r>
        <w:rPr>
          <w:rFonts w:eastAsia="MS Mincho"/>
          <w:color w:val="000000"/>
          <w:lang w:eastAsia="ja-JP"/>
        </w:rPr>
        <w:t xml:space="preserve"> November</w:t>
      </w:r>
      <w:r w:rsidRPr="009625FC">
        <w:rPr>
          <w:rFonts w:eastAsia="MS Mincho"/>
          <w:color w:val="000000"/>
          <w:lang w:eastAsia="ja-JP"/>
        </w:rPr>
        <w:t>, 20</w:t>
      </w:r>
      <w:r>
        <w:rPr>
          <w:rFonts w:eastAsia="MS Mincho"/>
          <w:color w:val="000000"/>
          <w:lang w:eastAsia="ja-JP"/>
        </w:rPr>
        <w:t>20</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r>
        <w:rPr>
          <w:rFonts w:eastAsia="MS Mincho"/>
          <w:color w:val="000000"/>
          <w:lang w:eastAsia="ja-JP"/>
        </w:rPr>
        <w:t>22</w:t>
      </w:r>
      <w:r w:rsidRPr="0044732A">
        <w:rPr>
          <w:rFonts w:eastAsia="MS Mincho"/>
          <w:color w:val="000000"/>
          <w:vertAlign w:val="superscript"/>
          <w:lang w:eastAsia="ja-JP"/>
        </w:rPr>
        <w:t>th</w:t>
      </w:r>
      <w:r>
        <w:rPr>
          <w:rFonts w:eastAsia="MS Mincho"/>
          <w:color w:val="000000"/>
          <w:lang w:eastAsia="ja-JP"/>
        </w:rPr>
        <w:t xml:space="preserve"> January</w:t>
      </w:r>
      <w:r w:rsidRPr="009625FC">
        <w:rPr>
          <w:rFonts w:eastAsia="MS Mincho"/>
          <w:color w:val="000000"/>
          <w:lang w:eastAsia="ja-JP"/>
        </w:rPr>
        <w:t>, 20</w:t>
      </w:r>
      <w:r>
        <w:rPr>
          <w:rFonts w:eastAsia="MS Mincho"/>
          <w:color w:val="000000"/>
          <w:lang w:eastAsia="ja-JP"/>
        </w:rPr>
        <w:t>21</w:t>
      </w:r>
      <w:r w:rsidRPr="009625FC">
        <w:rPr>
          <w:rFonts w:eastAsia="MS Mincho"/>
          <w:color w:val="000000"/>
          <w:lang w:eastAsia="ja-JP"/>
        </w:rPr>
        <w:t xml:space="preserve">. </w:t>
      </w:r>
    </w:p>
    <w:p w:rsidR="008709F6" w:rsidRPr="00884246" w:rsidRDefault="008709F6" w:rsidP="00D42D29">
      <w:pPr>
        <w:pStyle w:val="FootnoteText"/>
      </w:pPr>
      <w:r>
        <w:rPr>
          <w:rFonts w:eastAsia="MS Mincho"/>
          <w:i/>
          <w:iCs/>
          <w:color w:val="000000"/>
          <w:lang w:eastAsia="ja-JP"/>
        </w:rPr>
        <w:t xml:space="preserve">    </w:t>
      </w:r>
      <w:r w:rsidRPr="001B25C5">
        <w:rPr>
          <w:rFonts w:eastAsia="MS Mincho"/>
          <w:i/>
          <w:iCs/>
          <w:color w:val="000000"/>
          <w:lang w:eastAsia="ja-JP"/>
        </w:rPr>
        <w:t>Published online:</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20</w:t>
      </w:r>
      <w:r w:rsidRPr="009625FC">
        <w:rPr>
          <w:rFonts w:eastAsia="MS Mincho"/>
          <w:color w:val="000000"/>
          <w:lang w:eastAsia="ja-JP"/>
        </w:rPr>
        <w:t>.</w:t>
      </w:r>
    </w:p>
  </w:footnote>
  <w:footnote w:id="3">
    <w:p w:rsidR="008709F6" w:rsidRPr="009625FC" w:rsidRDefault="008709F6" w:rsidP="00D42D29">
      <w:pPr>
        <w:pStyle w:val="FootnoteText"/>
      </w:pPr>
    </w:p>
    <w:p w:rsidR="008709F6" w:rsidRPr="00884246" w:rsidRDefault="008709F6" w:rsidP="00D42D29">
      <w:pPr>
        <w:pStyle w:val="FootnoteText"/>
      </w:pPr>
    </w:p>
  </w:footnote>
  <w:footnote w:id="4">
    <w:p w:rsidR="008709F6" w:rsidRPr="00970C94" w:rsidRDefault="008709F6" w:rsidP="00D42D29">
      <w:pPr>
        <w:ind w:right="-230"/>
        <w:rPr>
          <w:sz w:val="20"/>
        </w:rPr>
      </w:pPr>
      <w:r>
        <w:rPr>
          <w:sz w:val="20"/>
        </w:rPr>
        <w:t xml:space="preserve">   </w:t>
      </w:r>
      <w:r w:rsidRPr="00970C94">
        <w:rPr>
          <w:rStyle w:val="FootnoteReference"/>
          <w:sz w:val="20"/>
        </w:rPr>
        <w:footnoteRef/>
      </w:r>
      <w:r w:rsidRPr="00970C94">
        <w:rPr>
          <w:sz w:val="20"/>
        </w:rPr>
        <w:t xml:space="preserve"> </w:t>
      </w:r>
      <w:r w:rsidRPr="00970C94">
        <w:rPr>
          <w:color w:val="000000"/>
          <w:sz w:val="20"/>
        </w:rPr>
        <w:t>School of Business, University of Nairobi, Kenya</w:t>
      </w:r>
      <w:r w:rsidRPr="00970C94">
        <w:rPr>
          <w:sz w:val="20"/>
        </w:rPr>
        <w:t xml:space="preserve">. </w:t>
      </w:r>
      <w:r>
        <w:rPr>
          <w:sz w:val="20"/>
        </w:rPr>
        <w:t>ogutum@uonbi.ac.ke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F6" w:rsidRDefault="008709F6" w:rsidP="004A218D">
    <w:pPr>
      <w:pStyle w:val="Header"/>
      <w:framePr w:wrap="around" w:vAnchor="text" w:hAnchor="margin" w:xAlign="right" w:y="1"/>
      <w:ind w:right="360" w:firstLine="360"/>
      <w:rPr>
        <w:rStyle w:val="PageNumber"/>
      </w:rPr>
    </w:pPr>
  </w:p>
  <w:p w:rsidR="008709F6" w:rsidRPr="00DC4476" w:rsidRDefault="008709F6" w:rsidP="00DC4476">
    <w:pPr>
      <w:ind w:right="-230"/>
      <w:jc w:val="left"/>
      <w:rPr>
        <w:color w:val="000000"/>
        <w:szCs w:val="24"/>
      </w:rPr>
    </w:pPr>
    <w:r>
      <w:fldChar w:fldCharType="begin"/>
    </w:r>
    <w:r>
      <w:instrText xml:space="preserve"> PAGE   \* MERGEFORMAT </w:instrText>
    </w:r>
    <w:r>
      <w:fldChar w:fldCharType="separate"/>
    </w:r>
    <w:r w:rsidR="00C3024F">
      <w:rPr>
        <w:noProof/>
      </w:rPr>
      <w:t>2</w:t>
    </w:r>
    <w:r>
      <w:rPr>
        <w:noProof/>
      </w:rPr>
      <w:fldChar w:fldCharType="end"/>
    </w:r>
    <w:r>
      <w:t xml:space="preserve">                        </w:t>
    </w:r>
    <w:r w:rsidRPr="004E2366">
      <w:rPr>
        <w:color w:val="000000"/>
      </w:rPr>
      <w:t>Wanjere</w:t>
    </w:r>
    <w:r w:rsidRPr="004E2366">
      <w:rPr>
        <w:color w:val="000000"/>
        <w:szCs w:val="24"/>
        <w:vertAlign w:val="superscript"/>
      </w:rPr>
      <w:footnoteRef/>
    </w:r>
    <w:r w:rsidRPr="004E2366">
      <w:rPr>
        <w:color w:val="000000"/>
        <w:szCs w:val="24"/>
      </w:rPr>
      <w:t xml:space="preserve">, </w:t>
    </w:r>
    <w:r>
      <w:rPr>
        <w:color w:val="000000"/>
        <w:szCs w:val="24"/>
      </w:rPr>
      <w:t>I</w:t>
    </w:r>
    <w:r>
      <w:rPr>
        <w:color w:val="000000"/>
      </w:rPr>
      <w:t>ra</w:t>
    </w:r>
    <w:r w:rsidRPr="004E2366">
      <w:rPr>
        <w:color w:val="000000"/>
      </w:rPr>
      <w:t>ki</w:t>
    </w:r>
    <w:r>
      <w:rPr>
        <w:color w:val="000000"/>
        <w:szCs w:val="24"/>
        <w:vertAlign w:val="superscript"/>
      </w:rPr>
      <w:t>2</w:t>
    </w:r>
    <w:r>
      <w:rPr>
        <w:color w:val="000000"/>
      </w:rPr>
      <w:t>,</w:t>
    </w:r>
    <w:r w:rsidRPr="004E2366">
      <w:rPr>
        <w:color w:val="000000"/>
      </w:rPr>
      <w:t xml:space="preserve"> Ogutu</w:t>
    </w:r>
    <w:r>
      <w:rPr>
        <w:color w:val="000000"/>
        <w:szCs w:val="24"/>
        <w:vertAlign w:val="superscript"/>
      </w:rPr>
      <w:t xml:space="preserve">3 </w:t>
    </w:r>
    <w:r>
      <w:rPr>
        <w:color w:val="000000"/>
      </w:rPr>
      <w:t>&amp;</w:t>
    </w:r>
    <w:r w:rsidRPr="00117695">
      <w:rPr>
        <w:color w:val="000000"/>
      </w:rPr>
      <w:t xml:space="preserve"> </w:t>
    </w:r>
    <w:r w:rsidRPr="004E2366">
      <w:rPr>
        <w:color w:val="000000"/>
      </w:rPr>
      <w:t>Kinoti</w:t>
    </w:r>
    <w:r>
      <w:rPr>
        <w:color w:val="000000"/>
        <w:szCs w:val="24"/>
        <w:vertAlign w:val="superscript"/>
      </w:rPr>
      <w:t xml:space="preserve">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F6" w:rsidRPr="00C15591" w:rsidRDefault="008709F6"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C3024F">
      <w:rPr>
        <w:rStyle w:val="PageNumber"/>
        <w:noProof/>
        <w:sz w:val="22"/>
        <w:szCs w:val="22"/>
      </w:rPr>
      <w:t>21</w:t>
    </w:r>
    <w:r w:rsidRPr="00C15591">
      <w:rPr>
        <w:rStyle w:val="PageNumber"/>
        <w:sz w:val="22"/>
        <w:szCs w:val="22"/>
      </w:rPr>
      <w:fldChar w:fldCharType="end"/>
    </w:r>
  </w:p>
  <w:p w:rsidR="008709F6" w:rsidRDefault="008709F6" w:rsidP="00C15591">
    <w:pPr>
      <w:pStyle w:val="Header"/>
      <w:framePr w:wrap="around" w:vAnchor="text" w:hAnchor="page" w:x="9421" w:y="-48"/>
      <w:ind w:right="360"/>
      <w:rPr>
        <w:rStyle w:val="PageNumber"/>
      </w:rPr>
    </w:pPr>
  </w:p>
  <w:p w:rsidR="008709F6" w:rsidRDefault="008709F6" w:rsidP="00F02298">
    <w:pPr>
      <w:ind w:right="-230"/>
      <w:jc w:val="left"/>
      <w:rPr>
        <w:color w:val="000000"/>
        <w:szCs w:val="24"/>
        <w:vertAlign w:val="superscript"/>
      </w:rPr>
    </w:pPr>
    <w:r w:rsidRPr="004E2366">
      <w:rPr>
        <w:color w:val="000000"/>
      </w:rPr>
      <w:t>Wanjere</w:t>
    </w:r>
    <w:r w:rsidRPr="004E2366">
      <w:rPr>
        <w:color w:val="000000"/>
        <w:szCs w:val="24"/>
        <w:vertAlign w:val="superscript"/>
      </w:rPr>
      <w:footnoteRef/>
    </w:r>
    <w:r w:rsidRPr="004E2366">
      <w:rPr>
        <w:color w:val="000000"/>
        <w:szCs w:val="24"/>
      </w:rPr>
      <w:t xml:space="preserve">, </w:t>
    </w:r>
    <w:r>
      <w:rPr>
        <w:color w:val="000000"/>
        <w:szCs w:val="24"/>
      </w:rPr>
      <w:t>I</w:t>
    </w:r>
    <w:r>
      <w:rPr>
        <w:color w:val="000000"/>
      </w:rPr>
      <w:t>ra</w:t>
    </w:r>
    <w:r w:rsidRPr="004E2366">
      <w:rPr>
        <w:color w:val="000000"/>
      </w:rPr>
      <w:t>ki</w:t>
    </w:r>
    <w:r>
      <w:rPr>
        <w:color w:val="000000"/>
        <w:szCs w:val="24"/>
        <w:vertAlign w:val="superscript"/>
      </w:rPr>
      <w:t>2</w:t>
    </w:r>
    <w:r>
      <w:rPr>
        <w:color w:val="000000"/>
      </w:rPr>
      <w:t>,</w:t>
    </w:r>
    <w:r w:rsidRPr="004E2366">
      <w:rPr>
        <w:color w:val="000000"/>
      </w:rPr>
      <w:t xml:space="preserve"> Ogutu</w:t>
    </w:r>
    <w:r>
      <w:rPr>
        <w:color w:val="000000"/>
        <w:szCs w:val="24"/>
        <w:vertAlign w:val="superscript"/>
      </w:rPr>
      <w:t xml:space="preserve">3 </w:t>
    </w:r>
    <w:r>
      <w:rPr>
        <w:color w:val="000000"/>
      </w:rPr>
      <w:t>&amp;</w:t>
    </w:r>
    <w:r w:rsidRPr="00117695">
      <w:rPr>
        <w:color w:val="000000"/>
      </w:rPr>
      <w:t xml:space="preserve"> </w:t>
    </w:r>
    <w:r w:rsidRPr="004E2366">
      <w:rPr>
        <w:color w:val="000000"/>
      </w:rPr>
      <w:t>Kinoti</w:t>
    </w:r>
    <w:r>
      <w:rPr>
        <w:color w:val="000000"/>
        <w:szCs w:val="24"/>
        <w:vertAlign w:val="superscript"/>
      </w:rPr>
      <w:t xml:space="preserve"> 4</w:t>
    </w:r>
  </w:p>
  <w:p w:rsidR="008709F6" w:rsidRPr="00DC4476" w:rsidRDefault="008709F6" w:rsidP="00F02298">
    <w:pPr>
      <w:ind w:right="-230"/>
      <w:jc w:val="left"/>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F6" w:rsidRDefault="008709F6" w:rsidP="00BC1A01">
    <w:pPr>
      <w:pStyle w:val="BodyText"/>
      <w:spacing w:line="240" w:lineRule="auto"/>
      <w:jc w:val="both"/>
      <w:rPr>
        <w:rFonts w:ascii="Times New Roman" w:eastAsia="MS Mincho" w:hAnsi="Times New Roman"/>
        <w:b w:val="0"/>
        <w:i/>
        <w:color w:val="000000"/>
        <w:sz w:val="24"/>
        <w:szCs w:val="36"/>
        <w:lang w:eastAsia="ja-JP"/>
      </w:rPr>
    </w:pPr>
    <w:r>
      <w:rPr>
        <w:rFonts w:ascii="Times New Roman" w:eastAsia="MS Mincho" w:hAnsi="Times New Roman"/>
        <w:b w:val="0"/>
        <w:i/>
        <w:color w:val="000000"/>
        <w:sz w:val="24"/>
        <w:szCs w:val="36"/>
        <w:lang w:eastAsia="ja-JP"/>
      </w:rPr>
      <w:t xml:space="preserve">……………………………………… Journal </w:t>
    </w:r>
    <w:r w:rsidRPr="007C434A">
      <w:rPr>
        <w:rFonts w:ascii="Times New Roman" w:eastAsia="MS Mincho" w:hAnsi="Times New Roman"/>
        <w:b w:val="0"/>
        <w:i/>
        <w:color w:val="000000"/>
        <w:sz w:val="24"/>
        <w:szCs w:val="36"/>
        <w:lang w:eastAsia="ja-JP"/>
      </w:rPr>
      <w:t xml:space="preserve">, </w:t>
    </w:r>
    <w:r>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Pr>
        <w:rFonts w:ascii="Times New Roman" w:eastAsia="MS Mincho" w:hAnsi="Times New Roman"/>
        <w:b w:val="0"/>
        <w:i/>
        <w:color w:val="000000"/>
        <w:sz w:val="24"/>
        <w:szCs w:val="36"/>
        <w:lang w:eastAsia="ja-JP"/>
      </w:rPr>
      <w:t>21</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rsidR="008709F6" w:rsidRDefault="008709F6" w:rsidP="00BC1A01">
    <w:pPr>
      <w:pStyle w:val="BodyText"/>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 xml:space="preserve">ISSN: </w:t>
    </w:r>
    <w:r>
      <w:rPr>
        <w:rFonts w:ascii="Times New Roman" w:eastAsia="MS Mincho" w:hAnsi="Times New Roman"/>
        <w:b w:val="0"/>
        <w:i/>
        <w:color w:val="000000"/>
        <w:sz w:val="24"/>
        <w:szCs w:val="36"/>
        <w:lang w:eastAsia="ja-JP"/>
      </w:rPr>
      <w:t>………..</w:t>
    </w:r>
    <w:r w:rsidRPr="007C434A">
      <w:rPr>
        <w:rFonts w:ascii="Times New Roman" w:eastAsia="MS Mincho" w:hAnsi="Times New Roman"/>
        <w:b w:val="0"/>
        <w:i/>
        <w:color w:val="000000"/>
        <w:sz w:val="24"/>
        <w:szCs w:val="36"/>
        <w:lang w:eastAsia="ja-JP"/>
      </w:rPr>
      <w:t xml:space="preserve"> (print version), </w:t>
    </w:r>
    <w:r>
      <w:rPr>
        <w:rFonts w:ascii="Times New Roman" w:eastAsia="MS Mincho" w:hAnsi="Times New Roman"/>
        <w:b w:val="0"/>
        <w:i/>
        <w:color w:val="000000"/>
        <w:sz w:val="24"/>
        <w:szCs w:val="36"/>
        <w:lang w:eastAsia="ja-JP"/>
      </w:rPr>
      <w:t>………</w:t>
    </w:r>
    <w:r w:rsidRPr="007C434A">
      <w:rPr>
        <w:rFonts w:ascii="Times New Roman" w:eastAsia="MS Mincho" w:hAnsi="Times New Roman"/>
        <w:b w:val="0"/>
        <w:i/>
        <w:color w:val="000000"/>
        <w:sz w:val="24"/>
        <w:szCs w:val="36"/>
        <w:lang w:eastAsia="ja-JP"/>
      </w:rPr>
      <w:t>(online)</w:t>
    </w:r>
  </w:p>
  <w:p w:rsidR="008709F6" w:rsidRPr="008F5BB1" w:rsidRDefault="008709F6" w:rsidP="008F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33B0F3C"/>
    <w:multiLevelType w:val="multilevel"/>
    <w:tmpl w:val="2A66D66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777D1"/>
    <w:multiLevelType w:val="hybridMultilevel"/>
    <w:tmpl w:val="C264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36D3A"/>
    <w:multiLevelType w:val="hybridMultilevel"/>
    <w:tmpl w:val="4A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F66DE"/>
    <w:multiLevelType w:val="multilevel"/>
    <w:tmpl w:val="4534376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9070A6"/>
    <w:multiLevelType w:val="hybridMultilevel"/>
    <w:tmpl w:val="E3CE175A"/>
    <w:lvl w:ilvl="0" w:tplc="BC2C8C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C0667"/>
    <w:multiLevelType w:val="multilevel"/>
    <w:tmpl w:val="BCC8FC1A"/>
    <w:lvl w:ilvl="0">
      <w:start w:val="1"/>
      <w:numFmt w:val="decimal"/>
      <w:pStyle w:val="HeadingNumbering1"/>
      <w:lvlText w:val="%1."/>
      <w:lvlJc w:val="left"/>
      <w:pPr>
        <w:ind w:left="630" w:hanging="360"/>
      </w:pPr>
      <w:rPr>
        <w:rFonts w:hint="default"/>
      </w:rPr>
    </w:lvl>
    <w:lvl w:ilvl="1">
      <w:start w:val="1"/>
      <w:numFmt w:val="decimal"/>
      <w:pStyle w:val="HeadingNumbering2"/>
      <w:isLgl/>
      <w:lvlText w:val="%1.%2"/>
      <w:lvlJc w:val="left"/>
      <w:pPr>
        <w:ind w:left="1350" w:hanging="720"/>
      </w:pPr>
      <w:rPr>
        <w:rFonts w:hint="default"/>
      </w:rPr>
    </w:lvl>
    <w:lvl w:ilvl="2">
      <w:start w:val="1"/>
      <w:numFmt w:val="decimal"/>
      <w:pStyle w:val="HeadingNumbering3"/>
      <w:isLgl/>
      <w:lvlText w:val="%1.%2.%3"/>
      <w:lvlJc w:val="left"/>
      <w:pPr>
        <w:ind w:left="1622"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5310" w:hanging="2160"/>
      </w:pPr>
      <w:rPr>
        <w:rFonts w:hint="default"/>
      </w:rPr>
    </w:lvl>
  </w:abstractNum>
  <w:abstractNum w:abstractNumId="8"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845F78"/>
    <w:multiLevelType w:val="multilevel"/>
    <w:tmpl w:val="2A66D66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12" w15:restartNumberingAfterBreak="0">
    <w:nsid w:val="2B790790"/>
    <w:multiLevelType w:val="hybridMultilevel"/>
    <w:tmpl w:val="8B48DFBC"/>
    <w:lvl w:ilvl="0" w:tplc="04090001">
      <w:start w:val="1"/>
      <w:numFmt w:val="bullet"/>
      <w:lvlText w:val=""/>
      <w:lvlJc w:val="left"/>
      <w:pPr>
        <w:ind w:left="918" w:hanging="360"/>
      </w:pPr>
      <w:rPr>
        <w:rFonts w:ascii="Symbol" w:hAnsi="Symbol" w:hint="default"/>
      </w:rPr>
    </w:lvl>
    <w:lvl w:ilvl="1" w:tplc="04090003">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3" w15:restartNumberingAfterBreak="0">
    <w:nsid w:val="2E331A2E"/>
    <w:multiLevelType w:val="multilevel"/>
    <w:tmpl w:val="1688A03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16" w15:restartNumberingAfterBreak="0">
    <w:nsid w:val="3EFF0480"/>
    <w:multiLevelType w:val="hybridMultilevel"/>
    <w:tmpl w:val="E6168E98"/>
    <w:lvl w:ilvl="0" w:tplc="685A9BA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8" w15:restartNumberingAfterBreak="0">
    <w:nsid w:val="438327F3"/>
    <w:multiLevelType w:val="hybridMultilevel"/>
    <w:tmpl w:val="C14A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13E4A"/>
    <w:multiLevelType w:val="hybridMultilevel"/>
    <w:tmpl w:val="8DD25118"/>
    <w:lvl w:ilvl="0" w:tplc="21E261F0">
      <w:start w:val="1"/>
      <w:numFmt w:val="upperLetter"/>
      <w:lvlText w:val="%1)"/>
      <w:lvlJc w:val="left"/>
      <w:pPr>
        <w:ind w:left="36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7E4F08"/>
    <w:multiLevelType w:val="hybridMultilevel"/>
    <w:tmpl w:val="28FEEFFE"/>
    <w:lvl w:ilvl="0" w:tplc="FC0E62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3F0658E"/>
    <w:multiLevelType w:val="multilevel"/>
    <w:tmpl w:val="A01A7CF8"/>
    <w:lvl w:ilvl="0">
      <w:start w:val="1"/>
      <w:numFmt w:val="decimal"/>
      <w:lvlText w:val="%1.0"/>
      <w:lvlJc w:val="left"/>
      <w:pPr>
        <w:ind w:left="1435" w:hanging="960"/>
      </w:pPr>
      <w:rPr>
        <w:rFonts w:hint="default"/>
      </w:rPr>
    </w:lvl>
    <w:lvl w:ilvl="1">
      <w:start w:val="1"/>
      <w:numFmt w:val="decimal"/>
      <w:lvlText w:val="%1.%2"/>
      <w:lvlJc w:val="left"/>
      <w:pPr>
        <w:ind w:left="2155" w:hanging="960"/>
      </w:pPr>
      <w:rPr>
        <w:rFonts w:hint="default"/>
      </w:rPr>
    </w:lvl>
    <w:lvl w:ilvl="2">
      <w:start w:val="1"/>
      <w:numFmt w:val="decimal"/>
      <w:lvlText w:val="%1.%2.%3"/>
      <w:lvlJc w:val="left"/>
      <w:pPr>
        <w:ind w:left="2875" w:hanging="960"/>
      </w:pPr>
      <w:rPr>
        <w:rFonts w:hint="default"/>
      </w:rPr>
    </w:lvl>
    <w:lvl w:ilvl="3">
      <w:start w:val="1"/>
      <w:numFmt w:val="decimal"/>
      <w:lvlText w:val="%1.%2.%3.%4"/>
      <w:lvlJc w:val="left"/>
      <w:pPr>
        <w:ind w:left="3715" w:hanging="1080"/>
      </w:pPr>
      <w:rPr>
        <w:rFonts w:hint="default"/>
      </w:rPr>
    </w:lvl>
    <w:lvl w:ilvl="4">
      <w:start w:val="1"/>
      <w:numFmt w:val="decimal"/>
      <w:lvlText w:val="%1.%2.%3.%4.%5"/>
      <w:lvlJc w:val="left"/>
      <w:pPr>
        <w:ind w:left="4795" w:hanging="1440"/>
      </w:pPr>
      <w:rPr>
        <w:rFonts w:hint="default"/>
      </w:rPr>
    </w:lvl>
    <w:lvl w:ilvl="5">
      <w:start w:val="1"/>
      <w:numFmt w:val="decimal"/>
      <w:lvlText w:val="%1.%2.%3.%4.%5.%6"/>
      <w:lvlJc w:val="left"/>
      <w:pPr>
        <w:ind w:left="5875" w:hanging="1800"/>
      </w:pPr>
      <w:rPr>
        <w:rFonts w:hint="default"/>
      </w:rPr>
    </w:lvl>
    <w:lvl w:ilvl="6">
      <w:start w:val="1"/>
      <w:numFmt w:val="decimal"/>
      <w:lvlText w:val="%1.%2.%3.%4.%5.%6.%7"/>
      <w:lvlJc w:val="left"/>
      <w:pPr>
        <w:ind w:left="6595" w:hanging="1800"/>
      </w:pPr>
      <w:rPr>
        <w:rFonts w:hint="default"/>
      </w:rPr>
    </w:lvl>
    <w:lvl w:ilvl="7">
      <w:start w:val="1"/>
      <w:numFmt w:val="decimal"/>
      <w:lvlText w:val="%1.%2.%3.%4.%5.%6.%7.%8"/>
      <w:lvlJc w:val="left"/>
      <w:pPr>
        <w:ind w:left="7675" w:hanging="2160"/>
      </w:pPr>
      <w:rPr>
        <w:rFonts w:hint="default"/>
      </w:rPr>
    </w:lvl>
    <w:lvl w:ilvl="8">
      <w:start w:val="1"/>
      <w:numFmt w:val="decimal"/>
      <w:lvlText w:val="%1.%2.%3.%4.%5.%6.%7.%8.%9"/>
      <w:lvlJc w:val="left"/>
      <w:pPr>
        <w:ind w:left="8755" w:hanging="2520"/>
      </w:pPr>
      <w:rPr>
        <w:rFonts w:hint="default"/>
      </w:rPr>
    </w:lvl>
  </w:abstractNum>
  <w:abstractNum w:abstractNumId="22"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9140DBB"/>
    <w:multiLevelType w:val="hybridMultilevel"/>
    <w:tmpl w:val="1D1C30A4"/>
    <w:lvl w:ilvl="0" w:tplc="21C4DCFA">
      <w:start w:val="1"/>
      <w:numFmt w:val="low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25" w15:restartNumberingAfterBreak="0">
    <w:nsid w:val="60AD26CA"/>
    <w:multiLevelType w:val="hybridMultilevel"/>
    <w:tmpl w:val="B276C532"/>
    <w:lvl w:ilvl="0" w:tplc="E8BAD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63C86"/>
    <w:multiLevelType w:val="hybridMultilevel"/>
    <w:tmpl w:val="435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24"/>
  </w:num>
  <w:num w:numId="3">
    <w:abstractNumId w:val="15"/>
  </w:num>
  <w:num w:numId="4">
    <w:abstractNumId w:val="17"/>
  </w:num>
  <w:num w:numId="5">
    <w:abstractNumId w:val="11"/>
  </w:num>
  <w:num w:numId="6">
    <w:abstractNumId w:val="22"/>
  </w:num>
  <w:num w:numId="7">
    <w:abstractNumId w:val="8"/>
  </w:num>
  <w:num w:numId="8">
    <w:abstractNumId w:val="27"/>
  </w:num>
  <w:num w:numId="9">
    <w:abstractNumId w:val="14"/>
  </w:num>
  <w:num w:numId="10">
    <w:abstractNumId w:val="10"/>
  </w:num>
  <w:num w:numId="11">
    <w:abstractNumId w:val="17"/>
    <w:lvlOverride w:ilvl="0">
      <w:startOverride w:val="1"/>
    </w:lvlOverride>
  </w:num>
  <w:num w:numId="12">
    <w:abstractNumId w:val="7"/>
  </w:num>
  <w:num w:numId="13">
    <w:abstractNumId w:val="7"/>
  </w:num>
  <w:num w:numId="14">
    <w:abstractNumId w:val="1"/>
  </w:num>
  <w:num w:numId="15">
    <w:abstractNumId w:val="3"/>
  </w:num>
  <w:num w:numId="16">
    <w:abstractNumId w:val="20"/>
  </w:num>
  <w:num w:numId="17">
    <w:abstractNumId w:val="26"/>
  </w:num>
  <w:num w:numId="18">
    <w:abstractNumId w:val="7"/>
    <w:lvlOverride w:ilvl="0">
      <w:startOverride w:val="7"/>
    </w:lvlOverride>
  </w:num>
  <w:num w:numId="19">
    <w:abstractNumId w:val="7"/>
    <w:lvlOverride w:ilvl="0">
      <w:startOverride w:val="7"/>
    </w:lvlOverride>
  </w:num>
  <w:num w:numId="20">
    <w:abstractNumId w:val="23"/>
  </w:num>
  <w:num w:numId="21">
    <w:abstractNumId w:val="19"/>
  </w:num>
  <w:num w:numId="22">
    <w:abstractNumId w:val="7"/>
    <w:lvlOverride w:ilvl="0">
      <w:startOverride w:val="4"/>
    </w:lvlOverride>
  </w:num>
  <w:num w:numId="23">
    <w:abstractNumId w:val="6"/>
  </w:num>
  <w:num w:numId="24">
    <w:abstractNumId w:val="4"/>
  </w:num>
  <w:num w:numId="25">
    <w:abstractNumId w:val="18"/>
  </w:num>
  <w:num w:numId="26">
    <w:abstractNumId w:val="21"/>
  </w:num>
  <w:num w:numId="27">
    <w:abstractNumId w:val="13"/>
  </w:num>
  <w:num w:numId="28">
    <w:abstractNumId w:val="16"/>
  </w:num>
  <w:num w:numId="29">
    <w:abstractNumId w:val="5"/>
  </w:num>
  <w:num w:numId="30">
    <w:abstractNumId w:val="2"/>
  </w:num>
  <w:num w:numId="31">
    <w:abstractNumId w:val="9"/>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zA0NjMyMzK3NLBQ0lEKTi0uzszPAykwqwUAGb4tiiwAAAA="/>
  </w:docVars>
  <w:rsids>
    <w:rsidRoot w:val="00671586"/>
    <w:rsid w:val="0000260F"/>
    <w:rsid w:val="00003779"/>
    <w:rsid w:val="00006F69"/>
    <w:rsid w:val="00016E6B"/>
    <w:rsid w:val="00024360"/>
    <w:rsid w:val="000259E5"/>
    <w:rsid w:val="00034661"/>
    <w:rsid w:val="00036C85"/>
    <w:rsid w:val="000375F9"/>
    <w:rsid w:val="00037D84"/>
    <w:rsid w:val="00047F33"/>
    <w:rsid w:val="00050501"/>
    <w:rsid w:val="00052E2B"/>
    <w:rsid w:val="000574E9"/>
    <w:rsid w:val="00064265"/>
    <w:rsid w:val="00072607"/>
    <w:rsid w:val="000733CC"/>
    <w:rsid w:val="000758C9"/>
    <w:rsid w:val="0008163B"/>
    <w:rsid w:val="00082AA6"/>
    <w:rsid w:val="00083484"/>
    <w:rsid w:val="00085C4B"/>
    <w:rsid w:val="00096CFE"/>
    <w:rsid w:val="000A3132"/>
    <w:rsid w:val="000A4DFB"/>
    <w:rsid w:val="000B1E38"/>
    <w:rsid w:val="000B7141"/>
    <w:rsid w:val="000D0095"/>
    <w:rsid w:val="000E2988"/>
    <w:rsid w:val="000F56AC"/>
    <w:rsid w:val="000F6938"/>
    <w:rsid w:val="00106F0B"/>
    <w:rsid w:val="001108F0"/>
    <w:rsid w:val="001169A2"/>
    <w:rsid w:val="00117695"/>
    <w:rsid w:val="00125EF9"/>
    <w:rsid w:val="001263BA"/>
    <w:rsid w:val="001400F6"/>
    <w:rsid w:val="0014479C"/>
    <w:rsid w:val="001610A0"/>
    <w:rsid w:val="001637F6"/>
    <w:rsid w:val="00172318"/>
    <w:rsid w:val="0018097F"/>
    <w:rsid w:val="00183558"/>
    <w:rsid w:val="00183750"/>
    <w:rsid w:val="00192B51"/>
    <w:rsid w:val="00194821"/>
    <w:rsid w:val="001A54F7"/>
    <w:rsid w:val="001A61EB"/>
    <w:rsid w:val="001B1289"/>
    <w:rsid w:val="001B25C5"/>
    <w:rsid w:val="001C2F45"/>
    <w:rsid w:val="001C4E15"/>
    <w:rsid w:val="001D22E5"/>
    <w:rsid w:val="001D27DE"/>
    <w:rsid w:val="001D7D8F"/>
    <w:rsid w:val="00210593"/>
    <w:rsid w:val="0021334C"/>
    <w:rsid w:val="00224B3A"/>
    <w:rsid w:val="00224EC9"/>
    <w:rsid w:val="00227B0B"/>
    <w:rsid w:val="00230D86"/>
    <w:rsid w:val="00233D0D"/>
    <w:rsid w:val="00234CDB"/>
    <w:rsid w:val="0024101E"/>
    <w:rsid w:val="00255ECB"/>
    <w:rsid w:val="00284290"/>
    <w:rsid w:val="00291478"/>
    <w:rsid w:val="002A0D6F"/>
    <w:rsid w:val="002A5C1A"/>
    <w:rsid w:val="002A6C2E"/>
    <w:rsid w:val="002A776D"/>
    <w:rsid w:val="002E218C"/>
    <w:rsid w:val="002E3749"/>
    <w:rsid w:val="00303353"/>
    <w:rsid w:val="00310E1C"/>
    <w:rsid w:val="003114D0"/>
    <w:rsid w:val="003162E2"/>
    <w:rsid w:val="00322DA7"/>
    <w:rsid w:val="003300FB"/>
    <w:rsid w:val="0033685C"/>
    <w:rsid w:val="003378F8"/>
    <w:rsid w:val="00347F24"/>
    <w:rsid w:val="00351971"/>
    <w:rsid w:val="003526F5"/>
    <w:rsid w:val="003760E0"/>
    <w:rsid w:val="003767AC"/>
    <w:rsid w:val="00395B5C"/>
    <w:rsid w:val="00397041"/>
    <w:rsid w:val="003A0584"/>
    <w:rsid w:val="003A281F"/>
    <w:rsid w:val="003A3D8F"/>
    <w:rsid w:val="003B6589"/>
    <w:rsid w:val="003D3BD5"/>
    <w:rsid w:val="003D3C9C"/>
    <w:rsid w:val="003E2458"/>
    <w:rsid w:val="003E59D5"/>
    <w:rsid w:val="003F3ED0"/>
    <w:rsid w:val="004009AC"/>
    <w:rsid w:val="00402EC1"/>
    <w:rsid w:val="00407CE8"/>
    <w:rsid w:val="00411AF5"/>
    <w:rsid w:val="00412D8C"/>
    <w:rsid w:val="00415105"/>
    <w:rsid w:val="0042122C"/>
    <w:rsid w:val="004239C8"/>
    <w:rsid w:val="00425D81"/>
    <w:rsid w:val="0044732A"/>
    <w:rsid w:val="004518B5"/>
    <w:rsid w:val="00464A83"/>
    <w:rsid w:val="00471FEC"/>
    <w:rsid w:val="00474E09"/>
    <w:rsid w:val="0047666A"/>
    <w:rsid w:val="00476D64"/>
    <w:rsid w:val="004824A2"/>
    <w:rsid w:val="0048722E"/>
    <w:rsid w:val="004879B5"/>
    <w:rsid w:val="00493B5B"/>
    <w:rsid w:val="004A218D"/>
    <w:rsid w:val="004C7D31"/>
    <w:rsid w:val="004D1FFC"/>
    <w:rsid w:val="004E2366"/>
    <w:rsid w:val="004E6BA7"/>
    <w:rsid w:val="004F3B0E"/>
    <w:rsid w:val="0050079C"/>
    <w:rsid w:val="005141B4"/>
    <w:rsid w:val="00515833"/>
    <w:rsid w:val="00520CF9"/>
    <w:rsid w:val="00522958"/>
    <w:rsid w:val="005234B3"/>
    <w:rsid w:val="00525506"/>
    <w:rsid w:val="005278C0"/>
    <w:rsid w:val="005322BB"/>
    <w:rsid w:val="00541CEA"/>
    <w:rsid w:val="00547DC2"/>
    <w:rsid w:val="00551413"/>
    <w:rsid w:val="0056424E"/>
    <w:rsid w:val="0057377A"/>
    <w:rsid w:val="00576E71"/>
    <w:rsid w:val="005826F0"/>
    <w:rsid w:val="00583C12"/>
    <w:rsid w:val="00585013"/>
    <w:rsid w:val="0058563E"/>
    <w:rsid w:val="00585BD2"/>
    <w:rsid w:val="0058758D"/>
    <w:rsid w:val="00587AFB"/>
    <w:rsid w:val="00591173"/>
    <w:rsid w:val="00592501"/>
    <w:rsid w:val="005A2F88"/>
    <w:rsid w:val="005A2FF3"/>
    <w:rsid w:val="005A3FCA"/>
    <w:rsid w:val="005B0E3E"/>
    <w:rsid w:val="005B1162"/>
    <w:rsid w:val="005B62D4"/>
    <w:rsid w:val="005B656B"/>
    <w:rsid w:val="005E7929"/>
    <w:rsid w:val="005F0805"/>
    <w:rsid w:val="005F5EDB"/>
    <w:rsid w:val="005F5F49"/>
    <w:rsid w:val="00607B46"/>
    <w:rsid w:val="006149A0"/>
    <w:rsid w:val="00641F7D"/>
    <w:rsid w:val="00642C03"/>
    <w:rsid w:val="00645F78"/>
    <w:rsid w:val="00651BEA"/>
    <w:rsid w:val="00651CE1"/>
    <w:rsid w:val="00662055"/>
    <w:rsid w:val="00667A6E"/>
    <w:rsid w:val="00671410"/>
    <w:rsid w:val="00671586"/>
    <w:rsid w:val="006741B1"/>
    <w:rsid w:val="00676AB8"/>
    <w:rsid w:val="00680B18"/>
    <w:rsid w:val="00681B2A"/>
    <w:rsid w:val="00684716"/>
    <w:rsid w:val="006A26B6"/>
    <w:rsid w:val="006A4676"/>
    <w:rsid w:val="006B1777"/>
    <w:rsid w:val="006B270A"/>
    <w:rsid w:val="006C164D"/>
    <w:rsid w:val="006C55B9"/>
    <w:rsid w:val="006D3307"/>
    <w:rsid w:val="006D6434"/>
    <w:rsid w:val="006E2353"/>
    <w:rsid w:val="006E7D8D"/>
    <w:rsid w:val="006F216A"/>
    <w:rsid w:val="006F57E2"/>
    <w:rsid w:val="006F7ACB"/>
    <w:rsid w:val="007024DA"/>
    <w:rsid w:val="007067A4"/>
    <w:rsid w:val="00707DAB"/>
    <w:rsid w:val="00707ED3"/>
    <w:rsid w:val="00712DDE"/>
    <w:rsid w:val="00715D81"/>
    <w:rsid w:val="00724391"/>
    <w:rsid w:val="00735E85"/>
    <w:rsid w:val="00745359"/>
    <w:rsid w:val="00754CE7"/>
    <w:rsid w:val="007553F7"/>
    <w:rsid w:val="00760CBF"/>
    <w:rsid w:val="0077016D"/>
    <w:rsid w:val="00770DF9"/>
    <w:rsid w:val="00774C02"/>
    <w:rsid w:val="0078479F"/>
    <w:rsid w:val="007939AB"/>
    <w:rsid w:val="007A0742"/>
    <w:rsid w:val="007A11F8"/>
    <w:rsid w:val="007B5F0C"/>
    <w:rsid w:val="007B7A49"/>
    <w:rsid w:val="007C434A"/>
    <w:rsid w:val="007E0A6A"/>
    <w:rsid w:val="007E0FC9"/>
    <w:rsid w:val="007E3666"/>
    <w:rsid w:val="007F7431"/>
    <w:rsid w:val="0080318C"/>
    <w:rsid w:val="00805A8F"/>
    <w:rsid w:val="00813AF3"/>
    <w:rsid w:val="00817D88"/>
    <w:rsid w:val="00827E9C"/>
    <w:rsid w:val="008656E4"/>
    <w:rsid w:val="008709F6"/>
    <w:rsid w:val="00881C04"/>
    <w:rsid w:val="00884246"/>
    <w:rsid w:val="008878A0"/>
    <w:rsid w:val="008909A9"/>
    <w:rsid w:val="008A7268"/>
    <w:rsid w:val="008C661C"/>
    <w:rsid w:val="008C6AC8"/>
    <w:rsid w:val="008D0267"/>
    <w:rsid w:val="008D1F50"/>
    <w:rsid w:val="008D2F9C"/>
    <w:rsid w:val="008D33AE"/>
    <w:rsid w:val="008D76C2"/>
    <w:rsid w:val="008D7F88"/>
    <w:rsid w:val="008E4678"/>
    <w:rsid w:val="008E50D3"/>
    <w:rsid w:val="008F2A27"/>
    <w:rsid w:val="008F5BB1"/>
    <w:rsid w:val="008F5E37"/>
    <w:rsid w:val="0090266C"/>
    <w:rsid w:val="00924E0E"/>
    <w:rsid w:val="009347E6"/>
    <w:rsid w:val="00934E09"/>
    <w:rsid w:val="009443F8"/>
    <w:rsid w:val="00947EC5"/>
    <w:rsid w:val="00950635"/>
    <w:rsid w:val="00960A8C"/>
    <w:rsid w:val="009625FC"/>
    <w:rsid w:val="0096794F"/>
    <w:rsid w:val="00970C94"/>
    <w:rsid w:val="00972BE1"/>
    <w:rsid w:val="0097349C"/>
    <w:rsid w:val="00973579"/>
    <w:rsid w:val="00975B28"/>
    <w:rsid w:val="00977CB5"/>
    <w:rsid w:val="00986DD1"/>
    <w:rsid w:val="009A1C0D"/>
    <w:rsid w:val="009A60C2"/>
    <w:rsid w:val="009A6DA1"/>
    <w:rsid w:val="009B02F8"/>
    <w:rsid w:val="009B0FB0"/>
    <w:rsid w:val="009B509E"/>
    <w:rsid w:val="009C4D33"/>
    <w:rsid w:val="009C6C50"/>
    <w:rsid w:val="009D0429"/>
    <w:rsid w:val="009D449F"/>
    <w:rsid w:val="009D7D09"/>
    <w:rsid w:val="009E35BA"/>
    <w:rsid w:val="009F30B1"/>
    <w:rsid w:val="00A013CB"/>
    <w:rsid w:val="00A04D4B"/>
    <w:rsid w:val="00A31A40"/>
    <w:rsid w:val="00A31ED3"/>
    <w:rsid w:val="00A31F3C"/>
    <w:rsid w:val="00A413D2"/>
    <w:rsid w:val="00A55775"/>
    <w:rsid w:val="00A573C7"/>
    <w:rsid w:val="00A70104"/>
    <w:rsid w:val="00A72917"/>
    <w:rsid w:val="00A800E4"/>
    <w:rsid w:val="00A805EA"/>
    <w:rsid w:val="00A947A2"/>
    <w:rsid w:val="00A95D65"/>
    <w:rsid w:val="00AA3116"/>
    <w:rsid w:val="00AA77DB"/>
    <w:rsid w:val="00AB7CCB"/>
    <w:rsid w:val="00AC1421"/>
    <w:rsid w:val="00AC2A03"/>
    <w:rsid w:val="00AC51AE"/>
    <w:rsid w:val="00AD0E73"/>
    <w:rsid w:val="00AD169E"/>
    <w:rsid w:val="00AE7EDE"/>
    <w:rsid w:val="00AF1F31"/>
    <w:rsid w:val="00AF21BF"/>
    <w:rsid w:val="00AF776B"/>
    <w:rsid w:val="00B17172"/>
    <w:rsid w:val="00B274DE"/>
    <w:rsid w:val="00B4436C"/>
    <w:rsid w:val="00B44A39"/>
    <w:rsid w:val="00B4553F"/>
    <w:rsid w:val="00B56AC3"/>
    <w:rsid w:val="00B579C8"/>
    <w:rsid w:val="00B62CF1"/>
    <w:rsid w:val="00B85B16"/>
    <w:rsid w:val="00B85B93"/>
    <w:rsid w:val="00B87B24"/>
    <w:rsid w:val="00B91C51"/>
    <w:rsid w:val="00B9297B"/>
    <w:rsid w:val="00B93E0D"/>
    <w:rsid w:val="00BA0183"/>
    <w:rsid w:val="00BA23B1"/>
    <w:rsid w:val="00BA694B"/>
    <w:rsid w:val="00BB326A"/>
    <w:rsid w:val="00BB3756"/>
    <w:rsid w:val="00BB426B"/>
    <w:rsid w:val="00BC006F"/>
    <w:rsid w:val="00BC0CB8"/>
    <w:rsid w:val="00BC1A01"/>
    <w:rsid w:val="00BD4C83"/>
    <w:rsid w:val="00BE01E7"/>
    <w:rsid w:val="00BE1046"/>
    <w:rsid w:val="00BF2E66"/>
    <w:rsid w:val="00BF6D84"/>
    <w:rsid w:val="00C13932"/>
    <w:rsid w:val="00C15591"/>
    <w:rsid w:val="00C1757C"/>
    <w:rsid w:val="00C22F52"/>
    <w:rsid w:val="00C3024F"/>
    <w:rsid w:val="00C363AA"/>
    <w:rsid w:val="00C36973"/>
    <w:rsid w:val="00C40901"/>
    <w:rsid w:val="00C442FC"/>
    <w:rsid w:val="00C45279"/>
    <w:rsid w:val="00C618B6"/>
    <w:rsid w:val="00C64709"/>
    <w:rsid w:val="00C6565A"/>
    <w:rsid w:val="00C67EAF"/>
    <w:rsid w:val="00C80C8A"/>
    <w:rsid w:val="00C80EAB"/>
    <w:rsid w:val="00C84682"/>
    <w:rsid w:val="00C85B4F"/>
    <w:rsid w:val="00C8620F"/>
    <w:rsid w:val="00C973C1"/>
    <w:rsid w:val="00CA1A40"/>
    <w:rsid w:val="00CA5B2F"/>
    <w:rsid w:val="00CC0C75"/>
    <w:rsid w:val="00CE417B"/>
    <w:rsid w:val="00CE6B5B"/>
    <w:rsid w:val="00D03392"/>
    <w:rsid w:val="00D038BC"/>
    <w:rsid w:val="00D04744"/>
    <w:rsid w:val="00D124E5"/>
    <w:rsid w:val="00D13F73"/>
    <w:rsid w:val="00D1571E"/>
    <w:rsid w:val="00D30774"/>
    <w:rsid w:val="00D36FEF"/>
    <w:rsid w:val="00D4164C"/>
    <w:rsid w:val="00D42D29"/>
    <w:rsid w:val="00D44C71"/>
    <w:rsid w:val="00D5106D"/>
    <w:rsid w:val="00D52421"/>
    <w:rsid w:val="00D60232"/>
    <w:rsid w:val="00D631C7"/>
    <w:rsid w:val="00D6487E"/>
    <w:rsid w:val="00D64FD1"/>
    <w:rsid w:val="00D83A86"/>
    <w:rsid w:val="00D8454C"/>
    <w:rsid w:val="00DC4476"/>
    <w:rsid w:val="00DC7403"/>
    <w:rsid w:val="00DC7D4F"/>
    <w:rsid w:val="00DD0455"/>
    <w:rsid w:val="00DE49C5"/>
    <w:rsid w:val="00DF3DDE"/>
    <w:rsid w:val="00E1057E"/>
    <w:rsid w:val="00E15F4B"/>
    <w:rsid w:val="00E22A5E"/>
    <w:rsid w:val="00E23FF6"/>
    <w:rsid w:val="00E25B8E"/>
    <w:rsid w:val="00E264A8"/>
    <w:rsid w:val="00E2700E"/>
    <w:rsid w:val="00E323F0"/>
    <w:rsid w:val="00E41E84"/>
    <w:rsid w:val="00E509ED"/>
    <w:rsid w:val="00E62C7B"/>
    <w:rsid w:val="00E65374"/>
    <w:rsid w:val="00E70FAF"/>
    <w:rsid w:val="00E718A4"/>
    <w:rsid w:val="00E744AA"/>
    <w:rsid w:val="00E74776"/>
    <w:rsid w:val="00E75F94"/>
    <w:rsid w:val="00E80119"/>
    <w:rsid w:val="00E97E94"/>
    <w:rsid w:val="00EA735E"/>
    <w:rsid w:val="00EB3EAB"/>
    <w:rsid w:val="00EB5E6E"/>
    <w:rsid w:val="00EC17E5"/>
    <w:rsid w:val="00EF1A9C"/>
    <w:rsid w:val="00F0206E"/>
    <w:rsid w:val="00F02298"/>
    <w:rsid w:val="00F03418"/>
    <w:rsid w:val="00F05772"/>
    <w:rsid w:val="00F1052D"/>
    <w:rsid w:val="00F10F34"/>
    <w:rsid w:val="00F162D0"/>
    <w:rsid w:val="00F325D4"/>
    <w:rsid w:val="00F32A24"/>
    <w:rsid w:val="00F37BF1"/>
    <w:rsid w:val="00F4037A"/>
    <w:rsid w:val="00F43E70"/>
    <w:rsid w:val="00F45848"/>
    <w:rsid w:val="00F52343"/>
    <w:rsid w:val="00F537F4"/>
    <w:rsid w:val="00F63760"/>
    <w:rsid w:val="00F7355A"/>
    <w:rsid w:val="00F749FB"/>
    <w:rsid w:val="00F833EE"/>
    <w:rsid w:val="00F97F14"/>
    <w:rsid w:val="00FB0418"/>
    <w:rsid w:val="00FF2423"/>
    <w:rsid w:val="00FF6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EF708"/>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caption" w:uiPriority="99"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Heading1">
    <w:name w:val="heading 1"/>
    <w:basedOn w:val="Normal"/>
    <w:next w:val="Normal"/>
    <w:autoRedefine/>
    <w:rsid w:val="00F03418"/>
    <w:pPr>
      <w:keepNext/>
      <w:tabs>
        <w:tab w:val="left" w:pos="360"/>
      </w:tabs>
      <w:ind w:right="45"/>
      <w:outlineLvl w:val="0"/>
    </w:pPr>
    <w:rPr>
      <w:bCs/>
      <w:color w:val="000000"/>
      <w:szCs w:val="24"/>
    </w:rPr>
  </w:style>
  <w:style w:type="paragraph" w:styleId="Heading2">
    <w:name w:val="heading 2"/>
    <w:basedOn w:val="Normal"/>
    <w:next w:val="Normal"/>
    <w:pPr>
      <w:numPr>
        <w:numId w:val="2"/>
      </w:numPr>
      <w:tabs>
        <w:tab w:val="clear" w:pos="360"/>
        <w:tab w:val="left" w:pos="454"/>
      </w:tabs>
      <w:jc w:val="left"/>
      <w:outlineLvl w:val="1"/>
    </w:pPr>
    <w:rPr>
      <w:rFonts w:eastAsia="MingLiU"/>
      <w:b/>
    </w:rPr>
  </w:style>
  <w:style w:type="paragraph" w:styleId="Heading3">
    <w:name w:val="heading 3"/>
    <w:basedOn w:val="Normal"/>
    <w:next w:val="NormalIndent"/>
    <w:pPr>
      <w:keepNext/>
      <w:outlineLvl w:val="2"/>
    </w:pPr>
    <w:rPr>
      <w:b/>
    </w:rPr>
  </w:style>
  <w:style w:type="paragraph" w:styleId="Heading4">
    <w:name w:val="heading 4"/>
    <w:basedOn w:val="Normal"/>
    <w:next w:val="NormalIndent"/>
    <w:pPr>
      <w:numPr>
        <w:numId w:val="3"/>
      </w:numPr>
      <w:ind w:left="397" w:hanging="397"/>
      <w:jc w:val="left"/>
      <w:outlineLvl w:val="3"/>
    </w:pPr>
    <w:rPr>
      <w:rFonts w:eastAsia="MingLiU"/>
      <w:b/>
    </w:rPr>
  </w:style>
  <w:style w:type="paragraph" w:styleId="Heading5">
    <w:name w:val="heading 5"/>
    <w:basedOn w:val="Normal"/>
    <w:next w:val="NormalIndent"/>
    <w:pPr>
      <w:keepNext/>
      <w:widowControl/>
      <w:autoSpaceDE w:val="0"/>
      <w:autoSpaceDN w:val="0"/>
      <w:jc w:val="center"/>
      <w:textAlignment w:val="bottom"/>
      <w:outlineLvl w:val="4"/>
    </w:pPr>
    <w:rPr>
      <w:b/>
    </w:rPr>
  </w:style>
  <w:style w:type="paragraph" w:styleId="Heading6">
    <w:name w:val="heading 6"/>
    <w:basedOn w:val="Normal"/>
    <w:next w:val="NormalIndent"/>
    <w:pPr>
      <w:keepNext/>
      <w:spacing w:before="120"/>
      <w:ind w:left="851" w:right="45"/>
      <w:jc w:val="center"/>
      <w:outlineLvl w:val="5"/>
    </w:pPr>
    <w:rPr>
      <w:b/>
    </w:rPr>
  </w:style>
  <w:style w:type="paragraph" w:styleId="Heading7">
    <w:name w:val="heading 7"/>
    <w:basedOn w:val="Normal"/>
    <w:next w:val="Normal"/>
    <w:pPr>
      <w:keepNext/>
      <w:outlineLvl w:val="6"/>
    </w:pPr>
    <w:rPr>
      <w:b/>
      <w:color w:val="FF0000"/>
    </w:rPr>
  </w:style>
  <w:style w:type="paragraph" w:styleId="Heading8">
    <w:name w:val="heading 8"/>
    <w:basedOn w:val="Normal"/>
    <w:next w:val="Normal"/>
    <w:pPr>
      <w:keepNext/>
      <w:ind w:firstLine="480"/>
      <w:jc w:val="center"/>
      <w:outlineLvl w:val="7"/>
    </w:pPr>
    <w:rPr>
      <w:i/>
      <w:iCs/>
    </w:rPr>
  </w:style>
  <w:style w:type="paragraph" w:styleId="Heading9">
    <w:name w:val="heading 9"/>
    <w:basedOn w:val="Normal"/>
    <w:next w:val="Normal"/>
    <w:pPr>
      <w:keepNext/>
      <w:snapToGrid w:val="0"/>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480" w:lineRule="atLeast"/>
      <w:ind w:left="475"/>
      <w:jc w:val="left"/>
    </w:pPr>
    <w:rPr>
      <w:rFonts w:ascii="MingLiU" w:eastAsia="MingLiU"/>
    </w:rPr>
  </w:style>
  <w:style w:type="paragraph" w:styleId="BodyTextIndent">
    <w:name w:val="Body Text Indent"/>
    <w:basedOn w:val="Normal"/>
    <w:pPr>
      <w:widowControl/>
      <w:autoSpaceDE w:val="0"/>
      <w:autoSpaceDN w:val="0"/>
      <w:spacing w:line="480" w:lineRule="auto"/>
      <w:ind w:firstLine="540"/>
      <w:textAlignment w:val="bottom"/>
    </w:pPr>
    <w:rPr>
      <w:rFonts w:eastAsia="MingLiU"/>
    </w:rPr>
  </w:style>
  <w:style w:type="paragraph" w:styleId="BodyTextIndent2">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Caption">
    <w:name w:val="caption"/>
    <w:basedOn w:val="Normal"/>
    <w:next w:val="Normal"/>
    <w:uiPriority w:val="99"/>
    <w:qFormat/>
    <w:pPr>
      <w:spacing w:before="120" w:after="120"/>
    </w:pPr>
  </w:style>
  <w:style w:type="paragraph" w:styleId="Footer">
    <w:name w:val="footer"/>
    <w:basedOn w:val="Normal"/>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rPr>
  </w:style>
  <w:style w:type="paragraph" w:styleId="BodyTextIndent3">
    <w:name w:val="Body Text Indent 3"/>
    <w:basedOn w:val="Normal"/>
    <w:pPr>
      <w:ind w:firstLine="426"/>
    </w:pPr>
  </w:style>
  <w:style w:type="paragraph" w:styleId="BodyText">
    <w:name w:val="Body Text"/>
    <w:basedOn w:val="Normal"/>
    <w:link w:val="BodyTextChar"/>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pPr>
      <w:spacing w:before="480" w:line="360" w:lineRule="atLeast"/>
      <w:jc w:val="left"/>
    </w:pPr>
    <w:rPr>
      <w:b/>
      <w:i/>
    </w:rPr>
  </w:style>
  <w:style w:type="paragraph" w:styleId="BodyText3">
    <w:name w:val="Body Text 3"/>
    <w:basedOn w:val="Normal"/>
    <w:pPr>
      <w:widowControl/>
      <w:autoSpaceDE w:val="0"/>
      <w:autoSpaceDN w:val="0"/>
      <w:ind w:rightChars="-64" w:right="-154"/>
      <w:textAlignment w:val="bottom"/>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semiHidden/>
    <w:pPr>
      <w:snapToGrid w:val="0"/>
      <w:jc w:val="left"/>
    </w:pPr>
    <w:rPr>
      <w:sz w:val="20"/>
    </w:rPr>
  </w:style>
  <w:style w:type="character" w:styleId="FootnoteReference">
    <w:name w:val="footnote reference"/>
    <w:semiHidden/>
    <w:rPr>
      <w:vertAlign w:val="superscript"/>
    </w:rPr>
  </w:style>
  <w:style w:type="paragraph" w:styleId="BlockText">
    <w:name w:val="Block Text"/>
    <w:basedOn w:val="Normal"/>
    <w:pPr>
      <w:ind w:left="312" w:right="28" w:hangingChars="130" w:hanging="312"/>
    </w:pPr>
    <w:rPr>
      <w:b/>
      <w:color w:val="003366"/>
    </w:rPr>
  </w:style>
  <w:style w:type="character" w:styleId="Strong">
    <w:name w:val="Strong"/>
    <w:rPr>
      <w:b/>
      <w:bCs/>
    </w:rPr>
  </w:style>
  <w:style w:type="paragraph" w:styleId="Header">
    <w:name w:val="header"/>
    <w:basedOn w:val="Normal"/>
    <w:pPr>
      <w:tabs>
        <w:tab w:val="center" w:pos="4536"/>
        <w:tab w:val="right" w:pos="9072"/>
      </w:tabs>
    </w:pPr>
  </w:style>
  <w:style w:type="paragraph" w:customStyle="1" w:styleId="Titleofpaper-line1">
    <w:name w:val="Title of paper-line 1"/>
    <w:basedOn w:val="BodyText"/>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BodyText"/>
    <w:link w:val="Titleofpaper-line2Char"/>
    <w:qFormat/>
    <w:rsid w:val="008F5E37"/>
    <w:pPr>
      <w:spacing w:line="240" w:lineRule="auto"/>
    </w:pPr>
    <w:rPr>
      <w:rFonts w:ascii="Times New Roman" w:hAnsi="Times New Roman"/>
      <w:color w:val="000000"/>
      <w:sz w:val="36"/>
      <w:szCs w:val="36"/>
    </w:rPr>
  </w:style>
  <w:style w:type="character" w:customStyle="1" w:styleId="BodyTextChar">
    <w:name w:val="Body Text Char"/>
    <w:link w:val="BodyText"/>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BodyText"/>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FootnoteText"/>
    <w:link w:val="DetailsforauthorsChar"/>
    <w:qFormat/>
    <w:rsid w:val="00024360"/>
  </w:style>
  <w:style w:type="character" w:customStyle="1" w:styleId="ScienpressChar">
    <w:name w:val="Scienpress Char"/>
    <w:basedOn w:val="BodyTextChar"/>
    <w:link w:val="Scienpress"/>
    <w:rsid w:val="00585BD2"/>
    <w:rPr>
      <w:rFonts w:ascii="Tms Rmn" w:eastAsia="MS Mincho" w:hAnsi="Tms Rmn"/>
      <w:b w:val="0"/>
      <w:i/>
      <w:color w:val="000000"/>
      <w:sz w:val="24"/>
      <w:szCs w:val="24"/>
      <w:lang w:val="en-US" w:eastAsia="ja-JP"/>
    </w:rPr>
  </w:style>
  <w:style w:type="character" w:customStyle="1" w:styleId="FootnoteTextChar">
    <w:name w:val="Footnote Text Char"/>
    <w:basedOn w:val="DefaultParagraphFont"/>
    <w:link w:val="FootnoteText"/>
    <w:semiHidden/>
    <w:rsid w:val="00024360"/>
    <w:rPr>
      <w:lang w:val="en-US" w:eastAsia="zh-TW"/>
    </w:rPr>
  </w:style>
  <w:style w:type="character" w:customStyle="1" w:styleId="DetailsforauthorsChar">
    <w:name w:val="Details for authors Char"/>
    <w:basedOn w:val="FootnoteTextCh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DefaultParagraphFont"/>
    <w:link w:val="TablesHeading"/>
    <w:rsid w:val="00474E09"/>
    <w:rPr>
      <w:b/>
      <w:sz w:val="22"/>
      <w:lang w:val="en-US" w:eastAsia="zh-TW"/>
    </w:rPr>
  </w:style>
  <w:style w:type="paragraph" w:customStyle="1" w:styleId="Figure">
    <w:name w:val="Figure"/>
    <w:basedOn w:val="Caption"/>
    <w:link w:val="FigureChar"/>
    <w:qFormat/>
    <w:rsid w:val="00183750"/>
    <w:pPr>
      <w:jc w:val="center"/>
    </w:pPr>
    <w:rPr>
      <w:b/>
      <w:bCs/>
    </w:rPr>
  </w:style>
  <w:style w:type="character" w:customStyle="1" w:styleId="TabletextChar">
    <w:name w:val="Table text Char"/>
    <w:basedOn w:val="DefaultParagraphFont"/>
    <w:link w:val="Tabletext"/>
    <w:rsid w:val="009C6C50"/>
    <w:rPr>
      <w:rFonts w:eastAsia="Times New Roman"/>
      <w:bCs/>
      <w:sz w:val="24"/>
      <w:szCs w:val="24"/>
      <w:lang w:val="en-NZ" w:eastAsia="el-GR"/>
    </w:rPr>
  </w:style>
  <w:style w:type="character" w:customStyle="1" w:styleId="FigureChar">
    <w:name w:val="Figure Char"/>
    <w:basedOn w:val="DefaultParagraphFont"/>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Normal"/>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Bibliography">
    <w:name w:val="Bibliography"/>
    <w:basedOn w:val="Normal"/>
    <w:next w:val="Normal"/>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paragraph" w:customStyle="1" w:styleId="Default">
    <w:name w:val="Default"/>
    <w:rsid w:val="00607B46"/>
    <w:pPr>
      <w:autoSpaceDE w:val="0"/>
      <w:autoSpaceDN w:val="0"/>
      <w:adjustRightInd w:val="0"/>
    </w:pPr>
    <w:rPr>
      <w:rFonts w:eastAsia="Times New Roman"/>
      <w:color w:val="000000"/>
      <w:sz w:val="24"/>
      <w:szCs w:val="24"/>
      <w:lang w:val="en-US" w:eastAsia="en-US"/>
    </w:rPr>
  </w:style>
  <w:style w:type="character" w:customStyle="1" w:styleId="algo-summary">
    <w:name w:val="algo-summary"/>
    <w:basedOn w:val="DefaultParagraphFont"/>
    <w:rsid w:val="00607B46"/>
  </w:style>
  <w:style w:type="paragraph" w:customStyle="1" w:styleId="ColorfulList-Accent11">
    <w:name w:val="Colorful List - Accent 11"/>
    <w:basedOn w:val="Normal"/>
    <w:qFormat/>
    <w:rsid w:val="003162E2"/>
    <w:pPr>
      <w:widowControl/>
      <w:adjustRightInd/>
      <w:spacing w:before="200" w:after="200" w:line="276" w:lineRule="auto"/>
      <w:ind w:left="720"/>
      <w:contextualSpacing/>
      <w:jc w:val="left"/>
      <w:textAlignment w:val="auto"/>
    </w:pPr>
    <w:rPr>
      <w:rFonts w:ascii="Calibri" w:eastAsia="Calibri" w:hAnsi="Calibri"/>
      <w:sz w:val="20"/>
      <w:lang w:eastAsia="en-US" w:bidi="en-US"/>
    </w:rPr>
  </w:style>
  <w:style w:type="character" w:customStyle="1" w:styleId="hlfld-title">
    <w:name w:val="hlfld-title"/>
    <w:rsid w:val="005F5F49"/>
  </w:style>
  <w:style w:type="character" w:styleId="HTMLCite">
    <w:name w:val="HTML Cite"/>
    <w:uiPriority w:val="99"/>
    <w:unhideWhenUsed/>
    <w:rsid w:val="009443F8"/>
    <w:rPr>
      <w:i/>
      <w:iCs/>
    </w:rPr>
  </w:style>
  <w:style w:type="character" w:customStyle="1" w:styleId="author-name">
    <w:name w:val="author-name"/>
    <w:basedOn w:val="DefaultParagraphFont"/>
    <w:rsid w:val="00754CE7"/>
  </w:style>
  <w:style w:type="paragraph" w:styleId="NoSpacing">
    <w:name w:val="No Spacing"/>
    <w:uiPriority w:val="1"/>
    <w:qFormat/>
    <w:rsid w:val="0033685C"/>
    <w:rPr>
      <w:rFonts w:ascii="Calibri" w:eastAsia="Calibri" w:hAnsi="Calibri"/>
      <w:sz w:val="22"/>
      <w:szCs w:val="22"/>
      <w:lang w:val="en-US" w:eastAsia="en-US"/>
    </w:rPr>
  </w:style>
  <w:style w:type="paragraph" w:styleId="Revision">
    <w:name w:val="Revision"/>
    <w:hidden/>
    <w:uiPriority w:val="99"/>
    <w:semiHidden/>
    <w:rsid w:val="00E15F4B"/>
    <w:rPr>
      <w:sz w:val="24"/>
      <w:lang w:val="en-US" w:eastAsia="zh-TW"/>
    </w:rPr>
  </w:style>
  <w:style w:type="paragraph" w:styleId="BalloonText">
    <w:name w:val="Balloon Text"/>
    <w:basedOn w:val="Normal"/>
    <w:link w:val="BalloonTextChar"/>
    <w:rsid w:val="00E15F4B"/>
    <w:rPr>
      <w:rFonts w:ascii="Segoe UI" w:hAnsi="Segoe UI" w:cs="Segoe UI"/>
      <w:sz w:val="18"/>
      <w:szCs w:val="18"/>
    </w:rPr>
  </w:style>
  <w:style w:type="character" w:customStyle="1" w:styleId="BalloonTextChar">
    <w:name w:val="Balloon Text Char"/>
    <w:basedOn w:val="DefaultParagraphFont"/>
    <w:link w:val="BalloonText"/>
    <w:rsid w:val="00E15F4B"/>
    <w:rPr>
      <w:rFonts w:ascii="Segoe UI" w:hAnsi="Segoe UI" w:cs="Segoe UI"/>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yperlink" Target="http://www.sciencedirec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logs.lse.ac.uk/politicsandpolicy/the-presence-of-foreign-multinationals-in-the-uk-boosts-innovation-by-domestic-firm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pra.ub.uni-muench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conpapers.repec.org/article/eeedeveco/" TargetMode="External"/><Relationship Id="rId20" Type="http://schemas.openxmlformats.org/officeDocument/2006/relationships/hyperlink" Target="http://blogs.lse.ac.uk/politicsandpolicy/the-presence-of-foreign-multinationals-in-the-uk-boosts-innovation-by-domestic-fi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onpapers.repec.org/RAS/pbl95.htm" TargetMode="External"/><Relationship Id="rId23" Type="http://schemas.openxmlformats.org/officeDocument/2006/relationships/header" Target="header1.xml"/><Relationship Id="rId10" Type="http://schemas.openxmlformats.org/officeDocument/2006/relationships/customXml" Target="ink/ink2.xml"/><Relationship Id="rId19" Type="http://schemas.openxmlformats.org/officeDocument/2006/relationships/hyperlink" Target="http://www.scielo.br/scielo.php?script=sci_serial&amp;pid=1677-5449&amp;lng=en&amp;nrm=iso"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econ.upm.edu.my" TargetMode="External"/><Relationship Id="rId22" Type="http://schemas.openxmlformats.org/officeDocument/2006/relationships/hyperlink" Target="http://blogs.lse.ac.uk/politicsandpolicy/the-presence-of-foreign-multinationals-in-the-uk-boosts-innovation-by-domestic-firms/"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51.77993" units="1/cm"/>
          <inkml:channelProperty channel="Y" name="resolution" value="51.72414" units="1/cm"/>
          <inkml:channelProperty channel="T" name="resolution" value="1" units="1/dev"/>
        </inkml:channelProperties>
      </inkml:inkSource>
      <inkml:timestamp xml:id="ts0" timeString="2021-08-22T10:36:10.135"/>
    </inkml:context>
    <inkml:brush xml:id="br0">
      <inkml:brushProperty name="width" value="0.08333" units="cm"/>
      <inkml:brushProperty name="height" value="0.08333"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51.77993" units="1/cm"/>
          <inkml:channelProperty channel="Y" name="resolution" value="51.72414" units="1/cm"/>
          <inkml:channelProperty channel="T" name="resolution" value="1" units="1/dev"/>
        </inkml:channelProperties>
      </inkml:inkSource>
      <inkml:timestamp xml:id="ts0" timeString="2021-08-22T10:36:09.887"/>
    </inkml:context>
    <inkml:brush xml:id="br0">
      <inkml:brushProperty name="width" value="0.08333" units="cm"/>
      <inkml:brushProperty name="height" value="0.08333"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FF4F05F3-778E-48A5-BD29-04A4A8E9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5986</Words>
  <Characters>34121</Characters>
  <Application>Microsoft Office Word</Application>
  <DocSecurity>0</DocSecurity>
  <Lines>284</Lines>
  <Paragraphs>80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hp</cp:lastModifiedBy>
  <cp:revision>2</cp:revision>
  <cp:lastPrinted>2021-08-26T09:28:00Z</cp:lastPrinted>
  <dcterms:created xsi:type="dcterms:W3CDTF">2021-08-26T15:35:00Z</dcterms:created>
  <dcterms:modified xsi:type="dcterms:W3CDTF">2021-08-26T15:35:00Z</dcterms:modified>
</cp:coreProperties>
</file>