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D338" w14:textId="51B76153" w:rsidR="00255E34" w:rsidRPr="000C4180" w:rsidRDefault="002A0774" w:rsidP="0004675E">
      <w:pPr>
        <w:pStyle w:val="Heading1"/>
        <w:jc w:val="center"/>
        <w:rPr>
          <w:sz w:val="24"/>
          <w:szCs w:val="24"/>
        </w:rPr>
      </w:pPr>
      <w:bookmarkStart w:id="0" w:name="_Hlk507489967"/>
      <w:bookmarkStart w:id="1" w:name="_Hlk507489865"/>
      <w:r w:rsidRPr="000C4180">
        <w:rPr>
          <w:sz w:val="24"/>
          <w:szCs w:val="24"/>
        </w:rPr>
        <w:t xml:space="preserve">A resolution to the </w:t>
      </w:r>
      <w:r w:rsidR="00D161E4" w:rsidRPr="000C4180">
        <w:rPr>
          <w:sz w:val="24"/>
          <w:szCs w:val="24"/>
        </w:rPr>
        <w:t>Multiple IRR problem</w:t>
      </w:r>
      <w:r w:rsidR="00B84F4D" w:rsidRPr="000C4180">
        <w:rPr>
          <w:sz w:val="24"/>
          <w:szCs w:val="24"/>
        </w:rPr>
        <w:t xml:space="preserve">: </w:t>
      </w:r>
      <w:r w:rsidR="00F31527" w:rsidRPr="000C4180">
        <w:rPr>
          <w:sz w:val="24"/>
          <w:szCs w:val="24"/>
        </w:rPr>
        <w:t>M</w:t>
      </w:r>
      <w:r w:rsidR="00B84F4D" w:rsidRPr="000C4180">
        <w:rPr>
          <w:sz w:val="24"/>
          <w:szCs w:val="24"/>
        </w:rPr>
        <w:t xml:space="preserve">odified capital amortization schedule (MCAS) method </w:t>
      </w:r>
      <w:r w:rsidR="00D161E4" w:rsidRPr="000C4180">
        <w:rPr>
          <w:sz w:val="24"/>
          <w:szCs w:val="24"/>
        </w:rPr>
        <w:t>that</w:t>
      </w:r>
      <w:r w:rsidRPr="000C4180">
        <w:rPr>
          <w:sz w:val="24"/>
          <w:szCs w:val="24"/>
        </w:rPr>
        <w:t xml:space="preserve"> eliminates multiple IRR and </w:t>
      </w:r>
      <w:r w:rsidR="00D161E4" w:rsidRPr="000C4180">
        <w:rPr>
          <w:sz w:val="24"/>
          <w:szCs w:val="24"/>
        </w:rPr>
        <w:t>leads to a real and unique IRR</w:t>
      </w:r>
      <w:r w:rsidR="00255E34" w:rsidRPr="000C4180">
        <w:rPr>
          <w:rStyle w:val="FootnoteReference"/>
          <w:sz w:val="24"/>
          <w:szCs w:val="24"/>
        </w:rPr>
        <w:footnoteReference w:id="2"/>
      </w:r>
      <w:r w:rsidR="00255E34" w:rsidRPr="000C4180">
        <w:rPr>
          <w:sz w:val="24"/>
          <w:szCs w:val="24"/>
        </w:rPr>
        <w:t xml:space="preserve">  </w:t>
      </w:r>
    </w:p>
    <w:p w14:paraId="51C3E9AD" w14:textId="1F26CC11" w:rsidR="00553F9C" w:rsidRPr="000C4180" w:rsidRDefault="00255E34" w:rsidP="0004675E">
      <w:pPr>
        <w:pStyle w:val="Heading1"/>
        <w:jc w:val="center"/>
        <w:rPr>
          <w:sz w:val="24"/>
          <w:szCs w:val="24"/>
        </w:rPr>
      </w:pPr>
      <w:r w:rsidRPr="000C4180">
        <w:rPr>
          <w:sz w:val="24"/>
          <w:szCs w:val="24"/>
        </w:rPr>
        <w:t xml:space="preserve">Dr Kannapiran C. Arjunan, </w:t>
      </w:r>
      <w:r w:rsidR="00F31527" w:rsidRPr="000C4180">
        <w:rPr>
          <w:sz w:val="24"/>
          <w:szCs w:val="24"/>
        </w:rPr>
        <w:t xml:space="preserve">International </w:t>
      </w:r>
      <w:r w:rsidRPr="000C4180">
        <w:rPr>
          <w:sz w:val="24"/>
          <w:szCs w:val="24"/>
        </w:rPr>
        <w:t>Economi</w:t>
      </w:r>
      <w:r w:rsidR="001F3D07" w:rsidRPr="000C4180">
        <w:rPr>
          <w:sz w:val="24"/>
          <w:szCs w:val="24"/>
        </w:rPr>
        <w:t>c Consultant</w:t>
      </w:r>
      <w:r w:rsidRPr="000C4180">
        <w:rPr>
          <w:sz w:val="24"/>
          <w:szCs w:val="24"/>
        </w:rPr>
        <w:t>, Australia</w:t>
      </w:r>
      <w:r w:rsidRPr="000C4180">
        <w:rPr>
          <w:rStyle w:val="FootnoteReference"/>
          <w:sz w:val="24"/>
          <w:szCs w:val="24"/>
        </w:rPr>
        <w:footnoteReference w:id="3"/>
      </w:r>
      <w:r w:rsidRPr="000C4180">
        <w:rPr>
          <w:sz w:val="24"/>
          <w:szCs w:val="24"/>
        </w:rPr>
        <w:t xml:space="preserve"> </w:t>
      </w:r>
      <w:r w:rsidR="007E2894" w:rsidRPr="000C4180">
        <w:rPr>
          <w:sz w:val="24"/>
          <w:szCs w:val="24"/>
        </w:rPr>
        <w:t xml:space="preserve"> </w:t>
      </w:r>
    </w:p>
    <w:p w14:paraId="63E885FC" w14:textId="77777777" w:rsidR="008826DC" w:rsidRPr="000C4180" w:rsidRDefault="008826DC" w:rsidP="0004675E">
      <w:pPr>
        <w:jc w:val="center"/>
        <w:rPr>
          <w:b/>
        </w:rPr>
      </w:pPr>
      <w:r w:rsidRPr="000C4180">
        <w:rPr>
          <w:b/>
        </w:rPr>
        <w:t>Abstract</w:t>
      </w:r>
    </w:p>
    <w:p w14:paraId="007B6AC4" w14:textId="77777777" w:rsidR="00510F15" w:rsidRDefault="00510F15" w:rsidP="0004675E">
      <w:pPr>
        <w:spacing w:line="480" w:lineRule="auto"/>
        <w:jc w:val="both"/>
        <w:rPr>
          <w:sz w:val="22"/>
          <w:szCs w:val="22"/>
        </w:rPr>
      </w:pPr>
    </w:p>
    <w:p w14:paraId="1C0B128B" w14:textId="77777777" w:rsidR="00F506D1" w:rsidRPr="0004675E" w:rsidRDefault="00F506D1" w:rsidP="00F506D1">
      <w:pPr>
        <w:spacing w:line="480" w:lineRule="auto"/>
        <w:jc w:val="both"/>
        <w:rPr>
          <w:sz w:val="22"/>
          <w:szCs w:val="22"/>
        </w:rPr>
      </w:pPr>
      <w:r w:rsidRPr="0004675E">
        <w:rPr>
          <w:sz w:val="22"/>
          <w:szCs w:val="22"/>
        </w:rPr>
        <w:t>The problem</w:t>
      </w:r>
      <w:r>
        <w:rPr>
          <w:sz w:val="22"/>
          <w:szCs w:val="22"/>
        </w:rPr>
        <w:t>s</w:t>
      </w:r>
      <w:r w:rsidRPr="0004675E">
        <w:rPr>
          <w:sz w:val="22"/>
          <w:szCs w:val="22"/>
        </w:rPr>
        <w:t xml:space="preserve"> of </w:t>
      </w:r>
      <w:r>
        <w:rPr>
          <w:sz w:val="22"/>
          <w:szCs w:val="22"/>
        </w:rPr>
        <w:t xml:space="preserve">reinvestment and </w:t>
      </w:r>
      <w:r w:rsidRPr="0004675E">
        <w:rPr>
          <w:sz w:val="22"/>
          <w:szCs w:val="22"/>
        </w:rPr>
        <w:t xml:space="preserve">multiple IRR remained unresolved for </w:t>
      </w:r>
      <w:r>
        <w:rPr>
          <w:sz w:val="22"/>
          <w:szCs w:val="22"/>
        </w:rPr>
        <w:t>decades</w:t>
      </w:r>
      <w:r w:rsidRPr="0004675E">
        <w:rPr>
          <w:sz w:val="22"/>
          <w:szCs w:val="22"/>
        </w:rPr>
        <w:t xml:space="preserve">. This problem is associated </w:t>
      </w:r>
      <w:r>
        <w:rPr>
          <w:sz w:val="22"/>
          <w:szCs w:val="22"/>
        </w:rPr>
        <w:t xml:space="preserve">only </w:t>
      </w:r>
      <w:r w:rsidRPr="0004675E">
        <w:rPr>
          <w:sz w:val="22"/>
          <w:szCs w:val="22"/>
        </w:rPr>
        <w:t>with</w:t>
      </w:r>
      <w:r>
        <w:rPr>
          <w:sz w:val="22"/>
          <w:szCs w:val="22"/>
        </w:rPr>
        <w:t xml:space="preserve"> some of the </w:t>
      </w:r>
      <w:r w:rsidRPr="0004675E">
        <w:rPr>
          <w:sz w:val="22"/>
          <w:szCs w:val="22"/>
        </w:rPr>
        <w:t>non-normal net cash flow (NNCF)</w:t>
      </w:r>
      <w:r>
        <w:rPr>
          <w:sz w:val="22"/>
          <w:szCs w:val="22"/>
        </w:rPr>
        <w:t>. A new method, based on capital amortization schedule (CAS) used to estimate IRR and NPV, transparently reveals reinvestment, if there is any. A modified CAS (MCAS) method is used to eliminate the reinvestment thereby resolving the problem of reinvestment and multiple IRR</w:t>
      </w:r>
      <w:r w:rsidRPr="0004675E">
        <w:rPr>
          <w:sz w:val="22"/>
          <w:szCs w:val="22"/>
        </w:rPr>
        <w:t>. The salient findings of the present analysis are:</w:t>
      </w:r>
    </w:p>
    <w:p w14:paraId="6FD329F2" w14:textId="77777777" w:rsidR="00F506D1" w:rsidRDefault="00F506D1" w:rsidP="00F506D1">
      <w:pPr>
        <w:pStyle w:val="ListParagraph"/>
        <w:numPr>
          <w:ilvl w:val="0"/>
          <w:numId w:val="10"/>
        </w:numPr>
        <w:spacing w:line="480" w:lineRule="auto"/>
        <w:jc w:val="both"/>
        <w:rPr>
          <w:sz w:val="22"/>
          <w:szCs w:val="22"/>
        </w:rPr>
      </w:pPr>
      <w:r>
        <w:rPr>
          <w:sz w:val="22"/>
          <w:szCs w:val="22"/>
        </w:rPr>
        <w:t xml:space="preserve">The CAS method estimated IRR and NPV are consistent with that estimated by discounted cash flow (DCF) method. </w:t>
      </w:r>
    </w:p>
    <w:p w14:paraId="12FD25BF" w14:textId="77777777" w:rsidR="00F506D1" w:rsidRDefault="00F506D1" w:rsidP="00F506D1">
      <w:pPr>
        <w:pStyle w:val="ListParagraph"/>
        <w:numPr>
          <w:ilvl w:val="0"/>
          <w:numId w:val="10"/>
        </w:numPr>
        <w:spacing w:line="480" w:lineRule="auto"/>
        <w:jc w:val="both"/>
        <w:rPr>
          <w:sz w:val="22"/>
          <w:szCs w:val="22"/>
        </w:rPr>
      </w:pPr>
      <w:r>
        <w:rPr>
          <w:sz w:val="22"/>
          <w:szCs w:val="22"/>
        </w:rPr>
        <w:t xml:space="preserve">The CAS method indicates if there is any reinvestment of intermediate income and that the reinvestment income under the benefit stream causes multiple IRRs and distorts NPVs too. </w:t>
      </w:r>
    </w:p>
    <w:p w14:paraId="149DDB8B" w14:textId="77777777" w:rsidR="00F506D1" w:rsidRPr="0004675E" w:rsidRDefault="00F506D1" w:rsidP="00F506D1">
      <w:pPr>
        <w:pStyle w:val="ListParagraph"/>
        <w:numPr>
          <w:ilvl w:val="0"/>
          <w:numId w:val="10"/>
        </w:numPr>
        <w:spacing w:line="480" w:lineRule="auto"/>
        <w:jc w:val="both"/>
        <w:rPr>
          <w:sz w:val="22"/>
          <w:szCs w:val="22"/>
        </w:rPr>
      </w:pPr>
      <w:r>
        <w:rPr>
          <w:sz w:val="22"/>
          <w:szCs w:val="22"/>
        </w:rPr>
        <w:t>The</w:t>
      </w:r>
      <w:r w:rsidRPr="0004675E">
        <w:rPr>
          <w:sz w:val="22"/>
          <w:szCs w:val="22"/>
        </w:rPr>
        <w:t xml:space="preserve"> </w:t>
      </w:r>
      <w:r>
        <w:rPr>
          <w:sz w:val="22"/>
          <w:szCs w:val="22"/>
        </w:rPr>
        <w:t>MCAS</w:t>
      </w:r>
      <w:r w:rsidRPr="0004675E">
        <w:rPr>
          <w:sz w:val="22"/>
          <w:szCs w:val="22"/>
        </w:rPr>
        <w:t xml:space="preserve"> method</w:t>
      </w:r>
      <w:r>
        <w:rPr>
          <w:sz w:val="22"/>
          <w:szCs w:val="22"/>
        </w:rPr>
        <w:t xml:space="preserve"> eliminates the reinvestment income</w:t>
      </w:r>
      <w:r w:rsidRPr="0004675E">
        <w:rPr>
          <w:sz w:val="22"/>
          <w:szCs w:val="22"/>
        </w:rPr>
        <w:t xml:space="preserve"> </w:t>
      </w:r>
      <w:r>
        <w:rPr>
          <w:sz w:val="22"/>
          <w:szCs w:val="22"/>
        </w:rPr>
        <w:t xml:space="preserve">associated with NNCF investments </w:t>
      </w:r>
      <w:r w:rsidRPr="0004675E">
        <w:rPr>
          <w:sz w:val="22"/>
          <w:szCs w:val="22"/>
        </w:rPr>
        <w:t>and leads to a unique and real IRR</w:t>
      </w:r>
      <w:r>
        <w:rPr>
          <w:sz w:val="22"/>
          <w:szCs w:val="22"/>
        </w:rPr>
        <w:t xml:space="preserve"> and consistent NPV. </w:t>
      </w:r>
    </w:p>
    <w:p w14:paraId="06FC1E18" w14:textId="77777777" w:rsidR="00F506D1" w:rsidRPr="0004675E" w:rsidRDefault="00F506D1" w:rsidP="00F506D1">
      <w:pPr>
        <w:pStyle w:val="ListParagraph"/>
        <w:numPr>
          <w:ilvl w:val="0"/>
          <w:numId w:val="10"/>
        </w:numPr>
        <w:spacing w:line="480" w:lineRule="auto"/>
        <w:jc w:val="both"/>
        <w:rPr>
          <w:sz w:val="22"/>
          <w:szCs w:val="22"/>
        </w:rPr>
      </w:pPr>
      <w:r w:rsidRPr="0004675E">
        <w:rPr>
          <w:sz w:val="22"/>
          <w:szCs w:val="22"/>
        </w:rPr>
        <w:t xml:space="preserve">The assumption of reinvestment at IRR or at hurdle rate in NPV </w:t>
      </w:r>
      <w:r>
        <w:rPr>
          <w:sz w:val="22"/>
          <w:szCs w:val="22"/>
        </w:rPr>
        <w:t>is</w:t>
      </w:r>
      <w:r w:rsidRPr="0004675E">
        <w:rPr>
          <w:sz w:val="22"/>
          <w:szCs w:val="22"/>
        </w:rPr>
        <w:t xml:space="preserve"> </w:t>
      </w:r>
      <w:r>
        <w:rPr>
          <w:sz w:val="22"/>
          <w:szCs w:val="22"/>
        </w:rPr>
        <w:t xml:space="preserve">a </w:t>
      </w:r>
      <w:r w:rsidRPr="0004675E">
        <w:rPr>
          <w:sz w:val="22"/>
          <w:szCs w:val="22"/>
        </w:rPr>
        <w:t>false assertion in the case</w:t>
      </w:r>
      <w:r>
        <w:rPr>
          <w:sz w:val="22"/>
          <w:szCs w:val="22"/>
        </w:rPr>
        <w:t>s</w:t>
      </w:r>
      <w:r w:rsidRPr="0004675E">
        <w:rPr>
          <w:sz w:val="22"/>
          <w:szCs w:val="22"/>
        </w:rPr>
        <w:t xml:space="preserve"> of</w:t>
      </w:r>
      <w:r>
        <w:rPr>
          <w:sz w:val="22"/>
          <w:szCs w:val="22"/>
        </w:rPr>
        <w:t xml:space="preserve"> all</w:t>
      </w:r>
      <w:r w:rsidRPr="0004675E">
        <w:rPr>
          <w:sz w:val="22"/>
          <w:szCs w:val="22"/>
        </w:rPr>
        <w:t xml:space="preserve"> normal NCF</w:t>
      </w:r>
      <w:r>
        <w:rPr>
          <w:sz w:val="22"/>
          <w:szCs w:val="22"/>
        </w:rPr>
        <w:t xml:space="preserve"> and NNCFs. However,</w:t>
      </w:r>
      <w:r w:rsidRPr="0004675E">
        <w:rPr>
          <w:sz w:val="22"/>
          <w:szCs w:val="22"/>
        </w:rPr>
        <w:t xml:space="preserve"> such reinvestment is evident</w:t>
      </w:r>
      <w:r>
        <w:rPr>
          <w:sz w:val="22"/>
          <w:szCs w:val="22"/>
        </w:rPr>
        <w:t xml:space="preserve"> only with some NCFs and </w:t>
      </w:r>
      <w:r w:rsidRPr="0004675E">
        <w:rPr>
          <w:sz w:val="22"/>
          <w:szCs w:val="22"/>
        </w:rPr>
        <w:t>NNCF</w:t>
      </w:r>
      <w:r>
        <w:rPr>
          <w:sz w:val="22"/>
          <w:szCs w:val="22"/>
        </w:rPr>
        <w:t>s with positive opening balance in one or more years under the CAS</w:t>
      </w:r>
      <w:r w:rsidRPr="0004675E">
        <w:rPr>
          <w:sz w:val="22"/>
          <w:szCs w:val="22"/>
        </w:rPr>
        <w:t>.</w:t>
      </w:r>
    </w:p>
    <w:p w14:paraId="111B33D9" w14:textId="77777777" w:rsidR="00F506D1" w:rsidRDefault="00F506D1" w:rsidP="00F506D1">
      <w:pPr>
        <w:pStyle w:val="ListParagraph"/>
        <w:numPr>
          <w:ilvl w:val="0"/>
          <w:numId w:val="10"/>
        </w:numPr>
        <w:spacing w:line="480" w:lineRule="auto"/>
        <w:jc w:val="both"/>
        <w:rPr>
          <w:sz w:val="22"/>
          <w:szCs w:val="22"/>
        </w:rPr>
      </w:pPr>
      <w:r w:rsidRPr="0004675E">
        <w:rPr>
          <w:sz w:val="22"/>
          <w:szCs w:val="22"/>
        </w:rPr>
        <w:t xml:space="preserve">The MCAS method is appropriate for both normal NCF and NNCF as illustrated in this paper. CAS or DCF method </w:t>
      </w:r>
      <w:r>
        <w:rPr>
          <w:sz w:val="22"/>
          <w:szCs w:val="22"/>
        </w:rPr>
        <w:t>is</w:t>
      </w:r>
      <w:r w:rsidRPr="0004675E">
        <w:rPr>
          <w:sz w:val="22"/>
          <w:szCs w:val="22"/>
        </w:rPr>
        <w:t xml:space="preserve"> appropriate only for normal NCF investments.</w:t>
      </w:r>
    </w:p>
    <w:p w14:paraId="5BA0B6FD" w14:textId="77777777" w:rsidR="00F506D1" w:rsidRDefault="00F506D1" w:rsidP="00F506D1">
      <w:pPr>
        <w:pStyle w:val="ListParagraph"/>
        <w:numPr>
          <w:ilvl w:val="0"/>
          <w:numId w:val="10"/>
        </w:numPr>
        <w:spacing w:line="480" w:lineRule="auto"/>
        <w:jc w:val="both"/>
        <w:rPr>
          <w:sz w:val="22"/>
          <w:szCs w:val="22"/>
        </w:rPr>
      </w:pPr>
      <w:r w:rsidRPr="00DB3E08">
        <w:rPr>
          <w:sz w:val="22"/>
          <w:szCs w:val="22"/>
        </w:rPr>
        <w:t>The alternative methods like generalized IRR (GIRR) and the Average IRR (AIRR) are not appropriate estimates for NNCF and not NCF consistent</w:t>
      </w:r>
      <w:r>
        <w:rPr>
          <w:sz w:val="22"/>
          <w:szCs w:val="22"/>
        </w:rPr>
        <w:t>.</w:t>
      </w:r>
    </w:p>
    <w:p w14:paraId="3F98F9BA" w14:textId="77777777" w:rsidR="00F506D1" w:rsidRPr="00DB3E08" w:rsidRDefault="00F506D1" w:rsidP="00F506D1">
      <w:pPr>
        <w:spacing w:line="480" w:lineRule="auto"/>
        <w:ind w:left="360"/>
        <w:jc w:val="both"/>
        <w:rPr>
          <w:sz w:val="22"/>
          <w:szCs w:val="22"/>
        </w:rPr>
      </w:pPr>
      <w:r w:rsidRPr="00DB3E08">
        <w:rPr>
          <w:sz w:val="22"/>
          <w:szCs w:val="22"/>
        </w:rPr>
        <w:lastRenderedPageBreak/>
        <w:t>In conclusion, the MCAS method resolves the problem of multiple IRR and leads to a unique IRR that is real and NCF-consistent. Neither the NPV nor the MIRR could resolve the problem of multiple IRR.</w:t>
      </w:r>
    </w:p>
    <w:p w14:paraId="7D7FB225" w14:textId="6177BD0B" w:rsidR="00342D0E" w:rsidRPr="000C4180" w:rsidRDefault="00342D0E" w:rsidP="009109B3">
      <w:pPr>
        <w:spacing w:after="160" w:line="259" w:lineRule="auto"/>
        <w:jc w:val="center"/>
      </w:pPr>
      <w:r w:rsidRPr="000C4180">
        <w:rPr>
          <w:rStyle w:val="Heading3Char"/>
        </w:rPr>
        <w:t>1.</w:t>
      </w:r>
      <w:r w:rsidRPr="000C4180">
        <w:rPr>
          <w:rStyle w:val="Heading3Char"/>
        </w:rPr>
        <w:tab/>
        <w:t>Introduction</w:t>
      </w:r>
    </w:p>
    <w:p w14:paraId="50953CA7" w14:textId="21FFA08B" w:rsidR="007A31B3" w:rsidRDefault="00F6062D" w:rsidP="0004675E">
      <w:pPr>
        <w:pStyle w:val="NoSpacing"/>
        <w:rPr>
          <w:rFonts w:eastAsia="Times New Roman"/>
          <w:color w:val="000000"/>
          <w:lang w:eastAsia="en-AU"/>
        </w:rPr>
      </w:pPr>
      <w:r w:rsidRPr="00F6062D">
        <w:t xml:space="preserve">Economic theory indicates that </w:t>
      </w:r>
      <w:r>
        <w:t xml:space="preserve">measurement of </w:t>
      </w:r>
      <w:r w:rsidRPr="00F6062D">
        <w:t>efficiency requires cost-benefit analysis</w:t>
      </w:r>
      <w:r w:rsidR="00510F15">
        <w:t xml:space="preserve"> (CBA)</w:t>
      </w:r>
      <w:r w:rsidRPr="00F6062D">
        <w:t xml:space="preserve">. </w:t>
      </w:r>
      <w:r w:rsidR="003D63C3">
        <w:t xml:space="preserve">The CBA tool has been often criticised because of the multiple IRR and inconsistency between NPV and IRR ranking of investments. </w:t>
      </w:r>
      <w:r w:rsidR="003457A1" w:rsidRPr="000C4180">
        <w:t xml:space="preserve">The </w:t>
      </w:r>
      <w:r w:rsidR="00CD02CD" w:rsidRPr="000C4180">
        <w:t>problem of multiple IRR was</w:t>
      </w:r>
      <w:r w:rsidR="003457A1" w:rsidRPr="000C4180">
        <w:t xml:space="preserve"> first discussed in detail </w:t>
      </w:r>
      <w:r w:rsidR="00BB0E68" w:rsidRPr="000C4180">
        <w:t>by Lorie and Savage (1955)</w:t>
      </w:r>
      <w:r w:rsidR="00CD02CD" w:rsidRPr="000C4180">
        <w:t xml:space="preserve">. Till date, this problem continues to dominate the debate on </w:t>
      </w:r>
      <w:r w:rsidR="007634B1" w:rsidRPr="000C4180">
        <w:t>estimation methods for non-normal</w:t>
      </w:r>
      <w:r w:rsidR="007634B1" w:rsidRPr="000C4180">
        <w:rPr>
          <w:rStyle w:val="FootnoteReference"/>
          <w:lang w:val="en-US"/>
        </w:rPr>
        <w:footnoteReference w:id="4"/>
      </w:r>
      <w:r w:rsidR="007634B1" w:rsidRPr="000C4180">
        <w:t xml:space="preserve"> net cash flow (NNCF). </w:t>
      </w:r>
      <w:r w:rsidR="000204DD" w:rsidRPr="000C4180">
        <w:t xml:space="preserve">NNCF, also known </w:t>
      </w:r>
      <w:r w:rsidR="00A1396D" w:rsidRPr="000C4180">
        <w:t xml:space="preserve">as non-conventional or </w:t>
      </w:r>
      <w:r w:rsidR="000204DD" w:rsidRPr="000C4180">
        <w:t>unorthodox NCFs, stream changes signs (positive and negative) several times. Such sign changes generally lead to the problems of multiple IRRs or no IRR and or negative IR</w:t>
      </w:r>
      <w:r w:rsidR="00446BD8" w:rsidRPr="000C4180">
        <w:t>R.</w:t>
      </w:r>
      <w:r w:rsidR="007634B1" w:rsidRPr="000C4180">
        <w:t xml:space="preserve"> </w:t>
      </w:r>
      <w:r w:rsidR="00360D4C" w:rsidRPr="000C4180">
        <w:t>There are projects with NNCF</w:t>
      </w:r>
      <w:r w:rsidR="006F1C81" w:rsidRPr="000C4180">
        <w:t xml:space="preserve"> but only</w:t>
      </w:r>
      <w:r w:rsidR="00360D4C" w:rsidRPr="000C4180">
        <w:t xml:space="preserve"> some of them end-up with multiple IRR. D</w:t>
      </w:r>
      <w:r w:rsidR="00D13844" w:rsidRPr="000C4180">
        <w:t>iscounted cash-flow (DCF) method used in</w:t>
      </w:r>
      <w:r w:rsidR="007634B1" w:rsidRPr="000C4180">
        <w:t xml:space="preserve"> </w:t>
      </w:r>
      <w:r w:rsidR="00CD02CD" w:rsidRPr="000C4180">
        <w:t xml:space="preserve">cost-benefit analysis (CBA) and capital investment analysis (CIA) </w:t>
      </w:r>
      <w:r w:rsidR="00D13844" w:rsidRPr="000C4180">
        <w:t>could not solve the problem of multiple IRR. T</w:t>
      </w:r>
      <w:r w:rsidR="00EF2FBE" w:rsidRPr="000C4180">
        <w:t xml:space="preserve">he identification of an appropriate method to estimate </w:t>
      </w:r>
      <w:r w:rsidR="00446BD8" w:rsidRPr="000C4180">
        <w:t xml:space="preserve">a real </w:t>
      </w:r>
      <w:r w:rsidR="00EF2FBE" w:rsidRPr="000C4180">
        <w:t>rate of return</w:t>
      </w:r>
      <w:r w:rsidR="00984542" w:rsidRPr="000C4180">
        <w:t xml:space="preserve"> for </w:t>
      </w:r>
      <w:r w:rsidR="00CD02CD" w:rsidRPr="000C4180">
        <w:t>NNCF</w:t>
      </w:r>
      <w:r w:rsidR="00EF2FBE" w:rsidRPr="000C4180">
        <w:t xml:space="preserve"> stream</w:t>
      </w:r>
      <w:r w:rsidR="00EE4393" w:rsidRPr="000C4180">
        <w:t xml:space="preserve"> has been</w:t>
      </w:r>
      <w:r w:rsidR="00BA6D51" w:rsidRPr="000C4180">
        <w:t xml:space="preserve"> a challenge for more than a half century.</w:t>
      </w:r>
      <w:r w:rsidR="00F51DFE" w:rsidRPr="000C4180">
        <w:t xml:space="preserve"> The</w:t>
      </w:r>
      <w:r w:rsidR="00441BDA" w:rsidRPr="000C4180">
        <w:t xml:space="preserve">re </w:t>
      </w:r>
      <w:r w:rsidR="00A856FE" w:rsidRPr="000C4180">
        <w:t>are several</w:t>
      </w:r>
      <w:r w:rsidR="00446BD8" w:rsidRPr="000C4180">
        <w:t xml:space="preserve"> approaches</w:t>
      </w:r>
      <w:r w:rsidR="006B39B1" w:rsidRPr="000C4180">
        <w:t xml:space="preserve"> </w:t>
      </w:r>
      <w:r w:rsidR="00A856FE" w:rsidRPr="000C4180">
        <w:t xml:space="preserve">introduced </w:t>
      </w:r>
      <w:r w:rsidR="00984542" w:rsidRPr="000C4180">
        <w:t xml:space="preserve">to estimate the IRR and NPV using NNCF data </w:t>
      </w:r>
      <w:r w:rsidR="006B39B1" w:rsidRPr="000C4180">
        <w:t xml:space="preserve">(for example, </w:t>
      </w:r>
      <w:r w:rsidR="00F51DFE" w:rsidRPr="000C4180">
        <w:t>modified IRR (</w:t>
      </w:r>
      <w:r w:rsidR="006B39B1" w:rsidRPr="000C4180">
        <w:t>MIRR), generalized IRR (GIRR)</w:t>
      </w:r>
      <w:r w:rsidR="00A856FE" w:rsidRPr="000C4180">
        <w:t xml:space="preserve"> by Kulakov and Kastro (201</w:t>
      </w:r>
      <w:r w:rsidR="00F077A6" w:rsidRPr="000C4180">
        <w:t>5</w:t>
      </w:r>
      <w:r w:rsidR="00A856FE" w:rsidRPr="000C4180">
        <w:t>)</w:t>
      </w:r>
      <w:r w:rsidR="006B39B1" w:rsidRPr="000C4180">
        <w:t>, a</w:t>
      </w:r>
      <w:r w:rsidR="00F51DFE" w:rsidRPr="000C4180">
        <w:t>verage IRR (</w:t>
      </w:r>
      <w:r w:rsidR="00A5207C" w:rsidRPr="000C4180">
        <w:t>AIRR)</w:t>
      </w:r>
      <w:r w:rsidR="00A856FE" w:rsidRPr="000C4180">
        <w:t xml:space="preserve"> by Magni (201</w:t>
      </w:r>
      <w:r w:rsidR="00BF2708" w:rsidRPr="000C4180">
        <w:t>0</w:t>
      </w:r>
      <w:r w:rsidR="00A856FE" w:rsidRPr="000C4180">
        <w:t xml:space="preserve">) </w:t>
      </w:r>
      <w:r w:rsidR="00984542" w:rsidRPr="000C4180">
        <w:t xml:space="preserve">and </w:t>
      </w:r>
      <w:r w:rsidR="006B39B1" w:rsidRPr="000C4180">
        <w:t>selective IRR (SIRR)</w:t>
      </w:r>
      <w:r w:rsidR="00A856FE" w:rsidRPr="000C4180">
        <w:t xml:space="preserve"> by Weber (2017))</w:t>
      </w:r>
      <w:r w:rsidR="00F1183F" w:rsidRPr="000C4180">
        <w:t xml:space="preserve">. </w:t>
      </w:r>
      <w:r w:rsidR="00A856FE" w:rsidRPr="000C4180">
        <w:t>The</w:t>
      </w:r>
      <w:r w:rsidR="00342D0E" w:rsidRPr="000C4180">
        <w:t xml:space="preserve"> debate</w:t>
      </w:r>
      <w:r w:rsidR="00A856FE" w:rsidRPr="000C4180">
        <w:t xml:space="preserve"> continue</w:t>
      </w:r>
      <w:r w:rsidR="00F1183F" w:rsidRPr="000C4180">
        <w:t>s</w:t>
      </w:r>
      <w:r w:rsidR="0030232E" w:rsidRPr="000C4180">
        <w:t xml:space="preserve"> without consensus on </w:t>
      </w:r>
      <w:r w:rsidR="00342D0E" w:rsidRPr="000C4180">
        <w:t>the preferred criterion</w:t>
      </w:r>
      <w:r w:rsidR="0004323E" w:rsidRPr="000C4180">
        <w:t>. Applied analysts and finance executives continue to remain within their</w:t>
      </w:r>
      <w:r w:rsidR="00AE6621" w:rsidRPr="000C4180">
        <w:t xml:space="preserve"> comfort zone i.e. IRR and or NPV (Brealey et al. 200</w:t>
      </w:r>
      <w:r w:rsidR="00035ED7" w:rsidRPr="000C4180">
        <w:t>6</w:t>
      </w:r>
      <w:r w:rsidR="00AE6621" w:rsidRPr="000C4180">
        <w:t>, Osborne, 2010 and Brigham and Houston, 20</w:t>
      </w:r>
      <w:r w:rsidR="00B10489" w:rsidRPr="000C4180">
        <w:t>0</w:t>
      </w:r>
      <w:r w:rsidR="00AE6621" w:rsidRPr="000C4180">
        <w:t>6).</w:t>
      </w:r>
      <w:r w:rsidR="00C85164" w:rsidRPr="000C4180">
        <w:rPr>
          <w:rFonts w:eastAsia="Times New Roman"/>
          <w:color w:val="000000"/>
          <w:lang w:eastAsia="en-AU"/>
        </w:rPr>
        <w:t> </w:t>
      </w:r>
    </w:p>
    <w:p w14:paraId="1CE35AB8" w14:textId="77777777" w:rsidR="009109B3" w:rsidRPr="000C4180" w:rsidRDefault="009109B3" w:rsidP="0004675E">
      <w:pPr>
        <w:pStyle w:val="NoSpacing"/>
      </w:pPr>
    </w:p>
    <w:p w14:paraId="0844A6BE" w14:textId="0ACE5C6B" w:rsidR="006831FC" w:rsidRPr="000C4180" w:rsidRDefault="006831FC" w:rsidP="0004675E">
      <w:pPr>
        <w:pStyle w:val="NoSpacing"/>
      </w:pPr>
      <w:r w:rsidRPr="000C4180">
        <w:t>The purpose of this analysis is to</w:t>
      </w:r>
      <w:r w:rsidR="001E0AA3" w:rsidRPr="000C4180">
        <w:t xml:space="preserve"> </w:t>
      </w:r>
      <w:r w:rsidR="00240DD7" w:rsidRPr="000C4180">
        <w:t>identify the facto</w:t>
      </w:r>
      <w:r w:rsidR="00446BD8" w:rsidRPr="000C4180">
        <w:t>r</w:t>
      </w:r>
      <w:r w:rsidR="00240DD7" w:rsidRPr="000C4180">
        <w:t>s that lead to multiple IRR and t</w:t>
      </w:r>
      <w:r w:rsidR="00446BD8" w:rsidRPr="000C4180">
        <w:t>o</w:t>
      </w:r>
      <w:r w:rsidR="00240DD7" w:rsidRPr="000C4180">
        <w:t xml:space="preserve"> </w:t>
      </w:r>
      <w:r w:rsidR="00BA6D51" w:rsidRPr="000C4180">
        <w:t>introduce an appropriate method to estimat</w:t>
      </w:r>
      <w:r w:rsidR="001E0AA3" w:rsidRPr="000C4180">
        <w:t xml:space="preserve">e </w:t>
      </w:r>
      <w:r w:rsidR="0031079E" w:rsidRPr="000C4180">
        <w:t>NNCF</w:t>
      </w:r>
      <w:r w:rsidR="0030232E" w:rsidRPr="000C4180">
        <w:t>s</w:t>
      </w:r>
      <w:r w:rsidR="001E0AA3" w:rsidRPr="000C4180">
        <w:t xml:space="preserve"> </w:t>
      </w:r>
      <w:r w:rsidR="00540EF0" w:rsidRPr="000C4180">
        <w:t xml:space="preserve">investment </w:t>
      </w:r>
      <w:r w:rsidR="001E0AA3" w:rsidRPr="000C4180">
        <w:t>to resolve the problem of multiple IRR</w:t>
      </w:r>
      <w:r w:rsidR="0031079E" w:rsidRPr="000C4180">
        <w:t>. This process also involves a</w:t>
      </w:r>
      <w:r w:rsidR="00BA6D51" w:rsidRPr="000C4180">
        <w:t xml:space="preserve"> review of</w:t>
      </w:r>
      <w:r w:rsidRPr="000C4180">
        <w:t xml:space="preserve"> some of the newly emerged</w:t>
      </w:r>
      <w:r w:rsidR="001E0AA3" w:rsidRPr="000C4180">
        <w:t xml:space="preserve"> methods to estimate the NNCF. </w:t>
      </w:r>
      <w:r w:rsidRPr="000C4180">
        <w:t xml:space="preserve">The </w:t>
      </w:r>
      <w:r w:rsidR="001E0AA3" w:rsidRPr="000C4180">
        <w:t xml:space="preserve">review </w:t>
      </w:r>
      <w:r w:rsidRPr="000C4180">
        <w:t>provide</w:t>
      </w:r>
      <w:r w:rsidR="001E0AA3" w:rsidRPr="000C4180">
        <w:t>s</w:t>
      </w:r>
      <w:r w:rsidRPr="000C4180">
        <w:t xml:space="preserve"> a better insight into the conceptual issues</w:t>
      </w:r>
      <w:r w:rsidR="009479B8" w:rsidRPr="000C4180">
        <w:t xml:space="preserve"> and</w:t>
      </w:r>
      <w:r w:rsidRPr="000C4180">
        <w:t xml:space="preserve"> estimation methods</w:t>
      </w:r>
      <w:r w:rsidR="009479B8" w:rsidRPr="000C4180">
        <w:t xml:space="preserve">. </w:t>
      </w:r>
      <w:r w:rsidR="00941DF8" w:rsidRPr="000C4180">
        <w:t xml:space="preserve">This analysis is also expanded to </w:t>
      </w:r>
      <w:r w:rsidR="009116C3" w:rsidRPr="000C4180">
        <w:t>countercheck</w:t>
      </w:r>
      <w:r w:rsidR="00941DF8" w:rsidRPr="000C4180">
        <w:t xml:space="preserve"> </w:t>
      </w:r>
      <w:r w:rsidR="00F75EC9" w:rsidRPr="000C4180">
        <w:t xml:space="preserve">whether the </w:t>
      </w:r>
      <w:r w:rsidR="00AE2E65" w:rsidRPr="000C4180">
        <w:t xml:space="preserve">estimated return is </w:t>
      </w:r>
      <w:r w:rsidR="0030232E" w:rsidRPr="000C4180">
        <w:t xml:space="preserve">consistent with financing practice, accounting </w:t>
      </w:r>
      <w:r w:rsidR="00AE2E65" w:rsidRPr="000C4180">
        <w:t>conc</w:t>
      </w:r>
      <w:r w:rsidR="0066389C" w:rsidRPr="000C4180">
        <w:t>ept and NCF stream</w:t>
      </w:r>
      <w:r w:rsidR="0030232E" w:rsidRPr="000C4180">
        <w:t>.</w:t>
      </w:r>
      <w:r w:rsidR="00F75EC9" w:rsidRPr="000C4180">
        <w:t xml:space="preserve"> </w:t>
      </w:r>
      <w:r w:rsidR="00384545" w:rsidRPr="000C4180">
        <w:t>This</w:t>
      </w:r>
      <w:r w:rsidR="00F75EC9" w:rsidRPr="000C4180">
        <w:t xml:space="preserve"> paper</w:t>
      </w:r>
      <w:r w:rsidR="00384545" w:rsidRPr="000C4180">
        <w:t xml:space="preserve"> pres</w:t>
      </w:r>
      <w:r w:rsidR="00E92B31" w:rsidRPr="000C4180">
        <w:t xml:space="preserve">ents </w:t>
      </w:r>
      <w:r w:rsidR="001E0AA3" w:rsidRPr="000C4180">
        <w:t>answers to these questions</w:t>
      </w:r>
      <w:r w:rsidR="00F75EC9" w:rsidRPr="000C4180">
        <w:t>.</w:t>
      </w:r>
    </w:p>
    <w:p w14:paraId="4CBD72DB" w14:textId="08283120" w:rsidR="0030232E" w:rsidRPr="000C4180" w:rsidRDefault="00C85164" w:rsidP="0004675E">
      <w:pPr>
        <w:pStyle w:val="NoSpacing"/>
      </w:pPr>
      <w:r w:rsidRPr="000C4180">
        <w:rPr>
          <w:rFonts w:eastAsia="Times New Roman"/>
          <w:color w:val="000000"/>
          <w:lang w:eastAsia="en-AU"/>
        </w:rPr>
        <w:t> </w:t>
      </w:r>
    </w:p>
    <w:p w14:paraId="1AEC1F5E" w14:textId="2A532E06" w:rsidR="00E8261D" w:rsidRPr="000C4180" w:rsidRDefault="00E8261D" w:rsidP="0004675E">
      <w:pPr>
        <w:pStyle w:val="NoSpacing"/>
      </w:pPr>
      <w:r w:rsidRPr="000C4180">
        <w:t xml:space="preserve">The </w:t>
      </w:r>
      <w:r w:rsidR="006831FC" w:rsidRPr="000C4180">
        <w:t xml:space="preserve">present analysis </w:t>
      </w:r>
      <w:r w:rsidR="00B81D74" w:rsidRPr="000C4180">
        <w:t>is different from other published works and is</w:t>
      </w:r>
      <w:r w:rsidR="006831FC" w:rsidRPr="000C4180">
        <w:t xml:space="preserve"> more transparent</w:t>
      </w:r>
      <w:r w:rsidR="00102E33" w:rsidRPr="000C4180">
        <w:t xml:space="preserve">. The evaluation of the estimated results and testing their consistency with NCF is a novelty in this paper. </w:t>
      </w:r>
      <w:r w:rsidR="00EE4393" w:rsidRPr="000C4180">
        <w:t xml:space="preserve">The </w:t>
      </w:r>
      <w:r w:rsidR="007C3A5F" w:rsidRPr="000C4180">
        <w:t xml:space="preserve">new </w:t>
      </w:r>
      <w:r w:rsidR="00EE4393" w:rsidRPr="000C4180">
        <w:t>approach</w:t>
      </w:r>
      <w:r w:rsidR="007C3A5F" w:rsidRPr="000C4180">
        <w:t xml:space="preserve">es </w:t>
      </w:r>
      <w:r w:rsidR="00102E33" w:rsidRPr="000C4180">
        <w:t>involve</w:t>
      </w:r>
      <w:r w:rsidR="006831FC" w:rsidRPr="000C4180">
        <w:t xml:space="preserve">: </w:t>
      </w:r>
      <w:r w:rsidR="00AB5F7B" w:rsidRPr="000C4180">
        <w:t>a</w:t>
      </w:r>
      <w:r w:rsidR="00F00B5B" w:rsidRPr="000C4180">
        <w:t xml:space="preserve">. </w:t>
      </w:r>
      <w:r w:rsidR="00EE4393" w:rsidRPr="000C4180">
        <w:t xml:space="preserve">formulation of </w:t>
      </w:r>
      <w:r w:rsidR="00A169E0" w:rsidRPr="000C4180">
        <w:t>a modified capital amortization schedule (MCAS) method</w:t>
      </w:r>
      <w:r w:rsidR="005A54D1">
        <w:t xml:space="preserve"> which is a modification of the CAS method </w:t>
      </w:r>
      <w:r w:rsidR="00A169E0" w:rsidRPr="000C4180">
        <w:t>(see Arjunan, 2017, for CAS method)</w:t>
      </w:r>
      <w:r w:rsidR="00F00B5B" w:rsidRPr="000C4180">
        <w:t xml:space="preserve"> to </w:t>
      </w:r>
      <w:r w:rsidR="00AB5F7B" w:rsidRPr="000C4180">
        <w:t>estimate NNCF investments; b. identification of the problem that causes multiple IRR using the CAS method;</w:t>
      </w:r>
      <w:r w:rsidR="00C85164" w:rsidRPr="000C4180">
        <w:rPr>
          <w:rFonts w:eastAsia="Times New Roman"/>
          <w:color w:val="000000"/>
          <w:lang w:eastAsia="en-AU"/>
        </w:rPr>
        <w:t> </w:t>
      </w:r>
      <w:r w:rsidR="00A169E0" w:rsidRPr="000C4180">
        <w:t xml:space="preserve"> </w:t>
      </w:r>
      <w:r w:rsidR="00F00B5B" w:rsidRPr="000C4180">
        <w:t>c</w:t>
      </w:r>
      <w:r w:rsidR="00A169E0" w:rsidRPr="000C4180">
        <w:t xml:space="preserve">. </w:t>
      </w:r>
      <w:r w:rsidR="00A169E0" w:rsidRPr="000C4180">
        <w:lastRenderedPageBreak/>
        <w:t>estimat</w:t>
      </w:r>
      <w:r w:rsidR="00EE4393" w:rsidRPr="000C4180">
        <w:t xml:space="preserve">ing and comparing the </w:t>
      </w:r>
      <w:r w:rsidR="00A169E0" w:rsidRPr="000C4180">
        <w:t>IRR</w:t>
      </w:r>
      <w:r w:rsidR="00941DF8" w:rsidRPr="000C4180">
        <w:t xml:space="preserve"> and NPV</w:t>
      </w:r>
      <w:r w:rsidR="00A169E0" w:rsidRPr="000C4180">
        <w:t xml:space="preserve"> </w:t>
      </w:r>
      <w:r w:rsidR="00F00B5B" w:rsidRPr="000C4180">
        <w:t xml:space="preserve">of selected NNCF data </w:t>
      </w:r>
      <w:r w:rsidR="00A169E0" w:rsidRPr="000C4180">
        <w:t>by the DCF</w:t>
      </w:r>
      <w:r w:rsidR="007C3A5F" w:rsidRPr="000C4180">
        <w:t xml:space="preserve">, </w:t>
      </w:r>
      <w:r w:rsidR="00EE4393" w:rsidRPr="000C4180">
        <w:t>CAS</w:t>
      </w:r>
      <w:r w:rsidR="00A169E0" w:rsidRPr="000C4180">
        <w:t xml:space="preserve"> and MCAS methods; </w:t>
      </w:r>
      <w:r w:rsidR="00F00B5B" w:rsidRPr="000C4180">
        <w:t>d</w:t>
      </w:r>
      <w:r w:rsidR="00A169E0" w:rsidRPr="000C4180">
        <w:t xml:space="preserve">. </w:t>
      </w:r>
      <w:r w:rsidR="008602D0" w:rsidRPr="000C4180">
        <w:t xml:space="preserve">evaluating </w:t>
      </w:r>
      <w:r w:rsidRPr="000C4180">
        <w:t>whe</w:t>
      </w:r>
      <w:r w:rsidR="007C3A5F" w:rsidRPr="000C4180">
        <w:t>ther the est</w:t>
      </w:r>
      <w:r w:rsidR="008602D0" w:rsidRPr="000C4180">
        <w:t xml:space="preserve">imated </w:t>
      </w:r>
      <w:r w:rsidR="007C3A5F" w:rsidRPr="000C4180">
        <w:t>IRR, NPV and MIRR are supported by the intrinsic value of NNCF or NCF (NCF-consistent</w:t>
      </w:r>
      <w:r w:rsidR="007C3A5F" w:rsidRPr="000C4180">
        <w:rPr>
          <w:rStyle w:val="FootnoteReference"/>
        </w:rPr>
        <w:footnoteReference w:id="5"/>
      </w:r>
      <w:r w:rsidR="007C3A5F" w:rsidRPr="000C4180">
        <w:t xml:space="preserve">) using CAS and </w:t>
      </w:r>
      <w:r w:rsidR="008602D0" w:rsidRPr="000C4180">
        <w:t>MCAS method</w:t>
      </w:r>
      <w:r w:rsidR="007C3A5F" w:rsidRPr="000C4180">
        <w:t xml:space="preserve">s; and </w:t>
      </w:r>
      <w:r w:rsidR="00F00B5B" w:rsidRPr="000C4180">
        <w:t>e</w:t>
      </w:r>
      <w:r w:rsidR="007C3A5F" w:rsidRPr="000C4180">
        <w:t xml:space="preserve">. evaluating </w:t>
      </w:r>
      <w:r w:rsidR="00AB5F7B" w:rsidRPr="000C4180">
        <w:t>other some of the method recently introduced by</w:t>
      </w:r>
      <w:r w:rsidR="00C85164" w:rsidRPr="000C4180">
        <w:rPr>
          <w:rFonts w:eastAsia="Times New Roman"/>
          <w:color w:val="000000"/>
          <w:lang w:eastAsia="en-AU"/>
        </w:rPr>
        <w:t> </w:t>
      </w:r>
      <w:r w:rsidR="00AB5F7B" w:rsidRPr="000C4180">
        <w:t xml:space="preserve"> other authors to estimate NNCF investment and compare the results</w:t>
      </w:r>
      <w:r w:rsidR="00C73880" w:rsidRPr="000C4180">
        <w:t xml:space="preserve"> with </w:t>
      </w:r>
      <w:r w:rsidR="00EE4393" w:rsidRPr="000C4180">
        <w:t xml:space="preserve">MCAS </w:t>
      </w:r>
      <w:r w:rsidR="00C73880" w:rsidRPr="000C4180">
        <w:t>estimates</w:t>
      </w:r>
      <w:r w:rsidRPr="000C4180">
        <w:t>.</w:t>
      </w:r>
    </w:p>
    <w:p w14:paraId="6F7C0A86" w14:textId="74327A67" w:rsidR="002D6D79" w:rsidRPr="009109B3" w:rsidRDefault="002D6D79" w:rsidP="009109B3">
      <w:pPr>
        <w:pStyle w:val="Heading3"/>
      </w:pPr>
      <w:r w:rsidRPr="009109B3">
        <w:t>2. Literature:</w:t>
      </w:r>
    </w:p>
    <w:p w14:paraId="04ACAB6C" w14:textId="79C5AE9A" w:rsidR="006F0DF7" w:rsidRPr="000C4180" w:rsidRDefault="00FC035C" w:rsidP="0004675E">
      <w:pPr>
        <w:pStyle w:val="NoSpacing"/>
      </w:pPr>
      <w:r w:rsidRPr="000C4180">
        <w:t>Non-normal cash flows are common with projects that involves substantial capital cost in the middle of the project for capital replacements or at the end the project to decommission or cleanup costs or mitigation of any damages to the land and water resources (Ross et al., 20</w:t>
      </w:r>
      <w:r w:rsidR="005646B7" w:rsidRPr="000C4180">
        <w:t>1</w:t>
      </w:r>
      <w:r w:rsidR="003E7937" w:rsidRPr="000C4180">
        <w:t>3</w:t>
      </w:r>
      <w:r w:rsidRPr="000C4180">
        <w:t xml:space="preserve">; Brigham and Houston, 2006; Brealey et al., 2006; Simon, 2006). </w:t>
      </w:r>
      <w:r w:rsidR="006F0DF7" w:rsidRPr="000C4180">
        <w:t>A review of the published work</w:t>
      </w:r>
      <w:r w:rsidR="004A46C5" w:rsidRPr="000C4180">
        <w:t>s</w:t>
      </w:r>
      <w:r w:rsidR="006F0DF7" w:rsidRPr="000C4180">
        <w:t xml:space="preserve"> mostly reveals that MIRR </w:t>
      </w:r>
      <w:r w:rsidR="00771192" w:rsidRPr="000C4180">
        <w:t>(Brigham and Ehrhardt (2016), Keirulff (2008), Balyeat et. al. (201</w:t>
      </w:r>
      <w:r w:rsidR="00035ED7" w:rsidRPr="000C4180">
        <w:t>5</w:t>
      </w:r>
      <w:r w:rsidR="00771192" w:rsidRPr="000C4180">
        <w:t xml:space="preserve">) and Kelleher et al. (2004)) </w:t>
      </w:r>
      <w:r w:rsidR="00B5022A" w:rsidRPr="000C4180">
        <w:t xml:space="preserve">is </w:t>
      </w:r>
      <w:r w:rsidR="00360D4C" w:rsidRPr="000C4180">
        <w:t xml:space="preserve">recommended as </w:t>
      </w:r>
      <w:r w:rsidR="00B5022A" w:rsidRPr="000C4180">
        <w:t xml:space="preserve">one of </w:t>
      </w:r>
      <w:r w:rsidR="006F0DF7" w:rsidRPr="000C4180">
        <w:t>the best criteria</w:t>
      </w:r>
      <w:r w:rsidR="005A0D10" w:rsidRPr="000C4180">
        <w:t xml:space="preserve"> </w:t>
      </w:r>
      <w:r w:rsidR="007D32F3" w:rsidRPr="000C4180">
        <w:t>to overcome the problem of multiple</w:t>
      </w:r>
      <w:r w:rsidR="005A0D10" w:rsidRPr="000C4180">
        <w:t xml:space="preserve"> IRR</w:t>
      </w:r>
      <w:r w:rsidR="006F0DF7" w:rsidRPr="000C4180">
        <w:t xml:space="preserve">. Some </w:t>
      </w:r>
      <w:r w:rsidR="005444AD" w:rsidRPr="000C4180">
        <w:t xml:space="preserve">of the relevant </w:t>
      </w:r>
      <w:r w:rsidR="006F0DF7" w:rsidRPr="000C4180">
        <w:t>published works are discussed here to provide a better appreciation of the problems and conclusions drawn.</w:t>
      </w:r>
    </w:p>
    <w:p w14:paraId="26A44870" w14:textId="77777777" w:rsidR="009109B3" w:rsidRDefault="009109B3" w:rsidP="0004675E">
      <w:pPr>
        <w:pStyle w:val="NoSpacing"/>
      </w:pPr>
    </w:p>
    <w:p w14:paraId="790374C9" w14:textId="1AEA3948" w:rsidR="00114FA4" w:rsidRPr="000C4180" w:rsidRDefault="00F94695" w:rsidP="0004675E">
      <w:pPr>
        <w:pStyle w:val="NoSpacing"/>
      </w:pPr>
      <w:r w:rsidRPr="000C4180">
        <w:t xml:space="preserve">Arjunan (2017a, b, c </w:t>
      </w:r>
      <w:r w:rsidR="006F0DF7" w:rsidRPr="000C4180">
        <w:t xml:space="preserve">and </w:t>
      </w:r>
      <w:r w:rsidRPr="000C4180">
        <w:t>d</w:t>
      </w:r>
      <w:r w:rsidR="006F0DF7" w:rsidRPr="000C4180">
        <w:t>) conducted detailed numerical analyses, specifically focusing on the problems discussed in section 1 above, and concluded</w:t>
      </w:r>
      <w:r w:rsidR="000F79F7" w:rsidRPr="000C4180">
        <w:t>:</w:t>
      </w:r>
      <w:r w:rsidR="00C925E6" w:rsidRPr="000C4180">
        <w:t xml:space="preserve"> a.</w:t>
      </w:r>
      <w:r w:rsidR="007A31B3" w:rsidRPr="000C4180">
        <w:t xml:space="preserve"> NNCF </w:t>
      </w:r>
      <w:r w:rsidR="006F0DF7" w:rsidRPr="000C4180">
        <w:t xml:space="preserve">is a data problem </w:t>
      </w:r>
      <w:r w:rsidR="00C925E6" w:rsidRPr="000C4180">
        <w:t>that affects both NPV and IRR</w:t>
      </w:r>
      <w:r w:rsidR="00FC035C" w:rsidRPr="000C4180">
        <w:t>;</w:t>
      </w:r>
      <w:r w:rsidR="00C925E6" w:rsidRPr="000C4180">
        <w:t xml:space="preserve"> b. </w:t>
      </w:r>
      <w:r w:rsidR="00802E23" w:rsidRPr="000C4180">
        <w:t xml:space="preserve">Neither </w:t>
      </w:r>
      <w:r w:rsidR="006F0DF7" w:rsidRPr="000C4180">
        <w:t xml:space="preserve">MIRR </w:t>
      </w:r>
      <w:r w:rsidR="00802E23" w:rsidRPr="000C4180">
        <w:t xml:space="preserve">nor NPV </w:t>
      </w:r>
      <w:r w:rsidR="000F79F7" w:rsidRPr="000C4180">
        <w:t xml:space="preserve">rule </w:t>
      </w:r>
      <w:r w:rsidR="00802E23" w:rsidRPr="000C4180">
        <w:t xml:space="preserve">could </w:t>
      </w:r>
      <w:r w:rsidR="006F0DF7" w:rsidRPr="000C4180">
        <w:t>solve the problem</w:t>
      </w:r>
      <w:r w:rsidR="00802E23" w:rsidRPr="000C4180">
        <w:t>s associated with</w:t>
      </w:r>
      <w:r w:rsidR="006F0DF7" w:rsidRPr="000C4180">
        <w:t xml:space="preserve"> </w:t>
      </w:r>
      <w:r w:rsidR="00540EF0" w:rsidRPr="000C4180">
        <w:t xml:space="preserve">multiple </w:t>
      </w:r>
      <w:r w:rsidR="006F0DF7" w:rsidRPr="000C4180">
        <w:t>IRR</w:t>
      </w:r>
      <w:r w:rsidR="002905DC" w:rsidRPr="000C4180">
        <w:t xml:space="preserve">; c. the reinvestment of intermediate income is </w:t>
      </w:r>
      <w:r w:rsidR="000F79F7" w:rsidRPr="000C4180">
        <w:t>common with NNCF and some normal NCF</w:t>
      </w:r>
      <w:r w:rsidR="002905DC" w:rsidRPr="000C4180">
        <w:t xml:space="preserve">; </w:t>
      </w:r>
      <w:r w:rsidR="00FC035C" w:rsidRPr="000C4180">
        <w:t>and c. IRR is the best available criteria</w:t>
      </w:r>
      <w:r w:rsidR="002905DC" w:rsidRPr="000C4180">
        <w:t xml:space="preserve"> for independent and mutually exclusive projects</w:t>
      </w:r>
      <w:r w:rsidR="006F0DF7" w:rsidRPr="000C4180">
        <w:t>.</w:t>
      </w:r>
      <w:r w:rsidR="00500E0D" w:rsidRPr="000C4180">
        <w:t xml:space="preserve"> </w:t>
      </w:r>
      <w:r w:rsidR="006F0DF7" w:rsidRPr="000C4180">
        <w:t>Th</w:t>
      </w:r>
      <w:r w:rsidR="0031079E" w:rsidRPr="000C4180">
        <w:t xml:space="preserve">ese </w:t>
      </w:r>
      <w:r w:rsidR="00500E0D" w:rsidRPr="000C4180">
        <w:t>finding</w:t>
      </w:r>
      <w:r w:rsidR="0031079E" w:rsidRPr="000C4180">
        <w:t>s</w:t>
      </w:r>
      <w:r w:rsidR="006F0DF7" w:rsidRPr="000C4180">
        <w:t xml:space="preserve"> contradict</w:t>
      </w:r>
      <w:r w:rsidR="0031079E" w:rsidRPr="000C4180">
        <w:t xml:space="preserve"> </w:t>
      </w:r>
      <w:r w:rsidR="006F0DF7" w:rsidRPr="000C4180">
        <w:t xml:space="preserve">most </w:t>
      </w:r>
      <w:r w:rsidR="00500E0D" w:rsidRPr="000C4180">
        <w:t xml:space="preserve">of the earlier published works </w:t>
      </w:r>
      <w:r w:rsidR="006F0DF7" w:rsidRPr="000C4180">
        <w:t>in</w:t>
      </w:r>
      <w:r w:rsidR="00500E0D" w:rsidRPr="000C4180">
        <w:t>cluding</w:t>
      </w:r>
      <w:r w:rsidR="006F0DF7" w:rsidRPr="000C4180">
        <w:t xml:space="preserve"> finance and economic texts.</w:t>
      </w:r>
      <w:r w:rsidR="00C85164" w:rsidRPr="000C4180">
        <w:rPr>
          <w:rFonts w:eastAsia="Times New Roman"/>
          <w:color w:val="000000"/>
          <w:lang w:eastAsia="en-AU"/>
        </w:rPr>
        <w:t> </w:t>
      </w:r>
    </w:p>
    <w:p w14:paraId="1D387B98" w14:textId="77777777" w:rsidR="009109B3" w:rsidRDefault="009109B3" w:rsidP="007D32F3">
      <w:pPr>
        <w:pStyle w:val="NoSpacing"/>
      </w:pPr>
    </w:p>
    <w:p w14:paraId="7CA833F8" w14:textId="6CC002CE" w:rsidR="007D32F3" w:rsidRPr="000C4180" w:rsidRDefault="004D04FC" w:rsidP="007D32F3">
      <w:pPr>
        <w:pStyle w:val="NoSpacing"/>
      </w:pPr>
      <w:r w:rsidRPr="000C4180">
        <w:t xml:space="preserve">Weber (2017) introduced a selective IRR (SIRR) criterion that he claimed to be equivalent to the NPV-rule. He argued that “an investor with a cost of capital of r = 10% would report the return of a project with the cash-flow stream (-5, 16, -12) as minus infinity (and therefore completely unacceptable), whereas an investor with a cost of capital of r = 25% would report the return of the same cash-flow stream as 100% which is very attractive indeed.” </w:t>
      </w:r>
      <w:r w:rsidR="003122ED" w:rsidRPr="000C4180">
        <w:t>The cumulative undiscounted sum of</w:t>
      </w:r>
      <w:r w:rsidR="00C85164" w:rsidRPr="000C4180">
        <w:rPr>
          <w:rFonts w:eastAsia="Times New Roman"/>
          <w:color w:val="000000"/>
          <w:lang w:eastAsia="en-AU"/>
        </w:rPr>
        <w:t> </w:t>
      </w:r>
      <w:r w:rsidR="003122ED" w:rsidRPr="000C4180">
        <w:t xml:space="preserve"> the above NCF is -1 (cumulative loss) and therefore 10</w:t>
      </w:r>
      <w:r w:rsidRPr="000C4180">
        <w:t xml:space="preserve">0% return is highly unrealistic and purely a mathematically generated return and not </w:t>
      </w:r>
      <w:r w:rsidR="003122ED" w:rsidRPr="000C4180">
        <w:t xml:space="preserve">supported </w:t>
      </w:r>
      <w:r w:rsidRPr="000C4180">
        <w:t>by the project</w:t>
      </w:r>
      <w:r w:rsidR="004777EE" w:rsidRPr="000C4180">
        <w:t xml:space="preserve"> benefit stream</w:t>
      </w:r>
      <w:r w:rsidRPr="000C4180">
        <w:t>.</w:t>
      </w:r>
    </w:p>
    <w:p w14:paraId="4245043A" w14:textId="77777777" w:rsidR="009109B3" w:rsidRDefault="009109B3" w:rsidP="0004675E">
      <w:pPr>
        <w:pStyle w:val="NoSpacing"/>
      </w:pPr>
    </w:p>
    <w:p w14:paraId="5BDEA1EF" w14:textId="7CBB8E0A" w:rsidR="007D32F3" w:rsidRPr="000C4180" w:rsidRDefault="007D32F3" w:rsidP="0004675E">
      <w:pPr>
        <w:pStyle w:val="NoSpacing"/>
      </w:pPr>
      <w:r w:rsidRPr="000C4180">
        <w:t>Ross et. al (2013</w:t>
      </w:r>
      <w:r w:rsidR="001A5081" w:rsidRPr="000C4180">
        <w:t>) clearly</w:t>
      </w:r>
      <w:r w:rsidRPr="000C4180">
        <w:t xml:space="preserve"> stated: "We will take a stand on one issue that frequently comes up in this context. The value of a project does not depend on what the firm does with the cash flows generated by that project. A firm might use a project’s cash flows to fund other projects, to pay dividends, or to buy an executive jet. It doesn’t matter: How the cash flows are spent in the future does not affect their value </w:t>
      </w:r>
      <w:r w:rsidRPr="000C4180">
        <w:lastRenderedPageBreak/>
        <w:t>today. As a result, there is generally no need to consider reinvestment of interim cash flows."</w:t>
      </w:r>
      <w:r w:rsidR="003122ED" w:rsidRPr="000C4180">
        <w:t xml:space="preserve"> </w:t>
      </w:r>
      <w:r w:rsidRPr="000C4180">
        <w:t xml:space="preserve">Accordingly, the reinvestment income should not be included as part of </w:t>
      </w:r>
      <w:r w:rsidR="00C85164" w:rsidRPr="000C4180">
        <w:rPr>
          <w:rFonts w:eastAsia="Times New Roman"/>
          <w:color w:val="000000"/>
          <w:lang w:eastAsia="en-AU"/>
        </w:rPr>
        <w:t xml:space="preserve">the </w:t>
      </w:r>
      <w:r w:rsidRPr="000C4180">
        <w:t xml:space="preserve">benefit stream. The </w:t>
      </w:r>
      <w:r w:rsidR="0025466F" w:rsidRPr="000C4180">
        <w:t>inclusion</w:t>
      </w:r>
      <w:r w:rsidRPr="000C4180">
        <w:t xml:space="preserve"> of reinvestment income, which is not a benefit, leads to distorted IRR and NPV. This important statement is considered in the present analysis.</w:t>
      </w:r>
    </w:p>
    <w:p w14:paraId="310A4641" w14:textId="77777777" w:rsidR="009109B3" w:rsidRDefault="009109B3" w:rsidP="0004675E">
      <w:pPr>
        <w:pStyle w:val="NoSpacing"/>
        <w:rPr>
          <w:rFonts w:eastAsia="Times New Roman"/>
          <w:color w:val="000000"/>
          <w:lang w:eastAsia="en-AU"/>
        </w:rPr>
      </w:pPr>
    </w:p>
    <w:p w14:paraId="061EAC4D" w14:textId="10E7DAE9" w:rsidR="00B5495C" w:rsidRPr="000C4180" w:rsidRDefault="009D69B8" w:rsidP="0004675E">
      <w:pPr>
        <w:pStyle w:val="NoSpacing"/>
      </w:pPr>
      <w:r w:rsidRPr="000C4180">
        <w:t>There are two interesting and thought-provoking papers on estimation of NNCF data by Magni (201</w:t>
      </w:r>
      <w:r w:rsidR="00902681" w:rsidRPr="000C4180">
        <w:t>0</w:t>
      </w:r>
      <w:r w:rsidRPr="000C4180">
        <w:t xml:space="preserve">) and </w:t>
      </w:r>
      <w:r w:rsidR="004D1528" w:rsidRPr="000C4180">
        <w:t>Kulakov</w:t>
      </w:r>
      <w:r w:rsidRPr="000C4180">
        <w:t xml:space="preserve"> and Kastro (201</w:t>
      </w:r>
      <w:r w:rsidR="00E279A8" w:rsidRPr="000C4180">
        <w:t>5</w:t>
      </w:r>
      <w:r w:rsidRPr="000C4180">
        <w:t xml:space="preserve">). Their findings are discussed in </w:t>
      </w:r>
      <w:r w:rsidR="000E44B6" w:rsidRPr="000C4180">
        <w:t xml:space="preserve">detail in </w:t>
      </w:r>
      <w:r w:rsidRPr="000C4180">
        <w:t xml:space="preserve">section 4. </w:t>
      </w:r>
      <w:r w:rsidR="006F0DF7" w:rsidRPr="000C4180">
        <w:t>Magni</w:t>
      </w:r>
      <w:r w:rsidR="00C83062" w:rsidRPr="000C4180">
        <w:t xml:space="preserve"> (201</w:t>
      </w:r>
      <w:r w:rsidR="00902681" w:rsidRPr="000C4180">
        <w:t>0</w:t>
      </w:r>
      <w:r w:rsidR="00C83062" w:rsidRPr="000C4180">
        <w:t>)</w:t>
      </w:r>
      <w:r w:rsidR="009B27A8" w:rsidRPr="000C4180">
        <w:t xml:space="preserve"> </w:t>
      </w:r>
      <w:r w:rsidR="000E44B6" w:rsidRPr="000C4180">
        <w:t>used a</w:t>
      </w:r>
      <w:r w:rsidR="000A6DF1" w:rsidRPr="000C4180">
        <w:t xml:space="preserve"> NCF data (</w:t>
      </w:r>
      <w:r w:rsidR="001D703A" w:rsidRPr="000C4180">
        <w:t>Table 1: -10</w:t>
      </w:r>
      <w:r w:rsidR="000A6DF1" w:rsidRPr="000C4180">
        <w:t>,</w:t>
      </w:r>
      <w:r w:rsidR="001D703A" w:rsidRPr="000C4180">
        <w:t xml:space="preserve"> 30</w:t>
      </w:r>
      <w:r w:rsidR="000A6DF1" w:rsidRPr="000C4180">
        <w:t>, -25)</w:t>
      </w:r>
      <w:r w:rsidR="000E44B6" w:rsidRPr="000C4180">
        <w:t xml:space="preserve"> to illustrate the AIRR criterion. The data</w:t>
      </w:r>
      <w:r w:rsidR="000A6DF1" w:rsidRPr="000C4180">
        <w:t xml:space="preserve"> indicate that</w:t>
      </w:r>
      <w:r w:rsidR="00A10E5A" w:rsidRPr="000C4180">
        <w:t xml:space="preserve"> </w:t>
      </w:r>
      <w:r w:rsidR="000E44B6" w:rsidRPr="000C4180">
        <w:t xml:space="preserve">the </w:t>
      </w:r>
      <w:r w:rsidR="00A10E5A" w:rsidRPr="000C4180">
        <w:t xml:space="preserve">project is not </w:t>
      </w:r>
      <w:r w:rsidR="0007652B" w:rsidRPr="000C4180">
        <w:t>profitable</w:t>
      </w:r>
      <w:r w:rsidR="000A6DF1" w:rsidRPr="000C4180">
        <w:t xml:space="preserve"> (net loss of -5</w:t>
      </w:r>
      <w:r w:rsidR="00847175" w:rsidRPr="000C4180">
        <w:t>; capital loss of 50%</w:t>
      </w:r>
      <w:r w:rsidR="003122ED" w:rsidRPr="000C4180">
        <w:t>, before discount</w:t>
      </w:r>
      <w:r w:rsidR="000A6DF1" w:rsidRPr="000C4180">
        <w:t>)</w:t>
      </w:r>
      <w:r w:rsidR="000E44B6" w:rsidRPr="000C4180">
        <w:t>.</w:t>
      </w:r>
      <w:bookmarkStart w:id="2" w:name="_Hlk487139805"/>
      <w:bookmarkStart w:id="3" w:name="_Hlk481218945"/>
      <w:bookmarkStart w:id="4" w:name="_Hlk481218272"/>
      <w:r w:rsidR="007A36AC" w:rsidRPr="000C4180">
        <w:t xml:space="preserve"> Magni reported an AIRR of -27.27% as </w:t>
      </w:r>
      <w:r w:rsidR="00C85164" w:rsidRPr="000C4180">
        <w:rPr>
          <w:rFonts w:eastAsia="Times New Roman"/>
          <w:color w:val="000000"/>
          <w:lang w:eastAsia="en-AU"/>
        </w:rPr>
        <w:t xml:space="preserve">the </w:t>
      </w:r>
      <w:r w:rsidR="007A36AC" w:rsidRPr="000C4180">
        <w:t>real rate that is not correct.</w:t>
      </w:r>
      <w:r w:rsidR="000E44B6" w:rsidRPr="000C4180">
        <w:t xml:space="preserve"> </w:t>
      </w:r>
      <w:r w:rsidR="004D1528" w:rsidRPr="000C4180">
        <w:t>Kulakov</w:t>
      </w:r>
      <w:r w:rsidR="007E65BA" w:rsidRPr="000C4180">
        <w:t xml:space="preserve"> and Kastro (201</w:t>
      </w:r>
      <w:r w:rsidR="00E279A8" w:rsidRPr="000C4180">
        <w:t>5</w:t>
      </w:r>
      <w:r w:rsidR="007E65BA" w:rsidRPr="000C4180">
        <w:t>)</w:t>
      </w:r>
      <w:bookmarkEnd w:id="2"/>
      <w:r w:rsidR="000E44B6" w:rsidRPr="000C4180">
        <w:t xml:space="preserve"> </w:t>
      </w:r>
      <w:r w:rsidR="007E65BA" w:rsidRPr="000C4180">
        <w:t>discussed two estimation method</w:t>
      </w:r>
      <w:r w:rsidR="00F94695" w:rsidRPr="000C4180">
        <w:t>s</w:t>
      </w:r>
      <w:r w:rsidR="007E65BA" w:rsidRPr="000C4180">
        <w:t xml:space="preserve"> for </w:t>
      </w:r>
      <w:r w:rsidR="0031079E" w:rsidRPr="000C4180">
        <w:t>N</w:t>
      </w:r>
      <w:r w:rsidR="007E65BA" w:rsidRPr="000C4180">
        <w:t xml:space="preserve">NCFs viz. a generalized internal rate of return (GIRR) </w:t>
      </w:r>
      <w:r w:rsidR="009C747D" w:rsidRPr="000C4180">
        <w:t xml:space="preserve">for a project </w:t>
      </w:r>
      <w:r w:rsidR="007E65BA" w:rsidRPr="000C4180">
        <w:t>as an investment; and a generalized external rate of return (GERR)</w:t>
      </w:r>
      <w:r w:rsidR="009C747D" w:rsidRPr="000C4180">
        <w:t xml:space="preserve"> for a project</w:t>
      </w:r>
      <w:r w:rsidR="007E65BA" w:rsidRPr="000C4180">
        <w:t xml:space="preserve"> as a loan</w:t>
      </w:r>
      <w:r w:rsidR="000E44B6" w:rsidRPr="000C4180">
        <w:t xml:space="preserve">. </w:t>
      </w:r>
      <w:r w:rsidR="009C747D" w:rsidRPr="000C4180">
        <w:t>They discussed a sample NCF (</w:t>
      </w:r>
      <w:r w:rsidR="007E65BA" w:rsidRPr="000C4180">
        <w:t xml:space="preserve">see Table:1, </w:t>
      </w:r>
      <w:r w:rsidR="00205E19" w:rsidRPr="000C4180">
        <w:t xml:space="preserve">-1600, 10000, -10000; </w:t>
      </w:r>
      <w:r w:rsidR="007E65BA" w:rsidRPr="000C4180">
        <w:t>Kulakov and Kastro</w:t>
      </w:r>
      <w:r w:rsidR="009C747D" w:rsidRPr="000C4180">
        <w:t>, 201</w:t>
      </w:r>
      <w:r w:rsidR="00E279A8" w:rsidRPr="000C4180">
        <w:t>5</w:t>
      </w:r>
      <w:r w:rsidR="009C747D" w:rsidRPr="000C4180">
        <w:t>) with a cumulative loss of -1600</w:t>
      </w:r>
      <w:r w:rsidR="00847175" w:rsidRPr="000C4180">
        <w:t xml:space="preserve"> (capital loss of 100%)</w:t>
      </w:r>
      <w:r w:rsidR="007E65BA" w:rsidRPr="000C4180">
        <w:t>. That being the case, the rate of return</w:t>
      </w:r>
      <w:r w:rsidR="007D7B23" w:rsidRPr="000C4180">
        <w:t>s</w:t>
      </w:r>
      <w:r w:rsidR="007E65BA" w:rsidRPr="000C4180">
        <w:t xml:space="preserve"> (GIRR or GERR) </w:t>
      </w:r>
      <w:r w:rsidR="007D7B23" w:rsidRPr="000C4180">
        <w:t>estimated looks unrealistic.</w:t>
      </w:r>
      <w:bookmarkEnd w:id="3"/>
      <w:bookmarkEnd w:id="4"/>
    </w:p>
    <w:p w14:paraId="2366B71A" w14:textId="77777777" w:rsidR="009109B3" w:rsidRDefault="009109B3" w:rsidP="0004675E">
      <w:pPr>
        <w:pStyle w:val="NoSpacing"/>
      </w:pPr>
    </w:p>
    <w:p w14:paraId="61C4CB81" w14:textId="29C5C6C2" w:rsidR="00115349" w:rsidRPr="000C4180" w:rsidRDefault="00B5495C" w:rsidP="0004675E">
      <w:pPr>
        <w:pStyle w:val="NoSpacing"/>
      </w:pPr>
      <w:r w:rsidRPr="000C4180">
        <w:t xml:space="preserve">The problem of determining a rate of return for nonconventional projects cannot be solved within the bounds of the NPV method because the NPV method uses a single discount rate (Eschenbach and Nicholls 2012). </w:t>
      </w:r>
      <w:r w:rsidR="007D7B23" w:rsidRPr="000C4180">
        <w:t xml:space="preserve">Ben-Horin and Kroll (2012) studied the problem of </w:t>
      </w:r>
      <w:r w:rsidR="00115349" w:rsidRPr="000C4180">
        <w:t>multiple IRRs</w:t>
      </w:r>
      <w:r w:rsidR="007D7B23" w:rsidRPr="000C4180">
        <w:t>, using N</w:t>
      </w:r>
      <w:r w:rsidR="00115349" w:rsidRPr="000C4180">
        <w:t>NCFs</w:t>
      </w:r>
      <w:r w:rsidR="007D7B23" w:rsidRPr="000C4180">
        <w:t>. T</w:t>
      </w:r>
      <w:r w:rsidR="00115349" w:rsidRPr="000C4180">
        <w:t>hey concluded that the confusing multiple IRR solutions are only possible under unrealistic large fluctuations of the cash flows.</w:t>
      </w:r>
      <w:r w:rsidR="00E138BB" w:rsidRPr="000C4180">
        <w:t xml:space="preserve"> A similar view is reported by Ng and Beruvides (2014).</w:t>
      </w:r>
    </w:p>
    <w:p w14:paraId="3CD2C425" w14:textId="77777777" w:rsidR="009109B3" w:rsidRDefault="009109B3" w:rsidP="0004675E">
      <w:pPr>
        <w:pStyle w:val="NoSpacing"/>
      </w:pPr>
    </w:p>
    <w:p w14:paraId="55C00348" w14:textId="4484FC60" w:rsidR="005E71E7" w:rsidRPr="000C4180" w:rsidRDefault="0072254F" w:rsidP="0004675E">
      <w:pPr>
        <w:pStyle w:val="NoSpacing"/>
      </w:pPr>
      <w:r w:rsidRPr="000C4180">
        <w:t xml:space="preserve">Campani (2014) </w:t>
      </w:r>
      <w:r w:rsidR="00E138BB" w:rsidRPr="000C4180">
        <w:t xml:space="preserve">clarified that </w:t>
      </w:r>
      <w:r w:rsidRPr="000C4180">
        <w:t>neither the MIRR nor the NPV</w:t>
      </w:r>
      <w:r w:rsidR="00E138BB" w:rsidRPr="000C4180">
        <w:t xml:space="preserve"> </w:t>
      </w:r>
      <w:r w:rsidRPr="000C4180">
        <w:t xml:space="preserve">could solve the </w:t>
      </w:r>
      <w:r w:rsidR="00E138BB" w:rsidRPr="000C4180">
        <w:t xml:space="preserve">problems associated </w:t>
      </w:r>
      <w:r w:rsidRPr="000C4180">
        <w:t xml:space="preserve">with </w:t>
      </w:r>
      <w:r w:rsidR="000F79F7" w:rsidRPr="000C4180">
        <w:t xml:space="preserve">NNCF investment </w:t>
      </w:r>
      <w:r w:rsidR="00E138BB" w:rsidRPr="000C4180">
        <w:t>projects</w:t>
      </w:r>
      <w:r w:rsidRPr="000C4180">
        <w:t>.</w:t>
      </w:r>
      <w:r w:rsidR="00CA79C5" w:rsidRPr="000C4180">
        <w:t xml:space="preserve"> </w:t>
      </w:r>
      <w:r w:rsidR="000E147D" w:rsidRPr="000C4180">
        <w:t>He</w:t>
      </w:r>
      <w:r w:rsidR="00F94695" w:rsidRPr="000C4180">
        <w:t xml:space="preserve"> mathematically</w:t>
      </w:r>
      <w:r w:rsidR="000E147D" w:rsidRPr="000C4180">
        <w:t xml:space="preserve"> adjusted the NCF with an intention to </w:t>
      </w:r>
      <w:r w:rsidR="00500E0D" w:rsidRPr="000C4180">
        <w:t>eliminate</w:t>
      </w:r>
      <w:r w:rsidR="000E147D" w:rsidRPr="000C4180">
        <w:t xml:space="preserve"> </w:t>
      </w:r>
      <w:r w:rsidR="00500E0D" w:rsidRPr="000C4180">
        <w:t xml:space="preserve">intermediate negative cash flows and thereby avoiding </w:t>
      </w:r>
      <w:r w:rsidR="000E147D" w:rsidRPr="000C4180">
        <w:t>multiple IRR</w:t>
      </w:r>
      <w:r w:rsidR="006F3CEF" w:rsidRPr="000C4180">
        <w:t>.</w:t>
      </w:r>
      <w:r w:rsidRPr="000C4180">
        <w:t xml:space="preserve"> </w:t>
      </w:r>
      <w:r w:rsidR="004C374F" w:rsidRPr="000C4180">
        <w:t>The</w:t>
      </w:r>
      <w:r w:rsidR="006F3CEF" w:rsidRPr="000C4180">
        <w:t xml:space="preserve"> </w:t>
      </w:r>
      <w:r w:rsidR="00031540" w:rsidRPr="000C4180">
        <w:t xml:space="preserve">data set used by him was </w:t>
      </w:r>
      <w:r w:rsidR="0025466F" w:rsidRPr="000C4180">
        <w:t>NNCF,</w:t>
      </w:r>
      <w:r w:rsidR="00031540" w:rsidRPr="000C4180">
        <w:t xml:space="preserve"> but an analysis reveals that without </w:t>
      </w:r>
      <w:r w:rsidR="000E147D" w:rsidRPr="000C4180">
        <w:t>th</w:t>
      </w:r>
      <w:r w:rsidR="00500E0D" w:rsidRPr="000C4180">
        <w:t>ose</w:t>
      </w:r>
      <w:r w:rsidR="000E147D" w:rsidRPr="000C4180">
        <w:t xml:space="preserve"> </w:t>
      </w:r>
      <w:r w:rsidR="00031540" w:rsidRPr="000C4180">
        <w:t>adjustment</w:t>
      </w:r>
      <w:r w:rsidR="00F94695" w:rsidRPr="000C4180">
        <w:t xml:space="preserve">s </w:t>
      </w:r>
      <w:r w:rsidR="00500E0D" w:rsidRPr="000C4180">
        <w:t>made</w:t>
      </w:r>
      <w:r w:rsidR="00031540" w:rsidRPr="000C4180">
        <w:t xml:space="preserve"> also there is no multiple IRR situation. All NNCF need not necessarily </w:t>
      </w:r>
      <w:r w:rsidR="00C85164" w:rsidRPr="000C4180">
        <w:rPr>
          <w:rFonts w:eastAsia="Times New Roman"/>
          <w:color w:val="000000"/>
          <w:lang w:eastAsia="en-AU"/>
        </w:rPr>
        <w:t>lead</w:t>
      </w:r>
      <w:r w:rsidR="00031540" w:rsidRPr="000C4180">
        <w:t xml:space="preserve"> to multiple IRR.</w:t>
      </w:r>
      <w:r w:rsidR="004C374F" w:rsidRPr="000C4180">
        <w:t xml:space="preserve"> </w:t>
      </w:r>
      <w:r w:rsidR="005E71E7" w:rsidRPr="000C4180">
        <w:t xml:space="preserve">Hazen (2003) reported that with multiple IRR each rate could be interpreted as a rate of return on its own underlying investment stream. </w:t>
      </w:r>
      <w:r w:rsidR="007A36AC" w:rsidRPr="000C4180">
        <w:t>This argument is not convincing as discussed in section 4.</w:t>
      </w:r>
    </w:p>
    <w:p w14:paraId="12EC5ADD" w14:textId="77777777" w:rsidR="009109B3" w:rsidRDefault="009109B3" w:rsidP="0004675E">
      <w:pPr>
        <w:pStyle w:val="NoSpacing"/>
      </w:pPr>
    </w:p>
    <w:p w14:paraId="488733B6" w14:textId="368B23E2" w:rsidR="00CD02CD" w:rsidRPr="000C4180" w:rsidRDefault="00B5495C" w:rsidP="0004675E">
      <w:pPr>
        <w:pStyle w:val="NoSpacing"/>
      </w:pPr>
      <w:r w:rsidRPr="000C4180">
        <w:t>Mackie et. al. (2003) discussed the Adjusted IRR (AIRR) and indicated that the IRR will overstate the true rate of return, and the Adjusted IRR, with appropriate reinvestment rate, will give an estimate of the true value. This finding again depends on the dou</w:t>
      </w:r>
      <w:r w:rsidR="00F07F00" w:rsidRPr="000C4180">
        <w:t xml:space="preserve">btful reinvestment assumption. </w:t>
      </w:r>
      <w:r w:rsidR="0029066F" w:rsidRPr="000C4180">
        <w:t>Gronchi (1986)</w:t>
      </w:r>
      <w:r w:rsidR="00020162" w:rsidRPr="000C4180">
        <w:t xml:space="preserve"> reported that a</w:t>
      </w:r>
      <w:r w:rsidR="0029066F" w:rsidRPr="000C4180">
        <w:t xml:space="preserve"> unique IRR is feasible when the investment is pure lending rate and the investor should </w:t>
      </w:r>
      <w:r w:rsidR="00020162" w:rsidRPr="000C4180">
        <w:t>recover the capital invested with required return by the end. The investor should not</w:t>
      </w:r>
      <w:r w:rsidR="0029066F" w:rsidRPr="000C4180">
        <w:t xml:space="preserve"> borrow from the project at any time during its project life</w:t>
      </w:r>
      <w:r w:rsidR="00020162" w:rsidRPr="000C4180">
        <w:t>.</w:t>
      </w:r>
      <w:r w:rsidR="0029066F" w:rsidRPr="000C4180">
        <w:t xml:space="preserve"> </w:t>
      </w:r>
      <w:r w:rsidR="004777EE" w:rsidRPr="000C4180">
        <w:t>This is an important work that partly identified the problem.</w:t>
      </w:r>
    </w:p>
    <w:p w14:paraId="4877BA66" w14:textId="77777777" w:rsidR="009109B3" w:rsidRDefault="009109B3" w:rsidP="0004675E">
      <w:pPr>
        <w:pStyle w:val="NoSpacing"/>
      </w:pPr>
      <w:bookmarkStart w:id="5" w:name="_Hlk486453760"/>
    </w:p>
    <w:p w14:paraId="1D985D20" w14:textId="77777777" w:rsidR="003D63C3" w:rsidRDefault="00F065ED" w:rsidP="003D63C3">
      <w:pPr>
        <w:pStyle w:val="NoSpacing"/>
      </w:pPr>
      <w:r w:rsidRPr="000C4180">
        <w:lastRenderedPageBreak/>
        <w:t>The Descartes’ rule of sign</w:t>
      </w:r>
      <w:r w:rsidR="00F01BA5" w:rsidRPr="000C4180">
        <w:t>s</w:t>
      </w:r>
      <w:r w:rsidRPr="000C4180">
        <w:t xml:space="preserve"> and Norstrom’s criterion </w:t>
      </w:r>
      <w:bookmarkEnd w:id="5"/>
      <w:r w:rsidRPr="000C4180">
        <w:t xml:space="preserve">are often quoted in discussions on the problem of multiple IRRs associated with NNCF. On </w:t>
      </w:r>
      <w:r w:rsidR="0025466F" w:rsidRPr="000C4180">
        <w:t>Descartes</w:t>
      </w:r>
      <w:r w:rsidRPr="000C4180">
        <w:t>’ rule, Osborne (2010) stated that “the number of changes of signs in the coefficients (cash flows) corresponds to the maximum number of real, positive roots. If the signs are reversed on all coefficients attached to odd powers, then the number of changes of sign in the coefficients (cash flows) corresponds to the maximum number of real, negative roots (less than minus 100%)”.</w:t>
      </w:r>
      <w:r w:rsidR="00C85164" w:rsidRPr="000C4180">
        <w:rPr>
          <w:rFonts w:eastAsia="Times New Roman"/>
          <w:color w:val="000000"/>
          <w:lang w:eastAsia="en-AU"/>
        </w:rPr>
        <w:t> </w:t>
      </w:r>
      <w:r w:rsidRPr="000C4180">
        <w:t xml:space="preserve"> Nostrum criterion relates the multiple IRRs to the number of times the cumulative NCF changes signs. Butenko (2017) showed with an example (-1, 2, -1, 2, 4) that this criterion of Nostrom is not always true.</w:t>
      </w:r>
    </w:p>
    <w:p w14:paraId="275BCA6D" w14:textId="77777777" w:rsidR="003D63C3" w:rsidRDefault="003D63C3" w:rsidP="003D63C3">
      <w:pPr>
        <w:pStyle w:val="NoSpacing"/>
      </w:pPr>
    </w:p>
    <w:p w14:paraId="3CABC307" w14:textId="79395416" w:rsidR="0016455C" w:rsidRPr="000C4180" w:rsidRDefault="0099012C" w:rsidP="003D63C3">
      <w:pPr>
        <w:pStyle w:val="NoSpacing"/>
      </w:pPr>
      <w:r w:rsidRPr="000C4180">
        <w:t xml:space="preserve">In summary, </w:t>
      </w:r>
      <w:r w:rsidR="000F79F7" w:rsidRPr="000C4180">
        <w:t>there is no method that could resolve the problem of multiple IRR. M</w:t>
      </w:r>
      <w:r w:rsidR="0015422B" w:rsidRPr="000C4180">
        <w:t>any authors recommend MIRR</w:t>
      </w:r>
      <w:r w:rsidR="00451469" w:rsidRPr="000C4180">
        <w:t xml:space="preserve"> or NPV approach</w:t>
      </w:r>
      <w:r w:rsidR="0015422B" w:rsidRPr="000C4180">
        <w:t xml:space="preserve"> </w:t>
      </w:r>
      <w:r w:rsidR="00E74FFC" w:rsidRPr="000C4180">
        <w:t xml:space="preserve">to resolve the problem of multiple IRR. </w:t>
      </w:r>
      <w:r w:rsidR="00CA7390" w:rsidRPr="000C4180">
        <w:t xml:space="preserve">Other </w:t>
      </w:r>
      <w:r w:rsidR="00E74FFC" w:rsidRPr="000C4180">
        <w:t xml:space="preserve">authors reject the MIRR due to several weaknesses. All other criterions </w:t>
      </w:r>
      <w:r w:rsidR="00451469" w:rsidRPr="000C4180">
        <w:t xml:space="preserve">recommended to deal with </w:t>
      </w:r>
      <w:r w:rsidR="00E215F0" w:rsidRPr="000C4180">
        <w:t xml:space="preserve">NNCF </w:t>
      </w:r>
      <w:r w:rsidR="00451469" w:rsidRPr="000C4180">
        <w:t xml:space="preserve">are not popular with </w:t>
      </w:r>
      <w:r w:rsidR="00E74FFC" w:rsidRPr="000C4180">
        <w:t>practi</w:t>
      </w:r>
      <w:r w:rsidR="00102E33" w:rsidRPr="000C4180">
        <w:t>ti</w:t>
      </w:r>
      <w:r w:rsidR="00E74FFC" w:rsidRPr="000C4180">
        <w:t xml:space="preserve">oners. </w:t>
      </w:r>
      <w:r w:rsidR="00102E33" w:rsidRPr="000C4180">
        <w:t>W</w:t>
      </w:r>
      <w:r w:rsidR="00E215F0" w:rsidRPr="000C4180">
        <w:t xml:space="preserve">ith NNCF data </w:t>
      </w:r>
      <w:r w:rsidR="00102E33" w:rsidRPr="000C4180">
        <w:t xml:space="preserve">multiple IRR </w:t>
      </w:r>
      <w:r w:rsidR="00C85164" w:rsidRPr="000C4180">
        <w:t>problems are</w:t>
      </w:r>
      <w:r w:rsidR="00E215F0" w:rsidRPr="000C4180">
        <w:t xml:space="preserve"> common.</w:t>
      </w:r>
      <w:r w:rsidR="004A1599" w:rsidRPr="000C4180">
        <w:t xml:space="preserve"> C</w:t>
      </w:r>
      <w:r w:rsidR="00E215F0" w:rsidRPr="000C4180">
        <w:t>onceptually</w:t>
      </w:r>
      <w:r w:rsidR="004A1599" w:rsidRPr="000C4180">
        <w:t xml:space="preserve">, </w:t>
      </w:r>
      <w:r w:rsidR="00E215F0" w:rsidRPr="000C4180">
        <w:t>NPV</w:t>
      </w:r>
      <w:r w:rsidR="00646A53" w:rsidRPr="000C4180">
        <w:t xml:space="preserve"> cannot be a better alternative because NPV</w:t>
      </w:r>
      <w:r w:rsidR="00E215F0" w:rsidRPr="000C4180">
        <w:t xml:space="preserve"> will be zero </w:t>
      </w:r>
      <w:r w:rsidR="004A1599" w:rsidRPr="000C4180">
        <w:t xml:space="preserve">as many </w:t>
      </w:r>
      <w:r w:rsidR="00C85164" w:rsidRPr="000C4180">
        <w:t>times</w:t>
      </w:r>
      <w:r w:rsidR="004A1599" w:rsidRPr="000C4180">
        <w:t xml:space="preserve"> as there are IRRs</w:t>
      </w:r>
      <w:r w:rsidR="00E215F0" w:rsidRPr="000C4180">
        <w:t xml:space="preserve">. Multiple IRR is a NNCF data problem that could not be handled by the DCF and CAS methods. </w:t>
      </w:r>
      <w:r w:rsidR="008B04A8" w:rsidRPr="000C4180">
        <w:t xml:space="preserve">An appropriate </w:t>
      </w:r>
      <w:r w:rsidR="000F79F7" w:rsidRPr="000C4180">
        <w:t>method</w:t>
      </w:r>
      <w:r w:rsidR="008B04A8" w:rsidRPr="000C4180">
        <w:t xml:space="preserve"> must be developed to resolve the problems of </w:t>
      </w:r>
      <w:r w:rsidR="000F79F7" w:rsidRPr="000C4180">
        <w:t>reinvestment</w:t>
      </w:r>
      <w:r w:rsidR="008B04A8" w:rsidRPr="000C4180">
        <w:t xml:space="preserve"> a</w:t>
      </w:r>
      <w:r w:rsidR="00E215F0" w:rsidRPr="000C4180">
        <w:t>nd multiple IRR</w:t>
      </w:r>
    </w:p>
    <w:p w14:paraId="2465A867" w14:textId="77777777" w:rsidR="00B436B6" w:rsidRPr="000C4180" w:rsidRDefault="00B436B6" w:rsidP="009109B3">
      <w:pPr>
        <w:pStyle w:val="Heading3"/>
      </w:pPr>
      <w:r w:rsidRPr="000C4180">
        <w:t>3. Methodology</w:t>
      </w:r>
    </w:p>
    <w:p w14:paraId="6AFA4E7B" w14:textId="77777777" w:rsidR="000D2EE2" w:rsidRPr="000C4180" w:rsidRDefault="0050173B" w:rsidP="0004675E">
      <w:pPr>
        <w:pStyle w:val="NoSpacing"/>
      </w:pPr>
      <w:r w:rsidRPr="000C4180">
        <w:t xml:space="preserve">The primary focus of the present study is to </w:t>
      </w:r>
      <w:r w:rsidR="00154DAC" w:rsidRPr="000C4180">
        <w:t xml:space="preserve">identify and formulate a new method to estimate the rate of return (ROC and ROIC) for NNCF. During this process, various other methods recently proposed by other authors are </w:t>
      </w:r>
      <w:r w:rsidR="00844A18" w:rsidRPr="000C4180">
        <w:t xml:space="preserve">also </w:t>
      </w:r>
      <w:r w:rsidRPr="000C4180">
        <w:t>evaluate</w:t>
      </w:r>
      <w:r w:rsidR="00154DAC" w:rsidRPr="000C4180">
        <w:t>d.</w:t>
      </w:r>
      <w:r w:rsidRPr="000C4180">
        <w:t xml:space="preserve"> </w:t>
      </w:r>
      <w:r w:rsidR="00844A18" w:rsidRPr="000C4180">
        <w:t>The</w:t>
      </w:r>
      <w:r w:rsidR="008A21C6" w:rsidRPr="000C4180">
        <w:t xml:space="preserve"> methodology is primarily based on the</w:t>
      </w:r>
      <w:r w:rsidR="00844A18" w:rsidRPr="000C4180">
        <w:t xml:space="preserve"> CAS method </w:t>
      </w:r>
      <w:r w:rsidR="008A21C6" w:rsidRPr="000C4180">
        <w:t xml:space="preserve">introduced by </w:t>
      </w:r>
      <w:r w:rsidR="00844A18" w:rsidRPr="000C4180">
        <w:t xml:space="preserve">Arjunan </w:t>
      </w:r>
      <w:r w:rsidR="008A21C6" w:rsidRPr="000C4180">
        <w:t>(</w:t>
      </w:r>
      <w:r w:rsidR="00844A18" w:rsidRPr="000C4180">
        <w:t>2017)</w:t>
      </w:r>
      <w:r w:rsidR="000D2EE2" w:rsidRPr="000C4180">
        <w:t xml:space="preserve"> </w:t>
      </w:r>
      <w:r w:rsidR="008A21C6" w:rsidRPr="000C4180">
        <w:t xml:space="preserve">that </w:t>
      </w:r>
      <w:r w:rsidR="000D2EE2" w:rsidRPr="000C4180">
        <w:t xml:space="preserve">is </w:t>
      </w:r>
      <w:r w:rsidR="00844A18" w:rsidRPr="000C4180">
        <w:t>more transparent than the DCF method</w:t>
      </w:r>
      <w:r w:rsidR="000D2EE2" w:rsidRPr="000C4180">
        <w:t>. It clearly shows how much of each periodic future income or return from an investment is going towards interest payments (ROIC) and capital (principal) recovery (ROC). CAS analysis will indicate when the NCF is fully utilized (closing balance zero and NCF-consistency) to recover the</w:t>
      </w:r>
      <w:r w:rsidR="00114FA4" w:rsidRPr="000C4180">
        <w:t xml:space="preserve"> </w:t>
      </w:r>
      <w:r w:rsidR="000D2EE2" w:rsidRPr="000C4180">
        <w:t>capital invested (ROC) and a return on capital remains invested (ROIC). CAS estimation follows equation 1.</w:t>
      </w:r>
    </w:p>
    <w:bookmarkStart w:id="6" w:name="_Hlk478171963"/>
    <w:p w14:paraId="1FA1C770" w14:textId="4C7828EA" w:rsidR="000D2EE2" w:rsidRPr="000C4180" w:rsidRDefault="000D2EE2" w:rsidP="0004675E">
      <w:pPr>
        <w:pStyle w:val="NoSpacing"/>
      </w:pPr>
      <w:r w:rsidRPr="000C4180">
        <w:rPr>
          <w:position w:val="-30"/>
        </w:rPr>
        <w:object w:dxaOrig="3060" w:dyaOrig="720" w14:anchorId="2F73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pt" o:ole="">
            <v:imagedata r:id="rId8" o:title=""/>
          </v:shape>
          <o:OLEObject Type="Embed" ProgID="Equation.3" ShapeID="_x0000_i1025" DrawAspect="Content" ObjectID="_1645206128" r:id="rId9"/>
        </w:object>
      </w:r>
      <w:bookmarkEnd w:id="6"/>
      <w:r w:rsidRPr="000C4180">
        <w:tab/>
      </w:r>
      <w:r w:rsidRPr="000C4180">
        <w:tab/>
      </w:r>
      <w:r w:rsidRPr="000C4180">
        <w:tab/>
      </w:r>
      <w:r w:rsidRPr="000C4180">
        <w:tab/>
      </w:r>
      <w:r w:rsidRPr="000C4180">
        <w:tab/>
        <w:t xml:space="preserve">                                    </w:t>
      </w:r>
      <w:r w:rsidR="009109B3">
        <w:t xml:space="preserve">                                            </w:t>
      </w:r>
      <w:r w:rsidRPr="000C4180">
        <w:t>(1)</w:t>
      </w:r>
    </w:p>
    <w:p w14:paraId="1C6CC5D1" w14:textId="77777777" w:rsidR="000D2EE2" w:rsidRPr="000C4180" w:rsidRDefault="00175BA5" w:rsidP="0004675E">
      <w:pPr>
        <w:pStyle w:val="NoSpacing"/>
      </w:pPr>
      <w:r w:rsidRPr="000C4180">
        <w:t>Where OB (= -CF</w:t>
      </w:r>
      <w:r w:rsidRPr="000C4180">
        <w:rPr>
          <w:vertAlign w:val="subscript"/>
        </w:rPr>
        <w:t>0</w:t>
      </w:r>
      <w:r w:rsidR="000D2EE2" w:rsidRPr="000C4180">
        <w:t>, OB</w:t>
      </w:r>
      <w:r w:rsidR="000D2EE2" w:rsidRPr="000C4180">
        <w:rPr>
          <w:vertAlign w:val="subscript"/>
        </w:rPr>
        <w:t>1</w:t>
      </w:r>
      <w:r w:rsidR="000D2EE2" w:rsidRPr="000C4180">
        <w:t xml:space="preserve"> to OB</w:t>
      </w:r>
      <w:r w:rsidR="000D2EE2" w:rsidRPr="000C4180">
        <w:rPr>
          <w:vertAlign w:val="subscript"/>
        </w:rPr>
        <w:t xml:space="preserve"> t</w:t>
      </w:r>
      <w:r w:rsidR="000D2EE2" w:rsidRPr="000C4180">
        <w:t xml:space="preserve">)) is the opening balance of capital each year, R is the interest rate (or return i.e. IRR), </w:t>
      </w:r>
      <w:r w:rsidR="0046549C" w:rsidRPr="000C4180">
        <w:t xml:space="preserve">positive </w:t>
      </w:r>
      <w:r w:rsidR="000D2EE2" w:rsidRPr="000C4180">
        <w:t>NCF</w:t>
      </w:r>
      <w:r w:rsidR="0046549C" w:rsidRPr="000C4180">
        <w:t>s are</w:t>
      </w:r>
      <w:r w:rsidR="000D2EE2" w:rsidRPr="000C4180">
        <w:t xml:space="preserve"> the intermediate NCF per year, CB is the closing balance each year and ‘t’ is year 1 to n (terminal or final year of project life or maturity of investment). The CB of a year 1 to t is the OB of the immediate next year (2 to t). Equation 1 is transformed into Eq.2. The Eq. 2 reveals that the PV of the </w:t>
      </w:r>
      <w:r w:rsidR="0046549C" w:rsidRPr="000C4180">
        <w:t xml:space="preserve">final </w:t>
      </w:r>
      <w:r w:rsidR="000D2EE2" w:rsidRPr="000C4180">
        <w:t xml:space="preserve">CB is the NPV and the FV of the </w:t>
      </w:r>
      <w:r w:rsidR="00DE4FB0" w:rsidRPr="000C4180">
        <w:t>NPV is the CB and the ‘r’ that makes NPV = 0 is the IRR.</w:t>
      </w:r>
    </w:p>
    <w:p w14:paraId="13EDAA43" w14:textId="27391800" w:rsidR="0046549C" w:rsidRPr="000C4180" w:rsidRDefault="000D2EE2" w:rsidP="0004675E">
      <w:pPr>
        <w:pStyle w:val="NoSpacing"/>
      </w:pPr>
      <w:r w:rsidRPr="000C4180">
        <w:t xml:space="preserve">  </w:t>
      </w:r>
      <w:r w:rsidRPr="000C4180">
        <w:rPr>
          <w:position w:val="-30"/>
        </w:rPr>
        <w:object w:dxaOrig="2920" w:dyaOrig="660" w14:anchorId="7F3A75EF">
          <v:shape id="_x0000_i1026" type="#_x0000_t75" style="width:147.75pt;height:33.75pt" o:ole="">
            <v:imagedata r:id="rId10" o:title=""/>
          </v:shape>
          <o:OLEObject Type="Embed" ProgID="Equation.3" ShapeID="_x0000_i1026" DrawAspect="Content" ObjectID="_1645206129" r:id="rId11"/>
        </w:object>
      </w:r>
      <w:r w:rsidR="00C44690" w:rsidRPr="000C4180">
        <w:t xml:space="preserve"> </w:t>
      </w:r>
      <w:r w:rsidR="00C44690" w:rsidRPr="000C4180">
        <w:tab/>
      </w:r>
      <w:r w:rsidR="00C44690" w:rsidRPr="000C4180">
        <w:tab/>
      </w:r>
      <w:r w:rsidR="00C44690" w:rsidRPr="000C4180">
        <w:tab/>
      </w:r>
      <w:r w:rsidR="00C44690" w:rsidRPr="000C4180">
        <w:tab/>
      </w:r>
      <w:r w:rsidR="00C44690" w:rsidRPr="000C4180">
        <w:tab/>
      </w:r>
      <w:r w:rsidR="00C44690" w:rsidRPr="000C4180">
        <w:tab/>
      </w:r>
      <w:r w:rsidR="00C44690" w:rsidRPr="000C4180">
        <w:tab/>
      </w:r>
      <w:r w:rsidR="00C44690" w:rsidRPr="000C4180">
        <w:tab/>
      </w:r>
      <w:r w:rsidR="009109B3">
        <w:t xml:space="preserve">                                                                 </w:t>
      </w:r>
      <w:r w:rsidR="00C44690" w:rsidRPr="000C4180">
        <w:t>(2)</w:t>
      </w:r>
    </w:p>
    <w:p w14:paraId="1FA97CD2" w14:textId="77777777" w:rsidR="0046549C" w:rsidRPr="000C4180" w:rsidRDefault="0046549C" w:rsidP="0004675E">
      <w:pPr>
        <w:pStyle w:val="NoSpacing"/>
      </w:pPr>
      <w:r w:rsidRPr="000C4180">
        <w:lastRenderedPageBreak/>
        <w:t xml:space="preserve">The IRR can be estimated by using the “Goal Seek” command in excel (click data, then click What-if Analysis) </w:t>
      </w:r>
      <w:r w:rsidR="003C4338" w:rsidRPr="000C4180">
        <w:t xml:space="preserve">with “Set cell” = final </w:t>
      </w:r>
      <w:r w:rsidRPr="000C4180">
        <w:t>CB cell</w:t>
      </w:r>
      <w:r w:rsidR="003C4338" w:rsidRPr="000C4180">
        <w:t>; “To value” = ‘0’; and “By changing cell” = Cell containing interest rate.</w:t>
      </w:r>
      <w:r w:rsidRPr="000C4180">
        <w:t xml:space="preserve"> </w:t>
      </w:r>
      <w:r w:rsidR="003C4338" w:rsidRPr="000C4180">
        <w:t>This command will identify the rate that makes the final CB zero (that is IRR).</w:t>
      </w:r>
    </w:p>
    <w:p w14:paraId="44264BC5" w14:textId="1EFF7819" w:rsidR="003C4338" w:rsidRPr="000C4180" w:rsidRDefault="003C4338" w:rsidP="0004675E">
      <w:pPr>
        <w:pStyle w:val="NoSpacing"/>
      </w:pPr>
    </w:p>
    <w:p w14:paraId="0C35A959" w14:textId="0014AD90" w:rsidR="00110508" w:rsidRPr="000C4180" w:rsidRDefault="00110508" w:rsidP="0004675E">
      <w:pPr>
        <w:pStyle w:val="NoSpacing"/>
      </w:pPr>
      <w:r w:rsidRPr="000C4180">
        <w:t>The key to understand and resolve the problems of multiple or negative or no IRR is to evaluate the NCF stream carefully to eliminate these problems (see Teichroew, Robichek, and Montalbano 1965a, 1965b, Bussey and Eschenbach 1992, Fleischer 1994, Eschenbach 1995, Park 1997). Many authors (Athanasopoulos 1978; Beaves 1988; Bernhard 1979, 1989; Lin 1976; Lohmann 1988; Solomon 1956) reported that the IRR method</w:t>
      </w:r>
      <w:r w:rsidRPr="000C4180">
        <w:rPr>
          <w:rStyle w:val="FootnoteReference"/>
        </w:rPr>
        <w:footnoteReference w:id="6"/>
      </w:r>
      <w:r w:rsidRPr="000C4180">
        <w:t xml:space="preserve"> assumes reinvestment of positive interim cash ﬂows at the same rate (equivalent to IRR). Obviously, interest income on reinvested interim </w:t>
      </w:r>
      <w:r w:rsidR="009450B8" w:rsidRPr="000C4180">
        <w:t xml:space="preserve">income if </w:t>
      </w:r>
      <w:r w:rsidRPr="000C4180">
        <w:t>included as part of benefit stream</w:t>
      </w:r>
      <w:r w:rsidR="009450B8" w:rsidRPr="000C4180">
        <w:t xml:space="preserve">, </w:t>
      </w:r>
      <w:r w:rsidR="0046549C" w:rsidRPr="000C4180">
        <w:t>may</w:t>
      </w:r>
      <w:r w:rsidR="009450B8" w:rsidRPr="000C4180">
        <w:t xml:space="preserve"> </w:t>
      </w:r>
      <w:r w:rsidRPr="000C4180">
        <w:t>cause the problem of multiple IRR. The proposed new method is developed to eliminate such interest income as that i</w:t>
      </w:r>
      <w:r w:rsidR="009450B8" w:rsidRPr="000C4180">
        <w:t>s not project generated income (see also Ross et al. 2013).</w:t>
      </w:r>
    </w:p>
    <w:p w14:paraId="01AE7A93" w14:textId="49AF1366" w:rsidR="00685C8B" w:rsidRPr="000C4180" w:rsidRDefault="00685C8B" w:rsidP="0004675E">
      <w:pPr>
        <w:pStyle w:val="NoSpacing"/>
      </w:pPr>
    </w:p>
    <w:p w14:paraId="1DA11892" w14:textId="77777777" w:rsidR="00C44690" w:rsidRPr="000C4180" w:rsidRDefault="000D2EE2" w:rsidP="0004675E">
      <w:pPr>
        <w:pStyle w:val="NoSpacing"/>
      </w:pPr>
      <w:r w:rsidRPr="000C4180">
        <w:t xml:space="preserve">A modified CAS </w:t>
      </w:r>
      <w:r w:rsidR="007E2894" w:rsidRPr="000C4180">
        <w:t xml:space="preserve">method (MCAS) </w:t>
      </w:r>
      <w:r w:rsidRPr="000C4180">
        <w:t xml:space="preserve">is specifically designed to estimate the IRR and NPV for NNCF investments. </w:t>
      </w:r>
      <w:r w:rsidR="00C44690" w:rsidRPr="000C4180">
        <w:t>The simple modification in Eq. 1 is th</w:t>
      </w:r>
      <w:r w:rsidR="001543BF" w:rsidRPr="000C4180">
        <w:t>rough</w:t>
      </w:r>
      <w:r w:rsidR="00C44690" w:rsidRPr="000C4180">
        <w:t xml:space="preserve"> ‘r’. The </w:t>
      </w:r>
      <w:r w:rsidR="001543BF" w:rsidRPr="000C4180">
        <w:t>‘</w:t>
      </w:r>
      <w:r w:rsidR="00C44690" w:rsidRPr="000C4180">
        <w:t>if function</w:t>
      </w:r>
      <w:r w:rsidR="001543BF" w:rsidRPr="000C4180">
        <w:t>’</w:t>
      </w:r>
      <w:r w:rsidR="00C44690" w:rsidRPr="000C4180">
        <w:t xml:space="preserve"> in</w:t>
      </w:r>
      <w:r w:rsidR="001543BF" w:rsidRPr="000C4180">
        <w:t xml:space="preserve"> the</w:t>
      </w:r>
      <w:r w:rsidR="00C44690" w:rsidRPr="000C4180">
        <w:t xml:space="preserve"> excel is used to apply interest or discount at ‘r’</w:t>
      </w:r>
      <w:r w:rsidR="001543BF" w:rsidRPr="000C4180">
        <w:t xml:space="preserve"> (r*1)</w:t>
      </w:r>
      <w:r w:rsidR="00C44690" w:rsidRPr="000C4180">
        <w:t xml:space="preserve"> if the OB is negative and if the OB is positive then the ‘r’ is zero</w:t>
      </w:r>
      <w:r w:rsidR="001543BF" w:rsidRPr="000C4180">
        <w:t xml:space="preserve"> (r*0)</w:t>
      </w:r>
      <w:r w:rsidR="00C44690" w:rsidRPr="000C4180">
        <w:t>.</w:t>
      </w:r>
      <w:r w:rsidR="00110508" w:rsidRPr="000C4180">
        <w:t xml:space="preserve"> </w:t>
      </w:r>
      <w:r w:rsidR="00C44690" w:rsidRPr="000C4180">
        <w:t>Such a treatment is</w:t>
      </w:r>
      <w:r w:rsidR="00C43D96" w:rsidRPr="000C4180">
        <w:t xml:space="preserve"> justified and consistent with accounting and finance practice as explained be</w:t>
      </w:r>
      <w:r w:rsidR="00C571F8" w:rsidRPr="000C4180">
        <w:t>l</w:t>
      </w:r>
      <w:r w:rsidR="00C43D96" w:rsidRPr="000C4180">
        <w:t>ow</w:t>
      </w:r>
      <w:r w:rsidR="00C44690" w:rsidRPr="000C4180">
        <w:t>:</w:t>
      </w:r>
    </w:p>
    <w:p w14:paraId="4838513D" w14:textId="6B35393F" w:rsidR="00C43D96" w:rsidRPr="000C4180" w:rsidRDefault="00E74FFC" w:rsidP="00824394">
      <w:pPr>
        <w:pStyle w:val="NoSpacing"/>
        <w:numPr>
          <w:ilvl w:val="0"/>
          <w:numId w:val="21"/>
        </w:numPr>
      </w:pPr>
      <w:r w:rsidRPr="000C4180">
        <w:t>P</w:t>
      </w:r>
      <w:r w:rsidR="00C43D96" w:rsidRPr="000C4180">
        <w:t xml:space="preserve">ositive </w:t>
      </w:r>
      <w:r w:rsidRPr="000C4180">
        <w:t xml:space="preserve">opening </w:t>
      </w:r>
      <w:r w:rsidR="00C43D96" w:rsidRPr="000C4180">
        <w:t>balance</w:t>
      </w:r>
      <w:r w:rsidR="00E87A39" w:rsidRPr="000C4180">
        <w:t xml:space="preserve"> (OB)</w:t>
      </w:r>
      <w:r w:rsidR="000106B5" w:rsidRPr="000C4180">
        <w:t xml:space="preserve"> for any </w:t>
      </w:r>
      <w:r w:rsidRPr="000C4180">
        <w:t xml:space="preserve">intermediate </w:t>
      </w:r>
      <w:r w:rsidR="003F2E85" w:rsidRPr="000C4180">
        <w:t>year</w:t>
      </w:r>
      <w:r w:rsidR="000106B5" w:rsidRPr="000C4180">
        <w:t xml:space="preserve"> </w:t>
      </w:r>
      <w:r w:rsidR="0025466F" w:rsidRPr="000C4180">
        <w:t>leads</w:t>
      </w:r>
      <w:r w:rsidRPr="000C4180">
        <w:t xml:space="preserve"> to sign change</w:t>
      </w:r>
      <w:r w:rsidR="00824394" w:rsidRPr="000C4180">
        <w:t>s</w:t>
      </w:r>
      <w:r w:rsidRPr="000C4180">
        <w:t xml:space="preserve">. This is </w:t>
      </w:r>
      <w:r w:rsidR="00574A4D" w:rsidRPr="000C4180">
        <w:t xml:space="preserve">normally the case with NNCF that leads to </w:t>
      </w:r>
      <w:r w:rsidRPr="000C4180">
        <w:t>multiple IRR</w:t>
      </w:r>
      <w:r w:rsidR="00C43D96" w:rsidRPr="000C4180">
        <w:t xml:space="preserve">. </w:t>
      </w:r>
      <w:r w:rsidR="00E87A39" w:rsidRPr="000C4180">
        <w:t xml:space="preserve">In DCF and CAS analysis of the NNCF, the positive OB is an investment of the </w:t>
      </w:r>
      <w:r w:rsidR="00C43D96" w:rsidRPr="000C4180">
        <w:t xml:space="preserve">interim income </w:t>
      </w:r>
      <w:r w:rsidR="00574A4D" w:rsidRPr="000C4180">
        <w:t>(secondary investment)</w:t>
      </w:r>
      <w:r w:rsidR="00C43D96" w:rsidRPr="000C4180">
        <w:t xml:space="preserve"> back </w:t>
      </w:r>
      <w:r w:rsidR="00E87A39" w:rsidRPr="000C4180">
        <w:t xml:space="preserve">into the project. </w:t>
      </w:r>
    </w:p>
    <w:p w14:paraId="3391647B" w14:textId="3E25BB2F" w:rsidR="00D95E66" w:rsidRPr="000C4180" w:rsidRDefault="00D95E66" w:rsidP="00824394">
      <w:pPr>
        <w:pStyle w:val="NoSpacing"/>
        <w:numPr>
          <w:ilvl w:val="0"/>
          <w:numId w:val="21"/>
        </w:numPr>
      </w:pPr>
      <w:r w:rsidRPr="000C4180">
        <w:t xml:space="preserve">A positive OB </w:t>
      </w:r>
      <w:r w:rsidR="006F4869" w:rsidRPr="000C4180">
        <w:t xml:space="preserve">(credit balance) </w:t>
      </w:r>
      <w:r w:rsidRPr="000C4180">
        <w:t xml:space="preserve">indicates that the capital is already recovered (ROC) at a given interest rate (ROIC). That being the case, charging or debiting interest </w:t>
      </w:r>
      <w:r w:rsidR="006F4869" w:rsidRPr="000C4180">
        <w:t xml:space="preserve">on the credit balance </w:t>
      </w:r>
      <w:r w:rsidRPr="000C4180">
        <w:t xml:space="preserve">or </w:t>
      </w:r>
      <w:r w:rsidR="006F4869" w:rsidRPr="000C4180">
        <w:t xml:space="preserve">charging and </w:t>
      </w:r>
      <w:r w:rsidRPr="000C4180">
        <w:t xml:space="preserve">crediting interest income is not consistent with the accounting concept and financial practices.  In simple words, no financial institution will charge or debit interest to a loan account when the </w:t>
      </w:r>
      <w:r w:rsidR="006F4869" w:rsidRPr="000C4180">
        <w:t>account shows credit ba</w:t>
      </w:r>
      <w:r w:rsidRPr="000C4180">
        <w:t>l</w:t>
      </w:r>
      <w:r w:rsidR="006F4869" w:rsidRPr="000C4180">
        <w:t>a</w:t>
      </w:r>
      <w:r w:rsidRPr="000C4180">
        <w:t>nce</w:t>
      </w:r>
      <w:r w:rsidR="004A3F4A" w:rsidRPr="000C4180">
        <w:rPr>
          <w:rStyle w:val="FootnoteReference"/>
        </w:rPr>
        <w:footnoteReference w:id="7"/>
      </w:r>
      <w:r w:rsidRPr="000C4180">
        <w:t xml:space="preserve">. </w:t>
      </w:r>
    </w:p>
    <w:p w14:paraId="6BC89BEC" w14:textId="70EBCB31" w:rsidR="00291500" w:rsidRPr="000C4180" w:rsidRDefault="00C43D96" w:rsidP="00824394">
      <w:pPr>
        <w:pStyle w:val="NoSpacing"/>
        <w:numPr>
          <w:ilvl w:val="0"/>
          <w:numId w:val="21"/>
        </w:numPr>
      </w:pPr>
      <w:r w:rsidRPr="000C4180">
        <w:t>A positive (credit)</w:t>
      </w:r>
      <w:r w:rsidR="002F462C" w:rsidRPr="000C4180">
        <w:t xml:space="preserve"> OB</w:t>
      </w:r>
      <w:r w:rsidRPr="000C4180">
        <w:t xml:space="preserve"> leads to positive interest income</w:t>
      </w:r>
      <w:r w:rsidR="001B30B1" w:rsidRPr="000C4180">
        <w:t xml:space="preserve"> (rate equivalent to IRR)</w:t>
      </w:r>
      <w:r w:rsidRPr="000C4180">
        <w:t xml:space="preserve"> from the retained earnings or reinvested income.</w:t>
      </w:r>
      <w:r w:rsidR="00574A4D" w:rsidRPr="000C4180">
        <w:t xml:space="preserve"> </w:t>
      </w:r>
      <w:r w:rsidR="002E1543" w:rsidRPr="000C4180">
        <w:t xml:space="preserve">Interest income is a financial inflow </w:t>
      </w:r>
      <w:r w:rsidR="00FB5E84" w:rsidRPr="000C4180">
        <w:t>and not the project generated i</w:t>
      </w:r>
      <w:r w:rsidR="002E1543" w:rsidRPr="000C4180">
        <w:t>n</w:t>
      </w:r>
      <w:r w:rsidR="00FB5E84" w:rsidRPr="000C4180">
        <w:t>c</w:t>
      </w:r>
      <w:r w:rsidR="002E1543" w:rsidRPr="000C4180">
        <w:t xml:space="preserve">ome. </w:t>
      </w:r>
      <w:r w:rsidR="00FB5E84" w:rsidRPr="000C4180">
        <w:t xml:space="preserve">Such an income from reinvestment is not an income flow from the investment as required under the DCF and CAS methods. </w:t>
      </w:r>
      <w:r w:rsidR="002F462C" w:rsidRPr="000C4180">
        <w:t>Interest income should not be included as project benefit stream.</w:t>
      </w:r>
    </w:p>
    <w:p w14:paraId="0A129364" w14:textId="2900F902" w:rsidR="00824394" w:rsidRPr="000C4180" w:rsidRDefault="00574A4D" w:rsidP="00824394">
      <w:pPr>
        <w:pStyle w:val="NoSpacing"/>
        <w:numPr>
          <w:ilvl w:val="0"/>
          <w:numId w:val="21"/>
        </w:numPr>
      </w:pPr>
      <w:r w:rsidRPr="000C4180">
        <w:t xml:space="preserve">Any sinking fund created to pay-off any </w:t>
      </w:r>
      <w:r w:rsidR="00FB5E84" w:rsidRPr="000C4180">
        <w:t xml:space="preserve">expected </w:t>
      </w:r>
      <w:r w:rsidRPr="000C4180">
        <w:t xml:space="preserve">future </w:t>
      </w:r>
      <w:r w:rsidR="00FB5E84" w:rsidRPr="000C4180">
        <w:t xml:space="preserve">capital expenditure or </w:t>
      </w:r>
      <w:r w:rsidRPr="000C4180">
        <w:t>losses is a function of funds operation not a part of the internal rate of return</w:t>
      </w:r>
      <w:r w:rsidR="00FB5E84" w:rsidRPr="000C4180">
        <w:t xml:space="preserve"> of the investment project</w:t>
      </w:r>
      <w:r w:rsidRPr="000C4180">
        <w:t xml:space="preserve"> (some authors </w:t>
      </w:r>
      <w:r w:rsidRPr="000C4180">
        <w:lastRenderedPageBreak/>
        <w:t>call it as external rate of return</w:t>
      </w:r>
      <w:r w:rsidR="001119BB" w:rsidRPr="000C4180">
        <w:t xml:space="preserve"> (</w:t>
      </w:r>
      <w:r w:rsidR="0055725A" w:rsidRPr="000C4180">
        <w:t>see Arjunan</w:t>
      </w:r>
      <w:r w:rsidR="00824394" w:rsidRPr="000C4180">
        <w:t xml:space="preserve"> </w:t>
      </w:r>
      <w:r w:rsidR="0055725A" w:rsidRPr="000C4180">
        <w:t>2017b, Kierulff, 2012, Cheremushkin, 2012, Crean 2005</w:t>
      </w:r>
      <w:r w:rsidRPr="000C4180">
        <w:t>).</w:t>
      </w:r>
    </w:p>
    <w:p w14:paraId="05AD111D" w14:textId="0E773148" w:rsidR="00391300" w:rsidRPr="000C4180" w:rsidRDefault="00391300" w:rsidP="00824394">
      <w:pPr>
        <w:pStyle w:val="NoSpacing"/>
        <w:numPr>
          <w:ilvl w:val="0"/>
          <w:numId w:val="21"/>
        </w:numPr>
      </w:pPr>
      <w:r w:rsidRPr="000C4180">
        <w:t>Finally, two basic principles followed are: a. the rate of return must be feasible with a given NCF or the NCF could support such rates (NCF-consistent); b. the mathematical relationship between NPV and IRR must be maintained.</w:t>
      </w:r>
    </w:p>
    <w:p w14:paraId="5B763856" w14:textId="77777777" w:rsidR="00817FB7" w:rsidRPr="000C4180" w:rsidRDefault="00817FB7" w:rsidP="0004675E">
      <w:pPr>
        <w:pStyle w:val="NoSpacing"/>
        <w:ind w:left="360"/>
      </w:pPr>
      <w:r w:rsidRPr="000C4180">
        <w:t> </w:t>
      </w:r>
    </w:p>
    <w:p w14:paraId="615C1AED" w14:textId="77777777" w:rsidR="008E7F97" w:rsidRPr="000C4180" w:rsidRDefault="00114FA4" w:rsidP="005A2F54">
      <w:pPr>
        <w:pStyle w:val="NoSpacing"/>
      </w:pPr>
      <w:r w:rsidRPr="000C4180">
        <w:t>Ille’s</w:t>
      </w:r>
      <w:r w:rsidR="00817FB7" w:rsidRPr="000C4180">
        <w:t xml:space="preserve"> (2016) argued that the </w:t>
      </w:r>
      <w:r w:rsidR="00B133D0" w:rsidRPr="000C4180">
        <w:t>NPV estimate</w:t>
      </w:r>
      <w:r w:rsidR="00817FB7" w:rsidRPr="000C4180">
        <w:t xml:space="preserve"> applies a reinvestment rate. The reinvestment assumption in the case of </w:t>
      </w:r>
      <w:r w:rsidR="00B133D0" w:rsidRPr="000C4180">
        <w:t>NNCF</w:t>
      </w:r>
      <w:r w:rsidR="00817FB7" w:rsidRPr="000C4180">
        <w:t xml:space="preserve"> leads to a serious mistake in the calculations. </w:t>
      </w:r>
      <w:r w:rsidRPr="000C4180">
        <w:t>Ille’s</w:t>
      </w:r>
      <w:r w:rsidR="00817FB7" w:rsidRPr="000C4180">
        <w:t xml:space="preserve"> illustrated how this way of evaluation is wrong. This paper is important as the interest income on positi</w:t>
      </w:r>
      <w:r w:rsidR="00B133D0" w:rsidRPr="000C4180">
        <w:t>ve OBs are reinvestment income that leads to the multiple IRR problem</w:t>
      </w:r>
      <w:r w:rsidR="00696373" w:rsidRPr="000C4180">
        <w:t xml:space="preserve"> (also see Arjunan 2017b)</w:t>
      </w:r>
      <w:r w:rsidR="00B133D0" w:rsidRPr="000C4180">
        <w:t>.</w:t>
      </w:r>
    </w:p>
    <w:p w14:paraId="2581CE37" w14:textId="0A72611E" w:rsidR="008E7F97" w:rsidRPr="000C4180" w:rsidRDefault="008E7F97" w:rsidP="005A2F54">
      <w:pPr>
        <w:pStyle w:val="NoSpacing"/>
      </w:pPr>
    </w:p>
    <w:p w14:paraId="7FD0DED5" w14:textId="1E626091" w:rsidR="00E078C5" w:rsidRPr="000C4180" w:rsidRDefault="008E7F97" w:rsidP="005A2F54">
      <w:pPr>
        <w:pStyle w:val="NoSpacing"/>
      </w:pPr>
      <w:r w:rsidRPr="000C4180">
        <w:t>M</w:t>
      </w:r>
      <w:r w:rsidR="00110508" w:rsidRPr="000C4180">
        <w:t>odifi</w:t>
      </w:r>
      <w:r w:rsidRPr="000C4180">
        <w:t xml:space="preserve">cation of </w:t>
      </w:r>
      <w:r w:rsidR="00110508" w:rsidRPr="000C4180">
        <w:t>DCF method is also possible with similar modification to the interest or discount rates.</w:t>
      </w:r>
      <w:r w:rsidR="00D05D4F" w:rsidRPr="000C4180">
        <w:t xml:space="preserve"> However, the CAS </w:t>
      </w:r>
      <w:r w:rsidR="00824394" w:rsidRPr="000C4180">
        <w:t xml:space="preserve">based </w:t>
      </w:r>
      <w:r w:rsidR="00D05D4F" w:rsidRPr="000C4180">
        <w:t>method (</w:t>
      </w:r>
      <w:r w:rsidR="00824394" w:rsidRPr="000C4180">
        <w:t xml:space="preserve">or </w:t>
      </w:r>
      <w:r w:rsidR="00D05D4F" w:rsidRPr="000C4180">
        <w:t>a modified CAS) is more transparent and eas</w:t>
      </w:r>
      <w:r w:rsidR="009116C3">
        <w:t>ier</w:t>
      </w:r>
      <w:r w:rsidR="00D05D4F" w:rsidRPr="000C4180">
        <w:t xml:space="preserve"> to interpret. </w:t>
      </w:r>
      <w:r w:rsidR="00625749" w:rsidRPr="000C4180">
        <w:t>In the next section</w:t>
      </w:r>
      <w:r w:rsidR="00824394" w:rsidRPr="000C4180">
        <w:t>,</w:t>
      </w:r>
      <w:r w:rsidR="00625749" w:rsidRPr="000C4180">
        <w:t xml:space="preserve"> t</w:t>
      </w:r>
      <w:r w:rsidR="00DE4FB0" w:rsidRPr="000C4180">
        <w:t>he</w:t>
      </w:r>
      <w:r w:rsidR="001543BF" w:rsidRPr="000C4180">
        <w:t xml:space="preserve"> MCAS </w:t>
      </w:r>
      <w:r w:rsidR="00DE4FB0" w:rsidRPr="000C4180">
        <w:t>method is explained with a worked-out example</w:t>
      </w:r>
      <w:r w:rsidR="00625749" w:rsidRPr="000C4180">
        <w:t xml:space="preserve"> </w:t>
      </w:r>
      <w:r w:rsidR="00DE4FB0" w:rsidRPr="000C4180">
        <w:t>so that analysts or economists can easily relate it to the real</w:t>
      </w:r>
      <w:r w:rsidR="007E2894" w:rsidRPr="000C4180">
        <w:t>-</w:t>
      </w:r>
      <w:r w:rsidR="00DE4FB0" w:rsidRPr="000C4180">
        <w:t>life situation.</w:t>
      </w:r>
      <w:r w:rsidR="002F462C" w:rsidRPr="000C4180">
        <w:t xml:space="preserve"> CAS method is </w:t>
      </w:r>
      <w:r w:rsidR="00D05D4F" w:rsidRPr="000C4180">
        <w:t xml:space="preserve">like </w:t>
      </w:r>
      <w:r w:rsidR="007E2894" w:rsidRPr="000C4180">
        <w:t>the popular loan amortization schedule. In MCAS, the capital investment (ROC) and annual income</w:t>
      </w:r>
      <w:r w:rsidR="002F462C" w:rsidRPr="000C4180">
        <w:t xml:space="preserve"> (CF)</w:t>
      </w:r>
      <w:r w:rsidR="007E2894" w:rsidRPr="000C4180">
        <w:t xml:space="preserve"> is known and the unknown interest rate (ROIC) that makes the NCF ‘0’ </w:t>
      </w:r>
      <w:r w:rsidR="001543BF" w:rsidRPr="000C4180">
        <w:t xml:space="preserve">(closing balance zero in MCAS) </w:t>
      </w:r>
      <w:r w:rsidR="007E2894" w:rsidRPr="000C4180">
        <w:t>is the IRR</w:t>
      </w:r>
      <w:r w:rsidR="00CA7390" w:rsidRPr="000C4180">
        <w:t xml:space="preserve"> (for full details please refer to Arjunan 2017a)</w:t>
      </w:r>
      <w:r w:rsidR="007E2894" w:rsidRPr="000C4180">
        <w:t>.</w:t>
      </w:r>
      <w:r w:rsidR="00230B83" w:rsidRPr="000C4180">
        <w:t xml:space="preserve"> Also, if discounted </w:t>
      </w:r>
      <w:r w:rsidR="002F462C" w:rsidRPr="000C4180">
        <w:t xml:space="preserve">or interest applied </w:t>
      </w:r>
      <w:r w:rsidR="00230B83" w:rsidRPr="000C4180">
        <w:t xml:space="preserve">at the hurdle rate (say 10%), the present value (PV) of the closing balance </w:t>
      </w:r>
      <w:r w:rsidR="001543BF" w:rsidRPr="000C4180">
        <w:t xml:space="preserve">in the CAS </w:t>
      </w:r>
      <w:r w:rsidR="00230B83" w:rsidRPr="000C4180">
        <w:t>is the NPV.</w:t>
      </w:r>
      <w:r w:rsidR="00291500" w:rsidRPr="000C4180">
        <w:t xml:space="preserve"> </w:t>
      </w:r>
      <w:bookmarkStart w:id="7" w:name="_Hlk507485139"/>
      <w:bookmarkEnd w:id="0"/>
      <w:r w:rsidR="000C427E" w:rsidRPr="000C4180">
        <w:t>The data used are available in public domain or hypothetical data sets are used.</w:t>
      </w:r>
      <w:bookmarkEnd w:id="7"/>
    </w:p>
    <w:p w14:paraId="531E96C6" w14:textId="77777777" w:rsidR="005A2F54" w:rsidRPr="000C4180" w:rsidRDefault="005A2F54" w:rsidP="009109B3">
      <w:pPr>
        <w:pStyle w:val="Heading3"/>
      </w:pPr>
      <w:r w:rsidRPr="000C4180">
        <w:t>4. Results and Discussion</w:t>
      </w:r>
    </w:p>
    <w:p w14:paraId="0BBA8721" w14:textId="77777777" w:rsidR="005A2F54" w:rsidRPr="000C4180" w:rsidRDefault="005A2F54" w:rsidP="005A2F54">
      <w:pPr>
        <w:pStyle w:val="NoSpacing"/>
      </w:pPr>
      <w:r w:rsidRPr="000C4180">
        <w:t xml:space="preserve">Results of numerical analyses of NNCF data, both hypothetical and published works, are presented and discussed here in five parts viz. </w:t>
      </w:r>
    </w:p>
    <w:p w14:paraId="0DDEB38A" w14:textId="348C972D" w:rsidR="005A2F54" w:rsidRPr="000C4180" w:rsidRDefault="005A2F54" w:rsidP="005A2F54">
      <w:pPr>
        <w:pStyle w:val="NoSpacing"/>
        <w:numPr>
          <w:ilvl w:val="0"/>
          <w:numId w:val="20"/>
        </w:numPr>
      </w:pPr>
      <w:r w:rsidRPr="000C4180">
        <w:t xml:space="preserve">Introducing the new method viz. a modified CAS method to estimate the NNCF </w:t>
      </w:r>
      <w:r w:rsidR="009116C3" w:rsidRPr="000C4180">
        <w:t>data.</w:t>
      </w:r>
    </w:p>
    <w:p w14:paraId="339A719A" w14:textId="0CF6B446" w:rsidR="00712BCD" w:rsidRPr="000C4180" w:rsidRDefault="00712BCD" w:rsidP="00712BCD">
      <w:pPr>
        <w:pStyle w:val="NoSpacing"/>
        <w:numPr>
          <w:ilvl w:val="0"/>
          <w:numId w:val="20"/>
        </w:numPr>
      </w:pPr>
      <w:r w:rsidRPr="000C4180">
        <w:t xml:space="preserve">Identifying the factors that cause multiple IRR problem under DCF and CAS </w:t>
      </w:r>
      <w:r w:rsidR="009116C3" w:rsidRPr="000C4180">
        <w:t>methods.</w:t>
      </w:r>
      <w:r w:rsidRPr="000C4180">
        <w:t xml:space="preserve"> </w:t>
      </w:r>
    </w:p>
    <w:p w14:paraId="4704EAD3" w14:textId="005ED971" w:rsidR="005A2F54" w:rsidRPr="000C4180" w:rsidRDefault="00C73880" w:rsidP="005A2F54">
      <w:pPr>
        <w:pStyle w:val="NoSpacing"/>
        <w:numPr>
          <w:ilvl w:val="0"/>
          <w:numId w:val="20"/>
        </w:numPr>
      </w:pPr>
      <w:r w:rsidRPr="000C4180">
        <w:t>Evaluation of a</w:t>
      </w:r>
      <w:r w:rsidR="005A2F54" w:rsidRPr="000C4180">
        <w:t xml:space="preserve"> NNCF data with a unique IRR</w:t>
      </w:r>
      <w:r w:rsidR="00712BCD" w:rsidRPr="000C4180">
        <w:t xml:space="preserve"> and NPV </w:t>
      </w:r>
      <w:r w:rsidR="005A2F54" w:rsidRPr="000C4180">
        <w:t>under DCF / CAS methods v</w:t>
      </w:r>
      <w:r w:rsidR="00712BCD" w:rsidRPr="000C4180">
        <w:t xml:space="preserve">s </w:t>
      </w:r>
      <w:r w:rsidR="005A2F54" w:rsidRPr="000C4180">
        <w:t xml:space="preserve">IRR </w:t>
      </w:r>
      <w:r w:rsidR="00712BCD" w:rsidRPr="000C4180">
        <w:t xml:space="preserve">and NPV </w:t>
      </w:r>
      <w:r w:rsidR="005A2F54" w:rsidRPr="000C4180">
        <w:t xml:space="preserve">by MCAS </w:t>
      </w:r>
      <w:r w:rsidR="009116C3" w:rsidRPr="000C4180">
        <w:t>method.</w:t>
      </w:r>
    </w:p>
    <w:p w14:paraId="22B17E3D" w14:textId="2ABD4D02" w:rsidR="005A2F54" w:rsidRPr="000C4180" w:rsidRDefault="005A2F54" w:rsidP="005A2F54">
      <w:pPr>
        <w:pStyle w:val="NoSpacing"/>
        <w:numPr>
          <w:ilvl w:val="0"/>
          <w:numId w:val="20"/>
        </w:numPr>
      </w:pPr>
      <w:r w:rsidRPr="000C4180">
        <w:t>Resolving the problem of Multiple IRR by MCAS Method Versus MIRR; and</w:t>
      </w:r>
    </w:p>
    <w:p w14:paraId="0E44BEFB" w14:textId="2489808D" w:rsidR="005A2F54" w:rsidRPr="000C4180" w:rsidRDefault="005A2F54" w:rsidP="005A2F54">
      <w:pPr>
        <w:pStyle w:val="NoSpacing"/>
        <w:numPr>
          <w:ilvl w:val="0"/>
          <w:numId w:val="20"/>
        </w:numPr>
      </w:pPr>
      <w:r w:rsidRPr="000C4180">
        <w:t>A Review of other methods to estimate NNCF viz. the GIRR and AIRR.</w:t>
      </w:r>
    </w:p>
    <w:p w14:paraId="2E18BA33" w14:textId="77777777" w:rsidR="005A2F54" w:rsidRPr="009109B3" w:rsidRDefault="005A2F54" w:rsidP="009109B3">
      <w:pPr>
        <w:pStyle w:val="Heading3"/>
      </w:pPr>
      <w:r w:rsidRPr="009109B3">
        <w:t>4.1 A Modified CAS Method (MCAS) to Estimate NNCF:</w:t>
      </w:r>
    </w:p>
    <w:p w14:paraId="3541B4B8" w14:textId="77777777" w:rsidR="005A2F54" w:rsidRPr="000C4180" w:rsidRDefault="005A2F54" w:rsidP="005A2F54">
      <w:pPr>
        <w:pStyle w:val="NoSpacing"/>
      </w:pPr>
      <w:r w:rsidRPr="000C4180">
        <w:t xml:space="preserve">A new method, modified CAS (MCAS) method, is introduced to handle the problem </w:t>
      </w:r>
      <w:r w:rsidR="00C73880" w:rsidRPr="000C4180">
        <w:t>associated with NNCF</w:t>
      </w:r>
      <w:r w:rsidRPr="000C4180">
        <w:t>. As discussed earlier, the inclusion of reinvestment with some of the NNCF leads to multiple IRR and inconsistent NPV. The MCAS model is presented here and the discussions are in three parts:</w:t>
      </w:r>
    </w:p>
    <w:p w14:paraId="34BEBA0E" w14:textId="101A64B0" w:rsidR="005A2F54" w:rsidRPr="000C4180" w:rsidRDefault="005A2F54" w:rsidP="005A2F54">
      <w:pPr>
        <w:pStyle w:val="NoSpacing"/>
        <w:numPr>
          <w:ilvl w:val="0"/>
          <w:numId w:val="5"/>
        </w:numPr>
      </w:pPr>
      <w:r w:rsidRPr="000C4180">
        <w:t>A hypothetical NNCF data is used to estimate IRR and NPV under DCF and CAS methods (these estimates under both methods are the same) and MIRR. Using these estimates</w:t>
      </w:r>
      <w:r w:rsidR="00C73880" w:rsidRPr="000C4180">
        <w:t xml:space="preserve"> (IRR)</w:t>
      </w:r>
      <w:r w:rsidRPr="000C4180">
        <w:t xml:space="preserve">, MCAS are </w:t>
      </w:r>
      <w:r w:rsidRPr="000C4180">
        <w:lastRenderedPageBreak/>
        <w:t xml:space="preserve">prepared to assess whether these estimates are consistent with the NNCF (NCF-consistent) and compared with the IRR and NPV estimated by the MCAS </w:t>
      </w:r>
      <w:r w:rsidR="009116C3" w:rsidRPr="000C4180">
        <w:t>method.</w:t>
      </w:r>
    </w:p>
    <w:p w14:paraId="13F4824E" w14:textId="024BAC88" w:rsidR="005A2F54" w:rsidRPr="000C4180" w:rsidRDefault="005A2F54" w:rsidP="005A2F54">
      <w:pPr>
        <w:pStyle w:val="NoSpacing"/>
        <w:numPr>
          <w:ilvl w:val="0"/>
          <w:numId w:val="5"/>
        </w:numPr>
      </w:pPr>
      <w:r w:rsidRPr="000C4180">
        <w:t xml:space="preserve">Next NNCF data, used by Schmidt (2015) and Kyd (2017) </w:t>
      </w:r>
      <w:r w:rsidR="00C73880" w:rsidRPr="000C4180">
        <w:t xml:space="preserve">are used </w:t>
      </w:r>
      <w:r w:rsidRPr="000C4180">
        <w:t xml:space="preserve">to estimate IRR and NPV under DCF and CAS methods and MIRR. These estimates are then used in MCAS to find out whether they are NCF-consistent or the NCF (benefit stream) is adequate to support such estimates; and to evaluate whether the MIRR could solve the problem of multiple IRR as claimed. </w:t>
      </w:r>
    </w:p>
    <w:p w14:paraId="2637AE4C" w14:textId="5EF59B3F" w:rsidR="005A2F54" w:rsidRPr="000C4180" w:rsidRDefault="005A2F54" w:rsidP="005A2F54">
      <w:pPr>
        <w:pStyle w:val="NoSpacing"/>
        <w:numPr>
          <w:ilvl w:val="0"/>
          <w:numId w:val="5"/>
        </w:numPr>
      </w:pPr>
      <w:r w:rsidRPr="000C4180">
        <w:t>Finally, NNCF data sets used by Magni (2010) and Kulakov and Kastro (2015) to demonstrate how the AIRR or GIRR are</w:t>
      </w:r>
      <w:r w:rsidR="00C73880" w:rsidRPr="000C4180">
        <w:t xml:space="preserve"> not</w:t>
      </w:r>
      <w:r w:rsidRPr="000C4180">
        <w:t xml:space="preserve"> the appropriate criterion to estimate the return for NNCF. The estimated criteria are used to develop MCAS to evaluate whether those criteria are superior to the unique IRR by MCAS. </w:t>
      </w:r>
    </w:p>
    <w:p w14:paraId="412669C8" w14:textId="77777777" w:rsidR="005A2F54" w:rsidRPr="000C4180" w:rsidRDefault="005A2F54" w:rsidP="005A2F54">
      <w:pPr>
        <w:pStyle w:val="NoSpacing"/>
        <w:rPr>
          <w:b/>
        </w:rPr>
      </w:pPr>
    </w:p>
    <w:p w14:paraId="1A5F938B" w14:textId="2A9231B0" w:rsidR="005A2F54" w:rsidRPr="000C4180" w:rsidRDefault="005A2F54" w:rsidP="005A54D1">
      <w:pPr>
        <w:pStyle w:val="NoSpacing"/>
      </w:pPr>
      <w:r w:rsidRPr="000C4180">
        <w:rPr>
          <w:b/>
        </w:rPr>
        <w:t>MCAS Method:</w:t>
      </w:r>
      <w:r w:rsidRPr="000C4180">
        <w:t xml:space="preserve"> </w:t>
      </w:r>
      <w:r w:rsidR="004334E9" w:rsidRPr="000C4180">
        <w:t>A</w:t>
      </w:r>
      <w:r w:rsidRPr="000C4180">
        <w:t xml:space="preserve"> hypothetical NNCF </w:t>
      </w:r>
      <w:r w:rsidR="00C73880" w:rsidRPr="000C4180">
        <w:t xml:space="preserve">data </w:t>
      </w:r>
      <w:r w:rsidRPr="000C4180">
        <w:t>with two sign changes</w:t>
      </w:r>
      <w:r w:rsidR="004334E9" w:rsidRPr="000C4180">
        <w:t xml:space="preserve"> is used to introduce the MCAS method. </w:t>
      </w:r>
      <w:r w:rsidRPr="000C4180">
        <w:t>IRR and NPV under the DCF, CAS and MCAS methods</w:t>
      </w:r>
      <w:r w:rsidR="004334E9" w:rsidRPr="000C4180">
        <w:t xml:space="preserve"> are </w:t>
      </w:r>
      <w:r w:rsidR="00C85164" w:rsidRPr="000C4180">
        <w:rPr>
          <w:rFonts w:eastAsia="Times New Roman"/>
          <w:color w:val="000000"/>
          <w:lang w:eastAsia="en-AU"/>
        </w:rPr>
        <w:t>estimated</w:t>
      </w:r>
      <w:r w:rsidR="004334E9" w:rsidRPr="000C4180">
        <w:t xml:space="preserve"> and the results compared (See Table 1)</w:t>
      </w:r>
      <w:r w:rsidRPr="000C4180">
        <w:t xml:space="preserve">. Simultaneously, MIRRs under the DCF method and the closing balance under the CAS and MCAS methods are also estimated and furnished in the upper part of Table 1. </w:t>
      </w:r>
    </w:p>
    <w:p w14:paraId="30F61E95" w14:textId="77777777" w:rsidR="005A54D1" w:rsidRDefault="005A54D1" w:rsidP="009109B3">
      <w:pPr>
        <w:pStyle w:val="Heading3"/>
      </w:pPr>
    </w:p>
    <w:p w14:paraId="21CD9BD5" w14:textId="4588ECED" w:rsidR="005A2F54" w:rsidRPr="009109B3" w:rsidRDefault="005A2F54" w:rsidP="009109B3">
      <w:pPr>
        <w:pStyle w:val="Heading3"/>
      </w:pPr>
      <w:r w:rsidRPr="009109B3">
        <w:t>Table: 1. NNCF Estimation using DCF, CAS and Modified CAS Methods</w:t>
      </w:r>
    </w:p>
    <w:tbl>
      <w:tblPr>
        <w:tblW w:w="96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28"/>
        <w:gridCol w:w="848"/>
        <w:gridCol w:w="797"/>
        <w:gridCol w:w="777"/>
        <w:gridCol w:w="516"/>
        <w:gridCol w:w="294"/>
        <w:gridCol w:w="949"/>
        <w:gridCol w:w="491"/>
        <w:gridCol w:w="564"/>
        <w:gridCol w:w="696"/>
        <w:gridCol w:w="218"/>
        <w:gridCol w:w="1189"/>
        <w:gridCol w:w="1594"/>
      </w:tblGrid>
      <w:tr w:rsidR="005A2F54" w:rsidRPr="000C4180" w14:paraId="52ACC45E" w14:textId="77777777" w:rsidTr="00712BCD">
        <w:trPr>
          <w:trHeight w:val="237"/>
        </w:trPr>
        <w:tc>
          <w:tcPr>
            <w:tcW w:w="728" w:type="dxa"/>
            <w:noWrap/>
            <w:vAlign w:val="bottom"/>
            <w:hideMark/>
          </w:tcPr>
          <w:p w14:paraId="67DFF280" w14:textId="77777777" w:rsidR="005A2F54" w:rsidRPr="000C4180" w:rsidRDefault="005A2F54" w:rsidP="00712BCD">
            <w:pPr>
              <w:rPr>
                <w:b/>
                <w:color w:val="000000"/>
                <w:sz w:val="20"/>
                <w:szCs w:val="20"/>
              </w:rPr>
            </w:pPr>
            <w:r w:rsidRPr="000C4180">
              <w:rPr>
                <w:b/>
                <w:color w:val="000000"/>
                <w:sz w:val="20"/>
                <w:szCs w:val="20"/>
              </w:rPr>
              <w:t>Years</w:t>
            </w:r>
          </w:p>
        </w:tc>
        <w:tc>
          <w:tcPr>
            <w:tcW w:w="848" w:type="dxa"/>
            <w:noWrap/>
            <w:vAlign w:val="bottom"/>
            <w:hideMark/>
          </w:tcPr>
          <w:p w14:paraId="1566F437" w14:textId="77777777" w:rsidR="005A2F54" w:rsidRPr="000C4180" w:rsidRDefault="005A2F54" w:rsidP="00712BCD">
            <w:pPr>
              <w:rPr>
                <w:b/>
                <w:color w:val="000000"/>
                <w:sz w:val="20"/>
                <w:szCs w:val="20"/>
              </w:rPr>
            </w:pPr>
            <w:r w:rsidRPr="000C4180">
              <w:rPr>
                <w:b/>
                <w:color w:val="000000"/>
                <w:sz w:val="20"/>
                <w:szCs w:val="20"/>
              </w:rPr>
              <w:t>NNCF</w:t>
            </w:r>
          </w:p>
        </w:tc>
        <w:tc>
          <w:tcPr>
            <w:tcW w:w="5084" w:type="dxa"/>
            <w:gridSpan w:val="8"/>
            <w:noWrap/>
            <w:vAlign w:val="bottom"/>
            <w:hideMark/>
          </w:tcPr>
          <w:p w14:paraId="29B3A20C" w14:textId="77777777" w:rsidR="005A2F54" w:rsidRPr="000C4180" w:rsidRDefault="005A2F54" w:rsidP="00712BCD">
            <w:pPr>
              <w:jc w:val="center"/>
              <w:rPr>
                <w:b/>
                <w:color w:val="000000"/>
                <w:sz w:val="20"/>
                <w:szCs w:val="20"/>
              </w:rPr>
            </w:pPr>
            <w:r w:rsidRPr="000C4180">
              <w:rPr>
                <w:b/>
                <w:color w:val="000000"/>
                <w:sz w:val="20"/>
                <w:szCs w:val="20"/>
              </w:rPr>
              <w:t>DCF &amp; CAS Based estimates</w:t>
            </w:r>
          </w:p>
        </w:tc>
        <w:tc>
          <w:tcPr>
            <w:tcW w:w="3001" w:type="dxa"/>
            <w:gridSpan w:val="3"/>
            <w:noWrap/>
            <w:vAlign w:val="bottom"/>
            <w:hideMark/>
          </w:tcPr>
          <w:p w14:paraId="6B5C6572" w14:textId="77777777" w:rsidR="005A2F54" w:rsidRPr="000C4180" w:rsidRDefault="005A2F54" w:rsidP="00712BCD">
            <w:pPr>
              <w:jc w:val="center"/>
              <w:rPr>
                <w:b/>
                <w:color w:val="000000"/>
                <w:sz w:val="20"/>
                <w:szCs w:val="20"/>
              </w:rPr>
            </w:pPr>
            <w:r w:rsidRPr="000C4180">
              <w:rPr>
                <w:b/>
                <w:color w:val="000000"/>
                <w:sz w:val="20"/>
                <w:szCs w:val="20"/>
              </w:rPr>
              <w:t>MCAS Based Estimates</w:t>
            </w:r>
          </w:p>
        </w:tc>
      </w:tr>
      <w:tr w:rsidR="005A2F54" w:rsidRPr="000C4180" w14:paraId="344E0F5C" w14:textId="77777777" w:rsidTr="00712BCD">
        <w:trPr>
          <w:trHeight w:val="237"/>
        </w:trPr>
        <w:tc>
          <w:tcPr>
            <w:tcW w:w="728" w:type="dxa"/>
            <w:noWrap/>
            <w:vAlign w:val="bottom"/>
            <w:hideMark/>
          </w:tcPr>
          <w:p w14:paraId="48F63106" w14:textId="77777777" w:rsidR="005A2F54" w:rsidRPr="000C4180" w:rsidRDefault="005A2F54" w:rsidP="00712BCD">
            <w:pPr>
              <w:jc w:val="right"/>
              <w:rPr>
                <w:color w:val="000000"/>
                <w:sz w:val="20"/>
                <w:szCs w:val="20"/>
              </w:rPr>
            </w:pPr>
            <w:r w:rsidRPr="000C4180">
              <w:rPr>
                <w:color w:val="000000"/>
                <w:sz w:val="20"/>
                <w:szCs w:val="20"/>
              </w:rPr>
              <w:t>0</w:t>
            </w:r>
          </w:p>
        </w:tc>
        <w:tc>
          <w:tcPr>
            <w:tcW w:w="848" w:type="dxa"/>
            <w:noWrap/>
            <w:vAlign w:val="bottom"/>
            <w:hideMark/>
          </w:tcPr>
          <w:p w14:paraId="27C39C15" w14:textId="77777777" w:rsidR="005A2F54" w:rsidRPr="000C4180" w:rsidRDefault="005A2F54" w:rsidP="00712BCD">
            <w:pPr>
              <w:jc w:val="right"/>
              <w:rPr>
                <w:color w:val="000000"/>
                <w:sz w:val="20"/>
                <w:szCs w:val="20"/>
              </w:rPr>
            </w:pPr>
            <w:r w:rsidRPr="000C4180">
              <w:rPr>
                <w:color w:val="000000"/>
                <w:sz w:val="20"/>
                <w:szCs w:val="20"/>
              </w:rPr>
              <w:t>-1000.0</w:t>
            </w:r>
          </w:p>
        </w:tc>
        <w:tc>
          <w:tcPr>
            <w:tcW w:w="1574" w:type="dxa"/>
            <w:gridSpan w:val="2"/>
            <w:noWrap/>
            <w:vAlign w:val="bottom"/>
            <w:hideMark/>
          </w:tcPr>
          <w:p w14:paraId="1647907F" w14:textId="77777777" w:rsidR="005A2F54" w:rsidRPr="000C4180" w:rsidRDefault="005A2F54" w:rsidP="00712BCD">
            <w:pPr>
              <w:rPr>
                <w:color w:val="000000"/>
                <w:sz w:val="20"/>
                <w:szCs w:val="20"/>
              </w:rPr>
            </w:pPr>
            <w:r w:rsidRPr="000C4180">
              <w:rPr>
                <w:color w:val="000000"/>
                <w:sz w:val="20"/>
                <w:szCs w:val="20"/>
              </w:rPr>
              <w:t>Criteria</w:t>
            </w:r>
          </w:p>
        </w:tc>
        <w:tc>
          <w:tcPr>
            <w:tcW w:w="810" w:type="dxa"/>
            <w:gridSpan w:val="2"/>
            <w:noWrap/>
            <w:vAlign w:val="bottom"/>
            <w:hideMark/>
          </w:tcPr>
          <w:p w14:paraId="527F1AD2" w14:textId="77777777" w:rsidR="005A2F54" w:rsidRPr="000C4180" w:rsidRDefault="005A2F54" w:rsidP="00712BCD">
            <w:pPr>
              <w:rPr>
                <w:color w:val="000000"/>
                <w:sz w:val="20"/>
                <w:szCs w:val="20"/>
              </w:rPr>
            </w:pPr>
            <w:r w:rsidRPr="000C4180">
              <w:rPr>
                <w:color w:val="000000"/>
                <w:sz w:val="20"/>
                <w:szCs w:val="20"/>
              </w:rPr>
              <w:t>Values</w:t>
            </w:r>
          </w:p>
        </w:tc>
        <w:tc>
          <w:tcPr>
            <w:tcW w:w="1440" w:type="dxa"/>
            <w:gridSpan w:val="2"/>
            <w:noWrap/>
            <w:vAlign w:val="bottom"/>
            <w:hideMark/>
          </w:tcPr>
          <w:p w14:paraId="7134DD73" w14:textId="77777777" w:rsidR="005A2F54" w:rsidRPr="000C4180" w:rsidRDefault="005A2F54" w:rsidP="00712BCD">
            <w:pPr>
              <w:rPr>
                <w:color w:val="000000"/>
                <w:sz w:val="20"/>
                <w:szCs w:val="20"/>
              </w:rPr>
            </w:pPr>
            <w:r w:rsidRPr="000C4180">
              <w:rPr>
                <w:color w:val="000000"/>
                <w:sz w:val="20"/>
                <w:szCs w:val="20"/>
              </w:rPr>
              <w:t>Criteria</w:t>
            </w:r>
          </w:p>
        </w:tc>
        <w:tc>
          <w:tcPr>
            <w:tcW w:w="1260" w:type="dxa"/>
            <w:gridSpan w:val="2"/>
            <w:noWrap/>
            <w:vAlign w:val="bottom"/>
            <w:hideMark/>
          </w:tcPr>
          <w:p w14:paraId="14208BF3" w14:textId="77777777" w:rsidR="005A2F54" w:rsidRPr="000C4180" w:rsidRDefault="005A2F54" w:rsidP="00712BCD">
            <w:pPr>
              <w:rPr>
                <w:color w:val="000000"/>
                <w:sz w:val="20"/>
                <w:szCs w:val="20"/>
              </w:rPr>
            </w:pPr>
            <w:r w:rsidRPr="000C4180">
              <w:rPr>
                <w:color w:val="000000"/>
                <w:sz w:val="20"/>
                <w:szCs w:val="20"/>
              </w:rPr>
              <w:t>Values**</w:t>
            </w:r>
          </w:p>
        </w:tc>
        <w:tc>
          <w:tcPr>
            <w:tcW w:w="1407" w:type="dxa"/>
            <w:gridSpan w:val="2"/>
            <w:noWrap/>
            <w:vAlign w:val="bottom"/>
            <w:hideMark/>
          </w:tcPr>
          <w:p w14:paraId="3FA5B6D4" w14:textId="77777777" w:rsidR="005A2F54" w:rsidRPr="000C4180" w:rsidRDefault="005A2F54" w:rsidP="00712BCD">
            <w:pPr>
              <w:rPr>
                <w:color w:val="000000"/>
                <w:sz w:val="20"/>
                <w:szCs w:val="20"/>
              </w:rPr>
            </w:pPr>
            <w:r w:rsidRPr="000C4180">
              <w:rPr>
                <w:color w:val="000000"/>
                <w:sz w:val="20"/>
                <w:szCs w:val="20"/>
              </w:rPr>
              <w:t>Criteria</w:t>
            </w:r>
          </w:p>
        </w:tc>
        <w:tc>
          <w:tcPr>
            <w:tcW w:w="1594" w:type="dxa"/>
            <w:noWrap/>
            <w:vAlign w:val="bottom"/>
            <w:hideMark/>
          </w:tcPr>
          <w:p w14:paraId="5363BCC7" w14:textId="77777777" w:rsidR="005A2F54" w:rsidRPr="000C4180" w:rsidRDefault="005A2F54" w:rsidP="00712BCD">
            <w:pPr>
              <w:rPr>
                <w:color w:val="000000"/>
                <w:sz w:val="20"/>
                <w:szCs w:val="20"/>
              </w:rPr>
            </w:pPr>
            <w:r w:rsidRPr="000C4180">
              <w:rPr>
                <w:color w:val="000000"/>
                <w:sz w:val="20"/>
                <w:szCs w:val="20"/>
              </w:rPr>
              <w:t>Values</w:t>
            </w:r>
          </w:p>
        </w:tc>
      </w:tr>
      <w:tr w:rsidR="005A2F54" w:rsidRPr="000C4180" w14:paraId="465D84CE" w14:textId="77777777" w:rsidTr="00712BCD">
        <w:trPr>
          <w:trHeight w:val="237"/>
        </w:trPr>
        <w:tc>
          <w:tcPr>
            <w:tcW w:w="728" w:type="dxa"/>
            <w:noWrap/>
            <w:vAlign w:val="bottom"/>
            <w:hideMark/>
          </w:tcPr>
          <w:p w14:paraId="31B019EF" w14:textId="77777777" w:rsidR="005A2F54" w:rsidRPr="000C4180" w:rsidRDefault="005A2F54" w:rsidP="00712BCD">
            <w:pPr>
              <w:jc w:val="right"/>
              <w:rPr>
                <w:color w:val="000000"/>
                <w:sz w:val="20"/>
                <w:szCs w:val="20"/>
              </w:rPr>
            </w:pPr>
            <w:r w:rsidRPr="000C4180">
              <w:rPr>
                <w:color w:val="000000"/>
                <w:sz w:val="20"/>
                <w:szCs w:val="20"/>
              </w:rPr>
              <w:t>1</w:t>
            </w:r>
          </w:p>
        </w:tc>
        <w:tc>
          <w:tcPr>
            <w:tcW w:w="848" w:type="dxa"/>
            <w:noWrap/>
            <w:vAlign w:val="bottom"/>
            <w:hideMark/>
          </w:tcPr>
          <w:p w14:paraId="4BDFB3AD" w14:textId="77777777" w:rsidR="005A2F54" w:rsidRPr="000C4180" w:rsidRDefault="005A2F54" w:rsidP="00712BCD">
            <w:pPr>
              <w:jc w:val="right"/>
              <w:rPr>
                <w:color w:val="000000"/>
                <w:sz w:val="20"/>
                <w:szCs w:val="20"/>
              </w:rPr>
            </w:pPr>
            <w:r w:rsidRPr="000C4180">
              <w:rPr>
                <w:color w:val="000000"/>
                <w:sz w:val="20"/>
                <w:szCs w:val="20"/>
              </w:rPr>
              <w:t>800.0</w:t>
            </w:r>
          </w:p>
        </w:tc>
        <w:tc>
          <w:tcPr>
            <w:tcW w:w="1574" w:type="dxa"/>
            <w:gridSpan w:val="2"/>
            <w:noWrap/>
            <w:vAlign w:val="bottom"/>
            <w:hideMark/>
          </w:tcPr>
          <w:p w14:paraId="5FFCC31F" w14:textId="77777777" w:rsidR="005A2F54" w:rsidRPr="000C4180" w:rsidRDefault="005A2F54" w:rsidP="00712BCD">
            <w:pPr>
              <w:rPr>
                <w:color w:val="000000"/>
                <w:sz w:val="20"/>
                <w:szCs w:val="20"/>
              </w:rPr>
            </w:pPr>
            <w:r w:rsidRPr="000C4180">
              <w:rPr>
                <w:color w:val="000000"/>
                <w:sz w:val="20"/>
                <w:szCs w:val="20"/>
              </w:rPr>
              <w:t>IRR – 1</w:t>
            </w:r>
          </w:p>
        </w:tc>
        <w:tc>
          <w:tcPr>
            <w:tcW w:w="810" w:type="dxa"/>
            <w:gridSpan w:val="2"/>
            <w:noWrap/>
            <w:vAlign w:val="bottom"/>
            <w:hideMark/>
          </w:tcPr>
          <w:p w14:paraId="7ED65CD7" w14:textId="77777777" w:rsidR="005A2F54" w:rsidRPr="000C4180" w:rsidRDefault="005A2F54" w:rsidP="00712BCD">
            <w:pPr>
              <w:jc w:val="right"/>
              <w:rPr>
                <w:color w:val="000000"/>
                <w:sz w:val="20"/>
                <w:szCs w:val="20"/>
              </w:rPr>
            </w:pPr>
            <w:r w:rsidRPr="000C4180">
              <w:rPr>
                <w:color w:val="000000"/>
                <w:sz w:val="20"/>
                <w:szCs w:val="20"/>
              </w:rPr>
              <w:t>-5.5%</w:t>
            </w:r>
          </w:p>
        </w:tc>
        <w:tc>
          <w:tcPr>
            <w:tcW w:w="1440" w:type="dxa"/>
            <w:gridSpan w:val="2"/>
            <w:noWrap/>
            <w:vAlign w:val="bottom"/>
            <w:hideMark/>
          </w:tcPr>
          <w:p w14:paraId="00B4A97B" w14:textId="77777777" w:rsidR="005A2F54" w:rsidRPr="000C4180" w:rsidRDefault="005A2F54" w:rsidP="00712BCD">
            <w:pPr>
              <w:rPr>
                <w:color w:val="000000"/>
                <w:sz w:val="20"/>
                <w:szCs w:val="20"/>
              </w:rPr>
            </w:pPr>
            <w:r w:rsidRPr="000C4180">
              <w:rPr>
                <w:color w:val="000000"/>
                <w:sz w:val="20"/>
                <w:szCs w:val="20"/>
              </w:rPr>
              <w:t>NPV at -5.5%</w:t>
            </w:r>
          </w:p>
        </w:tc>
        <w:tc>
          <w:tcPr>
            <w:tcW w:w="1260" w:type="dxa"/>
            <w:gridSpan w:val="2"/>
            <w:noWrap/>
            <w:vAlign w:val="bottom"/>
            <w:hideMark/>
          </w:tcPr>
          <w:p w14:paraId="2DD69373" w14:textId="77777777" w:rsidR="005A2F54" w:rsidRPr="000C4180" w:rsidRDefault="005A2F54" w:rsidP="00712BCD">
            <w:pPr>
              <w:jc w:val="right"/>
              <w:rPr>
                <w:color w:val="000000"/>
                <w:sz w:val="20"/>
                <w:szCs w:val="20"/>
              </w:rPr>
            </w:pPr>
            <w:r w:rsidRPr="000C4180">
              <w:rPr>
                <w:color w:val="000000"/>
                <w:sz w:val="20"/>
                <w:szCs w:val="20"/>
              </w:rPr>
              <w:t>0 (0)</w:t>
            </w:r>
          </w:p>
        </w:tc>
        <w:tc>
          <w:tcPr>
            <w:tcW w:w="1407" w:type="dxa"/>
            <w:gridSpan w:val="2"/>
            <w:noWrap/>
            <w:vAlign w:val="bottom"/>
            <w:hideMark/>
          </w:tcPr>
          <w:p w14:paraId="1BE36C5C" w14:textId="77777777" w:rsidR="005A2F54" w:rsidRPr="000C4180" w:rsidRDefault="005A2F54" w:rsidP="00712BCD">
            <w:pPr>
              <w:rPr>
                <w:color w:val="000000"/>
                <w:sz w:val="20"/>
                <w:szCs w:val="20"/>
                <w:vertAlign w:val="superscript"/>
              </w:rPr>
            </w:pPr>
            <w:r w:rsidRPr="000C4180">
              <w:rPr>
                <w:color w:val="000000"/>
                <w:sz w:val="20"/>
                <w:szCs w:val="20"/>
              </w:rPr>
              <w:t>IRR</w:t>
            </w:r>
            <w:r w:rsidRPr="000C4180">
              <w:rPr>
                <w:color w:val="000000"/>
                <w:sz w:val="20"/>
                <w:szCs w:val="20"/>
                <w:vertAlign w:val="superscript"/>
              </w:rPr>
              <w:t>***</w:t>
            </w:r>
          </w:p>
        </w:tc>
        <w:tc>
          <w:tcPr>
            <w:tcW w:w="1594" w:type="dxa"/>
            <w:noWrap/>
            <w:vAlign w:val="bottom"/>
            <w:hideMark/>
          </w:tcPr>
          <w:p w14:paraId="7EC0D2A2" w14:textId="77777777" w:rsidR="005A2F54" w:rsidRPr="000C4180" w:rsidRDefault="005A2F54" w:rsidP="00712BCD">
            <w:pPr>
              <w:jc w:val="right"/>
              <w:rPr>
                <w:color w:val="000000"/>
                <w:sz w:val="20"/>
                <w:szCs w:val="20"/>
              </w:rPr>
            </w:pPr>
            <w:r w:rsidRPr="000C4180">
              <w:rPr>
                <w:color w:val="000000"/>
                <w:sz w:val="20"/>
                <w:szCs w:val="20"/>
              </w:rPr>
              <w:t>7.8%</w:t>
            </w:r>
          </w:p>
        </w:tc>
      </w:tr>
      <w:tr w:rsidR="005A2F54" w:rsidRPr="000C4180" w14:paraId="2155D3AF" w14:textId="77777777" w:rsidTr="00712BCD">
        <w:trPr>
          <w:trHeight w:val="237"/>
        </w:trPr>
        <w:tc>
          <w:tcPr>
            <w:tcW w:w="728" w:type="dxa"/>
            <w:noWrap/>
            <w:vAlign w:val="bottom"/>
            <w:hideMark/>
          </w:tcPr>
          <w:p w14:paraId="0CBC9CF2" w14:textId="77777777" w:rsidR="005A2F54" w:rsidRPr="000C4180" w:rsidRDefault="005A2F54" w:rsidP="00712BCD">
            <w:pPr>
              <w:jc w:val="right"/>
              <w:rPr>
                <w:color w:val="000000"/>
                <w:sz w:val="20"/>
                <w:szCs w:val="20"/>
              </w:rPr>
            </w:pPr>
            <w:r w:rsidRPr="000C4180">
              <w:rPr>
                <w:color w:val="000000"/>
                <w:sz w:val="20"/>
                <w:szCs w:val="20"/>
              </w:rPr>
              <w:t>2</w:t>
            </w:r>
          </w:p>
        </w:tc>
        <w:tc>
          <w:tcPr>
            <w:tcW w:w="848" w:type="dxa"/>
            <w:noWrap/>
            <w:vAlign w:val="bottom"/>
            <w:hideMark/>
          </w:tcPr>
          <w:p w14:paraId="3ADD95AE" w14:textId="77777777" w:rsidR="005A2F54" w:rsidRPr="000C4180" w:rsidRDefault="005A2F54" w:rsidP="00712BCD">
            <w:pPr>
              <w:jc w:val="right"/>
              <w:rPr>
                <w:color w:val="000000"/>
                <w:sz w:val="20"/>
                <w:szCs w:val="20"/>
              </w:rPr>
            </w:pPr>
            <w:r w:rsidRPr="000C4180">
              <w:rPr>
                <w:color w:val="000000"/>
                <w:sz w:val="20"/>
                <w:szCs w:val="20"/>
              </w:rPr>
              <w:t>1000.0</w:t>
            </w:r>
          </w:p>
        </w:tc>
        <w:tc>
          <w:tcPr>
            <w:tcW w:w="1574" w:type="dxa"/>
            <w:gridSpan w:val="2"/>
            <w:noWrap/>
            <w:vAlign w:val="bottom"/>
            <w:hideMark/>
          </w:tcPr>
          <w:p w14:paraId="61C3FCAA" w14:textId="77777777" w:rsidR="005A2F54" w:rsidRPr="000C4180" w:rsidRDefault="005A2F54" w:rsidP="00712BCD">
            <w:pPr>
              <w:rPr>
                <w:color w:val="000000"/>
                <w:sz w:val="20"/>
                <w:szCs w:val="20"/>
              </w:rPr>
            </w:pPr>
            <w:r w:rsidRPr="000C4180">
              <w:rPr>
                <w:color w:val="000000"/>
                <w:sz w:val="20"/>
                <w:szCs w:val="20"/>
              </w:rPr>
              <w:t>IRR – 2</w:t>
            </w:r>
          </w:p>
        </w:tc>
        <w:tc>
          <w:tcPr>
            <w:tcW w:w="810" w:type="dxa"/>
            <w:gridSpan w:val="2"/>
            <w:noWrap/>
            <w:vAlign w:val="bottom"/>
            <w:hideMark/>
          </w:tcPr>
          <w:p w14:paraId="36C0F866" w14:textId="77777777" w:rsidR="005A2F54" w:rsidRPr="000C4180" w:rsidRDefault="005A2F54" w:rsidP="00712BCD">
            <w:pPr>
              <w:jc w:val="right"/>
              <w:rPr>
                <w:color w:val="000000"/>
                <w:sz w:val="20"/>
                <w:szCs w:val="20"/>
              </w:rPr>
            </w:pPr>
            <w:r w:rsidRPr="000C4180">
              <w:rPr>
                <w:color w:val="000000"/>
                <w:sz w:val="20"/>
                <w:szCs w:val="20"/>
              </w:rPr>
              <w:t>45.2%</w:t>
            </w:r>
          </w:p>
        </w:tc>
        <w:tc>
          <w:tcPr>
            <w:tcW w:w="1440" w:type="dxa"/>
            <w:gridSpan w:val="2"/>
            <w:noWrap/>
            <w:vAlign w:val="bottom"/>
            <w:hideMark/>
          </w:tcPr>
          <w:p w14:paraId="24063773" w14:textId="77777777" w:rsidR="005A2F54" w:rsidRPr="000C4180" w:rsidRDefault="005A2F54" w:rsidP="00712BCD">
            <w:pPr>
              <w:rPr>
                <w:color w:val="000000"/>
                <w:sz w:val="20"/>
                <w:szCs w:val="20"/>
              </w:rPr>
            </w:pPr>
            <w:r w:rsidRPr="000C4180">
              <w:rPr>
                <w:color w:val="000000"/>
                <w:sz w:val="20"/>
                <w:szCs w:val="20"/>
              </w:rPr>
              <w:t>NPV at 45.2%</w:t>
            </w:r>
          </w:p>
        </w:tc>
        <w:tc>
          <w:tcPr>
            <w:tcW w:w="1260" w:type="dxa"/>
            <w:gridSpan w:val="2"/>
            <w:noWrap/>
            <w:vAlign w:val="bottom"/>
            <w:hideMark/>
          </w:tcPr>
          <w:p w14:paraId="1D89FAD1" w14:textId="77777777" w:rsidR="005A2F54" w:rsidRPr="000C4180" w:rsidRDefault="005A2F54" w:rsidP="00712BCD">
            <w:pPr>
              <w:jc w:val="right"/>
              <w:rPr>
                <w:color w:val="000000"/>
                <w:sz w:val="20"/>
                <w:szCs w:val="20"/>
              </w:rPr>
            </w:pPr>
            <w:r w:rsidRPr="000C4180">
              <w:rPr>
                <w:color w:val="000000"/>
                <w:sz w:val="20"/>
                <w:szCs w:val="20"/>
              </w:rPr>
              <w:t>0 (0)</w:t>
            </w:r>
          </w:p>
        </w:tc>
        <w:tc>
          <w:tcPr>
            <w:tcW w:w="1407" w:type="dxa"/>
            <w:gridSpan w:val="2"/>
            <w:noWrap/>
            <w:vAlign w:val="bottom"/>
            <w:hideMark/>
          </w:tcPr>
          <w:p w14:paraId="5167D4B4" w14:textId="77777777" w:rsidR="005A2F54" w:rsidRPr="000C4180" w:rsidRDefault="005A2F54" w:rsidP="00712BCD">
            <w:pPr>
              <w:rPr>
                <w:color w:val="000000"/>
                <w:sz w:val="20"/>
                <w:szCs w:val="20"/>
              </w:rPr>
            </w:pPr>
            <w:r w:rsidRPr="000C4180">
              <w:rPr>
                <w:color w:val="000000"/>
                <w:sz w:val="20"/>
                <w:szCs w:val="20"/>
              </w:rPr>
              <w:t>NPV at 7.8%</w:t>
            </w:r>
          </w:p>
        </w:tc>
        <w:tc>
          <w:tcPr>
            <w:tcW w:w="1594" w:type="dxa"/>
            <w:noWrap/>
            <w:vAlign w:val="bottom"/>
            <w:hideMark/>
          </w:tcPr>
          <w:p w14:paraId="1757E0C0" w14:textId="77777777" w:rsidR="005A2F54" w:rsidRPr="000C4180" w:rsidRDefault="005A2F54" w:rsidP="00712BCD">
            <w:pPr>
              <w:jc w:val="right"/>
              <w:rPr>
                <w:color w:val="000000"/>
                <w:sz w:val="20"/>
                <w:szCs w:val="20"/>
              </w:rPr>
            </w:pPr>
            <w:r w:rsidRPr="000C4180">
              <w:rPr>
                <w:color w:val="000000"/>
                <w:sz w:val="20"/>
                <w:szCs w:val="20"/>
              </w:rPr>
              <w:t>0 (0)</w:t>
            </w:r>
          </w:p>
        </w:tc>
      </w:tr>
      <w:tr w:rsidR="005A2F54" w:rsidRPr="000C4180" w14:paraId="368D7AF9" w14:textId="77777777" w:rsidTr="00712BCD">
        <w:trPr>
          <w:trHeight w:val="236"/>
        </w:trPr>
        <w:tc>
          <w:tcPr>
            <w:tcW w:w="728" w:type="dxa"/>
            <w:noWrap/>
            <w:vAlign w:val="bottom"/>
            <w:hideMark/>
          </w:tcPr>
          <w:p w14:paraId="74A6A14F" w14:textId="77777777" w:rsidR="005A2F54" w:rsidRPr="000C4180" w:rsidRDefault="005A2F54" w:rsidP="00712BCD">
            <w:pPr>
              <w:jc w:val="right"/>
              <w:rPr>
                <w:color w:val="000000"/>
                <w:sz w:val="20"/>
                <w:szCs w:val="20"/>
              </w:rPr>
            </w:pPr>
            <w:r w:rsidRPr="000C4180">
              <w:rPr>
                <w:color w:val="000000"/>
                <w:sz w:val="20"/>
                <w:szCs w:val="20"/>
              </w:rPr>
              <w:t>3</w:t>
            </w:r>
          </w:p>
        </w:tc>
        <w:tc>
          <w:tcPr>
            <w:tcW w:w="848" w:type="dxa"/>
            <w:noWrap/>
            <w:vAlign w:val="bottom"/>
            <w:hideMark/>
          </w:tcPr>
          <w:p w14:paraId="37875181" w14:textId="77777777" w:rsidR="005A2F54" w:rsidRPr="000C4180" w:rsidRDefault="005A2F54" w:rsidP="00712BCD">
            <w:pPr>
              <w:jc w:val="right"/>
              <w:rPr>
                <w:color w:val="000000"/>
                <w:sz w:val="20"/>
                <w:szCs w:val="20"/>
              </w:rPr>
            </w:pPr>
            <w:r w:rsidRPr="000C4180">
              <w:rPr>
                <w:color w:val="000000"/>
                <w:sz w:val="20"/>
                <w:szCs w:val="20"/>
              </w:rPr>
              <w:t>1300.0</w:t>
            </w:r>
          </w:p>
        </w:tc>
        <w:tc>
          <w:tcPr>
            <w:tcW w:w="1574" w:type="dxa"/>
            <w:gridSpan w:val="2"/>
            <w:noWrap/>
            <w:vAlign w:val="bottom"/>
            <w:hideMark/>
          </w:tcPr>
          <w:p w14:paraId="5D4E9ACD" w14:textId="77777777" w:rsidR="005A2F54" w:rsidRPr="000C4180" w:rsidRDefault="005A2F54" w:rsidP="00712BCD">
            <w:pPr>
              <w:rPr>
                <w:color w:val="000000"/>
                <w:sz w:val="20"/>
                <w:szCs w:val="20"/>
                <w:vertAlign w:val="superscript"/>
              </w:rPr>
            </w:pPr>
            <w:r w:rsidRPr="000C4180">
              <w:rPr>
                <w:color w:val="000000"/>
                <w:sz w:val="20"/>
                <w:szCs w:val="20"/>
              </w:rPr>
              <w:t>MIRR (10, 10) *</w:t>
            </w:r>
          </w:p>
        </w:tc>
        <w:tc>
          <w:tcPr>
            <w:tcW w:w="810" w:type="dxa"/>
            <w:gridSpan w:val="2"/>
            <w:noWrap/>
            <w:vAlign w:val="bottom"/>
            <w:hideMark/>
          </w:tcPr>
          <w:p w14:paraId="2B959B9E" w14:textId="77777777" w:rsidR="005A2F54" w:rsidRPr="000C4180" w:rsidRDefault="005A2F54" w:rsidP="00712BCD">
            <w:pPr>
              <w:jc w:val="right"/>
              <w:rPr>
                <w:color w:val="000000"/>
                <w:sz w:val="20"/>
                <w:szCs w:val="20"/>
              </w:rPr>
            </w:pPr>
            <w:r w:rsidRPr="000C4180">
              <w:rPr>
                <w:color w:val="000000"/>
                <w:sz w:val="20"/>
                <w:szCs w:val="20"/>
              </w:rPr>
              <w:t>11.9%</w:t>
            </w:r>
          </w:p>
        </w:tc>
        <w:tc>
          <w:tcPr>
            <w:tcW w:w="1440" w:type="dxa"/>
            <w:gridSpan w:val="2"/>
            <w:noWrap/>
            <w:vAlign w:val="bottom"/>
            <w:hideMark/>
          </w:tcPr>
          <w:p w14:paraId="257FBA84" w14:textId="77777777" w:rsidR="005A2F54" w:rsidRPr="000C4180" w:rsidRDefault="005A2F54" w:rsidP="00712BCD">
            <w:pPr>
              <w:rPr>
                <w:color w:val="000000"/>
                <w:sz w:val="20"/>
                <w:szCs w:val="20"/>
              </w:rPr>
            </w:pPr>
            <w:r w:rsidRPr="000C4180">
              <w:rPr>
                <w:color w:val="000000"/>
                <w:sz w:val="20"/>
                <w:szCs w:val="20"/>
              </w:rPr>
              <w:t>NPV at 11.9%</w:t>
            </w:r>
          </w:p>
        </w:tc>
        <w:tc>
          <w:tcPr>
            <w:tcW w:w="1260" w:type="dxa"/>
            <w:gridSpan w:val="2"/>
            <w:noWrap/>
          </w:tcPr>
          <w:p w14:paraId="302323AF" w14:textId="77777777" w:rsidR="005A2F54" w:rsidRPr="000C4180" w:rsidRDefault="005A2F54" w:rsidP="00712BCD">
            <w:pPr>
              <w:jc w:val="right"/>
              <w:rPr>
                <w:color w:val="000000"/>
                <w:sz w:val="20"/>
                <w:szCs w:val="20"/>
              </w:rPr>
            </w:pPr>
            <w:r w:rsidRPr="000C4180">
              <w:rPr>
                <w:color w:val="000000"/>
                <w:sz w:val="20"/>
                <w:szCs w:val="20"/>
              </w:rPr>
              <w:t>$106 ($166)</w:t>
            </w:r>
          </w:p>
        </w:tc>
        <w:tc>
          <w:tcPr>
            <w:tcW w:w="1407" w:type="dxa"/>
            <w:gridSpan w:val="2"/>
            <w:noWrap/>
            <w:vAlign w:val="bottom"/>
            <w:hideMark/>
          </w:tcPr>
          <w:p w14:paraId="4F1CC039" w14:textId="77777777" w:rsidR="005A2F54" w:rsidRPr="000C4180" w:rsidRDefault="005A2F54" w:rsidP="00712BCD">
            <w:pPr>
              <w:rPr>
                <w:color w:val="000000"/>
                <w:sz w:val="20"/>
                <w:szCs w:val="20"/>
              </w:rPr>
            </w:pPr>
            <w:r w:rsidRPr="000C4180">
              <w:rPr>
                <w:color w:val="000000"/>
                <w:sz w:val="20"/>
                <w:szCs w:val="20"/>
              </w:rPr>
              <w:t>NPV at 11.9%</w:t>
            </w:r>
          </w:p>
        </w:tc>
        <w:tc>
          <w:tcPr>
            <w:tcW w:w="1594" w:type="dxa"/>
            <w:shd w:val="clear" w:color="auto" w:fill="auto"/>
            <w:noWrap/>
          </w:tcPr>
          <w:p w14:paraId="1D0727C5" w14:textId="77777777" w:rsidR="005A2F54" w:rsidRPr="000C4180" w:rsidRDefault="005A2F54" w:rsidP="00712BCD">
            <w:pPr>
              <w:jc w:val="right"/>
              <w:rPr>
                <w:color w:val="000000"/>
                <w:sz w:val="20"/>
                <w:szCs w:val="20"/>
              </w:rPr>
            </w:pPr>
            <w:r w:rsidRPr="000C4180">
              <w:rPr>
                <w:color w:val="000000"/>
                <w:sz w:val="20"/>
                <w:szCs w:val="20"/>
              </w:rPr>
              <w:t>-$23 (-$36.0)</w:t>
            </w:r>
          </w:p>
        </w:tc>
      </w:tr>
      <w:tr w:rsidR="005A2F54" w:rsidRPr="000C4180" w14:paraId="6416DFD3" w14:textId="77777777" w:rsidTr="00712BCD">
        <w:trPr>
          <w:trHeight w:val="237"/>
        </w:trPr>
        <w:tc>
          <w:tcPr>
            <w:tcW w:w="728" w:type="dxa"/>
            <w:noWrap/>
            <w:vAlign w:val="bottom"/>
            <w:hideMark/>
          </w:tcPr>
          <w:p w14:paraId="6CB36418" w14:textId="77777777" w:rsidR="005A2F54" w:rsidRPr="000C4180" w:rsidRDefault="005A2F54" w:rsidP="00712BCD">
            <w:pPr>
              <w:jc w:val="right"/>
              <w:rPr>
                <w:color w:val="000000"/>
                <w:sz w:val="20"/>
                <w:szCs w:val="20"/>
              </w:rPr>
            </w:pPr>
            <w:r w:rsidRPr="000C4180">
              <w:rPr>
                <w:color w:val="000000"/>
                <w:sz w:val="20"/>
                <w:szCs w:val="20"/>
              </w:rPr>
              <w:t>4</w:t>
            </w:r>
          </w:p>
        </w:tc>
        <w:tc>
          <w:tcPr>
            <w:tcW w:w="848" w:type="dxa"/>
            <w:noWrap/>
            <w:vAlign w:val="bottom"/>
            <w:hideMark/>
          </w:tcPr>
          <w:p w14:paraId="3913CB0E" w14:textId="77777777" w:rsidR="005A2F54" w:rsidRPr="000C4180" w:rsidRDefault="005A2F54" w:rsidP="00712BCD">
            <w:pPr>
              <w:jc w:val="right"/>
              <w:rPr>
                <w:color w:val="000000"/>
                <w:sz w:val="20"/>
                <w:szCs w:val="20"/>
              </w:rPr>
            </w:pPr>
            <w:r w:rsidRPr="000C4180">
              <w:rPr>
                <w:color w:val="000000"/>
                <w:sz w:val="20"/>
                <w:szCs w:val="20"/>
              </w:rPr>
              <w:t>-2000.0</w:t>
            </w:r>
          </w:p>
        </w:tc>
        <w:tc>
          <w:tcPr>
            <w:tcW w:w="1574" w:type="dxa"/>
            <w:gridSpan w:val="2"/>
            <w:noWrap/>
            <w:vAlign w:val="bottom"/>
            <w:hideMark/>
          </w:tcPr>
          <w:p w14:paraId="4761A5F0" w14:textId="77777777" w:rsidR="005A2F54" w:rsidRPr="000C4180" w:rsidRDefault="005A2F54" w:rsidP="00712BCD">
            <w:pPr>
              <w:rPr>
                <w:color w:val="000000"/>
                <w:sz w:val="20"/>
                <w:szCs w:val="20"/>
              </w:rPr>
            </w:pPr>
            <w:r w:rsidRPr="000C4180">
              <w:rPr>
                <w:color w:val="000000"/>
                <w:sz w:val="20"/>
                <w:szCs w:val="20"/>
              </w:rPr>
              <w:t>MIRR (10,0) *</w:t>
            </w:r>
          </w:p>
        </w:tc>
        <w:tc>
          <w:tcPr>
            <w:tcW w:w="810" w:type="dxa"/>
            <w:gridSpan w:val="2"/>
            <w:noWrap/>
            <w:vAlign w:val="bottom"/>
            <w:hideMark/>
          </w:tcPr>
          <w:p w14:paraId="0827B777" w14:textId="77777777" w:rsidR="005A2F54" w:rsidRPr="000C4180" w:rsidRDefault="005A2F54" w:rsidP="00712BCD">
            <w:pPr>
              <w:jc w:val="right"/>
              <w:rPr>
                <w:color w:val="000000"/>
                <w:sz w:val="20"/>
                <w:szCs w:val="20"/>
              </w:rPr>
            </w:pPr>
            <w:r w:rsidRPr="000C4180">
              <w:rPr>
                <w:color w:val="000000"/>
                <w:sz w:val="20"/>
                <w:szCs w:val="20"/>
              </w:rPr>
              <w:t>7.0%</w:t>
            </w:r>
          </w:p>
        </w:tc>
        <w:tc>
          <w:tcPr>
            <w:tcW w:w="1440" w:type="dxa"/>
            <w:gridSpan w:val="2"/>
            <w:noWrap/>
            <w:vAlign w:val="bottom"/>
            <w:hideMark/>
          </w:tcPr>
          <w:p w14:paraId="76B60A72" w14:textId="77777777" w:rsidR="005A2F54" w:rsidRPr="000C4180" w:rsidRDefault="005A2F54" w:rsidP="00712BCD">
            <w:pPr>
              <w:rPr>
                <w:color w:val="000000"/>
                <w:sz w:val="20"/>
                <w:szCs w:val="20"/>
              </w:rPr>
            </w:pPr>
            <w:r w:rsidRPr="000C4180">
              <w:rPr>
                <w:color w:val="000000"/>
                <w:sz w:val="20"/>
                <w:szCs w:val="20"/>
              </w:rPr>
              <w:t>NPV at 7.0%</w:t>
            </w:r>
          </w:p>
        </w:tc>
        <w:tc>
          <w:tcPr>
            <w:tcW w:w="1260" w:type="dxa"/>
            <w:gridSpan w:val="2"/>
            <w:noWrap/>
          </w:tcPr>
          <w:p w14:paraId="40BBBCC9" w14:textId="77777777" w:rsidR="005A2F54" w:rsidRPr="000C4180" w:rsidRDefault="005A2F54" w:rsidP="00712BCD">
            <w:pPr>
              <w:jc w:val="right"/>
              <w:rPr>
                <w:color w:val="000000"/>
                <w:sz w:val="20"/>
                <w:szCs w:val="20"/>
              </w:rPr>
            </w:pPr>
            <w:r w:rsidRPr="000C4180">
              <w:rPr>
                <w:color w:val="000000"/>
                <w:sz w:val="20"/>
                <w:szCs w:val="20"/>
              </w:rPr>
              <w:t>$119 ($157)</w:t>
            </w:r>
          </w:p>
        </w:tc>
        <w:tc>
          <w:tcPr>
            <w:tcW w:w="1407" w:type="dxa"/>
            <w:gridSpan w:val="2"/>
            <w:noWrap/>
            <w:vAlign w:val="bottom"/>
            <w:hideMark/>
          </w:tcPr>
          <w:p w14:paraId="7D465125" w14:textId="77777777" w:rsidR="005A2F54" w:rsidRPr="000C4180" w:rsidRDefault="005A2F54" w:rsidP="00712BCD">
            <w:pPr>
              <w:rPr>
                <w:color w:val="000000"/>
                <w:sz w:val="20"/>
                <w:szCs w:val="20"/>
              </w:rPr>
            </w:pPr>
            <w:r w:rsidRPr="000C4180">
              <w:rPr>
                <w:color w:val="000000"/>
                <w:sz w:val="20"/>
                <w:szCs w:val="20"/>
              </w:rPr>
              <w:t>NPV at 7.0%</w:t>
            </w:r>
          </w:p>
        </w:tc>
        <w:tc>
          <w:tcPr>
            <w:tcW w:w="1594" w:type="dxa"/>
            <w:shd w:val="clear" w:color="auto" w:fill="auto"/>
            <w:noWrap/>
          </w:tcPr>
          <w:p w14:paraId="0DA3E863" w14:textId="77777777" w:rsidR="005A2F54" w:rsidRPr="000C4180" w:rsidRDefault="005A2F54" w:rsidP="00712BCD">
            <w:pPr>
              <w:jc w:val="right"/>
              <w:rPr>
                <w:color w:val="000000"/>
                <w:sz w:val="20"/>
                <w:szCs w:val="20"/>
              </w:rPr>
            </w:pPr>
            <w:r w:rsidRPr="000C4180">
              <w:rPr>
                <w:color w:val="000000"/>
                <w:sz w:val="20"/>
                <w:szCs w:val="20"/>
              </w:rPr>
              <w:t>$6.5 ($8.5)</w:t>
            </w:r>
          </w:p>
        </w:tc>
      </w:tr>
      <w:tr w:rsidR="005A2F54" w:rsidRPr="000C4180" w14:paraId="42AAAC89" w14:textId="77777777" w:rsidTr="00712BCD">
        <w:trPr>
          <w:trHeight w:val="237"/>
        </w:trPr>
        <w:tc>
          <w:tcPr>
            <w:tcW w:w="728" w:type="dxa"/>
            <w:noWrap/>
            <w:vAlign w:val="bottom"/>
            <w:hideMark/>
          </w:tcPr>
          <w:p w14:paraId="5C9594E4" w14:textId="77777777" w:rsidR="005A2F54" w:rsidRPr="000C4180" w:rsidRDefault="005A2F54" w:rsidP="00712BCD">
            <w:pPr>
              <w:rPr>
                <w:color w:val="000000"/>
                <w:sz w:val="20"/>
                <w:szCs w:val="20"/>
              </w:rPr>
            </w:pPr>
            <w:r w:rsidRPr="000C4180">
              <w:rPr>
                <w:color w:val="000000"/>
                <w:sz w:val="20"/>
                <w:szCs w:val="20"/>
              </w:rPr>
              <w:t>SNCF</w:t>
            </w:r>
          </w:p>
        </w:tc>
        <w:tc>
          <w:tcPr>
            <w:tcW w:w="848" w:type="dxa"/>
            <w:shd w:val="clear" w:color="auto" w:fill="auto"/>
            <w:noWrap/>
            <w:vAlign w:val="bottom"/>
            <w:hideMark/>
          </w:tcPr>
          <w:p w14:paraId="717DD69A" w14:textId="77777777" w:rsidR="005A2F54" w:rsidRPr="000C4180" w:rsidRDefault="005A2F54" w:rsidP="00712BCD">
            <w:pPr>
              <w:jc w:val="right"/>
              <w:rPr>
                <w:color w:val="000000"/>
                <w:sz w:val="20"/>
                <w:szCs w:val="20"/>
              </w:rPr>
            </w:pPr>
            <w:r w:rsidRPr="000C4180">
              <w:rPr>
                <w:color w:val="000000"/>
                <w:sz w:val="20"/>
                <w:szCs w:val="20"/>
              </w:rPr>
              <w:t>100.0</w:t>
            </w:r>
          </w:p>
        </w:tc>
        <w:tc>
          <w:tcPr>
            <w:tcW w:w="1574" w:type="dxa"/>
            <w:gridSpan w:val="2"/>
            <w:noWrap/>
            <w:vAlign w:val="bottom"/>
          </w:tcPr>
          <w:p w14:paraId="039EC1BE" w14:textId="77777777" w:rsidR="005A2F54" w:rsidRPr="000C4180" w:rsidRDefault="005A2F54" w:rsidP="00712BCD">
            <w:pPr>
              <w:rPr>
                <w:color w:val="000000"/>
                <w:sz w:val="20"/>
                <w:szCs w:val="20"/>
              </w:rPr>
            </w:pPr>
          </w:p>
        </w:tc>
        <w:tc>
          <w:tcPr>
            <w:tcW w:w="810" w:type="dxa"/>
            <w:gridSpan w:val="2"/>
            <w:noWrap/>
            <w:vAlign w:val="bottom"/>
          </w:tcPr>
          <w:p w14:paraId="7C7B49CC" w14:textId="77777777" w:rsidR="005A2F54" w:rsidRPr="000C4180" w:rsidRDefault="005A2F54" w:rsidP="00712BCD">
            <w:pPr>
              <w:jc w:val="right"/>
              <w:rPr>
                <w:color w:val="000000"/>
                <w:sz w:val="20"/>
                <w:szCs w:val="20"/>
              </w:rPr>
            </w:pPr>
          </w:p>
        </w:tc>
        <w:tc>
          <w:tcPr>
            <w:tcW w:w="1440" w:type="dxa"/>
            <w:gridSpan w:val="2"/>
            <w:noWrap/>
            <w:vAlign w:val="bottom"/>
          </w:tcPr>
          <w:p w14:paraId="20CB04A8" w14:textId="77777777" w:rsidR="005A2F54" w:rsidRPr="000C4180" w:rsidRDefault="005A2F54" w:rsidP="00712BCD">
            <w:pPr>
              <w:rPr>
                <w:color w:val="000000"/>
                <w:sz w:val="20"/>
                <w:szCs w:val="20"/>
              </w:rPr>
            </w:pPr>
          </w:p>
        </w:tc>
        <w:tc>
          <w:tcPr>
            <w:tcW w:w="1260" w:type="dxa"/>
            <w:gridSpan w:val="2"/>
            <w:noWrap/>
            <w:vAlign w:val="bottom"/>
          </w:tcPr>
          <w:p w14:paraId="277E6A17" w14:textId="77777777" w:rsidR="005A2F54" w:rsidRPr="000C4180" w:rsidRDefault="005A2F54" w:rsidP="00712BCD">
            <w:pPr>
              <w:jc w:val="right"/>
              <w:rPr>
                <w:color w:val="000000"/>
                <w:sz w:val="20"/>
                <w:szCs w:val="20"/>
              </w:rPr>
            </w:pPr>
          </w:p>
        </w:tc>
        <w:tc>
          <w:tcPr>
            <w:tcW w:w="1407" w:type="dxa"/>
            <w:gridSpan w:val="2"/>
            <w:noWrap/>
            <w:vAlign w:val="bottom"/>
          </w:tcPr>
          <w:p w14:paraId="37B8ABA7" w14:textId="77777777" w:rsidR="005A2F54" w:rsidRPr="000C4180" w:rsidRDefault="005A2F54" w:rsidP="00712BCD">
            <w:pPr>
              <w:rPr>
                <w:color w:val="000000"/>
                <w:sz w:val="20"/>
                <w:szCs w:val="20"/>
              </w:rPr>
            </w:pPr>
            <w:r w:rsidRPr="000C4180">
              <w:rPr>
                <w:color w:val="000000"/>
                <w:sz w:val="20"/>
                <w:szCs w:val="20"/>
              </w:rPr>
              <w:t>NPV at -5.5%</w:t>
            </w:r>
          </w:p>
        </w:tc>
        <w:tc>
          <w:tcPr>
            <w:tcW w:w="1594" w:type="dxa"/>
            <w:noWrap/>
            <w:vAlign w:val="bottom"/>
          </w:tcPr>
          <w:p w14:paraId="429E0175" w14:textId="77777777" w:rsidR="005A2F54" w:rsidRPr="000C4180" w:rsidRDefault="005A2F54" w:rsidP="00712BCD">
            <w:pPr>
              <w:jc w:val="right"/>
              <w:rPr>
                <w:color w:val="000000"/>
                <w:sz w:val="20"/>
                <w:szCs w:val="20"/>
              </w:rPr>
            </w:pPr>
            <w:r w:rsidRPr="000C4180">
              <w:rPr>
                <w:color w:val="000000"/>
                <w:sz w:val="20"/>
                <w:szCs w:val="20"/>
              </w:rPr>
              <w:t>$111 ($163.0)</w:t>
            </w:r>
          </w:p>
        </w:tc>
      </w:tr>
      <w:tr w:rsidR="005A2F54" w:rsidRPr="000C4180" w14:paraId="47608751" w14:textId="77777777" w:rsidTr="00712BCD">
        <w:trPr>
          <w:trHeight w:val="237"/>
        </w:trPr>
        <w:tc>
          <w:tcPr>
            <w:tcW w:w="728" w:type="dxa"/>
            <w:noWrap/>
            <w:vAlign w:val="bottom"/>
          </w:tcPr>
          <w:p w14:paraId="28A9E51A" w14:textId="77777777" w:rsidR="005A2F54" w:rsidRPr="000C4180" w:rsidRDefault="005A2F54" w:rsidP="00712BCD">
            <w:pPr>
              <w:rPr>
                <w:color w:val="000000"/>
                <w:sz w:val="20"/>
                <w:szCs w:val="20"/>
              </w:rPr>
            </w:pPr>
          </w:p>
        </w:tc>
        <w:tc>
          <w:tcPr>
            <w:tcW w:w="848" w:type="dxa"/>
            <w:shd w:val="clear" w:color="auto" w:fill="auto"/>
            <w:noWrap/>
            <w:vAlign w:val="bottom"/>
          </w:tcPr>
          <w:p w14:paraId="18C6EE6A" w14:textId="77777777" w:rsidR="005A2F54" w:rsidRPr="000C4180" w:rsidRDefault="005A2F54" w:rsidP="00712BCD">
            <w:pPr>
              <w:jc w:val="right"/>
              <w:rPr>
                <w:color w:val="000000"/>
                <w:sz w:val="20"/>
                <w:szCs w:val="20"/>
              </w:rPr>
            </w:pPr>
          </w:p>
        </w:tc>
        <w:tc>
          <w:tcPr>
            <w:tcW w:w="1574" w:type="dxa"/>
            <w:gridSpan w:val="2"/>
            <w:noWrap/>
            <w:vAlign w:val="bottom"/>
          </w:tcPr>
          <w:p w14:paraId="22B5156D" w14:textId="77777777" w:rsidR="005A2F54" w:rsidRPr="000C4180" w:rsidRDefault="005A2F54" w:rsidP="00712BCD">
            <w:pPr>
              <w:rPr>
                <w:color w:val="000000"/>
                <w:sz w:val="20"/>
                <w:szCs w:val="20"/>
              </w:rPr>
            </w:pPr>
          </w:p>
        </w:tc>
        <w:tc>
          <w:tcPr>
            <w:tcW w:w="810" w:type="dxa"/>
            <w:gridSpan w:val="2"/>
            <w:noWrap/>
            <w:vAlign w:val="bottom"/>
          </w:tcPr>
          <w:p w14:paraId="1803C3ED" w14:textId="77777777" w:rsidR="005A2F54" w:rsidRPr="000C4180" w:rsidRDefault="005A2F54" w:rsidP="00712BCD">
            <w:pPr>
              <w:jc w:val="right"/>
              <w:rPr>
                <w:color w:val="000000"/>
                <w:sz w:val="20"/>
                <w:szCs w:val="20"/>
              </w:rPr>
            </w:pPr>
          </w:p>
        </w:tc>
        <w:tc>
          <w:tcPr>
            <w:tcW w:w="1440" w:type="dxa"/>
            <w:gridSpan w:val="2"/>
            <w:noWrap/>
            <w:vAlign w:val="bottom"/>
          </w:tcPr>
          <w:p w14:paraId="63801FF4" w14:textId="77777777" w:rsidR="005A2F54" w:rsidRPr="000C4180" w:rsidRDefault="005A2F54" w:rsidP="00712BCD">
            <w:pPr>
              <w:rPr>
                <w:sz w:val="20"/>
                <w:szCs w:val="20"/>
              </w:rPr>
            </w:pPr>
            <w:r w:rsidRPr="000C4180">
              <w:rPr>
                <w:sz w:val="20"/>
                <w:szCs w:val="20"/>
              </w:rPr>
              <w:t>NPV at 7.8%</w:t>
            </w:r>
          </w:p>
        </w:tc>
        <w:tc>
          <w:tcPr>
            <w:tcW w:w="1260" w:type="dxa"/>
            <w:gridSpan w:val="2"/>
            <w:noWrap/>
            <w:vAlign w:val="bottom"/>
          </w:tcPr>
          <w:p w14:paraId="4556D112" w14:textId="77777777" w:rsidR="005A2F54" w:rsidRPr="000C4180" w:rsidRDefault="005A2F54" w:rsidP="00712BCD">
            <w:pPr>
              <w:jc w:val="right"/>
              <w:rPr>
                <w:color w:val="000000"/>
                <w:sz w:val="20"/>
                <w:szCs w:val="20"/>
              </w:rPr>
            </w:pPr>
            <w:r w:rsidRPr="000C4180">
              <w:rPr>
                <w:color w:val="000000"/>
                <w:sz w:val="20"/>
                <w:szCs w:val="20"/>
              </w:rPr>
              <w:t>$147($216)</w:t>
            </w:r>
          </w:p>
        </w:tc>
        <w:tc>
          <w:tcPr>
            <w:tcW w:w="1407" w:type="dxa"/>
            <w:gridSpan w:val="2"/>
            <w:noWrap/>
            <w:vAlign w:val="bottom"/>
          </w:tcPr>
          <w:p w14:paraId="2E9F7BED" w14:textId="77777777" w:rsidR="005A2F54" w:rsidRPr="000C4180" w:rsidRDefault="005A2F54" w:rsidP="00712BCD">
            <w:pPr>
              <w:rPr>
                <w:color w:val="000000"/>
                <w:sz w:val="20"/>
                <w:szCs w:val="20"/>
              </w:rPr>
            </w:pPr>
            <w:r w:rsidRPr="000C4180">
              <w:rPr>
                <w:color w:val="000000"/>
                <w:sz w:val="20"/>
                <w:szCs w:val="20"/>
              </w:rPr>
              <w:t>NPV at 45.2%</w:t>
            </w:r>
          </w:p>
        </w:tc>
        <w:tc>
          <w:tcPr>
            <w:tcW w:w="1594" w:type="dxa"/>
            <w:shd w:val="clear" w:color="auto" w:fill="auto"/>
            <w:noWrap/>
            <w:vAlign w:val="bottom"/>
          </w:tcPr>
          <w:p w14:paraId="37620B84" w14:textId="77777777" w:rsidR="005A2F54" w:rsidRPr="000C4180" w:rsidRDefault="005A2F54" w:rsidP="00712BCD">
            <w:pPr>
              <w:jc w:val="right"/>
              <w:rPr>
                <w:color w:val="000000"/>
                <w:sz w:val="20"/>
                <w:szCs w:val="20"/>
              </w:rPr>
            </w:pPr>
            <w:r w:rsidRPr="000C4180">
              <w:rPr>
                <w:color w:val="000000"/>
                <w:sz w:val="20"/>
                <w:szCs w:val="20"/>
              </w:rPr>
              <w:t>-$442 ($-647.0)</w:t>
            </w:r>
          </w:p>
        </w:tc>
      </w:tr>
      <w:tr w:rsidR="005A2F54" w:rsidRPr="000C4180" w14:paraId="15143689" w14:textId="77777777" w:rsidTr="00712BCD">
        <w:trPr>
          <w:trHeight w:val="200"/>
        </w:trPr>
        <w:tc>
          <w:tcPr>
            <w:tcW w:w="728" w:type="dxa"/>
            <w:noWrap/>
            <w:vAlign w:val="bottom"/>
          </w:tcPr>
          <w:p w14:paraId="5D340963" w14:textId="77777777" w:rsidR="005A2F54" w:rsidRPr="000C4180" w:rsidRDefault="005A2F54" w:rsidP="00712BCD">
            <w:pPr>
              <w:rPr>
                <w:color w:val="000000"/>
                <w:sz w:val="20"/>
                <w:szCs w:val="20"/>
              </w:rPr>
            </w:pPr>
          </w:p>
        </w:tc>
        <w:tc>
          <w:tcPr>
            <w:tcW w:w="848" w:type="dxa"/>
            <w:shd w:val="clear" w:color="auto" w:fill="auto"/>
            <w:noWrap/>
            <w:vAlign w:val="bottom"/>
          </w:tcPr>
          <w:p w14:paraId="30590870" w14:textId="77777777" w:rsidR="005A2F54" w:rsidRPr="000C4180" w:rsidRDefault="005A2F54" w:rsidP="00712BCD">
            <w:pPr>
              <w:jc w:val="right"/>
              <w:rPr>
                <w:color w:val="000000"/>
                <w:sz w:val="20"/>
                <w:szCs w:val="20"/>
              </w:rPr>
            </w:pPr>
          </w:p>
        </w:tc>
        <w:tc>
          <w:tcPr>
            <w:tcW w:w="1574" w:type="dxa"/>
            <w:gridSpan w:val="2"/>
            <w:noWrap/>
            <w:vAlign w:val="bottom"/>
          </w:tcPr>
          <w:p w14:paraId="62A5729F" w14:textId="77777777" w:rsidR="005A2F54" w:rsidRPr="000C4180" w:rsidRDefault="005A2F54" w:rsidP="00712BCD">
            <w:pPr>
              <w:rPr>
                <w:color w:val="000000"/>
                <w:sz w:val="20"/>
                <w:szCs w:val="20"/>
              </w:rPr>
            </w:pPr>
          </w:p>
        </w:tc>
        <w:tc>
          <w:tcPr>
            <w:tcW w:w="810" w:type="dxa"/>
            <w:gridSpan w:val="2"/>
            <w:noWrap/>
            <w:vAlign w:val="bottom"/>
          </w:tcPr>
          <w:p w14:paraId="002B37F9" w14:textId="77777777" w:rsidR="005A2F54" w:rsidRPr="000C4180" w:rsidRDefault="005A2F54" w:rsidP="00712BCD">
            <w:pPr>
              <w:jc w:val="right"/>
              <w:rPr>
                <w:color w:val="000000"/>
                <w:sz w:val="20"/>
                <w:szCs w:val="20"/>
              </w:rPr>
            </w:pPr>
          </w:p>
        </w:tc>
        <w:tc>
          <w:tcPr>
            <w:tcW w:w="1440" w:type="dxa"/>
            <w:gridSpan w:val="2"/>
            <w:noWrap/>
            <w:vAlign w:val="bottom"/>
          </w:tcPr>
          <w:p w14:paraId="150F08C0" w14:textId="77777777" w:rsidR="005A2F54" w:rsidRPr="000C4180" w:rsidRDefault="005A2F54" w:rsidP="00712BCD">
            <w:pPr>
              <w:rPr>
                <w:color w:val="000000"/>
                <w:sz w:val="20"/>
                <w:szCs w:val="20"/>
              </w:rPr>
            </w:pPr>
            <w:r w:rsidRPr="000C4180">
              <w:rPr>
                <w:color w:val="000000"/>
                <w:sz w:val="20"/>
                <w:szCs w:val="20"/>
              </w:rPr>
              <w:t xml:space="preserve">NPV at 10% </w:t>
            </w:r>
          </w:p>
        </w:tc>
        <w:tc>
          <w:tcPr>
            <w:tcW w:w="1260" w:type="dxa"/>
            <w:gridSpan w:val="2"/>
            <w:noWrap/>
            <w:vAlign w:val="bottom"/>
          </w:tcPr>
          <w:p w14:paraId="7CCF778D" w14:textId="77777777" w:rsidR="005A2F54" w:rsidRPr="000C4180" w:rsidRDefault="005A2F54" w:rsidP="00712BCD">
            <w:pPr>
              <w:jc w:val="right"/>
              <w:rPr>
                <w:color w:val="000000"/>
                <w:sz w:val="20"/>
                <w:szCs w:val="20"/>
              </w:rPr>
            </w:pPr>
            <w:r w:rsidRPr="000C4180">
              <w:rPr>
                <w:color w:val="000000"/>
                <w:sz w:val="20"/>
                <w:szCs w:val="20"/>
              </w:rPr>
              <w:t xml:space="preserve"> $164($241)</w:t>
            </w:r>
          </w:p>
        </w:tc>
        <w:tc>
          <w:tcPr>
            <w:tcW w:w="1407" w:type="dxa"/>
            <w:gridSpan w:val="2"/>
            <w:noWrap/>
            <w:vAlign w:val="bottom"/>
          </w:tcPr>
          <w:p w14:paraId="3E2A6792" w14:textId="77777777" w:rsidR="005A2F54" w:rsidRPr="000C4180" w:rsidRDefault="005A2F54" w:rsidP="00712BCD">
            <w:pPr>
              <w:rPr>
                <w:sz w:val="20"/>
                <w:szCs w:val="20"/>
              </w:rPr>
            </w:pPr>
            <w:r w:rsidRPr="000C4180">
              <w:rPr>
                <w:sz w:val="20"/>
                <w:szCs w:val="20"/>
              </w:rPr>
              <w:t>NPV at 10%</w:t>
            </w:r>
          </w:p>
        </w:tc>
        <w:tc>
          <w:tcPr>
            <w:tcW w:w="1594" w:type="dxa"/>
            <w:shd w:val="clear" w:color="auto" w:fill="auto"/>
            <w:noWrap/>
            <w:vAlign w:val="bottom"/>
          </w:tcPr>
          <w:p w14:paraId="7BD4281F" w14:textId="77777777" w:rsidR="005A2F54" w:rsidRPr="000C4180" w:rsidRDefault="005A2F54" w:rsidP="00712BCD">
            <w:pPr>
              <w:jc w:val="right"/>
              <w:rPr>
                <w:color w:val="000000"/>
                <w:sz w:val="20"/>
                <w:szCs w:val="20"/>
              </w:rPr>
            </w:pPr>
            <w:r w:rsidRPr="000C4180">
              <w:rPr>
                <w:color w:val="000000"/>
                <w:sz w:val="20"/>
                <w:szCs w:val="20"/>
              </w:rPr>
              <w:t>-$20.5 (-$30.0)</w:t>
            </w:r>
          </w:p>
        </w:tc>
      </w:tr>
      <w:tr w:rsidR="005A2F54" w:rsidRPr="000C4180" w14:paraId="264E2714" w14:textId="77777777" w:rsidTr="00712BCD">
        <w:trPr>
          <w:trHeight w:val="157"/>
        </w:trPr>
        <w:tc>
          <w:tcPr>
            <w:tcW w:w="9661" w:type="dxa"/>
            <w:gridSpan w:val="13"/>
            <w:noWrap/>
            <w:vAlign w:val="bottom"/>
          </w:tcPr>
          <w:p w14:paraId="437CD041" w14:textId="77777777" w:rsidR="005A2F54" w:rsidRPr="000C4180" w:rsidRDefault="005A2F54" w:rsidP="00712BCD">
            <w:pPr>
              <w:jc w:val="center"/>
              <w:rPr>
                <w:color w:val="000000"/>
                <w:sz w:val="20"/>
                <w:szCs w:val="20"/>
              </w:rPr>
            </w:pPr>
            <w:r w:rsidRPr="000C4180">
              <w:rPr>
                <w:b/>
                <w:color w:val="000000"/>
                <w:sz w:val="20"/>
                <w:szCs w:val="20"/>
              </w:rPr>
              <w:t>CAS Method for the NNCF</w:t>
            </w:r>
          </w:p>
        </w:tc>
      </w:tr>
      <w:tr w:rsidR="005A2F54" w:rsidRPr="000C4180" w14:paraId="7337D54E" w14:textId="77777777" w:rsidTr="00712BCD">
        <w:trPr>
          <w:trHeight w:val="157"/>
        </w:trPr>
        <w:tc>
          <w:tcPr>
            <w:tcW w:w="2373" w:type="dxa"/>
            <w:gridSpan w:val="3"/>
            <w:noWrap/>
            <w:vAlign w:val="bottom"/>
          </w:tcPr>
          <w:p w14:paraId="1F3DFF76" w14:textId="77777777" w:rsidR="005A2F54" w:rsidRPr="000C4180" w:rsidRDefault="005A2F54" w:rsidP="00712BCD">
            <w:pPr>
              <w:rPr>
                <w:color w:val="000000"/>
                <w:sz w:val="20"/>
                <w:szCs w:val="20"/>
              </w:rPr>
            </w:pPr>
            <w:r w:rsidRPr="000C4180">
              <w:rPr>
                <w:color w:val="000000"/>
                <w:sz w:val="20"/>
                <w:szCs w:val="20"/>
              </w:rPr>
              <w:t>Years</w:t>
            </w:r>
          </w:p>
        </w:tc>
        <w:tc>
          <w:tcPr>
            <w:tcW w:w="1293" w:type="dxa"/>
            <w:gridSpan w:val="2"/>
            <w:noWrap/>
            <w:vAlign w:val="bottom"/>
          </w:tcPr>
          <w:p w14:paraId="287E1980" w14:textId="77777777" w:rsidR="005A2F54" w:rsidRPr="000C4180" w:rsidRDefault="005A2F54" w:rsidP="00712BCD">
            <w:pPr>
              <w:jc w:val="right"/>
              <w:rPr>
                <w:color w:val="000000"/>
                <w:sz w:val="20"/>
                <w:szCs w:val="20"/>
              </w:rPr>
            </w:pPr>
            <w:r w:rsidRPr="000C4180">
              <w:rPr>
                <w:color w:val="000000"/>
                <w:sz w:val="20"/>
                <w:szCs w:val="20"/>
              </w:rPr>
              <w:t>1</w:t>
            </w:r>
          </w:p>
        </w:tc>
        <w:tc>
          <w:tcPr>
            <w:tcW w:w="1243" w:type="dxa"/>
            <w:gridSpan w:val="2"/>
            <w:noWrap/>
            <w:vAlign w:val="bottom"/>
          </w:tcPr>
          <w:p w14:paraId="08A50FDB" w14:textId="77777777" w:rsidR="005A2F54" w:rsidRPr="000C4180" w:rsidRDefault="005A2F54" w:rsidP="00712BCD">
            <w:pPr>
              <w:jc w:val="right"/>
              <w:rPr>
                <w:color w:val="000000"/>
                <w:sz w:val="20"/>
                <w:szCs w:val="20"/>
              </w:rPr>
            </w:pPr>
            <w:r w:rsidRPr="000C4180">
              <w:rPr>
                <w:color w:val="000000"/>
                <w:sz w:val="20"/>
                <w:szCs w:val="20"/>
              </w:rPr>
              <w:t>2</w:t>
            </w:r>
          </w:p>
        </w:tc>
        <w:tc>
          <w:tcPr>
            <w:tcW w:w="1055" w:type="dxa"/>
            <w:gridSpan w:val="2"/>
            <w:noWrap/>
            <w:vAlign w:val="bottom"/>
          </w:tcPr>
          <w:p w14:paraId="3F5DFB8E" w14:textId="77777777" w:rsidR="005A2F54" w:rsidRPr="000C4180" w:rsidRDefault="005A2F54" w:rsidP="00712BCD">
            <w:pPr>
              <w:jc w:val="right"/>
              <w:rPr>
                <w:color w:val="000000"/>
                <w:sz w:val="20"/>
                <w:szCs w:val="20"/>
              </w:rPr>
            </w:pPr>
            <w:r w:rsidRPr="000C4180">
              <w:rPr>
                <w:color w:val="000000"/>
                <w:sz w:val="20"/>
                <w:szCs w:val="20"/>
              </w:rPr>
              <w:t>3</w:t>
            </w:r>
          </w:p>
        </w:tc>
        <w:tc>
          <w:tcPr>
            <w:tcW w:w="914" w:type="dxa"/>
            <w:gridSpan w:val="2"/>
            <w:noWrap/>
            <w:vAlign w:val="bottom"/>
          </w:tcPr>
          <w:p w14:paraId="13885CDE" w14:textId="77777777" w:rsidR="005A2F54" w:rsidRPr="000C4180" w:rsidRDefault="005A2F54" w:rsidP="00712BCD">
            <w:pPr>
              <w:jc w:val="right"/>
              <w:rPr>
                <w:color w:val="000000"/>
                <w:sz w:val="20"/>
                <w:szCs w:val="20"/>
              </w:rPr>
            </w:pPr>
            <w:r w:rsidRPr="000C4180">
              <w:rPr>
                <w:color w:val="000000"/>
                <w:sz w:val="20"/>
                <w:szCs w:val="20"/>
              </w:rPr>
              <w:t>4</w:t>
            </w:r>
          </w:p>
        </w:tc>
        <w:tc>
          <w:tcPr>
            <w:tcW w:w="2783" w:type="dxa"/>
            <w:gridSpan w:val="2"/>
            <w:noWrap/>
            <w:vAlign w:val="bottom"/>
          </w:tcPr>
          <w:p w14:paraId="715F61CC" w14:textId="77777777" w:rsidR="005A2F54" w:rsidRPr="000C4180" w:rsidRDefault="005A2F54" w:rsidP="00712BCD">
            <w:pPr>
              <w:jc w:val="right"/>
              <w:rPr>
                <w:color w:val="000000"/>
                <w:sz w:val="20"/>
                <w:szCs w:val="20"/>
              </w:rPr>
            </w:pPr>
            <w:r w:rsidRPr="000C4180">
              <w:rPr>
                <w:color w:val="000000"/>
                <w:sz w:val="20"/>
                <w:szCs w:val="20"/>
              </w:rPr>
              <w:t>Allocation of Benefits</w:t>
            </w:r>
          </w:p>
        </w:tc>
      </w:tr>
      <w:tr w:rsidR="005A2F54" w:rsidRPr="000C4180" w14:paraId="336859E3" w14:textId="77777777" w:rsidTr="00712BCD">
        <w:trPr>
          <w:trHeight w:val="157"/>
        </w:trPr>
        <w:tc>
          <w:tcPr>
            <w:tcW w:w="9661" w:type="dxa"/>
            <w:gridSpan w:val="13"/>
            <w:shd w:val="clear" w:color="auto" w:fill="auto"/>
            <w:noWrap/>
            <w:vAlign w:val="bottom"/>
          </w:tcPr>
          <w:p w14:paraId="3FFEF777" w14:textId="77777777" w:rsidR="005A2F54" w:rsidRPr="000C4180" w:rsidRDefault="005A2F54" w:rsidP="00712BCD">
            <w:pPr>
              <w:jc w:val="center"/>
              <w:rPr>
                <w:b/>
                <w:color w:val="000000"/>
                <w:sz w:val="20"/>
                <w:szCs w:val="20"/>
              </w:rPr>
            </w:pPr>
            <w:r w:rsidRPr="000C4180">
              <w:rPr>
                <w:b/>
                <w:color w:val="000000"/>
                <w:sz w:val="20"/>
                <w:szCs w:val="20"/>
              </w:rPr>
              <w:t>CAS at IRR = -5.5%</w:t>
            </w:r>
          </w:p>
        </w:tc>
      </w:tr>
      <w:tr w:rsidR="005A2F54" w:rsidRPr="000C4180" w14:paraId="38A19932" w14:textId="77777777" w:rsidTr="00712BCD">
        <w:trPr>
          <w:trHeight w:val="157"/>
        </w:trPr>
        <w:tc>
          <w:tcPr>
            <w:tcW w:w="2373" w:type="dxa"/>
            <w:gridSpan w:val="3"/>
            <w:noWrap/>
            <w:vAlign w:val="bottom"/>
          </w:tcPr>
          <w:p w14:paraId="454D2225"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noWrap/>
            <w:vAlign w:val="bottom"/>
          </w:tcPr>
          <w:p w14:paraId="3B23C6A0" w14:textId="77777777" w:rsidR="005A2F54" w:rsidRPr="000C4180" w:rsidRDefault="005A2F54" w:rsidP="00712BCD">
            <w:pPr>
              <w:jc w:val="right"/>
              <w:rPr>
                <w:color w:val="000000"/>
                <w:sz w:val="20"/>
                <w:szCs w:val="20"/>
              </w:rPr>
            </w:pPr>
            <w:r w:rsidRPr="000C4180">
              <w:rPr>
                <w:color w:val="000000"/>
                <w:sz w:val="20"/>
                <w:szCs w:val="20"/>
              </w:rPr>
              <w:t>-1000</w:t>
            </w:r>
          </w:p>
        </w:tc>
        <w:tc>
          <w:tcPr>
            <w:tcW w:w="1243" w:type="dxa"/>
            <w:gridSpan w:val="2"/>
            <w:shd w:val="clear" w:color="auto" w:fill="auto"/>
            <w:noWrap/>
            <w:vAlign w:val="bottom"/>
          </w:tcPr>
          <w:p w14:paraId="6687B227" w14:textId="77777777" w:rsidR="005A2F54" w:rsidRPr="000C4180" w:rsidRDefault="005A2F54" w:rsidP="00712BCD">
            <w:pPr>
              <w:jc w:val="right"/>
              <w:rPr>
                <w:color w:val="000000"/>
                <w:sz w:val="20"/>
                <w:szCs w:val="20"/>
              </w:rPr>
            </w:pPr>
            <w:r w:rsidRPr="000C4180">
              <w:rPr>
                <w:color w:val="000000"/>
                <w:sz w:val="20"/>
                <w:szCs w:val="20"/>
              </w:rPr>
              <w:t>-145.4</w:t>
            </w:r>
          </w:p>
        </w:tc>
        <w:tc>
          <w:tcPr>
            <w:tcW w:w="1055" w:type="dxa"/>
            <w:gridSpan w:val="2"/>
            <w:shd w:val="clear" w:color="auto" w:fill="auto"/>
            <w:noWrap/>
            <w:vAlign w:val="bottom"/>
          </w:tcPr>
          <w:p w14:paraId="7ECA6DB0" w14:textId="77777777" w:rsidR="005A2F54" w:rsidRPr="000C4180" w:rsidRDefault="005A2F54" w:rsidP="00712BCD">
            <w:pPr>
              <w:jc w:val="right"/>
              <w:rPr>
                <w:color w:val="000000"/>
                <w:sz w:val="20"/>
                <w:szCs w:val="20"/>
              </w:rPr>
            </w:pPr>
            <w:r w:rsidRPr="000C4180">
              <w:rPr>
                <w:color w:val="000000"/>
                <w:sz w:val="20"/>
                <w:szCs w:val="20"/>
              </w:rPr>
              <w:t>862.5</w:t>
            </w:r>
          </w:p>
        </w:tc>
        <w:tc>
          <w:tcPr>
            <w:tcW w:w="914" w:type="dxa"/>
            <w:gridSpan w:val="2"/>
            <w:shd w:val="clear" w:color="auto" w:fill="auto"/>
            <w:noWrap/>
            <w:vAlign w:val="bottom"/>
          </w:tcPr>
          <w:p w14:paraId="36DEEBE1" w14:textId="77777777" w:rsidR="005A2F54" w:rsidRPr="000C4180" w:rsidRDefault="005A2F54" w:rsidP="00712BCD">
            <w:pPr>
              <w:jc w:val="right"/>
              <w:rPr>
                <w:color w:val="000000"/>
                <w:sz w:val="20"/>
                <w:szCs w:val="20"/>
              </w:rPr>
            </w:pPr>
            <w:r w:rsidRPr="000C4180">
              <w:rPr>
                <w:color w:val="000000"/>
                <w:sz w:val="20"/>
                <w:szCs w:val="20"/>
              </w:rPr>
              <w:t>2115.4</w:t>
            </w:r>
          </w:p>
        </w:tc>
        <w:tc>
          <w:tcPr>
            <w:tcW w:w="1189" w:type="dxa"/>
            <w:noWrap/>
            <w:vAlign w:val="bottom"/>
          </w:tcPr>
          <w:p w14:paraId="210BE2CB"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vAlign w:val="bottom"/>
          </w:tcPr>
          <w:p w14:paraId="6008473B" w14:textId="77777777" w:rsidR="005A2F54" w:rsidRPr="000C4180" w:rsidRDefault="005A2F54" w:rsidP="00712BCD">
            <w:pPr>
              <w:jc w:val="right"/>
              <w:rPr>
                <w:color w:val="000000"/>
                <w:sz w:val="22"/>
                <w:szCs w:val="22"/>
              </w:rPr>
            </w:pPr>
            <w:r w:rsidRPr="000C4180">
              <w:rPr>
                <w:color w:val="000000"/>
                <w:sz w:val="22"/>
                <w:szCs w:val="22"/>
              </w:rPr>
              <w:t>-1000.0</w:t>
            </w:r>
          </w:p>
        </w:tc>
      </w:tr>
      <w:tr w:rsidR="005A2F54" w:rsidRPr="000C4180" w14:paraId="36DD7A69" w14:textId="77777777" w:rsidTr="00712BCD">
        <w:trPr>
          <w:trHeight w:val="157"/>
        </w:trPr>
        <w:tc>
          <w:tcPr>
            <w:tcW w:w="2373" w:type="dxa"/>
            <w:gridSpan w:val="3"/>
            <w:noWrap/>
            <w:vAlign w:val="bottom"/>
          </w:tcPr>
          <w:p w14:paraId="2A7EE92F" w14:textId="77777777" w:rsidR="005A2F54" w:rsidRPr="000C4180" w:rsidRDefault="005A2F54" w:rsidP="00712BCD">
            <w:pPr>
              <w:rPr>
                <w:color w:val="000000"/>
                <w:sz w:val="20"/>
                <w:szCs w:val="20"/>
              </w:rPr>
            </w:pPr>
            <w:r w:rsidRPr="000C4180">
              <w:rPr>
                <w:color w:val="000000"/>
                <w:sz w:val="20"/>
                <w:szCs w:val="20"/>
              </w:rPr>
              <w:t>Interest / Return at -5.5%</w:t>
            </w:r>
          </w:p>
        </w:tc>
        <w:tc>
          <w:tcPr>
            <w:tcW w:w="1293" w:type="dxa"/>
            <w:gridSpan w:val="2"/>
            <w:noWrap/>
            <w:vAlign w:val="bottom"/>
          </w:tcPr>
          <w:p w14:paraId="61C477A1" w14:textId="77777777" w:rsidR="005A2F54" w:rsidRPr="000C4180" w:rsidRDefault="005A2F54" w:rsidP="00712BCD">
            <w:pPr>
              <w:jc w:val="right"/>
              <w:rPr>
                <w:color w:val="000000"/>
                <w:sz w:val="20"/>
                <w:szCs w:val="20"/>
              </w:rPr>
            </w:pPr>
            <w:r w:rsidRPr="000C4180">
              <w:rPr>
                <w:color w:val="000000"/>
                <w:sz w:val="20"/>
                <w:szCs w:val="20"/>
              </w:rPr>
              <w:t>54.6</w:t>
            </w:r>
          </w:p>
        </w:tc>
        <w:tc>
          <w:tcPr>
            <w:tcW w:w="1243" w:type="dxa"/>
            <w:gridSpan w:val="2"/>
            <w:shd w:val="clear" w:color="auto" w:fill="auto"/>
            <w:noWrap/>
            <w:vAlign w:val="bottom"/>
          </w:tcPr>
          <w:p w14:paraId="492E473C" w14:textId="77777777" w:rsidR="005A2F54" w:rsidRPr="000C4180" w:rsidRDefault="005A2F54" w:rsidP="00712BCD">
            <w:pPr>
              <w:jc w:val="right"/>
              <w:rPr>
                <w:color w:val="000000"/>
                <w:sz w:val="20"/>
                <w:szCs w:val="20"/>
              </w:rPr>
            </w:pPr>
            <w:r w:rsidRPr="000C4180">
              <w:rPr>
                <w:color w:val="000000"/>
                <w:sz w:val="20"/>
                <w:szCs w:val="20"/>
              </w:rPr>
              <w:t>7.9</w:t>
            </w:r>
          </w:p>
        </w:tc>
        <w:tc>
          <w:tcPr>
            <w:tcW w:w="1055" w:type="dxa"/>
            <w:gridSpan w:val="2"/>
            <w:shd w:val="clear" w:color="auto" w:fill="auto"/>
            <w:noWrap/>
            <w:vAlign w:val="bottom"/>
          </w:tcPr>
          <w:p w14:paraId="0F6FAA48" w14:textId="77777777" w:rsidR="005A2F54" w:rsidRPr="000C4180" w:rsidRDefault="005A2F54" w:rsidP="00712BCD">
            <w:pPr>
              <w:jc w:val="right"/>
              <w:rPr>
                <w:color w:val="000000"/>
                <w:sz w:val="20"/>
                <w:szCs w:val="20"/>
              </w:rPr>
            </w:pPr>
            <w:r w:rsidRPr="000C4180">
              <w:rPr>
                <w:color w:val="000000"/>
                <w:sz w:val="20"/>
                <w:szCs w:val="20"/>
              </w:rPr>
              <w:t>-47.1</w:t>
            </w:r>
          </w:p>
        </w:tc>
        <w:tc>
          <w:tcPr>
            <w:tcW w:w="914" w:type="dxa"/>
            <w:gridSpan w:val="2"/>
            <w:shd w:val="clear" w:color="auto" w:fill="auto"/>
            <w:noWrap/>
            <w:vAlign w:val="bottom"/>
          </w:tcPr>
          <w:p w14:paraId="49E44BB2" w14:textId="77777777" w:rsidR="005A2F54" w:rsidRPr="000C4180" w:rsidRDefault="005A2F54" w:rsidP="00712BCD">
            <w:pPr>
              <w:jc w:val="right"/>
              <w:rPr>
                <w:color w:val="000000"/>
                <w:sz w:val="20"/>
                <w:szCs w:val="20"/>
              </w:rPr>
            </w:pPr>
            <w:r w:rsidRPr="000C4180">
              <w:rPr>
                <w:color w:val="000000"/>
                <w:sz w:val="20"/>
                <w:szCs w:val="20"/>
              </w:rPr>
              <w:t>-115.4</w:t>
            </w:r>
          </w:p>
        </w:tc>
        <w:tc>
          <w:tcPr>
            <w:tcW w:w="1189" w:type="dxa"/>
            <w:noWrap/>
            <w:vAlign w:val="bottom"/>
          </w:tcPr>
          <w:p w14:paraId="5638C6B3" w14:textId="77777777" w:rsidR="005A2F54" w:rsidRPr="000C4180" w:rsidRDefault="005A2F54" w:rsidP="00712BCD">
            <w:pPr>
              <w:jc w:val="right"/>
              <w:rPr>
                <w:color w:val="000000"/>
                <w:sz w:val="20"/>
                <w:szCs w:val="20"/>
              </w:rPr>
            </w:pPr>
            <w:r w:rsidRPr="000C4180">
              <w:rPr>
                <w:color w:val="000000"/>
                <w:sz w:val="20"/>
                <w:szCs w:val="20"/>
              </w:rPr>
              <w:t xml:space="preserve">ROIC </w:t>
            </w:r>
          </w:p>
        </w:tc>
        <w:tc>
          <w:tcPr>
            <w:tcW w:w="1594" w:type="dxa"/>
            <w:vAlign w:val="bottom"/>
          </w:tcPr>
          <w:p w14:paraId="5B2BB577" w14:textId="77777777" w:rsidR="005A2F54" w:rsidRPr="000C4180" w:rsidRDefault="005A2F54" w:rsidP="00712BCD">
            <w:pPr>
              <w:jc w:val="right"/>
              <w:rPr>
                <w:color w:val="000000"/>
                <w:sz w:val="20"/>
                <w:szCs w:val="20"/>
              </w:rPr>
            </w:pPr>
            <w:r w:rsidRPr="000C4180">
              <w:rPr>
                <w:color w:val="000000"/>
                <w:sz w:val="20"/>
                <w:szCs w:val="20"/>
              </w:rPr>
              <w:t>-100.0</w:t>
            </w:r>
          </w:p>
        </w:tc>
      </w:tr>
      <w:tr w:rsidR="005A2F54" w:rsidRPr="000C4180" w14:paraId="0C334FD9" w14:textId="77777777" w:rsidTr="00712BCD">
        <w:trPr>
          <w:trHeight w:val="157"/>
        </w:trPr>
        <w:tc>
          <w:tcPr>
            <w:tcW w:w="2373" w:type="dxa"/>
            <w:gridSpan w:val="3"/>
            <w:noWrap/>
            <w:vAlign w:val="bottom"/>
          </w:tcPr>
          <w:p w14:paraId="69ADE25D"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tcPr>
          <w:p w14:paraId="4ED1E9EB"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shd w:val="clear" w:color="auto" w:fill="auto"/>
            <w:noWrap/>
            <w:vAlign w:val="bottom"/>
          </w:tcPr>
          <w:p w14:paraId="6607B7EE"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shd w:val="clear" w:color="auto" w:fill="auto"/>
            <w:noWrap/>
            <w:vAlign w:val="bottom"/>
          </w:tcPr>
          <w:p w14:paraId="51282450"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shd w:val="clear" w:color="auto" w:fill="auto"/>
            <w:noWrap/>
            <w:vAlign w:val="bottom"/>
          </w:tcPr>
          <w:p w14:paraId="0C05FEC3"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5D0B2F51" w14:textId="77777777" w:rsidR="005A2F54" w:rsidRPr="000C4180" w:rsidRDefault="005A2F54" w:rsidP="00712BCD">
            <w:pPr>
              <w:jc w:val="right"/>
              <w:rPr>
                <w:color w:val="000000"/>
                <w:sz w:val="20"/>
                <w:szCs w:val="20"/>
              </w:rPr>
            </w:pPr>
            <w:r w:rsidRPr="000C4180">
              <w:rPr>
                <w:color w:val="000000"/>
                <w:sz w:val="20"/>
                <w:szCs w:val="20"/>
              </w:rPr>
              <w:t xml:space="preserve">Income </w:t>
            </w:r>
          </w:p>
        </w:tc>
        <w:tc>
          <w:tcPr>
            <w:tcW w:w="1594" w:type="dxa"/>
            <w:vAlign w:val="bottom"/>
          </w:tcPr>
          <w:p w14:paraId="11232446"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4E0FE8D0" w14:textId="77777777" w:rsidTr="00712BCD">
        <w:trPr>
          <w:trHeight w:val="157"/>
        </w:trPr>
        <w:tc>
          <w:tcPr>
            <w:tcW w:w="2373" w:type="dxa"/>
            <w:gridSpan w:val="3"/>
            <w:noWrap/>
            <w:vAlign w:val="bottom"/>
          </w:tcPr>
          <w:p w14:paraId="278AF713" w14:textId="77777777" w:rsidR="005A2F54" w:rsidRPr="000C4180" w:rsidRDefault="005A2F54" w:rsidP="00712BCD">
            <w:pPr>
              <w:rPr>
                <w:color w:val="000000"/>
                <w:sz w:val="20"/>
                <w:szCs w:val="20"/>
              </w:rPr>
            </w:pPr>
            <w:r w:rsidRPr="000C4180">
              <w:rPr>
                <w:color w:val="000000"/>
                <w:sz w:val="20"/>
                <w:szCs w:val="20"/>
              </w:rPr>
              <w:t>Closing Balance</w:t>
            </w:r>
          </w:p>
        </w:tc>
        <w:tc>
          <w:tcPr>
            <w:tcW w:w="1293" w:type="dxa"/>
            <w:gridSpan w:val="2"/>
            <w:noWrap/>
            <w:vAlign w:val="bottom"/>
          </w:tcPr>
          <w:p w14:paraId="19355312" w14:textId="77777777" w:rsidR="005A2F54" w:rsidRPr="000C4180" w:rsidRDefault="005A2F54" w:rsidP="00712BCD">
            <w:pPr>
              <w:jc w:val="right"/>
              <w:rPr>
                <w:color w:val="000000"/>
                <w:sz w:val="20"/>
                <w:szCs w:val="20"/>
              </w:rPr>
            </w:pPr>
            <w:r w:rsidRPr="000C4180">
              <w:rPr>
                <w:color w:val="000000"/>
                <w:sz w:val="20"/>
                <w:szCs w:val="20"/>
              </w:rPr>
              <w:t>-145.4</w:t>
            </w:r>
          </w:p>
        </w:tc>
        <w:tc>
          <w:tcPr>
            <w:tcW w:w="1243" w:type="dxa"/>
            <w:gridSpan w:val="2"/>
            <w:shd w:val="clear" w:color="auto" w:fill="auto"/>
            <w:noWrap/>
            <w:vAlign w:val="bottom"/>
          </w:tcPr>
          <w:p w14:paraId="2DC091BD" w14:textId="77777777" w:rsidR="005A2F54" w:rsidRPr="000C4180" w:rsidRDefault="005A2F54" w:rsidP="00712BCD">
            <w:pPr>
              <w:jc w:val="right"/>
              <w:rPr>
                <w:color w:val="000000"/>
                <w:sz w:val="20"/>
                <w:szCs w:val="20"/>
              </w:rPr>
            </w:pPr>
            <w:r w:rsidRPr="000C4180">
              <w:rPr>
                <w:color w:val="000000"/>
                <w:sz w:val="20"/>
                <w:szCs w:val="20"/>
              </w:rPr>
              <w:t>862.5</w:t>
            </w:r>
          </w:p>
        </w:tc>
        <w:tc>
          <w:tcPr>
            <w:tcW w:w="1055" w:type="dxa"/>
            <w:gridSpan w:val="2"/>
            <w:shd w:val="clear" w:color="auto" w:fill="auto"/>
            <w:noWrap/>
            <w:vAlign w:val="bottom"/>
          </w:tcPr>
          <w:p w14:paraId="4FA3BBFA" w14:textId="77777777" w:rsidR="005A2F54" w:rsidRPr="000C4180" w:rsidRDefault="005A2F54" w:rsidP="00712BCD">
            <w:pPr>
              <w:jc w:val="right"/>
              <w:rPr>
                <w:color w:val="000000"/>
                <w:sz w:val="20"/>
                <w:szCs w:val="20"/>
              </w:rPr>
            </w:pPr>
            <w:r w:rsidRPr="000C4180">
              <w:rPr>
                <w:color w:val="000000"/>
                <w:sz w:val="20"/>
                <w:szCs w:val="20"/>
              </w:rPr>
              <w:t>2115.4</w:t>
            </w:r>
          </w:p>
        </w:tc>
        <w:tc>
          <w:tcPr>
            <w:tcW w:w="914" w:type="dxa"/>
            <w:gridSpan w:val="2"/>
            <w:shd w:val="clear" w:color="auto" w:fill="auto"/>
            <w:noWrap/>
            <w:vAlign w:val="bottom"/>
          </w:tcPr>
          <w:p w14:paraId="576F4820"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shd w:val="clear" w:color="auto" w:fill="auto"/>
            <w:noWrap/>
            <w:vAlign w:val="bottom"/>
          </w:tcPr>
          <w:p w14:paraId="632ED973" w14:textId="77777777" w:rsidR="005A2F54" w:rsidRPr="000C4180" w:rsidRDefault="005A2F54" w:rsidP="00712BCD">
            <w:pPr>
              <w:jc w:val="right"/>
              <w:rPr>
                <w:color w:val="000000"/>
                <w:sz w:val="20"/>
                <w:szCs w:val="20"/>
              </w:rPr>
            </w:pPr>
            <w:r w:rsidRPr="000C4180">
              <w:rPr>
                <w:color w:val="000000"/>
                <w:sz w:val="20"/>
                <w:szCs w:val="20"/>
              </w:rPr>
              <w:t xml:space="preserve">Balance </w:t>
            </w:r>
          </w:p>
        </w:tc>
        <w:tc>
          <w:tcPr>
            <w:tcW w:w="1594" w:type="dxa"/>
            <w:shd w:val="clear" w:color="auto" w:fill="auto"/>
            <w:vAlign w:val="bottom"/>
          </w:tcPr>
          <w:p w14:paraId="17590B37" w14:textId="77777777" w:rsidR="005A2F54" w:rsidRPr="000C4180" w:rsidRDefault="005A2F54" w:rsidP="00712BCD">
            <w:pPr>
              <w:jc w:val="right"/>
              <w:rPr>
                <w:color w:val="000000"/>
                <w:sz w:val="20"/>
                <w:szCs w:val="20"/>
              </w:rPr>
            </w:pPr>
            <w:r w:rsidRPr="000C4180">
              <w:rPr>
                <w:color w:val="000000"/>
                <w:sz w:val="20"/>
                <w:szCs w:val="20"/>
              </w:rPr>
              <w:t>0.0</w:t>
            </w:r>
          </w:p>
        </w:tc>
      </w:tr>
      <w:tr w:rsidR="005A2F54" w:rsidRPr="000C4180" w14:paraId="251B88E4" w14:textId="77777777" w:rsidTr="00712BCD">
        <w:trPr>
          <w:trHeight w:val="157"/>
        </w:trPr>
        <w:tc>
          <w:tcPr>
            <w:tcW w:w="9661" w:type="dxa"/>
            <w:gridSpan w:val="13"/>
            <w:noWrap/>
            <w:vAlign w:val="bottom"/>
          </w:tcPr>
          <w:p w14:paraId="5363575E" w14:textId="77777777" w:rsidR="005A2F54" w:rsidRPr="000C4180" w:rsidRDefault="005A2F54" w:rsidP="00712BCD">
            <w:pPr>
              <w:jc w:val="center"/>
              <w:rPr>
                <w:color w:val="000000"/>
                <w:sz w:val="20"/>
                <w:szCs w:val="20"/>
              </w:rPr>
            </w:pPr>
            <w:r w:rsidRPr="000C4180">
              <w:rPr>
                <w:b/>
                <w:color w:val="000000"/>
                <w:sz w:val="20"/>
                <w:szCs w:val="20"/>
              </w:rPr>
              <w:t>CAS at IRR = 45.2%</w:t>
            </w:r>
          </w:p>
        </w:tc>
      </w:tr>
      <w:tr w:rsidR="005A2F54" w:rsidRPr="000C4180" w14:paraId="4C6E8333" w14:textId="77777777" w:rsidTr="00712BCD">
        <w:trPr>
          <w:trHeight w:val="280"/>
        </w:trPr>
        <w:tc>
          <w:tcPr>
            <w:tcW w:w="2373" w:type="dxa"/>
            <w:gridSpan w:val="3"/>
            <w:noWrap/>
            <w:vAlign w:val="bottom"/>
            <w:hideMark/>
          </w:tcPr>
          <w:p w14:paraId="2C5F6134"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noWrap/>
            <w:vAlign w:val="bottom"/>
            <w:hideMark/>
          </w:tcPr>
          <w:p w14:paraId="6220E194" w14:textId="77777777" w:rsidR="005A2F54" w:rsidRPr="000C4180" w:rsidRDefault="005A2F54" w:rsidP="00712BCD">
            <w:pPr>
              <w:jc w:val="right"/>
              <w:rPr>
                <w:color w:val="000000"/>
                <w:sz w:val="20"/>
                <w:szCs w:val="20"/>
              </w:rPr>
            </w:pPr>
            <w:r w:rsidRPr="000C4180">
              <w:rPr>
                <w:color w:val="000000"/>
                <w:sz w:val="20"/>
                <w:szCs w:val="20"/>
              </w:rPr>
              <w:t>-1000.0</w:t>
            </w:r>
          </w:p>
        </w:tc>
        <w:tc>
          <w:tcPr>
            <w:tcW w:w="1243" w:type="dxa"/>
            <w:gridSpan w:val="2"/>
            <w:noWrap/>
            <w:vAlign w:val="bottom"/>
            <w:hideMark/>
          </w:tcPr>
          <w:p w14:paraId="227AD4DE" w14:textId="77777777" w:rsidR="005A2F54" w:rsidRPr="000C4180" w:rsidRDefault="005A2F54" w:rsidP="00712BCD">
            <w:pPr>
              <w:jc w:val="right"/>
              <w:rPr>
                <w:color w:val="000000"/>
                <w:sz w:val="20"/>
                <w:szCs w:val="20"/>
              </w:rPr>
            </w:pPr>
            <w:r w:rsidRPr="000C4180">
              <w:rPr>
                <w:color w:val="000000"/>
                <w:sz w:val="20"/>
                <w:szCs w:val="20"/>
              </w:rPr>
              <w:t>-652.0</w:t>
            </w:r>
          </w:p>
        </w:tc>
        <w:tc>
          <w:tcPr>
            <w:tcW w:w="1055" w:type="dxa"/>
            <w:gridSpan w:val="2"/>
            <w:noWrap/>
            <w:vAlign w:val="bottom"/>
            <w:hideMark/>
          </w:tcPr>
          <w:p w14:paraId="5D4503EA" w14:textId="77777777" w:rsidR="005A2F54" w:rsidRPr="000C4180" w:rsidRDefault="005A2F54" w:rsidP="00712BCD">
            <w:pPr>
              <w:jc w:val="right"/>
              <w:rPr>
                <w:color w:val="000000"/>
                <w:sz w:val="20"/>
                <w:szCs w:val="20"/>
              </w:rPr>
            </w:pPr>
            <w:r w:rsidRPr="000C4180">
              <w:rPr>
                <w:color w:val="000000"/>
                <w:sz w:val="20"/>
                <w:szCs w:val="20"/>
              </w:rPr>
              <w:t>53.3</w:t>
            </w:r>
          </w:p>
        </w:tc>
        <w:tc>
          <w:tcPr>
            <w:tcW w:w="914" w:type="dxa"/>
            <w:gridSpan w:val="2"/>
            <w:noWrap/>
            <w:vAlign w:val="bottom"/>
            <w:hideMark/>
          </w:tcPr>
          <w:p w14:paraId="3BB41BD9" w14:textId="77777777" w:rsidR="005A2F54" w:rsidRPr="000C4180" w:rsidRDefault="005A2F54" w:rsidP="00712BCD">
            <w:pPr>
              <w:jc w:val="right"/>
              <w:rPr>
                <w:color w:val="000000"/>
                <w:sz w:val="20"/>
                <w:szCs w:val="20"/>
              </w:rPr>
            </w:pPr>
            <w:r w:rsidRPr="000C4180">
              <w:rPr>
                <w:color w:val="000000"/>
                <w:sz w:val="20"/>
                <w:szCs w:val="20"/>
              </w:rPr>
              <w:t>1377.4</w:t>
            </w:r>
          </w:p>
        </w:tc>
        <w:tc>
          <w:tcPr>
            <w:tcW w:w="1189" w:type="dxa"/>
            <w:noWrap/>
            <w:vAlign w:val="bottom"/>
          </w:tcPr>
          <w:p w14:paraId="079D26A2"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vAlign w:val="bottom"/>
          </w:tcPr>
          <w:p w14:paraId="32DFBD50" w14:textId="77777777" w:rsidR="005A2F54" w:rsidRPr="000C4180" w:rsidRDefault="005A2F54" w:rsidP="00712BCD">
            <w:pPr>
              <w:jc w:val="right"/>
              <w:rPr>
                <w:color w:val="000000"/>
                <w:sz w:val="20"/>
                <w:szCs w:val="20"/>
              </w:rPr>
            </w:pPr>
            <w:r w:rsidRPr="000C4180">
              <w:rPr>
                <w:color w:val="000000"/>
                <w:sz w:val="20"/>
                <w:szCs w:val="20"/>
              </w:rPr>
              <w:t>-1000.0</w:t>
            </w:r>
          </w:p>
        </w:tc>
      </w:tr>
      <w:tr w:rsidR="005A2F54" w:rsidRPr="000C4180" w14:paraId="5F06EC02" w14:textId="77777777" w:rsidTr="00712BCD">
        <w:trPr>
          <w:trHeight w:val="157"/>
        </w:trPr>
        <w:tc>
          <w:tcPr>
            <w:tcW w:w="2373" w:type="dxa"/>
            <w:gridSpan w:val="3"/>
            <w:noWrap/>
            <w:vAlign w:val="bottom"/>
            <w:hideMark/>
          </w:tcPr>
          <w:p w14:paraId="46AC0CE6" w14:textId="77777777" w:rsidR="005A2F54" w:rsidRPr="000C4180" w:rsidRDefault="005A2F54" w:rsidP="00712BCD">
            <w:pPr>
              <w:rPr>
                <w:color w:val="000000"/>
                <w:sz w:val="20"/>
                <w:szCs w:val="20"/>
              </w:rPr>
            </w:pPr>
            <w:r w:rsidRPr="000C4180">
              <w:rPr>
                <w:color w:val="000000"/>
                <w:sz w:val="20"/>
                <w:szCs w:val="20"/>
              </w:rPr>
              <w:t>Interest / Return at 45.2%</w:t>
            </w:r>
          </w:p>
        </w:tc>
        <w:tc>
          <w:tcPr>
            <w:tcW w:w="1293" w:type="dxa"/>
            <w:gridSpan w:val="2"/>
            <w:noWrap/>
            <w:vAlign w:val="bottom"/>
            <w:hideMark/>
          </w:tcPr>
          <w:p w14:paraId="5177B76F" w14:textId="77777777" w:rsidR="005A2F54" w:rsidRPr="000C4180" w:rsidRDefault="005A2F54" w:rsidP="00712BCD">
            <w:pPr>
              <w:jc w:val="right"/>
              <w:rPr>
                <w:color w:val="000000"/>
                <w:sz w:val="20"/>
                <w:szCs w:val="20"/>
              </w:rPr>
            </w:pPr>
            <w:r w:rsidRPr="000C4180">
              <w:rPr>
                <w:color w:val="000000"/>
                <w:sz w:val="20"/>
                <w:szCs w:val="20"/>
              </w:rPr>
              <w:t>-452.0</w:t>
            </w:r>
          </w:p>
        </w:tc>
        <w:tc>
          <w:tcPr>
            <w:tcW w:w="1243" w:type="dxa"/>
            <w:gridSpan w:val="2"/>
            <w:noWrap/>
            <w:vAlign w:val="bottom"/>
            <w:hideMark/>
          </w:tcPr>
          <w:p w14:paraId="78C4FC08" w14:textId="77777777" w:rsidR="005A2F54" w:rsidRPr="000C4180" w:rsidRDefault="005A2F54" w:rsidP="00712BCD">
            <w:pPr>
              <w:jc w:val="right"/>
              <w:rPr>
                <w:color w:val="000000"/>
                <w:sz w:val="20"/>
                <w:szCs w:val="20"/>
              </w:rPr>
            </w:pPr>
            <w:r w:rsidRPr="000C4180">
              <w:rPr>
                <w:color w:val="000000"/>
                <w:sz w:val="20"/>
                <w:szCs w:val="20"/>
              </w:rPr>
              <w:t>-294.7</w:t>
            </w:r>
          </w:p>
        </w:tc>
        <w:tc>
          <w:tcPr>
            <w:tcW w:w="1055" w:type="dxa"/>
            <w:gridSpan w:val="2"/>
            <w:noWrap/>
            <w:vAlign w:val="bottom"/>
            <w:hideMark/>
          </w:tcPr>
          <w:p w14:paraId="3805AF86" w14:textId="77777777" w:rsidR="005A2F54" w:rsidRPr="000C4180" w:rsidRDefault="005A2F54" w:rsidP="00712BCD">
            <w:pPr>
              <w:jc w:val="right"/>
              <w:rPr>
                <w:color w:val="000000"/>
                <w:sz w:val="20"/>
                <w:szCs w:val="20"/>
              </w:rPr>
            </w:pPr>
            <w:r w:rsidRPr="000C4180">
              <w:rPr>
                <w:color w:val="000000"/>
                <w:sz w:val="20"/>
                <w:szCs w:val="20"/>
              </w:rPr>
              <w:t>24.1</w:t>
            </w:r>
          </w:p>
        </w:tc>
        <w:tc>
          <w:tcPr>
            <w:tcW w:w="914" w:type="dxa"/>
            <w:gridSpan w:val="2"/>
            <w:noWrap/>
            <w:vAlign w:val="bottom"/>
            <w:hideMark/>
          </w:tcPr>
          <w:p w14:paraId="4D2B81D1" w14:textId="77777777" w:rsidR="005A2F54" w:rsidRPr="000C4180" w:rsidRDefault="005A2F54" w:rsidP="00712BCD">
            <w:pPr>
              <w:jc w:val="right"/>
              <w:rPr>
                <w:color w:val="000000"/>
                <w:sz w:val="20"/>
                <w:szCs w:val="20"/>
              </w:rPr>
            </w:pPr>
            <w:r w:rsidRPr="000C4180">
              <w:rPr>
                <w:color w:val="000000"/>
                <w:sz w:val="20"/>
                <w:szCs w:val="20"/>
              </w:rPr>
              <w:t>622.6</w:t>
            </w:r>
          </w:p>
        </w:tc>
        <w:tc>
          <w:tcPr>
            <w:tcW w:w="1189" w:type="dxa"/>
            <w:noWrap/>
            <w:vAlign w:val="bottom"/>
          </w:tcPr>
          <w:p w14:paraId="19201C79" w14:textId="77777777" w:rsidR="005A2F54" w:rsidRPr="000C4180" w:rsidRDefault="005A2F54" w:rsidP="00712BCD">
            <w:pPr>
              <w:jc w:val="right"/>
              <w:rPr>
                <w:color w:val="000000"/>
                <w:sz w:val="20"/>
                <w:szCs w:val="20"/>
              </w:rPr>
            </w:pPr>
            <w:r w:rsidRPr="000C4180">
              <w:rPr>
                <w:color w:val="000000"/>
                <w:sz w:val="20"/>
                <w:szCs w:val="20"/>
              </w:rPr>
              <w:t>ROIC</w:t>
            </w:r>
          </w:p>
        </w:tc>
        <w:tc>
          <w:tcPr>
            <w:tcW w:w="1594" w:type="dxa"/>
            <w:vAlign w:val="bottom"/>
          </w:tcPr>
          <w:p w14:paraId="7FF116DC" w14:textId="77777777" w:rsidR="005A2F54" w:rsidRPr="000C4180" w:rsidRDefault="005A2F54" w:rsidP="00712BCD">
            <w:pPr>
              <w:jc w:val="right"/>
              <w:rPr>
                <w:color w:val="000000"/>
                <w:sz w:val="20"/>
                <w:szCs w:val="20"/>
              </w:rPr>
            </w:pPr>
            <w:r w:rsidRPr="000C4180">
              <w:rPr>
                <w:color w:val="000000"/>
                <w:sz w:val="20"/>
                <w:szCs w:val="20"/>
              </w:rPr>
              <w:t>-100.0</w:t>
            </w:r>
          </w:p>
        </w:tc>
      </w:tr>
      <w:tr w:rsidR="005A2F54" w:rsidRPr="000C4180" w14:paraId="29395FD8" w14:textId="77777777" w:rsidTr="00712BCD">
        <w:trPr>
          <w:trHeight w:val="157"/>
        </w:trPr>
        <w:tc>
          <w:tcPr>
            <w:tcW w:w="2373" w:type="dxa"/>
            <w:gridSpan w:val="3"/>
            <w:noWrap/>
            <w:vAlign w:val="bottom"/>
            <w:hideMark/>
          </w:tcPr>
          <w:p w14:paraId="2798ECC2"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hideMark/>
          </w:tcPr>
          <w:p w14:paraId="30BF94C3"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noWrap/>
            <w:vAlign w:val="bottom"/>
            <w:hideMark/>
          </w:tcPr>
          <w:p w14:paraId="40BABEDA"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noWrap/>
            <w:vAlign w:val="bottom"/>
            <w:hideMark/>
          </w:tcPr>
          <w:p w14:paraId="57388C02"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noWrap/>
            <w:vAlign w:val="bottom"/>
            <w:hideMark/>
          </w:tcPr>
          <w:p w14:paraId="2F600843"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1229BC86" w14:textId="77777777" w:rsidR="005A2F54" w:rsidRPr="000C4180" w:rsidRDefault="005A2F54" w:rsidP="00712BCD">
            <w:pPr>
              <w:jc w:val="right"/>
              <w:rPr>
                <w:color w:val="000000"/>
                <w:sz w:val="20"/>
                <w:szCs w:val="20"/>
              </w:rPr>
            </w:pPr>
            <w:r w:rsidRPr="000C4180">
              <w:rPr>
                <w:color w:val="000000"/>
                <w:sz w:val="20"/>
                <w:szCs w:val="20"/>
              </w:rPr>
              <w:t>Income</w:t>
            </w:r>
          </w:p>
        </w:tc>
        <w:tc>
          <w:tcPr>
            <w:tcW w:w="1594" w:type="dxa"/>
            <w:vAlign w:val="bottom"/>
          </w:tcPr>
          <w:p w14:paraId="66320D69"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18FC096C" w14:textId="77777777" w:rsidTr="00712BCD">
        <w:trPr>
          <w:trHeight w:val="157"/>
        </w:trPr>
        <w:tc>
          <w:tcPr>
            <w:tcW w:w="2373" w:type="dxa"/>
            <w:gridSpan w:val="3"/>
            <w:noWrap/>
            <w:vAlign w:val="bottom"/>
            <w:hideMark/>
          </w:tcPr>
          <w:p w14:paraId="191EAE20" w14:textId="77777777" w:rsidR="005A2F54" w:rsidRPr="000C4180" w:rsidRDefault="005A2F54" w:rsidP="00712BCD">
            <w:pPr>
              <w:rPr>
                <w:color w:val="000000"/>
                <w:sz w:val="20"/>
                <w:szCs w:val="20"/>
              </w:rPr>
            </w:pPr>
            <w:r w:rsidRPr="000C4180">
              <w:rPr>
                <w:color w:val="000000"/>
                <w:sz w:val="20"/>
                <w:szCs w:val="20"/>
              </w:rPr>
              <w:t>Closing Balance</w:t>
            </w:r>
          </w:p>
        </w:tc>
        <w:tc>
          <w:tcPr>
            <w:tcW w:w="1293" w:type="dxa"/>
            <w:gridSpan w:val="2"/>
            <w:noWrap/>
            <w:vAlign w:val="bottom"/>
            <w:hideMark/>
          </w:tcPr>
          <w:p w14:paraId="490AAE22" w14:textId="77777777" w:rsidR="005A2F54" w:rsidRPr="000C4180" w:rsidRDefault="005A2F54" w:rsidP="00712BCD">
            <w:pPr>
              <w:jc w:val="right"/>
              <w:rPr>
                <w:color w:val="000000"/>
                <w:sz w:val="20"/>
                <w:szCs w:val="20"/>
              </w:rPr>
            </w:pPr>
            <w:r w:rsidRPr="000C4180">
              <w:rPr>
                <w:color w:val="000000"/>
                <w:sz w:val="20"/>
                <w:szCs w:val="20"/>
              </w:rPr>
              <w:t>-652.0</w:t>
            </w:r>
          </w:p>
        </w:tc>
        <w:tc>
          <w:tcPr>
            <w:tcW w:w="1243" w:type="dxa"/>
            <w:gridSpan w:val="2"/>
            <w:noWrap/>
            <w:vAlign w:val="bottom"/>
            <w:hideMark/>
          </w:tcPr>
          <w:p w14:paraId="39C72425" w14:textId="77777777" w:rsidR="005A2F54" w:rsidRPr="000C4180" w:rsidRDefault="005A2F54" w:rsidP="00712BCD">
            <w:pPr>
              <w:jc w:val="right"/>
              <w:rPr>
                <w:color w:val="000000"/>
                <w:sz w:val="20"/>
                <w:szCs w:val="20"/>
              </w:rPr>
            </w:pPr>
            <w:r w:rsidRPr="000C4180">
              <w:rPr>
                <w:color w:val="000000"/>
                <w:sz w:val="20"/>
                <w:szCs w:val="20"/>
              </w:rPr>
              <w:t>53.3</w:t>
            </w:r>
          </w:p>
        </w:tc>
        <w:tc>
          <w:tcPr>
            <w:tcW w:w="1055" w:type="dxa"/>
            <w:gridSpan w:val="2"/>
            <w:noWrap/>
            <w:vAlign w:val="bottom"/>
            <w:hideMark/>
          </w:tcPr>
          <w:p w14:paraId="27C27875" w14:textId="77777777" w:rsidR="005A2F54" w:rsidRPr="000C4180" w:rsidRDefault="005A2F54" w:rsidP="00712BCD">
            <w:pPr>
              <w:jc w:val="right"/>
              <w:rPr>
                <w:color w:val="000000"/>
                <w:sz w:val="20"/>
                <w:szCs w:val="20"/>
              </w:rPr>
            </w:pPr>
            <w:r w:rsidRPr="000C4180">
              <w:rPr>
                <w:color w:val="000000"/>
                <w:sz w:val="20"/>
                <w:szCs w:val="20"/>
              </w:rPr>
              <w:t>1377.4</w:t>
            </w:r>
          </w:p>
        </w:tc>
        <w:tc>
          <w:tcPr>
            <w:tcW w:w="914" w:type="dxa"/>
            <w:gridSpan w:val="2"/>
            <w:noWrap/>
            <w:vAlign w:val="bottom"/>
            <w:hideMark/>
          </w:tcPr>
          <w:p w14:paraId="6A93F240"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shd w:val="clear" w:color="auto" w:fill="auto"/>
            <w:noWrap/>
            <w:vAlign w:val="bottom"/>
          </w:tcPr>
          <w:p w14:paraId="48C1619C" w14:textId="77777777" w:rsidR="005A2F54" w:rsidRPr="000C4180" w:rsidRDefault="005A2F54" w:rsidP="00712BCD">
            <w:pPr>
              <w:jc w:val="right"/>
              <w:rPr>
                <w:color w:val="000000"/>
                <w:sz w:val="20"/>
                <w:szCs w:val="20"/>
              </w:rPr>
            </w:pPr>
            <w:r w:rsidRPr="000C4180">
              <w:rPr>
                <w:color w:val="000000"/>
                <w:sz w:val="20"/>
                <w:szCs w:val="20"/>
              </w:rPr>
              <w:t>Balance</w:t>
            </w:r>
          </w:p>
        </w:tc>
        <w:tc>
          <w:tcPr>
            <w:tcW w:w="1594" w:type="dxa"/>
            <w:vAlign w:val="bottom"/>
          </w:tcPr>
          <w:p w14:paraId="3DCA67C7" w14:textId="77777777" w:rsidR="005A2F54" w:rsidRPr="000C4180" w:rsidRDefault="005A2F54" w:rsidP="00712BCD">
            <w:pPr>
              <w:jc w:val="right"/>
              <w:rPr>
                <w:color w:val="000000"/>
                <w:sz w:val="20"/>
                <w:szCs w:val="20"/>
              </w:rPr>
            </w:pPr>
            <w:r w:rsidRPr="000C4180">
              <w:rPr>
                <w:color w:val="000000"/>
                <w:sz w:val="20"/>
                <w:szCs w:val="20"/>
              </w:rPr>
              <w:t>0.0</w:t>
            </w:r>
          </w:p>
        </w:tc>
      </w:tr>
      <w:tr w:rsidR="005A2F54" w:rsidRPr="000C4180" w14:paraId="28DF1E94" w14:textId="77777777" w:rsidTr="00712BCD">
        <w:trPr>
          <w:trHeight w:val="157"/>
        </w:trPr>
        <w:tc>
          <w:tcPr>
            <w:tcW w:w="9661" w:type="dxa"/>
            <w:gridSpan w:val="13"/>
            <w:noWrap/>
            <w:vAlign w:val="bottom"/>
          </w:tcPr>
          <w:p w14:paraId="18023CB1" w14:textId="77777777" w:rsidR="005A2F54" w:rsidRPr="000C4180" w:rsidRDefault="005A2F54" w:rsidP="00712BCD">
            <w:pPr>
              <w:jc w:val="center"/>
              <w:rPr>
                <w:b/>
                <w:color w:val="000000"/>
                <w:sz w:val="20"/>
                <w:szCs w:val="20"/>
              </w:rPr>
            </w:pPr>
            <w:r w:rsidRPr="000C4180">
              <w:rPr>
                <w:b/>
                <w:color w:val="000000"/>
                <w:sz w:val="20"/>
                <w:szCs w:val="20"/>
              </w:rPr>
              <w:t>CAS at IRR = 7.8% (IRR under MCAS)</w:t>
            </w:r>
          </w:p>
        </w:tc>
      </w:tr>
      <w:tr w:rsidR="005A2F54" w:rsidRPr="000C4180" w14:paraId="6A796DA8" w14:textId="77777777" w:rsidTr="00712BCD">
        <w:trPr>
          <w:trHeight w:val="157"/>
        </w:trPr>
        <w:tc>
          <w:tcPr>
            <w:tcW w:w="2373" w:type="dxa"/>
            <w:gridSpan w:val="3"/>
            <w:noWrap/>
            <w:vAlign w:val="bottom"/>
          </w:tcPr>
          <w:p w14:paraId="12A4EA29"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noWrap/>
            <w:vAlign w:val="bottom"/>
          </w:tcPr>
          <w:p w14:paraId="5BB7EAEE" w14:textId="77777777" w:rsidR="005A2F54" w:rsidRPr="000C4180" w:rsidRDefault="005A2F54" w:rsidP="00712BCD">
            <w:pPr>
              <w:jc w:val="right"/>
              <w:rPr>
                <w:color w:val="000000"/>
                <w:sz w:val="20"/>
                <w:szCs w:val="20"/>
              </w:rPr>
            </w:pPr>
            <w:r w:rsidRPr="000C4180">
              <w:rPr>
                <w:color w:val="000000"/>
                <w:sz w:val="20"/>
                <w:szCs w:val="20"/>
              </w:rPr>
              <w:t>-1000</w:t>
            </w:r>
          </w:p>
        </w:tc>
        <w:tc>
          <w:tcPr>
            <w:tcW w:w="1243" w:type="dxa"/>
            <w:gridSpan w:val="2"/>
            <w:shd w:val="clear" w:color="auto" w:fill="auto"/>
            <w:noWrap/>
            <w:vAlign w:val="bottom"/>
          </w:tcPr>
          <w:p w14:paraId="39BC839A" w14:textId="77777777" w:rsidR="005A2F54" w:rsidRPr="000C4180" w:rsidRDefault="005A2F54" w:rsidP="00712BCD">
            <w:pPr>
              <w:jc w:val="right"/>
              <w:rPr>
                <w:color w:val="000000"/>
                <w:sz w:val="20"/>
                <w:szCs w:val="20"/>
              </w:rPr>
            </w:pPr>
            <w:r w:rsidRPr="000C4180">
              <w:rPr>
                <w:color w:val="000000"/>
                <w:sz w:val="20"/>
                <w:szCs w:val="20"/>
              </w:rPr>
              <w:t>-278.2</w:t>
            </w:r>
          </w:p>
        </w:tc>
        <w:tc>
          <w:tcPr>
            <w:tcW w:w="1055" w:type="dxa"/>
            <w:gridSpan w:val="2"/>
            <w:shd w:val="clear" w:color="auto" w:fill="auto"/>
            <w:noWrap/>
            <w:vAlign w:val="bottom"/>
          </w:tcPr>
          <w:p w14:paraId="10118E4E" w14:textId="77777777" w:rsidR="005A2F54" w:rsidRPr="000C4180" w:rsidRDefault="005A2F54" w:rsidP="00712BCD">
            <w:pPr>
              <w:jc w:val="right"/>
              <w:rPr>
                <w:color w:val="000000"/>
                <w:sz w:val="20"/>
                <w:szCs w:val="20"/>
              </w:rPr>
            </w:pPr>
            <w:r w:rsidRPr="000C4180">
              <w:rPr>
                <w:color w:val="000000"/>
                <w:sz w:val="20"/>
                <w:szCs w:val="20"/>
              </w:rPr>
              <w:t>700.0</w:t>
            </w:r>
          </w:p>
        </w:tc>
        <w:tc>
          <w:tcPr>
            <w:tcW w:w="914" w:type="dxa"/>
            <w:gridSpan w:val="2"/>
            <w:shd w:val="clear" w:color="auto" w:fill="auto"/>
            <w:noWrap/>
            <w:vAlign w:val="bottom"/>
          </w:tcPr>
          <w:p w14:paraId="0C8CF445" w14:textId="77777777" w:rsidR="005A2F54" w:rsidRPr="000C4180" w:rsidRDefault="005A2F54" w:rsidP="00712BCD">
            <w:pPr>
              <w:jc w:val="right"/>
              <w:rPr>
                <w:color w:val="000000"/>
                <w:sz w:val="20"/>
                <w:szCs w:val="20"/>
              </w:rPr>
            </w:pPr>
            <w:r w:rsidRPr="000C4180">
              <w:rPr>
                <w:color w:val="000000"/>
                <w:sz w:val="20"/>
                <w:szCs w:val="20"/>
              </w:rPr>
              <w:t>2054.8</w:t>
            </w:r>
          </w:p>
        </w:tc>
        <w:tc>
          <w:tcPr>
            <w:tcW w:w="1189" w:type="dxa"/>
            <w:noWrap/>
            <w:vAlign w:val="bottom"/>
          </w:tcPr>
          <w:p w14:paraId="1683BBCF"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shd w:val="clear" w:color="auto" w:fill="auto"/>
            <w:vAlign w:val="bottom"/>
          </w:tcPr>
          <w:p w14:paraId="56C8A547" w14:textId="77777777" w:rsidR="005A2F54" w:rsidRPr="000C4180" w:rsidRDefault="005A2F54" w:rsidP="00712BCD">
            <w:pPr>
              <w:jc w:val="right"/>
              <w:rPr>
                <w:color w:val="000000"/>
                <w:sz w:val="20"/>
                <w:szCs w:val="20"/>
              </w:rPr>
            </w:pPr>
            <w:r w:rsidRPr="000C4180">
              <w:rPr>
                <w:color w:val="000000"/>
                <w:sz w:val="20"/>
                <w:szCs w:val="20"/>
              </w:rPr>
              <w:t>-1000.0</w:t>
            </w:r>
          </w:p>
        </w:tc>
      </w:tr>
      <w:tr w:rsidR="005A2F54" w:rsidRPr="000C4180" w14:paraId="315C5CF0" w14:textId="77777777" w:rsidTr="00712BCD">
        <w:trPr>
          <w:trHeight w:val="157"/>
        </w:trPr>
        <w:tc>
          <w:tcPr>
            <w:tcW w:w="2373" w:type="dxa"/>
            <w:gridSpan w:val="3"/>
            <w:noWrap/>
            <w:vAlign w:val="bottom"/>
          </w:tcPr>
          <w:p w14:paraId="4F70B034" w14:textId="77777777" w:rsidR="005A2F54" w:rsidRPr="000C4180" w:rsidRDefault="005A2F54" w:rsidP="00712BCD">
            <w:pPr>
              <w:rPr>
                <w:color w:val="000000"/>
                <w:sz w:val="20"/>
                <w:szCs w:val="20"/>
              </w:rPr>
            </w:pPr>
            <w:r w:rsidRPr="000C4180">
              <w:rPr>
                <w:color w:val="000000"/>
                <w:sz w:val="20"/>
                <w:szCs w:val="20"/>
              </w:rPr>
              <w:t>Interest / Return at 7.8%</w:t>
            </w:r>
          </w:p>
        </w:tc>
        <w:tc>
          <w:tcPr>
            <w:tcW w:w="1293" w:type="dxa"/>
            <w:gridSpan w:val="2"/>
            <w:noWrap/>
            <w:vAlign w:val="bottom"/>
          </w:tcPr>
          <w:p w14:paraId="3124A37E" w14:textId="77777777" w:rsidR="005A2F54" w:rsidRPr="000C4180" w:rsidRDefault="005A2F54" w:rsidP="00712BCD">
            <w:pPr>
              <w:jc w:val="right"/>
              <w:rPr>
                <w:color w:val="000000"/>
                <w:sz w:val="20"/>
                <w:szCs w:val="20"/>
              </w:rPr>
            </w:pPr>
            <w:r w:rsidRPr="000C4180">
              <w:rPr>
                <w:color w:val="000000"/>
                <w:sz w:val="20"/>
                <w:szCs w:val="20"/>
              </w:rPr>
              <w:t>-78.2</w:t>
            </w:r>
          </w:p>
        </w:tc>
        <w:tc>
          <w:tcPr>
            <w:tcW w:w="1243" w:type="dxa"/>
            <w:gridSpan w:val="2"/>
            <w:shd w:val="clear" w:color="auto" w:fill="auto"/>
            <w:noWrap/>
            <w:vAlign w:val="bottom"/>
          </w:tcPr>
          <w:p w14:paraId="65A0E220" w14:textId="77777777" w:rsidR="005A2F54" w:rsidRPr="000C4180" w:rsidRDefault="005A2F54" w:rsidP="00712BCD">
            <w:pPr>
              <w:jc w:val="right"/>
              <w:rPr>
                <w:color w:val="000000"/>
                <w:sz w:val="20"/>
                <w:szCs w:val="20"/>
              </w:rPr>
            </w:pPr>
            <w:r w:rsidRPr="000C4180">
              <w:rPr>
                <w:color w:val="000000"/>
                <w:sz w:val="20"/>
                <w:szCs w:val="20"/>
              </w:rPr>
              <w:t>-21.8</w:t>
            </w:r>
          </w:p>
        </w:tc>
        <w:tc>
          <w:tcPr>
            <w:tcW w:w="1055" w:type="dxa"/>
            <w:gridSpan w:val="2"/>
            <w:shd w:val="clear" w:color="auto" w:fill="auto"/>
            <w:noWrap/>
            <w:vAlign w:val="bottom"/>
          </w:tcPr>
          <w:p w14:paraId="680FDF28" w14:textId="77777777" w:rsidR="005A2F54" w:rsidRPr="000C4180" w:rsidRDefault="005A2F54" w:rsidP="00712BCD">
            <w:pPr>
              <w:jc w:val="right"/>
              <w:rPr>
                <w:color w:val="000000"/>
                <w:sz w:val="20"/>
                <w:szCs w:val="20"/>
              </w:rPr>
            </w:pPr>
            <w:r w:rsidRPr="000C4180">
              <w:rPr>
                <w:color w:val="000000"/>
                <w:sz w:val="20"/>
                <w:szCs w:val="20"/>
              </w:rPr>
              <w:t>54.7</w:t>
            </w:r>
          </w:p>
        </w:tc>
        <w:tc>
          <w:tcPr>
            <w:tcW w:w="914" w:type="dxa"/>
            <w:gridSpan w:val="2"/>
            <w:shd w:val="clear" w:color="auto" w:fill="auto"/>
            <w:noWrap/>
            <w:vAlign w:val="bottom"/>
          </w:tcPr>
          <w:p w14:paraId="43F0F333" w14:textId="77777777" w:rsidR="005A2F54" w:rsidRPr="000C4180" w:rsidRDefault="005A2F54" w:rsidP="00712BCD">
            <w:pPr>
              <w:jc w:val="right"/>
              <w:rPr>
                <w:color w:val="000000"/>
                <w:sz w:val="20"/>
                <w:szCs w:val="20"/>
              </w:rPr>
            </w:pPr>
            <w:r w:rsidRPr="000C4180">
              <w:rPr>
                <w:color w:val="000000"/>
                <w:sz w:val="20"/>
                <w:szCs w:val="20"/>
              </w:rPr>
              <w:t>160.7</w:t>
            </w:r>
          </w:p>
        </w:tc>
        <w:tc>
          <w:tcPr>
            <w:tcW w:w="1189" w:type="dxa"/>
            <w:noWrap/>
            <w:vAlign w:val="bottom"/>
          </w:tcPr>
          <w:p w14:paraId="0DAEB410" w14:textId="77777777" w:rsidR="005A2F54" w:rsidRPr="000C4180" w:rsidRDefault="005A2F54" w:rsidP="00712BCD">
            <w:pPr>
              <w:jc w:val="right"/>
              <w:rPr>
                <w:color w:val="000000"/>
                <w:sz w:val="20"/>
                <w:szCs w:val="20"/>
              </w:rPr>
            </w:pPr>
            <w:r w:rsidRPr="000C4180">
              <w:rPr>
                <w:color w:val="000000"/>
                <w:sz w:val="20"/>
                <w:szCs w:val="20"/>
              </w:rPr>
              <w:t>ROIC</w:t>
            </w:r>
          </w:p>
        </w:tc>
        <w:tc>
          <w:tcPr>
            <w:tcW w:w="1594" w:type="dxa"/>
            <w:shd w:val="clear" w:color="auto" w:fill="auto"/>
            <w:vAlign w:val="bottom"/>
          </w:tcPr>
          <w:p w14:paraId="023E76B3" w14:textId="77777777" w:rsidR="005A2F54" w:rsidRPr="000C4180" w:rsidRDefault="005A2F54" w:rsidP="00712BCD">
            <w:pPr>
              <w:jc w:val="right"/>
              <w:rPr>
                <w:color w:val="000000"/>
                <w:sz w:val="20"/>
                <w:szCs w:val="20"/>
              </w:rPr>
            </w:pPr>
            <w:r w:rsidRPr="000C4180">
              <w:rPr>
                <w:color w:val="000000"/>
                <w:sz w:val="20"/>
                <w:szCs w:val="20"/>
              </w:rPr>
              <w:t>115.5</w:t>
            </w:r>
          </w:p>
        </w:tc>
      </w:tr>
      <w:tr w:rsidR="005A2F54" w:rsidRPr="000C4180" w14:paraId="7B07978A" w14:textId="77777777" w:rsidTr="00712BCD">
        <w:trPr>
          <w:trHeight w:val="157"/>
        </w:trPr>
        <w:tc>
          <w:tcPr>
            <w:tcW w:w="2373" w:type="dxa"/>
            <w:gridSpan w:val="3"/>
            <w:noWrap/>
            <w:vAlign w:val="bottom"/>
          </w:tcPr>
          <w:p w14:paraId="3F66279A"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tcPr>
          <w:p w14:paraId="4D0A0334"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noWrap/>
            <w:vAlign w:val="bottom"/>
          </w:tcPr>
          <w:p w14:paraId="1429CDF1"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noWrap/>
            <w:vAlign w:val="bottom"/>
          </w:tcPr>
          <w:p w14:paraId="22CE472E"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noWrap/>
            <w:vAlign w:val="bottom"/>
          </w:tcPr>
          <w:p w14:paraId="5E8D8521"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76391F86" w14:textId="77777777" w:rsidR="005A2F54" w:rsidRPr="000C4180" w:rsidRDefault="005A2F54" w:rsidP="00712BCD">
            <w:pPr>
              <w:jc w:val="right"/>
              <w:rPr>
                <w:color w:val="000000"/>
                <w:sz w:val="20"/>
                <w:szCs w:val="20"/>
              </w:rPr>
            </w:pPr>
            <w:r w:rsidRPr="000C4180">
              <w:rPr>
                <w:color w:val="000000"/>
                <w:sz w:val="20"/>
                <w:szCs w:val="20"/>
              </w:rPr>
              <w:t>Income</w:t>
            </w:r>
          </w:p>
        </w:tc>
        <w:tc>
          <w:tcPr>
            <w:tcW w:w="1594" w:type="dxa"/>
            <w:shd w:val="clear" w:color="auto" w:fill="auto"/>
            <w:vAlign w:val="bottom"/>
          </w:tcPr>
          <w:p w14:paraId="087B3E09"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2CCF6CD3" w14:textId="77777777" w:rsidTr="00712BCD">
        <w:trPr>
          <w:trHeight w:val="157"/>
        </w:trPr>
        <w:tc>
          <w:tcPr>
            <w:tcW w:w="2373" w:type="dxa"/>
            <w:gridSpan w:val="3"/>
            <w:noWrap/>
            <w:vAlign w:val="bottom"/>
          </w:tcPr>
          <w:p w14:paraId="6D4D72C7" w14:textId="77777777" w:rsidR="005A2F54" w:rsidRPr="000C4180" w:rsidRDefault="005A2F54" w:rsidP="00712BCD">
            <w:pPr>
              <w:rPr>
                <w:color w:val="000000"/>
                <w:sz w:val="20"/>
                <w:szCs w:val="20"/>
              </w:rPr>
            </w:pPr>
            <w:r w:rsidRPr="000C4180">
              <w:rPr>
                <w:color w:val="000000"/>
                <w:sz w:val="20"/>
                <w:szCs w:val="20"/>
              </w:rPr>
              <w:lastRenderedPageBreak/>
              <w:t>Closing Balance</w:t>
            </w:r>
          </w:p>
        </w:tc>
        <w:tc>
          <w:tcPr>
            <w:tcW w:w="1293" w:type="dxa"/>
            <w:gridSpan w:val="2"/>
            <w:noWrap/>
            <w:vAlign w:val="bottom"/>
          </w:tcPr>
          <w:p w14:paraId="4F3940FE" w14:textId="77777777" w:rsidR="005A2F54" w:rsidRPr="000C4180" w:rsidRDefault="005A2F54" w:rsidP="00712BCD">
            <w:pPr>
              <w:jc w:val="right"/>
              <w:rPr>
                <w:color w:val="000000"/>
                <w:sz w:val="20"/>
                <w:szCs w:val="20"/>
              </w:rPr>
            </w:pPr>
            <w:r w:rsidRPr="000C4180">
              <w:rPr>
                <w:color w:val="000000"/>
                <w:sz w:val="20"/>
                <w:szCs w:val="20"/>
              </w:rPr>
              <w:t>-278.2</w:t>
            </w:r>
          </w:p>
        </w:tc>
        <w:tc>
          <w:tcPr>
            <w:tcW w:w="1243" w:type="dxa"/>
            <w:gridSpan w:val="2"/>
            <w:shd w:val="clear" w:color="auto" w:fill="auto"/>
            <w:noWrap/>
            <w:vAlign w:val="bottom"/>
          </w:tcPr>
          <w:p w14:paraId="627F1E1F" w14:textId="77777777" w:rsidR="005A2F54" w:rsidRPr="000C4180" w:rsidRDefault="005A2F54" w:rsidP="00712BCD">
            <w:pPr>
              <w:jc w:val="right"/>
              <w:rPr>
                <w:color w:val="000000"/>
                <w:sz w:val="20"/>
                <w:szCs w:val="20"/>
              </w:rPr>
            </w:pPr>
            <w:r w:rsidRPr="000C4180">
              <w:rPr>
                <w:color w:val="000000"/>
                <w:sz w:val="20"/>
                <w:szCs w:val="20"/>
              </w:rPr>
              <w:t>700.0</w:t>
            </w:r>
          </w:p>
        </w:tc>
        <w:tc>
          <w:tcPr>
            <w:tcW w:w="1055" w:type="dxa"/>
            <w:gridSpan w:val="2"/>
            <w:shd w:val="clear" w:color="auto" w:fill="auto"/>
            <w:noWrap/>
            <w:vAlign w:val="bottom"/>
          </w:tcPr>
          <w:p w14:paraId="41B380E6" w14:textId="77777777" w:rsidR="005A2F54" w:rsidRPr="000C4180" w:rsidRDefault="005A2F54" w:rsidP="00712BCD">
            <w:pPr>
              <w:jc w:val="right"/>
              <w:rPr>
                <w:color w:val="000000"/>
                <w:sz w:val="20"/>
                <w:szCs w:val="20"/>
              </w:rPr>
            </w:pPr>
            <w:r w:rsidRPr="000C4180">
              <w:rPr>
                <w:color w:val="000000"/>
                <w:sz w:val="20"/>
                <w:szCs w:val="20"/>
              </w:rPr>
              <w:t>2054.8</w:t>
            </w:r>
          </w:p>
        </w:tc>
        <w:tc>
          <w:tcPr>
            <w:tcW w:w="914" w:type="dxa"/>
            <w:gridSpan w:val="2"/>
            <w:shd w:val="clear" w:color="auto" w:fill="auto"/>
            <w:noWrap/>
            <w:vAlign w:val="bottom"/>
          </w:tcPr>
          <w:p w14:paraId="1E64D824" w14:textId="77777777" w:rsidR="005A2F54" w:rsidRPr="000C4180" w:rsidRDefault="005A2F54" w:rsidP="00712BCD">
            <w:pPr>
              <w:jc w:val="right"/>
              <w:rPr>
                <w:color w:val="000000"/>
                <w:sz w:val="20"/>
                <w:szCs w:val="20"/>
              </w:rPr>
            </w:pPr>
            <w:r w:rsidRPr="000C4180">
              <w:rPr>
                <w:color w:val="000000"/>
                <w:sz w:val="20"/>
                <w:szCs w:val="20"/>
              </w:rPr>
              <w:t>215.5</w:t>
            </w:r>
          </w:p>
        </w:tc>
        <w:tc>
          <w:tcPr>
            <w:tcW w:w="1189" w:type="dxa"/>
            <w:shd w:val="clear" w:color="auto" w:fill="auto"/>
            <w:noWrap/>
            <w:vAlign w:val="bottom"/>
          </w:tcPr>
          <w:p w14:paraId="1DC495BA" w14:textId="77777777" w:rsidR="005A2F54" w:rsidRPr="000C4180" w:rsidRDefault="005A2F54" w:rsidP="00712BCD">
            <w:pPr>
              <w:jc w:val="right"/>
              <w:rPr>
                <w:color w:val="000000"/>
                <w:sz w:val="20"/>
                <w:szCs w:val="20"/>
              </w:rPr>
            </w:pPr>
            <w:r w:rsidRPr="000C4180">
              <w:rPr>
                <w:color w:val="000000"/>
                <w:sz w:val="20"/>
                <w:szCs w:val="20"/>
              </w:rPr>
              <w:t>Balance</w:t>
            </w:r>
          </w:p>
        </w:tc>
        <w:tc>
          <w:tcPr>
            <w:tcW w:w="1594" w:type="dxa"/>
            <w:shd w:val="clear" w:color="auto" w:fill="auto"/>
            <w:vAlign w:val="bottom"/>
          </w:tcPr>
          <w:p w14:paraId="19B0C056" w14:textId="77777777" w:rsidR="005A2F54" w:rsidRPr="000C4180" w:rsidRDefault="005A2F54" w:rsidP="00712BCD">
            <w:pPr>
              <w:jc w:val="right"/>
              <w:rPr>
                <w:color w:val="000000"/>
                <w:sz w:val="20"/>
                <w:szCs w:val="20"/>
              </w:rPr>
            </w:pPr>
            <w:r w:rsidRPr="000C4180">
              <w:rPr>
                <w:color w:val="000000"/>
                <w:sz w:val="20"/>
                <w:szCs w:val="20"/>
              </w:rPr>
              <w:t>215.5</w:t>
            </w:r>
          </w:p>
        </w:tc>
      </w:tr>
      <w:tr w:rsidR="005A2F54" w:rsidRPr="000C4180" w14:paraId="76118116" w14:textId="77777777" w:rsidTr="00712BCD">
        <w:trPr>
          <w:trHeight w:val="265"/>
        </w:trPr>
        <w:tc>
          <w:tcPr>
            <w:tcW w:w="9661" w:type="dxa"/>
            <w:gridSpan w:val="13"/>
            <w:noWrap/>
            <w:vAlign w:val="bottom"/>
            <w:hideMark/>
          </w:tcPr>
          <w:p w14:paraId="2C8E9C5E" w14:textId="77777777" w:rsidR="005A2F54" w:rsidRPr="000C4180" w:rsidRDefault="005A2F54" w:rsidP="00712BCD">
            <w:pPr>
              <w:jc w:val="center"/>
              <w:rPr>
                <w:color w:val="000000"/>
                <w:sz w:val="20"/>
                <w:szCs w:val="20"/>
              </w:rPr>
            </w:pPr>
            <w:r w:rsidRPr="000C4180">
              <w:rPr>
                <w:b/>
                <w:color w:val="000000"/>
                <w:sz w:val="20"/>
                <w:szCs w:val="20"/>
              </w:rPr>
              <w:t>Modified CAS (MCAS) Method for the NNCF</w:t>
            </w:r>
            <w:r w:rsidRPr="000C4180">
              <w:rPr>
                <w:color w:val="000000"/>
                <w:sz w:val="20"/>
                <w:szCs w:val="20"/>
              </w:rPr>
              <w:t xml:space="preserve"> </w:t>
            </w:r>
          </w:p>
        </w:tc>
      </w:tr>
      <w:tr w:rsidR="005A2F54" w:rsidRPr="000C4180" w14:paraId="37D650D9" w14:textId="77777777" w:rsidTr="00712BCD">
        <w:trPr>
          <w:trHeight w:val="157"/>
        </w:trPr>
        <w:tc>
          <w:tcPr>
            <w:tcW w:w="9661" w:type="dxa"/>
            <w:gridSpan w:val="13"/>
            <w:shd w:val="clear" w:color="auto" w:fill="auto"/>
            <w:noWrap/>
            <w:vAlign w:val="bottom"/>
          </w:tcPr>
          <w:p w14:paraId="18921903" w14:textId="77777777" w:rsidR="005A2F54" w:rsidRPr="000C4180" w:rsidRDefault="005A2F54" w:rsidP="00712BCD">
            <w:pPr>
              <w:jc w:val="center"/>
              <w:rPr>
                <w:color w:val="000000"/>
                <w:sz w:val="20"/>
                <w:szCs w:val="20"/>
              </w:rPr>
            </w:pPr>
            <w:r w:rsidRPr="000C4180">
              <w:rPr>
                <w:b/>
                <w:color w:val="000000"/>
                <w:sz w:val="20"/>
                <w:szCs w:val="20"/>
              </w:rPr>
              <w:t>MCAS at IRR = 7.8%</w:t>
            </w:r>
          </w:p>
        </w:tc>
      </w:tr>
      <w:tr w:rsidR="005A2F54" w:rsidRPr="000C4180" w14:paraId="19808CAA" w14:textId="77777777" w:rsidTr="00712BCD">
        <w:trPr>
          <w:trHeight w:val="157"/>
        </w:trPr>
        <w:tc>
          <w:tcPr>
            <w:tcW w:w="2373" w:type="dxa"/>
            <w:gridSpan w:val="3"/>
            <w:shd w:val="clear" w:color="auto" w:fill="auto"/>
            <w:noWrap/>
            <w:vAlign w:val="bottom"/>
            <w:hideMark/>
          </w:tcPr>
          <w:p w14:paraId="33E8569F"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shd w:val="clear" w:color="auto" w:fill="auto"/>
            <w:noWrap/>
            <w:vAlign w:val="bottom"/>
            <w:hideMark/>
          </w:tcPr>
          <w:p w14:paraId="734FD7AB" w14:textId="77777777" w:rsidR="005A2F54" w:rsidRPr="000C4180" w:rsidRDefault="005A2F54" w:rsidP="00712BCD">
            <w:pPr>
              <w:jc w:val="right"/>
              <w:rPr>
                <w:color w:val="000000"/>
                <w:sz w:val="20"/>
                <w:szCs w:val="20"/>
              </w:rPr>
            </w:pPr>
            <w:r w:rsidRPr="000C4180">
              <w:rPr>
                <w:color w:val="000000"/>
                <w:sz w:val="20"/>
                <w:szCs w:val="20"/>
              </w:rPr>
              <w:t>-1000.0</w:t>
            </w:r>
          </w:p>
        </w:tc>
        <w:tc>
          <w:tcPr>
            <w:tcW w:w="1243" w:type="dxa"/>
            <w:gridSpan w:val="2"/>
            <w:noWrap/>
            <w:vAlign w:val="bottom"/>
            <w:hideMark/>
          </w:tcPr>
          <w:p w14:paraId="5911A704" w14:textId="77777777" w:rsidR="005A2F54" w:rsidRPr="000C4180" w:rsidRDefault="005A2F54" w:rsidP="00712BCD">
            <w:pPr>
              <w:jc w:val="right"/>
              <w:rPr>
                <w:color w:val="000000"/>
                <w:sz w:val="20"/>
                <w:szCs w:val="20"/>
              </w:rPr>
            </w:pPr>
            <w:r w:rsidRPr="000C4180">
              <w:rPr>
                <w:color w:val="000000"/>
                <w:sz w:val="20"/>
                <w:szCs w:val="20"/>
              </w:rPr>
              <w:t>-278.2</w:t>
            </w:r>
          </w:p>
        </w:tc>
        <w:tc>
          <w:tcPr>
            <w:tcW w:w="1055" w:type="dxa"/>
            <w:gridSpan w:val="2"/>
            <w:noWrap/>
            <w:vAlign w:val="bottom"/>
            <w:hideMark/>
          </w:tcPr>
          <w:p w14:paraId="154133E0" w14:textId="77777777" w:rsidR="005A2F54" w:rsidRPr="000C4180" w:rsidRDefault="005A2F54" w:rsidP="00712BCD">
            <w:pPr>
              <w:jc w:val="right"/>
              <w:rPr>
                <w:color w:val="000000"/>
                <w:sz w:val="20"/>
                <w:szCs w:val="20"/>
              </w:rPr>
            </w:pPr>
            <w:r w:rsidRPr="000C4180">
              <w:rPr>
                <w:color w:val="000000"/>
                <w:sz w:val="20"/>
                <w:szCs w:val="20"/>
              </w:rPr>
              <w:t>700.0</w:t>
            </w:r>
          </w:p>
        </w:tc>
        <w:tc>
          <w:tcPr>
            <w:tcW w:w="914" w:type="dxa"/>
            <w:gridSpan w:val="2"/>
            <w:noWrap/>
            <w:vAlign w:val="bottom"/>
            <w:hideMark/>
          </w:tcPr>
          <w:p w14:paraId="016FCFAD"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397ED546"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vAlign w:val="bottom"/>
          </w:tcPr>
          <w:p w14:paraId="51C8A576" w14:textId="77777777" w:rsidR="005A2F54" w:rsidRPr="000C4180" w:rsidRDefault="005A2F54" w:rsidP="00712BCD">
            <w:pPr>
              <w:jc w:val="right"/>
              <w:rPr>
                <w:color w:val="000000"/>
                <w:sz w:val="20"/>
                <w:szCs w:val="20"/>
              </w:rPr>
            </w:pPr>
            <w:r w:rsidRPr="000C4180">
              <w:rPr>
                <w:color w:val="000000"/>
                <w:sz w:val="20"/>
                <w:szCs w:val="20"/>
              </w:rPr>
              <w:t>-1000.0</w:t>
            </w:r>
          </w:p>
        </w:tc>
      </w:tr>
      <w:tr w:rsidR="005A2F54" w:rsidRPr="000C4180" w14:paraId="3E10A7EC" w14:textId="77777777" w:rsidTr="00712BCD">
        <w:trPr>
          <w:trHeight w:val="157"/>
        </w:trPr>
        <w:tc>
          <w:tcPr>
            <w:tcW w:w="2373" w:type="dxa"/>
            <w:gridSpan w:val="3"/>
            <w:shd w:val="clear" w:color="auto" w:fill="auto"/>
            <w:noWrap/>
            <w:vAlign w:val="bottom"/>
            <w:hideMark/>
          </w:tcPr>
          <w:p w14:paraId="73A125B4" w14:textId="77777777" w:rsidR="005A2F54" w:rsidRPr="000C4180" w:rsidRDefault="005A2F54" w:rsidP="00712BCD">
            <w:pPr>
              <w:rPr>
                <w:color w:val="000000"/>
                <w:sz w:val="20"/>
                <w:szCs w:val="20"/>
              </w:rPr>
            </w:pPr>
            <w:r w:rsidRPr="000C4180">
              <w:rPr>
                <w:color w:val="000000"/>
                <w:sz w:val="20"/>
                <w:szCs w:val="20"/>
              </w:rPr>
              <w:t>Interest/ Return at 7.8%</w:t>
            </w:r>
          </w:p>
        </w:tc>
        <w:tc>
          <w:tcPr>
            <w:tcW w:w="1293" w:type="dxa"/>
            <w:gridSpan w:val="2"/>
            <w:shd w:val="clear" w:color="auto" w:fill="auto"/>
            <w:noWrap/>
            <w:vAlign w:val="bottom"/>
            <w:hideMark/>
          </w:tcPr>
          <w:p w14:paraId="08306354" w14:textId="77777777" w:rsidR="005A2F54" w:rsidRPr="000C4180" w:rsidRDefault="005A2F54" w:rsidP="00712BCD">
            <w:pPr>
              <w:jc w:val="right"/>
              <w:rPr>
                <w:color w:val="000000"/>
                <w:sz w:val="20"/>
                <w:szCs w:val="20"/>
              </w:rPr>
            </w:pPr>
            <w:r w:rsidRPr="000C4180">
              <w:rPr>
                <w:color w:val="000000"/>
                <w:sz w:val="20"/>
                <w:szCs w:val="20"/>
              </w:rPr>
              <w:t>-78.2</w:t>
            </w:r>
          </w:p>
        </w:tc>
        <w:tc>
          <w:tcPr>
            <w:tcW w:w="1243" w:type="dxa"/>
            <w:gridSpan w:val="2"/>
            <w:noWrap/>
            <w:vAlign w:val="bottom"/>
            <w:hideMark/>
          </w:tcPr>
          <w:p w14:paraId="435F4796" w14:textId="77777777" w:rsidR="005A2F54" w:rsidRPr="000C4180" w:rsidRDefault="005A2F54" w:rsidP="00712BCD">
            <w:pPr>
              <w:jc w:val="right"/>
              <w:rPr>
                <w:color w:val="000000"/>
                <w:sz w:val="20"/>
                <w:szCs w:val="20"/>
              </w:rPr>
            </w:pPr>
            <w:r w:rsidRPr="000C4180">
              <w:rPr>
                <w:color w:val="000000"/>
                <w:sz w:val="20"/>
                <w:szCs w:val="20"/>
              </w:rPr>
              <w:t>-21.8</w:t>
            </w:r>
          </w:p>
        </w:tc>
        <w:tc>
          <w:tcPr>
            <w:tcW w:w="1055" w:type="dxa"/>
            <w:gridSpan w:val="2"/>
            <w:noWrap/>
            <w:vAlign w:val="bottom"/>
            <w:hideMark/>
          </w:tcPr>
          <w:p w14:paraId="394A1691" w14:textId="77777777" w:rsidR="005A2F54" w:rsidRPr="000C4180" w:rsidRDefault="005A2F54" w:rsidP="00712BCD">
            <w:pPr>
              <w:jc w:val="right"/>
              <w:rPr>
                <w:color w:val="000000"/>
                <w:sz w:val="20"/>
                <w:szCs w:val="20"/>
              </w:rPr>
            </w:pPr>
            <w:r w:rsidRPr="000C4180">
              <w:rPr>
                <w:color w:val="000000"/>
                <w:sz w:val="20"/>
                <w:szCs w:val="20"/>
              </w:rPr>
              <w:t>0.0</w:t>
            </w:r>
          </w:p>
        </w:tc>
        <w:tc>
          <w:tcPr>
            <w:tcW w:w="914" w:type="dxa"/>
            <w:gridSpan w:val="2"/>
            <w:noWrap/>
            <w:vAlign w:val="bottom"/>
            <w:hideMark/>
          </w:tcPr>
          <w:p w14:paraId="6A5080AE"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noWrap/>
            <w:vAlign w:val="bottom"/>
          </w:tcPr>
          <w:p w14:paraId="2D658268" w14:textId="77777777" w:rsidR="005A2F54" w:rsidRPr="000C4180" w:rsidRDefault="005A2F54" w:rsidP="00712BCD">
            <w:pPr>
              <w:jc w:val="right"/>
              <w:rPr>
                <w:color w:val="000000"/>
                <w:sz w:val="20"/>
                <w:szCs w:val="20"/>
              </w:rPr>
            </w:pPr>
            <w:r w:rsidRPr="000C4180">
              <w:rPr>
                <w:color w:val="000000"/>
                <w:sz w:val="20"/>
                <w:szCs w:val="20"/>
              </w:rPr>
              <w:t>ROIC</w:t>
            </w:r>
          </w:p>
        </w:tc>
        <w:tc>
          <w:tcPr>
            <w:tcW w:w="1594" w:type="dxa"/>
            <w:vAlign w:val="bottom"/>
          </w:tcPr>
          <w:p w14:paraId="2A48988A" w14:textId="77777777" w:rsidR="005A2F54" w:rsidRPr="000C4180" w:rsidRDefault="005A2F54" w:rsidP="00712BCD">
            <w:pPr>
              <w:jc w:val="right"/>
              <w:rPr>
                <w:color w:val="000000"/>
                <w:sz w:val="20"/>
                <w:szCs w:val="20"/>
              </w:rPr>
            </w:pPr>
            <w:r w:rsidRPr="000C4180">
              <w:rPr>
                <w:color w:val="000000"/>
                <w:sz w:val="20"/>
                <w:szCs w:val="20"/>
              </w:rPr>
              <w:t>-100.0</w:t>
            </w:r>
          </w:p>
        </w:tc>
      </w:tr>
      <w:tr w:rsidR="005A2F54" w:rsidRPr="000C4180" w14:paraId="70A272EB" w14:textId="77777777" w:rsidTr="00712BCD">
        <w:trPr>
          <w:trHeight w:val="157"/>
        </w:trPr>
        <w:tc>
          <w:tcPr>
            <w:tcW w:w="2373" w:type="dxa"/>
            <w:gridSpan w:val="3"/>
            <w:noWrap/>
            <w:vAlign w:val="bottom"/>
            <w:hideMark/>
          </w:tcPr>
          <w:p w14:paraId="2006CEA5"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hideMark/>
          </w:tcPr>
          <w:p w14:paraId="4032557A"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noWrap/>
            <w:vAlign w:val="bottom"/>
            <w:hideMark/>
          </w:tcPr>
          <w:p w14:paraId="6605F260"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noWrap/>
            <w:vAlign w:val="bottom"/>
            <w:hideMark/>
          </w:tcPr>
          <w:p w14:paraId="0D302A8A"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noWrap/>
            <w:vAlign w:val="bottom"/>
            <w:hideMark/>
          </w:tcPr>
          <w:p w14:paraId="0BDCA58F"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2AC825FC" w14:textId="77777777" w:rsidR="005A2F54" w:rsidRPr="000C4180" w:rsidRDefault="005A2F54" w:rsidP="00712BCD">
            <w:pPr>
              <w:jc w:val="right"/>
              <w:rPr>
                <w:color w:val="000000"/>
                <w:sz w:val="20"/>
                <w:szCs w:val="20"/>
              </w:rPr>
            </w:pPr>
            <w:r w:rsidRPr="000C4180">
              <w:rPr>
                <w:color w:val="000000"/>
                <w:sz w:val="20"/>
                <w:szCs w:val="20"/>
              </w:rPr>
              <w:t>Income</w:t>
            </w:r>
          </w:p>
        </w:tc>
        <w:tc>
          <w:tcPr>
            <w:tcW w:w="1594" w:type="dxa"/>
            <w:vAlign w:val="bottom"/>
          </w:tcPr>
          <w:p w14:paraId="5B65EF84"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2056CF4E" w14:textId="77777777" w:rsidTr="00712BCD">
        <w:trPr>
          <w:trHeight w:val="157"/>
        </w:trPr>
        <w:tc>
          <w:tcPr>
            <w:tcW w:w="2373" w:type="dxa"/>
            <w:gridSpan w:val="3"/>
            <w:noWrap/>
            <w:vAlign w:val="bottom"/>
            <w:hideMark/>
          </w:tcPr>
          <w:p w14:paraId="231F84A7" w14:textId="77777777" w:rsidR="005A2F54" w:rsidRPr="000C4180" w:rsidRDefault="005A2F54" w:rsidP="00712BCD">
            <w:pPr>
              <w:rPr>
                <w:color w:val="000000"/>
                <w:sz w:val="20"/>
                <w:szCs w:val="20"/>
              </w:rPr>
            </w:pPr>
            <w:r w:rsidRPr="000C4180">
              <w:rPr>
                <w:color w:val="000000"/>
                <w:sz w:val="20"/>
                <w:szCs w:val="20"/>
              </w:rPr>
              <w:t>Closing Balance</w:t>
            </w:r>
          </w:p>
        </w:tc>
        <w:tc>
          <w:tcPr>
            <w:tcW w:w="1293" w:type="dxa"/>
            <w:gridSpan w:val="2"/>
            <w:noWrap/>
            <w:vAlign w:val="bottom"/>
            <w:hideMark/>
          </w:tcPr>
          <w:p w14:paraId="0B30C813" w14:textId="77777777" w:rsidR="005A2F54" w:rsidRPr="000C4180" w:rsidRDefault="005A2F54" w:rsidP="00712BCD">
            <w:pPr>
              <w:jc w:val="right"/>
              <w:rPr>
                <w:color w:val="000000"/>
                <w:sz w:val="20"/>
                <w:szCs w:val="20"/>
              </w:rPr>
            </w:pPr>
            <w:r w:rsidRPr="000C4180">
              <w:rPr>
                <w:color w:val="000000"/>
                <w:sz w:val="20"/>
                <w:szCs w:val="20"/>
              </w:rPr>
              <w:t>-278.2</w:t>
            </w:r>
          </w:p>
        </w:tc>
        <w:tc>
          <w:tcPr>
            <w:tcW w:w="1243" w:type="dxa"/>
            <w:gridSpan w:val="2"/>
            <w:noWrap/>
            <w:vAlign w:val="bottom"/>
            <w:hideMark/>
          </w:tcPr>
          <w:p w14:paraId="6978265D" w14:textId="77777777" w:rsidR="005A2F54" w:rsidRPr="000C4180" w:rsidRDefault="005A2F54" w:rsidP="00712BCD">
            <w:pPr>
              <w:jc w:val="right"/>
              <w:rPr>
                <w:color w:val="000000"/>
                <w:sz w:val="20"/>
                <w:szCs w:val="20"/>
              </w:rPr>
            </w:pPr>
            <w:r w:rsidRPr="000C4180">
              <w:rPr>
                <w:color w:val="000000"/>
                <w:sz w:val="20"/>
                <w:szCs w:val="20"/>
              </w:rPr>
              <w:t>700.0</w:t>
            </w:r>
          </w:p>
        </w:tc>
        <w:tc>
          <w:tcPr>
            <w:tcW w:w="1055" w:type="dxa"/>
            <w:gridSpan w:val="2"/>
            <w:noWrap/>
            <w:vAlign w:val="bottom"/>
            <w:hideMark/>
          </w:tcPr>
          <w:p w14:paraId="4164B718" w14:textId="77777777" w:rsidR="005A2F54" w:rsidRPr="000C4180" w:rsidRDefault="005A2F54" w:rsidP="00712BCD">
            <w:pPr>
              <w:jc w:val="right"/>
              <w:rPr>
                <w:color w:val="000000"/>
                <w:sz w:val="20"/>
                <w:szCs w:val="20"/>
              </w:rPr>
            </w:pPr>
            <w:r w:rsidRPr="000C4180">
              <w:rPr>
                <w:color w:val="000000"/>
                <w:sz w:val="20"/>
                <w:szCs w:val="20"/>
              </w:rPr>
              <w:t>2000.0</w:t>
            </w:r>
          </w:p>
        </w:tc>
        <w:tc>
          <w:tcPr>
            <w:tcW w:w="914" w:type="dxa"/>
            <w:gridSpan w:val="2"/>
            <w:noWrap/>
            <w:vAlign w:val="bottom"/>
            <w:hideMark/>
          </w:tcPr>
          <w:p w14:paraId="4FD0F07B"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shd w:val="clear" w:color="auto" w:fill="auto"/>
            <w:noWrap/>
            <w:vAlign w:val="bottom"/>
          </w:tcPr>
          <w:p w14:paraId="1DA67394" w14:textId="77777777" w:rsidR="005A2F54" w:rsidRPr="000C4180" w:rsidRDefault="005A2F54" w:rsidP="00712BCD">
            <w:pPr>
              <w:jc w:val="right"/>
              <w:rPr>
                <w:color w:val="000000"/>
                <w:sz w:val="20"/>
                <w:szCs w:val="20"/>
              </w:rPr>
            </w:pPr>
            <w:r w:rsidRPr="000C4180">
              <w:rPr>
                <w:color w:val="000000"/>
                <w:sz w:val="20"/>
                <w:szCs w:val="20"/>
              </w:rPr>
              <w:t>Balance</w:t>
            </w:r>
          </w:p>
        </w:tc>
        <w:tc>
          <w:tcPr>
            <w:tcW w:w="1594" w:type="dxa"/>
            <w:vAlign w:val="bottom"/>
          </w:tcPr>
          <w:p w14:paraId="15ACC6E4" w14:textId="77777777" w:rsidR="005A2F54" w:rsidRPr="000C4180" w:rsidRDefault="005A2F54" w:rsidP="00712BCD">
            <w:pPr>
              <w:jc w:val="right"/>
              <w:rPr>
                <w:color w:val="000000"/>
                <w:sz w:val="20"/>
                <w:szCs w:val="20"/>
              </w:rPr>
            </w:pPr>
            <w:r w:rsidRPr="000C4180">
              <w:rPr>
                <w:color w:val="000000"/>
                <w:sz w:val="20"/>
                <w:szCs w:val="20"/>
              </w:rPr>
              <w:t>0.0</w:t>
            </w:r>
          </w:p>
        </w:tc>
      </w:tr>
      <w:tr w:rsidR="005A2F54" w:rsidRPr="000C4180" w14:paraId="7E0317BD" w14:textId="77777777" w:rsidTr="00712BCD">
        <w:trPr>
          <w:trHeight w:val="157"/>
        </w:trPr>
        <w:tc>
          <w:tcPr>
            <w:tcW w:w="9661" w:type="dxa"/>
            <w:gridSpan w:val="13"/>
            <w:noWrap/>
            <w:vAlign w:val="bottom"/>
          </w:tcPr>
          <w:p w14:paraId="3D5B98D6" w14:textId="77777777" w:rsidR="005A2F54" w:rsidRPr="000C4180" w:rsidRDefault="005A2F54" w:rsidP="00712BCD">
            <w:pPr>
              <w:jc w:val="center"/>
              <w:rPr>
                <w:b/>
                <w:color w:val="000000"/>
                <w:sz w:val="20"/>
                <w:szCs w:val="20"/>
              </w:rPr>
            </w:pPr>
            <w:r w:rsidRPr="000C4180">
              <w:rPr>
                <w:b/>
                <w:color w:val="000000"/>
                <w:sz w:val="20"/>
                <w:szCs w:val="20"/>
              </w:rPr>
              <w:t>MCAS at IRR = -5.5%</w:t>
            </w:r>
          </w:p>
        </w:tc>
      </w:tr>
      <w:tr w:rsidR="005A2F54" w:rsidRPr="000C4180" w14:paraId="41C2B7D0" w14:textId="77777777" w:rsidTr="00712BCD">
        <w:trPr>
          <w:trHeight w:val="157"/>
        </w:trPr>
        <w:tc>
          <w:tcPr>
            <w:tcW w:w="2373" w:type="dxa"/>
            <w:gridSpan w:val="3"/>
            <w:noWrap/>
            <w:vAlign w:val="bottom"/>
          </w:tcPr>
          <w:p w14:paraId="57B2B13C"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noWrap/>
            <w:vAlign w:val="bottom"/>
          </w:tcPr>
          <w:p w14:paraId="7D462322" w14:textId="77777777" w:rsidR="005A2F54" w:rsidRPr="000C4180" w:rsidRDefault="005A2F54" w:rsidP="00712BCD">
            <w:pPr>
              <w:jc w:val="right"/>
              <w:rPr>
                <w:color w:val="000000"/>
                <w:sz w:val="20"/>
                <w:szCs w:val="20"/>
              </w:rPr>
            </w:pPr>
            <w:r w:rsidRPr="000C4180">
              <w:rPr>
                <w:color w:val="000000"/>
                <w:sz w:val="20"/>
                <w:szCs w:val="20"/>
              </w:rPr>
              <w:t>-1000</w:t>
            </w:r>
          </w:p>
        </w:tc>
        <w:tc>
          <w:tcPr>
            <w:tcW w:w="1243" w:type="dxa"/>
            <w:gridSpan w:val="2"/>
            <w:shd w:val="clear" w:color="auto" w:fill="auto"/>
            <w:noWrap/>
            <w:vAlign w:val="bottom"/>
          </w:tcPr>
          <w:p w14:paraId="06BED57A" w14:textId="77777777" w:rsidR="005A2F54" w:rsidRPr="000C4180" w:rsidRDefault="005A2F54" w:rsidP="00712BCD">
            <w:pPr>
              <w:jc w:val="right"/>
              <w:rPr>
                <w:color w:val="000000"/>
                <w:sz w:val="20"/>
                <w:szCs w:val="20"/>
              </w:rPr>
            </w:pPr>
            <w:r w:rsidRPr="000C4180">
              <w:rPr>
                <w:color w:val="000000"/>
                <w:sz w:val="20"/>
                <w:szCs w:val="20"/>
              </w:rPr>
              <w:t>-145.4</w:t>
            </w:r>
          </w:p>
        </w:tc>
        <w:tc>
          <w:tcPr>
            <w:tcW w:w="1055" w:type="dxa"/>
            <w:gridSpan w:val="2"/>
            <w:shd w:val="clear" w:color="auto" w:fill="auto"/>
            <w:noWrap/>
            <w:vAlign w:val="bottom"/>
          </w:tcPr>
          <w:p w14:paraId="62106230" w14:textId="77777777" w:rsidR="005A2F54" w:rsidRPr="000C4180" w:rsidRDefault="005A2F54" w:rsidP="00712BCD">
            <w:pPr>
              <w:jc w:val="right"/>
              <w:rPr>
                <w:color w:val="000000"/>
                <w:sz w:val="20"/>
                <w:szCs w:val="20"/>
              </w:rPr>
            </w:pPr>
            <w:r w:rsidRPr="000C4180">
              <w:rPr>
                <w:color w:val="000000"/>
                <w:sz w:val="20"/>
                <w:szCs w:val="20"/>
              </w:rPr>
              <w:t>862.5</w:t>
            </w:r>
          </w:p>
        </w:tc>
        <w:tc>
          <w:tcPr>
            <w:tcW w:w="914" w:type="dxa"/>
            <w:gridSpan w:val="2"/>
            <w:shd w:val="clear" w:color="auto" w:fill="auto"/>
            <w:noWrap/>
            <w:vAlign w:val="bottom"/>
          </w:tcPr>
          <w:p w14:paraId="2993C679" w14:textId="77777777" w:rsidR="005A2F54" w:rsidRPr="000C4180" w:rsidRDefault="005A2F54" w:rsidP="00712BCD">
            <w:pPr>
              <w:jc w:val="right"/>
              <w:rPr>
                <w:color w:val="000000"/>
                <w:sz w:val="20"/>
                <w:szCs w:val="20"/>
              </w:rPr>
            </w:pPr>
            <w:r w:rsidRPr="000C4180">
              <w:rPr>
                <w:color w:val="000000"/>
                <w:sz w:val="20"/>
                <w:szCs w:val="20"/>
              </w:rPr>
              <w:t>2162.5</w:t>
            </w:r>
          </w:p>
        </w:tc>
        <w:tc>
          <w:tcPr>
            <w:tcW w:w="1189" w:type="dxa"/>
            <w:noWrap/>
            <w:vAlign w:val="bottom"/>
          </w:tcPr>
          <w:p w14:paraId="2531CD2D"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shd w:val="clear" w:color="auto" w:fill="auto"/>
            <w:vAlign w:val="bottom"/>
          </w:tcPr>
          <w:p w14:paraId="0298FA30" w14:textId="77777777" w:rsidR="005A2F54" w:rsidRPr="000C4180" w:rsidRDefault="005A2F54" w:rsidP="00712BCD">
            <w:pPr>
              <w:jc w:val="right"/>
              <w:rPr>
                <w:color w:val="000000"/>
                <w:sz w:val="20"/>
                <w:szCs w:val="20"/>
              </w:rPr>
            </w:pPr>
            <w:r w:rsidRPr="000C4180">
              <w:rPr>
                <w:color w:val="000000"/>
                <w:sz w:val="20"/>
                <w:szCs w:val="20"/>
              </w:rPr>
              <w:t>-1000.0</w:t>
            </w:r>
          </w:p>
        </w:tc>
      </w:tr>
      <w:tr w:rsidR="005A2F54" w:rsidRPr="000C4180" w14:paraId="229A1DE2" w14:textId="77777777" w:rsidTr="00712BCD">
        <w:trPr>
          <w:trHeight w:val="157"/>
        </w:trPr>
        <w:tc>
          <w:tcPr>
            <w:tcW w:w="2373" w:type="dxa"/>
            <w:gridSpan w:val="3"/>
            <w:noWrap/>
            <w:vAlign w:val="bottom"/>
          </w:tcPr>
          <w:p w14:paraId="66127F21" w14:textId="77777777" w:rsidR="005A2F54" w:rsidRPr="000C4180" w:rsidRDefault="005A2F54" w:rsidP="00712BCD">
            <w:pPr>
              <w:rPr>
                <w:color w:val="000000"/>
                <w:sz w:val="20"/>
                <w:szCs w:val="20"/>
              </w:rPr>
            </w:pPr>
            <w:r w:rsidRPr="000C4180">
              <w:rPr>
                <w:color w:val="000000"/>
                <w:sz w:val="20"/>
                <w:szCs w:val="20"/>
              </w:rPr>
              <w:t>Interest/ Return at -5.5%</w:t>
            </w:r>
          </w:p>
        </w:tc>
        <w:tc>
          <w:tcPr>
            <w:tcW w:w="1293" w:type="dxa"/>
            <w:gridSpan w:val="2"/>
            <w:noWrap/>
            <w:vAlign w:val="bottom"/>
          </w:tcPr>
          <w:p w14:paraId="6EA3FA4A" w14:textId="77777777" w:rsidR="005A2F54" w:rsidRPr="000C4180" w:rsidRDefault="005A2F54" w:rsidP="00712BCD">
            <w:pPr>
              <w:jc w:val="right"/>
              <w:rPr>
                <w:color w:val="000000"/>
                <w:sz w:val="20"/>
                <w:szCs w:val="20"/>
              </w:rPr>
            </w:pPr>
            <w:r w:rsidRPr="000C4180">
              <w:rPr>
                <w:color w:val="000000"/>
                <w:sz w:val="20"/>
                <w:szCs w:val="20"/>
              </w:rPr>
              <w:t>54.6</w:t>
            </w:r>
          </w:p>
        </w:tc>
        <w:tc>
          <w:tcPr>
            <w:tcW w:w="1243" w:type="dxa"/>
            <w:gridSpan w:val="2"/>
            <w:shd w:val="clear" w:color="auto" w:fill="auto"/>
            <w:noWrap/>
            <w:vAlign w:val="bottom"/>
          </w:tcPr>
          <w:p w14:paraId="23C5D8E7" w14:textId="77777777" w:rsidR="005A2F54" w:rsidRPr="000C4180" w:rsidRDefault="005A2F54" w:rsidP="00712BCD">
            <w:pPr>
              <w:jc w:val="right"/>
              <w:rPr>
                <w:color w:val="000000"/>
                <w:sz w:val="20"/>
                <w:szCs w:val="20"/>
              </w:rPr>
            </w:pPr>
            <w:r w:rsidRPr="000C4180">
              <w:rPr>
                <w:color w:val="000000"/>
                <w:sz w:val="20"/>
                <w:szCs w:val="20"/>
              </w:rPr>
              <w:t>7.9</w:t>
            </w:r>
          </w:p>
        </w:tc>
        <w:tc>
          <w:tcPr>
            <w:tcW w:w="1055" w:type="dxa"/>
            <w:gridSpan w:val="2"/>
            <w:shd w:val="clear" w:color="auto" w:fill="auto"/>
            <w:noWrap/>
            <w:vAlign w:val="bottom"/>
          </w:tcPr>
          <w:p w14:paraId="781EDEAC" w14:textId="77777777" w:rsidR="005A2F54" w:rsidRPr="000C4180" w:rsidRDefault="005A2F54" w:rsidP="00712BCD">
            <w:pPr>
              <w:jc w:val="right"/>
              <w:rPr>
                <w:color w:val="000000"/>
                <w:sz w:val="20"/>
                <w:szCs w:val="20"/>
              </w:rPr>
            </w:pPr>
            <w:r w:rsidRPr="000C4180">
              <w:rPr>
                <w:color w:val="000000"/>
                <w:sz w:val="20"/>
                <w:szCs w:val="20"/>
              </w:rPr>
              <w:t>0.0</w:t>
            </w:r>
          </w:p>
        </w:tc>
        <w:tc>
          <w:tcPr>
            <w:tcW w:w="914" w:type="dxa"/>
            <w:gridSpan w:val="2"/>
            <w:shd w:val="clear" w:color="auto" w:fill="auto"/>
            <w:noWrap/>
            <w:vAlign w:val="bottom"/>
          </w:tcPr>
          <w:p w14:paraId="535154A2"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noWrap/>
            <w:vAlign w:val="bottom"/>
          </w:tcPr>
          <w:p w14:paraId="7228B745" w14:textId="77777777" w:rsidR="005A2F54" w:rsidRPr="000C4180" w:rsidRDefault="005A2F54" w:rsidP="00712BCD">
            <w:pPr>
              <w:jc w:val="right"/>
              <w:rPr>
                <w:color w:val="000000"/>
                <w:sz w:val="20"/>
                <w:szCs w:val="20"/>
              </w:rPr>
            </w:pPr>
            <w:r w:rsidRPr="000C4180">
              <w:rPr>
                <w:color w:val="000000"/>
                <w:sz w:val="20"/>
                <w:szCs w:val="20"/>
              </w:rPr>
              <w:t>ROIC</w:t>
            </w:r>
          </w:p>
        </w:tc>
        <w:tc>
          <w:tcPr>
            <w:tcW w:w="1594" w:type="dxa"/>
            <w:shd w:val="clear" w:color="auto" w:fill="auto"/>
            <w:vAlign w:val="bottom"/>
          </w:tcPr>
          <w:p w14:paraId="1F0BCBE7" w14:textId="77777777" w:rsidR="005A2F54" w:rsidRPr="000C4180" w:rsidRDefault="005A2F54" w:rsidP="00712BCD">
            <w:pPr>
              <w:jc w:val="right"/>
              <w:rPr>
                <w:color w:val="000000"/>
                <w:sz w:val="20"/>
                <w:szCs w:val="20"/>
              </w:rPr>
            </w:pPr>
            <w:r w:rsidRPr="000C4180">
              <w:rPr>
                <w:color w:val="000000"/>
                <w:sz w:val="20"/>
                <w:szCs w:val="20"/>
              </w:rPr>
              <w:t>62.5</w:t>
            </w:r>
          </w:p>
        </w:tc>
      </w:tr>
      <w:tr w:rsidR="005A2F54" w:rsidRPr="000C4180" w14:paraId="417F2FC2" w14:textId="77777777" w:rsidTr="00712BCD">
        <w:trPr>
          <w:trHeight w:val="157"/>
        </w:trPr>
        <w:tc>
          <w:tcPr>
            <w:tcW w:w="2373" w:type="dxa"/>
            <w:gridSpan w:val="3"/>
            <w:noWrap/>
            <w:vAlign w:val="bottom"/>
          </w:tcPr>
          <w:p w14:paraId="0D792D17"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tcPr>
          <w:p w14:paraId="7CC3717E"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noWrap/>
            <w:vAlign w:val="bottom"/>
          </w:tcPr>
          <w:p w14:paraId="70E5DA11"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noWrap/>
            <w:vAlign w:val="bottom"/>
          </w:tcPr>
          <w:p w14:paraId="3CEBC293"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noWrap/>
            <w:vAlign w:val="bottom"/>
          </w:tcPr>
          <w:p w14:paraId="3B9459BE"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4543ADC8" w14:textId="77777777" w:rsidR="005A2F54" w:rsidRPr="000C4180" w:rsidRDefault="005A2F54" w:rsidP="00712BCD">
            <w:pPr>
              <w:jc w:val="right"/>
              <w:rPr>
                <w:color w:val="000000"/>
                <w:sz w:val="20"/>
                <w:szCs w:val="20"/>
              </w:rPr>
            </w:pPr>
            <w:r w:rsidRPr="000C4180">
              <w:rPr>
                <w:color w:val="000000"/>
                <w:sz w:val="20"/>
                <w:szCs w:val="20"/>
              </w:rPr>
              <w:t>Income</w:t>
            </w:r>
          </w:p>
        </w:tc>
        <w:tc>
          <w:tcPr>
            <w:tcW w:w="1594" w:type="dxa"/>
            <w:shd w:val="clear" w:color="auto" w:fill="auto"/>
            <w:vAlign w:val="bottom"/>
          </w:tcPr>
          <w:p w14:paraId="506EB0BD"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3CCA62F7" w14:textId="77777777" w:rsidTr="00712BCD">
        <w:trPr>
          <w:trHeight w:val="157"/>
        </w:trPr>
        <w:tc>
          <w:tcPr>
            <w:tcW w:w="2373" w:type="dxa"/>
            <w:gridSpan w:val="3"/>
            <w:noWrap/>
            <w:vAlign w:val="bottom"/>
          </w:tcPr>
          <w:p w14:paraId="4757EAEF" w14:textId="77777777" w:rsidR="005A2F54" w:rsidRPr="000C4180" w:rsidRDefault="005A2F54" w:rsidP="00712BCD">
            <w:pPr>
              <w:rPr>
                <w:color w:val="000000"/>
                <w:sz w:val="20"/>
                <w:szCs w:val="20"/>
              </w:rPr>
            </w:pPr>
            <w:r w:rsidRPr="000C4180">
              <w:rPr>
                <w:color w:val="000000"/>
                <w:sz w:val="20"/>
                <w:szCs w:val="20"/>
              </w:rPr>
              <w:t>Closing Balance</w:t>
            </w:r>
          </w:p>
        </w:tc>
        <w:tc>
          <w:tcPr>
            <w:tcW w:w="1293" w:type="dxa"/>
            <w:gridSpan w:val="2"/>
            <w:noWrap/>
            <w:vAlign w:val="bottom"/>
          </w:tcPr>
          <w:p w14:paraId="12DCBB47" w14:textId="77777777" w:rsidR="005A2F54" w:rsidRPr="000C4180" w:rsidRDefault="005A2F54" w:rsidP="00712BCD">
            <w:pPr>
              <w:jc w:val="right"/>
              <w:rPr>
                <w:color w:val="000000"/>
                <w:sz w:val="20"/>
                <w:szCs w:val="20"/>
              </w:rPr>
            </w:pPr>
            <w:r w:rsidRPr="000C4180">
              <w:rPr>
                <w:color w:val="000000"/>
                <w:sz w:val="20"/>
                <w:szCs w:val="20"/>
              </w:rPr>
              <w:t>-145.4</w:t>
            </w:r>
          </w:p>
        </w:tc>
        <w:tc>
          <w:tcPr>
            <w:tcW w:w="1243" w:type="dxa"/>
            <w:gridSpan w:val="2"/>
            <w:shd w:val="clear" w:color="auto" w:fill="auto"/>
            <w:noWrap/>
            <w:vAlign w:val="bottom"/>
          </w:tcPr>
          <w:p w14:paraId="39094E36" w14:textId="77777777" w:rsidR="005A2F54" w:rsidRPr="000C4180" w:rsidRDefault="005A2F54" w:rsidP="00712BCD">
            <w:pPr>
              <w:jc w:val="right"/>
              <w:rPr>
                <w:color w:val="000000"/>
                <w:sz w:val="20"/>
                <w:szCs w:val="20"/>
              </w:rPr>
            </w:pPr>
            <w:r w:rsidRPr="000C4180">
              <w:rPr>
                <w:color w:val="000000"/>
                <w:sz w:val="20"/>
                <w:szCs w:val="20"/>
              </w:rPr>
              <w:t>862.5</w:t>
            </w:r>
          </w:p>
        </w:tc>
        <w:tc>
          <w:tcPr>
            <w:tcW w:w="1055" w:type="dxa"/>
            <w:gridSpan w:val="2"/>
            <w:shd w:val="clear" w:color="auto" w:fill="auto"/>
            <w:noWrap/>
            <w:vAlign w:val="bottom"/>
          </w:tcPr>
          <w:p w14:paraId="350A4908" w14:textId="77777777" w:rsidR="005A2F54" w:rsidRPr="000C4180" w:rsidRDefault="005A2F54" w:rsidP="00712BCD">
            <w:pPr>
              <w:jc w:val="right"/>
              <w:rPr>
                <w:color w:val="000000"/>
                <w:sz w:val="20"/>
                <w:szCs w:val="20"/>
              </w:rPr>
            </w:pPr>
            <w:r w:rsidRPr="000C4180">
              <w:rPr>
                <w:color w:val="000000"/>
                <w:sz w:val="20"/>
                <w:szCs w:val="20"/>
              </w:rPr>
              <w:t>2162.5</w:t>
            </w:r>
          </w:p>
        </w:tc>
        <w:tc>
          <w:tcPr>
            <w:tcW w:w="914" w:type="dxa"/>
            <w:gridSpan w:val="2"/>
            <w:shd w:val="clear" w:color="auto" w:fill="auto"/>
            <w:noWrap/>
            <w:vAlign w:val="bottom"/>
          </w:tcPr>
          <w:p w14:paraId="66A08275" w14:textId="77777777" w:rsidR="005A2F54" w:rsidRPr="000C4180" w:rsidRDefault="005A2F54" w:rsidP="00712BCD">
            <w:pPr>
              <w:jc w:val="right"/>
              <w:rPr>
                <w:color w:val="000000"/>
                <w:sz w:val="20"/>
                <w:szCs w:val="20"/>
              </w:rPr>
            </w:pPr>
            <w:r w:rsidRPr="000C4180">
              <w:rPr>
                <w:color w:val="000000"/>
                <w:sz w:val="20"/>
                <w:szCs w:val="20"/>
              </w:rPr>
              <w:t>162.5</w:t>
            </w:r>
          </w:p>
        </w:tc>
        <w:tc>
          <w:tcPr>
            <w:tcW w:w="1189" w:type="dxa"/>
            <w:shd w:val="clear" w:color="auto" w:fill="auto"/>
            <w:noWrap/>
            <w:vAlign w:val="bottom"/>
          </w:tcPr>
          <w:p w14:paraId="36B9B871" w14:textId="77777777" w:rsidR="005A2F54" w:rsidRPr="000C4180" w:rsidRDefault="005A2F54" w:rsidP="00712BCD">
            <w:pPr>
              <w:jc w:val="right"/>
              <w:rPr>
                <w:color w:val="000000"/>
                <w:sz w:val="20"/>
                <w:szCs w:val="20"/>
              </w:rPr>
            </w:pPr>
            <w:r w:rsidRPr="000C4180">
              <w:rPr>
                <w:color w:val="000000"/>
                <w:sz w:val="20"/>
                <w:szCs w:val="20"/>
              </w:rPr>
              <w:t>Balance</w:t>
            </w:r>
          </w:p>
        </w:tc>
        <w:tc>
          <w:tcPr>
            <w:tcW w:w="1594" w:type="dxa"/>
            <w:shd w:val="clear" w:color="auto" w:fill="auto"/>
            <w:vAlign w:val="bottom"/>
          </w:tcPr>
          <w:p w14:paraId="0DE59D26" w14:textId="77777777" w:rsidR="005A2F54" w:rsidRPr="000C4180" w:rsidRDefault="005A2F54" w:rsidP="00712BCD">
            <w:pPr>
              <w:jc w:val="right"/>
              <w:rPr>
                <w:color w:val="000000"/>
                <w:sz w:val="20"/>
                <w:szCs w:val="20"/>
              </w:rPr>
            </w:pPr>
            <w:r w:rsidRPr="000C4180">
              <w:rPr>
                <w:color w:val="000000"/>
                <w:sz w:val="20"/>
                <w:szCs w:val="20"/>
              </w:rPr>
              <w:t>162.5</w:t>
            </w:r>
          </w:p>
        </w:tc>
      </w:tr>
      <w:tr w:rsidR="005A2F54" w:rsidRPr="000C4180" w14:paraId="285FD5EB" w14:textId="77777777" w:rsidTr="00712BCD">
        <w:trPr>
          <w:trHeight w:val="157"/>
        </w:trPr>
        <w:tc>
          <w:tcPr>
            <w:tcW w:w="9661" w:type="dxa"/>
            <w:gridSpan w:val="13"/>
            <w:noWrap/>
            <w:vAlign w:val="bottom"/>
          </w:tcPr>
          <w:p w14:paraId="3B43855B" w14:textId="77777777" w:rsidR="005A2F54" w:rsidRPr="000C4180" w:rsidRDefault="005A2F54" w:rsidP="00712BCD">
            <w:pPr>
              <w:jc w:val="center"/>
              <w:rPr>
                <w:color w:val="000000"/>
                <w:sz w:val="20"/>
                <w:szCs w:val="20"/>
              </w:rPr>
            </w:pPr>
            <w:r w:rsidRPr="000C4180">
              <w:rPr>
                <w:b/>
                <w:color w:val="000000"/>
                <w:sz w:val="20"/>
                <w:szCs w:val="20"/>
              </w:rPr>
              <w:t>MCAS at IRR = 45.2%</w:t>
            </w:r>
          </w:p>
        </w:tc>
      </w:tr>
      <w:tr w:rsidR="005A2F54" w:rsidRPr="000C4180" w14:paraId="4C7035CF" w14:textId="77777777" w:rsidTr="00712BCD">
        <w:trPr>
          <w:trHeight w:val="157"/>
        </w:trPr>
        <w:tc>
          <w:tcPr>
            <w:tcW w:w="2373" w:type="dxa"/>
            <w:gridSpan w:val="3"/>
            <w:noWrap/>
            <w:vAlign w:val="bottom"/>
          </w:tcPr>
          <w:p w14:paraId="7F9E5463" w14:textId="77777777" w:rsidR="005A2F54" w:rsidRPr="000C4180" w:rsidRDefault="005A2F54" w:rsidP="00712BCD">
            <w:pPr>
              <w:rPr>
                <w:color w:val="000000"/>
                <w:sz w:val="20"/>
                <w:szCs w:val="20"/>
              </w:rPr>
            </w:pPr>
            <w:r w:rsidRPr="000C4180">
              <w:rPr>
                <w:color w:val="000000"/>
                <w:sz w:val="20"/>
                <w:szCs w:val="20"/>
              </w:rPr>
              <w:t>Opening Balance</w:t>
            </w:r>
          </w:p>
        </w:tc>
        <w:tc>
          <w:tcPr>
            <w:tcW w:w="1293" w:type="dxa"/>
            <w:gridSpan w:val="2"/>
            <w:noWrap/>
            <w:vAlign w:val="bottom"/>
          </w:tcPr>
          <w:p w14:paraId="781846C2" w14:textId="77777777" w:rsidR="005A2F54" w:rsidRPr="000C4180" w:rsidRDefault="005A2F54" w:rsidP="00712BCD">
            <w:pPr>
              <w:jc w:val="right"/>
              <w:rPr>
                <w:color w:val="000000"/>
                <w:sz w:val="20"/>
                <w:szCs w:val="20"/>
              </w:rPr>
            </w:pPr>
            <w:r w:rsidRPr="000C4180">
              <w:rPr>
                <w:color w:val="000000"/>
                <w:sz w:val="20"/>
                <w:szCs w:val="20"/>
              </w:rPr>
              <w:t>-1000</w:t>
            </w:r>
          </w:p>
        </w:tc>
        <w:tc>
          <w:tcPr>
            <w:tcW w:w="1243" w:type="dxa"/>
            <w:gridSpan w:val="2"/>
            <w:shd w:val="clear" w:color="auto" w:fill="auto"/>
            <w:noWrap/>
            <w:vAlign w:val="bottom"/>
          </w:tcPr>
          <w:p w14:paraId="565F76CA" w14:textId="77777777" w:rsidR="005A2F54" w:rsidRPr="000C4180" w:rsidRDefault="005A2F54" w:rsidP="00712BCD">
            <w:pPr>
              <w:jc w:val="right"/>
              <w:rPr>
                <w:color w:val="000000"/>
                <w:sz w:val="20"/>
                <w:szCs w:val="20"/>
              </w:rPr>
            </w:pPr>
            <w:r w:rsidRPr="000C4180">
              <w:rPr>
                <w:color w:val="000000"/>
                <w:sz w:val="20"/>
                <w:szCs w:val="20"/>
              </w:rPr>
              <w:t>-652.0</w:t>
            </w:r>
          </w:p>
        </w:tc>
        <w:tc>
          <w:tcPr>
            <w:tcW w:w="1055" w:type="dxa"/>
            <w:gridSpan w:val="2"/>
            <w:shd w:val="clear" w:color="auto" w:fill="auto"/>
            <w:noWrap/>
            <w:vAlign w:val="bottom"/>
          </w:tcPr>
          <w:p w14:paraId="275CF608" w14:textId="77777777" w:rsidR="005A2F54" w:rsidRPr="000C4180" w:rsidRDefault="005A2F54" w:rsidP="00712BCD">
            <w:pPr>
              <w:jc w:val="right"/>
              <w:rPr>
                <w:color w:val="000000"/>
                <w:sz w:val="20"/>
                <w:szCs w:val="20"/>
              </w:rPr>
            </w:pPr>
            <w:r w:rsidRPr="000C4180">
              <w:rPr>
                <w:color w:val="000000"/>
                <w:sz w:val="20"/>
                <w:szCs w:val="20"/>
              </w:rPr>
              <w:t>53.3</w:t>
            </w:r>
          </w:p>
        </w:tc>
        <w:tc>
          <w:tcPr>
            <w:tcW w:w="914" w:type="dxa"/>
            <w:gridSpan w:val="2"/>
            <w:shd w:val="clear" w:color="auto" w:fill="auto"/>
            <w:noWrap/>
            <w:vAlign w:val="bottom"/>
          </w:tcPr>
          <w:p w14:paraId="345751CC" w14:textId="77777777" w:rsidR="005A2F54" w:rsidRPr="000C4180" w:rsidRDefault="005A2F54" w:rsidP="00712BCD">
            <w:pPr>
              <w:jc w:val="right"/>
              <w:rPr>
                <w:color w:val="000000"/>
                <w:sz w:val="20"/>
                <w:szCs w:val="20"/>
              </w:rPr>
            </w:pPr>
            <w:r w:rsidRPr="000C4180">
              <w:rPr>
                <w:color w:val="000000"/>
                <w:sz w:val="20"/>
                <w:szCs w:val="20"/>
              </w:rPr>
              <w:t>1353.3</w:t>
            </w:r>
          </w:p>
        </w:tc>
        <w:tc>
          <w:tcPr>
            <w:tcW w:w="1189" w:type="dxa"/>
            <w:noWrap/>
            <w:vAlign w:val="bottom"/>
          </w:tcPr>
          <w:p w14:paraId="14E9BE21" w14:textId="77777777" w:rsidR="005A2F54" w:rsidRPr="000C4180" w:rsidRDefault="005A2F54" w:rsidP="00712BCD">
            <w:pPr>
              <w:jc w:val="right"/>
              <w:rPr>
                <w:color w:val="000000"/>
                <w:sz w:val="20"/>
                <w:szCs w:val="20"/>
              </w:rPr>
            </w:pPr>
            <w:r w:rsidRPr="000C4180">
              <w:rPr>
                <w:color w:val="000000"/>
                <w:sz w:val="20"/>
                <w:szCs w:val="20"/>
              </w:rPr>
              <w:t>ROC</w:t>
            </w:r>
          </w:p>
        </w:tc>
        <w:tc>
          <w:tcPr>
            <w:tcW w:w="1594" w:type="dxa"/>
            <w:shd w:val="clear" w:color="auto" w:fill="auto"/>
            <w:vAlign w:val="bottom"/>
          </w:tcPr>
          <w:p w14:paraId="662FA23F" w14:textId="77777777" w:rsidR="005A2F54" w:rsidRPr="000C4180" w:rsidRDefault="005A2F54" w:rsidP="00712BCD">
            <w:pPr>
              <w:jc w:val="right"/>
              <w:rPr>
                <w:color w:val="000000"/>
                <w:sz w:val="20"/>
                <w:szCs w:val="20"/>
              </w:rPr>
            </w:pPr>
            <w:r w:rsidRPr="000C4180">
              <w:rPr>
                <w:color w:val="000000"/>
                <w:sz w:val="20"/>
                <w:szCs w:val="20"/>
              </w:rPr>
              <w:t>-1000.0</w:t>
            </w:r>
          </w:p>
        </w:tc>
      </w:tr>
      <w:tr w:rsidR="005A2F54" w:rsidRPr="000C4180" w14:paraId="79824B15" w14:textId="77777777" w:rsidTr="00712BCD">
        <w:trPr>
          <w:trHeight w:val="157"/>
        </w:trPr>
        <w:tc>
          <w:tcPr>
            <w:tcW w:w="2373" w:type="dxa"/>
            <w:gridSpan w:val="3"/>
            <w:noWrap/>
            <w:vAlign w:val="bottom"/>
          </w:tcPr>
          <w:p w14:paraId="07CD27C2" w14:textId="77777777" w:rsidR="005A2F54" w:rsidRPr="000C4180" w:rsidRDefault="005A2F54" w:rsidP="00712BCD">
            <w:pPr>
              <w:rPr>
                <w:color w:val="000000"/>
                <w:sz w:val="20"/>
                <w:szCs w:val="20"/>
              </w:rPr>
            </w:pPr>
            <w:r w:rsidRPr="000C4180">
              <w:rPr>
                <w:color w:val="000000"/>
                <w:sz w:val="20"/>
                <w:szCs w:val="20"/>
              </w:rPr>
              <w:t>Interest/ Return at 45.2%</w:t>
            </w:r>
          </w:p>
        </w:tc>
        <w:tc>
          <w:tcPr>
            <w:tcW w:w="1293" w:type="dxa"/>
            <w:gridSpan w:val="2"/>
            <w:noWrap/>
            <w:vAlign w:val="bottom"/>
          </w:tcPr>
          <w:p w14:paraId="647B03FB" w14:textId="77777777" w:rsidR="005A2F54" w:rsidRPr="000C4180" w:rsidRDefault="005A2F54" w:rsidP="00712BCD">
            <w:pPr>
              <w:jc w:val="right"/>
              <w:rPr>
                <w:color w:val="000000"/>
                <w:sz w:val="20"/>
                <w:szCs w:val="20"/>
              </w:rPr>
            </w:pPr>
            <w:r w:rsidRPr="000C4180">
              <w:rPr>
                <w:color w:val="000000"/>
                <w:sz w:val="20"/>
                <w:szCs w:val="20"/>
              </w:rPr>
              <w:t>-452.0</w:t>
            </w:r>
          </w:p>
        </w:tc>
        <w:tc>
          <w:tcPr>
            <w:tcW w:w="1243" w:type="dxa"/>
            <w:gridSpan w:val="2"/>
            <w:shd w:val="clear" w:color="auto" w:fill="auto"/>
            <w:noWrap/>
            <w:vAlign w:val="bottom"/>
          </w:tcPr>
          <w:p w14:paraId="5E54B176" w14:textId="77777777" w:rsidR="005A2F54" w:rsidRPr="000C4180" w:rsidRDefault="005A2F54" w:rsidP="00712BCD">
            <w:pPr>
              <w:jc w:val="right"/>
              <w:rPr>
                <w:color w:val="000000"/>
                <w:sz w:val="20"/>
                <w:szCs w:val="20"/>
              </w:rPr>
            </w:pPr>
            <w:r w:rsidRPr="000C4180">
              <w:rPr>
                <w:color w:val="000000"/>
                <w:sz w:val="20"/>
                <w:szCs w:val="20"/>
              </w:rPr>
              <w:t>-294.7</w:t>
            </w:r>
          </w:p>
        </w:tc>
        <w:tc>
          <w:tcPr>
            <w:tcW w:w="1055" w:type="dxa"/>
            <w:gridSpan w:val="2"/>
            <w:shd w:val="clear" w:color="auto" w:fill="auto"/>
            <w:noWrap/>
            <w:vAlign w:val="bottom"/>
          </w:tcPr>
          <w:p w14:paraId="7228F0AD" w14:textId="77777777" w:rsidR="005A2F54" w:rsidRPr="000C4180" w:rsidRDefault="005A2F54" w:rsidP="00712BCD">
            <w:pPr>
              <w:jc w:val="right"/>
              <w:rPr>
                <w:color w:val="000000"/>
                <w:sz w:val="20"/>
                <w:szCs w:val="20"/>
              </w:rPr>
            </w:pPr>
            <w:r w:rsidRPr="000C4180">
              <w:rPr>
                <w:color w:val="000000"/>
                <w:sz w:val="20"/>
                <w:szCs w:val="20"/>
              </w:rPr>
              <w:t>0.0</w:t>
            </w:r>
          </w:p>
        </w:tc>
        <w:tc>
          <w:tcPr>
            <w:tcW w:w="914" w:type="dxa"/>
            <w:gridSpan w:val="2"/>
            <w:shd w:val="clear" w:color="auto" w:fill="auto"/>
            <w:noWrap/>
            <w:vAlign w:val="bottom"/>
          </w:tcPr>
          <w:p w14:paraId="27A623DF" w14:textId="77777777" w:rsidR="005A2F54" w:rsidRPr="000C4180" w:rsidRDefault="005A2F54" w:rsidP="00712BCD">
            <w:pPr>
              <w:jc w:val="right"/>
              <w:rPr>
                <w:color w:val="000000"/>
                <w:sz w:val="20"/>
                <w:szCs w:val="20"/>
              </w:rPr>
            </w:pPr>
            <w:r w:rsidRPr="000C4180">
              <w:rPr>
                <w:color w:val="000000"/>
                <w:sz w:val="20"/>
                <w:szCs w:val="20"/>
              </w:rPr>
              <w:t>0.0</w:t>
            </w:r>
          </w:p>
        </w:tc>
        <w:tc>
          <w:tcPr>
            <w:tcW w:w="1189" w:type="dxa"/>
            <w:noWrap/>
            <w:vAlign w:val="bottom"/>
          </w:tcPr>
          <w:p w14:paraId="2BBAE1C7" w14:textId="77777777" w:rsidR="005A2F54" w:rsidRPr="000C4180" w:rsidRDefault="005A2F54" w:rsidP="00712BCD">
            <w:pPr>
              <w:jc w:val="right"/>
              <w:rPr>
                <w:color w:val="000000"/>
                <w:sz w:val="20"/>
                <w:szCs w:val="20"/>
              </w:rPr>
            </w:pPr>
            <w:r w:rsidRPr="000C4180">
              <w:rPr>
                <w:color w:val="000000"/>
                <w:sz w:val="20"/>
                <w:szCs w:val="20"/>
              </w:rPr>
              <w:t>ROIC</w:t>
            </w:r>
          </w:p>
        </w:tc>
        <w:tc>
          <w:tcPr>
            <w:tcW w:w="1594" w:type="dxa"/>
            <w:shd w:val="clear" w:color="auto" w:fill="auto"/>
            <w:vAlign w:val="bottom"/>
          </w:tcPr>
          <w:p w14:paraId="3B7458E0" w14:textId="77777777" w:rsidR="005A2F54" w:rsidRPr="000C4180" w:rsidRDefault="005A2F54" w:rsidP="00712BCD">
            <w:pPr>
              <w:jc w:val="right"/>
              <w:rPr>
                <w:color w:val="000000"/>
                <w:sz w:val="20"/>
                <w:szCs w:val="20"/>
              </w:rPr>
            </w:pPr>
            <w:r w:rsidRPr="000C4180">
              <w:rPr>
                <w:color w:val="000000"/>
                <w:sz w:val="20"/>
                <w:szCs w:val="20"/>
              </w:rPr>
              <w:t>-746.7</w:t>
            </w:r>
          </w:p>
        </w:tc>
      </w:tr>
      <w:tr w:rsidR="005A2F54" w:rsidRPr="000C4180" w14:paraId="5F0A66FB" w14:textId="77777777" w:rsidTr="00712BCD">
        <w:trPr>
          <w:trHeight w:val="157"/>
        </w:trPr>
        <w:tc>
          <w:tcPr>
            <w:tcW w:w="2373" w:type="dxa"/>
            <w:gridSpan w:val="3"/>
            <w:noWrap/>
            <w:vAlign w:val="bottom"/>
          </w:tcPr>
          <w:p w14:paraId="1687704C" w14:textId="77777777" w:rsidR="005A2F54" w:rsidRPr="000C4180" w:rsidRDefault="005A2F54" w:rsidP="00712BCD">
            <w:pPr>
              <w:rPr>
                <w:color w:val="000000"/>
                <w:sz w:val="20"/>
                <w:szCs w:val="20"/>
              </w:rPr>
            </w:pPr>
            <w:r w:rsidRPr="000C4180">
              <w:rPr>
                <w:color w:val="000000"/>
                <w:sz w:val="20"/>
                <w:szCs w:val="20"/>
              </w:rPr>
              <w:t>Income flows</w:t>
            </w:r>
          </w:p>
        </w:tc>
        <w:tc>
          <w:tcPr>
            <w:tcW w:w="1293" w:type="dxa"/>
            <w:gridSpan w:val="2"/>
            <w:noWrap/>
            <w:vAlign w:val="bottom"/>
          </w:tcPr>
          <w:p w14:paraId="64EBDD43" w14:textId="77777777" w:rsidR="005A2F54" w:rsidRPr="000C4180" w:rsidRDefault="005A2F54" w:rsidP="00712BCD">
            <w:pPr>
              <w:jc w:val="right"/>
              <w:rPr>
                <w:color w:val="000000"/>
                <w:sz w:val="20"/>
                <w:szCs w:val="20"/>
              </w:rPr>
            </w:pPr>
            <w:r w:rsidRPr="000C4180">
              <w:rPr>
                <w:color w:val="000000"/>
                <w:sz w:val="20"/>
                <w:szCs w:val="20"/>
              </w:rPr>
              <w:t>800.0</w:t>
            </w:r>
          </w:p>
        </w:tc>
        <w:tc>
          <w:tcPr>
            <w:tcW w:w="1243" w:type="dxa"/>
            <w:gridSpan w:val="2"/>
            <w:noWrap/>
            <w:vAlign w:val="bottom"/>
          </w:tcPr>
          <w:p w14:paraId="47944262" w14:textId="77777777" w:rsidR="005A2F54" w:rsidRPr="000C4180" w:rsidRDefault="005A2F54" w:rsidP="00712BCD">
            <w:pPr>
              <w:jc w:val="right"/>
              <w:rPr>
                <w:color w:val="000000"/>
                <w:sz w:val="20"/>
                <w:szCs w:val="20"/>
              </w:rPr>
            </w:pPr>
            <w:r w:rsidRPr="000C4180">
              <w:rPr>
                <w:color w:val="000000"/>
                <w:sz w:val="20"/>
                <w:szCs w:val="20"/>
              </w:rPr>
              <w:t>1000.0</w:t>
            </w:r>
          </w:p>
        </w:tc>
        <w:tc>
          <w:tcPr>
            <w:tcW w:w="1055" w:type="dxa"/>
            <w:gridSpan w:val="2"/>
            <w:noWrap/>
            <w:vAlign w:val="bottom"/>
          </w:tcPr>
          <w:p w14:paraId="1DC38AC9" w14:textId="77777777" w:rsidR="005A2F54" w:rsidRPr="000C4180" w:rsidRDefault="005A2F54" w:rsidP="00712BCD">
            <w:pPr>
              <w:jc w:val="right"/>
              <w:rPr>
                <w:color w:val="000000"/>
                <w:sz w:val="20"/>
                <w:szCs w:val="20"/>
              </w:rPr>
            </w:pPr>
            <w:r w:rsidRPr="000C4180">
              <w:rPr>
                <w:color w:val="000000"/>
                <w:sz w:val="20"/>
                <w:szCs w:val="20"/>
              </w:rPr>
              <w:t>1300.0</w:t>
            </w:r>
          </w:p>
        </w:tc>
        <w:tc>
          <w:tcPr>
            <w:tcW w:w="914" w:type="dxa"/>
            <w:gridSpan w:val="2"/>
            <w:noWrap/>
            <w:vAlign w:val="bottom"/>
          </w:tcPr>
          <w:p w14:paraId="71B00B0C" w14:textId="77777777" w:rsidR="005A2F54" w:rsidRPr="000C4180" w:rsidRDefault="005A2F54" w:rsidP="00712BCD">
            <w:pPr>
              <w:jc w:val="right"/>
              <w:rPr>
                <w:color w:val="000000"/>
                <w:sz w:val="20"/>
                <w:szCs w:val="20"/>
              </w:rPr>
            </w:pPr>
            <w:r w:rsidRPr="000C4180">
              <w:rPr>
                <w:color w:val="000000"/>
                <w:sz w:val="20"/>
                <w:szCs w:val="20"/>
              </w:rPr>
              <w:t>-2000.0</w:t>
            </w:r>
          </w:p>
        </w:tc>
        <w:tc>
          <w:tcPr>
            <w:tcW w:w="1189" w:type="dxa"/>
            <w:noWrap/>
            <w:vAlign w:val="bottom"/>
          </w:tcPr>
          <w:p w14:paraId="09A4B6E3" w14:textId="77777777" w:rsidR="005A2F54" w:rsidRPr="000C4180" w:rsidRDefault="005A2F54" w:rsidP="00712BCD">
            <w:pPr>
              <w:jc w:val="right"/>
              <w:rPr>
                <w:color w:val="000000"/>
                <w:sz w:val="20"/>
                <w:szCs w:val="20"/>
              </w:rPr>
            </w:pPr>
            <w:r w:rsidRPr="000C4180">
              <w:rPr>
                <w:color w:val="000000"/>
                <w:sz w:val="20"/>
                <w:szCs w:val="20"/>
              </w:rPr>
              <w:t>Income</w:t>
            </w:r>
          </w:p>
        </w:tc>
        <w:tc>
          <w:tcPr>
            <w:tcW w:w="1594" w:type="dxa"/>
            <w:shd w:val="clear" w:color="auto" w:fill="auto"/>
            <w:vAlign w:val="bottom"/>
          </w:tcPr>
          <w:p w14:paraId="0F08C8C2" w14:textId="77777777" w:rsidR="005A2F54" w:rsidRPr="000C4180" w:rsidRDefault="005A2F54" w:rsidP="00712BCD">
            <w:pPr>
              <w:jc w:val="right"/>
              <w:rPr>
                <w:color w:val="000000"/>
                <w:sz w:val="20"/>
                <w:szCs w:val="20"/>
              </w:rPr>
            </w:pPr>
            <w:r w:rsidRPr="000C4180">
              <w:rPr>
                <w:color w:val="000000"/>
                <w:sz w:val="20"/>
                <w:szCs w:val="20"/>
              </w:rPr>
              <w:t>1100.0</w:t>
            </w:r>
          </w:p>
        </w:tc>
      </w:tr>
      <w:tr w:rsidR="005A2F54" w:rsidRPr="000C4180" w14:paraId="6C744FAD" w14:textId="77777777" w:rsidTr="00712BCD">
        <w:trPr>
          <w:trHeight w:val="157"/>
        </w:trPr>
        <w:tc>
          <w:tcPr>
            <w:tcW w:w="2373" w:type="dxa"/>
            <w:gridSpan w:val="3"/>
            <w:noWrap/>
            <w:vAlign w:val="bottom"/>
          </w:tcPr>
          <w:p w14:paraId="2D1DA757" w14:textId="77777777" w:rsidR="005A2F54" w:rsidRPr="000C4180" w:rsidRDefault="005A2F54" w:rsidP="00712BCD">
            <w:pPr>
              <w:rPr>
                <w:color w:val="000000"/>
                <w:sz w:val="20"/>
                <w:szCs w:val="20"/>
              </w:rPr>
            </w:pPr>
            <w:r w:rsidRPr="000C4180">
              <w:rPr>
                <w:color w:val="000000"/>
                <w:sz w:val="20"/>
                <w:szCs w:val="20"/>
              </w:rPr>
              <w:t>Closing Balance</w:t>
            </w:r>
          </w:p>
        </w:tc>
        <w:tc>
          <w:tcPr>
            <w:tcW w:w="1293" w:type="dxa"/>
            <w:gridSpan w:val="2"/>
            <w:noWrap/>
            <w:vAlign w:val="bottom"/>
          </w:tcPr>
          <w:p w14:paraId="65A98D9E" w14:textId="77777777" w:rsidR="005A2F54" w:rsidRPr="000C4180" w:rsidRDefault="005A2F54" w:rsidP="00712BCD">
            <w:pPr>
              <w:jc w:val="right"/>
              <w:rPr>
                <w:color w:val="000000"/>
                <w:sz w:val="20"/>
                <w:szCs w:val="20"/>
              </w:rPr>
            </w:pPr>
            <w:r w:rsidRPr="000C4180">
              <w:rPr>
                <w:color w:val="000000"/>
                <w:sz w:val="20"/>
                <w:szCs w:val="20"/>
              </w:rPr>
              <w:t>-652.0</w:t>
            </w:r>
          </w:p>
        </w:tc>
        <w:tc>
          <w:tcPr>
            <w:tcW w:w="1243" w:type="dxa"/>
            <w:gridSpan w:val="2"/>
            <w:shd w:val="clear" w:color="auto" w:fill="auto"/>
            <w:noWrap/>
            <w:vAlign w:val="bottom"/>
          </w:tcPr>
          <w:p w14:paraId="34AADE82" w14:textId="77777777" w:rsidR="005A2F54" w:rsidRPr="000C4180" w:rsidRDefault="005A2F54" w:rsidP="00712BCD">
            <w:pPr>
              <w:jc w:val="right"/>
              <w:rPr>
                <w:color w:val="000000"/>
                <w:sz w:val="20"/>
                <w:szCs w:val="20"/>
              </w:rPr>
            </w:pPr>
            <w:r w:rsidRPr="000C4180">
              <w:rPr>
                <w:color w:val="000000"/>
                <w:sz w:val="20"/>
                <w:szCs w:val="20"/>
              </w:rPr>
              <w:t>53.3</w:t>
            </w:r>
          </w:p>
        </w:tc>
        <w:tc>
          <w:tcPr>
            <w:tcW w:w="1055" w:type="dxa"/>
            <w:gridSpan w:val="2"/>
            <w:shd w:val="clear" w:color="auto" w:fill="auto"/>
            <w:noWrap/>
            <w:vAlign w:val="bottom"/>
          </w:tcPr>
          <w:p w14:paraId="1A270196" w14:textId="77777777" w:rsidR="005A2F54" w:rsidRPr="000C4180" w:rsidRDefault="005A2F54" w:rsidP="00712BCD">
            <w:pPr>
              <w:jc w:val="right"/>
              <w:rPr>
                <w:color w:val="000000"/>
                <w:sz w:val="20"/>
                <w:szCs w:val="20"/>
              </w:rPr>
            </w:pPr>
            <w:r w:rsidRPr="000C4180">
              <w:rPr>
                <w:color w:val="000000"/>
                <w:sz w:val="20"/>
                <w:szCs w:val="20"/>
              </w:rPr>
              <w:t>1353.3</w:t>
            </w:r>
          </w:p>
        </w:tc>
        <w:tc>
          <w:tcPr>
            <w:tcW w:w="914" w:type="dxa"/>
            <w:gridSpan w:val="2"/>
            <w:shd w:val="clear" w:color="auto" w:fill="auto"/>
            <w:noWrap/>
            <w:vAlign w:val="bottom"/>
          </w:tcPr>
          <w:p w14:paraId="6574A198" w14:textId="77777777" w:rsidR="005A2F54" w:rsidRPr="000C4180" w:rsidRDefault="005A2F54" w:rsidP="00712BCD">
            <w:pPr>
              <w:jc w:val="right"/>
              <w:rPr>
                <w:color w:val="000000"/>
                <w:sz w:val="20"/>
                <w:szCs w:val="20"/>
              </w:rPr>
            </w:pPr>
            <w:r w:rsidRPr="000C4180">
              <w:rPr>
                <w:color w:val="000000"/>
                <w:sz w:val="20"/>
                <w:szCs w:val="20"/>
              </w:rPr>
              <w:t>-646.7</w:t>
            </w:r>
          </w:p>
        </w:tc>
        <w:tc>
          <w:tcPr>
            <w:tcW w:w="1189" w:type="dxa"/>
            <w:shd w:val="clear" w:color="auto" w:fill="auto"/>
            <w:noWrap/>
            <w:vAlign w:val="bottom"/>
          </w:tcPr>
          <w:p w14:paraId="466836B6" w14:textId="77777777" w:rsidR="005A2F54" w:rsidRPr="000C4180" w:rsidRDefault="005A2F54" w:rsidP="00712BCD">
            <w:pPr>
              <w:jc w:val="right"/>
              <w:rPr>
                <w:color w:val="000000"/>
                <w:sz w:val="20"/>
                <w:szCs w:val="20"/>
              </w:rPr>
            </w:pPr>
            <w:r w:rsidRPr="000C4180">
              <w:rPr>
                <w:color w:val="000000"/>
                <w:sz w:val="20"/>
                <w:szCs w:val="20"/>
              </w:rPr>
              <w:t>Balance</w:t>
            </w:r>
          </w:p>
        </w:tc>
        <w:tc>
          <w:tcPr>
            <w:tcW w:w="1594" w:type="dxa"/>
            <w:shd w:val="clear" w:color="auto" w:fill="auto"/>
            <w:vAlign w:val="bottom"/>
          </w:tcPr>
          <w:p w14:paraId="2707AC93" w14:textId="77777777" w:rsidR="005A2F54" w:rsidRPr="000C4180" w:rsidRDefault="005A2F54" w:rsidP="00712BCD">
            <w:pPr>
              <w:jc w:val="right"/>
              <w:rPr>
                <w:color w:val="000000"/>
                <w:sz w:val="20"/>
                <w:szCs w:val="20"/>
              </w:rPr>
            </w:pPr>
            <w:r w:rsidRPr="000C4180">
              <w:rPr>
                <w:color w:val="000000"/>
                <w:sz w:val="20"/>
                <w:szCs w:val="20"/>
              </w:rPr>
              <w:t>-646.7</w:t>
            </w:r>
          </w:p>
        </w:tc>
      </w:tr>
    </w:tbl>
    <w:p w14:paraId="45219C9A" w14:textId="77777777" w:rsidR="005A2F54" w:rsidRPr="000C4180" w:rsidRDefault="005A2F54" w:rsidP="00AF6ADF">
      <w:pPr>
        <w:pStyle w:val="NoSpacing"/>
        <w:jc w:val="left"/>
        <w:rPr>
          <w:sz w:val="18"/>
          <w:szCs w:val="18"/>
        </w:rPr>
      </w:pPr>
      <w:r w:rsidRPr="000C4180">
        <w:rPr>
          <w:sz w:val="18"/>
          <w:szCs w:val="18"/>
        </w:rPr>
        <w:t>* The figures in parenthesis of MIRR (10,10) and MIRR (10,0) stands for financing (10%) and investment rates (10%</w:t>
      </w:r>
      <w:r w:rsidR="00AF6ADF" w:rsidRPr="000C4180">
        <w:rPr>
          <w:sz w:val="18"/>
          <w:szCs w:val="18"/>
        </w:rPr>
        <w:t xml:space="preserve"> or</w:t>
      </w:r>
      <w:r w:rsidRPr="000C4180">
        <w:rPr>
          <w:sz w:val="18"/>
          <w:szCs w:val="18"/>
        </w:rPr>
        <w:t xml:space="preserve"> 0</w:t>
      </w:r>
      <w:r w:rsidR="00AF6ADF" w:rsidRPr="000C4180">
        <w:rPr>
          <w:sz w:val="18"/>
          <w:szCs w:val="18"/>
        </w:rPr>
        <w:t>).</w:t>
      </w:r>
    </w:p>
    <w:p w14:paraId="3581AA6B" w14:textId="77777777" w:rsidR="00AF6ADF" w:rsidRPr="000C4180" w:rsidRDefault="005A2F54" w:rsidP="00AF6ADF">
      <w:pPr>
        <w:pStyle w:val="NoSpacing"/>
        <w:jc w:val="left"/>
        <w:rPr>
          <w:sz w:val="18"/>
          <w:szCs w:val="18"/>
        </w:rPr>
      </w:pPr>
      <w:r w:rsidRPr="000C4180">
        <w:rPr>
          <w:sz w:val="18"/>
          <w:szCs w:val="18"/>
        </w:rPr>
        <w:t>** Figures in parenthesis is the closing balance (CB) in CAS or MCAS.</w:t>
      </w:r>
    </w:p>
    <w:p w14:paraId="4A73A8FB" w14:textId="77777777" w:rsidR="005A2F54" w:rsidRPr="000C4180" w:rsidRDefault="005A2F54" w:rsidP="00AF6ADF">
      <w:pPr>
        <w:pStyle w:val="NoSpacing"/>
        <w:jc w:val="left"/>
        <w:rPr>
          <w:sz w:val="18"/>
          <w:szCs w:val="18"/>
        </w:rPr>
      </w:pPr>
      <w:r w:rsidRPr="000C4180">
        <w:rPr>
          <w:sz w:val="18"/>
          <w:szCs w:val="18"/>
        </w:rPr>
        <w:t>*** IRR is 7.9% by interpolation of the NPVs estimated under the MCAS using a MIRRs as the rates. Using MIRR does not have any significance other than to identify a positive and negative NPV to enable interpolation.</w:t>
      </w:r>
    </w:p>
    <w:p w14:paraId="5226846B" w14:textId="05F297A1" w:rsidR="005A2F54" w:rsidRDefault="005A2F54" w:rsidP="005A54D1">
      <w:pPr>
        <w:pStyle w:val="NoSpacing"/>
      </w:pPr>
    </w:p>
    <w:p w14:paraId="6D0015D7" w14:textId="77777777" w:rsidR="005A54D1" w:rsidRPr="000C4180" w:rsidRDefault="005A54D1" w:rsidP="005A54D1">
      <w:pPr>
        <w:pStyle w:val="NoSpacing"/>
      </w:pPr>
      <w:r w:rsidRPr="000C4180">
        <w:t xml:space="preserve">The estimated criteria under the DCF and CAS methods are used to prepare MCAS and vice versa. The CAS and MCAS for various rates already estimated are furnished in the lower part of Table 1. </w:t>
      </w:r>
    </w:p>
    <w:p w14:paraId="0F75AE86" w14:textId="77777777" w:rsidR="005A54D1" w:rsidRDefault="005A54D1" w:rsidP="005A54D1">
      <w:pPr>
        <w:pStyle w:val="NoSpacing"/>
      </w:pPr>
      <w:r>
        <w:t>The results are discussed here:</w:t>
      </w:r>
    </w:p>
    <w:p w14:paraId="30B50068" w14:textId="7FDA07EF" w:rsidR="005A54D1" w:rsidRDefault="005A54D1" w:rsidP="005A54D1">
      <w:pPr>
        <w:pStyle w:val="NoSpacing"/>
        <w:numPr>
          <w:ilvl w:val="0"/>
          <w:numId w:val="34"/>
        </w:numPr>
      </w:pPr>
      <w:r>
        <w:t>Under the DCF and CAS methods, the NNCF with two sign changes resulted in multiple IRR (IRRs -5.5% and 45.2%). MIRR estimate is unique (no multiple MIRR) but the MIRR is an underestimate as that fails to fully utilise the NNCF as reveals by the closing balance of $165.75 and $156.5 in CAS and are the unutilised NNCF NPV of $106 and $119 (NPV = PV closing balances) at MIRR  (10,10) and (10,0) of 11.9% and 7.0%, respectively. MIRR is therefore not the appropriate criterion to eliminate the problem of multiple IRR.</w:t>
      </w:r>
    </w:p>
    <w:p w14:paraId="2ADD5253" w14:textId="4A198DAC" w:rsidR="005A54D1" w:rsidRDefault="005A54D1" w:rsidP="005A54D1">
      <w:pPr>
        <w:pStyle w:val="NoSpacing"/>
        <w:numPr>
          <w:ilvl w:val="0"/>
          <w:numId w:val="34"/>
        </w:numPr>
      </w:pPr>
      <w:r>
        <w:t xml:space="preserve">Under the DCF and CAS methods, NPV at 10% is $164.4 and zero at IRR of -5.5% and 45.2%. Then the positive NPV of $164 at 10% is confusing and not consistent with the mathematical relationship between IRR and NPV.  For instance, the NPV at 10% is positive but then it is zero at -5.5% and at 45.2%.  The NPV is also spurious and not the appropriate criterion for NNCF data to overcome the problem of multiple IRRs (see Elle’s, 2016, Campani, 2014). </w:t>
      </w:r>
    </w:p>
    <w:p w14:paraId="07AC0B01" w14:textId="702FCC29" w:rsidR="005A54D1" w:rsidRDefault="005A54D1" w:rsidP="005A54D1">
      <w:pPr>
        <w:pStyle w:val="NoSpacing"/>
        <w:numPr>
          <w:ilvl w:val="0"/>
          <w:numId w:val="34"/>
        </w:numPr>
      </w:pPr>
      <w:r>
        <w:t>In Table 1, the sum of income or net benefit (of the NNCF) is given ($1100) and the rate of return must be within that NNCF value. The last column of Table 1 presents the allocation of the benefits towards the ROC (capital), ROIC (return) and balance (difference between the income and allocated benefits (ROC + ROIC). Some interesting observations from the CAS analysis:</w:t>
      </w:r>
    </w:p>
    <w:p w14:paraId="46AFAB25" w14:textId="59FFA0C3" w:rsidR="005A54D1" w:rsidRDefault="005A54D1" w:rsidP="005A54D1">
      <w:pPr>
        <w:pStyle w:val="NoSpacing"/>
        <w:numPr>
          <w:ilvl w:val="0"/>
          <w:numId w:val="31"/>
        </w:numPr>
      </w:pPr>
      <w:r>
        <w:t>At IRR -5.5% and at 45.2%, the ROIC is only $100 that is equivalent to the SNCF of $100 (second column of Table 1);</w:t>
      </w:r>
    </w:p>
    <w:p w14:paraId="17740864" w14:textId="77777777" w:rsidR="009109B3" w:rsidRPr="000C4180" w:rsidRDefault="009109B3" w:rsidP="005A54D1">
      <w:pPr>
        <w:pStyle w:val="NoSpacing"/>
        <w:numPr>
          <w:ilvl w:val="0"/>
          <w:numId w:val="31"/>
        </w:numPr>
      </w:pPr>
      <w:r w:rsidRPr="000C4180">
        <w:lastRenderedPageBreak/>
        <w:t xml:space="preserve">The sum of negative and positive interest (ROIC) accounted in the CAS at both IRRs is -$100 (at -5.5: $62.5 and -$162.5 and at 45.2%: -$746.7 and $646.7); The sum of ROIC of -$100 and the SNCF of $100, is zero (zero CB) and therefore the NPV is zero (PV of CB = 0);  </w:t>
      </w:r>
    </w:p>
    <w:p w14:paraId="5972B493" w14:textId="77777777" w:rsidR="009109B3" w:rsidRPr="000C4180" w:rsidRDefault="009109B3" w:rsidP="005A54D1">
      <w:pPr>
        <w:pStyle w:val="NoSpacing"/>
        <w:numPr>
          <w:ilvl w:val="0"/>
          <w:numId w:val="31"/>
        </w:numPr>
      </w:pPr>
      <w:r w:rsidRPr="000C4180">
        <w:t>Under the CAS at 7.8% the ROIC is $115 (Sum of -$100 and $215). This spurious interest income of $115 along with the SNCF of $100 remain as unutilised closing balance of $215 and NPV of $147 (PV of $215).</w:t>
      </w:r>
    </w:p>
    <w:p w14:paraId="26BF6435" w14:textId="77777777" w:rsidR="009109B3" w:rsidRPr="000C4180" w:rsidRDefault="009109B3" w:rsidP="005A2F54">
      <w:pPr>
        <w:pStyle w:val="NoSpacing"/>
        <w:jc w:val="right"/>
      </w:pPr>
    </w:p>
    <w:p w14:paraId="2AB2D18B" w14:textId="77777777" w:rsidR="005A2F54" w:rsidRPr="000C4180" w:rsidRDefault="005A2F54" w:rsidP="005A54D1">
      <w:pPr>
        <w:pStyle w:val="NoSpacing"/>
        <w:numPr>
          <w:ilvl w:val="0"/>
          <w:numId w:val="34"/>
        </w:numPr>
      </w:pPr>
      <w:r w:rsidRPr="000C4180">
        <w:t xml:space="preserve">Obviously, the positive OB in the CAS in year 3 and 4 leads to positive interest to be earned elsewhere or to be injected into the project to pay for the negative inflow in the final year. That interest income is not a benefit from the investment or project and causes the multiple IRR problem. This is often misinterpreted as problem of IRR but its neither a problem with IRR nor NPV. It is a problem associated with NNCF data and the inability of the estimation method (DCF) to handle such problem. The MCAS method overcomes such problem and a detailed discussion is forthcoming in the next section. </w:t>
      </w:r>
    </w:p>
    <w:p w14:paraId="291D7EB7" w14:textId="5C99018C" w:rsidR="005A2F54" w:rsidRPr="000C4180" w:rsidRDefault="005A2F54" w:rsidP="005A54D1">
      <w:pPr>
        <w:pStyle w:val="NoSpacing"/>
        <w:numPr>
          <w:ilvl w:val="0"/>
          <w:numId w:val="34"/>
        </w:numPr>
      </w:pPr>
      <w:r w:rsidRPr="000C4180">
        <w:t xml:space="preserve">As discussed, the CASs prepared for the NNCF reveals that the OBs for years 3 and 4 are positive and therefore interest on the OBs (positive) are included as income flow which is not correct. In the CAS method, the interest income for the years three and four are $24.1 and $622.6, respectively. </w:t>
      </w:r>
    </w:p>
    <w:p w14:paraId="6B92F550" w14:textId="6604A379" w:rsidR="005A2F54" w:rsidRPr="000C4180" w:rsidRDefault="005A2F54" w:rsidP="005A54D1">
      <w:pPr>
        <w:pStyle w:val="NoSpacing"/>
        <w:numPr>
          <w:ilvl w:val="0"/>
          <w:numId w:val="34"/>
        </w:numPr>
      </w:pPr>
      <w:r w:rsidRPr="000C4180">
        <w:t xml:space="preserve">Under the MCAS method, the positive interest income for year three and four are not considered as a benefit or income and therefore ignored. The interest is shown as zero for year 3 and 4, as could be seen in table 1. </w:t>
      </w:r>
    </w:p>
    <w:p w14:paraId="7FD9FF29" w14:textId="32A68267" w:rsidR="005A2F54" w:rsidRPr="000C4180" w:rsidRDefault="005A2F54" w:rsidP="005A54D1">
      <w:pPr>
        <w:pStyle w:val="NoSpacing"/>
        <w:numPr>
          <w:ilvl w:val="0"/>
          <w:numId w:val="34"/>
        </w:numPr>
      </w:pPr>
      <w:r w:rsidRPr="000C4180">
        <w:t xml:space="preserve">The interest income is not an operating cash flow or benefit flow but an income flow from investment (or external to operating income). This treatment is the only difference between the CAS and MCAS methods. </w:t>
      </w:r>
    </w:p>
    <w:p w14:paraId="691EC6E5" w14:textId="553D2B6D" w:rsidR="005A2F54" w:rsidRPr="000C4180" w:rsidRDefault="005A2F54" w:rsidP="005A54D1">
      <w:pPr>
        <w:pStyle w:val="NoSpacing"/>
        <w:numPr>
          <w:ilvl w:val="0"/>
          <w:numId w:val="34"/>
        </w:numPr>
      </w:pPr>
      <w:r w:rsidRPr="000C4180">
        <w:t>Under the MCAS, the estimated IRR of 7.8% is unique and there is no multiple IRR. At 7.8% IRR, the NNCF is fully utilised and therefore the NPV and the closing balance are zero at 7.8% under the MCAS. Another important observation is that the ROIC under MCAS and CAS is -$100 (see last column in Table 1) at their respective IRRs (7.8% with MCAS and -5.5% and 45.2% with CAS methods). Although the interest is ignored under the MCAS, the net interest (ROIC) is $100 under both MCAS and CAS. This supports the treatment of interest income (ignored) on positive OBs under the MCAS method.</w:t>
      </w:r>
    </w:p>
    <w:p w14:paraId="5CC13AE6" w14:textId="7B3BCBC2" w:rsidR="005A2F54" w:rsidRPr="000C4180" w:rsidRDefault="005A2F54" w:rsidP="005A54D1">
      <w:pPr>
        <w:pStyle w:val="NoSpacing"/>
        <w:numPr>
          <w:ilvl w:val="0"/>
          <w:numId w:val="34"/>
        </w:numPr>
      </w:pPr>
      <w:r w:rsidRPr="000C4180">
        <w:t>The NPVs at 10% are $164 and -$20.5 under the CAS and MCAS methods, respectively. The interest income on positive OB not only leads to multiple IRR but also inconsistent</w:t>
      </w:r>
      <w:r w:rsidR="006A4CE7" w:rsidRPr="000C4180">
        <w:t xml:space="preserve"> higher</w:t>
      </w:r>
      <w:r w:rsidRPr="000C4180">
        <w:t xml:space="preserve"> NPV. The current practice of preferring NPV to avoid the multiple IRR problem is also </w:t>
      </w:r>
      <w:r w:rsidR="006A4CE7" w:rsidRPr="000C4180">
        <w:t xml:space="preserve">therefore </w:t>
      </w:r>
      <w:r w:rsidRPr="000C4180">
        <w:t xml:space="preserve">inappropriate.   </w:t>
      </w:r>
    </w:p>
    <w:p w14:paraId="7BFD5F1F" w14:textId="10E4B4E1" w:rsidR="005A2F54" w:rsidRPr="000C4180" w:rsidRDefault="005A2F54" w:rsidP="005A54D1">
      <w:pPr>
        <w:pStyle w:val="NoSpacing"/>
        <w:numPr>
          <w:ilvl w:val="0"/>
          <w:numId w:val="34"/>
        </w:numPr>
      </w:pPr>
      <w:r w:rsidRPr="000C4180">
        <w:t xml:space="preserve">Neither the MIRR nor the IRR estimated using DCF or CAS method is supported by the NNCF under the MCAS. The MCAS estimated IRR of 7.8% is the only rate that fully utilises the NNCF </w:t>
      </w:r>
      <w:r w:rsidRPr="000C4180">
        <w:lastRenderedPageBreak/>
        <w:t xml:space="preserve">and makes the closing balance and the NPV ‘zero’. NPV at 10% under the MCAS is -$20.5 and that is consistent for a NNCF with an IRR of 7.8%. </w:t>
      </w:r>
    </w:p>
    <w:p w14:paraId="423712BC" w14:textId="70061286" w:rsidR="005A2F54" w:rsidRPr="000C4180" w:rsidRDefault="005A2F54" w:rsidP="005A54D1">
      <w:pPr>
        <w:pStyle w:val="NoSpacing"/>
        <w:numPr>
          <w:ilvl w:val="0"/>
          <w:numId w:val="34"/>
        </w:numPr>
      </w:pPr>
      <w:r w:rsidRPr="000C4180">
        <w:t xml:space="preserve">The NNCF is not adequate (as </w:t>
      </w:r>
      <w:r w:rsidR="00C85164" w:rsidRPr="000C4180">
        <w:rPr>
          <w:rFonts w:eastAsia="Times New Roman"/>
          <w:color w:val="000000"/>
          <w:lang w:eastAsia="en-AU"/>
        </w:rPr>
        <w:t>revealed</w:t>
      </w:r>
      <w:r w:rsidRPr="000C4180">
        <w:t xml:space="preserve"> by the closing balance of -$36.0 in MCAS) to support the MIRR (10,10) of 11.9%. MIRR (10,10) is an </w:t>
      </w:r>
      <w:r w:rsidR="00C85164" w:rsidRPr="000C4180">
        <w:rPr>
          <w:rFonts w:eastAsia="Times New Roman"/>
          <w:color w:val="000000"/>
          <w:lang w:eastAsia="en-AU"/>
        </w:rPr>
        <w:t>overestimate.</w:t>
      </w:r>
      <w:r w:rsidRPr="000C4180">
        <w:t xml:space="preserve"> The MIRR (10,0) is an </w:t>
      </w:r>
      <w:r w:rsidR="00F506D1" w:rsidRPr="000C4180">
        <w:t>underestimate</w:t>
      </w:r>
      <w:r w:rsidRPr="000C4180">
        <w:t xml:space="preserve"> as there is unutilised NNCF of $8.5 (as reveals by the closing balance in MCAS).</w:t>
      </w:r>
    </w:p>
    <w:p w14:paraId="55D6947B" w14:textId="041FC2FE" w:rsidR="005A2F54" w:rsidRPr="000C4180" w:rsidRDefault="005A2F54" w:rsidP="005A54D1">
      <w:pPr>
        <w:pStyle w:val="NoSpacing"/>
        <w:numPr>
          <w:ilvl w:val="0"/>
          <w:numId w:val="34"/>
        </w:numPr>
      </w:pPr>
      <w:r w:rsidRPr="000C4180">
        <w:t xml:space="preserve">The MCAS method leads to a unique IRR of 7.8% and eliminated the problem of multiple IRR. When the MCAS estimated IRR of 7.8% is used in the CAS, there is a closing balance of $215.5 (see table). This indicates the 7.8% is an </w:t>
      </w:r>
      <w:r w:rsidR="009116C3" w:rsidRPr="000C4180">
        <w:t>underestimate</w:t>
      </w:r>
      <w:r w:rsidRPr="000C4180">
        <w:t xml:space="preserve"> under CAS (also DCF) method. However, the closing balance of $215.5 results from the interest income </w:t>
      </w:r>
      <w:r w:rsidR="006A4CE7" w:rsidRPr="000C4180">
        <w:t xml:space="preserve">(reinvestment income) </w:t>
      </w:r>
      <w:r w:rsidRPr="000C4180">
        <w:t xml:space="preserve">accrued and included in year three and four (54.7 + 160.7 = 215.4). This interest income is </w:t>
      </w:r>
      <w:r w:rsidR="0025466F" w:rsidRPr="000C4180">
        <w:t>unrealistic,</w:t>
      </w:r>
      <w:r w:rsidRPr="000C4180">
        <w:t xml:space="preserve"> and it leads to multiple IRRs or incorrect IRRs.</w:t>
      </w:r>
    </w:p>
    <w:p w14:paraId="240B18E3" w14:textId="5EA96205" w:rsidR="005A2F54" w:rsidRPr="000C4180" w:rsidRDefault="005A2F54" w:rsidP="005A54D1">
      <w:pPr>
        <w:pStyle w:val="NoSpacing"/>
        <w:numPr>
          <w:ilvl w:val="0"/>
          <w:numId w:val="34"/>
        </w:numPr>
      </w:pPr>
      <w:r w:rsidRPr="000C4180">
        <w:t>The IRR of 7.8% seems realistic and appropriate as explained below:</w:t>
      </w:r>
    </w:p>
    <w:p w14:paraId="58C68D03" w14:textId="741E6EF0" w:rsidR="005A2F54" w:rsidRPr="000C4180" w:rsidRDefault="005A2F54" w:rsidP="00A74765">
      <w:pPr>
        <w:pStyle w:val="NoSpacing"/>
        <w:numPr>
          <w:ilvl w:val="0"/>
          <w:numId w:val="36"/>
        </w:numPr>
      </w:pPr>
      <w:r w:rsidRPr="000C4180">
        <w:t>At 7.8% the closing balance is zero in the MCAS that indicates the NNCF is fully utilised. An IRR of 7.8% is the maximum IRR that the NNCF could support;</w:t>
      </w:r>
    </w:p>
    <w:p w14:paraId="541C900B" w14:textId="7622A1A4" w:rsidR="005A2F54" w:rsidRPr="000C4180" w:rsidRDefault="005A2F54" w:rsidP="00A74765">
      <w:pPr>
        <w:pStyle w:val="NoSpacing"/>
        <w:numPr>
          <w:ilvl w:val="0"/>
          <w:numId w:val="36"/>
        </w:numPr>
      </w:pPr>
      <w:r w:rsidRPr="000C4180">
        <w:t>At 7.8% the NPV is zero which is consistent with the mathematical relationship between IRR and NPV; NPV at 10% is -$30.0 that indicates that the IRR must be less than 10%. MCAS estimated IRR of 7.8% is therefore realistic and consistent with NCF and NPV;</w:t>
      </w:r>
    </w:p>
    <w:p w14:paraId="66CEDBAC" w14:textId="7AB990F5" w:rsidR="005A2F54" w:rsidRPr="000C4180" w:rsidRDefault="005A2F54" w:rsidP="00A74765">
      <w:pPr>
        <w:pStyle w:val="NoSpacing"/>
        <w:numPr>
          <w:ilvl w:val="0"/>
          <w:numId w:val="36"/>
        </w:numPr>
      </w:pPr>
      <w:r w:rsidRPr="000C4180">
        <w:t xml:space="preserve">NPV is negative at MIRR (10,10) of 11.9% and positive at MIRR (10,0) of 7% (investment rate ‘0’ used in MIRR (10,0) is reasonable as the intermediate interest income is not included under </w:t>
      </w:r>
      <w:r w:rsidR="006A4CE7" w:rsidRPr="000C4180">
        <w:t xml:space="preserve">both </w:t>
      </w:r>
      <w:r w:rsidRPr="000C4180">
        <w:t>the MCAS</w:t>
      </w:r>
      <w:r w:rsidR="006A4CE7" w:rsidRPr="000C4180">
        <w:t xml:space="preserve"> and </w:t>
      </w:r>
      <w:r w:rsidRPr="000C4180">
        <w:t>MIRR (10,0);</w:t>
      </w:r>
    </w:p>
    <w:p w14:paraId="28CE41FB" w14:textId="2716FC2D" w:rsidR="005A2F54" w:rsidRPr="000C4180" w:rsidRDefault="005A2F54" w:rsidP="00A74765">
      <w:pPr>
        <w:pStyle w:val="NoSpacing"/>
        <w:numPr>
          <w:ilvl w:val="0"/>
          <w:numId w:val="36"/>
        </w:numPr>
      </w:pPr>
      <w:r w:rsidRPr="000C4180">
        <w:t xml:space="preserve">The IRR must be in between 11.9% and 7% because the NPV at these rates (MIRRs) under MCAS (results not furnished in Table </w:t>
      </w:r>
      <w:r w:rsidR="006A4CE7" w:rsidRPr="000C4180">
        <w:t>1</w:t>
      </w:r>
      <w:r w:rsidRPr="000C4180">
        <w:t xml:space="preserve">) are negative and positive, respectively. By interpolating the NPV at 11.9% and 7.0%, the estimated IRR is 7.9% which is very close to 7.8% estimated by the MCAS method. </w:t>
      </w:r>
    </w:p>
    <w:p w14:paraId="0BC614A0" w14:textId="01737552" w:rsidR="006A4CE7" w:rsidRPr="000C4180" w:rsidRDefault="006A4CE7" w:rsidP="00A74765">
      <w:pPr>
        <w:pStyle w:val="NoSpacing"/>
        <w:numPr>
          <w:ilvl w:val="0"/>
          <w:numId w:val="36"/>
        </w:numPr>
      </w:pPr>
      <w:r w:rsidRPr="000C4180">
        <w:t>For the investment of $1000</w:t>
      </w:r>
      <w:r w:rsidR="00F82068" w:rsidRPr="000C4180">
        <w:t>, the SNCF is $100 (see column 2). That works out to 10% return before discounting and therefore after discounting the IRR of 7.9% is realistic.</w:t>
      </w:r>
    </w:p>
    <w:p w14:paraId="4911FAD1" w14:textId="52C9BF02" w:rsidR="005A2F54" w:rsidRPr="000C4180" w:rsidRDefault="005A2F54" w:rsidP="00A74765">
      <w:pPr>
        <w:pStyle w:val="NoSpacing"/>
        <w:numPr>
          <w:ilvl w:val="0"/>
          <w:numId w:val="36"/>
        </w:numPr>
      </w:pPr>
      <w:r w:rsidRPr="000C4180">
        <w:t>From an opportunity cost perspective, the interest income on positive OB needs careful analysis. The opportunity cost will be accounted for by investment elsewhere with market rate of interest. The project account need not act as a fund’s manager for the investor that too by assuming reinvestment at IRR or hurdle rate.</w:t>
      </w:r>
    </w:p>
    <w:p w14:paraId="51D002B6" w14:textId="20B18CDD" w:rsidR="005A2F54" w:rsidRPr="000C4180" w:rsidRDefault="005A2F54" w:rsidP="005A2F54">
      <w:pPr>
        <w:pStyle w:val="NoSpacing"/>
      </w:pPr>
    </w:p>
    <w:p w14:paraId="5D31A9A1" w14:textId="695087A2" w:rsidR="009109B3" w:rsidRDefault="005A2F54" w:rsidP="005A2F54">
      <w:pPr>
        <w:pStyle w:val="NoSpacing"/>
      </w:pPr>
      <w:r w:rsidRPr="000C4180">
        <w:t>The above analysis demonstrates the usefulness of the MCAS method and solves the problem of multiple IRRs and leads to a unique IRR. The estimated IRR is consistent with the mathematical relationship between IRR and NPV and NCF.</w:t>
      </w:r>
    </w:p>
    <w:p w14:paraId="63F92D92" w14:textId="77777777" w:rsidR="009109B3" w:rsidRPr="000C4180" w:rsidRDefault="009109B3" w:rsidP="005A2F54">
      <w:pPr>
        <w:pStyle w:val="NoSpacing"/>
      </w:pPr>
    </w:p>
    <w:p w14:paraId="1FB6FDD0" w14:textId="77777777" w:rsidR="005A2F54" w:rsidRPr="000C4180" w:rsidRDefault="005A2F54" w:rsidP="005A2F54">
      <w:pPr>
        <w:pStyle w:val="NoSpacing"/>
        <w:rPr>
          <w:b/>
        </w:rPr>
      </w:pPr>
      <w:r w:rsidRPr="000C4180">
        <w:rPr>
          <w:b/>
        </w:rPr>
        <w:t>4.2 Factors causing Multiple IRR Problem:</w:t>
      </w:r>
    </w:p>
    <w:p w14:paraId="4A33DE11" w14:textId="0012CFEA" w:rsidR="005A2F54" w:rsidRPr="000C4180" w:rsidRDefault="005A2F54" w:rsidP="005A2F54">
      <w:pPr>
        <w:pStyle w:val="NoSpacing"/>
      </w:pPr>
      <w:r w:rsidRPr="000C4180">
        <w:lastRenderedPageBreak/>
        <w:t xml:space="preserve">The possible number of IRRs is better explained using Descartes rule of signs. Eschenbachetal (2007) and several authors indicated that IRR can be estimated only when there are at least one or more sign changes in the NCF series. When there is no negative </w:t>
      </w:r>
      <w:r w:rsidR="00C85164" w:rsidRPr="000C4180">
        <w:rPr>
          <w:rFonts w:eastAsia="Times New Roman"/>
          <w:color w:val="000000"/>
          <w:lang w:eastAsia="en-AU"/>
        </w:rPr>
        <w:t>cash flow</w:t>
      </w:r>
      <w:r w:rsidRPr="000C4180">
        <w:t>, there is no investment flow or sign changes and therefore no IRR. Six hypothetical cases of NNCF data with two or three sign changes are used to estimate the IRR, NPV and MIRR and presented in table 2.</w:t>
      </w:r>
    </w:p>
    <w:p w14:paraId="42DB1348" w14:textId="75E3F950" w:rsidR="005A2F54" w:rsidRPr="000C4180" w:rsidRDefault="005A2F54" w:rsidP="005A2F54">
      <w:pPr>
        <w:pStyle w:val="NoSpacing"/>
        <w:numPr>
          <w:ilvl w:val="0"/>
          <w:numId w:val="3"/>
        </w:numPr>
      </w:pPr>
      <w:r w:rsidRPr="000C4180">
        <w:t>All the six NNCFs with two or three sign changes (see Table 2) do not end with multiple IRR. They all have unique IRRs. The IRR is either unique or zero or negative or no IRR.</w:t>
      </w:r>
    </w:p>
    <w:p w14:paraId="697F9A94" w14:textId="4AE3569C" w:rsidR="005A2F54" w:rsidRPr="000C4180" w:rsidRDefault="005A2F54" w:rsidP="005A2F54">
      <w:pPr>
        <w:pStyle w:val="NoSpacing"/>
        <w:numPr>
          <w:ilvl w:val="0"/>
          <w:numId w:val="3"/>
        </w:numPr>
      </w:pPr>
      <w:r w:rsidRPr="000C4180">
        <w:t>When the sum of NCF (SNCF) is zero (NNCF 1 and 2 with 2 or 3 changes of sign), the IRR is zero. Obviously, it is reasonable to expect an IRR of zero when the sum of NCF is zero;</w:t>
      </w:r>
    </w:p>
    <w:p w14:paraId="5F5A0F68" w14:textId="25F8DEB8" w:rsidR="005A2F54" w:rsidRPr="000C4180" w:rsidRDefault="005A2F54" w:rsidP="005A2F54">
      <w:pPr>
        <w:pStyle w:val="NoSpacing"/>
        <w:numPr>
          <w:ilvl w:val="0"/>
          <w:numId w:val="3"/>
        </w:numPr>
      </w:pPr>
      <w:r w:rsidRPr="000C4180">
        <w:t>With negative SNCF (NNCF 3 and 4 with 2 or 3 changes of sign), the IRR is also negative or there is no IRR. This again is reasonable given that the sum of NCF is negative;</w:t>
      </w:r>
    </w:p>
    <w:p w14:paraId="1D0DFB59" w14:textId="24AF51D4" w:rsidR="005A2F54" w:rsidRPr="000C4180" w:rsidRDefault="005A2F54" w:rsidP="005A2F54">
      <w:pPr>
        <w:pStyle w:val="NoSpacing"/>
        <w:numPr>
          <w:ilvl w:val="0"/>
          <w:numId w:val="3"/>
        </w:numPr>
      </w:pPr>
      <w:r w:rsidRPr="000C4180">
        <w:t>NNCFs 5 and 6 are with two and three sign changes, respectively. With positive SNCFs, both cases 5 and 6 lead to unique IRRs that are positive. In these cases, IRR, NPV and MIRR indicate that those are acceptable. In all other cases, the IRR</w:t>
      </w:r>
      <w:r w:rsidR="00852188" w:rsidRPr="000C4180">
        <w:t>, NPV and MIRR do</w:t>
      </w:r>
      <w:r w:rsidRPr="000C4180">
        <w:t xml:space="preserve"> not support the investment.</w:t>
      </w:r>
    </w:p>
    <w:p w14:paraId="3C7054C2" w14:textId="43BB1435" w:rsidR="005A2F54" w:rsidRPr="000C4180" w:rsidRDefault="005A2F54" w:rsidP="005A2F54">
      <w:pPr>
        <w:pStyle w:val="NoSpacing"/>
        <w:numPr>
          <w:ilvl w:val="0"/>
          <w:numId w:val="3"/>
        </w:numPr>
      </w:pPr>
      <w:r w:rsidRPr="000C4180">
        <w:t>The estimated IRR and NPV by MCAS method (detailed discussions follow later) reveals some interesting findings:</w:t>
      </w:r>
    </w:p>
    <w:p w14:paraId="3C705EA2" w14:textId="2D47933E" w:rsidR="005A2F54" w:rsidRPr="000C4180" w:rsidRDefault="005A2F54" w:rsidP="005A2F54">
      <w:pPr>
        <w:pStyle w:val="NoSpacing"/>
        <w:numPr>
          <w:ilvl w:val="0"/>
          <w:numId w:val="16"/>
        </w:numPr>
      </w:pPr>
      <w:r w:rsidRPr="000C4180">
        <w:t>In the cases of NNCFs 1 and 2 the IRRs are zero under CAS/DCF</w:t>
      </w:r>
      <w:r w:rsidRPr="000C4180">
        <w:rPr>
          <w:rStyle w:val="FootnoteReference"/>
        </w:rPr>
        <w:footnoteReference w:id="8"/>
      </w:r>
      <w:r w:rsidRPr="000C4180">
        <w:t xml:space="preserve"> and MCAS methods but the estimated NPVs at 10% differ because MCAS method exclude</w:t>
      </w:r>
      <w:r w:rsidR="00F82068" w:rsidRPr="000C4180">
        <w:t>s</w:t>
      </w:r>
      <w:r w:rsidRPr="000C4180">
        <w:t xml:space="preserve"> the intermediate income; </w:t>
      </w:r>
    </w:p>
    <w:p w14:paraId="3DEB439E" w14:textId="4B517650" w:rsidR="00F82068" w:rsidRPr="000C4180" w:rsidRDefault="005A2F54" w:rsidP="007905E7">
      <w:pPr>
        <w:pStyle w:val="NoSpacing"/>
        <w:numPr>
          <w:ilvl w:val="0"/>
          <w:numId w:val="16"/>
        </w:numPr>
      </w:pPr>
      <w:r w:rsidRPr="000C4180">
        <w:t>NCCF 3 and 5 do not have reinvestment income and therefore the estimated IRRs and NPVs under CAS and MCAS methods are the same</w:t>
      </w:r>
      <w:r w:rsidR="00F82068" w:rsidRPr="000C4180">
        <w:t>. This finding also indicates reinvestment assumption in MIRR is wrong.</w:t>
      </w:r>
    </w:p>
    <w:p w14:paraId="058DEB47" w14:textId="74DEAA25" w:rsidR="005A2F54" w:rsidRPr="000C4180" w:rsidRDefault="005A2F54" w:rsidP="005A2F54">
      <w:pPr>
        <w:pStyle w:val="NoSpacing"/>
        <w:numPr>
          <w:ilvl w:val="0"/>
          <w:numId w:val="16"/>
        </w:numPr>
      </w:pPr>
      <w:r w:rsidRPr="000C4180">
        <w:t xml:space="preserve"> There is no IRR in the case of NNCF 4 under CAS method but there is negative IRR of -7.4% and the NPV at 10% differs under MCAS method after elimination of reinvestment income.</w:t>
      </w:r>
    </w:p>
    <w:p w14:paraId="3087C555" w14:textId="2EB11B11" w:rsidR="005A2F54" w:rsidRPr="000C4180" w:rsidRDefault="005A2F54" w:rsidP="005A2F54">
      <w:pPr>
        <w:pStyle w:val="NoSpacing"/>
        <w:numPr>
          <w:ilvl w:val="0"/>
          <w:numId w:val="16"/>
        </w:numPr>
      </w:pPr>
      <w:r w:rsidRPr="000C4180">
        <w:t>As NNCF 6</w:t>
      </w:r>
      <w:r w:rsidR="00852188" w:rsidRPr="000C4180">
        <w:t>, IRR and NPV estimates by DCF and CAS methods, that</w:t>
      </w:r>
      <w:r w:rsidRPr="000C4180">
        <w:t xml:space="preserve"> includes reinvestment income, and MCAS method</w:t>
      </w:r>
      <w:r w:rsidR="00852188" w:rsidRPr="000C4180">
        <w:t xml:space="preserve"> (reinvestment not included)</w:t>
      </w:r>
      <w:r w:rsidRPr="000C4180">
        <w:t xml:space="preserve"> diverge. </w:t>
      </w:r>
    </w:p>
    <w:p w14:paraId="63AA0CBE" w14:textId="43B8FAD0" w:rsidR="005A2F54" w:rsidRPr="000C4180" w:rsidRDefault="005A2F54" w:rsidP="005A2F54">
      <w:pPr>
        <w:pStyle w:val="NoSpacing"/>
      </w:pPr>
      <w:r w:rsidRPr="000C4180">
        <w:t xml:space="preserve">The results indicate that all NNCFs involve reinvestment income </w:t>
      </w:r>
      <w:r w:rsidR="00852188" w:rsidRPr="000C4180">
        <w:t>but</w:t>
      </w:r>
      <w:r w:rsidRPr="000C4180">
        <w:t xml:space="preserve"> need not necessarily end up with mult</w:t>
      </w:r>
      <w:bookmarkStart w:id="8" w:name="_Hlk487551225"/>
      <w:r w:rsidRPr="000C4180">
        <w:t xml:space="preserve">iple IRR. The results are consistent with </w:t>
      </w:r>
      <w:r w:rsidR="0025466F" w:rsidRPr="000C4180">
        <w:t>Descartes</w:t>
      </w:r>
      <w:r w:rsidRPr="000C4180">
        <w:t xml:space="preserve"> rule.  In the cases of NNCF 3, the cumulative NCF has no change of sign but the IRR is -3.3%. In the case of NNCF 4, the  NCF has two sign changes but the IRR is zero. Nostrom criteria are not always true.</w:t>
      </w:r>
      <w:bookmarkEnd w:id="8"/>
      <w:r w:rsidRPr="000C4180">
        <w:t xml:space="preserve"> A similar case is reported by Butenko (2017).</w:t>
      </w:r>
    </w:p>
    <w:p w14:paraId="2328BF59" w14:textId="517031D5" w:rsidR="009109B3" w:rsidRDefault="009109B3">
      <w:pPr>
        <w:spacing w:after="160" w:line="259" w:lineRule="auto"/>
        <w:rPr>
          <w:rFonts w:eastAsiaTheme="majorEastAsia"/>
          <w:b/>
          <w:bCs/>
          <w:sz w:val="22"/>
          <w:szCs w:val="22"/>
        </w:rPr>
      </w:pPr>
    </w:p>
    <w:p w14:paraId="0DB7BE14" w14:textId="09B295C8" w:rsidR="005A2F54" w:rsidRPr="000C4180" w:rsidRDefault="005A2F54" w:rsidP="009109B3">
      <w:pPr>
        <w:pStyle w:val="Heading3"/>
      </w:pPr>
      <w:r w:rsidRPr="000C4180">
        <w:t>Table: 2. Hypothetical NNCFs with Two and Three Sign Changes but with Unique IRR (no multiple IRRs) with DCF and CAS Method</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332"/>
        <w:gridCol w:w="1166"/>
        <w:gridCol w:w="1166"/>
        <w:gridCol w:w="1166"/>
        <w:gridCol w:w="1166"/>
        <w:gridCol w:w="1166"/>
        <w:gridCol w:w="1166"/>
      </w:tblGrid>
      <w:tr w:rsidR="005A2F54" w:rsidRPr="000C4180" w14:paraId="50422681" w14:textId="77777777" w:rsidTr="00852188">
        <w:trPr>
          <w:trHeight w:val="824"/>
        </w:trPr>
        <w:tc>
          <w:tcPr>
            <w:tcW w:w="2332" w:type="dxa"/>
            <w:noWrap/>
            <w:vAlign w:val="bottom"/>
            <w:hideMark/>
          </w:tcPr>
          <w:p w14:paraId="5D03ABB4" w14:textId="77777777" w:rsidR="005A2F54" w:rsidRPr="000C4180" w:rsidRDefault="005A2F54" w:rsidP="00712BCD">
            <w:pPr>
              <w:widowControl w:val="0"/>
              <w:contextualSpacing/>
              <w:rPr>
                <w:color w:val="000000"/>
                <w:sz w:val="20"/>
                <w:szCs w:val="20"/>
              </w:rPr>
            </w:pPr>
            <w:r w:rsidRPr="000C4180">
              <w:rPr>
                <w:color w:val="000000"/>
                <w:sz w:val="20"/>
                <w:szCs w:val="20"/>
              </w:rPr>
              <w:t>Details</w:t>
            </w:r>
          </w:p>
        </w:tc>
        <w:tc>
          <w:tcPr>
            <w:tcW w:w="1166" w:type="dxa"/>
            <w:noWrap/>
            <w:vAlign w:val="bottom"/>
            <w:hideMark/>
          </w:tcPr>
          <w:p w14:paraId="70DEF932" w14:textId="77777777" w:rsidR="005A2F54" w:rsidRPr="000C4180" w:rsidRDefault="005A2F54" w:rsidP="00712BCD">
            <w:pPr>
              <w:widowControl w:val="0"/>
              <w:contextualSpacing/>
              <w:rPr>
                <w:color w:val="000000"/>
                <w:sz w:val="20"/>
                <w:szCs w:val="20"/>
              </w:rPr>
            </w:pPr>
            <w:r w:rsidRPr="000C4180">
              <w:rPr>
                <w:color w:val="000000"/>
                <w:sz w:val="20"/>
                <w:szCs w:val="20"/>
              </w:rPr>
              <w:t>NNCF 1:</w:t>
            </w:r>
          </w:p>
          <w:p w14:paraId="350AE714"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2 Sign changes &amp; </w:t>
            </w:r>
            <w:r w:rsidRPr="000C4180">
              <w:rPr>
                <w:color w:val="000000"/>
                <w:sz w:val="20"/>
                <w:szCs w:val="20"/>
              </w:rPr>
              <w:lastRenderedPageBreak/>
              <w:t>SNCF = 0</w:t>
            </w:r>
          </w:p>
        </w:tc>
        <w:tc>
          <w:tcPr>
            <w:tcW w:w="1166" w:type="dxa"/>
            <w:noWrap/>
            <w:vAlign w:val="bottom"/>
            <w:hideMark/>
          </w:tcPr>
          <w:p w14:paraId="7E4FC41A" w14:textId="77777777" w:rsidR="005A2F54" w:rsidRPr="000C4180" w:rsidRDefault="005A2F54" w:rsidP="00712BCD">
            <w:pPr>
              <w:widowControl w:val="0"/>
              <w:contextualSpacing/>
              <w:rPr>
                <w:color w:val="000000"/>
                <w:sz w:val="20"/>
                <w:szCs w:val="20"/>
              </w:rPr>
            </w:pPr>
            <w:r w:rsidRPr="000C4180">
              <w:rPr>
                <w:color w:val="000000"/>
                <w:sz w:val="20"/>
                <w:szCs w:val="20"/>
              </w:rPr>
              <w:lastRenderedPageBreak/>
              <w:t>NNCF 2:</w:t>
            </w:r>
          </w:p>
          <w:p w14:paraId="5523117B"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3 sign Changes &amp; </w:t>
            </w:r>
            <w:r w:rsidRPr="000C4180">
              <w:rPr>
                <w:color w:val="000000"/>
                <w:sz w:val="20"/>
                <w:szCs w:val="20"/>
              </w:rPr>
              <w:lastRenderedPageBreak/>
              <w:t>SNCF = 0</w:t>
            </w:r>
          </w:p>
        </w:tc>
        <w:tc>
          <w:tcPr>
            <w:tcW w:w="1166" w:type="dxa"/>
            <w:noWrap/>
            <w:vAlign w:val="bottom"/>
            <w:hideMark/>
          </w:tcPr>
          <w:p w14:paraId="3D627539" w14:textId="77777777" w:rsidR="005A2F54" w:rsidRPr="000C4180" w:rsidRDefault="005A2F54" w:rsidP="00712BCD">
            <w:pPr>
              <w:widowControl w:val="0"/>
              <w:contextualSpacing/>
              <w:rPr>
                <w:color w:val="000000"/>
                <w:sz w:val="20"/>
                <w:szCs w:val="20"/>
              </w:rPr>
            </w:pPr>
            <w:r w:rsidRPr="000C4180">
              <w:rPr>
                <w:color w:val="000000"/>
                <w:sz w:val="20"/>
                <w:szCs w:val="20"/>
              </w:rPr>
              <w:lastRenderedPageBreak/>
              <w:t>NNCF 3:</w:t>
            </w:r>
          </w:p>
          <w:p w14:paraId="0537E7DF"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2 Sign changes &amp; </w:t>
            </w:r>
            <w:r w:rsidRPr="000C4180">
              <w:rPr>
                <w:color w:val="000000"/>
                <w:sz w:val="20"/>
                <w:szCs w:val="20"/>
              </w:rPr>
              <w:lastRenderedPageBreak/>
              <w:t>SNCF &lt; 0</w:t>
            </w:r>
          </w:p>
        </w:tc>
        <w:tc>
          <w:tcPr>
            <w:tcW w:w="1166" w:type="dxa"/>
            <w:noWrap/>
            <w:vAlign w:val="bottom"/>
            <w:hideMark/>
          </w:tcPr>
          <w:p w14:paraId="4CC71986" w14:textId="77777777" w:rsidR="005A2F54" w:rsidRPr="000C4180" w:rsidRDefault="005A2F54" w:rsidP="00712BCD">
            <w:pPr>
              <w:widowControl w:val="0"/>
              <w:contextualSpacing/>
              <w:rPr>
                <w:color w:val="000000"/>
                <w:sz w:val="20"/>
                <w:szCs w:val="20"/>
              </w:rPr>
            </w:pPr>
            <w:r w:rsidRPr="000C4180">
              <w:rPr>
                <w:color w:val="000000"/>
                <w:sz w:val="20"/>
                <w:szCs w:val="20"/>
              </w:rPr>
              <w:lastRenderedPageBreak/>
              <w:t>NNCF 4:</w:t>
            </w:r>
          </w:p>
          <w:p w14:paraId="0D2AF669"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3 sign Changes &amp; </w:t>
            </w:r>
            <w:r w:rsidRPr="000C4180">
              <w:rPr>
                <w:color w:val="000000"/>
                <w:sz w:val="20"/>
                <w:szCs w:val="20"/>
              </w:rPr>
              <w:lastRenderedPageBreak/>
              <w:t>SNCF &lt; 0</w:t>
            </w:r>
          </w:p>
        </w:tc>
        <w:tc>
          <w:tcPr>
            <w:tcW w:w="1166" w:type="dxa"/>
            <w:noWrap/>
            <w:vAlign w:val="bottom"/>
            <w:hideMark/>
          </w:tcPr>
          <w:p w14:paraId="443BCD9F" w14:textId="77777777" w:rsidR="005A2F54" w:rsidRPr="000C4180" w:rsidRDefault="005A2F54" w:rsidP="00712BCD">
            <w:pPr>
              <w:widowControl w:val="0"/>
              <w:contextualSpacing/>
              <w:rPr>
                <w:color w:val="000000"/>
                <w:sz w:val="20"/>
                <w:szCs w:val="20"/>
              </w:rPr>
            </w:pPr>
            <w:r w:rsidRPr="000C4180">
              <w:rPr>
                <w:color w:val="000000"/>
                <w:sz w:val="20"/>
                <w:szCs w:val="20"/>
              </w:rPr>
              <w:lastRenderedPageBreak/>
              <w:t xml:space="preserve">NNCF 5: </w:t>
            </w:r>
          </w:p>
          <w:p w14:paraId="454C1E6F"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2 Sign changes &amp; </w:t>
            </w:r>
            <w:r w:rsidRPr="000C4180">
              <w:rPr>
                <w:color w:val="000000"/>
                <w:sz w:val="20"/>
                <w:szCs w:val="20"/>
              </w:rPr>
              <w:lastRenderedPageBreak/>
              <w:t>SNCF &gt; 0</w:t>
            </w:r>
          </w:p>
        </w:tc>
        <w:tc>
          <w:tcPr>
            <w:tcW w:w="1166" w:type="dxa"/>
            <w:noWrap/>
            <w:vAlign w:val="bottom"/>
            <w:hideMark/>
          </w:tcPr>
          <w:p w14:paraId="143861B7" w14:textId="77777777" w:rsidR="005A2F54" w:rsidRPr="000C4180" w:rsidRDefault="005A2F54" w:rsidP="00712BCD">
            <w:pPr>
              <w:widowControl w:val="0"/>
              <w:contextualSpacing/>
              <w:rPr>
                <w:color w:val="000000"/>
                <w:sz w:val="20"/>
                <w:szCs w:val="20"/>
              </w:rPr>
            </w:pPr>
            <w:r w:rsidRPr="000C4180">
              <w:rPr>
                <w:color w:val="000000"/>
                <w:sz w:val="20"/>
                <w:szCs w:val="20"/>
              </w:rPr>
              <w:lastRenderedPageBreak/>
              <w:t>NNCF 6:</w:t>
            </w:r>
          </w:p>
          <w:p w14:paraId="520977B4" w14:textId="77777777" w:rsidR="005A2F54" w:rsidRPr="000C4180" w:rsidRDefault="005A2F54" w:rsidP="00712BCD">
            <w:pPr>
              <w:widowControl w:val="0"/>
              <w:contextualSpacing/>
              <w:rPr>
                <w:color w:val="000000"/>
                <w:sz w:val="20"/>
                <w:szCs w:val="20"/>
              </w:rPr>
            </w:pPr>
            <w:r w:rsidRPr="000C4180">
              <w:rPr>
                <w:color w:val="000000"/>
                <w:sz w:val="20"/>
                <w:szCs w:val="20"/>
              </w:rPr>
              <w:t xml:space="preserve">with 3 sign Changes &amp; </w:t>
            </w:r>
            <w:r w:rsidRPr="000C4180">
              <w:rPr>
                <w:color w:val="000000"/>
                <w:sz w:val="20"/>
                <w:szCs w:val="20"/>
              </w:rPr>
              <w:lastRenderedPageBreak/>
              <w:t>SNCF &gt; 0</w:t>
            </w:r>
          </w:p>
        </w:tc>
      </w:tr>
      <w:tr w:rsidR="005A2F54" w:rsidRPr="000C4180" w14:paraId="10B035E6" w14:textId="77777777" w:rsidTr="00852188">
        <w:trPr>
          <w:trHeight w:val="226"/>
        </w:trPr>
        <w:tc>
          <w:tcPr>
            <w:tcW w:w="2332" w:type="dxa"/>
            <w:noWrap/>
            <w:vAlign w:val="bottom"/>
            <w:hideMark/>
          </w:tcPr>
          <w:p w14:paraId="14CC1535" w14:textId="77777777" w:rsidR="005A2F54" w:rsidRPr="000C4180" w:rsidRDefault="005A2F54" w:rsidP="00712BCD">
            <w:pPr>
              <w:rPr>
                <w:color w:val="000000"/>
                <w:sz w:val="20"/>
                <w:szCs w:val="20"/>
              </w:rPr>
            </w:pPr>
            <w:r w:rsidRPr="000C4180">
              <w:rPr>
                <w:color w:val="000000"/>
                <w:sz w:val="20"/>
                <w:szCs w:val="20"/>
              </w:rPr>
              <w:lastRenderedPageBreak/>
              <w:t>Year 0</w:t>
            </w:r>
          </w:p>
        </w:tc>
        <w:tc>
          <w:tcPr>
            <w:tcW w:w="1166" w:type="dxa"/>
            <w:noWrap/>
            <w:vAlign w:val="bottom"/>
            <w:hideMark/>
          </w:tcPr>
          <w:p w14:paraId="74564CC5" w14:textId="77777777" w:rsidR="005A2F54" w:rsidRPr="000C4180" w:rsidRDefault="005A2F54" w:rsidP="00712BCD">
            <w:pPr>
              <w:jc w:val="right"/>
              <w:rPr>
                <w:color w:val="000000"/>
                <w:sz w:val="20"/>
                <w:szCs w:val="20"/>
              </w:rPr>
            </w:pPr>
            <w:r w:rsidRPr="000C4180">
              <w:rPr>
                <w:color w:val="000000"/>
                <w:sz w:val="20"/>
                <w:szCs w:val="20"/>
              </w:rPr>
              <w:t>-10000</w:t>
            </w:r>
          </w:p>
        </w:tc>
        <w:tc>
          <w:tcPr>
            <w:tcW w:w="1166" w:type="dxa"/>
            <w:noWrap/>
            <w:vAlign w:val="bottom"/>
            <w:hideMark/>
          </w:tcPr>
          <w:p w14:paraId="2DCC1C73" w14:textId="77777777" w:rsidR="005A2F54" w:rsidRPr="000C4180" w:rsidRDefault="005A2F54" w:rsidP="00712BCD">
            <w:pPr>
              <w:jc w:val="right"/>
              <w:rPr>
                <w:color w:val="000000"/>
                <w:sz w:val="20"/>
                <w:szCs w:val="20"/>
              </w:rPr>
            </w:pPr>
            <w:r w:rsidRPr="000C4180">
              <w:rPr>
                <w:color w:val="000000"/>
                <w:sz w:val="20"/>
                <w:szCs w:val="20"/>
              </w:rPr>
              <w:t>-1000</w:t>
            </w:r>
          </w:p>
        </w:tc>
        <w:tc>
          <w:tcPr>
            <w:tcW w:w="1166" w:type="dxa"/>
            <w:noWrap/>
            <w:vAlign w:val="bottom"/>
            <w:hideMark/>
          </w:tcPr>
          <w:p w14:paraId="0A6C3D6D" w14:textId="77777777" w:rsidR="005A2F54" w:rsidRPr="000C4180" w:rsidRDefault="005A2F54" w:rsidP="00712BCD">
            <w:pPr>
              <w:jc w:val="right"/>
              <w:rPr>
                <w:color w:val="000000"/>
                <w:sz w:val="20"/>
                <w:szCs w:val="20"/>
              </w:rPr>
            </w:pPr>
            <w:r w:rsidRPr="000C4180">
              <w:rPr>
                <w:color w:val="000000"/>
                <w:sz w:val="20"/>
                <w:szCs w:val="20"/>
              </w:rPr>
              <w:t>-10000</w:t>
            </w:r>
          </w:p>
        </w:tc>
        <w:tc>
          <w:tcPr>
            <w:tcW w:w="1166" w:type="dxa"/>
            <w:noWrap/>
            <w:vAlign w:val="bottom"/>
            <w:hideMark/>
          </w:tcPr>
          <w:p w14:paraId="757D234F" w14:textId="77777777" w:rsidR="005A2F54" w:rsidRPr="000C4180" w:rsidRDefault="005A2F54" w:rsidP="00712BCD">
            <w:pPr>
              <w:jc w:val="right"/>
              <w:rPr>
                <w:color w:val="000000"/>
                <w:sz w:val="20"/>
                <w:szCs w:val="20"/>
              </w:rPr>
            </w:pPr>
            <w:r w:rsidRPr="000C4180">
              <w:rPr>
                <w:color w:val="000000"/>
                <w:sz w:val="20"/>
                <w:szCs w:val="20"/>
              </w:rPr>
              <w:t>-1000</w:t>
            </w:r>
          </w:p>
        </w:tc>
        <w:tc>
          <w:tcPr>
            <w:tcW w:w="1166" w:type="dxa"/>
            <w:noWrap/>
            <w:vAlign w:val="bottom"/>
            <w:hideMark/>
          </w:tcPr>
          <w:p w14:paraId="5CC08E0D" w14:textId="77777777" w:rsidR="005A2F54" w:rsidRPr="000C4180" w:rsidRDefault="005A2F54" w:rsidP="00712BCD">
            <w:pPr>
              <w:jc w:val="right"/>
              <w:rPr>
                <w:color w:val="000000"/>
                <w:sz w:val="20"/>
                <w:szCs w:val="20"/>
              </w:rPr>
            </w:pPr>
            <w:r w:rsidRPr="000C4180">
              <w:rPr>
                <w:color w:val="000000"/>
                <w:sz w:val="20"/>
                <w:szCs w:val="20"/>
              </w:rPr>
              <w:t>-10000</w:t>
            </w:r>
          </w:p>
        </w:tc>
        <w:tc>
          <w:tcPr>
            <w:tcW w:w="1166" w:type="dxa"/>
            <w:noWrap/>
            <w:vAlign w:val="bottom"/>
            <w:hideMark/>
          </w:tcPr>
          <w:p w14:paraId="62166868" w14:textId="77777777" w:rsidR="005A2F54" w:rsidRPr="000C4180" w:rsidRDefault="005A2F54" w:rsidP="00712BCD">
            <w:pPr>
              <w:jc w:val="right"/>
              <w:rPr>
                <w:color w:val="000000"/>
                <w:sz w:val="20"/>
                <w:szCs w:val="20"/>
              </w:rPr>
            </w:pPr>
            <w:r w:rsidRPr="000C4180">
              <w:rPr>
                <w:color w:val="000000"/>
                <w:sz w:val="20"/>
                <w:szCs w:val="20"/>
              </w:rPr>
              <w:t>-1000</w:t>
            </w:r>
          </w:p>
        </w:tc>
      </w:tr>
      <w:tr w:rsidR="005A2F54" w:rsidRPr="000C4180" w14:paraId="02BA4213" w14:textId="77777777" w:rsidTr="00852188">
        <w:trPr>
          <w:trHeight w:val="226"/>
        </w:trPr>
        <w:tc>
          <w:tcPr>
            <w:tcW w:w="2332" w:type="dxa"/>
            <w:noWrap/>
            <w:vAlign w:val="bottom"/>
            <w:hideMark/>
          </w:tcPr>
          <w:p w14:paraId="53108368" w14:textId="77777777" w:rsidR="005A2F54" w:rsidRPr="000C4180" w:rsidRDefault="005A2F54" w:rsidP="00712BCD">
            <w:pPr>
              <w:rPr>
                <w:color w:val="000000"/>
                <w:sz w:val="20"/>
                <w:szCs w:val="20"/>
              </w:rPr>
            </w:pPr>
            <w:r w:rsidRPr="000C4180">
              <w:rPr>
                <w:color w:val="000000"/>
                <w:sz w:val="20"/>
                <w:szCs w:val="20"/>
              </w:rPr>
              <w:t>Year 1</w:t>
            </w:r>
          </w:p>
        </w:tc>
        <w:tc>
          <w:tcPr>
            <w:tcW w:w="1166" w:type="dxa"/>
            <w:noWrap/>
            <w:vAlign w:val="bottom"/>
            <w:hideMark/>
          </w:tcPr>
          <w:p w14:paraId="3B8E183B" w14:textId="77777777" w:rsidR="005A2F54" w:rsidRPr="000C4180" w:rsidRDefault="005A2F54" w:rsidP="00712BCD">
            <w:pPr>
              <w:jc w:val="right"/>
              <w:rPr>
                <w:color w:val="000000"/>
                <w:sz w:val="20"/>
                <w:szCs w:val="20"/>
              </w:rPr>
            </w:pPr>
            <w:r w:rsidRPr="000C4180">
              <w:rPr>
                <w:color w:val="000000"/>
                <w:sz w:val="20"/>
                <w:szCs w:val="20"/>
              </w:rPr>
              <w:t>5000</w:t>
            </w:r>
          </w:p>
        </w:tc>
        <w:tc>
          <w:tcPr>
            <w:tcW w:w="1166" w:type="dxa"/>
            <w:noWrap/>
            <w:vAlign w:val="bottom"/>
            <w:hideMark/>
          </w:tcPr>
          <w:p w14:paraId="5544550A" w14:textId="77777777" w:rsidR="005A2F54" w:rsidRPr="000C4180" w:rsidRDefault="005A2F54" w:rsidP="00712BCD">
            <w:pPr>
              <w:jc w:val="right"/>
              <w:rPr>
                <w:color w:val="000000"/>
                <w:sz w:val="20"/>
                <w:szCs w:val="20"/>
              </w:rPr>
            </w:pPr>
            <w:r w:rsidRPr="000C4180">
              <w:rPr>
                <w:color w:val="000000"/>
                <w:sz w:val="20"/>
                <w:szCs w:val="20"/>
              </w:rPr>
              <w:t>900</w:t>
            </w:r>
          </w:p>
        </w:tc>
        <w:tc>
          <w:tcPr>
            <w:tcW w:w="1166" w:type="dxa"/>
            <w:noWrap/>
            <w:vAlign w:val="bottom"/>
            <w:hideMark/>
          </w:tcPr>
          <w:p w14:paraId="397F5705" w14:textId="77777777" w:rsidR="005A2F54" w:rsidRPr="000C4180" w:rsidRDefault="005A2F54" w:rsidP="00712BCD">
            <w:pPr>
              <w:jc w:val="right"/>
              <w:rPr>
                <w:color w:val="000000"/>
                <w:sz w:val="20"/>
                <w:szCs w:val="20"/>
              </w:rPr>
            </w:pPr>
            <w:r w:rsidRPr="000C4180">
              <w:rPr>
                <w:color w:val="000000"/>
                <w:sz w:val="20"/>
                <w:szCs w:val="20"/>
              </w:rPr>
              <w:t>5000</w:t>
            </w:r>
          </w:p>
        </w:tc>
        <w:tc>
          <w:tcPr>
            <w:tcW w:w="1166" w:type="dxa"/>
            <w:noWrap/>
            <w:vAlign w:val="bottom"/>
            <w:hideMark/>
          </w:tcPr>
          <w:p w14:paraId="653A345B" w14:textId="77777777" w:rsidR="005A2F54" w:rsidRPr="000C4180" w:rsidRDefault="005A2F54" w:rsidP="00712BCD">
            <w:pPr>
              <w:jc w:val="right"/>
              <w:rPr>
                <w:color w:val="000000"/>
                <w:sz w:val="20"/>
                <w:szCs w:val="20"/>
              </w:rPr>
            </w:pPr>
            <w:r w:rsidRPr="000C4180">
              <w:rPr>
                <w:color w:val="000000"/>
                <w:sz w:val="20"/>
                <w:szCs w:val="20"/>
              </w:rPr>
              <w:t>900</w:t>
            </w:r>
          </w:p>
        </w:tc>
        <w:tc>
          <w:tcPr>
            <w:tcW w:w="1166" w:type="dxa"/>
            <w:noWrap/>
            <w:vAlign w:val="bottom"/>
            <w:hideMark/>
          </w:tcPr>
          <w:p w14:paraId="04F76339" w14:textId="77777777" w:rsidR="005A2F54" w:rsidRPr="000C4180" w:rsidRDefault="005A2F54" w:rsidP="00712BCD">
            <w:pPr>
              <w:jc w:val="right"/>
              <w:rPr>
                <w:color w:val="000000"/>
                <w:sz w:val="20"/>
                <w:szCs w:val="20"/>
              </w:rPr>
            </w:pPr>
            <w:r w:rsidRPr="000C4180">
              <w:rPr>
                <w:color w:val="000000"/>
                <w:sz w:val="20"/>
                <w:szCs w:val="20"/>
              </w:rPr>
              <w:t>5000</w:t>
            </w:r>
          </w:p>
        </w:tc>
        <w:tc>
          <w:tcPr>
            <w:tcW w:w="1166" w:type="dxa"/>
            <w:noWrap/>
            <w:vAlign w:val="bottom"/>
            <w:hideMark/>
          </w:tcPr>
          <w:p w14:paraId="21A64538" w14:textId="77777777" w:rsidR="005A2F54" w:rsidRPr="000C4180" w:rsidRDefault="005A2F54" w:rsidP="00712BCD">
            <w:pPr>
              <w:jc w:val="right"/>
              <w:rPr>
                <w:color w:val="000000"/>
                <w:sz w:val="20"/>
                <w:szCs w:val="20"/>
              </w:rPr>
            </w:pPr>
            <w:r w:rsidRPr="000C4180">
              <w:rPr>
                <w:color w:val="000000"/>
                <w:sz w:val="20"/>
                <w:szCs w:val="20"/>
              </w:rPr>
              <w:t>900</w:t>
            </w:r>
          </w:p>
        </w:tc>
      </w:tr>
      <w:tr w:rsidR="005A2F54" w:rsidRPr="000C4180" w14:paraId="3B7E5EA4" w14:textId="77777777" w:rsidTr="00852188">
        <w:trPr>
          <w:trHeight w:val="226"/>
        </w:trPr>
        <w:tc>
          <w:tcPr>
            <w:tcW w:w="2332" w:type="dxa"/>
            <w:noWrap/>
            <w:vAlign w:val="bottom"/>
            <w:hideMark/>
          </w:tcPr>
          <w:p w14:paraId="3E858661" w14:textId="77777777" w:rsidR="005A2F54" w:rsidRPr="000C4180" w:rsidRDefault="005A2F54" w:rsidP="00712BCD">
            <w:pPr>
              <w:rPr>
                <w:color w:val="000000"/>
                <w:sz w:val="20"/>
                <w:szCs w:val="20"/>
              </w:rPr>
            </w:pPr>
            <w:r w:rsidRPr="000C4180">
              <w:rPr>
                <w:color w:val="000000"/>
                <w:sz w:val="20"/>
                <w:szCs w:val="20"/>
              </w:rPr>
              <w:t>Year 2</w:t>
            </w:r>
          </w:p>
        </w:tc>
        <w:tc>
          <w:tcPr>
            <w:tcW w:w="1166" w:type="dxa"/>
            <w:noWrap/>
            <w:vAlign w:val="bottom"/>
            <w:hideMark/>
          </w:tcPr>
          <w:p w14:paraId="238108EA" w14:textId="77777777" w:rsidR="005A2F54" w:rsidRPr="000C4180" w:rsidRDefault="005A2F54" w:rsidP="00712BCD">
            <w:pPr>
              <w:jc w:val="right"/>
              <w:rPr>
                <w:color w:val="000000"/>
                <w:sz w:val="20"/>
                <w:szCs w:val="20"/>
              </w:rPr>
            </w:pPr>
            <w:r w:rsidRPr="000C4180">
              <w:rPr>
                <w:color w:val="000000"/>
                <w:sz w:val="20"/>
                <w:szCs w:val="20"/>
              </w:rPr>
              <w:t>-6000</w:t>
            </w:r>
          </w:p>
        </w:tc>
        <w:tc>
          <w:tcPr>
            <w:tcW w:w="1166" w:type="dxa"/>
            <w:noWrap/>
            <w:vAlign w:val="bottom"/>
            <w:hideMark/>
          </w:tcPr>
          <w:p w14:paraId="283FC30A" w14:textId="77777777" w:rsidR="005A2F54" w:rsidRPr="000C4180" w:rsidRDefault="005A2F54" w:rsidP="00712BCD">
            <w:pPr>
              <w:jc w:val="right"/>
              <w:rPr>
                <w:color w:val="000000"/>
                <w:sz w:val="20"/>
                <w:szCs w:val="20"/>
              </w:rPr>
            </w:pPr>
            <w:r w:rsidRPr="000C4180">
              <w:rPr>
                <w:color w:val="000000"/>
                <w:sz w:val="20"/>
                <w:szCs w:val="20"/>
              </w:rPr>
              <w:t>-300</w:t>
            </w:r>
          </w:p>
        </w:tc>
        <w:tc>
          <w:tcPr>
            <w:tcW w:w="1166" w:type="dxa"/>
            <w:noWrap/>
            <w:vAlign w:val="bottom"/>
            <w:hideMark/>
          </w:tcPr>
          <w:p w14:paraId="312A1BCB" w14:textId="77777777" w:rsidR="005A2F54" w:rsidRPr="000C4180" w:rsidRDefault="005A2F54" w:rsidP="00712BCD">
            <w:pPr>
              <w:jc w:val="right"/>
              <w:rPr>
                <w:color w:val="000000"/>
                <w:sz w:val="20"/>
                <w:szCs w:val="20"/>
              </w:rPr>
            </w:pPr>
            <w:r w:rsidRPr="000C4180">
              <w:rPr>
                <w:color w:val="000000"/>
                <w:sz w:val="20"/>
                <w:szCs w:val="20"/>
              </w:rPr>
              <w:t>-7000</w:t>
            </w:r>
          </w:p>
        </w:tc>
        <w:tc>
          <w:tcPr>
            <w:tcW w:w="1166" w:type="dxa"/>
            <w:noWrap/>
            <w:vAlign w:val="bottom"/>
            <w:hideMark/>
          </w:tcPr>
          <w:p w14:paraId="37790753" w14:textId="77777777" w:rsidR="005A2F54" w:rsidRPr="000C4180" w:rsidRDefault="005A2F54" w:rsidP="00712BCD">
            <w:pPr>
              <w:jc w:val="right"/>
              <w:rPr>
                <w:color w:val="000000"/>
                <w:sz w:val="20"/>
                <w:szCs w:val="20"/>
              </w:rPr>
            </w:pPr>
            <w:r w:rsidRPr="000C4180">
              <w:rPr>
                <w:color w:val="000000"/>
                <w:sz w:val="20"/>
                <w:szCs w:val="20"/>
              </w:rPr>
              <w:t>-300</w:t>
            </w:r>
          </w:p>
        </w:tc>
        <w:tc>
          <w:tcPr>
            <w:tcW w:w="1166" w:type="dxa"/>
            <w:noWrap/>
            <w:vAlign w:val="bottom"/>
            <w:hideMark/>
          </w:tcPr>
          <w:p w14:paraId="391AC70E" w14:textId="77777777" w:rsidR="005A2F54" w:rsidRPr="000C4180" w:rsidRDefault="005A2F54" w:rsidP="00712BCD">
            <w:pPr>
              <w:jc w:val="right"/>
              <w:rPr>
                <w:color w:val="000000"/>
                <w:sz w:val="20"/>
                <w:szCs w:val="20"/>
              </w:rPr>
            </w:pPr>
            <w:r w:rsidRPr="000C4180">
              <w:rPr>
                <w:color w:val="000000"/>
                <w:sz w:val="20"/>
                <w:szCs w:val="20"/>
              </w:rPr>
              <w:t>-6000</w:t>
            </w:r>
          </w:p>
        </w:tc>
        <w:tc>
          <w:tcPr>
            <w:tcW w:w="1166" w:type="dxa"/>
            <w:noWrap/>
            <w:vAlign w:val="bottom"/>
            <w:hideMark/>
          </w:tcPr>
          <w:p w14:paraId="53533E00" w14:textId="77777777" w:rsidR="005A2F54" w:rsidRPr="000C4180" w:rsidRDefault="005A2F54" w:rsidP="00712BCD">
            <w:pPr>
              <w:jc w:val="right"/>
              <w:rPr>
                <w:color w:val="000000"/>
                <w:sz w:val="20"/>
                <w:szCs w:val="20"/>
              </w:rPr>
            </w:pPr>
            <w:r w:rsidRPr="000C4180">
              <w:rPr>
                <w:color w:val="000000"/>
                <w:sz w:val="20"/>
                <w:szCs w:val="20"/>
              </w:rPr>
              <w:t>-300</w:t>
            </w:r>
          </w:p>
        </w:tc>
      </w:tr>
      <w:tr w:rsidR="005A2F54" w:rsidRPr="000C4180" w14:paraId="16B958C8" w14:textId="77777777" w:rsidTr="00852188">
        <w:trPr>
          <w:trHeight w:val="226"/>
        </w:trPr>
        <w:tc>
          <w:tcPr>
            <w:tcW w:w="2332" w:type="dxa"/>
            <w:noWrap/>
            <w:vAlign w:val="bottom"/>
            <w:hideMark/>
          </w:tcPr>
          <w:p w14:paraId="7A018ED8" w14:textId="77777777" w:rsidR="005A2F54" w:rsidRPr="000C4180" w:rsidRDefault="005A2F54" w:rsidP="00712BCD">
            <w:pPr>
              <w:rPr>
                <w:color w:val="000000"/>
                <w:sz w:val="20"/>
                <w:szCs w:val="20"/>
              </w:rPr>
            </w:pPr>
            <w:r w:rsidRPr="000C4180">
              <w:rPr>
                <w:color w:val="000000"/>
                <w:sz w:val="20"/>
                <w:szCs w:val="20"/>
              </w:rPr>
              <w:t>Year 3</w:t>
            </w:r>
          </w:p>
        </w:tc>
        <w:tc>
          <w:tcPr>
            <w:tcW w:w="1166" w:type="dxa"/>
            <w:noWrap/>
            <w:vAlign w:val="bottom"/>
            <w:hideMark/>
          </w:tcPr>
          <w:p w14:paraId="28D1E96F" w14:textId="77777777" w:rsidR="005A2F54" w:rsidRPr="000C4180" w:rsidRDefault="005A2F54" w:rsidP="00712BCD">
            <w:pPr>
              <w:jc w:val="right"/>
              <w:rPr>
                <w:color w:val="000000"/>
                <w:sz w:val="20"/>
                <w:szCs w:val="20"/>
              </w:rPr>
            </w:pPr>
            <w:r w:rsidRPr="000C4180">
              <w:rPr>
                <w:color w:val="000000"/>
                <w:sz w:val="20"/>
                <w:szCs w:val="20"/>
              </w:rPr>
              <w:t>7000</w:t>
            </w:r>
          </w:p>
        </w:tc>
        <w:tc>
          <w:tcPr>
            <w:tcW w:w="1166" w:type="dxa"/>
            <w:noWrap/>
            <w:vAlign w:val="bottom"/>
            <w:hideMark/>
          </w:tcPr>
          <w:p w14:paraId="17F50FA2" w14:textId="77777777" w:rsidR="005A2F54" w:rsidRPr="000C4180" w:rsidRDefault="005A2F54" w:rsidP="00712BCD">
            <w:pPr>
              <w:jc w:val="right"/>
              <w:rPr>
                <w:color w:val="000000"/>
                <w:sz w:val="20"/>
                <w:szCs w:val="20"/>
              </w:rPr>
            </w:pPr>
            <w:r w:rsidRPr="000C4180">
              <w:rPr>
                <w:color w:val="000000"/>
                <w:sz w:val="20"/>
                <w:szCs w:val="20"/>
              </w:rPr>
              <w:t>1000</w:t>
            </w:r>
          </w:p>
        </w:tc>
        <w:tc>
          <w:tcPr>
            <w:tcW w:w="1166" w:type="dxa"/>
            <w:noWrap/>
            <w:vAlign w:val="bottom"/>
            <w:hideMark/>
          </w:tcPr>
          <w:p w14:paraId="2F657831" w14:textId="77777777" w:rsidR="005A2F54" w:rsidRPr="000C4180" w:rsidRDefault="005A2F54" w:rsidP="00712BCD">
            <w:pPr>
              <w:jc w:val="right"/>
              <w:rPr>
                <w:color w:val="000000"/>
                <w:sz w:val="20"/>
                <w:szCs w:val="20"/>
              </w:rPr>
            </w:pPr>
            <w:r w:rsidRPr="000C4180">
              <w:rPr>
                <w:color w:val="000000"/>
                <w:sz w:val="20"/>
                <w:szCs w:val="20"/>
              </w:rPr>
              <w:t>7000</w:t>
            </w:r>
          </w:p>
        </w:tc>
        <w:tc>
          <w:tcPr>
            <w:tcW w:w="1166" w:type="dxa"/>
            <w:noWrap/>
            <w:vAlign w:val="bottom"/>
            <w:hideMark/>
          </w:tcPr>
          <w:p w14:paraId="62C0CE6F" w14:textId="77777777" w:rsidR="005A2F54" w:rsidRPr="000C4180" w:rsidRDefault="005A2F54" w:rsidP="00712BCD">
            <w:pPr>
              <w:jc w:val="right"/>
              <w:rPr>
                <w:color w:val="000000"/>
                <w:sz w:val="20"/>
                <w:szCs w:val="20"/>
              </w:rPr>
            </w:pPr>
            <w:r w:rsidRPr="000C4180">
              <w:rPr>
                <w:color w:val="000000"/>
                <w:sz w:val="20"/>
                <w:szCs w:val="20"/>
              </w:rPr>
              <w:t>900</w:t>
            </w:r>
          </w:p>
        </w:tc>
        <w:tc>
          <w:tcPr>
            <w:tcW w:w="1166" w:type="dxa"/>
            <w:noWrap/>
            <w:vAlign w:val="bottom"/>
            <w:hideMark/>
          </w:tcPr>
          <w:p w14:paraId="19BC61FA" w14:textId="77777777" w:rsidR="005A2F54" w:rsidRPr="000C4180" w:rsidRDefault="005A2F54" w:rsidP="00712BCD">
            <w:pPr>
              <w:jc w:val="right"/>
              <w:rPr>
                <w:color w:val="000000"/>
                <w:sz w:val="20"/>
                <w:szCs w:val="20"/>
              </w:rPr>
            </w:pPr>
            <w:r w:rsidRPr="000C4180">
              <w:rPr>
                <w:color w:val="000000"/>
                <w:sz w:val="20"/>
                <w:szCs w:val="20"/>
              </w:rPr>
              <w:t>7000</w:t>
            </w:r>
          </w:p>
        </w:tc>
        <w:tc>
          <w:tcPr>
            <w:tcW w:w="1166" w:type="dxa"/>
            <w:noWrap/>
            <w:vAlign w:val="bottom"/>
            <w:hideMark/>
          </w:tcPr>
          <w:p w14:paraId="6B076BA4" w14:textId="77777777" w:rsidR="005A2F54" w:rsidRPr="000C4180" w:rsidRDefault="005A2F54" w:rsidP="00712BCD">
            <w:pPr>
              <w:jc w:val="right"/>
              <w:rPr>
                <w:color w:val="000000"/>
                <w:sz w:val="20"/>
                <w:szCs w:val="20"/>
              </w:rPr>
            </w:pPr>
            <w:r w:rsidRPr="000C4180">
              <w:rPr>
                <w:color w:val="000000"/>
                <w:sz w:val="20"/>
                <w:szCs w:val="20"/>
              </w:rPr>
              <w:t>1000</w:t>
            </w:r>
          </w:p>
        </w:tc>
      </w:tr>
      <w:tr w:rsidR="005A2F54" w:rsidRPr="000C4180" w14:paraId="4B21385C" w14:textId="77777777" w:rsidTr="00852188">
        <w:trPr>
          <w:trHeight w:val="226"/>
        </w:trPr>
        <w:tc>
          <w:tcPr>
            <w:tcW w:w="2332" w:type="dxa"/>
            <w:noWrap/>
            <w:vAlign w:val="bottom"/>
            <w:hideMark/>
          </w:tcPr>
          <w:p w14:paraId="5F8FC134" w14:textId="77777777" w:rsidR="005A2F54" w:rsidRPr="000C4180" w:rsidRDefault="005A2F54" w:rsidP="00712BCD">
            <w:pPr>
              <w:rPr>
                <w:color w:val="000000"/>
                <w:sz w:val="20"/>
                <w:szCs w:val="20"/>
              </w:rPr>
            </w:pPr>
            <w:r w:rsidRPr="000C4180">
              <w:rPr>
                <w:color w:val="000000"/>
                <w:sz w:val="20"/>
                <w:szCs w:val="20"/>
              </w:rPr>
              <w:t>Year 4</w:t>
            </w:r>
          </w:p>
        </w:tc>
        <w:tc>
          <w:tcPr>
            <w:tcW w:w="1166" w:type="dxa"/>
            <w:noWrap/>
            <w:vAlign w:val="bottom"/>
            <w:hideMark/>
          </w:tcPr>
          <w:p w14:paraId="28F3CBD9" w14:textId="77777777" w:rsidR="005A2F54" w:rsidRPr="000C4180" w:rsidRDefault="005A2F54" w:rsidP="00712BCD">
            <w:pPr>
              <w:jc w:val="right"/>
              <w:rPr>
                <w:color w:val="000000"/>
                <w:sz w:val="20"/>
                <w:szCs w:val="20"/>
              </w:rPr>
            </w:pPr>
            <w:r w:rsidRPr="000C4180">
              <w:rPr>
                <w:color w:val="000000"/>
                <w:sz w:val="20"/>
                <w:szCs w:val="20"/>
              </w:rPr>
              <w:t>4000</w:t>
            </w:r>
          </w:p>
        </w:tc>
        <w:tc>
          <w:tcPr>
            <w:tcW w:w="1166" w:type="dxa"/>
            <w:noWrap/>
            <w:vAlign w:val="bottom"/>
            <w:hideMark/>
          </w:tcPr>
          <w:p w14:paraId="2BE00326" w14:textId="77777777" w:rsidR="005A2F54" w:rsidRPr="000C4180" w:rsidRDefault="005A2F54" w:rsidP="00712BCD">
            <w:pPr>
              <w:jc w:val="right"/>
              <w:rPr>
                <w:color w:val="000000"/>
                <w:sz w:val="20"/>
                <w:szCs w:val="20"/>
              </w:rPr>
            </w:pPr>
            <w:r w:rsidRPr="000C4180">
              <w:rPr>
                <w:color w:val="000000"/>
                <w:sz w:val="20"/>
                <w:szCs w:val="20"/>
              </w:rPr>
              <w:t>-600</w:t>
            </w:r>
          </w:p>
        </w:tc>
        <w:tc>
          <w:tcPr>
            <w:tcW w:w="1166" w:type="dxa"/>
            <w:noWrap/>
            <w:vAlign w:val="bottom"/>
            <w:hideMark/>
          </w:tcPr>
          <w:p w14:paraId="4BE58EF0" w14:textId="77777777" w:rsidR="005A2F54" w:rsidRPr="000C4180" w:rsidRDefault="005A2F54" w:rsidP="00712BCD">
            <w:pPr>
              <w:jc w:val="right"/>
              <w:rPr>
                <w:color w:val="000000"/>
                <w:sz w:val="20"/>
                <w:szCs w:val="20"/>
              </w:rPr>
            </w:pPr>
            <w:r w:rsidRPr="000C4180">
              <w:rPr>
                <w:color w:val="000000"/>
                <w:sz w:val="20"/>
                <w:szCs w:val="20"/>
              </w:rPr>
              <w:t>4000</w:t>
            </w:r>
          </w:p>
        </w:tc>
        <w:tc>
          <w:tcPr>
            <w:tcW w:w="1166" w:type="dxa"/>
            <w:noWrap/>
            <w:vAlign w:val="bottom"/>
            <w:hideMark/>
          </w:tcPr>
          <w:p w14:paraId="40A967A0" w14:textId="77777777" w:rsidR="005A2F54" w:rsidRPr="000C4180" w:rsidRDefault="005A2F54" w:rsidP="00712BCD">
            <w:pPr>
              <w:jc w:val="right"/>
              <w:rPr>
                <w:color w:val="000000"/>
                <w:sz w:val="20"/>
                <w:szCs w:val="20"/>
              </w:rPr>
            </w:pPr>
            <w:r w:rsidRPr="000C4180">
              <w:rPr>
                <w:color w:val="000000"/>
                <w:sz w:val="20"/>
                <w:szCs w:val="20"/>
              </w:rPr>
              <w:t>-600</w:t>
            </w:r>
          </w:p>
        </w:tc>
        <w:tc>
          <w:tcPr>
            <w:tcW w:w="1166" w:type="dxa"/>
            <w:noWrap/>
            <w:vAlign w:val="bottom"/>
            <w:hideMark/>
          </w:tcPr>
          <w:p w14:paraId="3DF9482E" w14:textId="77777777" w:rsidR="005A2F54" w:rsidRPr="000C4180" w:rsidRDefault="005A2F54" w:rsidP="00712BCD">
            <w:pPr>
              <w:jc w:val="right"/>
              <w:rPr>
                <w:color w:val="000000"/>
                <w:sz w:val="20"/>
                <w:szCs w:val="20"/>
              </w:rPr>
            </w:pPr>
            <w:r w:rsidRPr="000C4180">
              <w:rPr>
                <w:color w:val="000000"/>
                <w:sz w:val="20"/>
                <w:szCs w:val="20"/>
              </w:rPr>
              <w:t>8000</w:t>
            </w:r>
          </w:p>
        </w:tc>
        <w:tc>
          <w:tcPr>
            <w:tcW w:w="1166" w:type="dxa"/>
            <w:noWrap/>
            <w:vAlign w:val="bottom"/>
            <w:hideMark/>
          </w:tcPr>
          <w:p w14:paraId="1F52EB7F" w14:textId="77777777" w:rsidR="005A2F54" w:rsidRPr="000C4180" w:rsidRDefault="005A2F54" w:rsidP="00712BCD">
            <w:pPr>
              <w:jc w:val="right"/>
              <w:rPr>
                <w:color w:val="000000"/>
                <w:sz w:val="20"/>
                <w:szCs w:val="20"/>
              </w:rPr>
            </w:pPr>
            <w:r w:rsidRPr="000C4180">
              <w:rPr>
                <w:color w:val="000000"/>
                <w:sz w:val="20"/>
                <w:szCs w:val="20"/>
              </w:rPr>
              <w:t>-300</w:t>
            </w:r>
          </w:p>
        </w:tc>
      </w:tr>
      <w:tr w:rsidR="005A2F54" w:rsidRPr="000C4180" w14:paraId="27FC16A5" w14:textId="77777777" w:rsidTr="00852188">
        <w:trPr>
          <w:trHeight w:val="226"/>
        </w:trPr>
        <w:tc>
          <w:tcPr>
            <w:tcW w:w="2332" w:type="dxa"/>
            <w:noWrap/>
            <w:vAlign w:val="bottom"/>
            <w:hideMark/>
          </w:tcPr>
          <w:p w14:paraId="547BF75D" w14:textId="77777777" w:rsidR="005A2F54" w:rsidRPr="000C4180" w:rsidRDefault="005A2F54" w:rsidP="00712BCD">
            <w:pPr>
              <w:rPr>
                <w:b/>
                <w:color w:val="000000"/>
                <w:sz w:val="20"/>
                <w:szCs w:val="20"/>
              </w:rPr>
            </w:pPr>
            <w:r w:rsidRPr="000C4180">
              <w:rPr>
                <w:b/>
                <w:color w:val="000000"/>
                <w:sz w:val="20"/>
                <w:szCs w:val="20"/>
              </w:rPr>
              <w:t>Sum of NCF (SNCF)</w:t>
            </w:r>
          </w:p>
        </w:tc>
        <w:tc>
          <w:tcPr>
            <w:tcW w:w="1166" w:type="dxa"/>
            <w:noWrap/>
            <w:vAlign w:val="bottom"/>
            <w:hideMark/>
          </w:tcPr>
          <w:p w14:paraId="32CD91BD" w14:textId="77777777" w:rsidR="005A2F54" w:rsidRPr="000C4180" w:rsidRDefault="005A2F54" w:rsidP="00712BCD">
            <w:pPr>
              <w:jc w:val="right"/>
              <w:rPr>
                <w:b/>
                <w:color w:val="000000"/>
                <w:sz w:val="20"/>
                <w:szCs w:val="20"/>
              </w:rPr>
            </w:pPr>
            <w:r w:rsidRPr="000C4180">
              <w:rPr>
                <w:b/>
                <w:color w:val="000000"/>
                <w:sz w:val="20"/>
                <w:szCs w:val="20"/>
              </w:rPr>
              <w:t>0</w:t>
            </w:r>
          </w:p>
        </w:tc>
        <w:tc>
          <w:tcPr>
            <w:tcW w:w="1166" w:type="dxa"/>
            <w:noWrap/>
            <w:vAlign w:val="bottom"/>
            <w:hideMark/>
          </w:tcPr>
          <w:p w14:paraId="135CC92B" w14:textId="77777777" w:rsidR="005A2F54" w:rsidRPr="000C4180" w:rsidRDefault="005A2F54" w:rsidP="00712BCD">
            <w:pPr>
              <w:jc w:val="right"/>
              <w:rPr>
                <w:b/>
                <w:color w:val="000000"/>
                <w:sz w:val="20"/>
                <w:szCs w:val="20"/>
              </w:rPr>
            </w:pPr>
            <w:r w:rsidRPr="000C4180">
              <w:rPr>
                <w:b/>
                <w:color w:val="000000"/>
                <w:sz w:val="20"/>
                <w:szCs w:val="20"/>
              </w:rPr>
              <w:t>0</w:t>
            </w:r>
          </w:p>
        </w:tc>
        <w:tc>
          <w:tcPr>
            <w:tcW w:w="1166" w:type="dxa"/>
            <w:noWrap/>
            <w:vAlign w:val="bottom"/>
            <w:hideMark/>
          </w:tcPr>
          <w:p w14:paraId="699E315D" w14:textId="77777777" w:rsidR="005A2F54" w:rsidRPr="000C4180" w:rsidRDefault="005A2F54" w:rsidP="00712BCD">
            <w:pPr>
              <w:jc w:val="right"/>
              <w:rPr>
                <w:b/>
                <w:color w:val="000000"/>
                <w:sz w:val="20"/>
                <w:szCs w:val="20"/>
              </w:rPr>
            </w:pPr>
            <w:r w:rsidRPr="000C4180">
              <w:rPr>
                <w:b/>
                <w:color w:val="000000"/>
                <w:sz w:val="20"/>
                <w:szCs w:val="20"/>
              </w:rPr>
              <w:t>-1000</w:t>
            </w:r>
          </w:p>
        </w:tc>
        <w:tc>
          <w:tcPr>
            <w:tcW w:w="1166" w:type="dxa"/>
            <w:noWrap/>
            <w:vAlign w:val="bottom"/>
            <w:hideMark/>
          </w:tcPr>
          <w:p w14:paraId="74D8A635" w14:textId="77777777" w:rsidR="005A2F54" w:rsidRPr="000C4180" w:rsidRDefault="005A2F54" w:rsidP="00712BCD">
            <w:pPr>
              <w:jc w:val="right"/>
              <w:rPr>
                <w:b/>
                <w:color w:val="000000"/>
                <w:sz w:val="20"/>
                <w:szCs w:val="20"/>
              </w:rPr>
            </w:pPr>
            <w:r w:rsidRPr="000C4180">
              <w:rPr>
                <w:b/>
                <w:color w:val="000000"/>
                <w:sz w:val="20"/>
                <w:szCs w:val="20"/>
              </w:rPr>
              <w:t>-100</w:t>
            </w:r>
          </w:p>
        </w:tc>
        <w:tc>
          <w:tcPr>
            <w:tcW w:w="1166" w:type="dxa"/>
            <w:noWrap/>
            <w:vAlign w:val="bottom"/>
            <w:hideMark/>
          </w:tcPr>
          <w:p w14:paraId="366D2EE6" w14:textId="77777777" w:rsidR="005A2F54" w:rsidRPr="000C4180" w:rsidRDefault="005A2F54" w:rsidP="00712BCD">
            <w:pPr>
              <w:jc w:val="right"/>
              <w:rPr>
                <w:b/>
                <w:color w:val="000000"/>
                <w:sz w:val="20"/>
                <w:szCs w:val="20"/>
              </w:rPr>
            </w:pPr>
            <w:r w:rsidRPr="000C4180">
              <w:rPr>
                <w:b/>
                <w:color w:val="000000"/>
                <w:sz w:val="20"/>
                <w:szCs w:val="20"/>
              </w:rPr>
              <w:t>4000</w:t>
            </w:r>
          </w:p>
        </w:tc>
        <w:tc>
          <w:tcPr>
            <w:tcW w:w="1166" w:type="dxa"/>
            <w:noWrap/>
            <w:vAlign w:val="bottom"/>
            <w:hideMark/>
          </w:tcPr>
          <w:p w14:paraId="15ACF9E9" w14:textId="77777777" w:rsidR="005A2F54" w:rsidRPr="000C4180" w:rsidRDefault="005A2F54" w:rsidP="00712BCD">
            <w:pPr>
              <w:jc w:val="right"/>
              <w:rPr>
                <w:b/>
                <w:color w:val="000000"/>
                <w:sz w:val="20"/>
                <w:szCs w:val="20"/>
              </w:rPr>
            </w:pPr>
            <w:r w:rsidRPr="000C4180">
              <w:rPr>
                <w:b/>
                <w:color w:val="000000"/>
                <w:sz w:val="20"/>
                <w:szCs w:val="20"/>
              </w:rPr>
              <w:t>300</w:t>
            </w:r>
          </w:p>
        </w:tc>
      </w:tr>
      <w:tr w:rsidR="005A2F54" w:rsidRPr="000C4180" w14:paraId="2A2AFACA" w14:textId="77777777" w:rsidTr="00852188">
        <w:trPr>
          <w:trHeight w:val="226"/>
        </w:trPr>
        <w:tc>
          <w:tcPr>
            <w:tcW w:w="2332" w:type="dxa"/>
            <w:noWrap/>
            <w:vAlign w:val="bottom"/>
            <w:hideMark/>
          </w:tcPr>
          <w:p w14:paraId="0CFD77DC" w14:textId="77777777" w:rsidR="005A2F54" w:rsidRPr="000C4180" w:rsidRDefault="005A2F54" w:rsidP="00712BCD">
            <w:pPr>
              <w:rPr>
                <w:color w:val="000000"/>
                <w:sz w:val="20"/>
                <w:szCs w:val="20"/>
              </w:rPr>
            </w:pPr>
            <w:r w:rsidRPr="000C4180">
              <w:rPr>
                <w:color w:val="000000"/>
                <w:sz w:val="20"/>
                <w:szCs w:val="20"/>
              </w:rPr>
              <w:t>IRR (Guess at 0 to 500%)</w:t>
            </w:r>
          </w:p>
        </w:tc>
        <w:tc>
          <w:tcPr>
            <w:tcW w:w="1166" w:type="dxa"/>
            <w:shd w:val="clear" w:color="auto" w:fill="auto"/>
            <w:noWrap/>
            <w:vAlign w:val="bottom"/>
            <w:hideMark/>
          </w:tcPr>
          <w:p w14:paraId="72EBE412" w14:textId="77777777" w:rsidR="005A2F54" w:rsidRPr="000C4180" w:rsidRDefault="005A2F54" w:rsidP="00712BCD">
            <w:pPr>
              <w:jc w:val="right"/>
              <w:rPr>
                <w:color w:val="000000"/>
                <w:sz w:val="20"/>
                <w:szCs w:val="20"/>
              </w:rPr>
            </w:pPr>
            <w:r w:rsidRPr="000C4180">
              <w:rPr>
                <w:color w:val="000000"/>
                <w:sz w:val="20"/>
                <w:szCs w:val="20"/>
              </w:rPr>
              <w:t>0.0%</w:t>
            </w:r>
          </w:p>
        </w:tc>
        <w:tc>
          <w:tcPr>
            <w:tcW w:w="1166" w:type="dxa"/>
            <w:shd w:val="clear" w:color="auto" w:fill="auto"/>
            <w:noWrap/>
            <w:vAlign w:val="bottom"/>
            <w:hideMark/>
          </w:tcPr>
          <w:p w14:paraId="5E998CBC" w14:textId="77777777" w:rsidR="005A2F54" w:rsidRPr="000C4180" w:rsidRDefault="005A2F54" w:rsidP="00712BCD">
            <w:pPr>
              <w:jc w:val="right"/>
              <w:rPr>
                <w:color w:val="000000"/>
                <w:sz w:val="20"/>
                <w:szCs w:val="20"/>
              </w:rPr>
            </w:pPr>
            <w:r w:rsidRPr="000C4180">
              <w:rPr>
                <w:color w:val="000000"/>
                <w:sz w:val="20"/>
                <w:szCs w:val="20"/>
              </w:rPr>
              <w:t>0.0%</w:t>
            </w:r>
          </w:p>
        </w:tc>
        <w:tc>
          <w:tcPr>
            <w:tcW w:w="1166" w:type="dxa"/>
            <w:shd w:val="clear" w:color="auto" w:fill="auto"/>
            <w:noWrap/>
            <w:vAlign w:val="bottom"/>
            <w:hideMark/>
          </w:tcPr>
          <w:p w14:paraId="43B8EE6D" w14:textId="77777777" w:rsidR="005A2F54" w:rsidRPr="000C4180" w:rsidRDefault="005A2F54" w:rsidP="00712BCD">
            <w:pPr>
              <w:jc w:val="right"/>
              <w:rPr>
                <w:color w:val="000000"/>
                <w:sz w:val="20"/>
                <w:szCs w:val="20"/>
              </w:rPr>
            </w:pPr>
            <w:r w:rsidRPr="000C4180">
              <w:rPr>
                <w:color w:val="000000"/>
                <w:sz w:val="20"/>
                <w:szCs w:val="20"/>
              </w:rPr>
              <w:t>-3.3%</w:t>
            </w:r>
          </w:p>
        </w:tc>
        <w:tc>
          <w:tcPr>
            <w:tcW w:w="1166" w:type="dxa"/>
            <w:shd w:val="clear" w:color="auto" w:fill="auto"/>
            <w:noWrap/>
            <w:vAlign w:val="bottom"/>
            <w:hideMark/>
          </w:tcPr>
          <w:p w14:paraId="289F952E" w14:textId="77777777" w:rsidR="005A2F54" w:rsidRPr="000C4180" w:rsidRDefault="005A2F54" w:rsidP="00712BCD">
            <w:pPr>
              <w:rPr>
                <w:color w:val="000000"/>
                <w:sz w:val="20"/>
                <w:szCs w:val="20"/>
              </w:rPr>
            </w:pPr>
            <w:r w:rsidRPr="000C4180">
              <w:rPr>
                <w:color w:val="000000"/>
                <w:sz w:val="20"/>
                <w:szCs w:val="20"/>
              </w:rPr>
              <w:t>No IRR</w:t>
            </w:r>
          </w:p>
        </w:tc>
        <w:tc>
          <w:tcPr>
            <w:tcW w:w="1166" w:type="dxa"/>
            <w:shd w:val="clear" w:color="auto" w:fill="auto"/>
            <w:noWrap/>
            <w:vAlign w:val="bottom"/>
            <w:hideMark/>
          </w:tcPr>
          <w:p w14:paraId="0D2AC76D" w14:textId="77777777" w:rsidR="005A2F54" w:rsidRPr="000C4180" w:rsidRDefault="005A2F54" w:rsidP="00712BCD">
            <w:pPr>
              <w:jc w:val="right"/>
              <w:rPr>
                <w:color w:val="000000"/>
                <w:sz w:val="20"/>
                <w:szCs w:val="20"/>
              </w:rPr>
            </w:pPr>
            <w:r w:rsidRPr="000C4180">
              <w:rPr>
                <w:color w:val="000000"/>
                <w:sz w:val="20"/>
                <w:szCs w:val="20"/>
              </w:rPr>
              <w:t>11.1%</w:t>
            </w:r>
          </w:p>
        </w:tc>
        <w:tc>
          <w:tcPr>
            <w:tcW w:w="1166" w:type="dxa"/>
            <w:shd w:val="clear" w:color="auto" w:fill="auto"/>
            <w:noWrap/>
            <w:vAlign w:val="bottom"/>
            <w:hideMark/>
          </w:tcPr>
          <w:p w14:paraId="3D315F8A" w14:textId="77777777" w:rsidR="005A2F54" w:rsidRPr="000C4180" w:rsidRDefault="005A2F54" w:rsidP="00712BCD">
            <w:pPr>
              <w:jc w:val="right"/>
              <w:rPr>
                <w:color w:val="000000"/>
                <w:sz w:val="20"/>
                <w:szCs w:val="20"/>
              </w:rPr>
            </w:pPr>
            <w:r w:rsidRPr="000C4180">
              <w:rPr>
                <w:color w:val="000000"/>
                <w:sz w:val="20"/>
                <w:szCs w:val="20"/>
              </w:rPr>
              <w:t>18.1%</w:t>
            </w:r>
          </w:p>
        </w:tc>
      </w:tr>
      <w:tr w:rsidR="005A2F54" w:rsidRPr="000C4180" w14:paraId="0A1AB27A" w14:textId="77777777" w:rsidTr="00852188">
        <w:trPr>
          <w:trHeight w:val="226"/>
        </w:trPr>
        <w:tc>
          <w:tcPr>
            <w:tcW w:w="2332" w:type="dxa"/>
            <w:noWrap/>
            <w:vAlign w:val="bottom"/>
            <w:hideMark/>
          </w:tcPr>
          <w:p w14:paraId="4DE3E010" w14:textId="77777777" w:rsidR="005A2F54" w:rsidRPr="000C4180" w:rsidRDefault="005A2F54" w:rsidP="00712BCD">
            <w:pPr>
              <w:rPr>
                <w:color w:val="000000"/>
                <w:sz w:val="20"/>
                <w:szCs w:val="20"/>
              </w:rPr>
            </w:pPr>
            <w:r w:rsidRPr="000C4180">
              <w:rPr>
                <w:color w:val="000000"/>
                <w:sz w:val="20"/>
                <w:szCs w:val="20"/>
              </w:rPr>
              <w:t>MIRR (10, 10)</w:t>
            </w:r>
          </w:p>
        </w:tc>
        <w:tc>
          <w:tcPr>
            <w:tcW w:w="1166" w:type="dxa"/>
            <w:shd w:val="clear" w:color="auto" w:fill="auto"/>
            <w:noWrap/>
            <w:vAlign w:val="bottom"/>
            <w:hideMark/>
          </w:tcPr>
          <w:p w14:paraId="3A17A6FF" w14:textId="77777777" w:rsidR="005A2F54" w:rsidRPr="000C4180" w:rsidRDefault="005A2F54" w:rsidP="00712BCD">
            <w:pPr>
              <w:jc w:val="right"/>
              <w:rPr>
                <w:color w:val="000000"/>
                <w:sz w:val="20"/>
                <w:szCs w:val="20"/>
              </w:rPr>
            </w:pPr>
            <w:r w:rsidRPr="000C4180">
              <w:rPr>
                <w:color w:val="000000"/>
                <w:sz w:val="20"/>
                <w:szCs w:val="20"/>
              </w:rPr>
              <w:t>5.2%</w:t>
            </w:r>
          </w:p>
        </w:tc>
        <w:tc>
          <w:tcPr>
            <w:tcW w:w="1166" w:type="dxa"/>
            <w:shd w:val="clear" w:color="auto" w:fill="auto"/>
            <w:noWrap/>
            <w:vAlign w:val="bottom"/>
            <w:hideMark/>
          </w:tcPr>
          <w:p w14:paraId="386E4EAB" w14:textId="77777777" w:rsidR="005A2F54" w:rsidRPr="000C4180" w:rsidRDefault="005A2F54" w:rsidP="00712BCD">
            <w:pPr>
              <w:jc w:val="right"/>
              <w:rPr>
                <w:color w:val="000000"/>
                <w:sz w:val="20"/>
                <w:szCs w:val="20"/>
              </w:rPr>
            </w:pPr>
            <w:r w:rsidRPr="000C4180">
              <w:rPr>
                <w:color w:val="000000"/>
                <w:sz w:val="20"/>
                <w:szCs w:val="20"/>
              </w:rPr>
              <w:t>8.5%</w:t>
            </w:r>
          </w:p>
        </w:tc>
        <w:tc>
          <w:tcPr>
            <w:tcW w:w="1166" w:type="dxa"/>
            <w:shd w:val="clear" w:color="auto" w:fill="auto"/>
            <w:noWrap/>
            <w:vAlign w:val="bottom"/>
            <w:hideMark/>
          </w:tcPr>
          <w:p w14:paraId="7ACCBB47" w14:textId="77777777" w:rsidR="005A2F54" w:rsidRPr="000C4180" w:rsidRDefault="005A2F54" w:rsidP="00712BCD">
            <w:pPr>
              <w:jc w:val="right"/>
              <w:rPr>
                <w:color w:val="000000"/>
                <w:sz w:val="20"/>
                <w:szCs w:val="20"/>
              </w:rPr>
            </w:pPr>
            <w:r w:rsidRPr="000C4180">
              <w:rPr>
                <w:color w:val="000000"/>
                <w:sz w:val="20"/>
                <w:szCs w:val="20"/>
              </w:rPr>
              <w:t>3.8%</w:t>
            </w:r>
          </w:p>
        </w:tc>
        <w:tc>
          <w:tcPr>
            <w:tcW w:w="1166" w:type="dxa"/>
            <w:shd w:val="clear" w:color="auto" w:fill="auto"/>
            <w:noWrap/>
            <w:vAlign w:val="bottom"/>
            <w:hideMark/>
          </w:tcPr>
          <w:p w14:paraId="1B3985BC" w14:textId="77777777" w:rsidR="005A2F54" w:rsidRPr="000C4180" w:rsidRDefault="005A2F54" w:rsidP="00712BCD">
            <w:pPr>
              <w:jc w:val="right"/>
              <w:rPr>
                <w:color w:val="000000"/>
                <w:sz w:val="20"/>
                <w:szCs w:val="20"/>
              </w:rPr>
            </w:pPr>
            <w:r w:rsidRPr="000C4180">
              <w:rPr>
                <w:color w:val="000000"/>
                <w:sz w:val="20"/>
                <w:szCs w:val="20"/>
              </w:rPr>
              <w:t>7.2%</w:t>
            </w:r>
          </w:p>
        </w:tc>
        <w:tc>
          <w:tcPr>
            <w:tcW w:w="1166" w:type="dxa"/>
            <w:shd w:val="clear" w:color="auto" w:fill="auto"/>
            <w:noWrap/>
            <w:vAlign w:val="bottom"/>
            <w:hideMark/>
          </w:tcPr>
          <w:p w14:paraId="08CC495A" w14:textId="77777777" w:rsidR="005A2F54" w:rsidRPr="000C4180" w:rsidRDefault="005A2F54" w:rsidP="00712BCD">
            <w:pPr>
              <w:jc w:val="right"/>
              <w:rPr>
                <w:color w:val="000000"/>
                <w:sz w:val="20"/>
                <w:szCs w:val="20"/>
              </w:rPr>
            </w:pPr>
            <w:r w:rsidRPr="000C4180">
              <w:rPr>
                <w:color w:val="000000"/>
                <w:sz w:val="20"/>
                <w:szCs w:val="20"/>
              </w:rPr>
              <w:t>10.6%</w:t>
            </w:r>
          </w:p>
        </w:tc>
        <w:tc>
          <w:tcPr>
            <w:tcW w:w="1166" w:type="dxa"/>
            <w:shd w:val="clear" w:color="auto" w:fill="auto"/>
            <w:noWrap/>
            <w:vAlign w:val="bottom"/>
            <w:hideMark/>
          </w:tcPr>
          <w:p w14:paraId="2026C32F" w14:textId="77777777" w:rsidR="005A2F54" w:rsidRPr="000C4180" w:rsidRDefault="005A2F54" w:rsidP="00712BCD">
            <w:pPr>
              <w:jc w:val="right"/>
              <w:rPr>
                <w:color w:val="000000"/>
                <w:sz w:val="20"/>
                <w:szCs w:val="20"/>
              </w:rPr>
            </w:pPr>
            <w:r w:rsidRPr="000C4180">
              <w:rPr>
                <w:color w:val="000000"/>
                <w:sz w:val="20"/>
                <w:szCs w:val="20"/>
              </w:rPr>
              <w:t>12.1%</w:t>
            </w:r>
          </w:p>
        </w:tc>
      </w:tr>
      <w:tr w:rsidR="005A2F54" w:rsidRPr="000C4180" w14:paraId="07282A3F" w14:textId="77777777" w:rsidTr="00852188">
        <w:trPr>
          <w:trHeight w:val="226"/>
        </w:trPr>
        <w:tc>
          <w:tcPr>
            <w:tcW w:w="2332" w:type="dxa"/>
            <w:noWrap/>
            <w:vAlign w:val="bottom"/>
            <w:hideMark/>
          </w:tcPr>
          <w:p w14:paraId="3D3DA1FA" w14:textId="77777777" w:rsidR="005A2F54" w:rsidRPr="000C4180" w:rsidRDefault="005A2F54" w:rsidP="00712BCD">
            <w:pPr>
              <w:rPr>
                <w:color w:val="000000"/>
                <w:sz w:val="20"/>
                <w:szCs w:val="20"/>
              </w:rPr>
            </w:pPr>
            <w:r w:rsidRPr="000C4180">
              <w:rPr>
                <w:color w:val="000000"/>
                <w:sz w:val="20"/>
                <w:szCs w:val="20"/>
              </w:rPr>
              <w:t>MIRR (10, 0)</w:t>
            </w:r>
          </w:p>
        </w:tc>
        <w:tc>
          <w:tcPr>
            <w:tcW w:w="1166" w:type="dxa"/>
            <w:shd w:val="clear" w:color="auto" w:fill="auto"/>
            <w:noWrap/>
            <w:vAlign w:val="bottom"/>
            <w:hideMark/>
          </w:tcPr>
          <w:p w14:paraId="007BBB62" w14:textId="77777777" w:rsidR="005A2F54" w:rsidRPr="000C4180" w:rsidRDefault="005A2F54" w:rsidP="00712BCD">
            <w:pPr>
              <w:jc w:val="right"/>
              <w:rPr>
                <w:color w:val="000000"/>
                <w:sz w:val="20"/>
                <w:szCs w:val="20"/>
              </w:rPr>
            </w:pPr>
            <w:r w:rsidRPr="000C4180">
              <w:rPr>
                <w:color w:val="000000"/>
                <w:sz w:val="20"/>
                <w:szCs w:val="20"/>
              </w:rPr>
              <w:t>1.7%</w:t>
            </w:r>
          </w:p>
        </w:tc>
        <w:tc>
          <w:tcPr>
            <w:tcW w:w="1166" w:type="dxa"/>
            <w:shd w:val="clear" w:color="auto" w:fill="auto"/>
            <w:noWrap/>
            <w:vAlign w:val="bottom"/>
            <w:hideMark/>
          </w:tcPr>
          <w:p w14:paraId="25D03DA0" w14:textId="77777777" w:rsidR="005A2F54" w:rsidRPr="000C4180" w:rsidRDefault="005A2F54" w:rsidP="00712BCD">
            <w:pPr>
              <w:jc w:val="right"/>
              <w:rPr>
                <w:color w:val="000000"/>
                <w:sz w:val="20"/>
                <w:szCs w:val="20"/>
              </w:rPr>
            </w:pPr>
            <w:r w:rsidRPr="000C4180">
              <w:rPr>
                <w:color w:val="000000"/>
                <w:sz w:val="20"/>
                <w:szCs w:val="20"/>
              </w:rPr>
              <w:t>3.5%</w:t>
            </w:r>
          </w:p>
        </w:tc>
        <w:tc>
          <w:tcPr>
            <w:tcW w:w="1166" w:type="dxa"/>
            <w:shd w:val="clear" w:color="auto" w:fill="auto"/>
            <w:noWrap/>
            <w:vAlign w:val="bottom"/>
            <w:hideMark/>
          </w:tcPr>
          <w:p w14:paraId="40D8DE3F" w14:textId="77777777" w:rsidR="005A2F54" w:rsidRPr="000C4180" w:rsidRDefault="005A2F54" w:rsidP="00712BCD">
            <w:pPr>
              <w:jc w:val="right"/>
              <w:rPr>
                <w:color w:val="000000"/>
                <w:sz w:val="20"/>
                <w:szCs w:val="20"/>
              </w:rPr>
            </w:pPr>
            <w:r w:rsidRPr="000C4180">
              <w:rPr>
                <w:color w:val="000000"/>
                <w:sz w:val="20"/>
                <w:szCs w:val="20"/>
              </w:rPr>
              <w:t>0.3%</w:t>
            </w:r>
          </w:p>
        </w:tc>
        <w:tc>
          <w:tcPr>
            <w:tcW w:w="1166" w:type="dxa"/>
            <w:shd w:val="clear" w:color="auto" w:fill="auto"/>
            <w:noWrap/>
            <w:vAlign w:val="bottom"/>
            <w:hideMark/>
          </w:tcPr>
          <w:p w14:paraId="5AD2E1ED" w14:textId="77777777" w:rsidR="005A2F54" w:rsidRPr="000C4180" w:rsidRDefault="005A2F54" w:rsidP="00712BCD">
            <w:pPr>
              <w:jc w:val="right"/>
              <w:rPr>
                <w:color w:val="000000"/>
                <w:sz w:val="20"/>
                <w:szCs w:val="20"/>
              </w:rPr>
            </w:pPr>
            <w:r w:rsidRPr="000C4180">
              <w:rPr>
                <w:color w:val="000000"/>
                <w:sz w:val="20"/>
                <w:szCs w:val="20"/>
              </w:rPr>
              <w:t>2.1%</w:t>
            </w:r>
          </w:p>
        </w:tc>
        <w:tc>
          <w:tcPr>
            <w:tcW w:w="1166" w:type="dxa"/>
            <w:shd w:val="clear" w:color="auto" w:fill="auto"/>
            <w:noWrap/>
            <w:vAlign w:val="bottom"/>
            <w:hideMark/>
          </w:tcPr>
          <w:p w14:paraId="67322ABF" w14:textId="77777777" w:rsidR="005A2F54" w:rsidRPr="000C4180" w:rsidRDefault="005A2F54" w:rsidP="00712BCD">
            <w:pPr>
              <w:jc w:val="right"/>
              <w:rPr>
                <w:color w:val="000000"/>
                <w:sz w:val="20"/>
                <w:szCs w:val="20"/>
              </w:rPr>
            </w:pPr>
            <w:r w:rsidRPr="000C4180">
              <w:rPr>
                <w:color w:val="000000"/>
                <w:sz w:val="20"/>
                <w:szCs w:val="20"/>
              </w:rPr>
              <w:t>7.5%</w:t>
            </w:r>
          </w:p>
        </w:tc>
        <w:tc>
          <w:tcPr>
            <w:tcW w:w="1166" w:type="dxa"/>
            <w:shd w:val="clear" w:color="auto" w:fill="auto"/>
            <w:noWrap/>
            <w:vAlign w:val="bottom"/>
            <w:hideMark/>
          </w:tcPr>
          <w:p w14:paraId="0A9EBF93" w14:textId="77777777" w:rsidR="005A2F54" w:rsidRPr="000C4180" w:rsidRDefault="005A2F54" w:rsidP="00712BCD">
            <w:pPr>
              <w:jc w:val="right"/>
              <w:rPr>
                <w:color w:val="000000"/>
                <w:sz w:val="20"/>
                <w:szCs w:val="20"/>
              </w:rPr>
            </w:pPr>
            <w:r w:rsidRPr="000C4180">
              <w:rPr>
                <w:color w:val="000000"/>
                <w:sz w:val="20"/>
                <w:szCs w:val="20"/>
              </w:rPr>
              <w:t>6.9%</w:t>
            </w:r>
          </w:p>
        </w:tc>
      </w:tr>
      <w:tr w:rsidR="005A2F54" w:rsidRPr="000C4180" w14:paraId="1D948393" w14:textId="77777777" w:rsidTr="00852188">
        <w:trPr>
          <w:trHeight w:val="226"/>
        </w:trPr>
        <w:tc>
          <w:tcPr>
            <w:tcW w:w="2332" w:type="dxa"/>
            <w:noWrap/>
            <w:vAlign w:val="bottom"/>
            <w:hideMark/>
          </w:tcPr>
          <w:p w14:paraId="2AE95D13" w14:textId="77777777" w:rsidR="005A2F54" w:rsidRPr="000C4180" w:rsidRDefault="005A2F54" w:rsidP="00712BCD">
            <w:pPr>
              <w:rPr>
                <w:color w:val="000000"/>
                <w:sz w:val="20"/>
                <w:szCs w:val="20"/>
              </w:rPr>
            </w:pPr>
            <w:r w:rsidRPr="000C4180">
              <w:rPr>
                <w:color w:val="000000"/>
                <w:sz w:val="20"/>
                <w:szCs w:val="20"/>
              </w:rPr>
              <w:t>NPV at 10%</w:t>
            </w:r>
          </w:p>
        </w:tc>
        <w:tc>
          <w:tcPr>
            <w:tcW w:w="1166" w:type="dxa"/>
            <w:shd w:val="clear" w:color="auto" w:fill="auto"/>
            <w:noWrap/>
            <w:vAlign w:val="bottom"/>
            <w:hideMark/>
          </w:tcPr>
          <w:p w14:paraId="55A45F7E" w14:textId="77777777" w:rsidR="005A2F54" w:rsidRPr="000C4180" w:rsidRDefault="005A2F54" w:rsidP="00712BCD">
            <w:pPr>
              <w:jc w:val="right"/>
              <w:rPr>
                <w:color w:val="000000"/>
                <w:sz w:val="20"/>
                <w:szCs w:val="20"/>
              </w:rPr>
            </w:pPr>
            <w:r w:rsidRPr="000C4180">
              <w:rPr>
                <w:color w:val="000000"/>
                <w:sz w:val="20"/>
                <w:szCs w:val="20"/>
              </w:rPr>
              <w:t>-$2,422.0</w:t>
            </w:r>
          </w:p>
        </w:tc>
        <w:tc>
          <w:tcPr>
            <w:tcW w:w="1166" w:type="dxa"/>
            <w:shd w:val="clear" w:color="auto" w:fill="auto"/>
            <w:noWrap/>
            <w:vAlign w:val="bottom"/>
            <w:hideMark/>
          </w:tcPr>
          <w:p w14:paraId="1DF04A74" w14:textId="77777777" w:rsidR="005A2F54" w:rsidRPr="000C4180" w:rsidRDefault="005A2F54" w:rsidP="00712BCD">
            <w:pPr>
              <w:jc w:val="right"/>
              <w:rPr>
                <w:color w:val="000000"/>
                <w:sz w:val="20"/>
                <w:szCs w:val="20"/>
              </w:rPr>
            </w:pPr>
            <w:r w:rsidRPr="000C4180">
              <w:rPr>
                <w:color w:val="000000"/>
                <w:sz w:val="20"/>
                <w:szCs w:val="20"/>
              </w:rPr>
              <w:t>-$88.2</w:t>
            </w:r>
          </w:p>
        </w:tc>
        <w:tc>
          <w:tcPr>
            <w:tcW w:w="1166" w:type="dxa"/>
            <w:shd w:val="clear" w:color="auto" w:fill="auto"/>
            <w:noWrap/>
            <w:vAlign w:val="bottom"/>
            <w:hideMark/>
          </w:tcPr>
          <w:p w14:paraId="26650A47" w14:textId="77777777" w:rsidR="005A2F54" w:rsidRPr="000C4180" w:rsidRDefault="005A2F54" w:rsidP="00712BCD">
            <w:pPr>
              <w:jc w:val="right"/>
              <w:rPr>
                <w:color w:val="000000"/>
                <w:sz w:val="20"/>
                <w:szCs w:val="20"/>
              </w:rPr>
            </w:pPr>
            <w:r w:rsidRPr="000C4180">
              <w:rPr>
                <w:color w:val="000000"/>
                <w:sz w:val="20"/>
                <w:szCs w:val="20"/>
              </w:rPr>
              <w:t>-$3,248.4</w:t>
            </w:r>
          </w:p>
        </w:tc>
        <w:tc>
          <w:tcPr>
            <w:tcW w:w="1166" w:type="dxa"/>
            <w:shd w:val="clear" w:color="auto" w:fill="auto"/>
            <w:noWrap/>
            <w:vAlign w:val="bottom"/>
            <w:hideMark/>
          </w:tcPr>
          <w:p w14:paraId="0D47F9DF" w14:textId="77777777" w:rsidR="005A2F54" w:rsidRPr="000C4180" w:rsidRDefault="005A2F54" w:rsidP="00712BCD">
            <w:pPr>
              <w:jc w:val="right"/>
              <w:rPr>
                <w:color w:val="000000"/>
                <w:sz w:val="20"/>
                <w:szCs w:val="20"/>
              </w:rPr>
            </w:pPr>
            <w:r w:rsidRPr="000C4180">
              <w:rPr>
                <w:color w:val="000000"/>
                <w:sz w:val="20"/>
                <w:szCs w:val="20"/>
              </w:rPr>
              <w:t>-$163.4</w:t>
            </w:r>
          </w:p>
        </w:tc>
        <w:tc>
          <w:tcPr>
            <w:tcW w:w="1166" w:type="dxa"/>
            <w:shd w:val="clear" w:color="auto" w:fill="auto"/>
            <w:noWrap/>
            <w:vAlign w:val="bottom"/>
            <w:hideMark/>
          </w:tcPr>
          <w:p w14:paraId="1D499CB5" w14:textId="77777777" w:rsidR="005A2F54" w:rsidRPr="000C4180" w:rsidRDefault="005A2F54" w:rsidP="00712BCD">
            <w:pPr>
              <w:jc w:val="right"/>
              <w:rPr>
                <w:color w:val="000000"/>
                <w:sz w:val="20"/>
                <w:szCs w:val="20"/>
              </w:rPr>
            </w:pPr>
            <w:r w:rsidRPr="000C4180">
              <w:rPr>
                <w:color w:val="000000"/>
                <w:sz w:val="20"/>
                <w:szCs w:val="20"/>
              </w:rPr>
              <w:t>$310.1</w:t>
            </w:r>
          </w:p>
        </w:tc>
        <w:tc>
          <w:tcPr>
            <w:tcW w:w="1166" w:type="dxa"/>
            <w:shd w:val="clear" w:color="auto" w:fill="auto"/>
            <w:noWrap/>
            <w:vAlign w:val="bottom"/>
            <w:hideMark/>
          </w:tcPr>
          <w:p w14:paraId="2C0D842D" w14:textId="77777777" w:rsidR="005A2F54" w:rsidRPr="000C4180" w:rsidRDefault="005A2F54" w:rsidP="00712BCD">
            <w:pPr>
              <w:jc w:val="right"/>
              <w:rPr>
                <w:color w:val="000000"/>
                <w:sz w:val="20"/>
                <w:szCs w:val="20"/>
              </w:rPr>
            </w:pPr>
            <w:r w:rsidRPr="000C4180">
              <w:rPr>
                <w:color w:val="000000"/>
                <w:sz w:val="20"/>
                <w:szCs w:val="20"/>
              </w:rPr>
              <w:t>$116.7</w:t>
            </w:r>
          </w:p>
        </w:tc>
      </w:tr>
      <w:tr w:rsidR="005A2F54" w:rsidRPr="000C4180" w14:paraId="79B433DC" w14:textId="77777777" w:rsidTr="00852188">
        <w:trPr>
          <w:trHeight w:val="226"/>
        </w:trPr>
        <w:tc>
          <w:tcPr>
            <w:tcW w:w="2332" w:type="dxa"/>
            <w:noWrap/>
            <w:vAlign w:val="bottom"/>
          </w:tcPr>
          <w:p w14:paraId="65884DFB" w14:textId="77777777" w:rsidR="005A2F54" w:rsidRPr="000C4180" w:rsidRDefault="005A2F54" w:rsidP="00712BCD">
            <w:pPr>
              <w:rPr>
                <w:color w:val="000000"/>
                <w:sz w:val="20"/>
                <w:szCs w:val="20"/>
              </w:rPr>
            </w:pPr>
            <w:r w:rsidRPr="000C4180">
              <w:rPr>
                <w:color w:val="000000"/>
                <w:sz w:val="20"/>
                <w:szCs w:val="20"/>
              </w:rPr>
              <w:t>IRR by MCAS</w:t>
            </w:r>
            <w:r w:rsidRPr="000C4180">
              <w:rPr>
                <w:color w:val="000000"/>
                <w:sz w:val="20"/>
                <w:szCs w:val="20"/>
                <w:vertAlign w:val="superscript"/>
              </w:rPr>
              <w:t>*</w:t>
            </w:r>
            <w:r w:rsidRPr="000C4180">
              <w:rPr>
                <w:color w:val="000000"/>
                <w:sz w:val="20"/>
                <w:szCs w:val="20"/>
              </w:rPr>
              <w:t xml:space="preserve"> method</w:t>
            </w:r>
          </w:p>
        </w:tc>
        <w:tc>
          <w:tcPr>
            <w:tcW w:w="1166" w:type="dxa"/>
            <w:shd w:val="clear" w:color="auto" w:fill="auto"/>
            <w:noWrap/>
            <w:vAlign w:val="bottom"/>
          </w:tcPr>
          <w:p w14:paraId="39247D23" w14:textId="77777777" w:rsidR="005A2F54" w:rsidRPr="000C4180" w:rsidRDefault="005A2F54" w:rsidP="00712BCD">
            <w:pPr>
              <w:jc w:val="right"/>
              <w:rPr>
                <w:color w:val="000000"/>
                <w:sz w:val="20"/>
                <w:szCs w:val="20"/>
              </w:rPr>
            </w:pPr>
            <w:r w:rsidRPr="000C4180">
              <w:rPr>
                <w:color w:val="000000"/>
                <w:sz w:val="20"/>
                <w:szCs w:val="20"/>
              </w:rPr>
              <w:t>0.0%</w:t>
            </w:r>
          </w:p>
        </w:tc>
        <w:tc>
          <w:tcPr>
            <w:tcW w:w="1166" w:type="dxa"/>
            <w:shd w:val="clear" w:color="auto" w:fill="auto"/>
            <w:noWrap/>
            <w:vAlign w:val="bottom"/>
          </w:tcPr>
          <w:p w14:paraId="47E17138" w14:textId="77777777" w:rsidR="005A2F54" w:rsidRPr="000C4180" w:rsidRDefault="005A2F54" w:rsidP="00712BCD">
            <w:pPr>
              <w:jc w:val="right"/>
              <w:rPr>
                <w:color w:val="000000"/>
                <w:sz w:val="20"/>
                <w:szCs w:val="20"/>
              </w:rPr>
            </w:pPr>
            <w:r w:rsidRPr="000C4180">
              <w:rPr>
                <w:color w:val="000000"/>
                <w:sz w:val="20"/>
                <w:szCs w:val="20"/>
              </w:rPr>
              <w:t>0.0%</w:t>
            </w:r>
          </w:p>
        </w:tc>
        <w:tc>
          <w:tcPr>
            <w:tcW w:w="1166" w:type="dxa"/>
            <w:shd w:val="clear" w:color="auto" w:fill="auto"/>
            <w:noWrap/>
            <w:vAlign w:val="bottom"/>
          </w:tcPr>
          <w:p w14:paraId="2EC15274" w14:textId="77777777" w:rsidR="005A2F54" w:rsidRPr="000C4180" w:rsidRDefault="005A2F54" w:rsidP="00712BCD">
            <w:pPr>
              <w:jc w:val="right"/>
              <w:rPr>
                <w:color w:val="000000"/>
                <w:sz w:val="22"/>
                <w:szCs w:val="22"/>
              </w:rPr>
            </w:pPr>
            <w:r w:rsidRPr="000C4180">
              <w:rPr>
                <w:color w:val="000000"/>
                <w:sz w:val="22"/>
                <w:szCs w:val="22"/>
              </w:rPr>
              <w:t>-3.3%</w:t>
            </w:r>
          </w:p>
        </w:tc>
        <w:tc>
          <w:tcPr>
            <w:tcW w:w="1166" w:type="dxa"/>
            <w:shd w:val="clear" w:color="auto" w:fill="auto"/>
            <w:noWrap/>
            <w:vAlign w:val="bottom"/>
          </w:tcPr>
          <w:p w14:paraId="4984EF34" w14:textId="77777777" w:rsidR="005A2F54" w:rsidRPr="000C4180" w:rsidRDefault="005A2F54" w:rsidP="00712BCD">
            <w:pPr>
              <w:jc w:val="right"/>
              <w:rPr>
                <w:color w:val="000000"/>
                <w:sz w:val="22"/>
                <w:szCs w:val="22"/>
              </w:rPr>
            </w:pPr>
            <w:r w:rsidRPr="000C4180">
              <w:rPr>
                <w:color w:val="000000"/>
                <w:sz w:val="22"/>
                <w:szCs w:val="22"/>
              </w:rPr>
              <w:t>-7.4%</w:t>
            </w:r>
          </w:p>
        </w:tc>
        <w:tc>
          <w:tcPr>
            <w:tcW w:w="1166" w:type="dxa"/>
            <w:shd w:val="clear" w:color="auto" w:fill="auto"/>
            <w:noWrap/>
            <w:vAlign w:val="bottom"/>
          </w:tcPr>
          <w:p w14:paraId="0BD9672D" w14:textId="77777777" w:rsidR="005A2F54" w:rsidRPr="000C4180" w:rsidRDefault="005A2F54" w:rsidP="00712BCD">
            <w:pPr>
              <w:jc w:val="right"/>
              <w:rPr>
                <w:color w:val="000000"/>
                <w:sz w:val="22"/>
                <w:szCs w:val="22"/>
              </w:rPr>
            </w:pPr>
            <w:r w:rsidRPr="000C4180">
              <w:rPr>
                <w:color w:val="000000"/>
                <w:sz w:val="22"/>
                <w:szCs w:val="22"/>
              </w:rPr>
              <w:t>11.1%</w:t>
            </w:r>
          </w:p>
        </w:tc>
        <w:tc>
          <w:tcPr>
            <w:tcW w:w="1166" w:type="dxa"/>
            <w:shd w:val="clear" w:color="auto" w:fill="auto"/>
            <w:noWrap/>
            <w:vAlign w:val="bottom"/>
          </w:tcPr>
          <w:p w14:paraId="2E57CF30" w14:textId="77777777" w:rsidR="005A2F54" w:rsidRPr="000C4180" w:rsidRDefault="005A2F54" w:rsidP="00712BCD">
            <w:pPr>
              <w:jc w:val="right"/>
              <w:rPr>
                <w:color w:val="000000"/>
                <w:sz w:val="20"/>
                <w:szCs w:val="20"/>
              </w:rPr>
            </w:pPr>
            <w:r w:rsidRPr="000C4180">
              <w:rPr>
                <w:color w:val="000000"/>
                <w:sz w:val="20"/>
                <w:szCs w:val="20"/>
              </w:rPr>
              <w:t>16.1%</w:t>
            </w:r>
          </w:p>
        </w:tc>
      </w:tr>
      <w:tr w:rsidR="005A2F54" w:rsidRPr="000C4180" w14:paraId="771633CB" w14:textId="77777777" w:rsidTr="00852188">
        <w:trPr>
          <w:trHeight w:val="226"/>
        </w:trPr>
        <w:tc>
          <w:tcPr>
            <w:tcW w:w="2332" w:type="dxa"/>
            <w:noWrap/>
            <w:vAlign w:val="bottom"/>
          </w:tcPr>
          <w:p w14:paraId="11366D72" w14:textId="77777777" w:rsidR="005A2F54" w:rsidRPr="000C4180" w:rsidRDefault="005A2F54" w:rsidP="00712BCD">
            <w:pPr>
              <w:rPr>
                <w:color w:val="000000"/>
                <w:sz w:val="20"/>
                <w:szCs w:val="20"/>
              </w:rPr>
            </w:pPr>
            <w:r w:rsidRPr="000C4180">
              <w:rPr>
                <w:color w:val="000000"/>
                <w:sz w:val="20"/>
                <w:szCs w:val="20"/>
              </w:rPr>
              <w:t>NPV at 10% by MCAS</w:t>
            </w:r>
          </w:p>
        </w:tc>
        <w:tc>
          <w:tcPr>
            <w:tcW w:w="1166" w:type="dxa"/>
            <w:shd w:val="clear" w:color="auto" w:fill="auto"/>
            <w:noWrap/>
            <w:vAlign w:val="bottom"/>
          </w:tcPr>
          <w:p w14:paraId="70115EE4" w14:textId="77777777" w:rsidR="005A2F54" w:rsidRPr="000C4180" w:rsidRDefault="005A2F54" w:rsidP="00712BCD">
            <w:pPr>
              <w:jc w:val="right"/>
              <w:rPr>
                <w:color w:val="000000"/>
                <w:sz w:val="22"/>
                <w:szCs w:val="22"/>
              </w:rPr>
            </w:pPr>
            <w:r w:rsidRPr="000C4180">
              <w:rPr>
                <w:color w:val="000000"/>
                <w:sz w:val="22"/>
                <w:szCs w:val="22"/>
              </w:rPr>
              <w:t>-$3,546.0</w:t>
            </w:r>
          </w:p>
        </w:tc>
        <w:tc>
          <w:tcPr>
            <w:tcW w:w="1166" w:type="dxa"/>
            <w:shd w:val="clear" w:color="auto" w:fill="auto"/>
            <w:noWrap/>
            <w:vAlign w:val="bottom"/>
          </w:tcPr>
          <w:p w14:paraId="65723EAC" w14:textId="77777777" w:rsidR="005A2F54" w:rsidRPr="000C4180" w:rsidRDefault="005A2F54" w:rsidP="00712BCD">
            <w:pPr>
              <w:jc w:val="right"/>
              <w:rPr>
                <w:color w:val="000000"/>
                <w:sz w:val="22"/>
                <w:szCs w:val="22"/>
              </w:rPr>
            </w:pPr>
            <w:r w:rsidRPr="000C4180">
              <w:rPr>
                <w:color w:val="000000"/>
                <w:sz w:val="22"/>
                <w:szCs w:val="22"/>
              </w:rPr>
              <w:t>-$117.5</w:t>
            </w:r>
          </w:p>
        </w:tc>
        <w:tc>
          <w:tcPr>
            <w:tcW w:w="1166" w:type="dxa"/>
            <w:shd w:val="clear" w:color="auto" w:fill="auto"/>
            <w:noWrap/>
            <w:vAlign w:val="bottom"/>
          </w:tcPr>
          <w:p w14:paraId="6ADB3169" w14:textId="77777777" w:rsidR="005A2F54" w:rsidRPr="000C4180" w:rsidRDefault="005A2F54" w:rsidP="00712BCD">
            <w:pPr>
              <w:jc w:val="right"/>
              <w:rPr>
                <w:color w:val="000000"/>
                <w:sz w:val="22"/>
                <w:szCs w:val="22"/>
              </w:rPr>
            </w:pPr>
            <w:r w:rsidRPr="000C4180">
              <w:rPr>
                <w:color w:val="000000"/>
                <w:sz w:val="22"/>
                <w:szCs w:val="22"/>
              </w:rPr>
              <w:t>-$3,248.4</w:t>
            </w:r>
          </w:p>
        </w:tc>
        <w:tc>
          <w:tcPr>
            <w:tcW w:w="1166" w:type="dxa"/>
            <w:shd w:val="clear" w:color="auto" w:fill="auto"/>
            <w:noWrap/>
            <w:vAlign w:val="bottom"/>
          </w:tcPr>
          <w:p w14:paraId="76037CAE" w14:textId="77777777" w:rsidR="005A2F54" w:rsidRPr="000C4180" w:rsidRDefault="005A2F54" w:rsidP="00712BCD">
            <w:pPr>
              <w:jc w:val="right"/>
              <w:rPr>
                <w:color w:val="000000"/>
                <w:sz w:val="22"/>
                <w:szCs w:val="22"/>
              </w:rPr>
            </w:pPr>
            <w:r w:rsidRPr="000C4180">
              <w:rPr>
                <w:color w:val="000000"/>
                <w:sz w:val="22"/>
                <w:szCs w:val="22"/>
              </w:rPr>
              <w:t>-$185.8</w:t>
            </w:r>
          </w:p>
        </w:tc>
        <w:tc>
          <w:tcPr>
            <w:tcW w:w="1166" w:type="dxa"/>
            <w:shd w:val="clear" w:color="auto" w:fill="auto"/>
            <w:noWrap/>
            <w:vAlign w:val="bottom"/>
          </w:tcPr>
          <w:p w14:paraId="7ED32302" w14:textId="77777777" w:rsidR="005A2F54" w:rsidRPr="000C4180" w:rsidRDefault="005A2F54" w:rsidP="00712BCD">
            <w:pPr>
              <w:jc w:val="right"/>
              <w:rPr>
                <w:color w:val="000000"/>
                <w:sz w:val="22"/>
                <w:szCs w:val="22"/>
              </w:rPr>
            </w:pPr>
            <w:r w:rsidRPr="000C4180">
              <w:rPr>
                <w:color w:val="000000"/>
                <w:sz w:val="22"/>
                <w:szCs w:val="22"/>
              </w:rPr>
              <w:t>$310.1</w:t>
            </w:r>
          </w:p>
        </w:tc>
        <w:tc>
          <w:tcPr>
            <w:tcW w:w="1166" w:type="dxa"/>
            <w:shd w:val="clear" w:color="auto" w:fill="auto"/>
            <w:noWrap/>
            <w:vAlign w:val="bottom"/>
          </w:tcPr>
          <w:p w14:paraId="04F2F10D" w14:textId="77777777" w:rsidR="005A2F54" w:rsidRPr="000C4180" w:rsidRDefault="005A2F54" w:rsidP="00712BCD">
            <w:pPr>
              <w:jc w:val="right"/>
              <w:rPr>
                <w:color w:val="000000"/>
                <w:sz w:val="20"/>
                <w:szCs w:val="20"/>
              </w:rPr>
            </w:pPr>
            <w:r w:rsidRPr="000C4180">
              <w:rPr>
                <w:color w:val="000000"/>
                <w:sz w:val="20"/>
                <w:szCs w:val="20"/>
              </w:rPr>
              <w:t>$87.4</w:t>
            </w:r>
          </w:p>
        </w:tc>
      </w:tr>
    </w:tbl>
    <w:p w14:paraId="29CDFC2B" w14:textId="0A1E5904" w:rsidR="005A2F54" w:rsidRPr="000C4180" w:rsidRDefault="005A2F54" w:rsidP="005A2F54">
      <w:pPr>
        <w:pStyle w:val="NoSpacing"/>
        <w:ind w:left="720"/>
        <w:rPr>
          <w:sz w:val="20"/>
          <w:szCs w:val="20"/>
        </w:rPr>
      </w:pPr>
      <w:r w:rsidRPr="000C4180">
        <w:rPr>
          <w:sz w:val="20"/>
          <w:szCs w:val="20"/>
        </w:rPr>
        <w:t xml:space="preserve">* </w:t>
      </w:r>
      <w:r w:rsidR="00852188" w:rsidRPr="000C4180">
        <w:rPr>
          <w:sz w:val="20"/>
          <w:szCs w:val="20"/>
        </w:rPr>
        <w:t>W</w:t>
      </w:r>
      <w:r w:rsidRPr="000C4180">
        <w:rPr>
          <w:sz w:val="20"/>
          <w:szCs w:val="20"/>
        </w:rPr>
        <w:t xml:space="preserve">orksheets for the above estimates are available with </w:t>
      </w:r>
      <w:r w:rsidR="00C85164" w:rsidRPr="000C4180">
        <w:rPr>
          <w:rFonts w:eastAsia="Times New Roman"/>
          <w:color w:val="000000"/>
          <w:sz w:val="20"/>
          <w:szCs w:val="20"/>
          <w:lang w:eastAsia="en-AU"/>
        </w:rPr>
        <w:t xml:space="preserve">the </w:t>
      </w:r>
      <w:r w:rsidRPr="000C4180">
        <w:rPr>
          <w:sz w:val="20"/>
          <w:szCs w:val="20"/>
        </w:rPr>
        <w:t>author.</w:t>
      </w:r>
    </w:p>
    <w:p w14:paraId="77C572E1" w14:textId="77777777" w:rsidR="00A74765" w:rsidRDefault="00A74765" w:rsidP="005A2F54">
      <w:pPr>
        <w:pStyle w:val="NoSpacing"/>
        <w:rPr>
          <w:b/>
        </w:rPr>
      </w:pPr>
    </w:p>
    <w:p w14:paraId="5E4FB631" w14:textId="5834AC5E" w:rsidR="005A2F54" w:rsidRPr="000C4180" w:rsidRDefault="005A2F54" w:rsidP="005A2F54">
      <w:pPr>
        <w:pStyle w:val="NoSpacing"/>
        <w:rPr>
          <w:b/>
        </w:rPr>
      </w:pPr>
      <w:r w:rsidRPr="000C4180">
        <w:rPr>
          <w:b/>
        </w:rPr>
        <w:t>4.3 A NNCF data with a unique IRR by DCF / CAS vs IRR by MCAS method:</w:t>
      </w:r>
    </w:p>
    <w:p w14:paraId="330D54F6" w14:textId="7971F082" w:rsidR="005A2F54" w:rsidRPr="000C4180" w:rsidRDefault="005A2F54" w:rsidP="005A2F54">
      <w:pPr>
        <w:pStyle w:val="NoSpacing"/>
      </w:pPr>
      <w:r w:rsidRPr="000C4180">
        <w:t xml:space="preserve">All NNCF data need not necessarily lead to multiple IRR </w:t>
      </w:r>
      <w:r w:rsidR="00C85164" w:rsidRPr="000C4180">
        <w:rPr>
          <w:rFonts w:eastAsia="Times New Roman"/>
          <w:color w:val="000000"/>
          <w:lang w:eastAsia="en-AU"/>
        </w:rPr>
        <w:t>problems</w:t>
      </w:r>
      <w:r w:rsidRPr="000C4180">
        <w:t xml:space="preserve">. That does not mean the unique IRR </w:t>
      </w:r>
      <w:r w:rsidR="00A92845" w:rsidRPr="000C4180">
        <w:t xml:space="preserve">and NPV </w:t>
      </w:r>
      <w:r w:rsidRPr="000C4180">
        <w:t>estimated by DCF or CAS method is always real. A NNCF data that is available in public domain is used here to illustrate one such instance.  The results are presented in Table 3. The NNCF data leads to a unique IRR of 23.0% and CAS indicates that the interest income of $56 is included as benefit or income</w:t>
      </w:r>
      <w:r w:rsidR="00145664" w:rsidRPr="000C4180">
        <w:t xml:space="preserve"> which </w:t>
      </w:r>
      <w:r w:rsidRPr="000C4180">
        <w:t>is a reinvestment income and should not be included. Under the MCAS method this interest income of $56 is not included and therefore the IRR is 21.1%. The MCAS method that excludes reinvestment income, is appropriate for both NNCF and NCF data.</w:t>
      </w:r>
    </w:p>
    <w:p w14:paraId="60D4896E" w14:textId="77777777" w:rsidR="009109B3" w:rsidRDefault="009109B3" w:rsidP="009109B3">
      <w:pPr>
        <w:pStyle w:val="NoSpacing"/>
      </w:pPr>
    </w:p>
    <w:p w14:paraId="04119AB1" w14:textId="32682808" w:rsidR="009109B3" w:rsidRPr="000C4180" w:rsidRDefault="009109B3" w:rsidP="009109B3">
      <w:pPr>
        <w:pStyle w:val="NoSpacing"/>
      </w:pPr>
      <w:r w:rsidRPr="000C4180">
        <w:t>Both the CAS and MCAS at IRR and at 10% (assumed hurdle rate) reveals an important point. Under CAS at 23.0% (IRR), in year four OB is $244. The interest income of $56 is a reinvestment income at 23.0% of the OB. Under CAS at 10%, the year four OB is $471.3 and an interest income at 10% ($47.1) is included under the benefit or income. In DCF or CAS methods, the interim income is reinvested at IRR or at 10% ONLY when the OB is a positive. A positive OB clearly indicates that the ROC and ROIC are fully recovered. Under the normal NCF and there is no negative flow afterwards. A positive CB is not possible with normal NCF. In the case of NNCF a positive OB is common. Under DCF and CAS estimates that include reinvested interest income the IRR is 23.0% and the NPV is $149. MCAS method eliminates the reinvestment both at IRR and 10%. After elimination, of the reinvested interest income, the IRR is 21.1% and the NPV is $117 under MCAS is lower than the CAS method. Both IRR and NPV suffers due to NNCF and the NPV rule becomes invalid under NNCF.</w:t>
      </w:r>
    </w:p>
    <w:p w14:paraId="73F786E0" w14:textId="77777777" w:rsidR="005A2F54" w:rsidRPr="000C4180" w:rsidRDefault="005A2F54" w:rsidP="009109B3">
      <w:pPr>
        <w:pStyle w:val="Heading3"/>
      </w:pPr>
      <w:r w:rsidRPr="000C4180">
        <w:t>Table: 3. NNCF with Unique IRR under DCF and CAS method vs IRR with MCAS Method</w:t>
      </w:r>
    </w:p>
    <w:tbl>
      <w:tblPr>
        <w:tblW w:w="8282" w:type="dxa"/>
        <w:jc w:val="center"/>
        <w:tblCellMar>
          <w:top w:w="15" w:type="dxa"/>
          <w:bottom w:w="15" w:type="dxa"/>
        </w:tblCellMar>
        <w:tblLook w:val="04A0" w:firstRow="1" w:lastRow="0" w:firstColumn="1" w:lastColumn="0" w:noHBand="0" w:noVBand="1"/>
      </w:tblPr>
      <w:tblGrid>
        <w:gridCol w:w="1591"/>
        <w:gridCol w:w="650"/>
        <w:gridCol w:w="747"/>
        <w:gridCol w:w="830"/>
        <w:gridCol w:w="747"/>
        <w:gridCol w:w="747"/>
        <w:gridCol w:w="747"/>
        <w:gridCol w:w="1444"/>
        <w:gridCol w:w="779"/>
      </w:tblGrid>
      <w:tr w:rsidR="005A2F54" w:rsidRPr="000C4180" w14:paraId="47F5FCCF"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E2832" w14:textId="77777777" w:rsidR="005A2F54" w:rsidRPr="000C4180" w:rsidRDefault="005A2F54" w:rsidP="00712BCD">
            <w:pPr>
              <w:rPr>
                <w:b/>
                <w:sz w:val="20"/>
                <w:szCs w:val="20"/>
              </w:rPr>
            </w:pPr>
            <w:r w:rsidRPr="000C4180">
              <w:rPr>
                <w:b/>
                <w:sz w:val="20"/>
                <w:szCs w:val="20"/>
              </w:rPr>
              <w:t>Details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0ADD" w14:textId="77777777" w:rsidR="005A2F54" w:rsidRPr="000C4180" w:rsidRDefault="005A2F54" w:rsidP="00712BCD">
            <w:pPr>
              <w:jc w:val="right"/>
              <w:rPr>
                <w:b/>
                <w:sz w:val="20"/>
                <w:szCs w:val="20"/>
              </w:rPr>
            </w:pPr>
            <w:r w:rsidRPr="000C4180">
              <w:rPr>
                <w:b/>
                <w:sz w:val="20"/>
                <w:szCs w:val="20"/>
              </w:rPr>
              <w:t>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28E23" w14:textId="77777777" w:rsidR="005A2F54" w:rsidRPr="000C4180" w:rsidRDefault="005A2F54" w:rsidP="00712BCD">
            <w:pPr>
              <w:jc w:val="right"/>
              <w:rPr>
                <w:b/>
                <w:sz w:val="20"/>
                <w:szCs w:val="20"/>
              </w:rPr>
            </w:pPr>
            <w:r w:rsidRPr="000C4180">
              <w:rPr>
                <w:b/>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A3FE" w14:textId="77777777" w:rsidR="005A2F54" w:rsidRPr="000C4180" w:rsidRDefault="005A2F54" w:rsidP="00712BCD">
            <w:pPr>
              <w:jc w:val="right"/>
              <w:rPr>
                <w:b/>
                <w:sz w:val="20"/>
                <w:szCs w:val="20"/>
              </w:rPr>
            </w:pPr>
            <w:r w:rsidRPr="000C4180">
              <w:rPr>
                <w:b/>
                <w:sz w:val="20"/>
                <w:szCs w:val="20"/>
              </w:rPr>
              <w:t>2</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017D" w14:textId="77777777" w:rsidR="005A2F54" w:rsidRPr="000C4180" w:rsidRDefault="005A2F54" w:rsidP="00712BCD">
            <w:pPr>
              <w:jc w:val="right"/>
              <w:rPr>
                <w:b/>
                <w:sz w:val="20"/>
                <w:szCs w:val="20"/>
              </w:rPr>
            </w:pPr>
            <w:r w:rsidRPr="000C4180">
              <w:rPr>
                <w:b/>
                <w:sz w:val="20"/>
                <w:szCs w:val="20"/>
              </w:rPr>
              <w:t>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1DC9" w14:textId="77777777" w:rsidR="005A2F54" w:rsidRPr="000C4180" w:rsidRDefault="005A2F54" w:rsidP="00712BCD">
            <w:pPr>
              <w:jc w:val="right"/>
              <w:rPr>
                <w:b/>
                <w:sz w:val="20"/>
                <w:szCs w:val="20"/>
              </w:rPr>
            </w:pPr>
            <w:r w:rsidRPr="000C4180">
              <w:rPr>
                <w:b/>
                <w:sz w:val="20"/>
                <w:szCs w:val="20"/>
              </w:rPr>
              <w:t>4</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067C8" w14:textId="77777777" w:rsidR="005A2F54" w:rsidRPr="000C4180" w:rsidRDefault="005A2F54" w:rsidP="00712BCD">
            <w:pPr>
              <w:rPr>
                <w:b/>
                <w:sz w:val="20"/>
                <w:szCs w:val="20"/>
              </w:rPr>
            </w:pPr>
            <w:r w:rsidRPr="000C4180">
              <w:rPr>
                <w:b/>
                <w:sz w:val="20"/>
                <w:szCs w:val="20"/>
              </w:rPr>
              <w:t>Sum</w:t>
            </w: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A539A" w14:textId="77777777" w:rsidR="005A2F54" w:rsidRPr="000C4180" w:rsidRDefault="005A2F54" w:rsidP="00712BCD">
            <w:pPr>
              <w:rPr>
                <w:b/>
                <w:sz w:val="20"/>
                <w:szCs w:val="20"/>
              </w:rPr>
            </w:pPr>
            <w:r w:rsidRPr="000C4180">
              <w:rPr>
                <w:b/>
                <w:sz w:val="20"/>
                <w:szCs w:val="20"/>
              </w:rPr>
              <w:t xml:space="preserve"> Estimates </w:t>
            </w:r>
          </w:p>
        </w:tc>
      </w:tr>
      <w:tr w:rsidR="005A2F54" w:rsidRPr="000C4180" w14:paraId="4B7C7496"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5E13" w14:textId="77777777" w:rsidR="005A2F54" w:rsidRPr="000C4180" w:rsidRDefault="005A2F54" w:rsidP="00712BCD">
            <w:pPr>
              <w:jc w:val="right"/>
              <w:rPr>
                <w:sz w:val="20"/>
                <w:szCs w:val="20"/>
              </w:rPr>
            </w:pPr>
            <w:r w:rsidRPr="000C4180">
              <w:rPr>
                <w:sz w:val="20"/>
                <w:szCs w:val="20"/>
              </w:rPr>
              <w:t>NNCF</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E6AE" w14:textId="77777777" w:rsidR="005A2F54" w:rsidRPr="000C4180" w:rsidRDefault="005A2F54" w:rsidP="00712BCD">
            <w:pPr>
              <w:jc w:val="right"/>
              <w:rPr>
                <w:sz w:val="20"/>
                <w:szCs w:val="20"/>
              </w:rPr>
            </w:pPr>
            <w:r w:rsidRPr="000C4180">
              <w:rPr>
                <w:sz w:val="20"/>
                <w:szCs w:val="20"/>
              </w:rPr>
              <w:t>-700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6AA3" w14:textId="77777777" w:rsidR="005A2F54" w:rsidRPr="000C4180" w:rsidRDefault="005A2F54" w:rsidP="00712BCD">
            <w:pPr>
              <w:jc w:val="right"/>
              <w:rPr>
                <w:sz w:val="20"/>
                <w:szCs w:val="20"/>
              </w:rPr>
            </w:pPr>
            <w:r w:rsidRPr="000C4180">
              <w:rPr>
                <w:sz w:val="20"/>
                <w:szCs w:val="20"/>
              </w:rPr>
              <w:t>300.0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EFB7" w14:textId="77777777" w:rsidR="005A2F54" w:rsidRPr="000C4180" w:rsidRDefault="005A2F54" w:rsidP="00712BCD">
            <w:pPr>
              <w:jc w:val="right"/>
              <w:rPr>
                <w:sz w:val="20"/>
                <w:szCs w:val="20"/>
              </w:rPr>
            </w:pPr>
            <w:r w:rsidRPr="000C4180">
              <w:rPr>
                <w:sz w:val="20"/>
                <w:szCs w:val="20"/>
              </w:rPr>
              <w:t>400.0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2D19" w14:textId="77777777" w:rsidR="005A2F54" w:rsidRPr="000C4180" w:rsidRDefault="005A2F54" w:rsidP="00712BCD">
            <w:pPr>
              <w:jc w:val="right"/>
              <w:rPr>
                <w:sz w:val="20"/>
                <w:szCs w:val="20"/>
              </w:rPr>
            </w:pPr>
            <w:r w:rsidRPr="000C4180">
              <w:rPr>
                <w:sz w:val="20"/>
                <w:szCs w:val="20"/>
              </w:rPr>
              <w:t>600.0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0E65"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0B43" w14:textId="77777777" w:rsidR="005A2F54" w:rsidRPr="000C4180" w:rsidRDefault="005A2F54" w:rsidP="00712BCD">
            <w:pPr>
              <w:jc w:val="right"/>
              <w:rPr>
                <w:sz w:val="20"/>
                <w:szCs w:val="20"/>
              </w:rPr>
            </w:pPr>
            <w:r w:rsidRPr="000C4180">
              <w:rPr>
                <w:sz w:val="20"/>
                <w:szCs w:val="20"/>
              </w:rPr>
              <w:t>300.0</w:t>
            </w:r>
          </w:p>
        </w:tc>
        <w:tc>
          <w:tcPr>
            <w:tcW w:w="1444" w:type="dxa"/>
            <w:tcBorders>
              <w:top w:val="single" w:sz="4" w:space="0" w:color="auto"/>
              <w:left w:val="single" w:sz="4" w:space="0" w:color="auto"/>
              <w:right w:val="single" w:sz="4" w:space="0" w:color="auto"/>
            </w:tcBorders>
            <w:shd w:val="clear" w:color="auto" w:fill="auto"/>
            <w:noWrap/>
            <w:vAlign w:val="bottom"/>
          </w:tcPr>
          <w:p w14:paraId="5FABE99F" w14:textId="77777777" w:rsidR="005A2F54" w:rsidRPr="000C4180" w:rsidRDefault="005A2F54" w:rsidP="00712BCD">
            <w:pPr>
              <w:jc w:val="right"/>
              <w:rPr>
                <w:sz w:val="20"/>
                <w:szCs w:val="20"/>
              </w:rPr>
            </w:pPr>
            <w:r w:rsidRPr="000C4180">
              <w:rPr>
                <w:sz w:val="20"/>
                <w:szCs w:val="20"/>
              </w:rPr>
              <w:t>Criteria</w:t>
            </w:r>
          </w:p>
        </w:tc>
        <w:tc>
          <w:tcPr>
            <w:tcW w:w="776" w:type="dxa"/>
            <w:tcBorders>
              <w:top w:val="single" w:sz="4" w:space="0" w:color="auto"/>
              <w:left w:val="single" w:sz="4" w:space="0" w:color="auto"/>
              <w:right w:val="single" w:sz="4" w:space="0" w:color="auto"/>
            </w:tcBorders>
            <w:shd w:val="clear" w:color="auto" w:fill="auto"/>
            <w:vAlign w:val="bottom"/>
          </w:tcPr>
          <w:p w14:paraId="612E6242" w14:textId="77777777" w:rsidR="005A2F54" w:rsidRPr="000C4180" w:rsidRDefault="005A2F54" w:rsidP="00712BCD">
            <w:pPr>
              <w:rPr>
                <w:sz w:val="20"/>
                <w:szCs w:val="20"/>
              </w:rPr>
            </w:pPr>
            <w:r w:rsidRPr="000C4180">
              <w:rPr>
                <w:sz w:val="20"/>
                <w:szCs w:val="20"/>
              </w:rPr>
              <w:t>Values</w:t>
            </w:r>
          </w:p>
        </w:tc>
      </w:tr>
      <w:tr w:rsidR="005A2F54" w:rsidRPr="000C4180" w14:paraId="6AD8A2FC" w14:textId="77777777" w:rsidTr="00A74765">
        <w:trPr>
          <w:trHeight w:val="136"/>
          <w:jc w:val="center"/>
        </w:trPr>
        <w:tc>
          <w:tcPr>
            <w:tcW w:w="82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0918CF1" w14:textId="77777777" w:rsidR="005A2F54" w:rsidRPr="000C4180" w:rsidRDefault="005A2F54" w:rsidP="00712BCD">
            <w:pPr>
              <w:jc w:val="center"/>
              <w:rPr>
                <w:b/>
                <w:sz w:val="20"/>
                <w:szCs w:val="20"/>
              </w:rPr>
            </w:pPr>
            <w:r w:rsidRPr="000C4180">
              <w:rPr>
                <w:b/>
                <w:sz w:val="20"/>
                <w:szCs w:val="20"/>
              </w:rPr>
              <w:t>CAS Method Estimates</w:t>
            </w:r>
          </w:p>
        </w:tc>
      </w:tr>
      <w:tr w:rsidR="005A2F54" w:rsidRPr="000C4180" w14:paraId="044FD0A9" w14:textId="77777777" w:rsidTr="00A74765">
        <w:trPr>
          <w:trHeight w:val="136"/>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888C" w14:textId="77777777" w:rsidR="005A2F54" w:rsidRPr="000C4180" w:rsidRDefault="005A2F54" w:rsidP="00712BCD">
            <w:pPr>
              <w:rPr>
                <w:sz w:val="20"/>
                <w:szCs w:val="20"/>
              </w:rPr>
            </w:pPr>
            <w:r w:rsidRPr="000C4180">
              <w:rPr>
                <w:sz w:val="20"/>
                <w:szCs w:val="20"/>
              </w:rPr>
              <w:lastRenderedPageBreak/>
              <w:t>Opening Capital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3090"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3C5A6" w14:textId="77777777" w:rsidR="005A2F54" w:rsidRPr="000C4180" w:rsidRDefault="005A2F54" w:rsidP="00712BCD">
            <w:pPr>
              <w:jc w:val="right"/>
              <w:rPr>
                <w:sz w:val="20"/>
                <w:szCs w:val="20"/>
              </w:rPr>
            </w:pPr>
            <w:r w:rsidRPr="000C4180">
              <w:rPr>
                <w:sz w:val="20"/>
                <w:szCs w:val="20"/>
              </w:rPr>
              <w:t>-700.0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5A21" w14:textId="77777777" w:rsidR="005A2F54" w:rsidRPr="000C4180" w:rsidRDefault="005A2F54" w:rsidP="00712BCD">
            <w:pPr>
              <w:jc w:val="right"/>
              <w:rPr>
                <w:sz w:val="20"/>
                <w:szCs w:val="20"/>
              </w:rPr>
            </w:pPr>
            <w:r w:rsidRPr="000C4180">
              <w:rPr>
                <w:sz w:val="20"/>
                <w:szCs w:val="20"/>
              </w:rPr>
              <w:t>-560.8</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88252" w14:textId="77777777" w:rsidR="005A2F54" w:rsidRPr="000C4180" w:rsidRDefault="005A2F54" w:rsidP="00712BCD">
            <w:pPr>
              <w:jc w:val="right"/>
              <w:rPr>
                <w:sz w:val="20"/>
                <w:szCs w:val="20"/>
              </w:rPr>
            </w:pPr>
            <w:r w:rsidRPr="000C4180">
              <w:rPr>
                <w:sz w:val="20"/>
                <w:szCs w:val="20"/>
              </w:rPr>
              <w:t>-289.5</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77EE" w14:textId="77777777" w:rsidR="005A2F54" w:rsidRPr="000C4180" w:rsidRDefault="005A2F54" w:rsidP="00712BCD">
            <w:pPr>
              <w:jc w:val="right"/>
              <w:rPr>
                <w:sz w:val="20"/>
                <w:szCs w:val="20"/>
              </w:rPr>
            </w:pPr>
            <w:r w:rsidRPr="000C4180">
              <w:rPr>
                <w:sz w:val="20"/>
                <w:szCs w:val="20"/>
              </w:rPr>
              <w:t>244.0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ADC4" w14:textId="77777777" w:rsidR="005A2F54" w:rsidRPr="000C4180" w:rsidRDefault="005A2F54" w:rsidP="00712BCD">
            <w:pPr>
              <w:jc w:val="right"/>
              <w:rPr>
                <w:sz w:val="20"/>
                <w:szCs w:val="20"/>
              </w:rPr>
            </w:pPr>
            <w:r w:rsidRPr="000C4180">
              <w:rPr>
                <w:sz w:val="20"/>
                <w:szCs w:val="20"/>
              </w:rPr>
              <w:t>-700.0</w:t>
            </w:r>
          </w:p>
        </w:tc>
        <w:tc>
          <w:tcPr>
            <w:tcW w:w="1444" w:type="dxa"/>
            <w:tcBorders>
              <w:top w:val="single" w:sz="4" w:space="0" w:color="auto"/>
              <w:left w:val="single" w:sz="4" w:space="0" w:color="auto"/>
              <w:right w:val="single" w:sz="4" w:space="0" w:color="auto"/>
            </w:tcBorders>
            <w:shd w:val="clear" w:color="auto" w:fill="auto"/>
            <w:noWrap/>
            <w:vAlign w:val="bottom"/>
          </w:tcPr>
          <w:p w14:paraId="3FE41CE8" w14:textId="77777777" w:rsidR="005A2F54" w:rsidRPr="000C4180" w:rsidRDefault="005A2F54" w:rsidP="00712BCD">
            <w:pPr>
              <w:jc w:val="right"/>
              <w:rPr>
                <w:sz w:val="20"/>
                <w:szCs w:val="20"/>
              </w:rPr>
            </w:pPr>
            <w:r w:rsidRPr="000C4180">
              <w:rPr>
                <w:sz w:val="20"/>
                <w:szCs w:val="20"/>
              </w:rPr>
              <w:t>IRR</w:t>
            </w:r>
          </w:p>
        </w:tc>
        <w:tc>
          <w:tcPr>
            <w:tcW w:w="776" w:type="dxa"/>
            <w:tcBorders>
              <w:top w:val="single" w:sz="4" w:space="0" w:color="auto"/>
              <w:left w:val="single" w:sz="4" w:space="0" w:color="auto"/>
              <w:right w:val="single" w:sz="4" w:space="0" w:color="auto"/>
            </w:tcBorders>
            <w:shd w:val="clear" w:color="auto" w:fill="auto"/>
            <w:vAlign w:val="bottom"/>
          </w:tcPr>
          <w:p w14:paraId="2D35CEEB" w14:textId="77777777" w:rsidR="005A2F54" w:rsidRPr="000C4180" w:rsidRDefault="005A2F54" w:rsidP="00712BCD">
            <w:pPr>
              <w:rPr>
                <w:sz w:val="20"/>
                <w:szCs w:val="20"/>
              </w:rPr>
            </w:pPr>
            <w:r w:rsidRPr="000C4180">
              <w:rPr>
                <w:sz w:val="20"/>
                <w:szCs w:val="20"/>
              </w:rPr>
              <w:t>23.0%</w:t>
            </w:r>
          </w:p>
        </w:tc>
      </w:tr>
      <w:tr w:rsidR="005A2F54" w:rsidRPr="000C4180" w14:paraId="32D82507"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49B38" w14:textId="77777777" w:rsidR="005A2F54" w:rsidRPr="000C4180" w:rsidRDefault="005A2F54" w:rsidP="00712BCD">
            <w:pPr>
              <w:rPr>
                <w:sz w:val="20"/>
                <w:szCs w:val="20"/>
              </w:rPr>
            </w:pPr>
            <w:r w:rsidRPr="000C4180">
              <w:rPr>
                <w:sz w:val="20"/>
                <w:szCs w:val="20"/>
              </w:rPr>
              <w:t>Interest at 23%</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32F"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A2A0" w14:textId="77777777" w:rsidR="005A2F54" w:rsidRPr="000C4180" w:rsidRDefault="005A2F54" w:rsidP="00712BCD">
            <w:pPr>
              <w:jc w:val="right"/>
              <w:rPr>
                <w:sz w:val="20"/>
                <w:szCs w:val="20"/>
              </w:rPr>
            </w:pPr>
            <w:r w:rsidRPr="000C4180">
              <w:rPr>
                <w:sz w:val="20"/>
                <w:szCs w:val="20"/>
              </w:rPr>
              <w:t>-161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91B8" w14:textId="77777777" w:rsidR="005A2F54" w:rsidRPr="000C4180" w:rsidRDefault="005A2F54" w:rsidP="00712BCD">
            <w:pPr>
              <w:jc w:val="right"/>
              <w:rPr>
                <w:sz w:val="20"/>
                <w:szCs w:val="20"/>
              </w:rPr>
            </w:pPr>
            <w:r w:rsidRPr="000C4180">
              <w:rPr>
                <w:sz w:val="20"/>
                <w:szCs w:val="20"/>
              </w:rPr>
              <w:t>-129</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FF28" w14:textId="77777777" w:rsidR="005A2F54" w:rsidRPr="000C4180" w:rsidRDefault="005A2F54" w:rsidP="00712BCD">
            <w:pPr>
              <w:jc w:val="right"/>
              <w:rPr>
                <w:sz w:val="20"/>
                <w:szCs w:val="20"/>
              </w:rPr>
            </w:pPr>
            <w:r w:rsidRPr="000C4180">
              <w:rPr>
                <w:sz w:val="20"/>
                <w:szCs w:val="20"/>
              </w:rPr>
              <w:t>-66</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8E06" w14:textId="77777777" w:rsidR="005A2F54" w:rsidRPr="000C4180" w:rsidRDefault="005A2F54" w:rsidP="00712BCD">
            <w:pPr>
              <w:jc w:val="right"/>
              <w:rPr>
                <w:sz w:val="20"/>
                <w:szCs w:val="20"/>
              </w:rPr>
            </w:pPr>
            <w:r w:rsidRPr="000C4180">
              <w:rPr>
                <w:sz w:val="20"/>
                <w:szCs w:val="20"/>
              </w:rPr>
              <w:t>56</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7CFB" w14:textId="77777777" w:rsidR="005A2F54" w:rsidRPr="000C4180" w:rsidRDefault="005A2F54" w:rsidP="00712BCD">
            <w:pPr>
              <w:jc w:val="right"/>
              <w:rPr>
                <w:sz w:val="20"/>
                <w:szCs w:val="20"/>
              </w:rPr>
            </w:pPr>
            <w:r w:rsidRPr="000C4180">
              <w:rPr>
                <w:sz w:val="20"/>
                <w:szCs w:val="20"/>
              </w:rPr>
              <w:t>-300.0</w:t>
            </w:r>
          </w:p>
        </w:tc>
        <w:tc>
          <w:tcPr>
            <w:tcW w:w="1444" w:type="dxa"/>
            <w:tcBorders>
              <w:left w:val="single" w:sz="4" w:space="0" w:color="auto"/>
              <w:right w:val="single" w:sz="4" w:space="0" w:color="auto"/>
            </w:tcBorders>
            <w:shd w:val="clear" w:color="auto" w:fill="auto"/>
            <w:noWrap/>
            <w:vAlign w:val="bottom"/>
          </w:tcPr>
          <w:p w14:paraId="55EC8C50" w14:textId="77777777" w:rsidR="005A2F54" w:rsidRPr="000C4180" w:rsidRDefault="005A2F54" w:rsidP="00712BCD">
            <w:pPr>
              <w:jc w:val="right"/>
              <w:rPr>
                <w:sz w:val="20"/>
                <w:szCs w:val="20"/>
              </w:rPr>
            </w:pPr>
            <w:r w:rsidRPr="000C4180">
              <w:rPr>
                <w:sz w:val="20"/>
                <w:szCs w:val="20"/>
              </w:rPr>
              <w:t>MIRR (10,10)</w:t>
            </w:r>
          </w:p>
        </w:tc>
        <w:tc>
          <w:tcPr>
            <w:tcW w:w="776" w:type="dxa"/>
            <w:tcBorders>
              <w:left w:val="single" w:sz="4" w:space="0" w:color="auto"/>
              <w:right w:val="single" w:sz="4" w:space="0" w:color="auto"/>
            </w:tcBorders>
            <w:shd w:val="clear" w:color="auto" w:fill="auto"/>
            <w:vAlign w:val="bottom"/>
          </w:tcPr>
          <w:p w14:paraId="6ECFBED0" w14:textId="77777777" w:rsidR="005A2F54" w:rsidRPr="000C4180" w:rsidRDefault="005A2F54" w:rsidP="00712BCD">
            <w:pPr>
              <w:jc w:val="right"/>
              <w:rPr>
                <w:sz w:val="20"/>
                <w:szCs w:val="20"/>
              </w:rPr>
            </w:pPr>
            <w:r w:rsidRPr="000C4180">
              <w:rPr>
                <w:sz w:val="20"/>
                <w:szCs w:val="20"/>
              </w:rPr>
              <w:t>14.3%</w:t>
            </w:r>
          </w:p>
        </w:tc>
      </w:tr>
      <w:tr w:rsidR="005A2F54" w:rsidRPr="000C4180" w14:paraId="32AF71BC"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53F0" w14:textId="77777777" w:rsidR="005A2F54" w:rsidRPr="000C4180" w:rsidRDefault="005A2F54" w:rsidP="00712BCD">
            <w:pPr>
              <w:rPr>
                <w:sz w:val="20"/>
                <w:szCs w:val="20"/>
              </w:rPr>
            </w:pPr>
            <w:r w:rsidRPr="000C4180">
              <w:rPr>
                <w:sz w:val="20"/>
                <w:szCs w:val="20"/>
              </w:rPr>
              <w:t>Income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DE23A"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C7BDA" w14:textId="77777777" w:rsidR="005A2F54" w:rsidRPr="000C4180" w:rsidRDefault="005A2F54" w:rsidP="00712BCD">
            <w:pPr>
              <w:jc w:val="right"/>
              <w:rPr>
                <w:sz w:val="20"/>
                <w:szCs w:val="20"/>
              </w:rPr>
            </w:pPr>
            <w:r w:rsidRPr="000C4180">
              <w:rPr>
                <w:sz w:val="20"/>
                <w:szCs w:val="20"/>
              </w:rPr>
              <w:t>300.0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81730" w14:textId="77777777" w:rsidR="005A2F54" w:rsidRPr="000C4180" w:rsidRDefault="005A2F54" w:rsidP="00712BCD">
            <w:pPr>
              <w:jc w:val="right"/>
              <w:rPr>
                <w:sz w:val="20"/>
                <w:szCs w:val="20"/>
              </w:rPr>
            </w:pPr>
            <w:r w:rsidRPr="000C4180">
              <w:rPr>
                <w:sz w:val="20"/>
                <w:szCs w:val="20"/>
              </w:rPr>
              <w:t>400.0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60BB" w14:textId="77777777" w:rsidR="005A2F54" w:rsidRPr="000C4180" w:rsidRDefault="005A2F54" w:rsidP="00712BCD">
            <w:pPr>
              <w:jc w:val="right"/>
              <w:rPr>
                <w:sz w:val="20"/>
                <w:szCs w:val="20"/>
              </w:rPr>
            </w:pPr>
            <w:r w:rsidRPr="000C4180">
              <w:rPr>
                <w:sz w:val="20"/>
                <w:szCs w:val="20"/>
              </w:rPr>
              <w:t>600.0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CD08"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A9B6" w14:textId="77777777" w:rsidR="005A2F54" w:rsidRPr="000C4180" w:rsidRDefault="005A2F54" w:rsidP="00712BCD">
            <w:pPr>
              <w:jc w:val="right"/>
              <w:rPr>
                <w:sz w:val="20"/>
                <w:szCs w:val="20"/>
              </w:rPr>
            </w:pPr>
            <w:r w:rsidRPr="000C4180">
              <w:rPr>
                <w:sz w:val="20"/>
                <w:szCs w:val="20"/>
              </w:rPr>
              <w:t>1000</w:t>
            </w:r>
          </w:p>
        </w:tc>
        <w:tc>
          <w:tcPr>
            <w:tcW w:w="1444" w:type="dxa"/>
            <w:tcBorders>
              <w:left w:val="single" w:sz="4" w:space="0" w:color="auto"/>
              <w:right w:val="single" w:sz="4" w:space="0" w:color="auto"/>
            </w:tcBorders>
            <w:shd w:val="clear" w:color="auto" w:fill="auto"/>
            <w:noWrap/>
            <w:vAlign w:val="bottom"/>
            <w:hideMark/>
          </w:tcPr>
          <w:p w14:paraId="788283FB" w14:textId="77777777" w:rsidR="005A2F54" w:rsidRPr="000C4180" w:rsidRDefault="005A2F54" w:rsidP="00712BCD">
            <w:pPr>
              <w:jc w:val="right"/>
              <w:rPr>
                <w:sz w:val="20"/>
                <w:szCs w:val="20"/>
              </w:rPr>
            </w:pPr>
            <w:r w:rsidRPr="000C4180">
              <w:rPr>
                <w:sz w:val="20"/>
                <w:szCs w:val="20"/>
              </w:rPr>
              <w:t>MIRR (10,0)</w:t>
            </w:r>
          </w:p>
        </w:tc>
        <w:tc>
          <w:tcPr>
            <w:tcW w:w="776" w:type="dxa"/>
            <w:tcBorders>
              <w:left w:val="single" w:sz="4" w:space="0" w:color="auto"/>
              <w:right w:val="single" w:sz="4" w:space="0" w:color="auto"/>
            </w:tcBorders>
            <w:shd w:val="clear" w:color="auto" w:fill="auto"/>
            <w:vAlign w:val="bottom"/>
          </w:tcPr>
          <w:p w14:paraId="420E1E5B" w14:textId="77777777" w:rsidR="005A2F54" w:rsidRPr="000C4180" w:rsidRDefault="005A2F54" w:rsidP="00712BCD">
            <w:pPr>
              <w:jc w:val="right"/>
              <w:rPr>
                <w:sz w:val="20"/>
                <w:szCs w:val="20"/>
              </w:rPr>
            </w:pPr>
            <w:r w:rsidRPr="000C4180">
              <w:rPr>
                <w:sz w:val="20"/>
                <w:szCs w:val="20"/>
              </w:rPr>
              <w:t>9.5%</w:t>
            </w:r>
          </w:p>
        </w:tc>
      </w:tr>
      <w:tr w:rsidR="005A2F54" w:rsidRPr="000C4180" w14:paraId="7249B80A"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09A0" w14:textId="77777777" w:rsidR="005A2F54" w:rsidRPr="000C4180" w:rsidRDefault="005A2F54" w:rsidP="00712BCD">
            <w:pPr>
              <w:rPr>
                <w:sz w:val="20"/>
                <w:szCs w:val="20"/>
              </w:rPr>
            </w:pPr>
            <w:r w:rsidRPr="000C4180">
              <w:rPr>
                <w:sz w:val="20"/>
                <w:szCs w:val="20"/>
              </w:rPr>
              <w:t>Closing Balance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E7D0"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E23E" w14:textId="77777777" w:rsidR="005A2F54" w:rsidRPr="000C4180" w:rsidRDefault="005A2F54" w:rsidP="00712BCD">
            <w:pPr>
              <w:jc w:val="right"/>
              <w:rPr>
                <w:sz w:val="20"/>
                <w:szCs w:val="20"/>
              </w:rPr>
            </w:pPr>
            <w:r w:rsidRPr="000C4180">
              <w:rPr>
                <w:sz w:val="20"/>
                <w:szCs w:val="20"/>
              </w:rPr>
              <w:t>-560.8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2989" w14:textId="77777777" w:rsidR="005A2F54" w:rsidRPr="000C4180" w:rsidRDefault="005A2F54" w:rsidP="00712BCD">
            <w:pPr>
              <w:jc w:val="right"/>
              <w:rPr>
                <w:sz w:val="20"/>
                <w:szCs w:val="20"/>
              </w:rPr>
            </w:pPr>
            <w:r w:rsidRPr="000C4180">
              <w:rPr>
                <w:sz w:val="20"/>
                <w:szCs w:val="20"/>
              </w:rPr>
              <w:t>-289.5</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72B69" w14:textId="77777777" w:rsidR="005A2F54" w:rsidRPr="000C4180" w:rsidRDefault="005A2F54" w:rsidP="00712BCD">
            <w:pPr>
              <w:jc w:val="right"/>
              <w:rPr>
                <w:sz w:val="20"/>
                <w:szCs w:val="20"/>
              </w:rPr>
            </w:pPr>
            <w:r w:rsidRPr="000C4180">
              <w:rPr>
                <w:sz w:val="20"/>
                <w:szCs w:val="20"/>
              </w:rPr>
              <w:t>244.0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2F49" w14:textId="77777777" w:rsidR="005A2F54" w:rsidRPr="000C4180" w:rsidRDefault="005A2F54" w:rsidP="00712BCD">
            <w:pPr>
              <w:jc w:val="right"/>
              <w:rPr>
                <w:sz w:val="20"/>
                <w:szCs w:val="20"/>
              </w:rPr>
            </w:pPr>
            <w:r w:rsidRPr="000C4180">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030B" w14:textId="77777777" w:rsidR="005A2F54" w:rsidRPr="000C4180" w:rsidRDefault="005A2F54" w:rsidP="00712BCD">
            <w:pPr>
              <w:jc w:val="right"/>
              <w:rPr>
                <w:sz w:val="20"/>
                <w:szCs w:val="20"/>
              </w:rPr>
            </w:pPr>
          </w:p>
        </w:tc>
        <w:tc>
          <w:tcPr>
            <w:tcW w:w="1444" w:type="dxa"/>
            <w:tcBorders>
              <w:left w:val="single" w:sz="4" w:space="0" w:color="auto"/>
              <w:right w:val="single" w:sz="4" w:space="0" w:color="auto"/>
            </w:tcBorders>
            <w:shd w:val="clear" w:color="auto" w:fill="auto"/>
            <w:noWrap/>
            <w:vAlign w:val="bottom"/>
            <w:hideMark/>
          </w:tcPr>
          <w:p w14:paraId="5D99C331" w14:textId="77777777" w:rsidR="005A2F54" w:rsidRPr="000C4180" w:rsidRDefault="005A2F54" w:rsidP="00712BCD">
            <w:pPr>
              <w:jc w:val="right"/>
              <w:rPr>
                <w:sz w:val="20"/>
                <w:szCs w:val="20"/>
              </w:rPr>
            </w:pPr>
            <w:r w:rsidRPr="000C4180">
              <w:rPr>
                <w:sz w:val="20"/>
                <w:szCs w:val="20"/>
              </w:rPr>
              <w:t>NPV at 23.0%</w:t>
            </w:r>
          </w:p>
        </w:tc>
        <w:tc>
          <w:tcPr>
            <w:tcW w:w="776" w:type="dxa"/>
            <w:tcBorders>
              <w:left w:val="single" w:sz="4" w:space="0" w:color="auto"/>
              <w:right w:val="single" w:sz="4" w:space="0" w:color="auto"/>
            </w:tcBorders>
            <w:shd w:val="clear" w:color="auto" w:fill="auto"/>
            <w:vAlign w:val="bottom"/>
          </w:tcPr>
          <w:p w14:paraId="6EE214ED" w14:textId="77777777" w:rsidR="005A2F54" w:rsidRPr="000C4180" w:rsidRDefault="005A2F54" w:rsidP="00712BCD">
            <w:pPr>
              <w:jc w:val="right"/>
              <w:rPr>
                <w:sz w:val="20"/>
                <w:szCs w:val="20"/>
              </w:rPr>
            </w:pPr>
            <w:r w:rsidRPr="000C4180">
              <w:rPr>
                <w:sz w:val="20"/>
                <w:szCs w:val="20"/>
              </w:rPr>
              <w:t>0</w:t>
            </w:r>
          </w:p>
        </w:tc>
      </w:tr>
      <w:tr w:rsidR="005A2F54" w:rsidRPr="000C4180" w14:paraId="036CA7E1" w14:textId="77777777" w:rsidTr="00A74765">
        <w:trPr>
          <w:trHeight w:val="227"/>
          <w:jc w:val="center"/>
        </w:trPr>
        <w:tc>
          <w:tcPr>
            <w:tcW w:w="82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1263FDC" w14:textId="77777777" w:rsidR="005A2F54" w:rsidRPr="000C4180" w:rsidRDefault="005A2F54" w:rsidP="00712BCD">
            <w:pPr>
              <w:jc w:val="center"/>
              <w:rPr>
                <w:sz w:val="20"/>
                <w:szCs w:val="20"/>
              </w:rPr>
            </w:pPr>
            <w:r w:rsidRPr="000C4180">
              <w:rPr>
                <w:b/>
                <w:sz w:val="20"/>
                <w:szCs w:val="20"/>
              </w:rPr>
              <w:t>CAS at 10% (Hurdle rate)</w:t>
            </w:r>
          </w:p>
        </w:tc>
      </w:tr>
      <w:tr w:rsidR="005A2F54" w:rsidRPr="000C4180" w14:paraId="045412D7"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104C1" w14:textId="77777777" w:rsidR="005A2F54" w:rsidRPr="000C4180" w:rsidRDefault="005A2F54" w:rsidP="00712BCD">
            <w:pPr>
              <w:rPr>
                <w:sz w:val="20"/>
                <w:szCs w:val="20"/>
              </w:rPr>
            </w:pPr>
            <w:r w:rsidRPr="000C4180">
              <w:rPr>
                <w:sz w:val="20"/>
                <w:szCs w:val="20"/>
              </w:rPr>
              <w:t>Opening Capital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04BC9"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8389C" w14:textId="77777777" w:rsidR="005A2F54" w:rsidRPr="000C4180" w:rsidRDefault="005A2F54" w:rsidP="00712BCD">
            <w:pPr>
              <w:jc w:val="right"/>
              <w:rPr>
                <w:sz w:val="20"/>
                <w:szCs w:val="20"/>
              </w:rPr>
            </w:pPr>
            <w:r w:rsidRPr="000C4180">
              <w:rPr>
                <w:sz w:val="20"/>
                <w:szCs w:val="20"/>
              </w:rPr>
              <w:t>-700.0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0834C" w14:textId="77777777" w:rsidR="005A2F54" w:rsidRPr="000C4180" w:rsidRDefault="005A2F54" w:rsidP="00712BCD">
            <w:pPr>
              <w:jc w:val="right"/>
              <w:rPr>
                <w:sz w:val="20"/>
                <w:szCs w:val="20"/>
              </w:rPr>
            </w:pPr>
            <w:r w:rsidRPr="000C4180">
              <w:rPr>
                <w:sz w:val="20"/>
                <w:szCs w:val="20"/>
              </w:rPr>
              <w:t>-470.0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9F785" w14:textId="77777777" w:rsidR="005A2F54" w:rsidRPr="000C4180" w:rsidRDefault="005A2F54" w:rsidP="00712BCD">
            <w:pPr>
              <w:jc w:val="right"/>
              <w:rPr>
                <w:sz w:val="20"/>
                <w:szCs w:val="20"/>
              </w:rPr>
            </w:pPr>
            <w:r w:rsidRPr="000C4180">
              <w:rPr>
                <w:sz w:val="20"/>
                <w:szCs w:val="20"/>
              </w:rPr>
              <w:t>-117.0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954FF" w14:textId="77777777" w:rsidR="005A2F54" w:rsidRPr="000C4180" w:rsidRDefault="005A2F54" w:rsidP="00712BCD">
            <w:pPr>
              <w:jc w:val="right"/>
              <w:rPr>
                <w:sz w:val="20"/>
                <w:szCs w:val="20"/>
              </w:rPr>
            </w:pPr>
            <w:r w:rsidRPr="000C4180">
              <w:rPr>
                <w:sz w:val="20"/>
                <w:szCs w:val="20"/>
              </w:rPr>
              <w:t>471.3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EB6DE" w14:textId="77777777" w:rsidR="005A2F54" w:rsidRPr="000C4180" w:rsidRDefault="005A2F54" w:rsidP="00712BCD">
            <w:pPr>
              <w:jc w:val="right"/>
              <w:rPr>
                <w:sz w:val="20"/>
                <w:szCs w:val="20"/>
              </w:rPr>
            </w:pPr>
            <w:r w:rsidRPr="000C4180">
              <w:rPr>
                <w:sz w:val="20"/>
                <w:szCs w:val="20"/>
              </w:rPr>
              <w:t>-700.0</w:t>
            </w:r>
          </w:p>
        </w:tc>
        <w:tc>
          <w:tcPr>
            <w:tcW w:w="1444" w:type="dxa"/>
            <w:tcBorders>
              <w:left w:val="single" w:sz="4" w:space="0" w:color="auto"/>
              <w:right w:val="single" w:sz="4" w:space="0" w:color="auto"/>
            </w:tcBorders>
            <w:shd w:val="clear" w:color="auto" w:fill="auto"/>
            <w:noWrap/>
            <w:vAlign w:val="bottom"/>
          </w:tcPr>
          <w:p w14:paraId="1AFA42C9"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0DE0CE39" w14:textId="77777777" w:rsidR="005A2F54" w:rsidRPr="000C4180" w:rsidRDefault="005A2F54" w:rsidP="00712BCD">
            <w:pPr>
              <w:jc w:val="right"/>
              <w:rPr>
                <w:sz w:val="20"/>
                <w:szCs w:val="20"/>
              </w:rPr>
            </w:pPr>
          </w:p>
        </w:tc>
      </w:tr>
      <w:tr w:rsidR="005A2F54" w:rsidRPr="000C4180" w14:paraId="4596CCE0"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36313" w14:textId="77777777" w:rsidR="005A2F54" w:rsidRPr="000C4180" w:rsidRDefault="005A2F54" w:rsidP="00712BCD">
            <w:pPr>
              <w:rPr>
                <w:sz w:val="20"/>
                <w:szCs w:val="20"/>
              </w:rPr>
            </w:pPr>
            <w:r w:rsidRPr="000C4180">
              <w:rPr>
                <w:sz w:val="20"/>
                <w:szCs w:val="20"/>
              </w:rPr>
              <w:t>Interest at 10%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CA6BF"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5B4DF" w14:textId="77777777" w:rsidR="005A2F54" w:rsidRPr="000C4180" w:rsidRDefault="005A2F54" w:rsidP="00712BCD">
            <w:pPr>
              <w:jc w:val="right"/>
              <w:rPr>
                <w:sz w:val="20"/>
                <w:szCs w:val="20"/>
              </w:rPr>
            </w:pPr>
            <w:r w:rsidRPr="000C4180">
              <w:rPr>
                <w:sz w:val="20"/>
                <w:szCs w:val="20"/>
              </w:rPr>
              <w:t>-70.0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88D6E" w14:textId="77777777" w:rsidR="005A2F54" w:rsidRPr="000C4180" w:rsidRDefault="005A2F54" w:rsidP="00712BCD">
            <w:pPr>
              <w:jc w:val="right"/>
              <w:rPr>
                <w:sz w:val="20"/>
                <w:szCs w:val="20"/>
              </w:rPr>
            </w:pPr>
            <w:r w:rsidRPr="000C4180">
              <w:rPr>
                <w:sz w:val="20"/>
                <w:szCs w:val="20"/>
              </w:rPr>
              <w:t>-47.0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67434" w14:textId="77777777" w:rsidR="005A2F54" w:rsidRPr="000C4180" w:rsidRDefault="005A2F54" w:rsidP="00712BCD">
            <w:pPr>
              <w:jc w:val="right"/>
              <w:rPr>
                <w:sz w:val="20"/>
                <w:szCs w:val="20"/>
              </w:rPr>
            </w:pPr>
            <w:r w:rsidRPr="000C4180">
              <w:rPr>
                <w:sz w:val="20"/>
                <w:szCs w:val="20"/>
              </w:rPr>
              <w:t>-11.7</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4AE0E" w14:textId="77777777" w:rsidR="005A2F54" w:rsidRPr="000C4180" w:rsidRDefault="005A2F54" w:rsidP="00712BCD">
            <w:pPr>
              <w:jc w:val="right"/>
              <w:rPr>
                <w:sz w:val="20"/>
                <w:szCs w:val="20"/>
              </w:rPr>
            </w:pPr>
            <w:r w:rsidRPr="000C4180">
              <w:rPr>
                <w:sz w:val="20"/>
                <w:szCs w:val="20"/>
              </w:rPr>
              <w:t>47.1</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62DA4" w14:textId="77777777" w:rsidR="005A2F54" w:rsidRPr="000C4180" w:rsidRDefault="005A2F54" w:rsidP="00712BCD">
            <w:pPr>
              <w:jc w:val="right"/>
              <w:rPr>
                <w:sz w:val="20"/>
                <w:szCs w:val="20"/>
              </w:rPr>
            </w:pPr>
            <w:r w:rsidRPr="000C4180">
              <w:rPr>
                <w:sz w:val="20"/>
                <w:szCs w:val="20"/>
              </w:rPr>
              <w:t>-81.6</w:t>
            </w:r>
          </w:p>
        </w:tc>
        <w:tc>
          <w:tcPr>
            <w:tcW w:w="1444" w:type="dxa"/>
            <w:tcBorders>
              <w:left w:val="single" w:sz="4" w:space="0" w:color="auto"/>
              <w:right w:val="single" w:sz="4" w:space="0" w:color="auto"/>
            </w:tcBorders>
            <w:shd w:val="clear" w:color="auto" w:fill="auto"/>
            <w:noWrap/>
            <w:vAlign w:val="bottom"/>
          </w:tcPr>
          <w:p w14:paraId="16C1F5A0"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29F8B725" w14:textId="77777777" w:rsidR="005A2F54" w:rsidRPr="000C4180" w:rsidRDefault="005A2F54" w:rsidP="00712BCD">
            <w:pPr>
              <w:jc w:val="right"/>
              <w:rPr>
                <w:sz w:val="20"/>
                <w:szCs w:val="20"/>
              </w:rPr>
            </w:pPr>
          </w:p>
        </w:tc>
      </w:tr>
      <w:tr w:rsidR="005A2F54" w:rsidRPr="000C4180" w14:paraId="067CFDAC"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E7D53" w14:textId="77777777" w:rsidR="005A2F54" w:rsidRPr="000C4180" w:rsidRDefault="005A2F54" w:rsidP="00712BCD">
            <w:pPr>
              <w:rPr>
                <w:sz w:val="20"/>
                <w:szCs w:val="20"/>
              </w:rPr>
            </w:pPr>
            <w:r w:rsidRPr="000C4180">
              <w:rPr>
                <w:sz w:val="20"/>
                <w:szCs w:val="20"/>
              </w:rPr>
              <w:t>Income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AABBA"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AB87D" w14:textId="77777777" w:rsidR="005A2F54" w:rsidRPr="000C4180" w:rsidRDefault="005A2F54" w:rsidP="00712BCD">
            <w:pPr>
              <w:jc w:val="right"/>
              <w:rPr>
                <w:sz w:val="20"/>
                <w:szCs w:val="20"/>
              </w:rPr>
            </w:pPr>
            <w:r w:rsidRPr="000C4180">
              <w:rPr>
                <w:sz w:val="20"/>
                <w:szCs w:val="20"/>
              </w:rPr>
              <w:t>300.0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7CE8" w14:textId="77777777" w:rsidR="005A2F54" w:rsidRPr="000C4180" w:rsidRDefault="005A2F54" w:rsidP="00712BCD">
            <w:pPr>
              <w:jc w:val="right"/>
              <w:rPr>
                <w:sz w:val="20"/>
                <w:szCs w:val="20"/>
              </w:rPr>
            </w:pPr>
            <w:r w:rsidRPr="000C4180">
              <w:rPr>
                <w:sz w:val="20"/>
                <w:szCs w:val="20"/>
              </w:rPr>
              <w:t>400.0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8C6E5" w14:textId="77777777" w:rsidR="005A2F54" w:rsidRPr="000C4180" w:rsidRDefault="005A2F54" w:rsidP="00712BCD">
            <w:pPr>
              <w:jc w:val="right"/>
              <w:rPr>
                <w:sz w:val="20"/>
                <w:szCs w:val="20"/>
              </w:rPr>
            </w:pPr>
            <w:r w:rsidRPr="000C4180">
              <w:rPr>
                <w:sz w:val="20"/>
                <w:szCs w:val="20"/>
              </w:rPr>
              <w:t>600.0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30745"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AD83A" w14:textId="77777777" w:rsidR="005A2F54" w:rsidRPr="000C4180" w:rsidRDefault="005A2F54" w:rsidP="00712BCD">
            <w:pPr>
              <w:jc w:val="right"/>
              <w:rPr>
                <w:sz w:val="20"/>
                <w:szCs w:val="20"/>
              </w:rPr>
            </w:pPr>
            <w:r w:rsidRPr="000C4180">
              <w:rPr>
                <w:sz w:val="20"/>
                <w:szCs w:val="20"/>
              </w:rPr>
              <w:t>1000</w:t>
            </w:r>
          </w:p>
        </w:tc>
        <w:tc>
          <w:tcPr>
            <w:tcW w:w="1444" w:type="dxa"/>
            <w:tcBorders>
              <w:left w:val="single" w:sz="4" w:space="0" w:color="auto"/>
              <w:right w:val="single" w:sz="4" w:space="0" w:color="auto"/>
            </w:tcBorders>
            <w:shd w:val="clear" w:color="auto" w:fill="auto"/>
            <w:noWrap/>
            <w:vAlign w:val="bottom"/>
          </w:tcPr>
          <w:p w14:paraId="0A361425"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57AF9892" w14:textId="77777777" w:rsidR="005A2F54" w:rsidRPr="000C4180" w:rsidRDefault="005A2F54" w:rsidP="00712BCD">
            <w:pPr>
              <w:jc w:val="right"/>
              <w:rPr>
                <w:sz w:val="20"/>
                <w:szCs w:val="20"/>
              </w:rPr>
            </w:pPr>
          </w:p>
        </w:tc>
      </w:tr>
      <w:tr w:rsidR="005A2F54" w:rsidRPr="000C4180" w14:paraId="39E88D02"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C60CB" w14:textId="77777777" w:rsidR="005A2F54" w:rsidRPr="000C4180" w:rsidRDefault="005A2F54" w:rsidP="00712BCD">
            <w:pPr>
              <w:rPr>
                <w:sz w:val="20"/>
                <w:szCs w:val="20"/>
              </w:rPr>
            </w:pPr>
            <w:r w:rsidRPr="000C4180">
              <w:rPr>
                <w:sz w:val="20"/>
                <w:szCs w:val="20"/>
              </w:rPr>
              <w:t>Closing Balance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ECCA"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DDF32" w14:textId="77777777" w:rsidR="005A2F54" w:rsidRPr="000C4180" w:rsidRDefault="005A2F54" w:rsidP="00712BCD">
            <w:pPr>
              <w:jc w:val="right"/>
              <w:rPr>
                <w:sz w:val="20"/>
                <w:szCs w:val="20"/>
              </w:rPr>
            </w:pPr>
            <w:r w:rsidRPr="000C4180">
              <w:rPr>
                <w:sz w:val="20"/>
                <w:szCs w:val="20"/>
              </w:rPr>
              <w:t>-470.0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84486" w14:textId="77777777" w:rsidR="005A2F54" w:rsidRPr="000C4180" w:rsidRDefault="005A2F54" w:rsidP="00712BCD">
            <w:pPr>
              <w:jc w:val="right"/>
              <w:rPr>
                <w:sz w:val="20"/>
                <w:szCs w:val="20"/>
              </w:rPr>
            </w:pPr>
            <w:r w:rsidRPr="000C4180">
              <w:rPr>
                <w:sz w:val="20"/>
                <w:szCs w:val="20"/>
              </w:rPr>
              <w:t>-117.0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9ADD6" w14:textId="77777777" w:rsidR="005A2F54" w:rsidRPr="000C4180" w:rsidRDefault="005A2F54" w:rsidP="00712BCD">
            <w:pPr>
              <w:jc w:val="right"/>
              <w:rPr>
                <w:sz w:val="20"/>
                <w:szCs w:val="20"/>
              </w:rPr>
            </w:pPr>
            <w:r w:rsidRPr="000C4180">
              <w:rPr>
                <w:sz w:val="20"/>
                <w:szCs w:val="20"/>
              </w:rPr>
              <w:t>471.3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EA677" w14:textId="77777777" w:rsidR="005A2F54" w:rsidRPr="000C4180" w:rsidRDefault="005A2F54" w:rsidP="00712BCD">
            <w:pPr>
              <w:jc w:val="right"/>
              <w:rPr>
                <w:sz w:val="20"/>
                <w:szCs w:val="20"/>
              </w:rPr>
            </w:pPr>
            <w:r w:rsidRPr="000C4180">
              <w:rPr>
                <w:sz w:val="20"/>
                <w:szCs w:val="20"/>
              </w:rPr>
              <w:t>218.4</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4CDCB" w14:textId="77777777" w:rsidR="005A2F54" w:rsidRPr="000C4180" w:rsidRDefault="005A2F54" w:rsidP="00712BCD">
            <w:pPr>
              <w:jc w:val="right"/>
              <w:rPr>
                <w:sz w:val="20"/>
                <w:szCs w:val="20"/>
              </w:rPr>
            </w:pPr>
          </w:p>
        </w:tc>
        <w:tc>
          <w:tcPr>
            <w:tcW w:w="1444" w:type="dxa"/>
            <w:tcBorders>
              <w:left w:val="single" w:sz="4" w:space="0" w:color="auto"/>
              <w:right w:val="single" w:sz="4" w:space="0" w:color="auto"/>
            </w:tcBorders>
            <w:shd w:val="clear" w:color="auto" w:fill="auto"/>
            <w:noWrap/>
            <w:vAlign w:val="bottom"/>
          </w:tcPr>
          <w:p w14:paraId="53079ED1" w14:textId="77777777" w:rsidR="005A2F54" w:rsidRPr="000C4180" w:rsidRDefault="005A2F54" w:rsidP="00712BCD">
            <w:pPr>
              <w:jc w:val="right"/>
              <w:rPr>
                <w:sz w:val="20"/>
                <w:szCs w:val="20"/>
              </w:rPr>
            </w:pPr>
            <w:r w:rsidRPr="000C4180">
              <w:rPr>
                <w:sz w:val="20"/>
                <w:szCs w:val="20"/>
              </w:rPr>
              <w:t>NPV at 10%</w:t>
            </w:r>
          </w:p>
        </w:tc>
        <w:tc>
          <w:tcPr>
            <w:tcW w:w="776" w:type="dxa"/>
            <w:tcBorders>
              <w:left w:val="single" w:sz="4" w:space="0" w:color="auto"/>
              <w:right w:val="single" w:sz="4" w:space="0" w:color="auto"/>
            </w:tcBorders>
            <w:shd w:val="clear" w:color="auto" w:fill="auto"/>
            <w:vAlign w:val="bottom"/>
          </w:tcPr>
          <w:p w14:paraId="666488FF" w14:textId="77777777" w:rsidR="005A2F54" w:rsidRPr="000C4180" w:rsidRDefault="005A2F54" w:rsidP="00712BCD">
            <w:pPr>
              <w:jc w:val="right"/>
              <w:rPr>
                <w:sz w:val="20"/>
                <w:szCs w:val="20"/>
              </w:rPr>
            </w:pPr>
            <w:r w:rsidRPr="000C4180">
              <w:rPr>
                <w:sz w:val="20"/>
                <w:szCs w:val="20"/>
              </w:rPr>
              <w:t>149.2</w:t>
            </w:r>
          </w:p>
        </w:tc>
      </w:tr>
      <w:tr w:rsidR="005A2F54" w:rsidRPr="000C4180" w14:paraId="3AB08CB5" w14:textId="77777777" w:rsidTr="00A74765">
        <w:trPr>
          <w:trHeight w:val="227"/>
          <w:jc w:val="center"/>
        </w:trPr>
        <w:tc>
          <w:tcPr>
            <w:tcW w:w="82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4E8F" w14:textId="77777777" w:rsidR="005A2F54" w:rsidRPr="000C4180" w:rsidRDefault="005A2F54" w:rsidP="00712BCD">
            <w:pPr>
              <w:jc w:val="center"/>
              <w:rPr>
                <w:b/>
                <w:sz w:val="20"/>
                <w:szCs w:val="20"/>
              </w:rPr>
            </w:pPr>
            <w:r w:rsidRPr="000C4180">
              <w:rPr>
                <w:b/>
                <w:sz w:val="20"/>
                <w:szCs w:val="20"/>
              </w:rPr>
              <w:t xml:space="preserve">MCAS Method Estimates </w:t>
            </w:r>
          </w:p>
        </w:tc>
      </w:tr>
      <w:tr w:rsidR="005A2F54" w:rsidRPr="000C4180" w14:paraId="445BCB91"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2BD8B" w14:textId="77777777" w:rsidR="005A2F54" w:rsidRPr="000C4180" w:rsidRDefault="005A2F54" w:rsidP="00712BCD">
            <w:pPr>
              <w:rPr>
                <w:sz w:val="20"/>
                <w:szCs w:val="20"/>
              </w:rPr>
            </w:pPr>
            <w:r w:rsidRPr="000C4180">
              <w:rPr>
                <w:sz w:val="20"/>
                <w:szCs w:val="20"/>
              </w:rPr>
              <w:t>Opening Capital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4367"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B251" w14:textId="77777777" w:rsidR="005A2F54" w:rsidRPr="000C4180" w:rsidRDefault="005A2F54" w:rsidP="00712BCD">
            <w:pPr>
              <w:jc w:val="right"/>
              <w:rPr>
                <w:sz w:val="20"/>
                <w:szCs w:val="20"/>
              </w:rPr>
            </w:pPr>
            <w:r w:rsidRPr="000C4180">
              <w:rPr>
                <w:sz w:val="20"/>
                <w:szCs w:val="20"/>
              </w:rPr>
              <w:t>-700.0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967B" w14:textId="77777777" w:rsidR="005A2F54" w:rsidRPr="000C4180" w:rsidRDefault="005A2F54" w:rsidP="00712BCD">
            <w:pPr>
              <w:jc w:val="right"/>
              <w:rPr>
                <w:sz w:val="20"/>
                <w:szCs w:val="20"/>
              </w:rPr>
            </w:pPr>
            <w:r w:rsidRPr="000C4180">
              <w:rPr>
                <w:sz w:val="20"/>
                <w:szCs w:val="20"/>
              </w:rPr>
              <w:t>-540.9</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CA57" w14:textId="77777777" w:rsidR="005A2F54" w:rsidRPr="000C4180" w:rsidRDefault="005A2F54" w:rsidP="00712BCD">
            <w:pPr>
              <w:jc w:val="right"/>
              <w:rPr>
                <w:sz w:val="20"/>
                <w:szCs w:val="20"/>
              </w:rPr>
            </w:pPr>
            <w:r w:rsidRPr="000C4180">
              <w:rPr>
                <w:sz w:val="20"/>
                <w:szCs w:val="20"/>
              </w:rPr>
              <w:t>-249.7</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6DC2"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87296" w14:textId="77777777" w:rsidR="005A2F54" w:rsidRPr="000C4180" w:rsidRDefault="005A2F54" w:rsidP="00712BCD">
            <w:pPr>
              <w:jc w:val="right"/>
              <w:rPr>
                <w:sz w:val="20"/>
                <w:szCs w:val="20"/>
              </w:rPr>
            </w:pPr>
            <w:r w:rsidRPr="000C4180">
              <w:rPr>
                <w:sz w:val="20"/>
                <w:szCs w:val="20"/>
              </w:rPr>
              <w:t>-700.0</w:t>
            </w:r>
          </w:p>
        </w:tc>
        <w:tc>
          <w:tcPr>
            <w:tcW w:w="1444" w:type="dxa"/>
            <w:tcBorders>
              <w:left w:val="single" w:sz="4" w:space="0" w:color="auto"/>
              <w:right w:val="single" w:sz="4" w:space="0" w:color="auto"/>
            </w:tcBorders>
            <w:shd w:val="clear" w:color="auto" w:fill="auto"/>
            <w:noWrap/>
            <w:vAlign w:val="bottom"/>
            <w:hideMark/>
          </w:tcPr>
          <w:p w14:paraId="7AC0A66D" w14:textId="77777777" w:rsidR="005A2F54" w:rsidRPr="000C4180" w:rsidRDefault="005A2F54" w:rsidP="00712BCD">
            <w:pPr>
              <w:jc w:val="right"/>
              <w:rPr>
                <w:sz w:val="20"/>
                <w:szCs w:val="20"/>
              </w:rPr>
            </w:pPr>
            <w:r w:rsidRPr="000C4180">
              <w:rPr>
                <w:sz w:val="20"/>
                <w:szCs w:val="20"/>
              </w:rPr>
              <w:t>IRR</w:t>
            </w:r>
          </w:p>
        </w:tc>
        <w:tc>
          <w:tcPr>
            <w:tcW w:w="776" w:type="dxa"/>
            <w:tcBorders>
              <w:left w:val="single" w:sz="4" w:space="0" w:color="auto"/>
              <w:right w:val="single" w:sz="4" w:space="0" w:color="auto"/>
            </w:tcBorders>
            <w:shd w:val="clear" w:color="auto" w:fill="auto"/>
            <w:vAlign w:val="bottom"/>
          </w:tcPr>
          <w:p w14:paraId="4BBD9DCE" w14:textId="77777777" w:rsidR="005A2F54" w:rsidRPr="000C4180" w:rsidRDefault="005A2F54" w:rsidP="00712BCD">
            <w:pPr>
              <w:jc w:val="right"/>
              <w:rPr>
                <w:sz w:val="20"/>
                <w:szCs w:val="20"/>
              </w:rPr>
            </w:pPr>
            <w:r w:rsidRPr="000C4180">
              <w:rPr>
                <w:sz w:val="20"/>
                <w:szCs w:val="20"/>
              </w:rPr>
              <w:t>20.1%</w:t>
            </w:r>
          </w:p>
        </w:tc>
      </w:tr>
      <w:tr w:rsidR="005A2F54" w:rsidRPr="000C4180" w14:paraId="629B26CE"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4A74" w14:textId="77777777" w:rsidR="005A2F54" w:rsidRPr="000C4180" w:rsidRDefault="005A2F54" w:rsidP="00712BCD">
            <w:pPr>
              <w:rPr>
                <w:sz w:val="20"/>
                <w:szCs w:val="20"/>
              </w:rPr>
            </w:pPr>
            <w:r w:rsidRPr="000C4180">
              <w:rPr>
                <w:sz w:val="20"/>
                <w:szCs w:val="20"/>
              </w:rPr>
              <w:t>Interest at 20.1%</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DF045"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86BE" w14:textId="77777777" w:rsidR="005A2F54" w:rsidRPr="000C4180" w:rsidRDefault="005A2F54" w:rsidP="00712BCD">
            <w:pPr>
              <w:jc w:val="right"/>
              <w:rPr>
                <w:sz w:val="20"/>
                <w:szCs w:val="20"/>
              </w:rPr>
            </w:pPr>
            <w:r w:rsidRPr="000C4180">
              <w:rPr>
                <w:sz w:val="20"/>
                <w:szCs w:val="20"/>
              </w:rPr>
              <w:t>-140.9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14A6" w14:textId="77777777" w:rsidR="005A2F54" w:rsidRPr="000C4180" w:rsidRDefault="005A2F54" w:rsidP="00712BCD">
            <w:pPr>
              <w:jc w:val="right"/>
              <w:rPr>
                <w:sz w:val="20"/>
                <w:szCs w:val="20"/>
              </w:rPr>
            </w:pPr>
            <w:r w:rsidRPr="000C4180">
              <w:rPr>
                <w:sz w:val="20"/>
                <w:szCs w:val="20"/>
              </w:rPr>
              <w:t>-108.9</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9CDD0" w14:textId="77777777" w:rsidR="005A2F54" w:rsidRPr="000C4180" w:rsidRDefault="005A2F54" w:rsidP="00712BCD">
            <w:pPr>
              <w:jc w:val="right"/>
              <w:rPr>
                <w:sz w:val="20"/>
                <w:szCs w:val="20"/>
              </w:rPr>
            </w:pPr>
            <w:r w:rsidRPr="000C4180">
              <w:rPr>
                <w:sz w:val="20"/>
                <w:szCs w:val="20"/>
              </w:rPr>
              <w:t>-50.3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9687" w14:textId="77777777" w:rsidR="005A2F54" w:rsidRPr="000C4180" w:rsidRDefault="005A2F54" w:rsidP="00712BCD">
            <w:pPr>
              <w:jc w:val="right"/>
              <w:rPr>
                <w:sz w:val="20"/>
                <w:szCs w:val="20"/>
              </w:rPr>
            </w:pPr>
            <w:r w:rsidRPr="000C4180">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09D87" w14:textId="77777777" w:rsidR="005A2F54" w:rsidRPr="000C4180" w:rsidRDefault="005A2F54" w:rsidP="00712BCD">
            <w:pPr>
              <w:jc w:val="right"/>
              <w:rPr>
                <w:sz w:val="20"/>
                <w:szCs w:val="20"/>
              </w:rPr>
            </w:pPr>
            <w:r w:rsidRPr="000C4180">
              <w:rPr>
                <w:sz w:val="20"/>
                <w:szCs w:val="20"/>
              </w:rPr>
              <w:t>-300.0</w:t>
            </w:r>
          </w:p>
        </w:tc>
        <w:tc>
          <w:tcPr>
            <w:tcW w:w="1444" w:type="dxa"/>
            <w:tcBorders>
              <w:left w:val="single" w:sz="4" w:space="0" w:color="auto"/>
              <w:right w:val="single" w:sz="4" w:space="0" w:color="auto"/>
            </w:tcBorders>
            <w:shd w:val="clear" w:color="auto" w:fill="auto"/>
            <w:noWrap/>
            <w:vAlign w:val="bottom"/>
            <w:hideMark/>
          </w:tcPr>
          <w:p w14:paraId="2F37E769" w14:textId="77777777" w:rsidR="005A2F54" w:rsidRPr="000C4180" w:rsidRDefault="005A2F54" w:rsidP="00712BCD">
            <w:pPr>
              <w:jc w:val="right"/>
              <w:rPr>
                <w:sz w:val="20"/>
                <w:szCs w:val="20"/>
              </w:rPr>
            </w:pPr>
            <w:r w:rsidRPr="000C4180">
              <w:rPr>
                <w:sz w:val="20"/>
                <w:szCs w:val="20"/>
              </w:rPr>
              <w:t>MIRR (10,10)</w:t>
            </w:r>
          </w:p>
        </w:tc>
        <w:tc>
          <w:tcPr>
            <w:tcW w:w="776" w:type="dxa"/>
            <w:tcBorders>
              <w:left w:val="single" w:sz="4" w:space="0" w:color="auto"/>
              <w:right w:val="single" w:sz="4" w:space="0" w:color="auto"/>
            </w:tcBorders>
            <w:shd w:val="clear" w:color="auto" w:fill="auto"/>
            <w:vAlign w:val="bottom"/>
          </w:tcPr>
          <w:p w14:paraId="0EB576CC" w14:textId="77777777" w:rsidR="005A2F54" w:rsidRPr="000C4180" w:rsidRDefault="005A2F54" w:rsidP="00712BCD">
            <w:pPr>
              <w:jc w:val="right"/>
              <w:rPr>
                <w:sz w:val="20"/>
                <w:szCs w:val="20"/>
              </w:rPr>
            </w:pPr>
            <w:r w:rsidRPr="000C4180">
              <w:rPr>
                <w:sz w:val="20"/>
                <w:szCs w:val="20"/>
              </w:rPr>
              <w:t>14.3%</w:t>
            </w:r>
          </w:p>
        </w:tc>
      </w:tr>
      <w:tr w:rsidR="005A2F54" w:rsidRPr="000C4180" w14:paraId="085D0FFF"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C9D9A" w14:textId="77777777" w:rsidR="005A2F54" w:rsidRPr="000C4180" w:rsidRDefault="005A2F54" w:rsidP="00712BCD">
            <w:pPr>
              <w:rPr>
                <w:sz w:val="20"/>
                <w:szCs w:val="20"/>
              </w:rPr>
            </w:pPr>
            <w:r w:rsidRPr="000C4180">
              <w:rPr>
                <w:sz w:val="20"/>
                <w:szCs w:val="20"/>
              </w:rPr>
              <w:t>Income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704F2"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963F" w14:textId="77777777" w:rsidR="005A2F54" w:rsidRPr="000C4180" w:rsidRDefault="005A2F54" w:rsidP="00712BCD">
            <w:pPr>
              <w:jc w:val="right"/>
              <w:rPr>
                <w:sz w:val="20"/>
                <w:szCs w:val="20"/>
              </w:rPr>
            </w:pPr>
            <w:r w:rsidRPr="000C4180">
              <w:rPr>
                <w:sz w:val="20"/>
                <w:szCs w:val="20"/>
              </w:rPr>
              <w:t>300.0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1E306" w14:textId="77777777" w:rsidR="005A2F54" w:rsidRPr="000C4180" w:rsidRDefault="005A2F54" w:rsidP="00712BCD">
            <w:pPr>
              <w:jc w:val="right"/>
              <w:rPr>
                <w:sz w:val="20"/>
                <w:szCs w:val="20"/>
              </w:rPr>
            </w:pPr>
            <w:r w:rsidRPr="000C4180">
              <w:rPr>
                <w:sz w:val="20"/>
                <w:szCs w:val="20"/>
              </w:rPr>
              <w:t>400.0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4BDA" w14:textId="77777777" w:rsidR="005A2F54" w:rsidRPr="000C4180" w:rsidRDefault="005A2F54" w:rsidP="00712BCD">
            <w:pPr>
              <w:jc w:val="right"/>
              <w:rPr>
                <w:sz w:val="20"/>
                <w:szCs w:val="20"/>
              </w:rPr>
            </w:pPr>
            <w:r w:rsidRPr="000C4180">
              <w:rPr>
                <w:sz w:val="20"/>
                <w:szCs w:val="20"/>
              </w:rPr>
              <w:t>600.0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A89D"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4E46" w14:textId="77777777" w:rsidR="005A2F54" w:rsidRPr="000C4180" w:rsidRDefault="005A2F54" w:rsidP="00712BCD">
            <w:pPr>
              <w:jc w:val="right"/>
              <w:rPr>
                <w:sz w:val="20"/>
                <w:szCs w:val="20"/>
              </w:rPr>
            </w:pPr>
            <w:r w:rsidRPr="000C4180">
              <w:rPr>
                <w:sz w:val="20"/>
                <w:szCs w:val="20"/>
              </w:rPr>
              <w:t>1000</w:t>
            </w:r>
          </w:p>
        </w:tc>
        <w:tc>
          <w:tcPr>
            <w:tcW w:w="1444" w:type="dxa"/>
            <w:tcBorders>
              <w:left w:val="single" w:sz="4" w:space="0" w:color="auto"/>
              <w:right w:val="single" w:sz="4" w:space="0" w:color="auto"/>
            </w:tcBorders>
            <w:shd w:val="clear" w:color="auto" w:fill="auto"/>
            <w:noWrap/>
            <w:vAlign w:val="bottom"/>
            <w:hideMark/>
          </w:tcPr>
          <w:p w14:paraId="66A9B8F5" w14:textId="77777777" w:rsidR="005A2F54" w:rsidRPr="000C4180" w:rsidRDefault="005A2F54" w:rsidP="00712BCD">
            <w:pPr>
              <w:jc w:val="right"/>
              <w:rPr>
                <w:sz w:val="20"/>
                <w:szCs w:val="20"/>
              </w:rPr>
            </w:pPr>
            <w:r w:rsidRPr="000C4180">
              <w:rPr>
                <w:sz w:val="20"/>
                <w:szCs w:val="20"/>
              </w:rPr>
              <w:t>MIRR (10,0)</w:t>
            </w:r>
          </w:p>
        </w:tc>
        <w:tc>
          <w:tcPr>
            <w:tcW w:w="776" w:type="dxa"/>
            <w:tcBorders>
              <w:left w:val="single" w:sz="4" w:space="0" w:color="auto"/>
              <w:right w:val="single" w:sz="4" w:space="0" w:color="auto"/>
            </w:tcBorders>
            <w:shd w:val="clear" w:color="auto" w:fill="auto"/>
            <w:vAlign w:val="bottom"/>
          </w:tcPr>
          <w:p w14:paraId="18296D91" w14:textId="77777777" w:rsidR="005A2F54" w:rsidRPr="000C4180" w:rsidRDefault="005A2F54" w:rsidP="00712BCD">
            <w:pPr>
              <w:jc w:val="right"/>
              <w:rPr>
                <w:sz w:val="20"/>
                <w:szCs w:val="20"/>
              </w:rPr>
            </w:pPr>
            <w:r w:rsidRPr="000C4180">
              <w:rPr>
                <w:sz w:val="20"/>
                <w:szCs w:val="20"/>
              </w:rPr>
              <w:t>9.5%</w:t>
            </w:r>
          </w:p>
        </w:tc>
      </w:tr>
      <w:tr w:rsidR="005A2F54" w:rsidRPr="000C4180" w14:paraId="308071AA"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B6594" w14:textId="77777777" w:rsidR="005A2F54" w:rsidRPr="000C4180" w:rsidRDefault="005A2F54" w:rsidP="00712BCD">
            <w:pPr>
              <w:rPr>
                <w:sz w:val="20"/>
                <w:szCs w:val="20"/>
              </w:rPr>
            </w:pPr>
            <w:r w:rsidRPr="000C4180">
              <w:rPr>
                <w:sz w:val="20"/>
                <w:szCs w:val="20"/>
              </w:rPr>
              <w:t>Closing Balance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4C499"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CF5C" w14:textId="77777777" w:rsidR="005A2F54" w:rsidRPr="000C4180" w:rsidRDefault="005A2F54" w:rsidP="00712BCD">
            <w:pPr>
              <w:jc w:val="right"/>
              <w:rPr>
                <w:sz w:val="20"/>
                <w:szCs w:val="20"/>
              </w:rPr>
            </w:pPr>
            <w:r w:rsidRPr="000C4180">
              <w:rPr>
                <w:sz w:val="20"/>
                <w:szCs w:val="20"/>
              </w:rPr>
              <w:t>-540.9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FBF5" w14:textId="77777777" w:rsidR="005A2F54" w:rsidRPr="000C4180" w:rsidRDefault="005A2F54" w:rsidP="00712BCD">
            <w:pPr>
              <w:jc w:val="right"/>
              <w:rPr>
                <w:sz w:val="20"/>
                <w:szCs w:val="20"/>
              </w:rPr>
            </w:pPr>
            <w:r w:rsidRPr="000C4180">
              <w:rPr>
                <w:sz w:val="20"/>
                <w:szCs w:val="20"/>
              </w:rPr>
              <w:t>-249.7</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009"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A5A7" w14:textId="77777777" w:rsidR="005A2F54" w:rsidRPr="000C4180" w:rsidRDefault="005A2F54" w:rsidP="00712BCD">
            <w:pPr>
              <w:jc w:val="right"/>
              <w:rPr>
                <w:sz w:val="20"/>
                <w:szCs w:val="20"/>
              </w:rPr>
            </w:pPr>
            <w:r w:rsidRPr="000C4180">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BF39" w14:textId="77777777" w:rsidR="005A2F54" w:rsidRPr="000C4180" w:rsidRDefault="005A2F54" w:rsidP="00712BCD">
            <w:pPr>
              <w:jc w:val="right"/>
              <w:rPr>
                <w:sz w:val="20"/>
                <w:szCs w:val="20"/>
              </w:rPr>
            </w:pPr>
          </w:p>
        </w:tc>
        <w:tc>
          <w:tcPr>
            <w:tcW w:w="1444" w:type="dxa"/>
            <w:tcBorders>
              <w:left w:val="single" w:sz="4" w:space="0" w:color="auto"/>
              <w:right w:val="single" w:sz="4" w:space="0" w:color="auto"/>
            </w:tcBorders>
            <w:shd w:val="clear" w:color="auto" w:fill="auto"/>
            <w:noWrap/>
            <w:vAlign w:val="bottom"/>
            <w:hideMark/>
          </w:tcPr>
          <w:p w14:paraId="5F2CD974" w14:textId="77777777" w:rsidR="005A2F54" w:rsidRPr="000C4180" w:rsidRDefault="005A2F54" w:rsidP="00712BCD">
            <w:pPr>
              <w:jc w:val="right"/>
              <w:rPr>
                <w:sz w:val="20"/>
                <w:szCs w:val="20"/>
              </w:rPr>
            </w:pPr>
            <w:r w:rsidRPr="000C4180">
              <w:rPr>
                <w:sz w:val="20"/>
                <w:szCs w:val="20"/>
              </w:rPr>
              <w:t>NPV at 21.1%</w:t>
            </w:r>
          </w:p>
        </w:tc>
        <w:tc>
          <w:tcPr>
            <w:tcW w:w="776" w:type="dxa"/>
            <w:tcBorders>
              <w:left w:val="single" w:sz="4" w:space="0" w:color="auto"/>
              <w:right w:val="single" w:sz="4" w:space="0" w:color="auto"/>
            </w:tcBorders>
            <w:shd w:val="clear" w:color="auto" w:fill="auto"/>
            <w:vAlign w:val="bottom"/>
          </w:tcPr>
          <w:p w14:paraId="569F189F" w14:textId="77777777" w:rsidR="005A2F54" w:rsidRPr="000C4180" w:rsidRDefault="005A2F54" w:rsidP="00712BCD">
            <w:pPr>
              <w:jc w:val="right"/>
              <w:rPr>
                <w:sz w:val="20"/>
                <w:szCs w:val="20"/>
              </w:rPr>
            </w:pPr>
            <w:r w:rsidRPr="000C4180">
              <w:rPr>
                <w:sz w:val="20"/>
                <w:szCs w:val="20"/>
              </w:rPr>
              <w:t>0</w:t>
            </w:r>
          </w:p>
        </w:tc>
      </w:tr>
      <w:tr w:rsidR="005A2F54" w:rsidRPr="000C4180" w14:paraId="5FD59D2F" w14:textId="77777777" w:rsidTr="00A74765">
        <w:trPr>
          <w:trHeight w:val="227"/>
          <w:jc w:val="center"/>
        </w:trPr>
        <w:tc>
          <w:tcPr>
            <w:tcW w:w="82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A9561CC" w14:textId="77777777" w:rsidR="005A2F54" w:rsidRPr="000C4180" w:rsidRDefault="005A2F54" w:rsidP="00712BCD">
            <w:pPr>
              <w:jc w:val="center"/>
              <w:rPr>
                <w:b/>
                <w:sz w:val="20"/>
                <w:szCs w:val="20"/>
              </w:rPr>
            </w:pPr>
            <w:r w:rsidRPr="000C4180">
              <w:rPr>
                <w:b/>
                <w:sz w:val="20"/>
                <w:szCs w:val="20"/>
              </w:rPr>
              <w:t>MCAS at 10% (Hurdle Rate)</w:t>
            </w:r>
          </w:p>
        </w:tc>
      </w:tr>
      <w:tr w:rsidR="005A2F54" w:rsidRPr="000C4180" w14:paraId="708369B1"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BF841" w14:textId="77777777" w:rsidR="005A2F54" w:rsidRPr="000C4180" w:rsidRDefault="005A2F54" w:rsidP="00712BCD">
            <w:pPr>
              <w:rPr>
                <w:sz w:val="20"/>
                <w:szCs w:val="20"/>
              </w:rPr>
            </w:pPr>
            <w:r w:rsidRPr="000C4180">
              <w:rPr>
                <w:sz w:val="20"/>
                <w:szCs w:val="20"/>
              </w:rPr>
              <w:t>Opening Capital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FA9D4"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33083" w14:textId="77777777" w:rsidR="005A2F54" w:rsidRPr="000C4180" w:rsidRDefault="005A2F54" w:rsidP="00712BCD">
            <w:pPr>
              <w:jc w:val="right"/>
              <w:rPr>
                <w:sz w:val="20"/>
                <w:szCs w:val="20"/>
              </w:rPr>
            </w:pPr>
            <w:r w:rsidRPr="000C4180">
              <w:rPr>
                <w:sz w:val="20"/>
                <w:szCs w:val="20"/>
              </w:rPr>
              <w:t>-700.0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8ED3B" w14:textId="77777777" w:rsidR="005A2F54" w:rsidRPr="000C4180" w:rsidRDefault="005A2F54" w:rsidP="00712BCD">
            <w:pPr>
              <w:jc w:val="right"/>
              <w:rPr>
                <w:sz w:val="20"/>
                <w:szCs w:val="20"/>
              </w:rPr>
            </w:pPr>
            <w:r w:rsidRPr="000C4180">
              <w:rPr>
                <w:sz w:val="20"/>
                <w:szCs w:val="20"/>
              </w:rPr>
              <w:t>-470.0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1A988" w14:textId="77777777" w:rsidR="005A2F54" w:rsidRPr="000C4180" w:rsidRDefault="005A2F54" w:rsidP="00712BCD">
            <w:pPr>
              <w:jc w:val="right"/>
              <w:rPr>
                <w:sz w:val="20"/>
                <w:szCs w:val="20"/>
              </w:rPr>
            </w:pPr>
            <w:r w:rsidRPr="000C4180">
              <w:rPr>
                <w:sz w:val="20"/>
                <w:szCs w:val="20"/>
              </w:rPr>
              <w:t>-117.0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1899D" w14:textId="77777777" w:rsidR="005A2F54" w:rsidRPr="000C4180" w:rsidRDefault="005A2F54" w:rsidP="00712BCD">
            <w:pPr>
              <w:jc w:val="right"/>
              <w:rPr>
                <w:sz w:val="20"/>
                <w:szCs w:val="20"/>
              </w:rPr>
            </w:pPr>
            <w:r w:rsidRPr="000C4180">
              <w:rPr>
                <w:sz w:val="20"/>
                <w:szCs w:val="20"/>
              </w:rPr>
              <w:t>471.3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9499E" w14:textId="77777777" w:rsidR="005A2F54" w:rsidRPr="000C4180" w:rsidRDefault="005A2F54" w:rsidP="00712BCD">
            <w:pPr>
              <w:jc w:val="right"/>
              <w:rPr>
                <w:sz w:val="20"/>
                <w:szCs w:val="20"/>
              </w:rPr>
            </w:pPr>
            <w:r w:rsidRPr="000C4180">
              <w:rPr>
                <w:sz w:val="20"/>
                <w:szCs w:val="20"/>
              </w:rPr>
              <w:t>-700.0</w:t>
            </w:r>
          </w:p>
        </w:tc>
        <w:tc>
          <w:tcPr>
            <w:tcW w:w="1444" w:type="dxa"/>
            <w:tcBorders>
              <w:left w:val="single" w:sz="4" w:space="0" w:color="auto"/>
              <w:right w:val="single" w:sz="4" w:space="0" w:color="auto"/>
            </w:tcBorders>
            <w:shd w:val="clear" w:color="auto" w:fill="auto"/>
            <w:noWrap/>
            <w:vAlign w:val="bottom"/>
          </w:tcPr>
          <w:p w14:paraId="3919F65C"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340CF799" w14:textId="77777777" w:rsidR="005A2F54" w:rsidRPr="000C4180" w:rsidRDefault="005A2F54" w:rsidP="00712BCD">
            <w:pPr>
              <w:jc w:val="right"/>
              <w:rPr>
                <w:sz w:val="20"/>
                <w:szCs w:val="20"/>
              </w:rPr>
            </w:pPr>
          </w:p>
        </w:tc>
      </w:tr>
      <w:tr w:rsidR="005A2F54" w:rsidRPr="000C4180" w14:paraId="4502F545"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A595" w14:textId="77777777" w:rsidR="005A2F54" w:rsidRPr="000C4180" w:rsidRDefault="005A2F54" w:rsidP="00712BCD">
            <w:pPr>
              <w:rPr>
                <w:sz w:val="20"/>
                <w:szCs w:val="20"/>
              </w:rPr>
            </w:pPr>
            <w:r w:rsidRPr="000C4180">
              <w:rPr>
                <w:sz w:val="20"/>
                <w:szCs w:val="20"/>
              </w:rPr>
              <w:t>Interest at 10%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F2FC1"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7C4E0" w14:textId="77777777" w:rsidR="005A2F54" w:rsidRPr="000C4180" w:rsidRDefault="005A2F54" w:rsidP="00712BCD">
            <w:pPr>
              <w:jc w:val="right"/>
              <w:rPr>
                <w:sz w:val="20"/>
                <w:szCs w:val="20"/>
              </w:rPr>
            </w:pPr>
            <w:r w:rsidRPr="000C4180">
              <w:rPr>
                <w:sz w:val="20"/>
                <w:szCs w:val="20"/>
              </w:rPr>
              <w:t>-70.0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87CF8" w14:textId="77777777" w:rsidR="005A2F54" w:rsidRPr="000C4180" w:rsidRDefault="005A2F54" w:rsidP="00712BCD">
            <w:pPr>
              <w:jc w:val="right"/>
              <w:rPr>
                <w:sz w:val="20"/>
                <w:szCs w:val="20"/>
              </w:rPr>
            </w:pPr>
            <w:r w:rsidRPr="000C4180">
              <w:rPr>
                <w:sz w:val="20"/>
                <w:szCs w:val="20"/>
              </w:rPr>
              <w:t>-47.0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2DC1" w14:textId="77777777" w:rsidR="005A2F54" w:rsidRPr="000C4180" w:rsidRDefault="005A2F54" w:rsidP="00712BCD">
            <w:pPr>
              <w:jc w:val="right"/>
              <w:rPr>
                <w:sz w:val="20"/>
                <w:szCs w:val="20"/>
              </w:rPr>
            </w:pPr>
            <w:r w:rsidRPr="000C4180">
              <w:rPr>
                <w:sz w:val="20"/>
                <w:szCs w:val="20"/>
              </w:rPr>
              <w:t>-11.7</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B221A" w14:textId="77777777" w:rsidR="005A2F54" w:rsidRPr="000C4180" w:rsidRDefault="005A2F54" w:rsidP="00712BCD">
            <w:pPr>
              <w:jc w:val="right"/>
              <w:rPr>
                <w:sz w:val="20"/>
                <w:szCs w:val="20"/>
              </w:rPr>
            </w:pPr>
            <w:r w:rsidRPr="000C4180">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802E1" w14:textId="77777777" w:rsidR="005A2F54" w:rsidRPr="000C4180" w:rsidRDefault="005A2F54" w:rsidP="00712BCD">
            <w:pPr>
              <w:jc w:val="right"/>
              <w:rPr>
                <w:sz w:val="20"/>
                <w:szCs w:val="20"/>
              </w:rPr>
            </w:pPr>
            <w:r w:rsidRPr="000C4180">
              <w:rPr>
                <w:sz w:val="20"/>
                <w:szCs w:val="20"/>
              </w:rPr>
              <w:t>-128.7</w:t>
            </w:r>
          </w:p>
        </w:tc>
        <w:tc>
          <w:tcPr>
            <w:tcW w:w="1444" w:type="dxa"/>
            <w:tcBorders>
              <w:left w:val="single" w:sz="4" w:space="0" w:color="auto"/>
              <w:right w:val="single" w:sz="4" w:space="0" w:color="auto"/>
            </w:tcBorders>
            <w:shd w:val="clear" w:color="auto" w:fill="auto"/>
            <w:noWrap/>
            <w:vAlign w:val="bottom"/>
          </w:tcPr>
          <w:p w14:paraId="61435DDC"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70749EF4" w14:textId="77777777" w:rsidR="005A2F54" w:rsidRPr="000C4180" w:rsidRDefault="005A2F54" w:rsidP="00712BCD">
            <w:pPr>
              <w:jc w:val="right"/>
              <w:rPr>
                <w:sz w:val="20"/>
                <w:szCs w:val="20"/>
              </w:rPr>
            </w:pPr>
          </w:p>
        </w:tc>
      </w:tr>
      <w:tr w:rsidR="005A2F54" w:rsidRPr="000C4180" w14:paraId="03EADD42"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83102" w14:textId="77777777" w:rsidR="005A2F54" w:rsidRPr="000C4180" w:rsidRDefault="005A2F54" w:rsidP="00712BCD">
            <w:pPr>
              <w:rPr>
                <w:sz w:val="20"/>
                <w:szCs w:val="20"/>
              </w:rPr>
            </w:pPr>
            <w:r w:rsidRPr="000C4180">
              <w:rPr>
                <w:sz w:val="20"/>
                <w:szCs w:val="20"/>
              </w:rPr>
              <w:t>Income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CE482"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0D58" w14:textId="77777777" w:rsidR="005A2F54" w:rsidRPr="000C4180" w:rsidRDefault="005A2F54" w:rsidP="00712BCD">
            <w:pPr>
              <w:jc w:val="right"/>
              <w:rPr>
                <w:sz w:val="20"/>
                <w:szCs w:val="20"/>
              </w:rPr>
            </w:pPr>
            <w:r w:rsidRPr="000C4180">
              <w:rPr>
                <w:sz w:val="20"/>
                <w:szCs w:val="20"/>
              </w:rPr>
              <w:t>300.0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7B2B3" w14:textId="77777777" w:rsidR="005A2F54" w:rsidRPr="000C4180" w:rsidRDefault="005A2F54" w:rsidP="00712BCD">
            <w:pPr>
              <w:jc w:val="right"/>
              <w:rPr>
                <w:sz w:val="20"/>
                <w:szCs w:val="20"/>
              </w:rPr>
            </w:pPr>
            <w:r w:rsidRPr="000C4180">
              <w:rPr>
                <w:sz w:val="20"/>
                <w:szCs w:val="20"/>
              </w:rPr>
              <w:t>400.0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F4CAE" w14:textId="77777777" w:rsidR="005A2F54" w:rsidRPr="000C4180" w:rsidRDefault="005A2F54" w:rsidP="00712BCD">
            <w:pPr>
              <w:jc w:val="right"/>
              <w:rPr>
                <w:sz w:val="20"/>
                <w:szCs w:val="20"/>
              </w:rPr>
            </w:pPr>
            <w:r w:rsidRPr="000C4180">
              <w:rPr>
                <w:sz w:val="20"/>
                <w:szCs w:val="20"/>
              </w:rPr>
              <w:t>600.0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D65E9" w14:textId="77777777" w:rsidR="005A2F54" w:rsidRPr="000C4180" w:rsidRDefault="005A2F54" w:rsidP="00712BCD">
            <w:pPr>
              <w:jc w:val="right"/>
              <w:rPr>
                <w:sz w:val="20"/>
                <w:szCs w:val="20"/>
              </w:rPr>
            </w:pPr>
            <w:r w:rsidRPr="000C4180">
              <w:rPr>
                <w:sz w:val="20"/>
                <w:szCs w:val="20"/>
              </w:rPr>
              <w:t>-300.0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B660C" w14:textId="77777777" w:rsidR="005A2F54" w:rsidRPr="000C4180" w:rsidRDefault="005A2F54" w:rsidP="00712BCD">
            <w:pPr>
              <w:jc w:val="right"/>
              <w:rPr>
                <w:sz w:val="20"/>
                <w:szCs w:val="20"/>
              </w:rPr>
            </w:pPr>
            <w:r w:rsidRPr="000C4180">
              <w:rPr>
                <w:sz w:val="20"/>
                <w:szCs w:val="20"/>
              </w:rPr>
              <w:t>1000</w:t>
            </w:r>
          </w:p>
        </w:tc>
        <w:tc>
          <w:tcPr>
            <w:tcW w:w="1444" w:type="dxa"/>
            <w:tcBorders>
              <w:left w:val="single" w:sz="4" w:space="0" w:color="auto"/>
              <w:right w:val="single" w:sz="4" w:space="0" w:color="auto"/>
            </w:tcBorders>
            <w:shd w:val="clear" w:color="auto" w:fill="auto"/>
            <w:noWrap/>
            <w:vAlign w:val="bottom"/>
          </w:tcPr>
          <w:p w14:paraId="64C6C25C" w14:textId="77777777" w:rsidR="005A2F54" w:rsidRPr="000C4180" w:rsidRDefault="005A2F54" w:rsidP="00712BCD">
            <w:pPr>
              <w:jc w:val="right"/>
              <w:rPr>
                <w:sz w:val="20"/>
                <w:szCs w:val="20"/>
              </w:rPr>
            </w:pPr>
          </w:p>
        </w:tc>
        <w:tc>
          <w:tcPr>
            <w:tcW w:w="776" w:type="dxa"/>
            <w:tcBorders>
              <w:left w:val="single" w:sz="4" w:space="0" w:color="auto"/>
              <w:right w:val="single" w:sz="4" w:space="0" w:color="auto"/>
            </w:tcBorders>
            <w:shd w:val="clear" w:color="auto" w:fill="auto"/>
            <w:vAlign w:val="bottom"/>
          </w:tcPr>
          <w:p w14:paraId="381B21C2" w14:textId="77777777" w:rsidR="005A2F54" w:rsidRPr="000C4180" w:rsidRDefault="005A2F54" w:rsidP="00712BCD">
            <w:pPr>
              <w:jc w:val="right"/>
              <w:rPr>
                <w:sz w:val="20"/>
                <w:szCs w:val="20"/>
              </w:rPr>
            </w:pPr>
          </w:p>
        </w:tc>
      </w:tr>
      <w:tr w:rsidR="005A2F54" w:rsidRPr="000C4180" w14:paraId="4C0E6BE2" w14:textId="77777777" w:rsidTr="00A74765">
        <w:trPr>
          <w:trHeight w:val="227"/>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6CEEB" w14:textId="77777777" w:rsidR="005A2F54" w:rsidRPr="000C4180" w:rsidRDefault="005A2F54" w:rsidP="00712BCD">
            <w:pPr>
              <w:rPr>
                <w:sz w:val="20"/>
                <w:szCs w:val="20"/>
              </w:rPr>
            </w:pPr>
            <w:r w:rsidRPr="000C4180">
              <w:rPr>
                <w:sz w:val="20"/>
                <w:szCs w:val="20"/>
              </w:rPr>
              <w:t>Closing Balance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CF214" w14:textId="77777777" w:rsidR="005A2F54" w:rsidRPr="000C4180" w:rsidRDefault="005A2F54" w:rsidP="00712BCD">
            <w:pPr>
              <w:rPr>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FA189" w14:textId="77777777" w:rsidR="005A2F54" w:rsidRPr="000C4180" w:rsidRDefault="005A2F54" w:rsidP="00712BCD">
            <w:pPr>
              <w:jc w:val="right"/>
              <w:rPr>
                <w:sz w:val="20"/>
                <w:szCs w:val="20"/>
              </w:rPr>
            </w:pPr>
            <w:r w:rsidRPr="000C4180">
              <w:rPr>
                <w:sz w:val="20"/>
                <w:szCs w:val="20"/>
              </w:rPr>
              <w:t>-470.0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4EE6C" w14:textId="77777777" w:rsidR="005A2F54" w:rsidRPr="000C4180" w:rsidRDefault="005A2F54" w:rsidP="00712BCD">
            <w:pPr>
              <w:jc w:val="right"/>
              <w:rPr>
                <w:sz w:val="20"/>
                <w:szCs w:val="20"/>
              </w:rPr>
            </w:pPr>
            <w:r w:rsidRPr="000C4180">
              <w:rPr>
                <w:sz w:val="20"/>
                <w:szCs w:val="20"/>
              </w:rPr>
              <w:t>-117.0</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B5D35" w14:textId="77777777" w:rsidR="005A2F54" w:rsidRPr="000C4180" w:rsidRDefault="005A2F54" w:rsidP="00712BCD">
            <w:pPr>
              <w:jc w:val="right"/>
              <w:rPr>
                <w:sz w:val="20"/>
                <w:szCs w:val="20"/>
              </w:rPr>
            </w:pPr>
            <w:r w:rsidRPr="000C4180">
              <w:rPr>
                <w:sz w:val="20"/>
                <w:szCs w:val="20"/>
              </w:rPr>
              <w:t>471.3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38808" w14:textId="77777777" w:rsidR="005A2F54" w:rsidRPr="000C4180" w:rsidRDefault="005A2F54" w:rsidP="00712BCD">
            <w:pPr>
              <w:jc w:val="right"/>
              <w:rPr>
                <w:sz w:val="20"/>
                <w:szCs w:val="20"/>
              </w:rPr>
            </w:pPr>
            <w:r w:rsidRPr="000C4180">
              <w:rPr>
                <w:sz w:val="20"/>
                <w:szCs w:val="20"/>
              </w:rPr>
              <w:t>171.3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6336" w14:textId="77777777" w:rsidR="005A2F54" w:rsidRPr="000C4180" w:rsidRDefault="005A2F54" w:rsidP="00712BCD">
            <w:pPr>
              <w:jc w:val="right"/>
              <w:rPr>
                <w:sz w:val="20"/>
                <w:szCs w:val="20"/>
              </w:rPr>
            </w:pPr>
          </w:p>
        </w:tc>
        <w:tc>
          <w:tcPr>
            <w:tcW w:w="1444" w:type="dxa"/>
            <w:tcBorders>
              <w:left w:val="single" w:sz="4" w:space="0" w:color="auto"/>
              <w:bottom w:val="single" w:sz="4" w:space="0" w:color="auto"/>
              <w:right w:val="single" w:sz="4" w:space="0" w:color="auto"/>
            </w:tcBorders>
            <w:shd w:val="clear" w:color="auto" w:fill="auto"/>
            <w:noWrap/>
            <w:vAlign w:val="bottom"/>
          </w:tcPr>
          <w:p w14:paraId="39F8F352" w14:textId="77777777" w:rsidR="005A2F54" w:rsidRPr="000C4180" w:rsidRDefault="005A2F54" w:rsidP="00712BCD">
            <w:pPr>
              <w:jc w:val="right"/>
              <w:rPr>
                <w:sz w:val="20"/>
                <w:szCs w:val="20"/>
              </w:rPr>
            </w:pPr>
            <w:r w:rsidRPr="000C4180">
              <w:rPr>
                <w:sz w:val="20"/>
                <w:szCs w:val="20"/>
              </w:rPr>
              <w:t>NPV at 10%</w:t>
            </w:r>
          </w:p>
        </w:tc>
        <w:tc>
          <w:tcPr>
            <w:tcW w:w="776" w:type="dxa"/>
            <w:tcBorders>
              <w:left w:val="single" w:sz="4" w:space="0" w:color="auto"/>
              <w:bottom w:val="single" w:sz="4" w:space="0" w:color="auto"/>
              <w:right w:val="single" w:sz="4" w:space="0" w:color="auto"/>
            </w:tcBorders>
            <w:shd w:val="clear" w:color="auto" w:fill="auto"/>
            <w:vAlign w:val="bottom"/>
          </w:tcPr>
          <w:p w14:paraId="1E9B6F6D" w14:textId="77777777" w:rsidR="005A2F54" w:rsidRPr="000C4180" w:rsidRDefault="005A2F54" w:rsidP="00712BCD">
            <w:pPr>
              <w:jc w:val="right"/>
              <w:rPr>
                <w:sz w:val="20"/>
                <w:szCs w:val="20"/>
              </w:rPr>
            </w:pPr>
            <w:r w:rsidRPr="000C4180">
              <w:rPr>
                <w:sz w:val="20"/>
                <w:szCs w:val="20"/>
              </w:rPr>
              <w:t>117.0</w:t>
            </w:r>
          </w:p>
        </w:tc>
      </w:tr>
    </w:tbl>
    <w:p w14:paraId="604D9B49" w14:textId="4F22401B" w:rsidR="005A2F54" w:rsidRPr="000C4180" w:rsidRDefault="005A2F54" w:rsidP="005A2F54">
      <w:pPr>
        <w:pStyle w:val="NoSpacing"/>
        <w:spacing w:line="240" w:lineRule="auto"/>
        <w:ind w:left="720"/>
        <w:rPr>
          <w:sz w:val="18"/>
          <w:szCs w:val="18"/>
        </w:rPr>
      </w:pPr>
      <w:r w:rsidRPr="000C4180">
        <w:rPr>
          <w:sz w:val="18"/>
          <w:szCs w:val="18"/>
        </w:rPr>
        <w:t xml:space="preserve">Source: http://www.accaglobal.com/an/en/student/exam-support-resources/professional-exams-study-resources/ </w:t>
      </w:r>
      <w:r w:rsidRPr="000C4180">
        <w:rPr>
          <w:sz w:val="18"/>
          <w:szCs w:val="18"/>
        </w:rPr>
        <w:tab/>
        <w:t>p4/technical-articles/Modified-internal-rate-return.html</w:t>
      </w:r>
    </w:p>
    <w:p w14:paraId="1C4B25B9" w14:textId="70023082" w:rsidR="005A2F54" w:rsidRPr="000C4180" w:rsidRDefault="005A2F54" w:rsidP="005A2F54">
      <w:pPr>
        <w:pStyle w:val="NoSpacing"/>
        <w:rPr>
          <w:b/>
        </w:rPr>
      </w:pPr>
    </w:p>
    <w:p w14:paraId="498AA211" w14:textId="77777777" w:rsidR="005A2F54" w:rsidRPr="000C4180" w:rsidRDefault="005A2F54" w:rsidP="005A2F54">
      <w:pPr>
        <w:pStyle w:val="NoSpacing"/>
      </w:pPr>
      <w:r w:rsidRPr="000C4180">
        <w:t xml:space="preserve">In summary, the above analysis illustrates that the reinvestment income is included only under the NNCF (see also Elles, 2016) and not under the normal NCF. The reinvestment affects the values of IRR and NPV and therefore the preference of NPV over IRR for NNCF investment is not appropriate. Also, the MIRR that assumes reinvestment rate for even normal NCF is inappropriate. The MIRR is unique but cannot solve the real problem of </w:t>
      </w:r>
      <w:r w:rsidR="00145664" w:rsidRPr="000C4180">
        <w:t xml:space="preserve">reinvestment and unrealistic </w:t>
      </w:r>
      <w:r w:rsidRPr="000C4180">
        <w:t>IRR.</w:t>
      </w:r>
    </w:p>
    <w:p w14:paraId="66784BDA" w14:textId="1F0BF03A" w:rsidR="005A2F54" w:rsidRPr="000C4180" w:rsidRDefault="005A2F54" w:rsidP="005A2F54">
      <w:pPr>
        <w:pStyle w:val="NoSpacing"/>
        <w:rPr>
          <w:b/>
        </w:rPr>
      </w:pPr>
    </w:p>
    <w:p w14:paraId="3002D6B1" w14:textId="77777777" w:rsidR="005A2F54" w:rsidRPr="000C4180" w:rsidRDefault="005A2F54" w:rsidP="005A2F54">
      <w:pPr>
        <w:pStyle w:val="NoSpacing"/>
        <w:rPr>
          <w:b/>
        </w:rPr>
      </w:pPr>
      <w:r w:rsidRPr="000C4180">
        <w:rPr>
          <w:b/>
        </w:rPr>
        <w:t>4.4 Resolving the problem of Multiple IRR by MCAS Method Versus MIRR:</w:t>
      </w:r>
    </w:p>
    <w:p w14:paraId="77F31EBC" w14:textId="6902B2C7" w:rsidR="005A2F54" w:rsidRPr="000C4180" w:rsidRDefault="005A2F54" w:rsidP="005A2F54">
      <w:pPr>
        <w:spacing w:after="120" w:line="360" w:lineRule="auto"/>
        <w:jc w:val="both"/>
        <w:rPr>
          <w:color w:val="131516"/>
          <w:sz w:val="22"/>
          <w:szCs w:val="22"/>
        </w:rPr>
      </w:pPr>
      <w:r w:rsidRPr="000C4180">
        <w:rPr>
          <w:color w:val="131516"/>
          <w:sz w:val="22"/>
          <w:szCs w:val="22"/>
        </w:rPr>
        <w:t xml:space="preserve">As discussed, many authors suggested </w:t>
      </w:r>
      <w:r w:rsidR="00C85164" w:rsidRPr="000C4180">
        <w:rPr>
          <w:color w:val="131516"/>
          <w:lang w:eastAsia="en-AU"/>
        </w:rPr>
        <w:t>using</w:t>
      </w:r>
      <w:r w:rsidRPr="000C4180">
        <w:rPr>
          <w:color w:val="131516"/>
          <w:sz w:val="22"/>
          <w:szCs w:val="22"/>
        </w:rPr>
        <w:t xml:space="preserve"> MIRR to overcome the problem of multiple IRR. </w:t>
      </w:r>
      <w:r w:rsidR="00131E6C" w:rsidRPr="000C4180">
        <w:rPr>
          <w:color w:val="131516"/>
          <w:sz w:val="22"/>
          <w:szCs w:val="22"/>
        </w:rPr>
        <w:t>T</w:t>
      </w:r>
      <w:r w:rsidRPr="000C4180">
        <w:rPr>
          <w:color w:val="131516"/>
          <w:sz w:val="22"/>
          <w:szCs w:val="22"/>
        </w:rPr>
        <w:t>he NNCF data</w:t>
      </w:r>
      <w:r w:rsidR="00131E6C" w:rsidRPr="000C4180">
        <w:rPr>
          <w:color w:val="131516"/>
          <w:sz w:val="22"/>
          <w:szCs w:val="22"/>
        </w:rPr>
        <w:t xml:space="preserve">, used </w:t>
      </w:r>
      <w:r w:rsidRPr="000C4180">
        <w:rPr>
          <w:color w:val="131516"/>
          <w:sz w:val="22"/>
          <w:szCs w:val="22"/>
        </w:rPr>
        <w:t xml:space="preserve">both </w:t>
      </w:r>
      <w:r w:rsidR="00131E6C" w:rsidRPr="000C4180">
        <w:rPr>
          <w:color w:val="131516"/>
          <w:sz w:val="22"/>
          <w:szCs w:val="22"/>
        </w:rPr>
        <w:t xml:space="preserve">by </w:t>
      </w:r>
      <w:r w:rsidRPr="000C4180">
        <w:rPr>
          <w:color w:val="131516"/>
          <w:sz w:val="22"/>
          <w:szCs w:val="22"/>
        </w:rPr>
        <w:t>Kyd (2017) and Schmidt (2015), le</w:t>
      </w:r>
      <w:r w:rsidR="00131E6C" w:rsidRPr="000C4180">
        <w:rPr>
          <w:color w:val="131516"/>
          <w:sz w:val="22"/>
          <w:szCs w:val="22"/>
        </w:rPr>
        <w:t>a</w:t>
      </w:r>
      <w:r w:rsidRPr="000C4180">
        <w:rPr>
          <w:color w:val="131516"/>
          <w:sz w:val="22"/>
          <w:szCs w:val="22"/>
        </w:rPr>
        <w:t>d</w:t>
      </w:r>
      <w:r w:rsidR="00131E6C" w:rsidRPr="000C4180">
        <w:rPr>
          <w:color w:val="131516"/>
          <w:sz w:val="22"/>
          <w:szCs w:val="22"/>
        </w:rPr>
        <w:t>s</w:t>
      </w:r>
      <w:r w:rsidRPr="000C4180">
        <w:rPr>
          <w:color w:val="131516"/>
          <w:sz w:val="22"/>
          <w:szCs w:val="22"/>
        </w:rPr>
        <w:t xml:space="preserve"> to multiple IRRs (0%, 100% and 200%). They concluded that all the three IRRs are </w:t>
      </w:r>
      <w:r w:rsidR="00131E6C" w:rsidRPr="000C4180">
        <w:rPr>
          <w:color w:val="131516"/>
          <w:sz w:val="22"/>
          <w:szCs w:val="22"/>
        </w:rPr>
        <w:t>acceptable,</w:t>
      </w:r>
      <w:r w:rsidRPr="000C4180">
        <w:rPr>
          <w:color w:val="131516"/>
          <w:sz w:val="22"/>
          <w:szCs w:val="22"/>
        </w:rPr>
        <w:t xml:space="preserve"> but this conclusion needs solid evidence. According to these authors, the problem of multiple IRR could be eliminated by MIRR. Kyd used a finance rate (FR) of 8% and a reinvestment rate (RR) of 3% and estimated a MIRR of 5.8%. For the same data, Schmidt used FR of 10% and RR of 5% and estimated a MIRR of 2.3% (the correct MIRR must be 7.7%). The same data is </w:t>
      </w:r>
      <w:r w:rsidR="00131E6C" w:rsidRPr="000C4180">
        <w:rPr>
          <w:color w:val="131516"/>
          <w:sz w:val="22"/>
          <w:szCs w:val="22"/>
        </w:rPr>
        <w:t>used to evaluate whether these estimates are consistent with NNCF</w:t>
      </w:r>
      <w:r w:rsidRPr="000C4180">
        <w:rPr>
          <w:color w:val="131516"/>
          <w:sz w:val="22"/>
          <w:szCs w:val="22"/>
        </w:rPr>
        <w:t xml:space="preserve"> and the analytical results are in Table 4.</w:t>
      </w:r>
    </w:p>
    <w:p w14:paraId="44EF1BB7" w14:textId="36300685" w:rsidR="00D22575" w:rsidRPr="000C4180" w:rsidRDefault="00131E6C" w:rsidP="000C4180">
      <w:pPr>
        <w:pStyle w:val="ListParagraph"/>
        <w:numPr>
          <w:ilvl w:val="0"/>
          <w:numId w:val="28"/>
        </w:numPr>
        <w:spacing w:after="450" w:line="360" w:lineRule="auto"/>
        <w:jc w:val="both"/>
        <w:rPr>
          <w:color w:val="131516"/>
          <w:sz w:val="22"/>
          <w:szCs w:val="22"/>
        </w:rPr>
      </w:pPr>
      <w:r w:rsidRPr="000C4180">
        <w:rPr>
          <w:color w:val="131516"/>
          <w:sz w:val="22"/>
          <w:szCs w:val="22"/>
        </w:rPr>
        <w:t>For the given NNCF, there are multiple IRRs (three IRRs: 0%, 100% and 200%) under the CAS and DCF methods. For all the three IRRs, the NPV is zero and therefore the result is consistent with the mathematical relationships. However, the NPV at 10 % (assumed hurdle rate) is negative (-1284) and that being the case the IRR 100% and 200% are spurious or dubious.</w:t>
      </w:r>
    </w:p>
    <w:p w14:paraId="24071A6B" w14:textId="76046A0D" w:rsidR="00453D64" w:rsidRPr="000C4180" w:rsidRDefault="00131E6C" w:rsidP="000C4180">
      <w:pPr>
        <w:pStyle w:val="ListParagraph"/>
        <w:numPr>
          <w:ilvl w:val="0"/>
          <w:numId w:val="28"/>
        </w:numPr>
        <w:spacing w:after="450" w:line="360" w:lineRule="auto"/>
        <w:jc w:val="both"/>
        <w:rPr>
          <w:color w:val="131516"/>
          <w:sz w:val="22"/>
          <w:szCs w:val="22"/>
        </w:rPr>
      </w:pPr>
      <w:r w:rsidRPr="000C4180">
        <w:rPr>
          <w:color w:val="131516"/>
          <w:sz w:val="22"/>
          <w:szCs w:val="22"/>
        </w:rPr>
        <w:t>With 0% or 100% or 200% IRRs, the ROIC is zero as per CAS</w:t>
      </w:r>
      <w:r w:rsidR="00D22575" w:rsidRPr="000C4180">
        <w:rPr>
          <w:color w:val="131516"/>
          <w:sz w:val="22"/>
          <w:szCs w:val="22"/>
        </w:rPr>
        <w:t xml:space="preserve"> that indicates such IRRs are spurious</w:t>
      </w:r>
      <w:r w:rsidRPr="000C4180">
        <w:rPr>
          <w:color w:val="131516"/>
          <w:sz w:val="22"/>
          <w:szCs w:val="22"/>
        </w:rPr>
        <w:t xml:space="preserve">. This is obviously caused by the </w:t>
      </w:r>
      <w:r w:rsidR="00D22575" w:rsidRPr="000C4180">
        <w:rPr>
          <w:color w:val="131516"/>
          <w:sz w:val="22"/>
          <w:szCs w:val="22"/>
        </w:rPr>
        <w:t>positive OBs in the CAS</w:t>
      </w:r>
      <w:r w:rsidRPr="000C4180">
        <w:rPr>
          <w:color w:val="131516"/>
          <w:sz w:val="22"/>
          <w:szCs w:val="22"/>
        </w:rPr>
        <w:t xml:space="preserve"> that leads to interest to be paid by the </w:t>
      </w:r>
      <w:r w:rsidRPr="000C4180">
        <w:rPr>
          <w:color w:val="131516"/>
          <w:sz w:val="22"/>
          <w:szCs w:val="22"/>
        </w:rPr>
        <w:lastRenderedPageBreak/>
        <w:t xml:space="preserve">investor </w:t>
      </w:r>
      <w:r w:rsidR="00D22575" w:rsidRPr="000C4180">
        <w:rPr>
          <w:color w:val="131516"/>
          <w:sz w:val="22"/>
          <w:szCs w:val="22"/>
        </w:rPr>
        <w:t>(</w:t>
      </w:r>
      <w:r w:rsidR="001D1CE5" w:rsidRPr="000C4180">
        <w:rPr>
          <w:color w:val="131516"/>
          <w:sz w:val="22"/>
          <w:szCs w:val="22"/>
        </w:rPr>
        <w:t>8000</w:t>
      </w:r>
      <w:r w:rsidR="00453D64" w:rsidRPr="000C4180">
        <w:rPr>
          <w:color w:val="131516"/>
          <w:sz w:val="22"/>
          <w:szCs w:val="22"/>
        </w:rPr>
        <w:t xml:space="preserve"> and </w:t>
      </w:r>
      <w:r w:rsidR="001D1CE5" w:rsidRPr="000C4180">
        <w:rPr>
          <w:color w:val="131516"/>
          <w:sz w:val="22"/>
          <w:szCs w:val="22"/>
        </w:rPr>
        <w:t>18000</w:t>
      </w:r>
      <w:r w:rsidR="00453D64" w:rsidRPr="000C4180">
        <w:rPr>
          <w:color w:val="131516"/>
          <w:sz w:val="22"/>
          <w:szCs w:val="22"/>
        </w:rPr>
        <w:t xml:space="preserve"> </w:t>
      </w:r>
      <w:r w:rsidR="00D22575" w:rsidRPr="000C4180">
        <w:rPr>
          <w:color w:val="131516"/>
          <w:sz w:val="22"/>
          <w:szCs w:val="22"/>
        </w:rPr>
        <w:t>at 100% and 200%</w:t>
      </w:r>
      <w:r w:rsidR="00453D64" w:rsidRPr="000C4180">
        <w:rPr>
          <w:color w:val="131516"/>
          <w:sz w:val="22"/>
          <w:szCs w:val="22"/>
        </w:rPr>
        <w:t>, respectively</w:t>
      </w:r>
      <w:r w:rsidR="00D22575" w:rsidRPr="000C4180">
        <w:rPr>
          <w:color w:val="131516"/>
          <w:sz w:val="22"/>
          <w:szCs w:val="22"/>
        </w:rPr>
        <w:t xml:space="preserve">) </w:t>
      </w:r>
      <w:r w:rsidRPr="000C4180">
        <w:rPr>
          <w:color w:val="131516"/>
          <w:sz w:val="22"/>
          <w:szCs w:val="22"/>
        </w:rPr>
        <w:t xml:space="preserve">to achieve that false IRR of 100% and 200%. </w:t>
      </w:r>
      <w:r w:rsidR="00453D64" w:rsidRPr="000C4180">
        <w:rPr>
          <w:color w:val="131516"/>
          <w:sz w:val="22"/>
          <w:szCs w:val="22"/>
        </w:rPr>
        <w:t xml:space="preserve">The multiple IRRs 100% and 200% is not supported by the NNCF </w:t>
      </w:r>
      <w:r w:rsidR="001D1CE5" w:rsidRPr="000C4180">
        <w:rPr>
          <w:color w:val="131516"/>
          <w:sz w:val="22"/>
          <w:szCs w:val="22"/>
        </w:rPr>
        <w:t xml:space="preserve">and not </w:t>
      </w:r>
      <w:r w:rsidR="00453D64" w:rsidRPr="000C4180">
        <w:rPr>
          <w:color w:val="131516"/>
          <w:sz w:val="22"/>
          <w:szCs w:val="22"/>
        </w:rPr>
        <w:t>NCF consistency</w:t>
      </w:r>
      <w:r w:rsidR="001D1CE5" w:rsidRPr="000C4180">
        <w:rPr>
          <w:color w:val="131516"/>
          <w:sz w:val="22"/>
          <w:szCs w:val="22"/>
        </w:rPr>
        <w:t>.</w:t>
      </w:r>
    </w:p>
    <w:p w14:paraId="3F8D33AB" w14:textId="690254FF" w:rsidR="00351D43" w:rsidRDefault="00ED3299" w:rsidP="000C4180">
      <w:pPr>
        <w:pStyle w:val="ListParagraph"/>
        <w:numPr>
          <w:ilvl w:val="0"/>
          <w:numId w:val="28"/>
        </w:numPr>
        <w:spacing w:after="450" w:line="360" w:lineRule="auto"/>
        <w:jc w:val="both"/>
        <w:rPr>
          <w:color w:val="131516"/>
          <w:sz w:val="22"/>
          <w:szCs w:val="22"/>
        </w:rPr>
      </w:pPr>
      <w:r w:rsidRPr="000C4180">
        <w:rPr>
          <w:color w:val="131516"/>
          <w:sz w:val="22"/>
          <w:szCs w:val="22"/>
        </w:rPr>
        <w:t xml:space="preserve">The MCAS estimated IRR is 0% which is the real return and is consistent with NCF and NPV. The real return must be zero as indicated by the ROIC component for all other returns (IRRs and MIRRS) are not recovered and remain as closing balance. </w:t>
      </w:r>
      <w:r w:rsidR="00D22575" w:rsidRPr="000C4180">
        <w:rPr>
          <w:color w:val="131516"/>
          <w:sz w:val="22"/>
          <w:szCs w:val="22"/>
        </w:rPr>
        <w:t xml:space="preserve">MCAS estimate </w:t>
      </w:r>
      <w:r w:rsidR="001D1CE5" w:rsidRPr="000C4180">
        <w:rPr>
          <w:color w:val="131516"/>
          <w:sz w:val="22"/>
          <w:szCs w:val="22"/>
        </w:rPr>
        <w:t xml:space="preserve">does not include reinvestment and therefore </w:t>
      </w:r>
      <w:r w:rsidR="00453D64" w:rsidRPr="000C4180">
        <w:rPr>
          <w:color w:val="131516"/>
          <w:sz w:val="22"/>
          <w:szCs w:val="22"/>
        </w:rPr>
        <w:t xml:space="preserve">the IRR is zero which is consistent with NNCF (Sum of NNCF = 0). </w:t>
      </w:r>
      <w:r w:rsidR="001D1CE5" w:rsidRPr="000C4180">
        <w:rPr>
          <w:color w:val="131516"/>
          <w:sz w:val="22"/>
          <w:szCs w:val="22"/>
        </w:rPr>
        <w:t>MCAS eliminates the multiple IRR problem and leads to NCF consistent real IRR.</w:t>
      </w:r>
      <w:r w:rsidR="00351D43" w:rsidRPr="000C4180">
        <w:rPr>
          <w:color w:val="131516"/>
          <w:sz w:val="22"/>
          <w:szCs w:val="22"/>
        </w:rPr>
        <w:t xml:space="preserve"> The three different IRR solutions: 0%, 100%, and 200% may be the roots of the polynomial (NPV equation). Then the zero return is the real return and others are not real.</w:t>
      </w:r>
    </w:p>
    <w:p w14:paraId="4617BACB" w14:textId="77777777" w:rsidR="00A74765" w:rsidRPr="00A74765" w:rsidRDefault="00A74765" w:rsidP="00A74765">
      <w:pPr>
        <w:pStyle w:val="ListParagraph"/>
        <w:numPr>
          <w:ilvl w:val="0"/>
          <w:numId w:val="28"/>
        </w:numPr>
        <w:spacing w:after="450" w:line="360" w:lineRule="auto"/>
        <w:jc w:val="both"/>
        <w:rPr>
          <w:color w:val="131516"/>
          <w:sz w:val="22"/>
          <w:szCs w:val="22"/>
        </w:rPr>
      </w:pPr>
      <w:r w:rsidRPr="00A74765">
        <w:rPr>
          <w:color w:val="131516"/>
          <w:sz w:val="22"/>
          <w:szCs w:val="22"/>
        </w:rPr>
        <w:t>With NNCF that involves reinvestment, the NPV rule is invalid. For example, the NPV at 10% under CAS method is -1285 but under the MCAS method (that eliminates the reinvestment income) the NPV at 10% is -7100. The higher NPV under the DCF/CAS method is caused by the reinvestment income. These NPV results are not consistent with IRRs (at IRR, NPV = 0).</w:t>
      </w:r>
    </w:p>
    <w:p w14:paraId="1765CB73" w14:textId="77777777" w:rsidR="00A74765" w:rsidRPr="00A74765" w:rsidRDefault="00A74765" w:rsidP="00A74765">
      <w:pPr>
        <w:pStyle w:val="ListParagraph"/>
        <w:numPr>
          <w:ilvl w:val="0"/>
          <w:numId w:val="28"/>
        </w:numPr>
        <w:spacing w:after="450" w:line="360" w:lineRule="auto"/>
        <w:jc w:val="both"/>
        <w:rPr>
          <w:color w:val="131516"/>
          <w:sz w:val="22"/>
          <w:szCs w:val="22"/>
        </w:rPr>
      </w:pPr>
      <w:r w:rsidRPr="00A74765">
        <w:rPr>
          <w:color w:val="131516"/>
          <w:sz w:val="22"/>
          <w:szCs w:val="22"/>
        </w:rPr>
        <w:t xml:space="preserve">MCAS estimates reveal that the net benefit stream or income is not adequate to support each one of the MIRRs. These MIRRs are all overestimates due to reinvestment income. The ROIC at that MIRRs are just left unrecovered as negative closing balance between -4119 and -6763 (see last column of Table 3). </w:t>
      </w:r>
    </w:p>
    <w:p w14:paraId="373ABC1E" w14:textId="77777777" w:rsidR="00A74765" w:rsidRPr="00A74765" w:rsidRDefault="00A74765" w:rsidP="00A74765">
      <w:pPr>
        <w:pStyle w:val="ListParagraph"/>
        <w:numPr>
          <w:ilvl w:val="0"/>
          <w:numId w:val="28"/>
        </w:numPr>
        <w:spacing w:after="450" w:line="360" w:lineRule="auto"/>
        <w:jc w:val="both"/>
        <w:rPr>
          <w:color w:val="131516"/>
          <w:sz w:val="22"/>
          <w:szCs w:val="22"/>
        </w:rPr>
      </w:pPr>
      <w:r w:rsidRPr="00A74765">
        <w:rPr>
          <w:color w:val="131516"/>
          <w:sz w:val="22"/>
          <w:szCs w:val="22"/>
        </w:rPr>
        <w:t>The claim by Kyd (2017) and Schmidt (2015) that the MIRR solves the problem of multiple IRR is not supported. MIRRs are unique returns but not the real return or feasible return and not NCF consistent. MIRR is again a spurious return (see also Arjunan 2017c). For example, at MIRR 5.8% the ROIC of $4119 is not recoverable from the income stream and remains as closing balance. MIRR estimate, by including a reinvestment rate, is not consistent with NCF.</w:t>
      </w:r>
    </w:p>
    <w:p w14:paraId="7678AF8E" w14:textId="77777777" w:rsidR="005A2F54" w:rsidRPr="000C4180" w:rsidRDefault="005A2F54" w:rsidP="009109B3">
      <w:pPr>
        <w:pStyle w:val="Heading3"/>
      </w:pPr>
      <w:r w:rsidRPr="000C4180">
        <w:t>Table: 4. NNCF Estimation: MIRR vs IRR Estimated by DCF, CAS and MCAS Methods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245"/>
        <w:gridCol w:w="900"/>
        <w:gridCol w:w="990"/>
        <w:gridCol w:w="1170"/>
        <w:gridCol w:w="990"/>
        <w:gridCol w:w="1080"/>
        <w:gridCol w:w="1620"/>
      </w:tblGrid>
      <w:tr w:rsidR="005A2F54" w:rsidRPr="000C4180" w14:paraId="14FCA3AA" w14:textId="77777777" w:rsidTr="007905E7">
        <w:trPr>
          <w:trHeight w:val="201"/>
          <w:jc w:val="center"/>
        </w:trPr>
        <w:tc>
          <w:tcPr>
            <w:tcW w:w="2245" w:type="dxa"/>
            <w:noWrap/>
            <w:vAlign w:val="bottom"/>
            <w:hideMark/>
          </w:tcPr>
          <w:p w14:paraId="0EF3C7C3" w14:textId="77777777" w:rsidR="005A2F54" w:rsidRPr="000C4180" w:rsidRDefault="005A2F54" w:rsidP="00712BCD">
            <w:pPr>
              <w:rPr>
                <w:color w:val="000000"/>
                <w:sz w:val="20"/>
                <w:szCs w:val="20"/>
              </w:rPr>
            </w:pPr>
            <w:bookmarkStart w:id="9" w:name="OLE_LINK1"/>
            <w:r w:rsidRPr="000C4180">
              <w:rPr>
                <w:color w:val="000000"/>
                <w:sz w:val="20"/>
                <w:szCs w:val="20"/>
              </w:rPr>
              <w:t>Years</w:t>
            </w:r>
          </w:p>
        </w:tc>
        <w:tc>
          <w:tcPr>
            <w:tcW w:w="900" w:type="dxa"/>
            <w:noWrap/>
            <w:vAlign w:val="bottom"/>
            <w:hideMark/>
          </w:tcPr>
          <w:p w14:paraId="394329FB" w14:textId="77777777" w:rsidR="005A2F54" w:rsidRPr="000C4180" w:rsidRDefault="005A2F54" w:rsidP="00712BCD">
            <w:pPr>
              <w:jc w:val="right"/>
              <w:rPr>
                <w:color w:val="000000"/>
                <w:sz w:val="20"/>
                <w:szCs w:val="20"/>
              </w:rPr>
            </w:pPr>
            <w:r w:rsidRPr="000C4180">
              <w:rPr>
                <w:color w:val="000000"/>
                <w:sz w:val="20"/>
                <w:szCs w:val="20"/>
              </w:rPr>
              <w:t>0</w:t>
            </w:r>
          </w:p>
        </w:tc>
        <w:tc>
          <w:tcPr>
            <w:tcW w:w="990" w:type="dxa"/>
            <w:noWrap/>
            <w:vAlign w:val="bottom"/>
            <w:hideMark/>
          </w:tcPr>
          <w:p w14:paraId="60AE471E" w14:textId="77777777" w:rsidR="005A2F54" w:rsidRPr="000C4180" w:rsidRDefault="005A2F54" w:rsidP="00712BCD">
            <w:pPr>
              <w:jc w:val="right"/>
              <w:rPr>
                <w:color w:val="000000"/>
                <w:sz w:val="20"/>
                <w:szCs w:val="20"/>
              </w:rPr>
            </w:pPr>
            <w:r w:rsidRPr="000C4180">
              <w:rPr>
                <w:color w:val="000000"/>
                <w:sz w:val="20"/>
                <w:szCs w:val="20"/>
              </w:rPr>
              <w:t>1</w:t>
            </w:r>
          </w:p>
        </w:tc>
        <w:tc>
          <w:tcPr>
            <w:tcW w:w="1170" w:type="dxa"/>
            <w:noWrap/>
            <w:vAlign w:val="bottom"/>
            <w:hideMark/>
          </w:tcPr>
          <w:p w14:paraId="18EB27F0" w14:textId="77777777" w:rsidR="005A2F54" w:rsidRPr="000C4180" w:rsidRDefault="005A2F54" w:rsidP="00712BCD">
            <w:pPr>
              <w:jc w:val="right"/>
              <w:rPr>
                <w:color w:val="000000"/>
                <w:sz w:val="20"/>
                <w:szCs w:val="20"/>
              </w:rPr>
            </w:pPr>
            <w:r w:rsidRPr="000C4180">
              <w:rPr>
                <w:color w:val="000000"/>
                <w:sz w:val="20"/>
                <w:szCs w:val="20"/>
              </w:rPr>
              <w:t>2</w:t>
            </w:r>
          </w:p>
        </w:tc>
        <w:tc>
          <w:tcPr>
            <w:tcW w:w="990" w:type="dxa"/>
            <w:noWrap/>
            <w:vAlign w:val="bottom"/>
            <w:hideMark/>
          </w:tcPr>
          <w:p w14:paraId="1067D418" w14:textId="77777777" w:rsidR="005A2F54" w:rsidRPr="000C4180" w:rsidRDefault="005A2F54" w:rsidP="00712BCD">
            <w:pPr>
              <w:jc w:val="right"/>
              <w:rPr>
                <w:color w:val="000000"/>
                <w:sz w:val="20"/>
                <w:szCs w:val="20"/>
              </w:rPr>
            </w:pPr>
            <w:r w:rsidRPr="000C4180">
              <w:rPr>
                <w:color w:val="000000"/>
                <w:sz w:val="20"/>
                <w:szCs w:val="20"/>
              </w:rPr>
              <w:t>3</w:t>
            </w:r>
          </w:p>
        </w:tc>
        <w:tc>
          <w:tcPr>
            <w:tcW w:w="1080" w:type="dxa"/>
            <w:noWrap/>
            <w:vAlign w:val="bottom"/>
            <w:hideMark/>
          </w:tcPr>
          <w:p w14:paraId="7A404F24" w14:textId="77777777" w:rsidR="005A2F54" w:rsidRPr="000C4180" w:rsidRDefault="005A2F54" w:rsidP="00712BCD">
            <w:pPr>
              <w:jc w:val="right"/>
              <w:rPr>
                <w:color w:val="000000"/>
                <w:sz w:val="20"/>
                <w:szCs w:val="20"/>
              </w:rPr>
            </w:pPr>
            <w:r w:rsidRPr="000C4180">
              <w:rPr>
                <w:color w:val="000000"/>
                <w:sz w:val="20"/>
                <w:szCs w:val="20"/>
              </w:rPr>
              <w:t>SNCF</w:t>
            </w:r>
          </w:p>
        </w:tc>
        <w:tc>
          <w:tcPr>
            <w:tcW w:w="1620" w:type="dxa"/>
            <w:noWrap/>
            <w:vAlign w:val="bottom"/>
            <w:hideMark/>
          </w:tcPr>
          <w:p w14:paraId="102921A6" w14:textId="77777777" w:rsidR="005A2F54" w:rsidRPr="000C4180" w:rsidRDefault="005A2F54" w:rsidP="00712BCD">
            <w:pPr>
              <w:jc w:val="right"/>
              <w:rPr>
                <w:color w:val="000000"/>
                <w:sz w:val="20"/>
                <w:szCs w:val="20"/>
              </w:rPr>
            </w:pPr>
          </w:p>
        </w:tc>
      </w:tr>
      <w:tr w:rsidR="005A2F54" w:rsidRPr="000C4180" w14:paraId="4404C742" w14:textId="77777777" w:rsidTr="007905E7">
        <w:trPr>
          <w:trHeight w:val="201"/>
          <w:jc w:val="center"/>
        </w:trPr>
        <w:tc>
          <w:tcPr>
            <w:tcW w:w="2245" w:type="dxa"/>
            <w:noWrap/>
            <w:vAlign w:val="bottom"/>
            <w:hideMark/>
          </w:tcPr>
          <w:p w14:paraId="3B1F79BD" w14:textId="77777777" w:rsidR="005A2F54" w:rsidRPr="000C4180" w:rsidRDefault="005A2F54" w:rsidP="00712BCD">
            <w:pPr>
              <w:rPr>
                <w:color w:val="000000"/>
                <w:sz w:val="20"/>
                <w:szCs w:val="20"/>
              </w:rPr>
            </w:pPr>
            <w:r w:rsidRPr="000C4180">
              <w:rPr>
                <w:color w:val="000000"/>
                <w:sz w:val="20"/>
                <w:szCs w:val="20"/>
              </w:rPr>
              <w:t>NNCF Data</w:t>
            </w:r>
          </w:p>
        </w:tc>
        <w:tc>
          <w:tcPr>
            <w:tcW w:w="900" w:type="dxa"/>
            <w:noWrap/>
            <w:vAlign w:val="bottom"/>
            <w:hideMark/>
          </w:tcPr>
          <w:p w14:paraId="418E1E5A" w14:textId="77777777" w:rsidR="005A2F54" w:rsidRPr="000C4180" w:rsidRDefault="005A2F54" w:rsidP="00712BCD">
            <w:pPr>
              <w:jc w:val="right"/>
              <w:rPr>
                <w:color w:val="000000"/>
                <w:sz w:val="20"/>
                <w:szCs w:val="20"/>
              </w:rPr>
            </w:pPr>
            <w:r w:rsidRPr="000C4180">
              <w:rPr>
                <w:color w:val="000000"/>
                <w:sz w:val="20"/>
                <w:szCs w:val="20"/>
              </w:rPr>
              <w:t>-10000</w:t>
            </w:r>
          </w:p>
        </w:tc>
        <w:tc>
          <w:tcPr>
            <w:tcW w:w="990" w:type="dxa"/>
            <w:noWrap/>
            <w:vAlign w:val="bottom"/>
            <w:hideMark/>
          </w:tcPr>
          <w:p w14:paraId="042F429C" w14:textId="77777777" w:rsidR="005A2F54" w:rsidRPr="000C4180" w:rsidRDefault="005A2F54" w:rsidP="00712BCD">
            <w:pPr>
              <w:jc w:val="right"/>
              <w:rPr>
                <w:color w:val="000000"/>
                <w:sz w:val="20"/>
                <w:szCs w:val="20"/>
              </w:rPr>
            </w:pPr>
            <w:r w:rsidRPr="000C4180">
              <w:rPr>
                <w:color w:val="000000"/>
                <w:sz w:val="20"/>
                <w:szCs w:val="20"/>
              </w:rPr>
              <w:t>60000</w:t>
            </w:r>
          </w:p>
        </w:tc>
        <w:tc>
          <w:tcPr>
            <w:tcW w:w="1170" w:type="dxa"/>
            <w:noWrap/>
            <w:vAlign w:val="bottom"/>
            <w:hideMark/>
          </w:tcPr>
          <w:p w14:paraId="241AFAF8" w14:textId="77777777" w:rsidR="005A2F54" w:rsidRPr="000C4180" w:rsidRDefault="005A2F54" w:rsidP="00712BCD">
            <w:pPr>
              <w:jc w:val="right"/>
              <w:rPr>
                <w:color w:val="000000"/>
                <w:sz w:val="20"/>
                <w:szCs w:val="20"/>
              </w:rPr>
            </w:pPr>
            <w:r w:rsidRPr="000C4180">
              <w:rPr>
                <w:color w:val="000000"/>
                <w:sz w:val="20"/>
                <w:szCs w:val="20"/>
              </w:rPr>
              <w:t>-110000</w:t>
            </w:r>
          </w:p>
        </w:tc>
        <w:tc>
          <w:tcPr>
            <w:tcW w:w="990" w:type="dxa"/>
            <w:noWrap/>
            <w:vAlign w:val="bottom"/>
            <w:hideMark/>
          </w:tcPr>
          <w:p w14:paraId="3A1ABA96" w14:textId="77777777" w:rsidR="005A2F54" w:rsidRPr="000C4180" w:rsidRDefault="005A2F54" w:rsidP="00712BCD">
            <w:pPr>
              <w:jc w:val="right"/>
              <w:rPr>
                <w:color w:val="000000"/>
                <w:sz w:val="20"/>
                <w:szCs w:val="20"/>
              </w:rPr>
            </w:pPr>
            <w:r w:rsidRPr="000C4180">
              <w:rPr>
                <w:color w:val="000000"/>
                <w:sz w:val="20"/>
                <w:szCs w:val="20"/>
              </w:rPr>
              <w:t>60000</w:t>
            </w:r>
          </w:p>
        </w:tc>
        <w:tc>
          <w:tcPr>
            <w:tcW w:w="1080" w:type="dxa"/>
            <w:noWrap/>
            <w:vAlign w:val="bottom"/>
            <w:hideMark/>
          </w:tcPr>
          <w:p w14:paraId="2E74D2B4" w14:textId="77777777" w:rsidR="005A2F54" w:rsidRPr="000C4180" w:rsidRDefault="005A2F54" w:rsidP="00712BCD">
            <w:pPr>
              <w:jc w:val="right"/>
              <w:rPr>
                <w:color w:val="000000"/>
                <w:sz w:val="20"/>
                <w:szCs w:val="20"/>
              </w:rPr>
            </w:pPr>
            <w:r w:rsidRPr="000C4180">
              <w:rPr>
                <w:color w:val="000000"/>
                <w:sz w:val="20"/>
                <w:szCs w:val="20"/>
              </w:rPr>
              <w:t>0</w:t>
            </w:r>
          </w:p>
        </w:tc>
        <w:tc>
          <w:tcPr>
            <w:tcW w:w="1620" w:type="dxa"/>
            <w:noWrap/>
            <w:vAlign w:val="bottom"/>
            <w:hideMark/>
          </w:tcPr>
          <w:p w14:paraId="52C3FE6F" w14:textId="77777777" w:rsidR="005A2F54" w:rsidRPr="000C4180" w:rsidRDefault="005A2F54" w:rsidP="00712BCD">
            <w:pPr>
              <w:jc w:val="right"/>
              <w:rPr>
                <w:color w:val="000000"/>
                <w:sz w:val="20"/>
                <w:szCs w:val="20"/>
              </w:rPr>
            </w:pPr>
          </w:p>
        </w:tc>
      </w:tr>
      <w:tr w:rsidR="005A2F54" w:rsidRPr="000C4180" w14:paraId="42D92435" w14:textId="77777777" w:rsidTr="007905E7">
        <w:trPr>
          <w:trHeight w:val="201"/>
          <w:jc w:val="center"/>
        </w:trPr>
        <w:tc>
          <w:tcPr>
            <w:tcW w:w="4135" w:type="dxa"/>
            <w:gridSpan w:val="3"/>
            <w:noWrap/>
            <w:vAlign w:val="bottom"/>
          </w:tcPr>
          <w:p w14:paraId="065D0E24" w14:textId="77777777" w:rsidR="005A2F54" w:rsidRPr="000C4180" w:rsidRDefault="005A2F54" w:rsidP="00712BCD">
            <w:pPr>
              <w:jc w:val="center"/>
              <w:rPr>
                <w:b/>
                <w:color w:val="000000"/>
                <w:sz w:val="20"/>
                <w:szCs w:val="20"/>
              </w:rPr>
            </w:pPr>
            <w:r w:rsidRPr="000C4180">
              <w:rPr>
                <w:b/>
                <w:color w:val="000000"/>
                <w:sz w:val="20"/>
                <w:szCs w:val="20"/>
              </w:rPr>
              <w:t>CAS and DCF based estimates</w:t>
            </w:r>
          </w:p>
        </w:tc>
        <w:tc>
          <w:tcPr>
            <w:tcW w:w="4860" w:type="dxa"/>
            <w:gridSpan w:val="4"/>
            <w:noWrap/>
            <w:vAlign w:val="bottom"/>
          </w:tcPr>
          <w:p w14:paraId="3AF4226B" w14:textId="77777777" w:rsidR="005A2F54" w:rsidRPr="000C4180" w:rsidRDefault="005A2F54" w:rsidP="00712BCD">
            <w:pPr>
              <w:jc w:val="center"/>
              <w:rPr>
                <w:b/>
                <w:color w:val="000000"/>
                <w:sz w:val="20"/>
                <w:szCs w:val="20"/>
              </w:rPr>
            </w:pPr>
            <w:r w:rsidRPr="000C4180">
              <w:rPr>
                <w:b/>
                <w:color w:val="000000"/>
                <w:sz w:val="20"/>
                <w:szCs w:val="20"/>
              </w:rPr>
              <w:t>Allocation of benefit (NCF) in CAS</w:t>
            </w:r>
          </w:p>
        </w:tc>
      </w:tr>
      <w:tr w:rsidR="005A2F54" w:rsidRPr="000C4180" w14:paraId="0FD7427B" w14:textId="77777777" w:rsidTr="007905E7">
        <w:trPr>
          <w:trHeight w:val="201"/>
          <w:jc w:val="center"/>
        </w:trPr>
        <w:tc>
          <w:tcPr>
            <w:tcW w:w="2245" w:type="dxa"/>
            <w:noWrap/>
            <w:vAlign w:val="bottom"/>
            <w:hideMark/>
          </w:tcPr>
          <w:p w14:paraId="1F4EEE15" w14:textId="77777777" w:rsidR="005A2F54" w:rsidRPr="000C4180" w:rsidRDefault="005A2F54" w:rsidP="00712BCD">
            <w:pPr>
              <w:rPr>
                <w:color w:val="000000"/>
                <w:sz w:val="20"/>
                <w:szCs w:val="20"/>
              </w:rPr>
            </w:pPr>
            <w:r w:rsidRPr="000C4180">
              <w:rPr>
                <w:color w:val="000000"/>
                <w:sz w:val="20"/>
                <w:szCs w:val="20"/>
              </w:rPr>
              <w:t>Criteria</w:t>
            </w:r>
          </w:p>
        </w:tc>
        <w:tc>
          <w:tcPr>
            <w:tcW w:w="900" w:type="dxa"/>
            <w:noWrap/>
            <w:vAlign w:val="bottom"/>
            <w:hideMark/>
          </w:tcPr>
          <w:p w14:paraId="32105387" w14:textId="77777777" w:rsidR="005A2F54" w:rsidRPr="000C4180" w:rsidRDefault="005A2F54" w:rsidP="00712BCD">
            <w:pPr>
              <w:jc w:val="right"/>
              <w:rPr>
                <w:color w:val="000000"/>
                <w:sz w:val="20"/>
                <w:szCs w:val="20"/>
              </w:rPr>
            </w:pPr>
            <w:r w:rsidRPr="000C4180">
              <w:rPr>
                <w:color w:val="000000"/>
                <w:sz w:val="20"/>
                <w:szCs w:val="20"/>
              </w:rPr>
              <w:t>Values</w:t>
            </w:r>
          </w:p>
        </w:tc>
        <w:tc>
          <w:tcPr>
            <w:tcW w:w="990" w:type="dxa"/>
            <w:noWrap/>
            <w:vAlign w:val="bottom"/>
            <w:hideMark/>
          </w:tcPr>
          <w:p w14:paraId="376128DA" w14:textId="77777777" w:rsidR="005A2F54" w:rsidRPr="000C4180" w:rsidRDefault="005A2F54" w:rsidP="00712BCD">
            <w:pPr>
              <w:jc w:val="right"/>
              <w:rPr>
                <w:color w:val="000000"/>
                <w:sz w:val="20"/>
                <w:szCs w:val="20"/>
              </w:rPr>
            </w:pPr>
            <w:r w:rsidRPr="000C4180">
              <w:rPr>
                <w:color w:val="000000"/>
                <w:sz w:val="20"/>
                <w:szCs w:val="20"/>
              </w:rPr>
              <w:t>NPV</w:t>
            </w:r>
          </w:p>
        </w:tc>
        <w:tc>
          <w:tcPr>
            <w:tcW w:w="1170" w:type="dxa"/>
            <w:noWrap/>
          </w:tcPr>
          <w:p w14:paraId="2568FFA0" w14:textId="77777777" w:rsidR="005A2F54" w:rsidRPr="000C4180" w:rsidRDefault="005A2F54" w:rsidP="00712BCD">
            <w:pPr>
              <w:jc w:val="right"/>
              <w:rPr>
                <w:color w:val="000000"/>
                <w:sz w:val="20"/>
                <w:szCs w:val="20"/>
              </w:rPr>
            </w:pPr>
          </w:p>
          <w:p w14:paraId="48235B17" w14:textId="77777777" w:rsidR="005A2F54" w:rsidRPr="000C4180" w:rsidRDefault="005A2F54" w:rsidP="00712BCD">
            <w:pPr>
              <w:jc w:val="right"/>
              <w:rPr>
                <w:color w:val="000000"/>
                <w:sz w:val="20"/>
                <w:szCs w:val="20"/>
              </w:rPr>
            </w:pPr>
            <w:r w:rsidRPr="000C4180">
              <w:rPr>
                <w:color w:val="000000"/>
                <w:sz w:val="20"/>
                <w:szCs w:val="20"/>
              </w:rPr>
              <w:t>Income (A)</w:t>
            </w:r>
          </w:p>
        </w:tc>
        <w:tc>
          <w:tcPr>
            <w:tcW w:w="990" w:type="dxa"/>
            <w:noWrap/>
            <w:vAlign w:val="bottom"/>
          </w:tcPr>
          <w:p w14:paraId="0F6A6384" w14:textId="77777777" w:rsidR="005A2F54" w:rsidRPr="000C4180" w:rsidRDefault="005A2F54" w:rsidP="00712BCD">
            <w:pPr>
              <w:jc w:val="right"/>
              <w:rPr>
                <w:color w:val="000000"/>
                <w:sz w:val="20"/>
                <w:szCs w:val="20"/>
              </w:rPr>
            </w:pPr>
            <w:r w:rsidRPr="000C4180">
              <w:rPr>
                <w:color w:val="000000"/>
                <w:sz w:val="20"/>
                <w:szCs w:val="20"/>
              </w:rPr>
              <w:t>ROC(B)</w:t>
            </w:r>
          </w:p>
        </w:tc>
        <w:tc>
          <w:tcPr>
            <w:tcW w:w="1080" w:type="dxa"/>
            <w:noWrap/>
            <w:vAlign w:val="bottom"/>
            <w:hideMark/>
          </w:tcPr>
          <w:p w14:paraId="7F78707A" w14:textId="77777777" w:rsidR="005A2F54" w:rsidRPr="000C4180" w:rsidRDefault="005A2F54" w:rsidP="00712BCD">
            <w:pPr>
              <w:jc w:val="right"/>
              <w:rPr>
                <w:color w:val="000000"/>
                <w:sz w:val="20"/>
                <w:szCs w:val="20"/>
              </w:rPr>
            </w:pPr>
            <w:r w:rsidRPr="000C4180">
              <w:rPr>
                <w:color w:val="000000"/>
                <w:sz w:val="20"/>
                <w:szCs w:val="20"/>
              </w:rPr>
              <w:t>ROIC (C)</w:t>
            </w:r>
          </w:p>
        </w:tc>
        <w:tc>
          <w:tcPr>
            <w:tcW w:w="1620" w:type="dxa"/>
            <w:noWrap/>
            <w:vAlign w:val="bottom"/>
            <w:hideMark/>
          </w:tcPr>
          <w:p w14:paraId="4A7FFAFF" w14:textId="77777777" w:rsidR="005A2F54" w:rsidRPr="000C4180" w:rsidRDefault="005A2F54" w:rsidP="00712BCD">
            <w:pPr>
              <w:jc w:val="right"/>
              <w:rPr>
                <w:color w:val="000000"/>
                <w:sz w:val="20"/>
                <w:szCs w:val="20"/>
              </w:rPr>
            </w:pPr>
            <w:r w:rsidRPr="000C4180">
              <w:rPr>
                <w:color w:val="000000"/>
                <w:sz w:val="20"/>
                <w:szCs w:val="20"/>
              </w:rPr>
              <w:t>Balance (CB)</w:t>
            </w:r>
          </w:p>
          <w:p w14:paraId="2ACCDA16" w14:textId="77777777" w:rsidR="005A2F54" w:rsidRPr="000C4180" w:rsidRDefault="005A2F54" w:rsidP="00712BCD">
            <w:pPr>
              <w:jc w:val="right"/>
              <w:rPr>
                <w:color w:val="000000"/>
                <w:sz w:val="20"/>
                <w:szCs w:val="20"/>
              </w:rPr>
            </w:pPr>
            <w:r w:rsidRPr="000C4180">
              <w:rPr>
                <w:color w:val="000000"/>
                <w:sz w:val="20"/>
                <w:szCs w:val="20"/>
              </w:rPr>
              <w:t xml:space="preserve"> = (B+C) – A</w:t>
            </w:r>
          </w:p>
        </w:tc>
      </w:tr>
      <w:tr w:rsidR="005A2F54" w:rsidRPr="000C4180" w14:paraId="4B35E500" w14:textId="77777777" w:rsidTr="007905E7">
        <w:trPr>
          <w:trHeight w:val="201"/>
          <w:jc w:val="center"/>
        </w:trPr>
        <w:tc>
          <w:tcPr>
            <w:tcW w:w="2245" w:type="dxa"/>
            <w:noWrap/>
            <w:vAlign w:val="bottom"/>
            <w:hideMark/>
          </w:tcPr>
          <w:p w14:paraId="501E1CE8" w14:textId="77777777" w:rsidR="005A2F54" w:rsidRPr="000C4180" w:rsidRDefault="005A2F54" w:rsidP="00712BCD">
            <w:pPr>
              <w:rPr>
                <w:color w:val="000000"/>
                <w:sz w:val="20"/>
                <w:szCs w:val="20"/>
              </w:rPr>
            </w:pPr>
            <w:r w:rsidRPr="000C4180">
              <w:rPr>
                <w:color w:val="000000"/>
                <w:sz w:val="20"/>
                <w:szCs w:val="20"/>
              </w:rPr>
              <w:t>IRR (1)</w:t>
            </w:r>
          </w:p>
        </w:tc>
        <w:tc>
          <w:tcPr>
            <w:tcW w:w="900" w:type="dxa"/>
            <w:noWrap/>
            <w:vAlign w:val="bottom"/>
            <w:hideMark/>
          </w:tcPr>
          <w:p w14:paraId="2E47E146" w14:textId="77777777" w:rsidR="005A2F54" w:rsidRPr="000C4180" w:rsidRDefault="005A2F54" w:rsidP="00712BCD">
            <w:pPr>
              <w:jc w:val="right"/>
              <w:rPr>
                <w:color w:val="000000"/>
                <w:sz w:val="20"/>
                <w:szCs w:val="20"/>
              </w:rPr>
            </w:pPr>
            <w:r w:rsidRPr="000C4180">
              <w:rPr>
                <w:color w:val="000000"/>
                <w:sz w:val="20"/>
                <w:szCs w:val="20"/>
              </w:rPr>
              <w:t>0.0%</w:t>
            </w:r>
          </w:p>
        </w:tc>
        <w:tc>
          <w:tcPr>
            <w:tcW w:w="990" w:type="dxa"/>
            <w:noWrap/>
            <w:vAlign w:val="bottom"/>
            <w:hideMark/>
          </w:tcPr>
          <w:p w14:paraId="169A10FA" w14:textId="77777777" w:rsidR="005A2F54" w:rsidRPr="000C4180" w:rsidRDefault="005A2F54" w:rsidP="00712BCD">
            <w:pPr>
              <w:jc w:val="right"/>
              <w:rPr>
                <w:color w:val="000000"/>
                <w:sz w:val="20"/>
                <w:szCs w:val="20"/>
              </w:rPr>
            </w:pPr>
            <w:r w:rsidRPr="000C4180">
              <w:rPr>
                <w:color w:val="000000"/>
                <w:sz w:val="20"/>
                <w:szCs w:val="20"/>
              </w:rPr>
              <w:t>0</w:t>
            </w:r>
          </w:p>
        </w:tc>
        <w:tc>
          <w:tcPr>
            <w:tcW w:w="1170" w:type="dxa"/>
            <w:noWrap/>
            <w:vAlign w:val="bottom"/>
          </w:tcPr>
          <w:p w14:paraId="2F89F26E" w14:textId="77777777" w:rsidR="005A2F54" w:rsidRPr="000C4180" w:rsidRDefault="005A2F54" w:rsidP="00712BCD">
            <w:pPr>
              <w:jc w:val="right"/>
              <w:rPr>
                <w:color w:val="000000"/>
                <w:sz w:val="20"/>
                <w:szCs w:val="20"/>
              </w:rPr>
            </w:pPr>
            <w:r w:rsidRPr="000C4180">
              <w:rPr>
                <w:color w:val="000000"/>
                <w:sz w:val="20"/>
                <w:szCs w:val="20"/>
              </w:rPr>
              <w:t>10000</w:t>
            </w:r>
          </w:p>
        </w:tc>
        <w:tc>
          <w:tcPr>
            <w:tcW w:w="990" w:type="dxa"/>
            <w:noWrap/>
            <w:vAlign w:val="bottom"/>
          </w:tcPr>
          <w:p w14:paraId="5A2634DC" w14:textId="77777777" w:rsidR="005A2F54" w:rsidRPr="000C4180" w:rsidRDefault="005A2F54" w:rsidP="00712BCD">
            <w:pPr>
              <w:jc w:val="right"/>
              <w:rPr>
                <w:color w:val="000000"/>
                <w:sz w:val="20"/>
                <w:szCs w:val="20"/>
              </w:rPr>
            </w:pPr>
            <w:r w:rsidRPr="000C4180">
              <w:rPr>
                <w:color w:val="000000"/>
                <w:sz w:val="20"/>
                <w:szCs w:val="20"/>
              </w:rPr>
              <w:t>-10000</w:t>
            </w:r>
          </w:p>
        </w:tc>
        <w:tc>
          <w:tcPr>
            <w:tcW w:w="1080" w:type="dxa"/>
            <w:noWrap/>
            <w:vAlign w:val="bottom"/>
            <w:hideMark/>
          </w:tcPr>
          <w:p w14:paraId="06C6C008" w14:textId="77777777" w:rsidR="005A2F54" w:rsidRPr="000C4180" w:rsidRDefault="005A2F54" w:rsidP="00712BCD">
            <w:pPr>
              <w:jc w:val="right"/>
              <w:rPr>
                <w:color w:val="000000"/>
                <w:sz w:val="20"/>
                <w:szCs w:val="20"/>
              </w:rPr>
            </w:pPr>
            <w:r w:rsidRPr="000C4180">
              <w:rPr>
                <w:color w:val="000000"/>
                <w:sz w:val="20"/>
                <w:szCs w:val="20"/>
              </w:rPr>
              <w:t>0</w:t>
            </w:r>
          </w:p>
        </w:tc>
        <w:tc>
          <w:tcPr>
            <w:tcW w:w="1620" w:type="dxa"/>
            <w:noWrap/>
            <w:vAlign w:val="bottom"/>
            <w:hideMark/>
          </w:tcPr>
          <w:p w14:paraId="11C199CC" w14:textId="77777777" w:rsidR="005A2F54" w:rsidRPr="000C4180" w:rsidRDefault="005A2F54" w:rsidP="00712BCD">
            <w:pPr>
              <w:jc w:val="right"/>
              <w:rPr>
                <w:color w:val="000000"/>
                <w:sz w:val="20"/>
                <w:szCs w:val="20"/>
              </w:rPr>
            </w:pPr>
            <w:r w:rsidRPr="000C4180">
              <w:rPr>
                <w:color w:val="000000"/>
                <w:sz w:val="20"/>
                <w:szCs w:val="20"/>
              </w:rPr>
              <w:t>0</w:t>
            </w:r>
          </w:p>
        </w:tc>
      </w:tr>
      <w:tr w:rsidR="005A2F54" w:rsidRPr="000C4180" w14:paraId="7C35138C" w14:textId="77777777" w:rsidTr="007905E7">
        <w:trPr>
          <w:trHeight w:val="201"/>
          <w:jc w:val="center"/>
        </w:trPr>
        <w:tc>
          <w:tcPr>
            <w:tcW w:w="2245" w:type="dxa"/>
            <w:noWrap/>
            <w:vAlign w:val="bottom"/>
            <w:hideMark/>
          </w:tcPr>
          <w:p w14:paraId="6D9F0C2F" w14:textId="77777777" w:rsidR="005A2F54" w:rsidRPr="000C4180" w:rsidRDefault="005A2F54" w:rsidP="00712BCD">
            <w:pPr>
              <w:rPr>
                <w:color w:val="000000"/>
                <w:sz w:val="20"/>
                <w:szCs w:val="20"/>
              </w:rPr>
            </w:pPr>
            <w:r w:rsidRPr="000C4180">
              <w:rPr>
                <w:color w:val="000000"/>
                <w:sz w:val="20"/>
                <w:szCs w:val="20"/>
              </w:rPr>
              <w:t>IRR (2)</w:t>
            </w:r>
          </w:p>
        </w:tc>
        <w:tc>
          <w:tcPr>
            <w:tcW w:w="900" w:type="dxa"/>
            <w:noWrap/>
            <w:vAlign w:val="bottom"/>
            <w:hideMark/>
          </w:tcPr>
          <w:p w14:paraId="09A36974" w14:textId="77777777" w:rsidR="005A2F54" w:rsidRPr="000C4180" w:rsidRDefault="005A2F54" w:rsidP="00712BCD">
            <w:pPr>
              <w:jc w:val="right"/>
              <w:rPr>
                <w:color w:val="000000"/>
                <w:sz w:val="20"/>
                <w:szCs w:val="20"/>
              </w:rPr>
            </w:pPr>
            <w:r w:rsidRPr="000C4180">
              <w:rPr>
                <w:color w:val="000000"/>
                <w:sz w:val="20"/>
                <w:szCs w:val="20"/>
              </w:rPr>
              <w:t>100%</w:t>
            </w:r>
          </w:p>
        </w:tc>
        <w:tc>
          <w:tcPr>
            <w:tcW w:w="990" w:type="dxa"/>
            <w:noWrap/>
            <w:vAlign w:val="bottom"/>
            <w:hideMark/>
          </w:tcPr>
          <w:p w14:paraId="5D113CB7" w14:textId="77777777" w:rsidR="005A2F54" w:rsidRPr="000C4180" w:rsidRDefault="005A2F54" w:rsidP="00712BCD">
            <w:pPr>
              <w:jc w:val="right"/>
              <w:rPr>
                <w:color w:val="000000"/>
                <w:sz w:val="20"/>
                <w:szCs w:val="20"/>
              </w:rPr>
            </w:pPr>
            <w:r w:rsidRPr="000C4180">
              <w:rPr>
                <w:color w:val="000000"/>
                <w:sz w:val="20"/>
                <w:szCs w:val="20"/>
              </w:rPr>
              <w:t>0</w:t>
            </w:r>
          </w:p>
        </w:tc>
        <w:tc>
          <w:tcPr>
            <w:tcW w:w="1170" w:type="dxa"/>
            <w:noWrap/>
            <w:vAlign w:val="bottom"/>
          </w:tcPr>
          <w:p w14:paraId="79530D72" w14:textId="77777777" w:rsidR="005A2F54" w:rsidRPr="000C4180" w:rsidRDefault="005A2F54" w:rsidP="00712BCD">
            <w:pPr>
              <w:jc w:val="right"/>
              <w:rPr>
                <w:color w:val="000000"/>
                <w:sz w:val="20"/>
                <w:szCs w:val="20"/>
              </w:rPr>
            </w:pPr>
            <w:r w:rsidRPr="000C4180">
              <w:rPr>
                <w:color w:val="000000"/>
                <w:sz w:val="20"/>
                <w:szCs w:val="20"/>
              </w:rPr>
              <w:t>10000</w:t>
            </w:r>
          </w:p>
        </w:tc>
        <w:tc>
          <w:tcPr>
            <w:tcW w:w="990" w:type="dxa"/>
            <w:noWrap/>
            <w:vAlign w:val="bottom"/>
          </w:tcPr>
          <w:p w14:paraId="0237CDDF" w14:textId="77777777" w:rsidR="005A2F54" w:rsidRPr="000C4180" w:rsidRDefault="005A2F54" w:rsidP="00712BCD">
            <w:pPr>
              <w:jc w:val="right"/>
              <w:rPr>
                <w:color w:val="000000"/>
                <w:sz w:val="20"/>
                <w:szCs w:val="20"/>
              </w:rPr>
            </w:pPr>
            <w:r w:rsidRPr="000C4180">
              <w:rPr>
                <w:color w:val="000000"/>
                <w:sz w:val="20"/>
                <w:szCs w:val="20"/>
              </w:rPr>
              <w:t>-10000</w:t>
            </w:r>
          </w:p>
        </w:tc>
        <w:tc>
          <w:tcPr>
            <w:tcW w:w="1080" w:type="dxa"/>
            <w:noWrap/>
            <w:vAlign w:val="bottom"/>
            <w:hideMark/>
          </w:tcPr>
          <w:p w14:paraId="31E19671" w14:textId="77777777" w:rsidR="005A2F54" w:rsidRPr="000C4180" w:rsidRDefault="005A2F54" w:rsidP="00712BCD">
            <w:pPr>
              <w:jc w:val="right"/>
              <w:rPr>
                <w:color w:val="000000"/>
                <w:sz w:val="20"/>
                <w:szCs w:val="20"/>
              </w:rPr>
            </w:pPr>
            <w:r w:rsidRPr="000C4180">
              <w:rPr>
                <w:color w:val="000000"/>
                <w:sz w:val="20"/>
                <w:szCs w:val="20"/>
              </w:rPr>
              <w:t>0</w:t>
            </w:r>
          </w:p>
        </w:tc>
        <w:tc>
          <w:tcPr>
            <w:tcW w:w="1620" w:type="dxa"/>
            <w:noWrap/>
            <w:vAlign w:val="bottom"/>
            <w:hideMark/>
          </w:tcPr>
          <w:p w14:paraId="365529E5" w14:textId="77777777" w:rsidR="005A2F54" w:rsidRPr="000C4180" w:rsidRDefault="005A2F54" w:rsidP="00712BCD">
            <w:pPr>
              <w:jc w:val="right"/>
              <w:rPr>
                <w:color w:val="000000"/>
                <w:sz w:val="20"/>
                <w:szCs w:val="20"/>
              </w:rPr>
            </w:pPr>
            <w:r w:rsidRPr="000C4180">
              <w:rPr>
                <w:color w:val="000000"/>
                <w:sz w:val="20"/>
                <w:szCs w:val="20"/>
              </w:rPr>
              <w:t>0</w:t>
            </w:r>
          </w:p>
        </w:tc>
      </w:tr>
      <w:tr w:rsidR="005A2F54" w:rsidRPr="000C4180" w14:paraId="4FDB8A1B" w14:textId="77777777" w:rsidTr="007905E7">
        <w:trPr>
          <w:trHeight w:val="201"/>
          <w:jc w:val="center"/>
        </w:trPr>
        <w:tc>
          <w:tcPr>
            <w:tcW w:w="2245" w:type="dxa"/>
            <w:noWrap/>
            <w:vAlign w:val="bottom"/>
            <w:hideMark/>
          </w:tcPr>
          <w:p w14:paraId="1B3BEE81" w14:textId="77777777" w:rsidR="005A2F54" w:rsidRPr="000C4180" w:rsidRDefault="005A2F54" w:rsidP="00712BCD">
            <w:pPr>
              <w:rPr>
                <w:color w:val="000000"/>
                <w:sz w:val="20"/>
                <w:szCs w:val="20"/>
              </w:rPr>
            </w:pPr>
            <w:r w:rsidRPr="000C4180">
              <w:rPr>
                <w:color w:val="000000"/>
                <w:sz w:val="20"/>
                <w:szCs w:val="20"/>
              </w:rPr>
              <w:t>IRR (3)</w:t>
            </w:r>
          </w:p>
        </w:tc>
        <w:tc>
          <w:tcPr>
            <w:tcW w:w="900" w:type="dxa"/>
            <w:noWrap/>
            <w:vAlign w:val="bottom"/>
            <w:hideMark/>
          </w:tcPr>
          <w:p w14:paraId="65397C17" w14:textId="77777777" w:rsidR="005A2F54" w:rsidRPr="000C4180" w:rsidRDefault="005A2F54" w:rsidP="00712BCD">
            <w:pPr>
              <w:jc w:val="right"/>
              <w:rPr>
                <w:color w:val="000000"/>
                <w:sz w:val="20"/>
                <w:szCs w:val="20"/>
              </w:rPr>
            </w:pPr>
            <w:r w:rsidRPr="000C4180">
              <w:rPr>
                <w:color w:val="000000"/>
                <w:sz w:val="20"/>
                <w:szCs w:val="20"/>
              </w:rPr>
              <w:t>200%</w:t>
            </w:r>
          </w:p>
        </w:tc>
        <w:tc>
          <w:tcPr>
            <w:tcW w:w="990" w:type="dxa"/>
            <w:noWrap/>
            <w:vAlign w:val="bottom"/>
            <w:hideMark/>
          </w:tcPr>
          <w:p w14:paraId="695A6528" w14:textId="77777777" w:rsidR="005A2F54" w:rsidRPr="000C4180" w:rsidRDefault="005A2F54" w:rsidP="00712BCD">
            <w:pPr>
              <w:jc w:val="right"/>
              <w:rPr>
                <w:color w:val="000000"/>
                <w:sz w:val="20"/>
                <w:szCs w:val="20"/>
              </w:rPr>
            </w:pPr>
            <w:r w:rsidRPr="000C4180">
              <w:rPr>
                <w:color w:val="000000"/>
                <w:sz w:val="20"/>
                <w:szCs w:val="20"/>
              </w:rPr>
              <w:t>0</w:t>
            </w:r>
          </w:p>
        </w:tc>
        <w:tc>
          <w:tcPr>
            <w:tcW w:w="1170" w:type="dxa"/>
            <w:noWrap/>
            <w:vAlign w:val="bottom"/>
          </w:tcPr>
          <w:p w14:paraId="4BE79176" w14:textId="77777777" w:rsidR="005A2F54" w:rsidRPr="000C4180" w:rsidRDefault="005A2F54" w:rsidP="00712BCD">
            <w:pPr>
              <w:jc w:val="right"/>
              <w:rPr>
                <w:color w:val="000000"/>
                <w:sz w:val="20"/>
                <w:szCs w:val="20"/>
              </w:rPr>
            </w:pPr>
            <w:r w:rsidRPr="000C4180">
              <w:rPr>
                <w:color w:val="000000"/>
                <w:sz w:val="20"/>
                <w:szCs w:val="20"/>
              </w:rPr>
              <w:t>10000</w:t>
            </w:r>
          </w:p>
        </w:tc>
        <w:tc>
          <w:tcPr>
            <w:tcW w:w="990" w:type="dxa"/>
            <w:noWrap/>
            <w:vAlign w:val="bottom"/>
          </w:tcPr>
          <w:p w14:paraId="0DC44538" w14:textId="77777777" w:rsidR="005A2F54" w:rsidRPr="000C4180" w:rsidRDefault="005A2F54" w:rsidP="00712BCD">
            <w:pPr>
              <w:jc w:val="right"/>
              <w:rPr>
                <w:color w:val="000000"/>
                <w:sz w:val="20"/>
                <w:szCs w:val="20"/>
              </w:rPr>
            </w:pPr>
            <w:r w:rsidRPr="000C4180">
              <w:rPr>
                <w:color w:val="000000"/>
                <w:sz w:val="20"/>
                <w:szCs w:val="20"/>
              </w:rPr>
              <w:t>-10000</w:t>
            </w:r>
          </w:p>
        </w:tc>
        <w:tc>
          <w:tcPr>
            <w:tcW w:w="1080" w:type="dxa"/>
            <w:noWrap/>
            <w:vAlign w:val="bottom"/>
            <w:hideMark/>
          </w:tcPr>
          <w:p w14:paraId="3DA037A8" w14:textId="77777777" w:rsidR="005A2F54" w:rsidRPr="000C4180" w:rsidRDefault="005A2F54" w:rsidP="00712BCD">
            <w:pPr>
              <w:jc w:val="right"/>
              <w:rPr>
                <w:color w:val="000000"/>
                <w:sz w:val="20"/>
                <w:szCs w:val="20"/>
              </w:rPr>
            </w:pPr>
            <w:r w:rsidRPr="000C4180">
              <w:rPr>
                <w:color w:val="000000"/>
                <w:sz w:val="20"/>
                <w:szCs w:val="20"/>
              </w:rPr>
              <w:t>0</w:t>
            </w:r>
          </w:p>
        </w:tc>
        <w:tc>
          <w:tcPr>
            <w:tcW w:w="1620" w:type="dxa"/>
            <w:noWrap/>
            <w:vAlign w:val="bottom"/>
            <w:hideMark/>
          </w:tcPr>
          <w:p w14:paraId="4683F85B" w14:textId="77777777" w:rsidR="005A2F54" w:rsidRPr="000C4180" w:rsidRDefault="005A2F54" w:rsidP="00712BCD">
            <w:pPr>
              <w:jc w:val="right"/>
              <w:rPr>
                <w:color w:val="000000"/>
                <w:sz w:val="20"/>
                <w:szCs w:val="20"/>
              </w:rPr>
            </w:pPr>
            <w:r w:rsidRPr="000C4180">
              <w:rPr>
                <w:color w:val="000000"/>
                <w:sz w:val="20"/>
                <w:szCs w:val="20"/>
              </w:rPr>
              <w:t>0</w:t>
            </w:r>
          </w:p>
        </w:tc>
      </w:tr>
      <w:tr w:rsidR="003974E0" w:rsidRPr="000C4180" w14:paraId="567D160E" w14:textId="77777777" w:rsidTr="007905E7">
        <w:trPr>
          <w:trHeight w:val="201"/>
          <w:jc w:val="center"/>
        </w:trPr>
        <w:tc>
          <w:tcPr>
            <w:tcW w:w="2245" w:type="dxa"/>
            <w:noWrap/>
            <w:vAlign w:val="bottom"/>
          </w:tcPr>
          <w:p w14:paraId="344E1FDA" w14:textId="77777777" w:rsidR="003974E0" w:rsidRPr="000C4180" w:rsidRDefault="003974E0" w:rsidP="003974E0">
            <w:pPr>
              <w:rPr>
                <w:color w:val="000000"/>
                <w:sz w:val="20"/>
                <w:szCs w:val="20"/>
              </w:rPr>
            </w:pPr>
            <w:r w:rsidRPr="000C4180">
              <w:rPr>
                <w:color w:val="000000"/>
                <w:sz w:val="20"/>
                <w:szCs w:val="20"/>
              </w:rPr>
              <w:t>NPV at 10%</w:t>
            </w:r>
          </w:p>
        </w:tc>
        <w:tc>
          <w:tcPr>
            <w:tcW w:w="900" w:type="dxa"/>
            <w:noWrap/>
            <w:vAlign w:val="bottom"/>
          </w:tcPr>
          <w:p w14:paraId="3428B335" w14:textId="77777777" w:rsidR="003974E0" w:rsidRPr="000C4180" w:rsidRDefault="003974E0" w:rsidP="003974E0">
            <w:pPr>
              <w:jc w:val="right"/>
              <w:rPr>
                <w:color w:val="000000"/>
                <w:sz w:val="20"/>
                <w:szCs w:val="20"/>
              </w:rPr>
            </w:pPr>
            <w:r w:rsidRPr="000C4180">
              <w:rPr>
                <w:color w:val="000000"/>
                <w:sz w:val="20"/>
                <w:szCs w:val="20"/>
              </w:rPr>
              <w:t>10%</w:t>
            </w:r>
          </w:p>
        </w:tc>
        <w:tc>
          <w:tcPr>
            <w:tcW w:w="990" w:type="dxa"/>
            <w:noWrap/>
            <w:vAlign w:val="bottom"/>
          </w:tcPr>
          <w:p w14:paraId="186FB6E6" w14:textId="77777777" w:rsidR="003974E0" w:rsidRPr="000C4180" w:rsidRDefault="003974E0" w:rsidP="003974E0">
            <w:pPr>
              <w:jc w:val="right"/>
              <w:rPr>
                <w:color w:val="000000"/>
                <w:sz w:val="20"/>
                <w:szCs w:val="20"/>
              </w:rPr>
            </w:pPr>
            <w:r w:rsidRPr="000C4180">
              <w:rPr>
                <w:color w:val="000000"/>
                <w:sz w:val="20"/>
                <w:szCs w:val="20"/>
              </w:rPr>
              <w:t>-1284.7</w:t>
            </w:r>
          </w:p>
        </w:tc>
        <w:tc>
          <w:tcPr>
            <w:tcW w:w="1170" w:type="dxa"/>
            <w:noWrap/>
            <w:vAlign w:val="bottom"/>
          </w:tcPr>
          <w:p w14:paraId="10C84357" w14:textId="77777777" w:rsidR="003974E0" w:rsidRPr="000C4180" w:rsidRDefault="003974E0" w:rsidP="003974E0">
            <w:pPr>
              <w:jc w:val="right"/>
              <w:rPr>
                <w:sz w:val="20"/>
                <w:szCs w:val="20"/>
              </w:rPr>
            </w:pPr>
            <w:r w:rsidRPr="000C4180">
              <w:rPr>
                <w:sz w:val="20"/>
                <w:szCs w:val="20"/>
              </w:rPr>
              <w:t>10000</w:t>
            </w:r>
          </w:p>
        </w:tc>
        <w:tc>
          <w:tcPr>
            <w:tcW w:w="990" w:type="dxa"/>
            <w:noWrap/>
            <w:vAlign w:val="bottom"/>
          </w:tcPr>
          <w:p w14:paraId="6DCC1368"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tcPr>
          <w:p w14:paraId="49115C77" w14:textId="77777777" w:rsidR="003974E0" w:rsidRPr="000C4180" w:rsidRDefault="003974E0" w:rsidP="003974E0">
            <w:pPr>
              <w:jc w:val="right"/>
              <w:rPr>
                <w:color w:val="000000"/>
                <w:sz w:val="20"/>
                <w:szCs w:val="20"/>
              </w:rPr>
            </w:pPr>
            <w:r w:rsidRPr="000C4180">
              <w:rPr>
                <w:color w:val="000000"/>
                <w:sz w:val="20"/>
                <w:szCs w:val="20"/>
              </w:rPr>
              <w:t>-1710.0</w:t>
            </w:r>
          </w:p>
        </w:tc>
        <w:tc>
          <w:tcPr>
            <w:tcW w:w="1620" w:type="dxa"/>
            <w:noWrap/>
            <w:vAlign w:val="bottom"/>
          </w:tcPr>
          <w:p w14:paraId="3A15196C" w14:textId="77777777" w:rsidR="003974E0" w:rsidRPr="000C4180" w:rsidRDefault="003974E0" w:rsidP="003974E0">
            <w:pPr>
              <w:jc w:val="right"/>
              <w:rPr>
                <w:sz w:val="20"/>
                <w:szCs w:val="20"/>
              </w:rPr>
            </w:pPr>
            <w:r w:rsidRPr="000C4180">
              <w:rPr>
                <w:sz w:val="20"/>
                <w:szCs w:val="20"/>
              </w:rPr>
              <w:t>-1710.0</w:t>
            </w:r>
          </w:p>
        </w:tc>
      </w:tr>
      <w:tr w:rsidR="003974E0" w:rsidRPr="000C4180" w14:paraId="76E1AA01" w14:textId="77777777" w:rsidTr="007905E7">
        <w:trPr>
          <w:trHeight w:val="201"/>
          <w:jc w:val="center"/>
        </w:trPr>
        <w:tc>
          <w:tcPr>
            <w:tcW w:w="2245" w:type="dxa"/>
            <w:noWrap/>
            <w:vAlign w:val="bottom"/>
            <w:hideMark/>
          </w:tcPr>
          <w:p w14:paraId="17C3FE6A" w14:textId="77777777" w:rsidR="003974E0" w:rsidRPr="000C4180" w:rsidRDefault="003974E0" w:rsidP="003974E0">
            <w:pPr>
              <w:rPr>
                <w:color w:val="000000"/>
                <w:sz w:val="20"/>
                <w:szCs w:val="20"/>
              </w:rPr>
            </w:pPr>
            <w:r w:rsidRPr="000C4180">
              <w:rPr>
                <w:color w:val="000000"/>
                <w:sz w:val="20"/>
                <w:szCs w:val="20"/>
              </w:rPr>
              <w:t>MIRR (10,10)</w:t>
            </w:r>
          </w:p>
        </w:tc>
        <w:tc>
          <w:tcPr>
            <w:tcW w:w="900" w:type="dxa"/>
            <w:noWrap/>
            <w:vAlign w:val="bottom"/>
            <w:hideMark/>
          </w:tcPr>
          <w:p w14:paraId="5503EE7D" w14:textId="77777777" w:rsidR="003974E0" w:rsidRPr="000C4180" w:rsidRDefault="003974E0" w:rsidP="003974E0">
            <w:pPr>
              <w:jc w:val="right"/>
              <w:rPr>
                <w:color w:val="000000"/>
                <w:sz w:val="20"/>
                <w:szCs w:val="20"/>
              </w:rPr>
            </w:pPr>
            <w:r w:rsidRPr="000C4180">
              <w:rPr>
                <w:color w:val="000000"/>
                <w:sz w:val="20"/>
                <w:szCs w:val="20"/>
              </w:rPr>
              <w:t>9.5%</w:t>
            </w:r>
          </w:p>
        </w:tc>
        <w:tc>
          <w:tcPr>
            <w:tcW w:w="990" w:type="dxa"/>
            <w:noWrap/>
            <w:vAlign w:val="bottom"/>
            <w:hideMark/>
          </w:tcPr>
          <w:p w14:paraId="12E12447" w14:textId="77777777" w:rsidR="003974E0" w:rsidRPr="000C4180" w:rsidRDefault="003974E0" w:rsidP="003974E0">
            <w:pPr>
              <w:jc w:val="right"/>
              <w:rPr>
                <w:sz w:val="20"/>
                <w:szCs w:val="20"/>
              </w:rPr>
            </w:pPr>
            <w:r w:rsidRPr="000C4180">
              <w:rPr>
                <w:sz w:val="20"/>
                <w:szCs w:val="20"/>
              </w:rPr>
              <w:t>-1250</w:t>
            </w:r>
          </w:p>
        </w:tc>
        <w:tc>
          <w:tcPr>
            <w:tcW w:w="1170" w:type="dxa"/>
            <w:noWrap/>
            <w:vAlign w:val="bottom"/>
          </w:tcPr>
          <w:p w14:paraId="62397CBA" w14:textId="77777777" w:rsidR="003974E0" w:rsidRPr="000C4180" w:rsidRDefault="003974E0" w:rsidP="003974E0">
            <w:pPr>
              <w:jc w:val="right"/>
              <w:rPr>
                <w:color w:val="000000"/>
                <w:sz w:val="20"/>
                <w:szCs w:val="20"/>
              </w:rPr>
            </w:pPr>
            <w:r w:rsidRPr="000C4180">
              <w:rPr>
                <w:color w:val="000000"/>
                <w:sz w:val="20"/>
                <w:szCs w:val="20"/>
              </w:rPr>
              <w:t>10000</w:t>
            </w:r>
          </w:p>
        </w:tc>
        <w:tc>
          <w:tcPr>
            <w:tcW w:w="990" w:type="dxa"/>
            <w:noWrap/>
            <w:vAlign w:val="bottom"/>
          </w:tcPr>
          <w:p w14:paraId="5272C99B"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hideMark/>
          </w:tcPr>
          <w:p w14:paraId="18AD1794" w14:textId="77777777" w:rsidR="003974E0" w:rsidRPr="000C4180" w:rsidRDefault="003974E0" w:rsidP="003974E0">
            <w:pPr>
              <w:jc w:val="right"/>
              <w:rPr>
                <w:color w:val="000000"/>
                <w:sz w:val="20"/>
                <w:szCs w:val="20"/>
              </w:rPr>
            </w:pPr>
            <w:r w:rsidRPr="000C4180">
              <w:rPr>
                <w:color w:val="000000"/>
                <w:sz w:val="20"/>
                <w:szCs w:val="20"/>
              </w:rPr>
              <w:t>-1642</w:t>
            </w:r>
          </w:p>
        </w:tc>
        <w:tc>
          <w:tcPr>
            <w:tcW w:w="1620" w:type="dxa"/>
            <w:noWrap/>
            <w:vAlign w:val="bottom"/>
            <w:hideMark/>
          </w:tcPr>
          <w:p w14:paraId="436E3B31" w14:textId="77777777" w:rsidR="003974E0" w:rsidRPr="000C4180" w:rsidRDefault="003974E0" w:rsidP="003974E0">
            <w:pPr>
              <w:jc w:val="right"/>
              <w:rPr>
                <w:color w:val="000000"/>
                <w:sz w:val="20"/>
                <w:szCs w:val="20"/>
              </w:rPr>
            </w:pPr>
            <w:r w:rsidRPr="000C4180">
              <w:rPr>
                <w:color w:val="000000"/>
                <w:sz w:val="20"/>
                <w:szCs w:val="20"/>
              </w:rPr>
              <w:t>-1642</w:t>
            </w:r>
          </w:p>
        </w:tc>
      </w:tr>
      <w:tr w:rsidR="003974E0" w:rsidRPr="000C4180" w14:paraId="26F02073" w14:textId="77777777" w:rsidTr="007905E7">
        <w:trPr>
          <w:trHeight w:val="201"/>
          <w:jc w:val="center"/>
        </w:trPr>
        <w:tc>
          <w:tcPr>
            <w:tcW w:w="2245" w:type="dxa"/>
            <w:noWrap/>
            <w:vAlign w:val="bottom"/>
            <w:hideMark/>
          </w:tcPr>
          <w:p w14:paraId="4A43D515" w14:textId="77777777" w:rsidR="003974E0" w:rsidRPr="000C4180" w:rsidRDefault="003974E0" w:rsidP="003974E0">
            <w:pPr>
              <w:rPr>
                <w:color w:val="000000"/>
                <w:sz w:val="20"/>
                <w:szCs w:val="20"/>
              </w:rPr>
            </w:pPr>
            <w:r w:rsidRPr="000C4180">
              <w:rPr>
                <w:color w:val="000000"/>
                <w:sz w:val="20"/>
                <w:szCs w:val="20"/>
              </w:rPr>
              <w:t>MIRR (10,0)</w:t>
            </w:r>
          </w:p>
        </w:tc>
        <w:tc>
          <w:tcPr>
            <w:tcW w:w="900" w:type="dxa"/>
            <w:noWrap/>
            <w:vAlign w:val="bottom"/>
            <w:hideMark/>
          </w:tcPr>
          <w:p w14:paraId="2752760D" w14:textId="77777777" w:rsidR="003974E0" w:rsidRPr="000C4180" w:rsidRDefault="003974E0" w:rsidP="003974E0">
            <w:pPr>
              <w:jc w:val="right"/>
              <w:rPr>
                <w:color w:val="000000"/>
                <w:sz w:val="20"/>
                <w:szCs w:val="20"/>
              </w:rPr>
            </w:pPr>
            <w:r w:rsidRPr="000C4180">
              <w:rPr>
                <w:color w:val="000000"/>
                <w:sz w:val="20"/>
                <w:szCs w:val="20"/>
              </w:rPr>
              <w:t>5.9%</w:t>
            </w:r>
          </w:p>
        </w:tc>
        <w:tc>
          <w:tcPr>
            <w:tcW w:w="990" w:type="dxa"/>
            <w:noWrap/>
            <w:vAlign w:val="bottom"/>
            <w:hideMark/>
          </w:tcPr>
          <w:p w14:paraId="21878806" w14:textId="77777777" w:rsidR="003974E0" w:rsidRPr="000C4180" w:rsidRDefault="003974E0" w:rsidP="003974E0">
            <w:pPr>
              <w:jc w:val="right"/>
              <w:rPr>
                <w:sz w:val="20"/>
                <w:szCs w:val="20"/>
              </w:rPr>
            </w:pPr>
            <w:r w:rsidRPr="000C4180">
              <w:rPr>
                <w:sz w:val="20"/>
                <w:szCs w:val="20"/>
              </w:rPr>
              <w:t>-913</w:t>
            </w:r>
          </w:p>
        </w:tc>
        <w:tc>
          <w:tcPr>
            <w:tcW w:w="1170" w:type="dxa"/>
            <w:noWrap/>
            <w:vAlign w:val="bottom"/>
          </w:tcPr>
          <w:p w14:paraId="677A039A" w14:textId="77777777" w:rsidR="003974E0" w:rsidRPr="000C4180" w:rsidRDefault="003974E0" w:rsidP="003974E0">
            <w:pPr>
              <w:jc w:val="right"/>
              <w:rPr>
                <w:color w:val="000000"/>
                <w:sz w:val="20"/>
                <w:szCs w:val="20"/>
              </w:rPr>
            </w:pPr>
            <w:r w:rsidRPr="000C4180">
              <w:rPr>
                <w:color w:val="000000"/>
                <w:sz w:val="20"/>
                <w:szCs w:val="20"/>
              </w:rPr>
              <w:t>10000</w:t>
            </w:r>
          </w:p>
        </w:tc>
        <w:tc>
          <w:tcPr>
            <w:tcW w:w="990" w:type="dxa"/>
            <w:noWrap/>
            <w:vAlign w:val="bottom"/>
          </w:tcPr>
          <w:p w14:paraId="4EE91857"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hideMark/>
          </w:tcPr>
          <w:p w14:paraId="5F57A2F0" w14:textId="77777777" w:rsidR="003974E0" w:rsidRPr="000C4180" w:rsidRDefault="003974E0" w:rsidP="003974E0">
            <w:pPr>
              <w:jc w:val="right"/>
              <w:rPr>
                <w:color w:val="000000"/>
                <w:sz w:val="20"/>
                <w:szCs w:val="20"/>
              </w:rPr>
            </w:pPr>
            <w:r w:rsidRPr="000C4180">
              <w:rPr>
                <w:color w:val="000000"/>
                <w:sz w:val="20"/>
                <w:szCs w:val="20"/>
              </w:rPr>
              <w:t>-1085</w:t>
            </w:r>
          </w:p>
        </w:tc>
        <w:tc>
          <w:tcPr>
            <w:tcW w:w="1620" w:type="dxa"/>
            <w:noWrap/>
            <w:vAlign w:val="bottom"/>
            <w:hideMark/>
          </w:tcPr>
          <w:p w14:paraId="4012A927" w14:textId="77777777" w:rsidR="003974E0" w:rsidRPr="000C4180" w:rsidRDefault="003974E0" w:rsidP="003974E0">
            <w:pPr>
              <w:jc w:val="right"/>
              <w:rPr>
                <w:color w:val="000000"/>
                <w:sz w:val="20"/>
                <w:szCs w:val="20"/>
              </w:rPr>
            </w:pPr>
            <w:r w:rsidRPr="000C4180">
              <w:rPr>
                <w:color w:val="000000"/>
                <w:sz w:val="20"/>
                <w:szCs w:val="20"/>
              </w:rPr>
              <w:t>-1085</w:t>
            </w:r>
          </w:p>
        </w:tc>
      </w:tr>
      <w:tr w:rsidR="003974E0" w:rsidRPr="000C4180" w14:paraId="39DE1E36" w14:textId="77777777" w:rsidTr="007905E7">
        <w:trPr>
          <w:trHeight w:val="201"/>
          <w:jc w:val="center"/>
        </w:trPr>
        <w:tc>
          <w:tcPr>
            <w:tcW w:w="2245" w:type="dxa"/>
            <w:noWrap/>
            <w:vAlign w:val="bottom"/>
          </w:tcPr>
          <w:p w14:paraId="6519A91A" w14:textId="77777777" w:rsidR="003974E0" w:rsidRPr="000C4180" w:rsidRDefault="003974E0" w:rsidP="003974E0">
            <w:pPr>
              <w:rPr>
                <w:color w:val="000000"/>
                <w:sz w:val="20"/>
                <w:szCs w:val="20"/>
              </w:rPr>
            </w:pPr>
            <w:r w:rsidRPr="000C4180">
              <w:rPr>
                <w:color w:val="000000"/>
                <w:sz w:val="20"/>
                <w:szCs w:val="20"/>
              </w:rPr>
              <w:t>MIRR (10,5)</w:t>
            </w:r>
          </w:p>
        </w:tc>
        <w:tc>
          <w:tcPr>
            <w:tcW w:w="900" w:type="dxa"/>
            <w:noWrap/>
            <w:vAlign w:val="bottom"/>
          </w:tcPr>
          <w:p w14:paraId="247935AB" w14:textId="77777777" w:rsidR="003974E0" w:rsidRPr="000C4180" w:rsidRDefault="003974E0" w:rsidP="003974E0">
            <w:pPr>
              <w:jc w:val="right"/>
              <w:rPr>
                <w:color w:val="000000"/>
                <w:sz w:val="20"/>
                <w:szCs w:val="20"/>
              </w:rPr>
            </w:pPr>
            <w:r w:rsidRPr="000C4180">
              <w:rPr>
                <w:color w:val="000000"/>
                <w:sz w:val="20"/>
                <w:szCs w:val="20"/>
              </w:rPr>
              <w:t>7.7%</w:t>
            </w:r>
          </w:p>
        </w:tc>
        <w:tc>
          <w:tcPr>
            <w:tcW w:w="990" w:type="dxa"/>
            <w:noWrap/>
            <w:vAlign w:val="bottom"/>
          </w:tcPr>
          <w:p w14:paraId="590CB830" w14:textId="77777777" w:rsidR="003974E0" w:rsidRPr="000C4180" w:rsidRDefault="003974E0" w:rsidP="003974E0">
            <w:pPr>
              <w:jc w:val="right"/>
              <w:rPr>
                <w:color w:val="000000"/>
                <w:sz w:val="20"/>
                <w:szCs w:val="20"/>
              </w:rPr>
            </w:pPr>
            <w:r w:rsidRPr="000C4180">
              <w:rPr>
                <w:color w:val="000000"/>
                <w:sz w:val="20"/>
                <w:szCs w:val="20"/>
              </w:rPr>
              <w:t>-1096.4</w:t>
            </w:r>
          </w:p>
        </w:tc>
        <w:tc>
          <w:tcPr>
            <w:tcW w:w="1170" w:type="dxa"/>
            <w:vAlign w:val="bottom"/>
          </w:tcPr>
          <w:p w14:paraId="5802E5D3" w14:textId="77777777" w:rsidR="003974E0" w:rsidRPr="000C4180" w:rsidRDefault="003974E0" w:rsidP="003974E0">
            <w:pPr>
              <w:jc w:val="right"/>
              <w:rPr>
                <w:sz w:val="20"/>
                <w:szCs w:val="20"/>
              </w:rPr>
            </w:pPr>
            <w:r w:rsidRPr="000C4180">
              <w:rPr>
                <w:sz w:val="20"/>
                <w:szCs w:val="20"/>
              </w:rPr>
              <w:t>10000</w:t>
            </w:r>
          </w:p>
        </w:tc>
        <w:tc>
          <w:tcPr>
            <w:tcW w:w="990" w:type="dxa"/>
            <w:noWrap/>
            <w:vAlign w:val="bottom"/>
          </w:tcPr>
          <w:p w14:paraId="0237A812"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tcPr>
          <w:p w14:paraId="2C377AE7" w14:textId="77777777" w:rsidR="003974E0" w:rsidRPr="000C4180" w:rsidRDefault="003974E0" w:rsidP="003974E0">
            <w:pPr>
              <w:jc w:val="right"/>
              <w:rPr>
                <w:color w:val="000000"/>
                <w:sz w:val="20"/>
                <w:szCs w:val="20"/>
              </w:rPr>
            </w:pPr>
            <w:r w:rsidRPr="000C4180">
              <w:rPr>
                <w:color w:val="000000"/>
                <w:sz w:val="20"/>
                <w:szCs w:val="20"/>
              </w:rPr>
              <w:t>-1370.7</w:t>
            </w:r>
          </w:p>
        </w:tc>
        <w:tc>
          <w:tcPr>
            <w:tcW w:w="1620" w:type="dxa"/>
            <w:noWrap/>
            <w:vAlign w:val="bottom"/>
          </w:tcPr>
          <w:p w14:paraId="6772CAE2" w14:textId="77777777" w:rsidR="003974E0" w:rsidRPr="000C4180" w:rsidRDefault="003974E0" w:rsidP="003974E0">
            <w:pPr>
              <w:jc w:val="right"/>
              <w:rPr>
                <w:sz w:val="20"/>
                <w:szCs w:val="20"/>
              </w:rPr>
            </w:pPr>
            <w:r w:rsidRPr="000C4180">
              <w:rPr>
                <w:sz w:val="20"/>
                <w:szCs w:val="20"/>
              </w:rPr>
              <w:t>-1370.7</w:t>
            </w:r>
          </w:p>
        </w:tc>
      </w:tr>
      <w:tr w:rsidR="003974E0" w:rsidRPr="000C4180" w14:paraId="591A5735" w14:textId="77777777" w:rsidTr="007905E7">
        <w:trPr>
          <w:trHeight w:val="201"/>
          <w:jc w:val="center"/>
        </w:trPr>
        <w:tc>
          <w:tcPr>
            <w:tcW w:w="2245" w:type="dxa"/>
            <w:noWrap/>
            <w:vAlign w:val="bottom"/>
          </w:tcPr>
          <w:p w14:paraId="1939DCDB" w14:textId="77777777" w:rsidR="003974E0" w:rsidRPr="000C4180" w:rsidRDefault="003974E0" w:rsidP="003974E0">
            <w:pPr>
              <w:rPr>
                <w:color w:val="000000"/>
                <w:sz w:val="20"/>
                <w:szCs w:val="20"/>
              </w:rPr>
            </w:pPr>
            <w:r w:rsidRPr="000C4180">
              <w:rPr>
                <w:color w:val="000000"/>
                <w:sz w:val="20"/>
                <w:szCs w:val="20"/>
              </w:rPr>
              <w:t>MIRR (8,3)</w:t>
            </w:r>
          </w:p>
        </w:tc>
        <w:tc>
          <w:tcPr>
            <w:tcW w:w="900" w:type="dxa"/>
            <w:noWrap/>
            <w:vAlign w:val="bottom"/>
          </w:tcPr>
          <w:p w14:paraId="5BDA6BDD" w14:textId="77777777" w:rsidR="003974E0" w:rsidRPr="000C4180" w:rsidRDefault="003974E0" w:rsidP="003974E0">
            <w:pPr>
              <w:jc w:val="right"/>
              <w:rPr>
                <w:color w:val="000000"/>
                <w:sz w:val="20"/>
                <w:szCs w:val="20"/>
              </w:rPr>
            </w:pPr>
            <w:r w:rsidRPr="000C4180">
              <w:rPr>
                <w:color w:val="000000"/>
                <w:sz w:val="20"/>
                <w:szCs w:val="20"/>
              </w:rPr>
              <w:t>5.8%</w:t>
            </w:r>
          </w:p>
        </w:tc>
        <w:tc>
          <w:tcPr>
            <w:tcW w:w="990" w:type="dxa"/>
            <w:noWrap/>
            <w:vAlign w:val="bottom"/>
          </w:tcPr>
          <w:p w14:paraId="6568E0DD" w14:textId="77777777" w:rsidR="003974E0" w:rsidRPr="000C4180" w:rsidRDefault="003974E0" w:rsidP="003974E0">
            <w:pPr>
              <w:jc w:val="right"/>
              <w:rPr>
                <w:color w:val="000000"/>
                <w:sz w:val="20"/>
                <w:szCs w:val="20"/>
              </w:rPr>
            </w:pPr>
            <w:r w:rsidRPr="000C4180">
              <w:rPr>
                <w:color w:val="000000"/>
                <w:sz w:val="20"/>
                <w:szCs w:val="20"/>
              </w:rPr>
              <w:t>-915.4</w:t>
            </w:r>
          </w:p>
        </w:tc>
        <w:tc>
          <w:tcPr>
            <w:tcW w:w="1170" w:type="dxa"/>
            <w:vAlign w:val="bottom"/>
          </w:tcPr>
          <w:p w14:paraId="0387677D" w14:textId="77777777" w:rsidR="003974E0" w:rsidRPr="000C4180" w:rsidRDefault="003974E0" w:rsidP="003974E0">
            <w:pPr>
              <w:jc w:val="right"/>
              <w:rPr>
                <w:sz w:val="20"/>
                <w:szCs w:val="20"/>
              </w:rPr>
            </w:pPr>
            <w:r w:rsidRPr="000C4180">
              <w:rPr>
                <w:sz w:val="20"/>
                <w:szCs w:val="20"/>
              </w:rPr>
              <w:t>10000</w:t>
            </w:r>
          </w:p>
        </w:tc>
        <w:tc>
          <w:tcPr>
            <w:tcW w:w="990" w:type="dxa"/>
            <w:noWrap/>
            <w:vAlign w:val="bottom"/>
          </w:tcPr>
          <w:p w14:paraId="7C99DAC8"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tcPr>
          <w:p w14:paraId="356B2996" w14:textId="77777777" w:rsidR="003974E0" w:rsidRPr="000C4180" w:rsidRDefault="003974E0" w:rsidP="003974E0">
            <w:pPr>
              <w:jc w:val="right"/>
              <w:rPr>
                <w:color w:val="000000"/>
                <w:sz w:val="20"/>
                <w:szCs w:val="20"/>
              </w:rPr>
            </w:pPr>
            <w:r w:rsidRPr="000C4180">
              <w:rPr>
                <w:color w:val="000000"/>
                <w:sz w:val="20"/>
                <w:szCs w:val="20"/>
              </w:rPr>
              <w:t>-1085.2</w:t>
            </w:r>
          </w:p>
        </w:tc>
        <w:tc>
          <w:tcPr>
            <w:tcW w:w="1620" w:type="dxa"/>
            <w:noWrap/>
            <w:vAlign w:val="bottom"/>
          </w:tcPr>
          <w:p w14:paraId="6B272DF1" w14:textId="77777777" w:rsidR="003974E0" w:rsidRPr="000C4180" w:rsidRDefault="003974E0" w:rsidP="003974E0">
            <w:pPr>
              <w:jc w:val="right"/>
              <w:rPr>
                <w:sz w:val="20"/>
                <w:szCs w:val="20"/>
              </w:rPr>
            </w:pPr>
            <w:r w:rsidRPr="000C4180">
              <w:rPr>
                <w:sz w:val="20"/>
                <w:szCs w:val="20"/>
              </w:rPr>
              <w:t>-1085.2</w:t>
            </w:r>
          </w:p>
        </w:tc>
      </w:tr>
      <w:tr w:rsidR="003974E0" w:rsidRPr="000C4180" w14:paraId="1D9843CA" w14:textId="77777777" w:rsidTr="007905E7">
        <w:trPr>
          <w:trHeight w:val="201"/>
          <w:jc w:val="center"/>
        </w:trPr>
        <w:tc>
          <w:tcPr>
            <w:tcW w:w="4135" w:type="dxa"/>
            <w:gridSpan w:val="3"/>
            <w:noWrap/>
            <w:vAlign w:val="bottom"/>
            <w:hideMark/>
          </w:tcPr>
          <w:p w14:paraId="62907261" w14:textId="77777777" w:rsidR="003974E0" w:rsidRPr="000C4180" w:rsidRDefault="003974E0" w:rsidP="003974E0">
            <w:pPr>
              <w:jc w:val="center"/>
              <w:rPr>
                <w:b/>
                <w:sz w:val="20"/>
                <w:szCs w:val="20"/>
              </w:rPr>
            </w:pPr>
            <w:r w:rsidRPr="000C4180">
              <w:rPr>
                <w:b/>
                <w:color w:val="000000"/>
                <w:sz w:val="20"/>
                <w:szCs w:val="20"/>
              </w:rPr>
              <w:t>MCAS Based Estimates</w:t>
            </w:r>
          </w:p>
        </w:tc>
        <w:tc>
          <w:tcPr>
            <w:tcW w:w="4860" w:type="dxa"/>
            <w:gridSpan w:val="4"/>
            <w:noWrap/>
            <w:vAlign w:val="bottom"/>
            <w:hideMark/>
          </w:tcPr>
          <w:p w14:paraId="5A80E32E" w14:textId="77777777" w:rsidR="003974E0" w:rsidRPr="000C4180" w:rsidRDefault="003974E0" w:rsidP="003974E0">
            <w:pPr>
              <w:jc w:val="center"/>
              <w:rPr>
                <w:b/>
                <w:sz w:val="20"/>
                <w:szCs w:val="20"/>
              </w:rPr>
            </w:pPr>
            <w:r w:rsidRPr="000C4180">
              <w:rPr>
                <w:b/>
                <w:sz w:val="20"/>
                <w:szCs w:val="20"/>
              </w:rPr>
              <w:t>Allocation of benefit (NCF) in MCAS</w:t>
            </w:r>
          </w:p>
        </w:tc>
      </w:tr>
      <w:tr w:rsidR="003974E0" w:rsidRPr="000C4180" w14:paraId="6FDE94E9" w14:textId="77777777" w:rsidTr="007905E7">
        <w:trPr>
          <w:trHeight w:val="286"/>
          <w:jc w:val="center"/>
        </w:trPr>
        <w:tc>
          <w:tcPr>
            <w:tcW w:w="2245" w:type="dxa"/>
            <w:noWrap/>
            <w:vAlign w:val="bottom"/>
          </w:tcPr>
          <w:p w14:paraId="756D5B52" w14:textId="77777777" w:rsidR="003974E0" w:rsidRPr="000C4180" w:rsidRDefault="003974E0" w:rsidP="003974E0">
            <w:pPr>
              <w:rPr>
                <w:color w:val="000000"/>
                <w:sz w:val="20"/>
                <w:szCs w:val="20"/>
              </w:rPr>
            </w:pPr>
            <w:r w:rsidRPr="000C4180">
              <w:rPr>
                <w:color w:val="000000"/>
                <w:sz w:val="20"/>
                <w:szCs w:val="20"/>
              </w:rPr>
              <w:t>Criteria</w:t>
            </w:r>
          </w:p>
        </w:tc>
        <w:tc>
          <w:tcPr>
            <w:tcW w:w="900" w:type="dxa"/>
            <w:noWrap/>
            <w:vAlign w:val="bottom"/>
          </w:tcPr>
          <w:p w14:paraId="7F5548CE" w14:textId="77777777" w:rsidR="003974E0" w:rsidRPr="000C4180" w:rsidRDefault="003974E0" w:rsidP="003974E0">
            <w:pPr>
              <w:jc w:val="right"/>
              <w:rPr>
                <w:color w:val="000000"/>
                <w:sz w:val="20"/>
                <w:szCs w:val="20"/>
              </w:rPr>
            </w:pPr>
            <w:r w:rsidRPr="000C4180">
              <w:rPr>
                <w:color w:val="000000"/>
                <w:sz w:val="20"/>
                <w:szCs w:val="20"/>
              </w:rPr>
              <w:t>Values</w:t>
            </w:r>
          </w:p>
        </w:tc>
        <w:tc>
          <w:tcPr>
            <w:tcW w:w="990" w:type="dxa"/>
            <w:noWrap/>
            <w:vAlign w:val="bottom"/>
          </w:tcPr>
          <w:p w14:paraId="05D6F5F5" w14:textId="77777777" w:rsidR="003974E0" w:rsidRPr="000C4180" w:rsidRDefault="003974E0" w:rsidP="003974E0">
            <w:pPr>
              <w:jc w:val="right"/>
              <w:rPr>
                <w:color w:val="000000"/>
                <w:sz w:val="20"/>
                <w:szCs w:val="20"/>
              </w:rPr>
            </w:pPr>
            <w:r w:rsidRPr="000C4180">
              <w:rPr>
                <w:color w:val="000000"/>
                <w:sz w:val="20"/>
                <w:szCs w:val="20"/>
              </w:rPr>
              <w:t>NPV</w:t>
            </w:r>
          </w:p>
        </w:tc>
        <w:tc>
          <w:tcPr>
            <w:tcW w:w="1170" w:type="dxa"/>
            <w:noWrap/>
          </w:tcPr>
          <w:p w14:paraId="22A679DE" w14:textId="77777777" w:rsidR="003974E0" w:rsidRPr="000C4180" w:rsidRDefault="003974E0" w:rsidP="003974E0">
            <w:pPr>
              <w:jc w:val="right"/>
              <w:rPr>
                <w:color w:val="000000"/>
                <w:sz w:val="20"/>
                <w:szCs w:val="20"/>
              </w:rPr>
            </w:pPr>
          </w:p>
          <w:p w14:paraId="679E0686" w14:textId="77777777" w:rsidR="003974E0" w:rsidRPr="000C4180" w:rsidRDefault="003974E0" w:rsidP="003974E0">
            <w:pPr>
              <w:jc w:val="right"/>
              <w:rPr>
                <w:color w:val="000000"/>
                <w:sz w:val="20"/>
                <w:szCs w:val="20"/>
              </w:rPr>
            </w:pPr>
            <w:r w:rsidRPr="000C4180">
              <w:rPr>
                <w:color w:val="000000"/>
                <w:sz w:val="20"/>
                <w:szCs w:val="20"/>
              </w:rPr>
              <w:t>Income (A)</w:t>
            </w:r>
          </w:p>
        </w:tc>
        <w:tc>
          <w:tcPr>
            <w:tcW w:w="990" w:type="dxa"/>
            <w:noWrap/>
            <w:vAlign w:val="bottom"/>
          </w:tcPr>
          <w:p w14:paraId="346D2A75" w14:textId="77777777" w:rsidR="003974E0" w:rsidRPr="000C4180" w:rsidRDefault="003974E0" w:rsidP="003974E0">
            <w:pPr>
              <w:jc w:val="right"/>
              <w:rPr>
                <w:color w:val="000000"/>
                <w:sz w:val="20"/>
                <w:szCs w:val="20"/>
              </w:rPr>
            </w:pPr>
            <w:r w:rsidRPr="000C4180">
              <w:rPr>
                <w:color w:val="000000"/>
                <w:sz w:val="20"/>
                <w:szCs w:val="20"/>
              </w:rPr>
              <w:t>ROC(B)</w:t>
            </w:r>
          </w:p>
        </w:tc>
        <w:tc>
          <w:tcPr>
            <w:tcW w:w="1080" w:type="dxa"/>
            <w:noWrap/>
            <w:vAlign w:val="bottom"/>
          </w:tcPr>
          <w:p w14:paraId="5B0293EF" w14:textId="77777777" w:rsidR="003974E0" w:rsidRPr="000C4180" w:rsidRDefault="003974E0" w:rsidP="003974E0">
            <w:pPr>
              <w:jc w:val="right"/>
              <w:rPr>
                <w:color w:val="000000"/>
                <w:sz w:val="20"/>
                <w:szCs w:val="20"/>
              </w:rPr>
            </w:pPr>
            <w:r w:rsidRPr="000C4180">
              <w:rPr>
                <w:color w:val="000000"/>
                <w:sz w:val="20"/>
                <w:szCs w:val="20"/>
              </w:rPr>
              <w:t>ROIC (C)</w:t>
            </w:r>
          </w:p>
        </w:tc>
        <w:tc>
          <w:tcPr>
            <w:tcW w:w="1620" w:type="dxa"/>
            <w:noWrap/>
            <w:vAlign w:val="bottom"/>
          </w:tcPr>
          <w:p w14:paraId="0CF211F7" w14:textId="77777777" w:rsidR="003974E0" w:rsidRPr="000C4180" w:rsidRDefault="003974E0" w:rsidP="003974E0">
            <w:pPr>
              <w:jc w:val="right"/>
              <w:rPr>
                <w:color w:val="000000"/>
                <w:sz w:val="20"/>
                <w:szCs w:val="20"/>
              </w:rPr>
            </w:pPr>
            <w:r w:rsidRPr="000C4180">
              <w:rPr>
                <w:color w:val="000000"/>
                <w:sz w:val="20"/>
                <w:szCs w:val="20"/>
              </w:rPr>
              <w:t>Balance (CB)</w:t>
            </w:r>
          </w:p>
          <w:p w14:paraId="3DA7F7EA" w14:textId="77777777" w:rsidR="003974E0" w:rsidRPr="000C4180" w:rsidRDefault="003974E0" w:rsidP="003974E0">
            <w:pPr>
              <w:jc w:val="right"/>
              <w:rPr>
                <w:color w:val="000000"/>
                <w:sz w:val="20"/>
                <w:szCs w:val="20"/>
              </w:rPr>
            </w:pPr>
            <w:r w:rsidRPr="000C4180">
              <w:rPr>
                <w:color w:val="000000"/>
                <w:sz w:val="20"/>
                <w:szCs w:val="20"/>
              </w:rPr>
              <w:t xml:space="preserve"> = (B+C) – A</w:t>
            </w:r>
          </w:p>
        </w:tc>
      </w:tr>
      <w:tr w:rsidR="003974E0" w:rsidRPr="000C4180" w14:paraId="15BA9BDE" w14:textId="77777777" w:rsidTr="00131E6C">
        <w:trPr>
          <w:trHeight w:val="201"/>
          <w:jc w:val="center"/>
        </w:trPr>
        <w:tc>
          <w:tcPr>
            <w:tcW w:w="2245" w:type="dxa"/>
            <w:noWrap/>
            <w:vAlign w:val="bottom"/>
            <w:hideMark/>
          </w:tcPr>
          <w:p w14:paraId="4903A4BB" w14:textId="77777777" w:rsidR="003974E0" w:rsidRPr="000C4180" w:rsidRDefault="003974E0" w:rsidP="003974E0">
            <w:pPr>
              <w:rPr>
                <w:color w:val="000000"/>
                <w:sz w:val="20"/>
                <w:szCs w:val="20"/>
              </w:rPr>
            </w:pPr>
            <w:r w:rsidRPr="000C4180">
              <w:rPr>
                <w:color w:val="000000"/>
                <w:sz w:val="20"/>
                <w:szCs w:val="20"/>
              </w:rPr>
              <w:t xml:space="preserve">IRR </w:t>
            </w:r>
            <w:r w:rsidR="007905E7" w:rsidRPr="000C4180">
              <w:rPr>
                <w:color w:val="000000"/>
                <w:sz w:val="20"/>
                <w:szCs w:val="20"/>
              </w:rPr>
              <w:t>by MCAS</w:t>
            </w:r>
          </w:p>
        </w:tc>
        <w:tc>
          <w:tcPr>
            <w:tcW w:w="900" w:type="dxa"/>
            <w:shd w:val="clear" w:color="auto" w:fill="FFFFFF" w:themeFill="background1"/>
            <w:noWrap/>
            <w:vAlign w:val="bottom"/>
            <w:hideMark/>
          </w:tcPr>
          <w:p w14:paraId="2BD37DF7" w14:textId="77777777" w:rsidR="003974E0" w:rsidRPr="000C4180" w:rsidRDefault="003974E0" w:rsidP="003974E0">
            <w:pPr>
              <w:jc w:val="right"/>
              <w:rPr>
                <w:color w:val="000000"/>
                <w:sz w:val="20"/>
                <w:szCs w:val="20"/>
              </w:rPr>
            </w:pPr>
            <w:r w:rsidRPr="000C4180">
              <w:rPr>
                <w:color w:val="000000"/>
                <w:sz w:val="20"/>
                <w:szCs w:val="20"/>
              </w:rPr>
              <w:t>0%</w:t>
            </w:r>
          </w:p>
        </w:tc>
        <w:tc>
          <w:tcPr>
            <w:tcW w:w="990" w:type="dxa"/>
            <w:noWrap/>
            <w:vAlign w:val="bottom"/>
            <w:hideMark/>
          </w:tcPr>
          <w:p w14:paraId="6B943303" w14:textId="77777777" w:rsidR="003974E0" w:rsidRPr="000C4180" w:rsidRDefault="003974E0" w:rsidP="003974E0">
            <w:pPr>
              <w:jc w:val="right"/>
              <w:rPr>
                <w:color w:val="000000"/>
                <w:sz w:val="20"/>
                <w:szCs w:val="20"/>
              </w:rPr>
            </w:pPr>
            <w:r w:rsidRPr="000C4180">
              <w:rPr>
                <w:color w:val="000000"/>
                <w:sz w:val="20"/>
                <w:szCs w:val="20"/>
              </w:rPr>
              <w:t>0</w:t>
            </w:r>
          </w:p>
        </w:tc>
        <w:tc>
          <w:tcPr>
            <w:tcW w:w="1170" w:type="dxa"/>
            <w:noWrap/>
            <w:vAlign w:val="bottom"/>
          </w:tcPr>
          <w:p w14:paraId="2F75E277" w14:textId="77777777" w:rsidR="003974E0" w:rsidRPr="000C4180" w:rsidRDefault="003974E0" w:rsidP="003974E0">
            <w:pPr>
              <w:jc w:val="right"/>
              <w:rPr>
                <w:color w:val="000000"/>
                <w:sz w:val="20"/>
                <w:szCs w:val="20"/>
              </w:rPr>
            </w:pPr>
            <w:r w:rsidRPr="000C4180">
              <w:rPr>
                <w:color w:val="000000"/>
                <w:sz w:val="20"/>
                <w:szCs w:val="20"/>
              </w:rPr>
              <w:t>10000</w:t>
            </w:r>
          </w:p>
        </w:tc>
        <w:tc>
          <w:tcPr>
            <w:tcW w:w="990" w:type="dxa"/>
            <w:noWrap/>
            <w:vAlign w:val="bottom"/>
          </w:tcPr>
          <w:p w14:paraId="587DCA1E" w14:textId="77777777" w:rsidR="003974E0" w:rsidRPr="000C4180" w:rsidRDefault="003974E0" w:rsidP="003974E0">
            <w:pPr>
              <w:jc w:val="right"/>
              <w:rPr>
                <w:color w:val="000000"/>
                <w:sz w:val="20"/>
                <w:szCs w:val="20"/>
              </w:rPr>
            </w:pPr>
            <w:r w:rsidRPr="000C4180">
              <w:rPr>
                <w:color w:val="000000"/>
                <w:sz w:val="20"/>
                <w:szCs w:val="20"/>
              </w:rPr>
              <w:t>-10000</w:t>
            </w:r>
          </w:p>
        </w:tc>
        <w:tc>
          <w:tcPr>
            <w:tcW w:w="1080" w:type="dxa"/>
            <w:noWrap/>
            <w:vAlign w:val="bottom"/>
            <w:hideMark/>
          </w:tcPr>
          <w:p w14:paraId="6CBFC766" w14:textId="77777777" w:rsidR="003974E0" w:rsidRPr="000C4180" w:rsidRDefault="003974E0" w:rsidP="003974E0">
            <w:pPr>
              <w:jc w:val="right"/>
              <w:rPr>
                <w:color w:val="000000"/>
                <w:sz w:val="20"/>
                <w:szCs w:val="20"/>
              </w:rPr>
            </w:pPr>
            <w:r w:rsidRPr="000C4180">
              <w:rPr>
                <w:color w:val="000000"/>
                <w:sz w:val="20"/>
                <w:szCs w:val="20"/>
              </w:rPr>
              <w:t>0</w:t>
            </w:r>
          </w:p>
        </w:tc>
        <w:tc>
          <w:tcPr>
            <w:tcW w:w="1620" w:type="dxa"/>
            <w:noWrap/>
            <w:vAlign w:val="bottom"/>
            <w:hideMark/>
          </w:tcPr>
          <w:p w14:paraId="1451807B" w14:textId="77777777" w:rsidR="003974E0" w:rsidRPr="000C4180" w:rsidRDefault="003974E0" w:rsidP="003974E0">
            <w:pPr>
              <w:jc w:val="right"/>
              <w:rPr>
                <w:color w:val="000000"/>
                <w:sz w:val="20"/>
                <w:szCs w:val="20"/>
              </w:rPr>
            </w:pPr>
            <w:r w:rsidRPr="000C4180">
              <w:rPr>
                <w:color w:val="000000"/>
                <w:sz w:val="20"/>
                <w:szCs w:val="20"/>
              </w:rPr>
              <w:t>0</w:t>
            </w:r>
          </w:p>
        </w:tc>
      </w:tr>
      <w:tr w:rsidR="007905E7" w:rsidRPr="000C4180" w14:paraId="468FC51F" w14:textId="77777777" w:rsidTr="00131E6C">
        <w:trPr>
          <w:trHeight w:val="201"/>
          <w:jc w:val="center"/>
        </w:trPr>
        <w:tc>
          <w:tcPr>
            <w:tcW w:w="2245" w:type="dxa"/>
            <w:noWrap/>
            <w:vAlign w:val="bottom"/>
          </w:tcPr>
          <w:p w14:paraId="32FA5B6E" w14:textId="77777777" w:rsidR="007905E7" w:rsidRPr="000C4180" w:rsidRDefault="007905E7" w:rsidP="007905E7">
            <w:pPr>
              <w:rPr>
                <w:color w:val="000000"/>
                <w:sz w:val="20"/>
                <w:szCs w:val="20"/>
              </w:rPr>
            </w:pPr>
            <w:r w:rsidRPr="000C4180">
              <w:rPr>
                <w:color w:val="000000"/>
                <w:sz w:val="20"/>
                <w:szCs w:val="20"/>
              </w:rPr>
              <w:lastRenderedPageBreak/>
              <w:t>NPV at 10 % by MCAS</w:t>
            </w:r>
          </w:p>
        </w:tc>
        <w:tc>
          <w:tcPr>
            <w:tcW w:w="900" w:type="dxa"/>
            <w:shd w:val="clear" w:color="auto" w:fill="FFFFFF" w:themeFill="background1"/>
            <w:noWrap/>
            <w:vAlign w:val="bottom"/>
          </w:tcPr>
          <w:p w14:paraId="49926540" w14:textId="77777777" w:rsidR="007905E7" w:rsidRPr="000C4180" w:rsidRDefault="007905E7" w:rsidP="007905E7">
            <w:pPr>
              <w:jc w:val="right"/>
              <w:rPr>
                <w:color w:val="000000"/>
                <w:sz w:val="20"/>
                <w:szCs w:val="20"/>
              </w:rPr>
            </w:pPr>
            <w:r w:rsidRPr="000C4180">
              <w:rPr>
                <w:color w:val="000000"/>
                <w:sz w:val="20"/>
                <w:szCs w:val="20"/>
              </w:rPr>
              <w:t>10%</w:t>
            </w:r>
          </w:p>
        </w:tc>
        <w:tc>
          <w:tcPr>
            <w:tcW w:w="990" w:type="dxa"/>
            <w:noWrap/>
            <w:vAlign w:val="bottom"/>
          </w:tcPr>
          <w:p w14:paraId="10431D5F" w14:textId="77777777" w:rsidR="007905E7" w:rsidRPr="000C4180" w:rsidRDefault="007905E7" w:rsidP="007905E7">
            <w:pPr>
              <w:jc w:val="right"/>
              <w:rPr>
                <w:color w:val="000000"/>
                <w:sz w:val="20"/>
                <w:szCs w:val="20"/>
              </w:rPr>
            </w:pPr>
            <w:r w:rsidRPr="000C4180">
              <w:rPr>
                <w:color w:val="000000"/>
                <w:sz w:val="20"/>
                <w:szCs w:val="20"/>
              </w:rPr>
              <w:t>-7100.0</w:t>
            </w:r>
          </w:p>
        </w:tc>
        <w:tc>
          <w:tcPr>
            <w:tcW w:w="1170" w:type="dxa"/>
            <w:noWrap/>
            <w:vAlign w:val="bottom"/>
          </w:tcPr>
          <w:p w14:paraId="79CA862C" w14:textId="77777777" w:rsidR="007905E7" w:rsidRPr="000C4180" w:rsidRDefault="007905E7" w:rsidP="007905E7">
            <w:pPr>
              <w:jc w:val="right"/>
              <w:rPr>
                <w:sz w:val="20"/>
                <w:szCs w:val="20"/>
              </w:rPr>
            </w:pPr>
            <w:r w:rsidRPr="000C4180">
              <w:rPr>
                <w:sz w:val="20"/>
                <w:szCs w:val="20"/>
              </w:rPr>
              <w:t>10000</w:t>
            </w:r>
          </w:p>
        </w:tc>
        <w:tc>
          <w:tcPr>
            <w:tcW w:w="990" w:type="dxa"/>
            <w:noWrap/>
            <w:vAlign w:val="bottom"/>
          </w:tcPr>
          <w:p w14:paraId="698A3CD2"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tcPr>
          <w:p w14:paraId="774C216C" w14:textId="77777777" w:rsidR="007905E7" w:rsidRPr="000C4180" w:rsidRDefault="007905E7" w:rsidP="007905E7">
            <w:pPr>
              <w:jc w:val="right"/>
              <w:rPr>
                <w:color w:val="000000"/>
                <w:sz w:val="20"/>
                <w:szCs w:val="20"/>
              </w:rPr>
            </w:pPr>
            <w:r w:rsidRPr="000C4180">
              <w:rPr>
                <w:color w:val="000000"/>
                <w:sz w:val="20"/>
                <w:szCs w:val="20"/>
              </w:rPr>
              <w:t>-5334.3</w:t>
            </w:r>
          </w:p>
        </w:tc>
        <w:tc>
          <w:tcPr>
            <w:tcW w:w="1620" w:type="dxa"/>
            <w:noWrap/>
            <w:vAlign w:val="bottom"/>
          </w:tcPr>
          <w:p w14:paraId="3EAB23F8" w14:textId="77777777" w:rsidR="007905E7" w:rsidRPr="000C4180" w:rsidRDefault="007905E7" w:rsidP="007905E7">
            <w:pPr>
              <w:jc w:val="right"/>
              <w:rPr>
                <w:sz w:val="20"/>
                <w:szCs w:val="20"/>
              </w:rPr>
            </w:pPr>
            <w:r w:rsidRPr="000C4180">
              <w:rPr>
                <w:sz w:val="20"/>
                <w:szCs w:val="20"/>
              </w:rPr>
              <w:t>-5334.3</w:t>
            </w:r>
          </w:p>
        </w:tc>
      </w:tr>
      <w:tr w:rsidR="007905E7" w:rsidRPr="000C4180" w14:paraId="126A06A9" w14:textId="77777777" w:rsidTr="00131E6C">
        <w:trPr>
          <w:trHeight w:val="201"/>
          <w:jc w:val="center"/>
        </w:trPr>
        <w:tc>
          <w:tcPr>
            <w:tcW w:w="8995" w:type="dxa"/>
            <w:gridSpan w:val="7"/>
            <w:shd w:val="clear" w:color="auto" w:fill="FFFFFF" w:themeFill="background1"/>
            <w:noWrap/>
            <w:vAlign w:val="bottom"/>
          </w:tcPr>
          <w:p w14:paraId="148A22E9" w14:textId="77777777" w:rsidR="007905E7" w:rsidRPr="000C4180" w:rsidRDefault="007905E7" w:rsidP="007D50DF">
            <w:pPr>
              <w:jc w:val="center"/>
              <w:rPr>
                <w:b/>
                <w:color w:val="000000"/>
                <w:sz w:val="20"/>
                <w:szCs w:val="20"/>
              </w:rPr>
            </w:pPr>
            <w:r w:rsidRPr="000C4180">
              <w:rPr>
                <w:b/>
                <w:color w:val="000000"/>
                <w:sz w:val="20"/>
                <w:szCs w:val="20"/>
              </w:rPr>
              <w:t xml:space="preserve">Evaluating the NCF Consistency of the </w:t>
            </w:r>
            <w:r w:rsidR="007D50DF" w:rsidRPr="000C4180">
              <w:rPr>
                <w:b/>
                <w:color w:val="000000"/>
                <w:sz w:val="20"/>
                <w:szCs w:val="20"/>
              </w:rPr>
              <w:t xml:space="preserve">Various </w:t>
            </w:r>
            <w:r w:rsidRPr="000C4180">
              <w:rPr>
                <w:b/>
                <w:color w:val="000000"/>
                <w:sz w:val="20"/>
                <w:szCs w:val="20"/>
              </w:rPr>
              <w:t>Estimate</w:t>
            </w:r>
            <w:r w:rsidR="007D50DF" w:rsidRPr="000C4180">
              <w:rPr>
                <w:b/>
                <w:color w:val="000000"/>
                <w:sz w:val="20"/>
                <w:szCs w:val="20"/>
              </w:rPr>
              <w:t>s</w:t>
            </w:r>
            <w:r w:rsidRPr="000C4180">
              <w:rPr>
                <w:b/>
                <w:color w:val="000000"/>
                <w:sz w:val="20"/>
                <w:szCs w:val="20"/>
              </w:rPr>
              <w:t xml:space="preserve"> </w:t>
            </w:r>
            <w:r w:rsidR="007D50DF" w:rsidRPr="000C4180">
              <w:rPr>
                <w:b/>
                <w:color w:val="000000"/>
                <w:sz w:val="20"/>
                <w:szCs w:val="20"/>
              </w:rPr>
              <w:t xml:space="preserve">Using </w:t>
            </w:r>
            <w:r w:rsidRPr="000C4180">
              <w:rPr>
                <w:b/>
                <w:color w:val="000000"/>
                <w:sz w:val="20"/>
                <w:szCs w:val="20"/>
              </w:rPr>
              <w:t>MCAS</w:t>
            </w:r>
          </w:p>
        </w:tc>
      </w:tr>
      <w:tr w:rsidR="007905E7" w:rsidRPr="000C4180" w14:paraId="69836CFA" w14:textId="77777777" w:rsidTr="00131E6C">
        <w:trPr>
          <w:trHeight w:val="201"/>
          <w:jc w:val="center"/>
        </w:trPr>
        <w:tc>
          <w:tcPr>
            <w:tcW w:w="2245" w:type="dxa"/>
            <w:noWrap/>
            <w:vAlign w:val="bottom"/>
            <w:hideMark/>
          </w:tcPr>
          <w:p w14:paraId="088E35D9" w14:textId="77777777" w:rsidR="007905E7" w:rsidRPr="000C4180" w:rsidRDefault="007905E7" w:rsidP="007905E7">
            <w:pPr>
              <w:rPr>
                <w:color w:val="000000"/>
                <w:sz w:val="20"/>
                <w:szCs w:val="20"/>
              </w:rPr>
            </w:pPr>
            <w:r w:rsidRPr="000C4180">
              <w:rPr>
                <w:color w:val="000000"/>
                <w:sz w:val="20"/>
                <w:szCs w:val="20"/>
              </w:rPr>
              <w:t>MCAS at IRR (1)</w:t>
            </w:r>
          </w:p>
        </w:tc>
        <w:tc>
          <w:tcPr>
            <w:tcW w:w="900" w:type="dxa"/>
            <w:shd w:val="clear" w:color="auto" w:fill="FFFFFF" w:themeFill="background1"/>
            <w:noWrap/>
            <w:vAlign w:val="bottom"/>
            <w:hideMark/>
          </w:tcPr>
          <w:p w14:paraId="52B47F00" w14:textId="77777777" w:rsidR="007905E7" w:rsidRPr="000C4180" w:rsidRDefault="007905E7" w:rsidP="007905E7">
            <w:pPr>
              <w:jc w:val="right"/>
              <w:rPr>
                <w:color w:val="000000"/>
                <w:sz w:val="20"/>
                <w:szCs w:val="20"/>
              </w:rPr>
            </w:pPr>
            <w:r w:rsidRPr="000C4180">
              <w:rPr>
                <w:color w:val="000000"/>
                <w:sz w:val="20"/>
                <w:szCs w:val="20"/>
              </w:rPr>
              <w:t>100%</w:t>
            </w:r>
          </w:p>
        </w:tc>
        <w:tc>
          <w:tcPr>
            <w:tcW w:w="990" w:type="dxa"/>
            <w:noWrap/>
            <w:vAlign w:val="bottom"/>
            <w:hideMark/>
          </w:tcPr>
          <w:p w14:paraId="7179138A" w14:textId="77777777" w:rsidR="007905E7" w:rsidRPr="000C4180" w:rsidRDefault="007905E7" w:rsidP="007905E7">
            <w:pPr>
              <w:jc w:val="right"/>
              <w:rPr>
                <w:color w:val="000000"/>
                <w:sz w:val="20"/>
                <w:szCs w:val="20"/>
              </w:rPr>
            </w:pPr>
            <w:r w:rsidRPr="000C4180">
              <w:rPr>
                <w:color w:val="000000"/>
                <w:sz w:val="20"/>
                <w:szCs w:val="20"/>
              </w:rPr>
              <w:t>-10000</w:t>
            </w:r>
          </w:p>
        </w:tc>
        <w:tc>
          <w:tcPr>
            <w:tcW w:w="1170" w:type="dxa"/>
            <w:noWrap/>
            <w:vAlign w:val="bottom"/>
          </w:tcPr>
          <w:p w14:paraId="4CEF8E97" w14:textId="77777777" w:rsidR="007905E7" w:rsidRPr="000C4180" w:rsidRDefault="007905E7" w:rsidP="007905E7">
            <w:pPr>
              <w:jc w:val="right"/>
              <w:rPr>
                <w:color w:val="000000"/>
                <w:sz w:val="20"/>
                <w:szCs w:val="20"/>
              </w:rPr>
            </w:pPr>
            <w:r w:rsidRPr="000C4180">
              <w:rPr>
                <w:color w:val="000000"/>
                <w:sz w:val="20"/>
                <w:szCs w:val="20"/>
              </w:rPr>
              <w:t>10000</w:t>
            </w:r>
          </w:p>
        </w:tc>
        <w:tc>
          <w:tcPr>
            <w:tcW w:w="990" w:type="dxa"/>
            <w:noWrap/>
            <w:vAlign w:val="bottom"/>
          </w:tcPr>
          <w:p w14:paraId="1D3E21A1"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hideMark/>
          </w:tcPr>
          <w:p w14:paraId="739CF11B" w14:textId="77777777" w:rsidR="007905E7" w:rsidRPr="000C4180" w:rsidRDefault="007905E7" w:rsidP="007905E7">
            <w:pPr>
              <w:jc w:val="right"/>
              <w:rPr>
                <w:color w:val="000000"/>
                <w:sz w:val="20"/>
                <w:szCs w:val="20"/>
              </w:rPr>
            </w:pPr>
            <w:r w:rsidRPr="000C4180">
              <w:rPr>
                <w:color w:val="000000"/>
                <w:sz w:val="20"/>
                <w:szCs w:val="20"/>
              </w:rPr>
              <w:t>-80000</w:t>
            </w:r>
          </w:p>
        </w:tc>
        <w:tc>
          <w:tcPr>
            <w:tcW w:w="1620" w:type="dxa"/>
            <w:noWrap/>
            <w:vAlign w:val="bottom"/>
            <w:hideMark/>
          </w:tcPr>
          <w:p w14:paraId="66DA8DEB" w14:textId="77777777" w:rsidR="007905E7" w:rsidRPr="000C4180" w:rsidRDefault="007905E7" w:rsidP="007905E7">
            <w:pPr>
              <w:jc w:val="right"/>
              <w:rPr>
                <w:color w:val="000000"/>
                <w:sz w:val="20"/>
                <w:szCs w:val="20"/>
              </w:rPr>
            </w:pPr>
            <w:r w:rsidRPr="000C4180">
              <w:rPr>
                <w:color w:val="000000"/>
                <w:sz w:val="20"/>
                <w:szCs w:val="20"/>
              </w:rPr>
              <w:t>-80000</w:t>
            </w:r>
          </w:p>
        </w:tc>
      </w:tr>
      <w:tr w:rsidR="007905E7" w:rsidRPr="000C4180" w14:paraId="57C6C57C" w14:textId="77777777" w:rsidTr="00131E6C">
        <w:trPr>
          <w:trHeight w:val="201"/>
          <w:jc w:val="center"/>
        </w:trPr>
        <w:tc>
          <w:tcPr>
            <w:tcW w:w="2245" w:type="dxa"/>
            <w:noWrap/>
            <w:vAlign w:val="bottom"/>
            <w:hideMark/>
          </w:tcPr>
          <w:p w14:paraId="71F88F47" w14:textId="77777777" w:rsidR="007905E7" w:rsidRPr="000C4180" w:rsidRDefault="007905E7" w:rsidP="007905E7">
            <w:pPr>
              <w:rPr>
                <w:color w:val="000000"/>
                <w:sz w:val="20"/>
                <w:szCs w:val="20"/>
              </w:rPr>
            </w:pPr>
            <w:r w:rsidRPr="000C4180">
              <w:rPr>
                <w:color w:val="000000"/>
                <w:sz w:val="20"/>
                <w:szCs w:val="20"/>
              </w:rPr>
              <w:t>MCAS at IRR (2)</w:t>
            </w:r>
          </w:p>
        </w:tc>
        <w:tc>
          <w:tcPr>
            <w:tcW w:w="900" w:type="dxa"/>
            <w:shd w:val="clear" w:color="auto" w:fill="FFFFFF" w:themeFill="background1"/>
            <w:noWrap/>
            <w:vAlign w:val="bottom"/>
            <w:hideMark/>
          </w:tcPr>
          <w:p w14:paraId="679D9C8A" w14:textId="77777777" w:rsidR="007905E7" w:rsidRPr="000C4180" w:rsidRDefault="007905E7" w:rsidP="007905E7">
            <w:pPr>
              <w:jc w:val="right"/>
              <w:rPr>
                <w:color w:val="000000"/>
                <w:sz w:val="20"/>
                <w:szCs w:val="20"/>
              </w:rPr>
            </w:pPr>
            <w:r w:rsidRPr="000C4180">
              <w:rPr>
                <w:color w:val="000000"/>
                <w:sz w:val="20"/>
                <w:szCs w:val="20"/>
              </w:rPr>
              <w:t>200%</w:t>
            </w:r>
          </w:p>
        </w:tc>
        <w:tc>
          <w:tcPr>
            <w:tcW w:w="990" w:type="dxa"/>
            <w:noWrap/>
            <w:vAlign w:val="bottom"/>
            <w:hideMark/>
          </w:tcPr>
          <w:p w14:paraId="248B3CD1" w14:textId="77777777" w:rsidR="007905E7" w:rsidRPr="000C4180" w:rsidRDefault="007905E7" w:rsidP="007905E7">
            <w:pPr>
              <w:jc w:val="right"/>
              <w:rPr>
                <w:color w:val="000000"/>
                <w:sz w:val="20"/>
                <w:szCs w:val="20"/>
              </w:rPr>
            </w:pPr>
            <w:r w:rsidRPr="000C4180">
              <w:rPr>
                <w:color w:val="000000"/>
                <w:sz w:val="20"/>
                <w:szCs w:val="20"/>
              </w:rPr>
              <w:t>-6667</w:t>
            </w:r>
          </w:p>
        </w:tc>
        <w:tc>
          <w:tcPr>
            <w:tcW w:w="1170" w:type="dxa"/>
            <w:noWrap/>
            <w:vAlign w:val="bottom"/>
          </w:tcPr>
          <w:p w14:paraId="0CA8D9DF" w14:textId="77777777" w:rsidR="007905E7" w:rsidRPr="000C4180" w:rsidRDefault="007905E7" w:rsidP="007905E7">
            <w:pPr>
              <w:jc w:val="right"/>
              <w:rPr>
                <w:color w:val="000000"/>
                <w:sz w:val="20"/>
                <w:szCs w:val="20"/>
              </w:rPr>
            </w:pPr>
            <w:r w:rsidRPr="000C4180">
              <w:rPr>
                <w:color w:val="000000"/>
                <w:sz w:val="20"/>
                <w:szCs w:val="20"/>
              </w:rPr>
              <w:t>10000</w:t>
            </w:r>
          </w:p>
        </w:tc>
        <w:tc>
          <w:tcPr>
            <w:tcW w:w="990" w:type="dxa"/>
            <w:noWrap/>
            <w:vAlign w:val="bottom"/>
          </w:tcPr>
          <w:p w14:paraId="44BAFF7A"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hideMark/>
          </w:tcPr>
          <w:p w14:paraId="54E7BF64" w14:textId="77777777" w:rsidR="007905E7" w:rsidRPr="000C4180" w:rsidRDefault="007905E7" w:rsidP="007905E7">
            <w:pPr>
              <w:jc w:val="right"/>
              <w:rPr>
                <w:color w:val="000000"/>
                <w:sz w:val="20"/>
                <w:szCs w:val="20"/>
              </w:rPr>
            </w:pPr>
            <w:r w:rsidRPr="000C4180">
              <w:rPr>
                <w:color w:val="000000"/>
                <w:sz w:val="20"/>
                <w:szCs w:val="20"/>
              </w:rPr>
              <w:t>-180000</w:t>
            </w:r>
          </w:p>
        </w:tc>
        <w:tc>
          <w:tcPr>
            <w:tcW w:w="1620" w:type="dxa"/>
            <w:noWrap/>
            <w:vAlign w:val="bottom"/>
            <w:hideMark/>
          </w:tcPr>
          <w:p w14:paraId="59A63186" w14:textId="77777777" w:rsidR="007905E7" w:rsidRPr="000C4180" w:rsidRDefault="007905E7" w:rsidP="007905E7">
            <w:pPr>
              <w:jc w:val="right"/>
              <w:rPr>
                <w:color w:val="000000"/>
                <w:sz w:val="20"/>
                <w:szCs w:val="20"/>
              </w:rPr>
            </w:pPr>
            <w:r w:rsidRPr="000C4180">
              <w:rPr>
                <w:color w:val="000000"/>
                <w:sz w:val="20"/>
                <w:szCs w:val="20"/>
              </w:rPr>
              <w:t>-180000</w:t>
            </w:r>
          </w:p>
        </w:tc>
      </w:tr>
      <w:tr w:rsidR="007905E7" w:rsidRPr="000C4180" w14:paraId="558BD3FE" w14:textId="77777777" w:rsidTr="00131E6C">
        <w:trPr>
          <w:trHeight w:val="201"/>
          <w:jc w:val="center"/>
        </w:trPr>
        <w:tc>
          <w:tcPr>
            <w:tcW w:w="2245" w:type="dxa"/>
            <w:noWrap/>
            <w:vAlign w:val="bottom"/>
            <w:hideMark/>
          </w:tcPr>
          <w:p w14:paraId="7F92FDC9" w14:textId="77777777" w:rsidR="007905E7" w:rsidRPr="000C4180" w:rsidRDefault="007905E7" w:rsidP="007905E7">
            <w:pPr>
              <w:rPr>
                <w:color w:val="000000"/>
                <w:sz w:val="20"/>
                <w:szCs w:val="20"/>
              </w:rPr>
            </w:pPr>
            <w:r w:rsidRPr="000C4180">
              <w:rPr>
                <w:color w:val="000000"/>
                <w:sz w:val="20"/>
                <w:szCs w:val="20"/>
              </w:rPr>
              <w:t>MCAS at MIRR (10,10)</w:t>
            </w:r>
          </w:p>
        </w:tc>
        <w:tc>
          <w:tcPr>
            <w:tcW w:w="900" w:type="dxa"/>
            <w:shd w:val="clear" w:color="auto" w:fill="FFFFFF" w:themeFill="background1"/>
            <w:noWrap/>
            <w:vAlign w:val="bottom"/>
            <w:hideMark/>
          </w:tcPr>
          <w:p w14:paraId="451EFCC2" w14:textId="77777777" w:rsidR="007905E7" w:rsidRPr="000C4180" w:rsidRDefault="007905E7" w:rsidP="007905E7">
            <w:pPr>
              <w:jc w:val="right"/>
              <w:rPr>
                <w:color w:val="000000"/>
                <w:sz w:val="20"/>
                <w:szCs w:val="20"/>
              </w:rPr>
            </w:pPr>
            <w:r w:rsidRPr="000C4180">
              <w:rPr>
                <w:color w:val="000000"/>
                <w:sz w:val="20"/>
                <w:szCs w:val="20"/>
              </w:rPr>
              <w:t>9.5%</w:t>
            </w:r>
          </w:p>
        </w:tc>
        <w:tc>
          <w:tcPr>
            <w:tcW w:w="990" w:type="dxa"/>
            <w:noWrap/>
            <w:vAlign w:val="bottom"/>
            <w:hideMark/>
          </w:tcPr>
          <w:p w14:paraId="50D37851" w14:textId="77777777" w:rsidR="007905E7" w:rsidRPr="000C4180" w:rsidRDefault="007905E7" w:rsidP="007905E7">
            <w:pPr>
              <w:jc w:val="right"/>
              <w:rPr>
                <w:color w:val="000000"/>
                <w:sz w:val="20"/>
                <w:szCs w:val="20"/>
              </w:rPr>
            </w:pPr>
            <w:r w:rsidRPr="000C4180">
              <w:rPr>
                <w:color w:val="000000"/>
                <w:sz w:val="20"/>
                <w:szCs w:val="20"/>
              </w:rPr>
              <w:t>-5146</w:t>
            </w:r>
          </w:p>
        </w:tc>
        <w:tc>
          <w:tcPr>
            <w:tcW w:w="1170" w:type="dxa"/>
            <w:noWrap/>
            <w:vAlign w:val="bottom"/>
          </w:tcPr>
          <w:p w14:paraId="5BBB8D19" w14:textId="77777777" w:rsidR="007905E7" w:rsidRPr="000C4180" w:rsidRDefault="007905E7" w:rsidP="007905E7">
            <w:pPr>
              <w:jc w:val="right"/>
              <w:rPr>
                <w:color w:val="000000"/>
                <w:sz w:val="20"/>
                <w:szCs w:val="20"/>
              </w:rPr>
            </w:pPr>
            <w:r w:rsidRPr="000C4180">
              <w:rPr>
                <w:color w:val="000000"/>
                <w:sz w:val="20"/>
                <w:szCs w:val="20"/>
              </w:rPr>
              <w:t>10000</w:t>
            </w:r>
          </w:p>
        </w:tc>
        <w:tc>
          <w:tcPr>
            <w:tcW w:w="990" w:type="dxa"/>
            <w:noWrap/>
            <w:vAlign w:val="bottom"/>
          </w:tcPr>
          <w:p w14:paraId="4520D179"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hideMark/>
          </w:tcPr>
          <w:p w14:paraId="1710DD2F" w14:textId="77777777" w:rsidR="007905E7" w:rsidRPr="000C4180" w:rsidRDefault="007905E7" w:rsidP="007905E7">
            <w:pPr>
              <w:jc w:val="right"/>
              <w:rPr>
                <w:color w:val="000000"/>
                <w:sz w:val="20"/>
                <w:szCs w:val="20"/>
              </w:rPr>
            </w:pPr>
            <w:r w:rsidRPr="000C4180">
              <w:rPr>
                <w:color w:val="000000"/>
                <w:sz w:val="20"/>
                <w:szCs w:val="20"/>
              </w:rPr>
              <w:t>-6763</w:t>
            </w:r>
          </w:p>
        </w:tc>
        <w:tc>
          <w:tcPr>
            <w:tcW w:w="1620" w:type="dxa"/>
            <w:noWrap/>
            <w:vAlign w:val="bottom"/>
            <w:hideMark/>
          </w:tcPr>
          <w:p w14:paraId="7D021FD3" w14:textId="77777777" w:rsidR="007905E7" w:rsidRPr="000C4180" w:rsidRDefault="007905E7" w:rsidP="007905E7">
            <w:pPr>
              <w:jc w:val="right"/>
              <w:rPr>
                <w:color w:val="000000"/>
                <w:sz w:val="20"/>
                <w:szCs w:val="20"/>
              </w:rPr>
            </w:pPr>
            <w:r w:rsidRPr="000C4180">
              <w:rPr>
                <w:color w:val="000000"/>
                <w:sz w:val="20"/>
                <w:szCs w:val="20"/>
              </w:rPr>
              <w:t>-6763</w:t>
            </w:r>
          </w:p>
        </w:tc>
      </w:tr>
      <w:tr w:rsidR="007905E7" w:rsidRPr="000C4180" w14:paraId="57816637" w14:textId="77777777" w:rsidTr="00131E6C">
        <w:trPr>
          <w:trHeight w:val="201"/>
          <w:jc w:val="center"/>
        </w:trPr>
        <w:tc>
          <w:tcPr>
            <w:tcW w:w="2245" w:type="dxa"/>
            <w:noWrap/>
            <w:vAlign w:val="bottom"/>
            <w:hideMark/>
          </w:tcPr>
          <w:p w14:paraId="7050984E" w14:textId="77777777" w:rsidR="007905E7" w:rsidRPr="000C4180" w:rsidRDefault="007905E7" w:rsidP="007905E7">
            <w:pPr>
              <w:rPr>
                <w:color w:val="000000"/>
                <w:sz w:val="20"/>
                <w:szCs w:val="20"/>
              </w:rPr>
            </w:pPr>
            <w:r w:rsidRPr="000C4180">
              <w:rPr>
                <w:color w:val="000000"/>
                <w:sz w:val="20"/>
                <w:szCs w:val="20"/>
              </w:rPr>
              <w:t>MCAS at MIRR (10,0)</w:t>
            </w:r>
          </w:p>
        </w:tc>
        <w:tc>
          <w:tcPr>
            <w:tcW w:w="900" w:type="dxa"/>
            <w:shd w:val="clear" w:color="auto" w:fill="FFFFFF" w:themeFill="background1"/>
            <w:noWrap/>
            <w:vAlign w:val="bottom"/>
            <w:hideMark/>
          </w:tcPr>
          <w:p w14:paraId="5EEFCACA" w14:textId="77777777" w:rsidR="007905E7" w:rsidRPr="000C4180" w:rsidRDefault="007905E7" w:rsidP="007905E7">
            <w:pPr>
              <w:jc w:val="right"/>
              <w:rPr>
                <w:color w:val="000000"/>
                <w:sz w:val="20"/>
                <w:szCs w:val="20"/>
              </w:rPr>
            </w:pPr>
            <w:r w:rsidRPr="000C4180">
              <w:rPr>
                <w:color w:val="000000"/>
                <w:sz w:val="20"/>
                <w:szCs w:val="20"/>
              </w:rPr>
              <w:t>5.9%</w:t>
            </w:r>
          </w:p>
        </w:tc>
        <w:tc>
          <w:tcPr>
            <w:tcW w:w="990" w:type="dxa"/>
            <w:noWrap/>
            <w:vAlign w:val="bottom"/>
            <w:hideMark/>
          </w:tcPr>
          <w:p w14:paraId="30439B4C" w14:textId="77777777" w:rsidR="007905E7" w:rsidRPr="000C4180" w:rsidRDefault="007905E7" w:rsidP="007905E7">
            <w:pPr>
              <w:jc w:val="right"/>
              <w:rPr>
                <w:color w:val="000000"/>
                <w:sz w:val="20"/>
                <w:szCs w:val="20"/>
              </w:rPr>
            </w:pPr>
            <w:r w:rsidRPr="000C4180">
              <w:rPr>
                <w:color w:val="000000"/>
                <w:sz w:val="20"/>
                <w:szCs w:val="20"/>
              </w:rPr>
              <w:t>-3530</w:t>
            </w:r>
          </w:p>
        </w:tc>
        <w:tc>
          <w:tcPr>
            <w:tcW w:w="1170" w:type="dxa"/>
            <w:noWrap/>
            <w:vAlign w:val="bottom"/>
          </w:tcPr>
          <w:p w14:paraId="2CA98C60" w14:textId="77777777" w:rsidR="007905E7" w:rsidRPr="000C4180" w:rsidRDefault="007905E7" w:rsidP="007905E7">
            <w:pPr>
              <w:jc w:val="right"/>
              <w:rPr>
                <w:color w:val="000000"/>
                <w:sz w:val="20"/>
                <w:szCs w:val="20"/>
              </w:rPr>
            </w:pPr>
            <w:r w:rsidRPr="000C4180">
              <w:rPr>
                <w:color w:val="000000"/>
                <w:sz w:val="20"/>
                <w:szCs w:val="20"/>
              </w:rPr>
              <w:t>10000</w:t>
            </w:r>
          </w:p>
        </w:tc>
        <w:tc>
          <w:tcPr>
            <w:tcW w:w="990" w:type="dxa"/>
            <w:noWrap/>
            <w:vAlign w:val="bottom"/>
          </w:tcPr>
          <w:p w14:paraId="7F7B0993"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hideMark/>
          </w:tcPr>
          <w:p w14:paraId="2E2B5047" w14:textId="77777777" w:rsidR="007905E7" w:rsidRPr="000C4180" w:rsidRDefault="007905E7" w:rsidP="007905E7">
            <w:pPr>
              <w:jc w:val="right"/>
              <w:rPr>
                <w:color w:val="000000"/>
                <w:sz w:val="20"/>
                <w:szCs w:val="20"/>
              </w:rPr>
            </w:pPr>
            <w:r w:rsidRPr="000C4180">
              <w:rPr>
                <w:color w:val="000000"/>
                <w:sz w:val="20"/>
                <w:szCs w:val="20"/>
              </w:rPr>
              <w:t>-4197</w:t>
            </w:r>
          </w:p>
        </w:tc>
        <w:tc>
          <w:tcPr>
            <w:tcW w:w="1620" w:type="dxa"/>
            <w:noWrap/>
            <w:vAlign w:val="bottom"/>
            <w:hideMark/>
          </w:tcPr>
          <w:p w14:paraId="4EB381A5" w14:textId="77777777" w:rsidR="007905E7" w:rsidRPr="000C4180" w:rsidRDefault="007905E7" w:rsidP="007905E7">
            <w:pPr>
              <w:jc w:val="right"/>
              <w:rPr>
                <w:color w:val="000000"/>
                <w:sz w:val="20"/>
                <w:szCs w:val="20"/>
              </w:rPr>
            </w:pPr>
            <w:r w:rsidRPr="000C4180">
              <w:rPr>
                <w:color w:val="000000"/>
                <w:sz w:val="20"/>
                <w:szCs w:val="20"/>
              </w:rPr>
              <w:t>-4197</w:t>
            </w:r>
          </w:p>
        </w:tc>
      </w:tr>
      <w:tr w:rsidR="007905E7" w:rsidRPr="000C4180" w14:paraId="369C9807" w14:textId="77777777" w:rsidTr="00131E6C">
        <w:trPr>
          <w:trHeight w:val="201"/>
          <w:jc w:val="center"/>
        </w:trPr>
        <w:tc>
          <w:tcPr>
            <w:tcW w:w="2245" w:type="dxa"/>
            <w:noWrap/>
            <w:vAlign w:val="bottom"/>
          </w:tcPr>
          <w:p w14:paraId="1A3B2C91" w14:textId="77777777" w:rsidR="007905E7" w:rsidRPr="000C4180" w:rsidRDefault="007905E7" w:rsidP="007905E7">
            <w:pPr>
              <w:rPr>
                <w:color w:val="000000"/>
                <w:sz w:val="20"/>
                <w:szCs w:val="20"/>
              </w:rPr>
            </w:pPr>
            <w:r w:rsidRPr="000C4180">
              <w:rPr>
                <w:color w:val="000000"/>
                <w:sz w:val="20"/>
                <w:szCs w:val="20"/>
              </w:rPr>
              <w:t>MCAS at MIRR (10,5)</w:t>
            </w:r>
          </w:p>
        </w:tc>
        <w:tc>
          <w:tcPr>
            <w:tcW w:w="900" w:type="dxa"/>
            <w:shd w:val="clear" w:color="auto" w:fill="FFFFFF" w:themeFill="background1"/>
            <w:noWrap/>
            <w:vAlign w:val="bottom"/>
          </w:tcPr>
          <w:p w14:paraId="6B296F52" w14:textId="77777777" w:rsidR="007905E7" w:rsidRPr="000C4180" w:rsidRDefault="007905E7" w:rsidP="007905E7">
            <w:pPr>
              <w:jc w:val="right"/>
              <w:rPr>
                <w:color w:val="000000"/>
                <w:sz w:val="20"/>
                <w:szCs w:val="20"/>
              </w:rPr>
            </w:pPr>
            <w:r w:rsidRPr="000C4180">
              <w:rPr>
                <w:color w:val="000000"/>
                <w:sz w:val="20"/>
                <w:szCs w:val="20"/>
              </w:rPr>
              <w:t>7.7%</w:t>
            </w:r>
          </w:p>
        </w:tc>
        <w:tc>
          <w:tcPr>
            <w:tcW w:w="990" w:type="dxa"/>
            <w:noWrap/>
            <w:vAlign w:val="bottom"/>
          </w:tcPr>
          <w:p w14:paraId="2FA082EB" w14:textId="77777777" w:rsidR="007905E7" w:rsidRPr="000C4180" w:rsidRDefault="007905E7" w:rsidP="007905E7">
            <w:pPr>
              <w:jc w:val="right"/>
              <w:rPr>
                <w:color w:val="000000"/>
                <w:sz w:val="20"/>
                <w:szCs w:val="20"/>
              </w:rPr>
            </w:pPr>
            <w:r w:rsidRPr="000C4180">
              <w:rPr>
                <w:color w:val="000000"/>
                <w:sz w:val="20"/>
                <w:szCs w:val="20"/>
              </w:rPr>
              <w:t>-4373.6</w:t>
            </w:r>
          </w:p>
        </w:tc>
        <w:tc>
          <w:tcPr>
            <w:tcW w:w="1170" w:type="dxa"/>
            <w:noWrap/>
            <w:vAlign w:val="bottom"/>
          </w:tcPr>
          <w:p w14:paraId="3BCB3B07" w14:textId="77777777" w:rsidR="007905E7" w:rsidRPr="000C4180" w:rsidRDefault="007905E7" w:rsidP="007905E7">
            <w:pPr>
              <w:jc w:val="right"/>
              <w:rPr>
                <w:sz w:val="20"/>
                <w:szCs w:val="20"/>
              </w:rPr>
            </w:pPr>
            <w:r w:rsidRPr="000C4180">
              <w:rPr>
                <w:sz w:val="20"/>
                <w:szCs w:val="20"/>
              </w:rPr>
              <w:t>10000</w:t>
            </w:r>
          </w:p>
        </w:tc>
        <w:tc>
          <w:tcPr>
            <w:tcW w:w="990" w:type="dxa"/>
            <w:noWrap/>
            <w:vAlign w:val="bottom"/>
          </w:tcPr>
          <w:p w14:paraId="7EA44438"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tcPr>
          <w:p w14:paraId="7EDA1FE3" w14:textId="77777777" w:rsidR="007905E7" w:rsidRPr="000C4180" w:rsidRDefault="007905E7" w:rsidP="007905E7">
            <w:pPr>
              <w:jc w:val="right"/>
              <w:rPr>
                <w:color w:val="000000"/>
                <w:sz w:val="20"/>
                <w:szCs w:val="20"/>
              </w:rPr>
            </w:pPr>
            <w:r w:rsidRPr="000C4180">
              <w:rPr>
                <w:color w:val="000000"/>
                <w:sz w:val="20"/>
                <w:szCs w:val="20"/>
              </w:rPr>
              <w:t>-5467.6</w:t>
            </w:r>
          </w:p>
        </w:tc>
        <w:tc>
          <w:tcPr>
            <w:tcW w:w="1620" w:type="dxa"/>
            <w:noWrap/>
            <w:vAlign w:val="bottom"/>
          </w:tcPr>
          <w:p w14:paraId="110637EF" w14:textId="77777777" w:rsidR="007905E7" w:rsidRPr="000C4180" w:rsidRDefault="007905E7" w:rsidP="007905E7">
            <w:pPr>
              <w:jc w:val="right"/>
              <w:rPr>
                <w:sz w:val="20"/>
                <w:szCs w:val="20"/>
              </w:rPr>
            </w:pPr>
            <w:r w:rsidRPr="000C4180">
              <w:rPr>
                <w:sz w:val="20"/>
                <w:szCs w:val="20"/>
              </w:rPr>
              <w:t>-5467.6</w:t>
            </w:r>
          </w:p>
        </w:tc>
      </w:tr>
      <w:tr w:rsidR="007905E7" w:rsidRPr="000C4180" w14:paraId="5369218C" w14:textId="77777777" w:rsidTr="00131E6C">
        <w:trPr>
          <w:trHeight w:val="201"/>
          <w:jc w:val="center"/>
        </w:trPr>
        <w:tc>
          <w:tcPr>
            <w:tcW w:w="2245" w:type="dxa"/>
            <w:noWrap/>
            <w:vAlign w:val="bottom"/>
          </w:tcPr>
          <w:p w14:paraId="308113F8" w14:textId="77777777" w:rsidR="007905E7" w:rsidRPr="000C4180" w:rsidRDefault="007905E7" w:rsidP="007905E7">
            <w:pPr>
              <w:rPr>
                <w:color w:val="000000"/>
                <w:sz w:val="20"/>
                <w:szCs w:val="20"/>
              </w:rPr>
            </w:pPr>
            <w:r w:rsidRPr="000C4180">
              <w:rPr>
                <w:color w:val="000000"/>
                <w:sz w:val="20"/>
                <w:szCs w:val="20"/>
              </w:rPr>
              <w:t>MCAS at MIRR (8,3)</w:t>
            </w:r>
          </w:p>
        </w:tc>
        <w:tc>
          <w:tcPr>
            <w:tcW w:w="900" w:type="dxa"/>
            <w:shd w:val="clear" w:color="auto" w:fill="FFFFFF" w:themeFill="background1"/>
            <w:noWrap/>
            <w:vAlign w:val="bottom"/>
          </w:tcPr>
          <w:p w14:paraId="62E7D93F" w14:textId="77777777" w:rsidR="007905E7" w:rsidRPr="000C4180" w:rsidRDefault="007905E7" w:rsidP="007905E7">
            <w:pPr>
              <w:jc w:val="right"/>
              <w:rPr>
                <w:color w:val="000000"/>
                <w:sz w:val="20"/>
                <w:szCs w:val="20"/>
              </w:rPr>
            </w:pPr>
            <w:r w:rsidRPr="000C4180">
              <w:rPr>
                <w:color w:val="000000"/>
                <w:sz w:val="20"/>
                <w:szCs w:val="20"/>
              </w:rPr>
              <w:t>5.8%</w:t>
            </w:r>
          </w:p>
        </w:tc>
        <w:tc>
          <w:tcPr>
            <w:tcW w:w="990" w:type="dxa"/>
            <w:noWrap/>
            <w:vAlign w:val="bottom"/>
          </w:tcPr>
          <w:p w14:paraId="73864304" w14:textId="77777777" w:rsidR="007905E7" w:rsidRPr="000C4180" w:rsidRDefault="007905E7" w:rsidP="007905E7">
            <w:pPr>
              <w:jc w:val="right"/>
              <w:rPr>
                <w:color w:val="000000"/>
                <w:sz w:val="20"/>
                <w:szCs w:val="20"/>
              </w:rPr>
            </w:pPr>
            <w:r w:rsidRPr="000C4180">
              <w:rPr>
                <w:color w:val="000000"/>
                <w:sz w:val="20"/>
                <w:szCs w:val="20"/>
              </w:rPr>
              <w:t>-3474.4</w:t>
            </w:r>
          </w:p>
        </w:tc>
        <w:tc>
          <w:tcPr>
            <w:tcW w:w="1170" w:type="dxa"/>
            <w:noWrap/>
            <w:vAlign w:val="bottom"/>
          </w:tcPr>
          <w:p w14:paraId="00C5D755" w14:textId="77777777" w:rsidR="007905E7" w:rsidRPr="000C4180" w:rsidRDefault="007905E7" w:rsidP="007905E7">
            <w:pPr>
              <w:jc w:val="right"/>
              <w:rPr>
                <w:sz w:val="20"/>
                <w:szCs w:val="20"/>
              </w:rPr>
            </w:pPr>
            <w:r w:rsidRPr="000C4180">
              <w:rPr>
                <w:sz w:val="20"/>
                <w:szCs w:val="20"/>
              </w:rPr>
              <w:t>10000</w:t>
            </w:r>
          </w:p>
        </w:tc>
        <w:tc>
          <w:tcPr>
            <w:tcW w:w="990" w:type="dxa"/>
            <w:noWrap/>
            <w:vAlign w:val="bottom"/>
          </w:tcPr>
          <w:p w14:paraId="40E29A7E" w14:textId="77777777" w:rsidR="007905E7" w:rsidRPr="000C4180" w:rsidRDefault="007905E7" w:rsidP="007905E7">
            <w:pPr>
              <w:jc w:val="right"/>
              <w:rPr>
                <w:color w:val="000000"/>
                <w:sz w:val="20"/>
                <w:szCs w:val="20"/>
              </w:rPr>
            </w:pPr>
            <w:r w:rsidRPr="000C4180">
              <w:rPr>
                <w:color w:val="000000"/>
                <w:sz w:val="20"/>
                <w:szCs w:val="20"/>
              </w:rPr>
              <w:t>-10000</w:t>
            </w:r>
          </w:p>
        </w:tc>
        <w:tc>
          <w:tcPr>
            <w:tcW w:w="1080" w:type="dxa"/>
            <w:noWrap/>
            <w:vAlign w:val="bottom"/>
          </w:tcPr>
          <w:p w14:paraId="504D999B" w14:textId="77777777" w:rsidR="007905E7" w:rsidRPr="000C4180" w:rsidRDefault="007905E7" w:rsidP="007905E7">
            <w:pPr>
              <w:jc w:val="right"/>
              <w:rPr>
                <w:color w:val="000000"/>
                <w:sz w:val="20"/>
                <w:szCs w:val="20"/>
              </w:rPr>
            </w:pPr>
            <w:r w:rsidRPr="000C4180">
              <w:rPr>
                <w:color w:val="000000"/>
                <w:sz w:val="20"/>
                <w:szCs w:val="20"/>
              </w:rPr>
              <w:t>-4118.9</w:t>
            </w:r>
          </w:p>
        </w:tc>
        <w:tc>
          <w:tcPr>
            <w:tcW w:w="1620" w:type="dxa"/>
            <w:noWrap/>
            <w:vAlign w:val="bottom"/>
          </w:tcPr>
          <w:p w14:paraId="4C0ABFB3" w14:textId="77777777" w:rsidR="007905E7" w:rsidRPr="000C4180" w:rsidRDefault="007905E7" w:rsidP="007905E7">
            <w:pPr>
              <w:jc w:val="right"/>
              <w:rPr>
                <w:sz w:val="20"/>
                <w:szCs w:val="20"/>
              </w:rPr>
            </w:pPr>
            <w:r w:rsidRPr="000C4180">
              <w:rPr>
                <w:sz w:val="20"/>
                <w:szCs w:val="20"/>
              </w:rPr>
              <w:t>-4118.9</w:t>
            </w:r>
          </w:p>
        </w:tc>
      </w:tr>
    </w:tbl>
    <w:bookmarkEnd w:id="9"/>
    <w:p w14:paraId="0338EACE" w14:textId="19612268" w:rsidR="005A2F54" w:rsidRPr="000C4180" w:rsidRDefault="005A2F54" w:rsidP="005A2F54">
      <w:pPr>
        <w:ind w:left="720"/>
        <w:rPr>
          <w:color w:val="000000"/>
          <w:sz w:val="18"/>
          <w:szCs w:val="18"/>
        </w:rPr>
      </w:pPr>
      <w:r w:rsidRPr="000C4180">
        <w:rPr>
          <w:sz w:val="18"/>
          <w:szCs w:val="18"/>
        </w:rPr>
        <w:t>Data source:</w:t>
      </w:r>
      <w:r w:rsidRPr="000C4180">
        <w:rPr>
          <w:color w:val="000000"/>
          <w:sz w:val="18"/>
          <w:szCs w:val="18"/>
        </w:rPr>
        <w:t xml:space="preserve"> </w:t>
      </w:r>
      <w:hyperlink r:id="rId12" w:history="1">
        <w:r w:rsidRPr="000C4180">
          <w:rPr>
            <w:rStyle w:val="Hyperlink"/>
            <w:sz w:val="18"/>
            <w:szCs w:val="18"/>
          </w:rPr>
          <w:t>https://www.propertymetrics.com/blog/2015/10/28/how-to-use-the-modified-internal-rate-of-return-mirr/</w:t>
        </w:r>
      </w:hyperlink>
      <w:r w:rsidRPr="000C4180">
        <w:rPr>
          <w:color w:val="000000"/>
          <w:sz w:val="18"/>
          <w:szCs w:val="18"/>
        </w:rPr>
        <w:t xml:space="preserve"> and </w:t>
      </w:r>
      <w:hyperlink r:id="rId13" w:history="1">
        <w:r w:rsidRPr="000C4180">
          <w:rPr>
            <w:rStyle w:val="Hyperlink"/>
            <w:sz w:val="18"/>
            <w:szCs w:val="18"/>
          </w:rPr>
          <w:t>http://www.exceluser.com/formulas/irr.htm</w:t>
        </w:r>
      </w:hyperlink>
    </w:p>
    <w:p w14:paraId="39948660" w14:textId="3E719C97" w:rsidR="00131E6C" w:rsidRPr="000C4180" w:rsidRDefault="00131E6C" w:rsidP="005A2F54">
      <w:pPr>
        <w:spacing w:line="360" w:lineRule="auto"/>
        <w:jc w:val="both"/>
        <w:rPr>
          <w:color w:val="131516"/>
          <w:sz w:val="22"/>
          <w:szCs w:val="22"/>
        </w:rPr>
      </w:pPr>
    </w:p>
    <w:p w14:paraId="11F3EACB" w14:textId="77777777" w:rsidR="005A2F54" w:rsidRPr="000C4180" w:rsidRDefault="005A2F54" w:rsidP="005A2F54">
      <w:pPr>
        <w:spacing w:line="360" w:lineRule="auto"/>
        <w:jc w:val="both"/>
        <w:rPr>
          <w:color w:val="131516"/>
          <w:sz w:val="22"/>
          <w:szCs w:val="22"/>
        </w:rPr>
      </w:pPr>
      <w:r w:rsidRPr="000C4180">
        <w:rPr>
          <w:color w:val="131516"/>
          <w:sz w:val="22"/>
          <w:szCs w:val="22"/>
        </w:rPr>
        <w:t>In summary, the real IRR is 0% estimated by the MCAS method. All other IRRs and MIRRs are not real returns. MIRR could never eliminate the real problem of multiple IRR. Next, the discussion will be about the AIRR and GIRR that are proposed based on strong mathematical analysis of the properties of the polynomials (NPV equation).</w:t>
      </w:r>
    </w:p>
    <w:p w14:paraId="55833706" w14:textId="77777777" w:rsidR="00351D43" w:rsidRPr="000C4180" w:rsidRDefault="00351D43" w:rsidP="005A2F54">
      <w:pPr>
        <w:spacing w:line="360" w:lineRule="auto"/>
        <w:jc w:val="both"/>
        <w:rPr>
          <w:color w:val="131516"/>
          <w:sz w:val="22"/>
          <w:szCs w:val="22"/>
        </w:rPr>
      </w:pPr>
    </w:p>
    <w:p w14:paraId="7DEEE0AE" w14:textId="77777777" w:rsidR="00A74765" w:rsidRDefault="00A74765" w:rsidP="00F22C3B">
      <w:pPr>
        <w:pStyle w:val="Heading3"/>
        <w:jc w:val="left"/>
      </w:pPr>
    </w:p>
    <w:p w14:paraId="1E345C1B" w14:textId="77777777" w:rsidR="00A74765" w:rsidRDefault="00A74765" w:rsidP="00F22C3B">
      <w:pPr>
        <w:pStyle w:val="Heading3"/>
        <w:jc w:val="left"/>
      </w:pPr>
    </w:p>
    <w:p w14:paraId="09E215D0" w14:textId="502E6061" w:rsidR="005A2F54" w:rsidRPr="000C4180" w:rsidRDefault="005A2F54" w:rsidP="00F22C3B">
      <w:pPr>
        <w:pStyle w:val="Heading3"/>
        <w:jc w:val="left"/>
      </w:pPr>
      <w:r w:rsidRPr="000C4180">
        <w:t>4.5 A Review of the GIRR and AIRR Methods to Estimate NNCF</w:t>
      </w:r>
    </w:p>
    <w:p w14:paraId="57352D9C" w14:textId="77777777" w:rsidR="005A2F54" w:rsidRPr="000C4180" w:rsidRDefault="005A2F54" w:rsidP="005A2F54">
      <w:pPr>
        <w:spacing w:line="360" w:lineRule="auto"/>
        <w:jc w:val="both"/>
        <w:rPr>
          <w:color w:val="131516"/>
          <w:sz w:val="22"/>
          <w:szCs w:val="22"/>
        </w:rPr>
      </w:pPr>
      <w:r w:rsidRPr="000C4180">
        <w:rPr>
          <w:color w:val="131516"/>
          <w:sz w:val="22"/>
          <w:szCs w:val="22"/>
        </w:rPr>
        <w:t xml:space="preserve">Kulakov and Kastro (2015) and Magni (2010) studied the mathematical properties of the NNCF and presented useful mathematical insight into the NNCF analysis and the associated multiple roots. The former authors proposed a Generalised IRR (GIRR) and the later author proposed Average IRR (AIRR, also Aggregate Return on Investment - AROI) to estimate the NNCF investments. A critique of these two approaches are available in Arjunan (2017b). Multiple roots identified may contain valuable information (see Hazen, 2003 and Osborne 2011). That information will be relevant for that specific polynomial and not for the modified polynomials (as in the case of MCAS). </w:t>
      </w:r>
    </w:p>
    <w:p w14:paraId="2E23A08D" w14:textId="3F1F45BE" w:rsidR="005A2F54" w:rsidRPr="000C4180" w:rsidRDefault="005A2F54" w:rsidP="005A2F54">
      <w:pPr>
        <w:spacing w:line="360" w:lineRule="auto"/>
        <w:jc w:val="both"/>
        <w:rPr>
          <w:color w:val="131516"/>
          <w:sz w:val="22"/>
          <w:szCs w:val="22"/>
        </w:rPr>
      </w:pPr>
    </w:p>
    <w:p w14:paraId="27D303C3" w14:textId="77777777" w:rsidR="005A2F54" w:rsidRPr="000C4180" w:rsidRDefault="005A2F54" w:rsidP="005A2F54">
      <w:pPr>
        <w:spacing w:line="360" w:lineRule="auto"/>
        <w:jc w:val="both"/>
        <w:rPr>
          <w:color w:val="131516"/>
          <w:sz w:val="22"/>
          <w:szCs w:val="22"/>
        </w:rPr>
      </w:pPr>
      <w:r w:rsidRPr="000C4180">
        <w:rPr>
          <w:color w:val="131516"/>
          <w:sz w:val="22"/>
          <w:szCs w:val="22"/>
        </w:rPr>
        <w:t xml:space="preserve">Kulakov and Kastro (2015) used in Table 1, the ‘oil pump installation project’ data studied by Solomon (1956). They concluded that </w:t>
      </w:r>
      <w:r w:rsidRPr="000C4180">
        <w:rPr>
          <w:bCs/>
          <w:color w:val="555555"/>
          <w:sz w:val="22"/>
          <w:szCs w:val="22"/>
        </w:rPr>
        <w:t xml:space="preserve">16.9% is the project’s rate of return and the GIRR. </w:t>
      </w:r>
      <w:r w:rsidRPr="000C4180">
        <w:rPr>
          <w:color w:val="131516"/>
          <w:sz w:val="22"/>
          <w:szCs w:val="22"/>
        </w:rPr>
        <w:t>The same data is analysed and various estimates are prepared under DCF, CAS and MCAS methods and the results are furnished in Table 5</w:t>
      </w:r>
      <w:r w:rsidR="005A5551" w:rsidRPr="000C4180">
        <w:rPr>
          <w:color w:val="131516"/>
          <w:sz w:val="22"/>
          <w:szCs w:val="22"/>
        </w:rPr>
        <w:t xml:space="preserve"> and </w:t>
      </w:r>
      <w:r w:rsidRPr="000C4180">
        <w:rPr>
          <w:color w:val="131516"/>
          <w:sz w:val="22"/>
          <w:szCs w:val="22"/>
        </w:rPr>
        <w:t>summarized below:</w:t>
      </w:r>
    </w:p>
    <w:p w14:paraId="65440EB4" w14:textId="38A4CBF2" w:rsidR="005A5551" w:rsidRPr="000C4180" w:rsidRDefault="005A5551" w:rsidP="005A5551">
      <w:pPr>
        <w:pStyle w:val="ListParagraph"/>
        <w:numPr>
          <w:ilvl w:val="0"/>
          <w:numId w:val="8"/>
        </w:numPr>
        <w:spacing w:line="360" w:lineRule="auto"/>
        <w:jc w:val="both"/>
        <w:rPr>
          <w:color w:val="131516"/>
          <w:sz w:val="22"/>
          <w:szCs w:val="22"/>
        </w:rPr>
      </w:pPr>
      <w:r w:rsidRPr="000C4180">
        <w:rPr>
          <w:color w:val="131516"/>
          <w:sz w:val="22"/>
          <w:szCs w:val="22"/>
        </w:rPr>
        <w:t>The estimated IRRs are 25% and 400%</w:t>
      </w:r>
      <w:r w:rsidRPr="000C4180">
        <w:t xml:space="preserve"> by t</w:t>
      </w:r>
      <w:r w:rsidRPr="000C4180">
        <w:rPr>
          <w:color w:val="131516"/>
          <w:sz w:val="22"/>
          <w:szCs w:val="22"/>
        </w:rPr>
        <w:t>he CAS and DCF method. The multiple IRR problem associated with this NNCF is already reported by Solomon (1956).</w:t>
      </w:r>
    </w:p>
    <w:p w14:paraId="7EF4F870" w14:textId="703D5CDF" w:rsidR="005A5551" w:rsidRPr="000C4180" w:rsidRDefault="005A5551" w:rsidP="005A5551">
      <w:pPr>
        <w:pStyle w:val="ListParagraph"/>
        <w:numPr>
          <w:ilvl w:val="0"/>
          <w:numId w:val="8"/>
        </w:numPr>
        <w:spacing w:line="360" w:lineRule="auto"/>
        <w:jc w:val="both"/>
        <w:rPr>
          <w:color w:val="131516"/>
          <w:sz w:val="22"/>
          <w:szCs w:val="22"/>
        </w:rPr>
      </w:pPr>
      <w:r w:rsidRPr="000C4180">
        <w:rPr>
          <w:color w:val="131516"/>
          <w:sz w:val="22"/>
          <w:szCs w:val="22"/>
        </w:rPr>
        <w:t xml:space="preserve">The NPVs are zero at IRR 25% and 400% but not at GIRR of 16.9%. At GIRR of 16.9% the closing balance in the CAS is -497 (NPV = -363) and with MCAS the closing balance at 16.9% is -1870 (NPV = -1369). Under CAS and MCAS methods the closing balance indicates the NNCF is not </w:t>
      </w:r>
      <w:r w:rsidR="009116C3" w:rsidRPr="000C4180">
        <w:rPr>
          <w:color w:val="131516"/>
          <w:sz w:val="22"/>
          <w:szCs w:val="22"/>
        </w:rPr>
        <w:t>enough</w:t>
      </w:r>
      <w:r w:rsidRPr="000C4180">
        <w:rPr>
          <w:color w:val="131516"/>
          <w:sz w:val="22"/>
          <w:szCs w:val="22"/>
        </w:rPr>
        <w:t xml:space="preserve"> to achieve a rate of return of 16.9% (GIRR). GIRR is therefore not the real rate of return. Under MCAS method the negative closing balance at 16.9% is due to the elimination of interest </w:t>
      </w:r>
      <w:r w:rsidRPr="000C4180">
        <w:rPr>
          <w:color w:val="131516"/>
          <w:sz w:val="22"/>
          <w:szCs w:val="22"/>
        </w:rPr>
        <w:lastRenderedPageBreak/>
        <w:t>income on the positive OB. Neither the IRRs by DCF or CAS method nor the GIRR is real and the estimates are confusing with multiple IRR.</w:t>
      </w:r>
    </w:p>
    <w:p w14:paraId="16EBD3DB" w14:textId="61ADACA7" w:rsidR="005A5551" w:rsidRPr="000C4180" w:rsidRDefault="005A5551" w:rsidP="005A5551">
      <w:pPr>
        <w:pStyle w:val="ListParagraph"/>
        <w:numPr>
          <w:ilvl w:val="0"/>
          <w:numId w:val="8"/>
        </w:numPr>
        <w:spacing w:line="360" w:lineRule="auto"/>
        <w:jc w:val="both"/>
        <w:rPr>
          <w:color w:val="131516"/>
          <w:sz w:val="22"/>
          <w:szCs w:val="22"/>
        </w:rPr>
      </w:pPr>
      <w:r w:rsidRPr="000C4180">
        <w:rPr>
          <w:color w:val="131516"/>
          <w:sz w:val="22"/>
          <w:szCs w:val="22"/>
        </w:rPr>
        <w:t xml:space="preserve">A unique IRR of -100% is estimated for this project by MCAS method. That means the entire capital of 1600 is lost (100% loss). The undiscounted SNCF is -1600 that also means the entire capital is lost (100% loss). The MCAS method indicates total capital loss (100%) (Net income is zero and therefore the ROC -1600 is unrecovered). </w:t>
      </w:r>
    </w:p>
    <w:p w14:paraId="702B3313" w14:textId="5F81DF9E" w:rsidR="005A5551" w:rsidRPr="000C4180" w:rsidRDefault="005A5551" w:rsidP="005A5551">
      <w:pPr>
        <w:pStyle w:val="ListParagraph"/>
        <w:numPr>
          <w:ilvl w:val="0"/>
          <w:numId w:val="8"/>
        </w:numPr>
        <w:spacing w:line="360" w:lineRule="auto"/>
        <w:jc w:val="both"/>
        <w:rPr>
          <w:color w:val="131516"/>
          <w:sz w:val="22"/>
          <w:szCs w:val="22"/>
        </w:rPr>
      </w:pPr>
      <w:r w:rsidRPr="000C4180">
        <w:rPr>
          <w:color w:val="131516"/>
          <w:sz w:val="22"/>
          <w:szCs w:val="22"/>
        </w:rPr>
        <w:t>Kulakov</w:t>
      </w:r>
      <w:r w:rsidRPr="000C4180">
        <w:rPr>
          <w:rStyle w:val="FootnoteReference"/>
          <w:color w:val="131516"/>
          <w:sz w:val="22"/>
          <w:szCs w:val="22"/>
        </w:rPr>
        <w:footnoteReference w:id="9"/>
      </w:r>
      <w:r w:rsidRPr="000C4180">
        <w:rPr>
          <w:color w:val="131516"/>
          <w:sz w:val="22"/>
          <w:szCs w:val="22"/>
        </w:rPr>
        <w:t xml:space="preserve"> and Kastro (2015, p.10) analysed the above NNCF and reported that "</w:t>
      </w:r>
      <w:r w:rsidRPr="000C4180">
        <w:t>t</w:t>
      </w:r>
      <w:r w:rsidRPr="000C4180">
        <w:rPr>
          <w:color w:val="131516"/>
          <w:sz w:val="22"/>
          <w:szCs w:val="22"/>
        </w:rPr>
        <w:t>he highest interest rate resulting in a zero balance is equal to 16.9%. This rate is the project’s rate of return and it is the GIRR". However, under the MCAS at 16.9% neither the CB nor the NPV is zero and therefore not consistent with NPV and NCF. The MCAS estimated IRR of -100% is consistent with NPV and NNCF (both Zero at -100%) explains the capital loss of 100%. This finding rejects the argument of Magni (2010) that “the IRR is not capable of signaling the entire loss of investment”. Negative rate of return is normally common when the sum of NNCF is negative. The GIRR of 16.9% is not the correct IRR and therefore GIRR method is not appropriate.</w:t>
      </w:r>
    </w:p>
    <w:p w14:paraId="44535AC9" w14:textId="146C97BA" w:rsidR="005A5551" w:rsidRPr="000C4180" w:rsidRDefault="005A5551" w:rsidP="005A5551">
      <w:pPr>
        <w:spacing w:line="360" w:lineRule="auto"/>
        <w:jc w:val="both"/>
        <w:rPr>
          <w:color w:val="131516"/>
          <w:sz w:val="22"/>
          <w:szCs w:val="22"/>
        </w:rPr>
      </w:pPr>
    </w:p>
    <w:p w14:paraId="4CCEA6AA" w14:textId="53ED07C7" w:rsidR="005A5551" w:rsidRDefault="005A5551" w:rsidP="005A5551">
      <w:pPr>
        <w:spacing w:line="360" w:lineRule="auto"/>
        <w:jc w:val="both"/>
        <w:rPr>
          <w:color w:val="131516"/>
          <w:sz w:val="22"/>
          <w:szCs w:val="22"/>
        </w:rPr>
      </w:pPr>
      <w:r w:rsidRPr="000C4180">
        <w:rPr>
          <w:color w:val="131516"/>
          <w:sz w:val="22"/>
          <w:szCs w:val="22"/>
        </w:rPr>
        <w:t xml:space="preserve">Magni (2010) used a NNCF data set studied by Hazen (2003, p. 44) with an assumed market rate equal to 10% (see table 1, Magni 2010) and </w:t>
      </w:r>
      <w:bookmarkStart w:id="10" w:name="_Hlk507147416"/>
      <w:r w:rsidRPr="000C4180">
        <w:rPr>
          <w:color w:val="131516"/>
          <w:sz w:val="22"/>
          <w:szCs w:val="22"/>
        </w:rPr>
        <w:t>estimated an AIRR of -27.27% and claims that this rate is real rate.</w:t>
      </w:r>
      <w:bookmarkEnd w:id="10"/>
      <w:r w:rsidRPr="000C4180">
        <w:rPr>
          <w:color w:val="131516"/>
          <w:sz w:val="22"/>
          <w:szCs w:val="22"/>
        </w:rPr>
        <w:t xml:space="preserve"> The estimated results are presented in Table 5 and summarized here:</w:t>
      </w:r>
    </w:p>
    <w:p w14:paraId="2EDC92D6" w14:textId="77777777" w:rsidR="005A2F54" w:rsidRPr="000C4180" w:rsidRDefault="005A2F54" w:rsidP="009109B3">
      <w:pPr>
        <w:pStyle w:val="Heading3"/>
      </w:pPr>
      <w:r w:rsidRPr="000C4180">
        <w:t>Table 5: An Evaluation of the AIRR and GIRR – An alternative to IRR</w:t>
      </w:r>
    </w:p>
    <w:tbl>
      <w:tblPr>
        <w:tblStyle w:val="TableGrid"/>
        <w:tblW w:w="9195" w:type="dxa"/>
        <w:tblLook w:val="04A0" w:firstRow="1" w:lastRow="0" w:firstColumn="1" w:lastColumn="0" w:noHBand="0" w:noVBand="1"/>
      </w:tblPr>
      <w:tblGrid>
        <w:gridCol w:w="802"/>
        <w:gridCol w:w="1067"/>
        <w:gridCol w:w="1423"/>
        <w:gridCol w:w="1052"/>
        <w:gridCol w:w="1449"/>
        <w:gridCol w:w="893"/>
        <w:gridCol w:w="1468"/>
        <w:gridCol w:w="1041"/>
      </w:tblGrid>
      <w:tr w:rsidR="005A2F54" w:rsidRPr="000C4180" w14:paraId="3654E68B" w14:textId="77777777" w:rsidTr="00712BCD">
        <w:trPr>
          <w:trHeight w:val="279"/>
        </w:trPr>
        <w:tc>
          <w:tcPr>
            <w:tcW w:w="9195" w:type="dxa"/>
            <w:gridSpan w:val="8"/>
            <w:noWrap/>
            <w:hideMark/>
          </w:tcPr>
          <w:p w14:paraId="5EF9F5BB" w14:textId="77777777" w:rsidR="005A2F54" w:rsidRPr="000C4180" w:rsidRDefault="005A2F54" w:rsidP="00712BCD">
            <w:pPr>
              <w:pStyle w:val="NoSpacing"/>
              <w:spacing w:line="240" w:lineRule="auto"/>
              <w:jc w:val="center"/>
              <w:rPr>
                <w:b/>
                <w:bCs/>
                <w:lang w:val="en-US"/>
              </w:rPr>
            </w:pPr>
            <w:r w:rsidRPr="000C4180">
              <w:rPr>
                <w:b/>
                <w:bCs/>
                <w:lang w:val="en-US"/>
              </w:rPr>
              <w:t>CAS and DCF Estimates - Data Source: Kulakov &amp; Kastro (2015)</w:t>
            </w:r>
          </w:p>
        </w:tc>
      </w:tr>
      <w:tr w:rsidR="005A2F54" w:rsidRPr="000C4180" w14:paraId="2C360180" w14:textId="77777777" w:rsidTr="00712BCD">
        <w:trPr>
          <w:trHeight w:val="279"/>
        </w:trPr>
        <w:tc>
          <w:tcPr>
            <w:tcW w:w="802" w:type="dxa"/>
            <w:noWrap/>
            <w:hideMark/>
          </w:tcPr>
          <w:p w14:paraId="721D33A4" w14:textId="77777777" w:rsidR="005A2F54" w:rsidRPr="000C4180" w:rsidRDefault="005A2F54" w:rsidP="00712BCD">
            <w:pPr>
              <w:pStyle w:val="NoSpacing"/>
              <w:spacing w:line="240" w:lineRule="auto"/>
              <w:rPr>
                <w:b/>
                <w:bCs/>
                <w:lang w:val="en-US"/>
              </w:rPr>
            </w:pPr>
            <w:r w:rsidRPr="000C4180">
              <w:rPr>
                <w:b/>
                <w:bCs/>
                <w:lang w:val="en-US"/>
              </w:rPr>
              <w:t>Years</w:t>
            </w:r>
          </w:p>
        </w:tc>
        <w:tc>
          <w:tcPr>
            <w:tcW w:w="1067" w:type="dxa"/>
            <w:noWrap/>
            <w:hideMark/>
          </w:tcPr>
          <w:p w14:paraId="65530FEA" w14:textId="77777777" w:rsidR="005A2F54" w:rsidRPr="000C4180" w:rsidRDefault="005A2F54" w:rsidP="00712BCD">
            <w:pPr>
              <w:pStyle w:val="NoSpacing"/>
              <w:spacing w:line="240" w:lineRule="auto"/>
              <w:rPr>
                <w:b/>
                <w:bCs/>
                <w:lang w:val="en-US"/>
              </w:rPr>
            </w:pPr>
            <w:r w:rsidRPr="000C4180">
              <w:rPr>
                <w:b/>
                <w:bCs/>
                <w:lang w:val="en-US"/>
              </w:rPr>
              <w:t>NNCF</w:t>
            </w:r>
          </w:p>
        </w:tc>
        <w:tc>
          <w:tcPr>
            <w:tcW w:w="7325" w:type="dxa"/>
            <w:gridSpan w:val="6"/>
            <w:noWrap/>
            <w:hideMark/>
          </w:tcPr>
          <w:p w14:paraId="3E966F3B" w14:textId="77777777" w:rsidR="005A2F54" w:rsidRPr="000C4180" w:rsidRDefault="005A2F54" w:rsidP="00712BCD">
            <w:pPr>
              <w:pStyle w:val="NoSpacing"/>
              <w:spacing w:line="240" w:lineRule="auto"/>
              <w:jc w:val="center"/>
              <w:rPr>
                <w:b/>
                <w:bCs/>
                <w:lang w:val="en-US"/>
              </w:rPr>
            </w:pPr>
            <w:r w:rsidRPr="000C4180">
              <w:rPr>
                <w:b/>
                <w:bCs/>
                <w:lang w:val="en-US"/>
              </w:rPr>
              <w:t>DCF and CAS Estimates</w:t>
            </w:r>
          </w:p>
        </w:tc>
      </w:tr>
      <w:tr w:rsidR="005A2F54" w:rsidRPr="000C4180" w14:paraId="21C56D44" w14:textId="77777777" w:rsidTr="00712BCD">
        <w:trPr>
          <w:trHeight w:val="273"/>
        </w:trPr>
        <w:tc>
          <w:tcPr>
            <w:tcW w:w="802" w:type="dxa"/>
            <w:noWrap/>
            <w:hideMark/>
          </w:tcPr>
          <w:p w14:paraId="2EE467E3" w14:textId="77777777" w:rsidR="005A2F54" w:rsidRPr="000C4180" w:rsidRDefault="005A2F54" w:rsidP="00712BCD">
            <w:pPr>
              <w:pStyle w:val="NoSpacing"/>
              <w:spacing w:line="240" w:lineRule="auto"/>
              <w:rPr>
                <w:lang w:val="en-US"/>
              </w:rPr>
            </w:pPr>
            <w:r w:rsidRPr="000C4180">
              <w:rPr>
                <w:lang w:val="en-US"/>
              </w:rPr>
              <w:t>0</w:t>
            </w:r>
          </w:p>
        </w:tc>
        <w:tc>
          <w:tcPr>
            <w:tcW w:w="1067" w:type="dxa"/>
            <w:noWrap/>
            <w:hideMark/>
          </w:tcPr>
          <w:p w14:paraId="0B7247E2" w14:textId="77777777" w:rsidR="005A2F54" w:rsidRPr="000C4180" w:rsidRDefault="005A2F54" w:rsidP="00712BCD">
            <w:pPr>
              <w:pStyle w:val="NoSpacing"/>
              <w:spacing w:line="240" w:lineRule="auto"/>
              <w:jc w:val="right"/>
              <w:rPr>
                <w:lang w:val="en-US"/>
              </w:rPr>
            </w:pPr>
            <w:r w:rsidRPr="000C4180">
              <w:rPr>
                <w:lang w:val="en-US"/>
              </w:rPr>
              <w:t>-1600</w:t>
            </w:r>
          </w:p>
        </w:tc>
        <w:tc>
          <w:tcPr>
            <w:tcW w:w="1422" w:type="dxa"/>
            <w:noWrap/>
            <w:hideMark/>
          </w:tcPr>
          <w:p w14:paraId="3A3C6977" w14:textId="77777777" w:rsidR="005A2F54" w:rsidRPr="000C4180" w:rsidRDefault="005A2F54" w:rsidP="00712BCD">
            <w:pPr>
              <w:pStyle w:val="NoSpacing"/>
              <w:spacing w:line="240" w:lineRule="auto"/>
              <w:rPr>
                <w:lang w:val="en-US"/>
              </w:rPr>
            </w:pPr>
            <w:r w:rsidRPr="000C4180">
              <w:rPr>
                <w:lang w:val="en-US"/>
              </w:rPr>
              <w:t>Criteria</w:t>
            </w:r>
          </w:p>
        </w:tc>
        <w:tc>
          <w:tcPr>
            <w:tcW w:w="1051" w:type="dxa"/>
            <w:noWrap/>
            <w:hideMark/>
          </w:tcPr>
          <w:p w14:paraId="3AA6D532" w14:textId="77777777" w:rsidR="005A2F54" w:rsidRPr="000C4180" w:rsidRDefault="005A2F54" w:rsidP="00712BCD">
            <w:pPr>
              <w:pStyle w:val="NoSpacing"/>
              <w:spacing w:line="240" w:lineRule="auto"/>
              <w:rPr>
                <w:lang w:val="en-US"/>
              </w:rPr>
            </w:pPr>
            <w:r w:rsidRPr="000C4180">
              <w:rPr>
                <w:lang w:val="en-US"/>
              </w:rPr>
              <w:t>Values</w:t>
            </w:r>
          </w:p>
        </w:tc>
        <w:tc>
          <w:tcPr>
            <w:tcW w:w="1449" w:type="dxa"/>
            <w:noWrap/>
          </w:tcPr>
          <w:p w14:paraId="2D4DA646" w14:textId="77777777" w:rsidR="005A2F54" w:rsidRPr="000C4180" w:rsidRDefault="005A2F54" w:rsidP="00712BCD">
            <w:pPr>
              <w:pStyle w:val="NoSpacing"/>
              <w:spacing w:line="240" w:lineRule="auto"/>
              <w:rPr>
                <w:lang w:val="en-US"/>
              </w:rPr>
            </w:pPr>
            <w:r w:rsidRPr="000C4180">
              <w:rPr>
                <w:lang w:val="en-US"/>
              </w:rPr>
              <w:t>Criteria</w:t>
            </w:r>
          </w:p>
        </w:tc>
        <w:tc>
          <w:tcPr>
            <w:tcW w:w="893" w:type="dxa"/>
            <w:noWrap/>
          </w:tcPr>
          <w:p w14:paraId="16F08D5F" w14:textId="77777777" w:rsidR="005A2F54" w:rsidRPr="000C4180" w:rsidRDefault="005A2F54" w:rsidP="00712BCD">
            <w:pPr>
              <w:pStyle w:val="NoSpacing"/>
              <w:spacing w:line="240" w:lineRule="auto"/>
              <w:rPr>
                <w:lang w:val="en-US"/>
              </w:rPr>
            </w:pPr>
            <w:r w:rsidRPr="000C4180">
              <w:rPr>
                <w:lang w:val="en-US"/>
              </w:rPr>
              <w:t>Value</w:t>
            </w:r>
          </w:p>
        </w:tc>
        <w:tc>
          <w:tcPr>
            <w:tcW w:w="1468" w:type="dxa"/>
            <w:noWrap/>
          </w:tcPr>
          <w:p w14:paraId="256C22FF" w14:textId="77777777" w:rsidR="005A2F54" w:rsidRPr="000C4180" w:rsidRDefault="005A2F54" w:rsidP="00712BCD">
            <w:pPr>
              <w:pStyle w:val="NoSpacing"/>
              <w:spacing w:line="240" w:lineRule="auto"/>
              <w:rPr>
                <w:lang w:val="en-US"/>
              </w:rPr>
            </w:pPr>
            <w:r w:rsidRPr="000C4180">
              <w:rPr>
                <w:lang w:val="en-US"/>
              </w:rPr>
              <w:t>Criteria</w:t>
            </w:r>
          </w:p>
        </w:tc>
        <w:tc>
          <w:tcPr>
            <w:tcW w:w="1039" w:type="dxa"/>
            <w:noWrap/>
          </w:tcPr>
          <w:p w14:paraId="40874DEE" w14:textId="77777777" w:rsidR="005A2F54" w:rsidRPr="000C4180" w:rsidRDefault="005A2F54" w:rsidP="00712BCD">
            <w:pPr>
              <w:pStyle w:val="NoSpacing"/>
              <w:spacing w:line="240" w:lineRule="auto"/>
              <w:rPr>
                <w:lang w:val="en-US"/>
              </w:rPr>
            </w:pPr>
            <w:r w:rsidRPr="000C4180">
              <w:rPr>
                <w:lang w:val="en-US"/>
              </w:rPr>
              <w:t>Value</w:t>
            </w:r>
          </w:p>
        </w:tc>
      </w:tr>
      <w:tr w:rsidR="005A2F54" w:rsidRPr="000C4180" w14:paraId="0610D35A" w14:textId="77777777" w:rsidTr="00712BCD">
        <w:trPr>
          <w:trHeight w:val="244"/>
        </w:trPr>
        <w:tc>
          <w:tcPr>
            <w:tcW w:w="802" w:type="dxa"/>
            <w:noWrap/>
            <w:hideMark/>
          </w:tcPr>
          <w:p w14:paraId="2DFDA052" w14:textId="77777777" w:rsidR="005A2F54" w:rsidRPr="000C4180" w:rsidRDefault="005A2F54" w:rsidP="00712BCD">
            <w:pPr>
              <w:pStyle w:val="NoSpacing"/>
              <w:spacing w:line="240" w:lineRule="auto"/>
              <w:rPr>
                <w:lang w:val="en-US"/>
              </w:rPr>
            </w:pPr>
            <w:r w:rsidRPr="000C4180">
              <w:rPr>
                <w:lang w:val="en-US"/>
              </w:rPr>
              <w:t>1</w:t>
            </w:r>
          </w:p>
        </w:tc>
        <w:tc>
          <w:tcPr>
            <w:tcW w:w="1067" w:type="dxa"/>
            <w:noWrap/>
            <w:hideMark/>
          </w:tcPr>
          <w:p w14:paraId="75FC42BA" w14:textId="77777777" w:rsidR="005A2F54" w:rsidRPr="000C4180" w:rsidRDefault="005A2F54" w:rsidP="00712BCD">
            <w:pPr>
              <w:pStyle w:val="NoSpacing"/>
              <w:spacing w:line="240" w:lineRule="auto"/>
              <w:jc w:val="right"/>
              <w:rPr>
                <w:lang w:val="en-US"/>
              </w:rPr>
            </w:pPr>
            <w:r w:rsidRPr="000C4180">
              <w:rPr>
                <w:lang w:val="en-US"/>
              </w:rPr>
              <w:t>10000</w:t>
            </w:r>
          </w:p>
        </w:tc>
        <w:tc>
          <w:tcPr>
            <w:tcW w:w="1422" w:type="dxa"/>
            <w:noWrap/>
            <w:hideMark/>
          </w:tcPr>
          <w:p w14:paraId="6998CAB6" w14:textId="77777777" w:rsidR="005A2F54" w:rsidRPr="000C4180" w:rsidRDefault="005A2F54" w:rsidP="00712BCD">
            <w:pPr>
              <w:pStyle w:val="NoSpacing"/>
              <w:spacing w:line="240" w:lineRule="auto"/>
              <w:rPr>
                <w:lang w:val="en-US"/>
              </w:rPr>
            </w:pPr>
            <w:r w:rsidRPr="000C4180">
              <w:rPr>
                <w:lang w:val="en-US"/>
              </w:rPr>
              <w:t>IRR 1</w:t>
            </w:r>
          </w:p>
        </w:tc>
        <w:tc>
          <w:tcPr>
            <w:tcW w:w="1051" w:type="dxa"/>
            <w:noWrap/>
            <w:hideMark/>
          </w:tcPr>
          <w:p w14:paraId="25A58CBF" w14:textId="77777777" w:rsidR="005A2F54" w:rsidRPr="000C4180" w:rsidRDefault="005A2F54" w:rsidP="00712BCD">
            <w:pPr>
              <w:pStyle w:val="NoSpacing"/>
              <w:spacing w:line="240" w:lineRule="auto"/>
              <w:jc w:val="right"/>
              <w:rPr>
                <w:lang w:val="en-US"/>
              </w:rPr>
            </w:pPr>
            <w:r w:rsidRPr="000C4180">
              <w:rPr>
                <w:lang w:val="en-US"/>
              </w:rPr>
              <w:t>25%</w:t>
            </w:r>
          </w:p>
        </w:tc>
        <w:tc>
          <w:tcPr>
            <w:tcW w:w="1449" w:type="dxa"/>
            <w:noWrap/>
          </w:tcPr>
          <w:p w14:paraId="5B15530D" w14:textId="77777777" w:rsidR="005A2F54" w:rsidRPr="000C4180" w:rsidRDefault="005A2F54" w:rsidP="00712BCD">
            <w:pPr>
              <w:pStyle w:val="NoSpacing"/>
              <w:spacing w:line="240" w:lineRule="auto"/>
              <w:rPr>
                <w:lang w:val="en-US"/>
              </w:rPr>
            </w:pPr>
            <w:r w:rsidRPr="000C4180">
              <w:rPr>
                <w:lang w:val="en-US"/>
              </w:rPr>
              <w:t>NPV at 25%</w:t>
            </w:r>
          </w:p>
        </w:tc>
        <w:tc>
          <w:tcPr>
            <w:tcW w:w="893" w:type="dxa"/>
            <w:noWrap/>
          </w:tcPr>
          <w:p w14:paraId="5C20077E" w14:textId="77777777" w:rsidR="005A2F54" w:rsidRPr="000C4180" w:rsidRDefault="005A2F54" w:rsidP="00712BCD">
            <w:pPr>
              <w:pStyle w:val="NoSpacing"/>
              <w:spacing w:line="240" w:lineRule="auto"/>
              <w:jc w:val="right"/>
              <w:rPr>
                <w:lang w:val="en-US"/>
              </w:rPr>
            </w:pPr>
            <w:r w:rsidRPr="000C4180">
              <w:rPr>
                <w:lang w:val="en-US"/>
              </w:rPr>
              <w:t>0</w:t>
            </w:r>
          </w:p>
        </w:tc>
        <w:tc>
          <w:tcPr>
            <w:tcW w:w="1468" w:type="dxa"/>
            <w:noWrap/>
            <w:hideMark/>
          </w:tcPr>
          <w:p w14:paraId="53CC4A95" w14:textId="77777777" w:rsidR="005A2F54" w:rsidRPr="000C4180" w:rsidRDefault="005A2F54" w:rsidP="00712BCD">
            <w:pPr>
              <w:pStyle w:val="NoSpacing"/>
              <w:spacing w:line="240" w:lineRule="auto"/>
              <w:rPr>
                <w:lang w:val="en-US"/>
              </w:rPr>
            </w:pPr>
            <w:r w:rsidRPr="000C4180">
              <w:rPr>
                <w:lang w:val="en-US"/>
              </w:rPr>
              <w:t>MIRR (10,10)</w:t>
            </w:r>
          </w:p>
        </w:tc>
        <w:tc>
          <w:tcPr>
            <w:tcW w:w="1039" w:type="dxa"/>
            <w:noWrap/>
            <w:hideMark/>
          </w:tcPr>
          <w:p w14:paraId="5F561FDA" w14:textId="77777777" w:rsidR="005A2F54" w:rsidRPr="000C4180" w:rsidRDefault="005A2F54" w:rsidP="00712BCD">
            <w:pPr>
              <w:pStyle w:val="NoSpacing"/>
              <w:spacing w:line="240" w:lineRule="auto"/>
              <w:jc w:val="right"/>
              <w:rPr>
                <w:lang w:val="en-US"/>
              </w:rPr>
            </w:pPr>
            <w:r w:rsidRPr="000C4180">
              <w:rPr>
                <w:lang w:val="en-US"/>
              </w:rPr>
              <w:t>5.6%</w:t>
            </w:r>
          </w:p>
        </w:tc>
      </w:tr>
      <w:tr w:rsidR="005A2F54" w:rsidRPr="000C4180" w14:paraId="2A4437C4" w14:textId="77777777" w:rsidTr="00712BCD">
        <w:trPr>
          <w:trHeight w:val="244"/>
        </w:trPr>
        <w:tc>
          <w:tcPr>
            <w:tcW w:w="802" w:type="dxa"/>
            <w:noWrap/>
            <w:hideMark/>
          </w:tcPr>
          <w:p w14:paraId="4E88DF6A" w14:textId="77777777" w:rsidR="005A2F54" w:rsidRPr="000C4180" w:rsidRDefault="005A2F54" w:rsidP="00712BCD">
            <w:pPr>
              <w:pStyle w:val="NoSpacing"/>
              <w:spacing w:line="240" w:lineRule="auto"/>
              <w:rPr>
                <w:lang w:val="en-US"/>
              </w:rPr>
            </w:pPr>
            <w:r w:rsidRPr="000C4180">
              <w:rPr>
                <w:lang w:val="en-US"/>
              </w:rPr>
              <w:t>3</w:t>
            </w:r>
          </w:p>
        </w:tc>
        <w:tc>
          <w:tcPr>
            <w:tcW w:w="1067" w:type="dxa"/>
            <w:noWrap/>
            <w:hideMark/>
          </w:tcPr>
          <w:p w14:paraId="73EFB66D" w14:textId="77777777" w:rsidR="005A2F54" w:rsidRPr="000C4180" w:rsidRDefault="005A2F54" w:rsidP="00712BCD">
            <w:pPr>
              <w:pStyle w:val="NoSpacing"/>
              <w:spacing w:line="240" w:lineRule="auto"/>
              <w:jc w:val="right"/>
              <w:rPr>
                <w:lang w:val="en-US"/>
              </w:rPr>
            </w:pPr>
            <w:r w:rsidRPr="000C4180">
              <w:rPr>
                <w:lang w:val="en-US"/>
              </w:rPr>
              <w:t>-10000</w:t>
            </w:r>
          </w:p>
        </w:tc>
        <w:tc>
          <w:tcPr>
            <w:tcW w:w="1422" w:type="dxa"/>
            <w:noWrap/>
            <w:hideMark/>
          </w:tcPr>
          <w:p w14:paraId="4E367A65" w14:textId="77777777" w:rsidR="005A2F54" w:rsidRPr="000C4180" w:rsidRDefault="005A2F54" w:rsidP="00712BCD">
            <w:pPr>
              <w:pStyle w:val="NoSpacing"/>
              <w:spacing w:line="240" w:lineRule="auto"/>
              <w:rPr>
                <w:lang w:val="en-US"/>
              </w:rPr>
            </w:pPr>
            <w:r w:rsidRPr="000C4180">
              <w:rPr>
                <w:lang w:val="en-US"/>
              </w:rPr>
              <w:t>IRR 2</w:t>
            </w:r>
          </w:p>
        </w:tc>
        <w:tc>
          <w:tcPr>
            <w:tcW w:w="1051" w:type="dxa"/>
            <w:noWrap/>
            <w:hideMark/>
          </w:tcPr>
          <w:p w14:paraId="1B0245D7" w14:textId="77777777" w:rsidR="005A2F54" w:rsidRPr="000C4180" w:rsidRDefault="005A2F54" w:rsidP="00712BCD">
            <w:pPr>
              <w:pStyle w:val="NoSpacing"/>
              <w:spacing w:line="240" w:lineRule="auto"/>
              <w:jc w:val="right"/>
              <w:rPr>
                <w:lang w:val="en-US"/>
              </w:rPr>
            </w:pPr>
            <w:r w:rsidRPr="000C4180">
              <w:rPr>
                <w:lang w:val="en-US"/>
              </w:rPr>
              <w:t>400%</w:t>
            </w:r>
          </w:p>
        </w:tc>
        <w:tc>
          <w:tcPr>
            <w:tcW w:w="1449" w:type="dxa"/>
            <w:noWrap/>
          </w:tcPr>
          <w:p w14:paraId="413E1815" w14:textId="77777777" w:rsidR="005A2F54" w:rsidRPr="000C4180" w:rsidRDefault="005A2F54" w:rsidP="00712BCD">
            <w:pPr>
              <w:pStyle w:val="NoSpacing"/>
              <w:spacing w:line="240" w:lineRule="auto"/>
              <w:rPr>
                <w:lang w:val="en-US"/>
              </w:rPr>
            </w:pPr>
            <w:r w:rsidRPr="000C4180">
              <w:rPr>
                <w:lang w:val="en-US"/>
              </w:rPr>
              <w:t>NPV at 400%</w:t>
            </w:r>
          </w:p>
        </w:tc>
        <w:tc>
          <w:tcPr>
            <w:tcW w:w="893" w:type="dxa"/>
            <w:noWrap/>
          </w:tcPr>
          <w:p w14:paraId="062EA258" w14:textId="77777777" w:rsidR="005A2F54" w:rsidRPr="000C4180" w:rsidRDefault="005A2F54" w:rsidP="00712BCD">
            <w:pPr>
              <w:pStyle w:val="NoSpacing"/>
              <w:spacing w:line="240" w:lineRule="auto"/>
              <w:jc w:val="right"/>
              <w:rPr>
                <w:lang w:val="en-US"/>
              </w:rPr>
            </w:pPr>
            <w:r w:rsidRPr="000C4180">
              <w:rPr>
                <w:lang w:val="en-US"/>
              </w:rPr>
              <w:t>0</w:t>
            </w:r>
          </w:p>
        </w:tc>
        <w:tc>
          <w:tcPr>
            <w:tcW w:w="1468" w:type="dxa"/>
            <w:noWrap/>
            <w:hideMark/>
          </w:tcPr>
          <w:p w14:paraId="4616ACBC" w14:textId="77777777" w:rsidR="005A2F54" w:rsidRPr="000C4180" w:rsidRDefault="005A2F54" w:rsidP="00712BCD">
            <w:pPr>
              <w:pStyle w:val="NoSpacing"/>
              <w:spacing w:line="240" w:lineRule="auto"/>
              <w:rPr>
                <w:lang w:val="en-US"/>
              </w:rPr>
            </w:pPr>
            <w:r w:rsidRPr="000C4180">
              <w:rPr>
                <w:lang w:val="en-US"/>
              </w:rPr>
              <w:t>MIRR (10,0)</w:t>
            </w:r>
          </w:p>
        </w:tc>
        <w:tc>
          <w:tcPr>
            <w:tcW w:w="1039" w:type="dxa"/>
            <w:noWrap/>
            <w:hideMark/>
          </w:tcPr>
          <w:p w14:paraId="6EED8CEC" w14:textId="77777777" w:rsidR="005A2F54" w:rsidRPr="000C4180" w:rsidRDefault="005A2F54" w:rsidP="00712BCD">
            <w:pPr>
              <w:pStyle w:val="NoSpacing"/>
              <w:spacing w:line="240" w:lineRule="auto"/>
              <w:jc w:val="right"/>
              <w:rPr>
                <w:lang w:val="en-US"/>
              </w:rPr>
            </w:pPr>
            <w:r w:rsidRPr="000C4180">
              <w:rPr>
                <w:lang w:val="en-US"/>
              </w:rPr>
              <w:t>0.7%</w:t>
            </w:r>
          </w:p>
        </w:tc>
      </w:tr>
      <w:tr w:rsidR="005A2F54" w:rsidRPr="000C4180" w14:paraId="55F8C0AC" w14:textId="77777777" w:rsidTr="00712BCD">
        <w:trPr>
          <w:trHeight w:val="279"/>
        </w:trPr>
        <w:tc>
          <w:tcPr>
            <w:tcW w:w="802" w:type="dxa"/>
            <w:noWrap/>
            <w:hideMark/>
          </w:tcPr>
          <w:p w14:paraId="161C21C3" w14:textId="77777777" w:rsidR="005A2F54" w:rsidRPr="000C4180" w:rsidRDefault="005A2F54" w:rsidP="00712BCD">
            <w:pPr>
              <w:pStyle w:val="NoSpacing"/>
              <w:spacing w:line="240" w:lineRule="auto"/>
              <w:rPr>
                <w:lang w:val="en-US"/>
              </w:rPr>
            </w:pPr>
            <w:r w:rsidRPr="000C4180">
              <w:rPr>
                <w:lang w:val="en-US"/>
              </w:rPr>
              <w:t>SNCF</w:t>
            </w:r>
          </w:p>
        </w:tc>
        <w:tc>
          <w:tcPr>
            <w:tcW w:w="1067" w:type="dxa"/>
            <w:noWrap/>
            <w:hideMark/>
          </w:tcPr>
          <w:p w14:paraId="5047FB39" w14:textId="77777777" w:rsidR="005A2F54" w:rsidRPr="000C4180" w:rsidRDefault="005A2F54" w:rsidP="00712BCD">
            <w:pPr>
              <w:pStyle w:val="NoSpacing"/>
              <w:spacing w:line="240" w:lineRule="auto"/>
              <w:jc w:val="right"/>
              <w:rPr>
                <w:lang w:val="en-US"/>
              </w:rPr>
            </w:pPr>
            <w:r w:rsidRPr="000C4180">
              <w:rPr>
                <w:lang w:val="en-US"/>
              </w:rPr>
              <w:t>-1600</w:t>
            </w:r>
          </w:p>
        </w:tc>
        <w:tc>
          <w:tcPr>
            <w:tcW w:w="1422" w:type="dxa"/>
            <w:noWrap/>
          </w:tcPr>
          <w:p w14:paraId="747D9B30" w14:textId="77777777" w:rsidR="005A2F54" w:rsidRPr="000C4180" w:rsidRDefault="005A2F54" w:rsidP="00712BCD">
            <w:pPr>
              <w:pStyle w:val="NoSpacing"/>
              <w:spacing w:line="240" w:lineRule="auto"/>
              <w:rPr>
                <w:lang w:val="en-US"/>
              </w:rPr>
            </w:pPr>
          </w:p>
        </w:tc>
        <w:tc>
          <w:tcPr>
            <w:tcW w:w="1051" w:type="dxa"/>
            <w:noWrap/>
          </w:tcPr>
          <w:p w14:paraId="11B76658" w14:textId="77777777" w:rsidR="005A2F54" w:rsidRPr="000C4180" w:rsidRDefault="005A2F54" w:rsidP="00712BCD">
            <w:pPr>
              <w:pStyle w:val="NoSpacing"/>
              <w:spacing w:line="240" w:lineRule="auto"/>
              <w:rPr>
                <w:lang w:val="en-US"/>
              </w:rPr>
            </w:pPr>
          </w:p>
        </w:tc>
        <w:tc>
          <w:tcPr>
            <w:tcW w:w="1449" w:type="dxa"/>
            <w:noWrap/>
            <w:hideMark/>
          </w:tcPr>
          <w:p w14:paraId="43DDF2A5" w14:textId="77777777" w:rsidR="005A2F54" w:rsidRPr="000C4180" w:rsidRDefault="005A2F54" w:rsidP="00712BCD">
            <w:pPr>
              <w:pStyle w:val="NoSpacing"/>
              <w:spacing w:line="240" w:lineRule="auto"/>
              <w:rPr>
                <w:lang w:val="en-US"/>
              </w:rPr>
            </w:pPr>
          </w:p>
        </w:tc>
        <w:tc>
          <w:tcPr>
            <w:tcW w:w="893" w:type="dxa"/>
            <w:noWrap/>
            <w:hideMark/>
          </w:tcPr>
          <w:p w14:paraId="34B27205" w14:textId="77777777" w:rsidR="005A2F54" w:rsidRPr="000C4180" w:rsidRDefault="005A2F54" w:rsidP="00712BCD">
            <w:pPr>
              <w:pStyle w:val="NoSpacing"/>
              <w:spacing w:line="240" w:lineRule="auto"/>
              <w:jc w:val="right"/>
              <w:rPr>
                <w:lang w:val="en-US"/>
              </w:rPr>
            </w:pPr>
          </w:p>
        </w:tc>
        <w:tc>
          <w:tcPr>
            <w:tcW w:w="1468" w:type="dxa"/>
            <w:noWrap/>
            <w:hideMark/>
          </w:tcPr>
          <w:p w14:paraId="3CCCE7A2" w14:textId="77777777" w:rsidR="005A2F54" w:rsidRPr="000C4180" w:rsidRDefault="005A2F54" w:rsidP="00712BCD">
            <w:pPr>
              <w:pStyle w:val="NoSpacing"/>
              <w:spacing w:line="240" w:lineRule="auto"/>
              <w:rPr>
                <w:lang w:val="en-US"/>
              </w:rPr>
            </w:pPr>
          </w:p>
        </w:tc>
        <w:tc>
          <w:tcPr>
            <w:tcW w:w="1039" w:type="dxa"/>
            <w:noWrap/>
            <w:hideMark/>
          </w:tcPr>
          <w:p w14:paraId="1BDF0613" w14:textId="77777777" w:rsidR="005A2F54" w:rsidRPr="000C4180" w:rsidRDefault="005A2F54" w:rsidP="00712BCD">
            <w:pPr>
              <w:pStyle w:val="NoSpacing"/>
              <w:spacing w:line="240" w:lineRule="auto"/>
              <w:rPr>
                <w:lang w:val="en-US"/>
              </w:rPr>
            </w:pPr>
          </w:p>
        </w:tc>
      </w:tr>
      <w:tr w:rsidR="005A2F54" w:rsidRPr="000C4180" w14:paraId="14A1F888" w14:textId="77777777" w:rsidTr="00712BCD">
        <w:trPr>
          <w:trHeight w:val="279"/>
        </w:trPr>
        <w:tc>
          <w:tcPr>
            <w:tcW w:w="4344" w:type="dxa"/>
            <w:gridSpan w:val="4"/>
            <w:noWrap/>
            <w:hideMark/>
          </w:tcPr>
          <w:p w14:paraId="4304620C" w14:textId="77777777" w:rsidR="005A2F54" w:rsidRPr="000C4180" w:rsidRDefault="005A2F54" w:rsidP="00712BCD">
            <w:pPr>
              <w:pStyle w:val="NoSpacing"/>
              <w:spacing w:line="240" w:lineRule="auto"/>
              <w:jc w:val="center"/>
              <w:rPr>
                <w:b/>
                <w:bCs/>
                <w:lang w:val="en-US"/>
              </w:rPr>
            </w:pPr>
            <w:r w:rsidRPr="000C4180">
              <w:rPr>
                <w:b/>
                <w:bCs/>
                <w:lang w:val="en-US"/>
              </w:rPr>
              <w:t>CAS at IRR (25%)</w:t>
            </w:r>
          </w:p>
        </w:tc>
        <w:tc>
          <w:tcPr>
            <w:tcW w:w="4851" w:type="dxa"/>
            <w:gridSpan w:val="4"/>
            <w:noWrap/>
            <w:hideMark/>
          </w:tcPr>
          <w:p w14:paraId="1A323EDA" w14:textId="77777777" w:rsidR="005A2F54" w:rsidRPr="000C4180" w:rsidRDefault="005A2F54" w:rsidP="00712BCD">
            <w:pPr>
              <w:pStyle w:val="NoSpacing"/>
              <w:spacing w:line="240" w:lineRule="auto"/>
              <w:jc w:val="center"/>
              <w:rPr>
                <w:b/>
                <w:bCs/>
                <w:lang w:val="en-US"/>
              </w:rPr>
            </w:pPr>
            <w:r w:rsidRPr="000C4180">
              <w:rPr>
                <w:b/>
                <w:bCs/>
                <w:lang w:val="en-US"/>
              </w:rPr>
              <w:t>CAS at GIRR (16.9%)</w:t>
            </w:r>
          </w:p>
        </w:tc>
      </w:tr>
      <w:tr w:rsidR="005A2F54" w:rsidRPr="000C4180" w14:paraId="16030424" w14:textId="77777777" w:rsidTr="00712BCD">
        <w:trPr>
          <w:trHeight w:val="279"/>
        </w:trPr>
        <w:tc>
          <w:tcPr>
            <w:tcW w:w="1869" w:type="dxa"/>
            <w:gridSpan w:val="2"/>
            <w:noWrap/>
            <w:hideMark/>
          </w:tcPr>
          <w:p w14:paraId="24C829E3" w14:textId="77777777" w:rsidR="005A2F54" w:rsidRPr="000C4180" w:rsidRDefault="005A2F54" w:rsidP="00712BCD">
            <w:pPr>
              <w:pStyle w:val="NoSpacing"/>
              <w:spacing w:line="240" w:lineRule="auto"/>
              <w:rPr>
                <w:lang w:val="en-US"/>
              </w:rPr>
            </w:pPr>
            <w:r w:rsidRPr="000C4180">
              <w:rPr>
                <w:lang w:val="en-US"/>
              </w:rPr>
              <w:t>Opening Capital</w:t>
            </w:r>
          </w:p>
        </w:tc>
        <w:tc>
          <w:tcPr>
            <w:tcW w:w="1422" w:type="dxa"/>
            <w:noWrap/>
            <w:hideMark/>
          </w:tcPr>
          <w:p w14:paraId="2DFBB0F3" w14:textId="77777777" w:rsidR="005A2F54" w:rsidRPr="000C4180" w:rsidRDefault="005A2F54" w:rsidP="00712BCD">
            <w:pPr>
              <w:pStyle w:val="NoSpacing"/>
              <w:spacing w:line="240" w:lineRule="auto"/>
              <w:jc w:val="right"/>
              <w:rPr>
                <w:lang w:val="en-US"/>
              </w:rPr>
            </w:pPr>
            <w:r w:rsidRPr="000C4180">
              <w:rPr>
                <w:lang w:val="en-US"/>
              </w:rPr>
              <w:t>-1600</w:t>
            </w:r>
          </w:p>
        </w:tc>
        <w:tc>
          <w:tcPr>
            <w:tcW w:w="1051" w:type="dxa"/>
            <w:noWrap/>
            <w:hideMark/>
          </w:tcPr>
          <w:p w14:paraId="2BC018B2" w14:textId="77777777" w:rsidR="005A2F54" w:rsidRPr="000C4180" w:rsidRDefault="005A2F54" w:rsidP="00712BCD">
            <w:pPr>
              <w:pStyle w:val="NoSpacing"/>
              <w:spacing w:line="240" w:lineRule="auto"/>
              <w:jc w:val="right"/>
              <w:rPr>
                <w:lang w:val="en-US"/>
              </w:rPr>
            </w:pPr>
            <w:r w:rsidRPr="000C4180">
              <w:rPr>
                <w:lang w:val="en-US"/>
              </w:rPr>
              <w:t>8000.0</w:t>
            </w:r>
          </w:p>
        </w:tc>
        <w:tc>
          <w:tcPr>
            <w:tcW w:w="2342" w:type="dxa"/>
            <w:gridSpan w:val="2"/>
            <w:noWrap/>
            <w:hideMark/>
          </w:tcPr>
          <w:p w14:paraId="038023E8" w14:textId="77777777" w:rsidR="005A2F54" w:rsidRPr="000C4180" w:rsidRDefault="005A2F54" w:rsidP="00712BCD">
            <w:pPr>
              <w:pStyle w:val="NoSpacing"/>
              <w:spacing w:line="240" w:lineRule="auto"/>
              <w:rPr>
                <w:lang w:val="en-US"/>
              </w:rPr>
            </w:pPr>
            <w:r w:rsidRPr="000C4180">
              <w:rPr>
                <w:lang w:val="en-US"/>
              </w:rPr>
              <w:t>Opening Capital</w:t>
            </w:r>
          </w:p>
        </w:tc>
        <w:tc>
          <w:tcPr>
            <w:tcW w:w="1468" w:type="dxa"/>
            <w:noWrap/>
            <w:hideMark/>
          </w:tcPr>
          <w:p w14:paraId="65EE3A72" w14:textId="77777777" w:rsidR="005A2F54" w:rsidRPr="000C4180" w:rsidRDefault="005A2F54" w:rsidP="00712BCD">
            <w:pPr>
              <w:pStyle w:val="NoSpacing"/>
              <w:spacing w:line="240" w:lineRule="auto"/>
              <w:jc w:val="right"/>
              <w:rPr>
                <w:lang w:val="en-US"/>
              </w:rPr>
            </w:pPr>
            <w:r w:rsidRPr="000C4180">
              <w:rPr>
                <w:lang w:val="en-US"/>
              </w:rPr>
              <w:t>-1600</w:t>
            </w:r>
          </w:p>
        </w:tc>
        <w:tc>
          <w:tcPr>
            <w:tcW w:w="1039" w:type="dxa"/>
            <w:noWrap/>
            <w:hideMark/>
          </w:tcPr>
          <w:p w14:paraId="7F4505F8" w14:textId="77777777" w:rsidR="005A2F54" w:rsidRPr="000C4180" w:rsidRDefault="005A2F54" w:rsidP="00712BCD">
            <w:pPr>
              <w:pStyle w:val="NoSpacing"/>
              <w:spacing w:line="240" w:lineRule="auto"/>
              <w:jc w:val="right"/>
              <w:rPr>
                <w:lang w:val="en-US"/>
              </w:rPr>
            </w:pPr>
            <w:r w:rsidRPr="000C4180">
              <w:rPr>
                <w:lang w:val="en-US"/>
              </w:rPr>
              <w:t>8129.6</w:t>
            </w:r>
          </w:p>
        </w:tc>
      </w:tr>
      <w:tr w:rsidR="005A2F54" w:rsidRPr="000C4180" w14:paraId="7A09B3B8" w14:textId="77777777" w:rsidTr="00712BCD">
        <w:trPr>
          <w:trHeight w:val="279"/>
        </w:trPr>
        <w:tc>
          <w:tcPr>
            <w:tcW w:w="1869" w:type="dxa"/>
            <w:gridSpan w:val="2"/>
            <w:noWrap/>
            <w:hideMark/>
          </w:tcPr>
          <w:p w14:paraId="0CC29519" w14:textId="77777777" w:rsidR="005A2F54" w:rsidRPr="000C4180" w:rsidRDefault="005A2F54" w:rsidP="00712BCD">
            <w:pPr>
              <w:pStyle w:val="NoSpacing"/>
              <w:spacing w:line="240" w:lineRule="auto"/>
              <w:rPr>
                <w:lang w:val="en-US"/>
              </w:rPr>
            </w:pPr>
            <w:r w:rsidRPr="000C4180">
              <w:rPr>
                <w:lang w:val="en-US"/>
              </w:rPr>
              <w:t>Interest at 25%</w:t>
            </w:r>
          </w:p>
        </w:tc>
        <w:tc>
          <w:tcPr>
            <w:tcW w:w="1422" w:type="dxa"/>
            <w:noWrap/>
            <w:hideMark/>
          </w:tcPr>
          <w:p w14:paraId="1FDEA684" w14:textId="77777777" w:rsidR="005A2F54" w:rsidRPr="000C4180" w:rsidRDefault="005A2F54" w:rsidP="00712BCD">
            <w:pPr>
              <w:pStyle w:val="NoSpacing"/>
              <w:spacing w:line="240" w:lineRule="auto"/>
              <w:jc w:val="right"/>
              <w:rPr>
                <w:lang w:val="en-US"/>
              </w:rPr>
            </w:pPr>
            <w:r w:rsidRPr="000C4180">
              <w:rPr>
                <w:lang w:val="en-US"/>
              </w:rPr>
              <w:t>-400.0</w:t>
            </w:r>
          </w:p>
        </w:tc>
        <w:tc>
          <w:tcPr>
            <w:tcW w:w="1051" w:type="dxa"/>
            <w:noWrap/>
            <w:hideMark/>
          </w:tcPr>
          <w:p w14:paraId="3BA6E5E7" w14:textId="77777777" w:rsidR="005A2F54" w:rsidRPr="000C4180" w:rsidRDefault="005A2F54" w:rsidP="00712BCD">
            <w:pPr>
              <w:pStyle w:val="NoSpacing"/>
              <w:spacing w:line="240" w:lineRule="auto"/>
              <w:jc w:val="right"/>
              <w:rPr>
                <w:lang w:val="en-US"/>
              </w:rPr>
            </w:pPr>
            <w:r w:rsidRPr="000C4180">
              <w:rPr>
                <w:lang w:val="en-US"/>
              </w:rPr>
              <w:t>2000.0</w:t>
            </w:r>
          </w:p>
        </w:tc>
        <w:tc>
          <w:tcPr>
            <w:tcW w:w="2342" w:type="dxa"/>
            <w:gridSpan w:val="2"/>
            <w:noWrap/>
            <w:hideMark/>
          </w:tcPr>
          <w:p w14:paraId="0CCEA17E" w14:textId="77777777" w:rsidR="005A2F54" w:rsidRPr="000C4180" w:rsidRDefault="005A2F54" w:rsidP="00712BCD">
            <w:pPr>
              <w:pStyle w:val="NoSpacing"/>
              <w:spacing w:line="240" w:lineRule="auto"/>
              <w:rPr>
                <w:lang w:val="en-US"/>
              </w:rPr>
            </w:pPr>
            <w:r w:rsidRPr="000C4180">
              <w:rPr>
                <w:lang w:val="en-US"/>
              </w:rPr>
              <w:t>Interest at 16.9%</w:t>
            </w:r>
          </w:p>
        </w:tc>
        <w:tc>
          <w:tcPr>
            <w:tcW w:w="1468" w:type="dxa"/>
            <w:noWrap/>
            <w:hideMark/>
          </w:tcPr>
          <w:p w14:paraId="6E1618B1" w14:textId="77777777" w:rsidR="005A2F54" w:rsidRPr="000C4180" w:rsidRDefault="005A2F54" w:rsidP="00712BCD">
            <w:pPr>
              <w:pStyle w:val="NoSpacing"/>
              <w:spacing w:line="240" w:lineRule="auto"/>
              <w:jc w:val="right"/>
              <w:rPr>
                <w:lang w:val="en-US"/>
              </w:rPr>
            </w:pPr>
            <w:r w:rsidRPr="000C4180">
              <w:rPr>
                <w:lang w:val="en-US"/>
              </w:rPr>
              <w:t>-270.4</w:t>
            </w:r>
          </w:p>
        </w:tc>
        <w:tc>
          <w:tcPr>
            <w:tcW w:w="1039" w:type="dxa"/>
            <w:noWrap/>
            <w:hideMark/>
          </w:tcPr>
          <w:p w14:paraId="60BE27CC" w14:textId="77777777" w:rsidR="005A2F54" w:rsidRPr="000C4180" w:rsidRDefault="005A2F54" w:rsidP="00712BCD">
            <w:pPr>
              <w:pStyle w:val="NoSpacing"/>
              <w:spacing w:line="240" w:lineRule="auto"/>
              <w:jc w:val="right"/>
              <w:rPr>
                <w:lang w:val="en-US"/>
              </w:rPr>
            </w:pPr>
            <w:r w:rsidRPr="000C4180">
              <w:rPr>
                <w:lang w:val="en-US"/>
              </w:rPr>
              <w:t>1373.9</w:t>
            </w:r>
          </w:p>
        </w:tc>
      </w:tr>
      <w:tr w:rsidR="005A2F54" w:rsidRPr="000C4180" w14:paraId="4D64DE84" w14:textId="77777777" w:rsidTr="00712BCD">
        <w:trPr>
          <w:trHeight w:val="279"/>
        </w:trPr>
        <w:tc>
          <w:tcPr>
            <w:tcW w:w="1869" w:type="dxa"/>
            <w:gridSpan w:val="2"/>
            <w:noWrap/>
            <w:hideMark/>
          </w:tcPr>
          <w:p w14:paraId="61408849" w14:textId="77777777" w:rsidR="005A2F54" w:rsidRPr="000C4180" w:rsidRDefault="005A2F54" w:rsidP="00712BCD">
            <w:pPr>
              <w:pStyle w:val="NoSpacing"/>
              <w:spacing w:line="240" w:lineRule="auto"/>
              <w:rPr>
                <w:lang w:val="en-US"/>
              </w:rPr>
            </w:pPr>
            <w:r w:rsidRPr="000C4180">
              <w:rPr>
                <w:lang w:val="en-US"/>
              </w:rPr>
              <w:t>Income</w:t>
            </w:r>
          </w:p>
        </w:tc>
        <w:tc>
          <w:tcPr>
            <w:tcW w:w="1422" w:type="dxa"/>
            <w:noWrap/>
            <w:hideMark/>
          </w:tcPr>
          <w:p w14:paraId="03B94ED6" w14:textId="77777777" w:rsidR="005A2F54" w:rsidRPr="000C4180" w:rsidRDefault="005A2F54" w:rsidP="00712BCD">
            <w:pPr>
              <w:pStyle w:val="NoSpacing"/>
              <w:spacing w:line="240" w:lineRule="auto"/>
              <w:jc w:val="right"/>
              <w:rPr>
                <w:lang w:val="en-US"/>
              </w:rPr>
            </w:pPr>
            <w:r w:rsidRPr="000C4180">
              <w:rPr>
                <w:lang w:val="en-US"/>
              </w:rPr>
              <w:t>10000.0</w:t>
            </w:r>
          </w:p>
        </w:tc>
        <w:tc>
          <w:tcPr>
            <w:tcW w:w="1051" w:type="dxa"/>
            <w:noWrap/>
            <w:hideMark/>
          </w:tcPr>
          <w:p w14:paraId="771213F2" w14:textId="77777777" w:rsidR="005A2F54" w:rsidRPr="000C4180" w:rsidRDefault="005A2F54" w:rsidP="00712BCD">
            <w:pPr>
              <w:pStyle w:val="NoSpacing"/>
              <w:spacing w:line="240" w:lineRule="auto"/>
              <w:jc w:val="right"/>
              <w:rPr>
                <w:lang w:val="en-US"/>
              </w:rPr>
            </w:pPr>
            <w:r w:rsidRPr="000C4180">
              <w:rPr>
                <w:lang w:val="en-US"/>
              </w:rPr>
              <w:t>-10000.0</w:t>
            </w:r>
          </w:p>
        </w:tc>
        <w:tc>
          <w:tcPr>
            <w:tcW w:w="2342" w:type="dxa"/>
            <w:gridSpan w:val="2"/>
            <w:noWrap/>
            <w:hideMark/>
          </w:tcPr>
          <w:p w14:paraId="0B943190" w14:textId="77777777" w:rsidR="005A2F54" w:rsidRPr="000C4180" w:rsidRDefault="005A2F54" w:rsidP="00712BCD">
            <w:pPr>
              <w:pStyle w:val="NoSpacing"/>
              <w:spacing w:line="240" w:lineRule="auto"/>
              <w:rPr>
                <w:lang w:val="en-US"/>
              </w:rPr>
            </w:pPr>
            <w:r w:rsidRPr="000C4180">
              <w:rPr>
                <w:lang w:val="en-US"/>
              </w:rPr>
              <w:t>Income</w:t>
            </w:r>
          </w:p>
        </w:tc>
        <w:tc>
          <w:tcPr>
            <w:tcW w:w="1468" w:type="dxa"/>
            <w:noWrap/>
            <w:hideMark/>
          </w:tcPr>
          <w:p w14:paraId="4F3E2486" w14:textId="77777777" w:rsidR="005A2F54" w:rsidRPr="000C4180" w:rsidRDefault="005A2F54" w:rsidP="00712BCD">
            <w:pPr>
              <w:pStyle w:val="NoSpacing"/>
              <w:spacing w:line="240" w:lineRule="auto"/>
              <w:jc w:val="right"/>
              <w:rPr>
                <w:lang w:val="en-US"/>
              </w:rPr>
            </w:pPr>
            <w:r w:rsidRPr="000C4180">
              <w:rPr>
                <w:lang w:val="en-US"/>
              </w:rPr>
              <w:t>10000.0</w:t>
            </w:r>
          </w:p>
        </w:tc>
        <w:tc>
          <w:tcPr>
            <w:tcW w:w="1039" w:type="dxa"/>
            <w:noWrap/>
            <w:hideMark/>
          </w:tcPr>
          <w:p w14:paraId="1E0BFFE6" w14:textId="77777777" w:rsidR="005A2F54" w:rsidRPr="000C4180" w:rsidRDefault="005A2F54" w:rsidP="00712BCD">
            <w:pPr>
              <w:pStyle w:val="NoSpacing"/>
              <w:spacing w:line="240" w:lineRule="auto"/>
              <w:jc w:val="right"/>
              <w:rPr>
                <w:lang w:val="en-US"/>
              </w:rPr>
            </w:pPr>
            <w:r w:rsidRPr="000C4180">
              <w:rPr>
                <w:lang w:val="en-US"/>
              </w:rPr>
              <w:t>-10000.0</w:t>
            </w:r>
          </w:p>
        </w:tc>
      </w:tr>
      <w:tr w:rsidR="005A2F54" w:rsidRPr="000C4180" w14:paraId="1C422726" w14:textId="77777777" w:rsidTr="00712BCD">
        <w:trPr>
          <w:trHeight w:val="233"/>
        </w:trPr>
        <w:tc>
          <w:tcPr>
            <w:tcW w:w="1869" w:type="dxa"/>
            <w:gridSpan w:val="2"/>
            <w:noWrap/>
            <w:hideMark/>
          </w:tcPr>
          <w:p w14:paraId="31B93E21" w14:textId="77777777" w:rsidR="005A2F54" w:rsidRPr="000C4180" w:rsidRDefault="005A2F54" w:rsidP="00712BCD">
            <w:pPr>
              <w:pStyle w:val="NoSpacing"/>
              <w:spacing w:line="240" w:lineRule="auto"/>
              <w:rPr>
                <w:lang w:val="en-US"/>
              </w:rPr>
            </w:pPr>
            <w:r w:rsidRPr="000C4180">
              <w:rPr>
                <w:lang w:val="en-US"/>
              </w:rPr>
              <w:t>Closing Balance</w:t>
            </w:r>
          </w:p>
        </w:tc>
        <w:tc>
          <w:tcPr>
            <w:tcW w:w="1422" w:type="dxa"/>
            <w:noWrap/>
            <w:hideMark/>
          </w:tcPr>
          <w:p w14:paraId="2A91391A" w14:textId="77777777" w:rsidR="005A2F54" w:rsidRPr="000C4180" w:rsidRDefault="005A2F54" w:rsidP="00712BCD">
            <w:pPr>
              <w:pStyle w:val="NoSpacing"/>
              <w:spacing w:line="240" w:lineRule="auto"/>
              <w:jc w:val="right"/>
              <w:rPr>
                <w:lang w:val="en-US"/>
              </w:rPr>
            </w:pPr>
            <w:r w:rsidRPr="000C4180">
              <w:rPr>
                <w:lang w:val="en-US"/>
              </w:rPr>
              <w:t>8000.0</w:t>
            </w:r>
          </w:p>
        </w:tc>
        <w:tc>
          <w:tcPr>
            <w:tcW w:w="1051" w:type="dxa"/>
            <w:noWrap/>
            <w:hideMark/>
          </w:tcPr>
          <w:p w14:paraId="20486E5E" w14:textId="77777777" w:rsidR="005A2F54" w:rsidRPr="000C4180" w:rsidRDefault="005A2F54" w:rsidP="00712BCD">
            <w:pPr>
              <w:pStyle w:val="NoSpacing"/>
              <w:spacing w:line="240" w:lineRule="auto"/>
              <w:jc w:val="right"/>
              <w:rPr>
                <w:lang w:val="en-US"/>
              </w:rPr>
            </w:pPr>
            <w:r w:rsidRPr="000C4180">
              <w:rPr>
                <w:lang w:val="en-US"/>
              </w:rPr>
              <w:t>0.0</w:t>
            </w:r>
          </w:p>
        </w:tc>
        <w:tc>
          <w:tcPr>
            <w:tcW w:w="2342" w:type="dxa"/>
            <w:gridSpan w:val="2"/>
            <w:noWrap/>
            <w:hideMark/>
          </w:tcPr>
          <w:p w14:paraId="15BED069" w14:textId="77777777" w:rsidR="005A2F54" w:rsidRPr="000C4180" w:rsidRDefault="005A2F54" w:rsidP="00712BCD">
            <w:pPr>
              <w:pStyle w:val="NoSpacing"/>
              <w:spacing w:line="240" w:lineRule="auto"/>
              <w:rPr>
                <w:lang w:val="en-US"/>
              </w:rPr>
            </w:pPr>
            <w:r w:rsidRPr="000C4180">
              <w:rPr>
                <w:lang w:val="en-US"/>
              </w:rPr>
              <w:t>Closing Balance</w:t>
            </w:r>
          </w:p>
        </w:tc>
        <w:tc>
          <w:tcPr>
            <w:tcW w:w="1468" w:type="dxa"/>
            <w:noWrap/>
            <w:hideMark/>
          </w:tcPr>
          <w:p w14:paraId="544E11D4" w14:textId="77777777" w:rsidR="005A2F54" w:rsidRPr="000C4180" w:rsidRDefault="005A2F54" w:rsidP="00712BCD">
            <w:pPr>
              <w:pStyle w:val="NoSpacing"/>
              <w:spacing w:line="240" w:lineRule="auto"/>
              <w:jc w:val="right"/>
              <w:rPr>
                <w:lang w:val="en-US"/>
              </w:rPr>
            </w:pPr>
            <w:r w:rsidRPr="000C4180">
              <w:rPr>
                <w:lang w:val="en-US"/>
              </w:rPr>
              <w:t>8129.6</w:t>
            </w:r>
          </w:p>
        </w:tc>
        <w:tc>
          <w:tcPr>
            <w:tcW w:w="1039" w:type="dxa"/>
            <w:noWrap/>
            <w:hideMark/>
          </w:tcPr>
          <w:p w14:paraId="520EC902" w14:textId="77777777" w:rsidR="005A2F54" w:rsidRPr="000C4180" w:rsidRDefault="005A2F54" w:rsidP="00712BCD">
            <w:pPr>
              <w:pStyle w:val="NoSpacing"/>
              <w:spacing w:line="240" w:lineRule="auto"/>
              <w:jc w:val="right"/>
              <w:rPr>
                <w:lang w:val="en-US"/>
              </w:rPr>
            </w:pPr>
            <w:r w:rsidRPr="000C4180">
              <w:rPr>
                <w:lang w:val="en-US"/>
              </w:rPr>
              <w:t>-496.5</w:t>
            </w:r>
          </w:p>
        </w:tc>
      </w:tr>
      <w:tr w:rsidR="005A2F54" w:rsidRPr="000C4180" w14:paraId="076DE179" w14:textId="77777777" w:rsidTr="00712BCD">
        <w:trPr>
          <w:trHeight w:val="279"/>
        </w:trPr>
        <w:tc>
          <w:tcPr>
            <w:tcW w:w="4344" w:type="dxa"/>
            <w:gridSpan w:val="4"/>
            <w:noWrap/>
            <w:hideMark/>
          </w:tcPr>
          <w:p w14:paraId="30E492FB" w14:textId="77777777" w:rsidR="005A2F54" w:rsidRPr="000C4180" w:rsidRDefault="005A2F54" w:rsidP="00712BCD">
            <w:pPr>
              <w:pStyle w:val="NoSpacing"/>
              <w:spacing w:line="240" w:lineRule="auto"/>
              <w:jc w:val="center"/>
              <w:rPr>
                <w:b/>
                <w:bCs/>
                <w:lang w:val="en-US"/>
              </w:rPr>
            </w:pPr>
            <w:r w:rsidRPr="000C4180">
              <w:rPr>
                <w:b/>
                <w:bCs/>
                <w:lang w:val="en-US"/>
              </w:rPr>
              <w:t>MCAS at GIRR (16.9%)</w:t>
            </w:r>
          </w:p>
        </w:tc>
        <w:tc>
          <w:tcPr>
            <w:tcW w:w="4851" w:type="dxa"/>
            <w:gridSpan w:val="4"/>
            <w:noWrap/>
            <w:hideMark/>
          </w:tcPr>
          <w:p w14:paraId="4BE7672C" w14:textId="77777777" w:rsidR="005A2F54" w:rsidRPr="000C4180" w:rsidRDefault="005A2F54" w:rsidP="00712BCD">
            <w:pPr>
              <w:pStyle w:val="NoSpacing"/>
              <w:spacing w:line="240" w:lineRule="auto"/>
              <w:jc w:val="center"/>
              <w:rPr>
                <w:b/>
                <w:bCs/>
                <w:lang w:val="en-US"/>
              </w:rPr>
            </w:pPr>
            <w:r w:rsidRPr="000C4180">
              <w:rPr>
                <w:b/>
                <w:bCs/>
                <w:lang w:val="en-US"/>
              </w:rPr>
              <w:t>MCAS at IRR (-100%)</w:t>
            </w:r>
          </w:p>
        </w:tc>
      </w:tr>
      <w:tr w:rsidR="005A2F54" w:rsidRPr="000C4180" w14:paraId="42D6C13E" w14:textId="77777777" w:rsidTr="00712BCD">
        <w:trPr>
          <w:trHeight w:val="279"/>
        </w:trPr>
        <w:tc>
          <w:tcPr>
            <w:tcW w:w="1869" w:type="dxa"/>
            <w:gridSpan w:val="2"/>
            <w:noWrap/>
            <w:hideMark/>
          </w:tcPr>
          <w:p w14:paraId="1D6F944F" w14:textId="77777777" w:rsidR="005A2F54" w:rsidRPr="000C4180" w:rsidRDefault="005A2F54" w:rsidP="00712BCD">
            <w:pPr>
              <w:pStyle w:val="NoSpacing"/>
              <w:spacing w:line="240" w:lineRule="auto"/>
              <w:rPr>
                <w:lang w:val="en-US"/>
              </w:rPr>
            </w:pPr>
            <w:r w:rsidRPr="000C4180">
              <w:rPr>
                <w:lang w:val="en-US"/>
              </w:rPr>
              <w:t>Opening Capital</w:t>
            </w:r>
          </w:p>
        </w:tc>
        <w:tc>
          <w:tcPr>
            <w:tcW w:w="1422" w:type="dxa"/>
            <w:noWrap/>
            <w:hideMark/>
          </w:tcPr>
          <w:p w14:paraId="5C995AC3" w14:textId="77777777" w:rsidR="005A2F54" w:rsidRPr="000C4180" w:rsidRDefault="005A2F54" w:rsidP="00712BCD">
            <w:pPr>
              <w:pStyle w:val="NoSpacing"/>
              <w:spacing w:line="240" w:lineRule="auto"/>
              <w:jc w:val="right"/>
              <w:rPr>
                <w:lang w:val="en-US"/>
              </w:rPr>
            </w:pPr>
            <w:r w:rsidRPr="000C4180">
              <w:rPr>
                <w:lang w:val="en-US"/>
              </w:rPr>
              <w:t>-1600</w:t>
            </w:r>
          </w:p>
        </w:tc>
        <w:tc>
          <w:tcPr>
            <w:tcW w:w="1051" w:type="dxa"/>
            <w:noWrap/>
            <w:hideMark/>
          </w:tcPr>
          <w:p w14:paraId="023BD04C" w14:textId="77777777" w:rsidR="005A2F54" w:rsidRPr="000C4180" w:rsidRDefault="005A2F54" w:rsidP="00712BCD">
            <w:pPr>
              <w:pStyle w:val="NoSpacing"/>
              <w:spacing w:line="240" w:lineRule="auto"/>
              <w:jc w:val="right"/>
              <w:rPr>
                <w:lang w:val="en-US"/>
              </w:rPr>
            </w:pPr>
            <w:r w:rsidRPr="000C4180">
              <w:rPr>
                <w:lang w:val="en-US"/>
              </w:rPr>
              <w:t>8129.6</w:t>
            </w:r>
          </w:p>
        </w:tc>
        <w:tc>
          <w:tcPr>
            <w:tcW w:w="2342" w:type="dxa"/>
            <w:gridSpan w:val="2"/>
            <w:noWrap/>
            <w:hideMark/>
          </w:tcPr>
          <w:p w14:paraId="4BB2A4D6" w14:textId="77777777" w:rsidR="005A2F54" w:rsidRPr="000C4180" w:rsidRDefault="005A2F54" w:rsidP="00712BCD">
            <w:pPr>
              <w:pStyle w:val="NoSpacing"/>
              <w:spacing w:line="240" w:lineRule="auto"/>
              <w:rPr>
                <w:lang w:val="en-US"/>
              </w:rPr>
            </w:pPr>
            <w:r w:rsidRPr="000C4180">
              <w:rPr>
                <w:lang w:val="en-US"/>
              </w:rPr>
              <w:t>Opening Capital</w:t>
            </w:r>
          </w:p>
        </w:tc>
        <w:tc>
          <w:tcPr>
            <w:tcW w:w="1468" w:type="dxa"/>
            <w:noWrap/>
            <w:hideMark/>
          </w:tcPr>
          <w:p w14:paraId="1F6A8C8C" w14:textId="77777777" w:rsidR="005A2F54" w:rsidRPr="000C4180" w:rsidRDefault="005A2F54" w:rsidP="00712BCD">
            <w:pPr>
              <w:pStyle w:val="NoSpacing"/>
              <w:spacing w:line="240" w:lineRule="auto"/>
              <w:jc w:val="right"/>
              <w:rPr>
                <w:lang w:val="en-US"/>
              </w:rPr>
            </w:pPr>
            <w:r w:rsidRPr="000C4180">
              <w:rPr>
                <w:lang w:val="en-US"/>
              </w:rPr>
              <w:t>-1600</w:t>
            </w:r>
          </w:p>
        </w:tc>
        <w:tc>
          <w:tcPr>
            <w:tcW w:w="1039" w:type="dxa"/>
            <w:noWrap/>
            <w:hideMark/>
          </w:tcPr>
          <w:p w14:paraId="559EA96E" w14:textId="77777777" w:rsidR="005A2F54" w:rsidRPr="000C4180" w:rsidRDefault="005A2F54" w:rsidP="00712BCD">
            <w:pPr>
              <w:pStyle w:val="NoSpacing"/>
              <w:spacing w:line="240" w:lineRule="auto"/>
              <w:jc w:val="right"/>
              <w:rPr>
                <w:lang w:val="en-US"/>
              </w:rPr>
            </w:pPr>
            <w:r w:rsidRPr="000C4180">
              <w:rPr>
                <w:lang w:val="en-US"/>
              </w:rPr>
              <w:t>10000.0</w:t>
            </w:r>
          </w:p>
        </w:tc>
      </w:tr>
      <w:tr w:rsidR="005A2F54" w:rsidRPr="000C4180" w14:paraId="0BF6DA9D" w14:textId="77777777" w:rsidTr="00712BCD">
        <w:trPr>
          <w:trHeight w:val="279"/>
        </w:trPr>
        <w:tc>
          <w:tcPr>
            <w:tcW w:w="1869" w:type="dxa"/>
            <w:gridSpan w:val="2"/>
            <w:noWrap/>
            <w:hideMark/>
          </w:tcPr>
          <w:p w14:paraId="43C05106" w14:textId="77777777" w:rsidR="005A2F54" w:rsidRPr="000C4180" w:rsidRDefault="005A2F54" w:rsidP="00712BCD">
            <w:pPr>
              <w:pStyle w:val="NoSpacing"/>
              <w:spacing w:line="240" w:lineRule="auto"/>
              <w:rPr>
                <w:lang w:val="en-US"/>
              </w:rPr>
            </w:pPr>
            <w:r w:rsidRPr="000C4180">
              <w:rPr>
                <w:lang w:val="en-US"/>
              </w:rPr>
              <w:t>Interest at 16.9%</w:t>
            </w:r>
          </w:p>
        </w:tc>
        <w:tc>
          <w:tcPr>
            <w:tcW w:w="1422" w:type="dxa"/>
            <w:noWrap/>
            <w:hideMark/>
          </w:tcPr>
          <w:p w14:paraId="43F1236E" w14:textId="77777777" w:rsidR="005A2F54" w:rsidRPr="000C4180" w:rsidRDefault="005A2F54" w:rsidP="00712BCD">
            <w:pPr>
              <w:pStyle w:val="NoSpacing"/>
              <w:spacing w:line="240" w:lineRule="auto"/>
              <w:jc w:val="right"/>
              <w:rPr>
                <w:lang w:val="en-US"/>
              </w:rPr>
            </w:pPr>
            <w:r w:rsidRPr="000C4180">
              <w:rPr>
                <w:lang w:val="en-US"/>
              </w:rPr>
              <w:t>-270.4</w:t>
            </w:r>
          </w:p>
        </w:tc>
        <w:tc>
          <w:tcPr>
            <w:tcW w:w="1051" w:type="dxa"/>
            <w:noWrap/>
            <w:hideMark/>
          </w:tcPr>
          <w:p w14:paraId="14E8FB0B" w14:textId="77777777" w:rsidR="005A2F54" w:rsidRPr="000C4180" w:rsidRDefault="005A2F54" w:rsidP="00712BCD">
            <w:pPr>
              <w:pStyle w:val="NoSpacing"/>
              <w:spacing w:line="240" w:lineRule="auto"/>
              <w:jc w:val="right"/>
              <w:rPr>
                <w:lang w:val="en-US"/>
              </w:rPr>
            </w:pPr>
            <w:r w:rsidRPr="000C4180">
              <w:rPr>
                <w:lang w:val="en-US"/>
              </w:rPr>
              <w:t>0.0</w:t>
            </w:r>
          </w:p>
        </w:tc>
        <w:tc>
          <w:tcPr>
            <w:tcW w:w="2342" w:type="dxa"/>
            <w:gridSpan w:val="2"/>
            <w:noWrap/>
            <w:hideMark/>
          </w:tcPr>
          <w:p w14:paraId="48F3A4CB" w14:textId="77777777" w:rsidR="005A2F54" w:rsidRPr="000C4180" w:rsidRDefault="005A2F54" w:rsidP="00712BCD">
            <w:pPr>
              <w:pStyle w:val="NoSpacing"/>
              <w:spacing w:line="240" w:lineRule="auto"/>
              <w:rPr>
                <w:lang w:val="en-US"/>
              </w:rPr>
            </w:pPr>
            <w:r w:rsidRPr="000C4180">
              <w:rPr>
                <w:lang w:val="en-US"/>
              </w:rPr>
              <w:t>Interest at -100%</w:t>
            </w:r>
          </w:p>
        </w:tc>
        <w:tc>
          <w:tcPr>
            <w:tcW w:w="1468" w:type="dxa"/>
            <w:noWrap/>
            <w:hideMark/>
          </w:tcPr>
          <w:p w14:paraId="4605EABE" w14:textId="77777777" w:rsidR="005A2F54" w:rsidRPr="000C4180" w:rsidRDefault="005A2F54" w:rsidP="00712BCD">
            <w:pPr>
              <w:pStyle w:val="NoSpacing"/>
              <w:spacing w:line="240" w:lineRule="auto"/>
              <w:jc w:val="right"/>
              <w:rPr>
                <w:lang w:val="en-US"/>
              </w:rPr>
            </w:pPr>
            <w:r w:rsidRPr="000C4180">
              <w:rPr>
                <w:lang w:val="en-US"/>
              </w:rPr>
              <w:t>1600.0</w:t>
            </w:r>
          </w:p>
        </w:tc>
        <w:tc>
          <w:tcPr>
            <w:tcW w:w="1039" w:type="dxa"/>
            <w:noWrap/>
            <w:hideMark/>
          </w:tcPr>
          <w:p w14:paraId="6C0B638C" w14:textId="77777777" w:rsidR="005A2F54" w:rsidRPr="000C4180" w:rsidRDefault="005A2F54" w:rsidP="00712BCD">
            <w:pPr>
              <w:pStyle w:val="NoSpacing"/>
              <w:spacing w:line="240" w:lineRule="auto"/>
              <w:jc w:val="right"/>
              <w:rPr>
                <w:lang w:val="en-US"/>
              </w:rPr>
            </w:pPr>
            <w:r w:rsidRPr="000C4180">
              <w:rPr>
                <w:lang w:val="en-US"/>
              </w:rPr>
              <w:t>0.0</w:t>
            </w:r>
          </w:p>
        </w:tc>
      </w:tr>
      <w:tr w:rsidR="005A2F54" w:rsidRPr="000C4180" w14:paraId="51E6EBF7" w14:textId="77777777" w:rsidTr="00712BCD">
        <w:trPr>
          <w:trHeight w:val="279"/>
        </w:trPr>
        <w:tc>
          <w:tcPr>
            <w:tcW w:w="1869" w:type="dxa"/>
            <w:gridSpan w:val="2"/>
            <w:noWrap/>
            <w:hideMark/>
          </w:tcPr>
          <w:p w14:paraId="182D6A1E" w14:textId="77777777" w:rsidR="005A2F54" w:rsidRPr="000C4180" w:rsidRDefault="005A2F54" w:rsidP="00712BCD">
            <w:pPr>
              <w:pStyle w:val="NoSpacing"/>
              <w:spacing w:line="240" w:lineRule="auto"/>
              <w:rPr>
                <w:lang w:val="en-US"/>
              </w:rPr>
            </w:pPr>
            <w:r w:rsidRPr="000C4180">
              <w:rPr>
                <w:lang w:val="en-US"/>
              </w:rPr>
              <w:t>Income</w:t>
            </w:r>
          </w:p>
        </w:tc>
        <w:tc>
          <w:tcPr>
            <w:tcW w:w="1422" w:type="dxa"/>
            <w:noWrap/>
            <w:hideMark/>
          </w:tcPr>
          <w:p w14:paraId="214CB367" w14:textId="77777777" w:rsidR="005A2F54" w:rsidRPr="000C4180" w:rsidRDefault="005A2F54" w:rsidP="00712BCD">
            <w:pPr>
              <w:pStyle w:val="NoSpacing"/>
              <w:spacing w:line="240" w:lineRule="auto"/>
              <w:jc w:val="right"/>
              <w:rPr>
                <w:lang w:val="en-US"/>
              </w:rPr>
            </w:pPr>
            <w:r w:rsidRPr="000C4180">
              <w:rPr>
                <w:lang w:val="en-US"/>
              </w:rPr>
              <w:t>10000.0</w:t>
            </w:r>
          </w:p>
        </w:tc>
        <w:tc>
          <w:tcPr>
            <w:tcW w:w="1051" w:type="dxa"/>
            <w:noWrap/>
            <w:hideMark/>
          </w:tcPr>
          <w:p w14:paraId="168B3A3B" w14:textId="77777777" w:rsidR="005A2F54" w:rsidRPr="000C4180" w:rsidRDefault="005A2F54" w:rsidP="00712BCD">
            <w:pPr>
              <w:pStyle w:val="NoSpacing"/>
              <w:spacing w:line="240" w:lineRule="auto"/>
              <w:jc w:val="right"/>
              <w:rPr>
                <w:lang w:val="en-US"/>
              </w:rPr>
            </w:pPr>
            <w:r w:rsidRPr="000C4180">
              <w:rPr>
                <w:lang w:val="en-US"/>
              </w:rPr>
              <w:t>-10000.0</w:t>
            </w:r>
          </w:p>
        </w:tc>
        <w:tc>
          <w:tcPr>
            <w:tcW w:w="2342" w:type="dxa"/>
            <w:gridSpan w:val="2"/>
            <w:noWrap/>
            <w:hideMark/>
          </w:tcPr>
          <w:p w14:paraId="7645ABAB" w14:textId="77777777" w:rsidR="005A2F54" w:rsidRPr="000C4180" w:rsidRDefault="005A2F54" w:rsidP="00712BCD">
            <w:pPr>
              <w:pStyle w:val="NoSpacing"/>
              <w:spacing w:line="240" w:lineRule="auto"/>
              <w:rPr>
                <w:lang w:val="en-US"/>
              </w:rPr>
            </w:pPr>
            <w:r w:rsidRPr="000C4180">
              <w:rPr>
                <w:lang w:val="en-US"/>
              </w:rPr>
              <w:t>Income</w:t>
            </w:r>
          </w:p>
        </w:tc>
        <w:tc>
          <w:tcPr>
            <w:tcW w:w="1468" w:type="dxa"/>
            <w:noWrap/>
            <w:hideMark/>
          </w:tcPr>
          <w:p w14:paraId="69D7AED6" w14:textId="77777777" w:rsidR="005A2F54" w:rsidRPr="000C4180" w:rsidRDefault="005A2F54" w:rsidP="00712BCD">
            <w:pPr>
              <w:pStyle w:val="NoSpacing"/>
              <w:spacing w:line="240" w:lineRule="auto"/>
              <w:jc w:val="right"/>
              <w:rPr>
                <w:lang w:val="en-US"/>
              </w:rPr>
            </w:pPr>
            <w:r w:rsidRPr="000C4180">
              <w:rPr>
                <w:lang w:val="en-US"/>
              </w:rPr>
              <w:t>10000.0</w:t>
            </w:r>
          </w:p>
        </w:tc>
        <w:tc>
          <w:tcPr>
            <w:tcW w:w="1039" w:type="dxa"/>
            <w:noWrap/>
            <w:hideMark/>
          </w:tcPr>
          <w:p w14:paraId="125B415B" w14:textId="77777777" w:rsidR="005A2F54" w:rsidRPr="000C4180" w:rsidRDefault="005A2F54" w:rsidP="00712BCD">
            <w:pPr>
              <w:pStyle w:val="NoSpacing"/>
              <w:spacing w:line="240" w:lineRule="auto"/>
              <w:jc w:val="right"/>
              <w:rPr>
                <w:lang w:val="en-US"/>
              </w:rPr>
            </w:pPr>
            <w:r w:rsidRPr="000C4180">
              <w:rPr>
                <w:lang w:val="en-US"/>
              </w:rPr>
              <w:t>-10000.0</w:t>
            </w:r>
          </w:p>
        </w:tc>
      </w:tr>
      <w:tr w:rsidR="005A2F54" w:rsidRPr="000C4180" w14:paraId="6F5A3568" w14:textId="77777777" w:rsidTr="00712BCD">
        <w:trPr>
          <w:trHeight w:val="279"/>
        </w:trPr>
        <w:tc>
          <w:tcPr>
            <w:tcW w:w="1869" w:type="dxa"/>
            <w:gridSpan w:val="2"/>
            <w:noWrap/>
            <w:hideMark/>
          </w:tcPr>
          <w:p w14:paraId="22F74D81" w14:textId="77777777" w:rsidR="005A2F54" w:rsidRPr="000C4180" w:rsidRDefault="005A2F54" w:rsidP="00712BCD">
            <w:pPr>
              <w:pStyle w:val="NoSpacing"/>
              <w:spacing w:line="240" w:lineRule="auto"/>
              <w:rPr>
                <w:lang w:val="en-US"/>
              </w:rPr>
            </w:pPr>
            <w:r w:rsidRPr="000C4180">
              <w:rPr>
                <w:lang w:val="en-US"/>
              </w:rPr>
              <w:t>Closing Balance</w:t>
            </w:r>
          </w:p>
        </w:tc>
        <w:tc>
          <w:tcPr>
            <w:tcW w:w="1422" w:type="dxa"/>
            <w:noWrap/>
            <w:hideMark/>
          </w:tcPr>
          <w:p w14:paraId="0465217D" w14:textId="77777777" w:rsidR="005A2F54" w:rsidRPr="000C4180" w:rsidRDefault="005A2F54" w:rsidP="00712BCD">
            <w:pPr>
              <w:pStyle w:val="NoSpacing"/>
              <w:spacing w:line="240" w:lineRule="auto"/>
              <w:jc w:val="right"/>
              <w:rPr>
                <w:lang w:val="en-US"/>
              </w:rPr>
            </w:pPr>
            <w:r w:rsidRPr="000C4180">
              <w:rPr>
                <w:lang w:val="en-US"/>
              </w:rPr>
              <w:t>8129.6</w:t>
            </w:r>
          </w:p>
        </w:tc>
        <w:tc>
          <w:tcPr>
            <w:tcW w:w="1051" w:type="dxa"/>
            <w:noWrap/>
            <w:hideMark/>
          </w:tcPr>
          <w:p w14:paraId="36C260CC" w14:textId="77777777" w:rsidR="005A2F54" w:rsidRPr="000C4180" w:rsidRDefault="005A2F54" w:rsidP="00712BCD">
            <w:pPr>
              <w:pStyle w:val="NoSpacing"/>
              <w:spacing w:line="240" w:lineRule="auto"/>
              <w:jc w:val="right"/>
              <w:rPr>
                <w:lang w:val="en-US"/>
              </w:rPr>
            </w:pPr>
            <w:r w:rsidRPr="000C4180">
              <w:rPr>
                <w:lang w:val="en-US"/>
              </w:rPr>
              <w:t>-1870.4</w:t>
            </w:r>
          </w:p>
        </w:tc>
        <w:tc>
          <w:tcPr>
            <w:tcW w:w="2342" w:type="dxa"/>
            <w:gridSpan w:val="2"/>
            <w:noWrap/>
            <w:hideMark/>
          </w:tcPr>
          <w:p w14:paraId="5A084847" w14:textId="77777777" w:rsidR="005A2F54" w:rsidRPr="000C4180" w:rsidRDefault="005A2F54" w:rsidP="00712BCD">
            <w:pPr>
              <w:pStyle w:val="NoSpacing"/>
              <w:spacing w:line="240" w:lineRule="auto"/>
              <w:rPr>
                <w:lang w:val="en-US"/>
              </w:rPr>
            </w:pPr>
            <w:r w:rsidRPr="000C4180">
              <w:rPr>
                <w:lang w:val="en-US"/>
              </w:rPr>
              <w:t>Closing Balance</w:t>
            </w:r>
          </w:p>
        </w:tc>
        <w:tc>
          <w:tcPr>
            <w:tcW w:w="1468" w:type="dxa"/>
            <w:noWrap/>
            <w:hideMark/>
          </w:tcPr>
          <w:p w14:paraId="0AC9A14A" w14:textId="77777777" w:rsidR="005A2F54" w:rsidRPr="000C4180" w:rsidRDefault="005A2F54" w:rsidP="00712BCD">
            <w:pPr>
              <w:pStyle w:val="NoSpacing"/>
              <w:spacing w:line="240" w:lineRule="auto"/>
              <w:jc w:val="right"/>
              <w:rPr>
                <w:lang w:val="en-US"/>
              </w:rPr>
            </w:pPr>
            <w:r w:rsidRPr="000C4180">
              <w:rPr>
                <w:lang w:val="en-US"/>
              </w:rPr>
              <w:t>10000.0</w:t>
            </w:r>
          </w:p>
        </w:tc>
        <w:tc>
          <w:tcPr>
            <w:tcW w:w="1039" w:type="dxa"/>
            <w:noWrap/>
            <w:hideMark/>
          </w:tcPr>
          <w:p w14:paraId="743D5105" w14:textId="77777777" w:rsidR="005A2F54" w:rsidRPr="000C4180" w:rsidRDefault="005A2F54" w:rsidP="00712BCD">
            <w:pPr>
              <w:pStyle w:val="NoSpacing"/>
              <w:spacing w:line="240" w:lineRule="auto"/>
              <w:jc w:val="right"/>
              <w:rPr>
                <w:lang w:val="en-US"/>
              </w:rPr>
            </w:pPr>
            <w:r w:rsidRPr="000C4180">
              <w:rPr>
                <w:lang w:val="en-US"/>
              </w:rPr>
              <w:t>0.0</w:t>
            </w:r>
          </w:p>
        </w:tc>
      </w:tr>
      <w:tr w:rsidR="005A2F54" w:rsidRPr="00F506D1" w14:paraId="456ACA80" w14:textId="77777777" w:rsidTr="00712BCD">
        <w:trPr>
          <w:trHeight w:val="279"/>
        </w:trPr>
        <w:tc>
          <w:tcPr>
            <w:tcW w:w="9195" w:type="dxa"/>
            <w:gridSpan w:val="8"/>
            <w:noWrap/>
            <w:hideMark/>
          </w:tcPr>
          <w:p w14:paraId="72BFDC13" w14:textId="77777777" w:rsidR="005A2F54" w:rsidRPr="000C4180" w:rsidRDefault="005A2F54" w:rsidP="00712BCD">
            <w:pPr>
              <w:pStyle w:val="NoSpacing"/>
              <w:spacing w:line="240" w:lineRule="auto"/>
              <w:jc w:val="center"/>
              <w:rPr>
                <w:b/>
                <w:bCs/>
                <w:lang w:val="fr-CM"/>
              </w:rPr>
            </w:pPr>
            <w:r w:rsidRPr="000C4180">
              <w:rPr>
                <w:b/>
                <w:bCs/>
                <w:lang w:val="fr-CM"/>
              </w:rPr>
              <w:t>CAS &amp; DCF estimates - Data Source: Magni (2010)</w:t>
            </w:r>
          </w:p>
        </w:tc>
      </w:tr>
      <w:tr w:rsidR="005A2F54" w:rsidRPr="000C4180" w14:paraId="5B35F983" w14:textId="77777777" w:rsidTr="00712BCD">
        <w:trPr>
          <w:trHeight w:val="266"/>
        </w:trPr>
        <w:tc>
          <w:tcPr>
            <w:tcW w:w="802" w:type="dxa"/>
            <w:noWrap/>
            <w:hideMark/>
          </w:tcPr>
          <w:p w14:paraId="2CE7653F" w14:textId="77777777" w:rsidR="005A2F54" w:rsidRPr="000C4180" w:rsidRDefault="005A2F54" w:rsidP="00712BCD">
            <w:pPr>
              <w:pStyle w:val="NoSpacing"/>
              <w:spacing w:line="240" w:lineRule="auto"/>
              <w:rPr>
                <w:lang w:val="en-US"/>
              </w:rPr>
            </w:pPr>
            <w:r w:rsidRPr="000C4180">
              <w:rPr>
                <w:lang w:val="en-US"/>
              </w:rPr>
              <w:t>Years</w:t>
            </w:r>
          </w:p>
        </w:tc>
        <w:tc>
          <w:tcPr>
            <w:tcW w:w="1067" w:type="dxa"/>
            <w:noWrap/>
            <w:hideMark/>
          </w:tcPr>
          <w:p w14:paraId="4423E612" w14:textId="77777777" w:rsidR="005A2F54" w:rsidRPr="000C4180" w:rsidRDefault="005A2F54" w:rsidP="00712BCD">
            <w:pPr>
              <w:pStyle w:val="NoSpacing"/>
              <w:spacing w:line="240" w:lineRule="auto"/>
              <w:rPr>
                <w:lang w:val="en-US"/>
              </w:rPr>
            </w:pPr>
            <w:r w:rsidRPr="000C4180">
              <w:rPr>
                <w:lang w:val="en-US"/>
              </w:rPr>
              <w:t>NNCF</w:t>
            </w:r>
          </w:p>
        </w:tc>
        <w:tc>
          <w:tcPr>
            <w:tcW w:w="7325" w:type="dxa"/>
            <w:gridSpan w:val="6"/>
            <w:noWrap/>
            <w:hideMark/>
          </w:tcPr>
          <w:p w14:paraId="303E259E" w14:textId="77777777" w:rsidR="005A2F54" w:rsidRPr="000C4180" w:rsidRDefault="005A2F54" w:rsidP="00712BCD">
            <w:pPr>
              <w:pStyle w:val="NoSpacing"/>
              <w:spacing w:line="240" w:lineRule="auto"/>
              <w:jc w:val="center"/>
              <w:rPr>
                <w:b/>
                <w:bCs/>
                <w:lang w:val="en-US"/>
              </w:rPr>
            </w:pPr>
            <w:r w:rsidRPr="000C4180">
              <w:rPr>
                <w:b/>
                <w:bCs/>
                <w:lang w:val="en-US"/>
              </w:rPr>
              <w:t>DCF and CAS estimates</w:t>
            </w:r>
          </w:p>
        </w:tc>
      </w:tr>
      <w:tr w:rsidR="005A2F54" w:rsidRPr="000C4180" w14:paraId="6E612A52" w14:textId="77777777" w:rsidTr="00712BCD">
        <w:trPr>
          <w:trHeight w:val="279"/>
        </w:trPr>
        <w:tc>
          <w:tcPr>
            <w:tcW w:w="802" w:type="dxa"/>
            <w:noWrap/>
            <w:hideMark/>
          </w:tcPr>
          <w:p w14:paraId="40B1EBA2" w14:textId="77777777" w:rsidR="005A2F54" w:rsidRPr="000C4180" w:rsidRDefault="005A2F54" w:rsidP="00712BCD">
            <w:pPr>
              <w:pStyle w:val="NoSpacing"/>
              <w:spacing w:line="240" w:lineRule="auto"/>
              <w:rPr>
                <w:lang w:val="en-US"/>
              </w:rPr>
            </w:pPr>
            <w:r w:rsidRPr="000C4180">
              <w:rPr>
                <w:lang w:val="en-US"/>
              </w:rPr>
              <w:lastRenderedPageBreak/>
              <w:t>0</w:t>
            </w:r>
          </w:p>
        </w:tc>
        <w:tc>
          <w:tcPr>
            <w:tcW w:w="1067" w:type="dxa"/>
            <w:noWrap/>
            <w:hideMark/>
          </w:tcPr>
          <w:p w14:paraId="04A985EA" w14:textId="77777777" w:rsidR="005A2F54" w:rsidRPr="000C4180" w:rsidRDefault="005A2F54" w:rsidP="00712BCD">
            <w:pPr>
              <w:pStyle w:val="NoSpacing"/>
              <w:spacing w:line="240" w:lineRule="auto"/>
              <w:jc w:val="right"/>
              <w:rPr>
                <w:lang w:val="en-US"/>
              </w:rPr>
            </w:pPr>
            <w:r w:rsidRPr="000C4180">
              <w:rPr>
                <w:lang w:val="en-US"/>
              </w:rPr>
              <w:t>-10</w:t>
            </w:r>
          </w:p>
        </w:tc>
        <w:tc>
          <w:tcPr>
            <w:tcW w:w="1422" w:type="dxa"/>
            <w:noWrap/>
            <w:hideMark/>
          </w:tcPr>
          <w:p w14:paraId="7683103C" w14:textId="77777777" w:rsidR="005A2F54" w:rsidRPr="000C4180" w:rsidRDefault="005A2F54" w:rsidP="00712BCD">
            <w:pPr>
              <w:pStyle w:val="NoSpacing"/>
              <w:spacing w:line="240" w:lineRule="auto"/>
              <w:rPr>
                <w:lang w:val="en-US"/>
              </w:rPr>
            </w:pPr>
            <w:r w:rsidRPr="000C4180">
              <w:rPr>
                <w:lang w:val="en-US"/>
              </w:rPr>
              <w:t>Criteria</w:t>
            </w:r>
          </w:p>
        </w:tc>
        <w:tc>
          <w:tcPr>
            <w:tcW w:w="1051" w:type="dxa"/>
            <w:noWrap/>
            <w:hideMark/>
          </w:tcPr>
          <w:p w14:paraId="1D12D0C6" w14:textId="77777777" w:rsidR="005A2F54" w:rsidRPr="000C4180" w:rsidRDefault="005A2F54" w:rsidP="00712BCD">
            <w:pPr>
              <w:pStyle w:val="NoSpacing"/>
              <w:spacing w:line="240" w:lineRule="auto"/>
              <w:rPr>
                <w:lang w:val="en-US"/>
              </w:rPr>
            </w:pPr>
            <w:r w:rsidRPr="000C4180">
              <w:rPr>
                <w:lang w:val="en-US"/>
              </w:rPr>
              <w:t>Values</w:t>
            </w:r>
          </w:p>
        </w:tc>
        <w:tc>
          <w:tcPr>
            <w:tcW w:w="1449" w:type="dxa"/>
            <w:noWrap/>
            <w:hideMark/>
          </w:tcPr>
          <w:p w14:paraId="75E002E2" w14:textId="77777777" w:rsidR="005A2F54" w:rsidRPr="000C4180" w:rsidRDefault="005A2F54" w:rsidP="00712BCD">
            <w:pPr>
              <w:pStyle w:val="NoSpacing"/>
              <w:spacing w:line="240" w:lineRule="auto"/>
              <w:rPr>
                <w:lang w:val="en-US"/>
              </w:rPr>
            </w:pPr>
            <w:r w:rsidRPr="000C4180">
              <w:rPr>
                <w:lang w:val="en-US"/>
              </w:rPr>
              <w:t>Criteria</w:t>
            </w:r>
          </w:p>
        </w:tc>
        <w:tc>
          <w:tcPr>
            <w:tcW w:w="893" w:type="dxa"/>
            <w:noWrap/>
            <w:hideMark/>
          </w:tcPr>
          <w:p w14:paraId="2DDB98D4" w14:textId="77777777" w:rsidR="005A2F54" w:rsidRPr="000C4180" w:rsidRDefault="005A2F54" w:rsidP="00712BCD">
            <w:pPr>
              <w:pStyle w:val="NoSpacing"/>
              <w:spacing w:line="240" w:lineRule="auto"/>
              <w:rPr>
                <w:lang w:val="en-US"/>
              </w:rPr>
            </w:pPr>
            <w:r w:rsidRPr="000C4180">
              <w:rPr>
                <w:lang w:val="en-US"/>
              </w:rPr>
              <w:t>Value</w:t>
            </w:r>
          </w:p>
        </w:tc>
        <w:tc>
          <w:tcPr>
            <w:tcW w:w="1468" w:type="dxa"/>
            <w:noWrap/>
            <w:hideMark/>
          </w:tcPr>
          <w:p w14:paraId="5C82D940" w14:textId="77777777" w:rsidR="005A2F54" w:rsidRPr="000C4180" w:rsidRDefault="005A2F54" w:rsidP="00712BCD">
            <w:pPr>
              <w:pStyle w:val="NoSpacing"/>
              <w:spacing w:line="240" w:lineRule="auto"/>
              <w:rPr>
                <w:lang w:val="en-US"/>
              </w:rPr>
            </w:pPr>
            <w:r w:rsidRPr="000C4180">
              <w:rPr>
                <w:lang w:val="en-US"/>
              </w:rPr>
              <w:t>Criteria</w:t>
            </w:r>
          </w:p>
        </w:tc>
        <w:tc>
          <w:tcPr>
            <w:tcW w:w="1039" w:type="dxa"/>
            <w:noWrap/>
            <w:hideMark/>
          </w:tcPr>
          <w:p w14:paraId="22D55D18" w14:textId="77777777" w:rsidR="005A2F54" w:rsidRPr="000C4180" w:rsidRDefault="005A2F54" w:rsidP="00712BCD">
            <w:pPr>
              <w:pStyle w:val="NoSpacing"/>
              <w:spacing w:line="240" w:lineRule="auto"/>
              <w:rPr>
                <w:lang w:val="en-US"/>
              </w:rPr>
            </w:pPr>
            <w:r w:rsidRPr="000C4180">
              <w:rPr>
                <w:lang w:val="en-US"/>
              </w:rPr>
              <w:t>Value</w:t>
            </w:r>
          </w:p>
        </w:tc>
      </w:tr>
      <w:tr w:rsidR="005A2F54" w:rsidRPr="000C4180" w14:paraId="39AD21F8" w14:textId="77777777" w:rsidTr="00712BCD">
        <w:trPr>
          <w:trHeight w:val="279"/>
        </w:trPr>
        <w:tc>
          <w:tcPr>
            <w:tcW w:w="802" w:type="dxa"/>
            <w:noWrap/>
            <w:hideMark/>
          </w:tcPr>
          <w:p w14:paraId="20A18C5E" w14:textId="77777777" w:rsidR="005A2F54" w:rsidRPr="000C4180" w:rsidRDefault="005A2F54" w:rsidP="00712BCD">
            <w:pPr>
              <w:pStyle w:val="NoSpacing"/>
              <w:spacing w:line="240" w:lineRule="auto"/>
              <w:rPr>
                <w:lang w:val="en-US"/>
              </w:rPr>
            </w:pPr>
            <w:r w:rsidRPr="000C4180">
              <w:rPr>
                <w:lang w:val="en-US"/>
              </w:rPr>
              <w:t>1</w:t>
            </w:r>
          </w:p>
        </w:tc>
        <w:tc>
          <w:tcPr>
            <w:tcW w:w="1067" w:type="dxa"/>
            <w:noWrap/>
            <w:hideMark/>
          </w:tcPr>
          <w:p w14:paraId="7092C04C" w14:textId="77777777" w:rsidR="005A2F54" w:rsidRPr="000C4180" w:rsidRDefault="005A2F54" w:rsidP="00712BCD">
            <w:pPr>
              <w:pStyle w:val="NoSpacing"/>
              <w:spacing w:line="240" w:lineRule="auto"/>
              <w:jc w:val="right"/>
              <w:rPr>
                <w:lang w:val="en-US"/>
              </w:rPr>
            </w:pPr>
            <w:r w:rsidRPr="000C4180">
              <w:rPr>
                <w:lang w:val="en-US"/>
              </w:rPr>
              <w:t>30</w:t>
            </w:r>
          </w:p>
        </w:tc>
        <w:tc>
          <w:tcPr>
            <w:tcW w:w="1422" w:type="dxa"/>
            <w:noWrap/>
            <w:hideMark/>
          </w:tcPr>
          <w:p w14:paraId="48E80EC2" w14:textId="77777777" w:rsidR="005A2F54" w:rsidRPr="000C4180" w:rsidRDefault="005A2F54" w:rsidP="00712BCD">
            <w:pPr>
              <w:pStyle w:val="NoSpacing"/>
              <w:spacing w:line="240" w:lineRule="auto"/>
              <w:rPr>
                <w:lang w:val="en-US"/>
              </w:rPr>
            </w:pPr>
            <w:r w:rsidRPr="000C4180">
              <w:rPr>
                <w:lang w:val="en-US"/>
              </w:rPr>
              <w:t xml:space="preserve">IRR </w:t>
            </w:r>
          </w:p>
        </w:tc>
        <w:tc>
          <w:tcPr>
            <w:tcW w:w="1051" w:type="dxa"/>
            <w:noWrap/>
            <w:hideMark/>
          </w:tcPr>
          <w:p w14:paraId="098AF8BA" w14:textId="77777777" w:rsidR="005A2F54" w:rsidRPr="000C4180" w:rsidRDefault="005A2F54" w:rsidP="00712BCD">
            <w:pPr>
              <w:pStyle w:val="NoSpacing"/>
              <w:spacing w:line="240" w:lineRule="auto"/>
              <w:jc w:val="right"/>
              <w:rPr>
                <w:lang w:val="en-US"/>
              </w:rPr>
            </w:pPr>
            <w:r w:rsidRPr="000C4180">
              <w:rPr>
                <w:lang w:val="en-US"/>
              </w:rPr>
              <w:t>0%</w:t>
            </w:r>
          </w:p>
        </w:tc>
        <w:tc>
          <w:tcPr>
            <w:tcW w:w="1449" w:type="dxa"/>
            <w:noWrap/>
          </w:tcPr>
          <w:p w14:paraId="3374BFA7" w14:textId="77777777" w:rsidR="005A2F54" w:rsidRPr="000C4180" w:rsidRDefault="005A2F54" w:rsidP="00712BCD">
            <w:pPr>
              <w:pStyle w:val="NoSpacing"/>
              <w:spacing w:line="240" w:lineRule="auto"/>
              <w:rPr>
                <w:lang w:val="en-US"/>
              </w:rPr>
            </w:pPr>
            <w:r w:rsidRPr="000C4180">
              <w:rPr>
                <w:lang w:val="en-US"/>
              </w:rPr>
              <w:t>NPV</w:t>
            </w:r>
          </w:p>
        </w:tc>
        <w:tc>
          <w:tcPr>
            <w:tcW w:w="893" w:type="dxa"/>
            <w:noWrap/>
          </w:tcPr>
          <w:p w14:paraId="20E93978" w14:textId="77777777" w:rsidR="005A2F54" w:rsidRPr="000C4180" w:rsidRDefault="005A2F54" w:rsidP="00712BCD">
            <w:pPr>
              <w:pStyle w:val="NoSpacing"/>
              <w:spacing w:line="240" w:lineRule="auto"/>
              <w:jc w:val="right"/>
              <w:rPr>
                <w:lang w:val="en-US"/>
              </w:rPr>
            </w:pPr>
            <w:r w:rsidRPr="000C4180">
              <w:rPr>
                <w:lang w:val="en-US"/>
              </w:rPr>
              <w:t>-5.00%</w:t>
            </w:r>
          </w:p>
        </w:tc>
        <w:tc>
          <w:tcPr>
            <w:tcW w:w="1468" w:type="dxa"/>
            <w:noWrap/>
            <w:hideMark/>
          </w:tcPr>
          <w:p w14:paraId="2E4E753B" w14:textId="77777777" w:rsidR="005A2F54" w:rsidRPr="000C4180" w:rsidRDefault="005A2F54" w:rsidP="00712BCD">
            <w:pPr>
              <w:pStyle w:val="NoSpacing"/>
              <w:spacing w:line="240" w:lineRule="auto"/>
              <w:rPr>
                <w:lang w:val="en-US"/>
              </w:rPr>
            </w:pPr>
            <w:r w:rsidRPr="000C4180">
              <w:rPr>
                <w:lang w:val="en-US"/>
              </w:rPr>
              <w:t>MIRR (10,10)</w:t>
            </w:r>
          </w:p>
        </w:tc>
        <w:tc>
          <w:tcPr>
            <w:tcW w:w="1039" w:type="dxa"/>
            <w:noWrap/>
            <w:hideMark/>
          </w:tcPr>
          <w:p w14:paraId="12F41A99" w14:textId="77777777" w:rsidR="005A2F54" w:rsidRPr="000C4180" w:rsidRDefault="005A2F54" w:rsidP="00712BCD">
            <w:pPr>
              <w:pStyle w:val="NoSpacing"/>
              <w:spacing w:line="240" w:lineRule="auto"/>
              <w:jc w:val="right"/>
              <w:rPr>
                <w:lang w:val="en-US"/>
              </w:rPr>
            </w:pPr>
            <w:r w:rsidRPr="000C4180">
              <w:rPr>
                <w:lang w:val="en-US"/>
              </w:rPr>
              <w:t>3.7%</w:t>
            </w:r>
          </w:p>
        </w:tc>
      </w:tr>
      <w:tr w:rsidR="005A2F54" w:rsidRPr="000C4180" w14:paraId="6EB55D7A" w14:textId="77777777" w:rsidTr="00712BCD">
        <w:trPr>
          <w:trHeight w:val="279"/>
        </w:trPr>
        <w:tc>
          <w:tcPr>
            <w:tcW w:w="802" w:type="dxa"/>
            <w:noWrap/>
            <w:hideMark/>
          </w:tcPr>
          <w:p w14:paraId="41FCFE63" w14:textId="77777777" w:rsidR="005A2F54" w:rsidRPr="000C4180" w:rsidRDefault="005A2F54" w:rsidP="00712BCD">
            <w:pPr>
              <w:pStyle w:val="NoSpacing"/>
              <w:spacing w:line="240" w:lineRule="auto"/>
              <w:rPr>
                <w:lang w:val="en-US"/>
              </w:rPr>
            </w:pPr>
            <w:r w:rsidRPr="000C4180">
              <w:rPr>
                <w:lang w:val="en-US"/>
              </w:rPr>
              <w:t>3</w:t>
            </w:r>
          </w:p>
        </w:tc>
        <w:tc>
          <w:tcPr>
            <w:tcW w:w="1067" w:type="dxa"/>
            <w:noWrap/>
            <w:hideMark/>
          </w:tcPr>
          <w:p w14:paraId="21B7E6E5" w14:textId="77777777" w:rsidR="005A2F54" w:rsidRPr="000C4180" w:rsidRDefault="005A2F54" w:rsidP="00712BCD">
            <w:pPr>
              <w:pStyle w:val="NoSpacing"/>
              <w:spacing w:line="240" w:lineRule="auto"/>
              <w:jc w:val="right"/>
              <w:rPr>
                <w:lang w:val="en-US"/>
              </w:rPr>
            </w:pPr>
            <w:r w:rsidRPr="000C4180">
              <w:rPr>
                <w:lang w:val="en-US"/>
              </w:rPr>
              <w:t>-25</w:t>
            </w:r>
          </w:p>
        </w:tc>
        <w:tc>
          <w:tcPr>
            <w:tcW w:w="1422" w:type="dxa"/>
            <w:noWrap/>
            <w:hideMark/>
          </w:tcPr>
          <w:p w14:paraId="2721AB3F" w14:textId="77777777" w:rsidR="005A2F54" w:rsidRPr="000C4180" w:rsidRDefault="005A2F54" w:rsidP="00712BCD">
            <w:pPr>
              <w:pStyle w:val="NoSpacing"/>
              <w:spacing w:line="240" w:lineRule="auto"/>
              <w:rPr>
                <w:lang w:val="en-US"/>
              </w:rPr>
            </w:pPr>
            <w:r w:rsidRPr="000C4180">
              <w:rPr>
                <w:lang w:val="en-US"/>
              </w:rPr>
              <w:t>AIRR</w:t>
            </w:r>
          </w:p>
        </w:tc>
        <w:tc>
          <w:tcPr>
            <w:tcW w:w="1051" w:type="dxa"/>
            <w:noWrap/>
            <w:hideMark/>
          </w:tcPr>
          <w:p w14:paraId="51B35160" w14:textId="77777777" w:rsidR="005A2F54" w:rsidRPr="000C4180" w:rsidRDefault="005A2F54" w:rsidP="00712BCD">
            <w:pPr>
              <w:pStyle w:val="NoSpacing"/>
              <w:spacing w:line="240" w:lineRule="auto"/>
              <w:jc w:val="right"/>
              <w:rPr>
                <w:lang w:val="en-US"/>
              </w:rPr>
            </w:pPr>
            <w:r w:rsidRPr="000C4180">
              <w:rPr>
                <w:lang w:val="en-US"/>
              </w:rPr>
              <w:t>27.27%</w:t>
            </w:r>
          </w:p>
        </w:tc>
        <w:tc>
          <w:tcPr>
            <w:tcW w:w="1449" w:type="dxa"/>
            <w:noWrap/>
          </w:tcPr>
          <w:p w14:paraId="6745A045" w14:textId="77777777" w:rsidR="005A2F54" w:rsidRPr="000C4180" w:rsidRDefault="005A2F54" w:rsidP="00712BCD">
            <w:pPr>
              <w:pStyle w:val="NoSpacing"/>
              <w:spacing w:line="240" w:lineRule="auto"/>
              <w:rPr>
                <w:lang w:val="en-US"/>
              </w:rPr>
            </w:pPr>
          </w:p>
        </w:tc>
        <w:tc>
          <w:tcPr>
            <w:tcW w:w="893" w:type="dxa"/>
            <w:noWrap/>
          </w:tcPr>
          <w:p w14:paraId="75227372" w14:textId="77777777" w:rsidR="005A2F54" w:rsidRPr="000C4180" w:rsidRDefault="005A2F54" w:rsidP="00712BCD">
            <w:pPr>
              <w:pStyle w:val="NoSpacing"/>
              <w:spacing w:line="240" w:lineRule="auto"/>
              <w:jc w:val="right"/>
              <w:rPr>
                <w:lang w:val="en-US"/>
              </w:rPr>
            </w:pPr>
          </w:p>
        </w:tc>
        <w:tc>
          <w:tcPr>
            <w:tcW w:w="1468" w:type="dxa"/>
            <w:noWrap/>
            <w:hideMark/>
          </w:tcPr>
          <w:p w14:paraId="45B3CA55" w14:textId="77777777" w:rsidR="005A2F54" w:rsidRPr="000C4180" w:rsidRDefault="005A2F54" w:rsidP="00712BCD">
            <w:pPr>
              <w:pStyle w:val="NoSpacing"/>
              <w:spacing w:line="240" w:lineRule="auto"/>
              <w:rPr>
                <w:lang w:val="en-US"/>
              </w:rPr>
            </w:pPr>
            <w:r w:rsidRPr="000C4180">
              <w:rPr>
                <w:lang w:val="en-US"/>
              </w:rPr>
              <w:t>MIRR (10,0)</w:t>
            </w:r>
          </w:p>
        </w:tc>
        <w:tc>
          <w:tcPr>
            <w:tcW w:w="1039" w:type="dxa"/>
            <w:noWrap/>
            <w:hideMark/>
          </w:tcPr>
          <w:p w14:paraId="1D660AB4" w14:textId="77777777" w:rsidR="005A2F54" w:rsidRPr="000C4180" w:rsidRDefault="005A2F54" w:rsidP="00712BCD">
            <w:pPr>
              <w:pStyle w:val="NoSpacing"/>
              <w:spacing w:line="240" w:lineRule="auto"/>
              <w:jc w:val="right"/>
              <w:rPr>
                <w:lang w:val="en-US"/>
              </w:rPr>
            </w:pPr>
            <w:r w:rsidRPr="000C4180">
              <w:rPr>
                <w:lang w:val="en-US"/>
              </w:rPr>
              <w:t>-1.1%</w:t>
            </w:r>
          </w:p>
        </w:tc>
      </w:tr>
      <w:tr w:rsidR="005A2F54" w:rsidRPr="000C4180" w14:paraId="770014B3" w14:textId="77777777" w:rsidTr="00712BCD">
        <w:trPr>
          <w:trHeight w:val="352"/>
        </w:trPr>
        <w:tc>
          <w:tcPr>
            <w:tcW w:w="802" w:type="dxa"/>
            <w:noWrap/>
            <w:hideMark/>
          </w:tcPr>
          <w:p w14:paraId="3ECFF31A" w14:textId="77777777" w:rsidR="005A2F54" w:rsidRPr="000C4180" w:rsidRDefault="005A2F54" w:rsidP="00712BCD">
            <w:pPr>
              <w:pStyle w:val="NoSpacing"/>
              <w:spacing w:line="240" w:lineRule="auto"/>
              <w:rPr>
                <w:lang w:val="en-US"/>
              </w:rPr>
            </w:pPr>
            <w:r w:rsidRPr="000C4180">
              <w:rPr>
                <w:lang w:val="en-US"/>
              </w:rPr>
              <w:t>SNCF</w:t>
            </w:r>
          </w:p>
        </w:tc>
        <w:tc>
          <w:tcPr>
            <w:tcW w:w="1067" w:type="dxa"/>
            <w:noWrap/>
            <w:hideMark/>
          </w:tcPr>
          <w:p w14:paraId="4AAE07EF" w14:textId="77777777" w:rsidR="005A2F54" w:rsidRPr="000C4180" w:rsidRDefault="005A2F54" w:rsidP="00712BCD">
            <w:pPr>
              <w:pStyle w:val="NoSpacing"/>
              <w:spacing w:line="240" w:lineRule="auto"/>
              <w:jc w:val="right"/>
              <w:rPr>
                <w:lang w:val="en-US"/>
              </w:rPr>
            </w:pPr>
            <w:r w:rsidRPr="000C4180">
              <w:rPr>
                <w:lang w:val="en-US"/>
              </w:rPr>
              <w:t>-5</w:t>
            </w:r>
          </w:p>
        </w:tc>
        <w:tc>
          <w:tcPr>
            <w:tcW w:w="1422" w:type="dxa"/>
            <w:noWrap/>
          </w:tcPr>
          <w:p w14:paraId="11732D59" w14:textId="77777777" w:rsidR="005A2F54" w:rsidRPr="000C4180" w:rsidRDefault="005A2F54" w:rsidP="00712BCD">
            <w:pPr>
              <w:pStyle w:val="NoSpacing"/>
              <w:spacing w:line="240" w:lineRule="auto"/>
              <w:rPr>
                <w:lang w:val="en-US"/>
              </w:rPr>
            </w:pPr>
          </w:p>
        </w:tc>
        <w:tc>
          <w:tcPr>
            <w:tcW w:w="1051" w:type="dxa"/>
            <w:noWrap/>
          </w:tcPr>
          <w:p w14:paraId="0A9F7ACA" w14:textId="77777777" w:rsidR="005A2F54" w:rsidRPr="000C4180" w:rsidRDefault="005A2F54" w:rsidP="00712BCD">
            <w:pPr>
              <w:pStyle w:val="NoSpacing"/>
              <w:spacing w:line="240" w:lineRule="auto"/>
              <w:jc w:val="right"/>
              <w:rPr>
                <w:lang w:val="en-US"/>
              </w:rPr>
            </w:pPr>
          </w:p>
        </w:tc>
        <w:tc>
          <w:tcPr>
            <w:tcW w:w="1449" w:type="dxa"/>
            <w:noWrap/>
            <w:hideMark/>
          </w:tcPr>
          <w:p w14:paraId="2336477D" w14:textId="77777777" w:rsidR="005A2F54" w:rsidRPr="000C4180" w:rsidRDefault="005A2F54" w:rsidP="00712BCD">
            <w:pPr>
              <w:pStyle w:val="NoSpacing"/>
              <w:spacing w:line="240" w:lineRule="auto"/>
              <w:jc w:val="center"/>
              <w:rPr>
                <w:lang w:val="en-US"/>
              </w:rPr>
            </w:pPr>
          </w:p>
        </w:tc>
        <w:tc>
          <w:tcPr>
            <w:tcW w:w="893" w:type="dxa"/>
            <w:noWrap/>
            <w:hideMark/>
          </w:tcPr>
          <w:p w14:paraId="74615169" w14:textId="77777777" w:rsidR="005A2F54" w:rsidRPr="000C4180" w:rsidRDefault="005A2F54" w:rsidP="00712BCD">
            <w:pPr>
              <w:pStyle w:val="NoSpacing"/>
              <w:spacing w:line="240" w:lineRule="auto"/>
              <w:rPr>
                <w:lang w:val="en-US"/>
              </w:rPr>
            </w:pPr>
          </w:p>
        </w:tc>
        <w:tc>
          <w:tcPr>
            <w:tcW w:w="1468" w:type="dxa"/>
            <w:noWrap/>
            <w:hideMark/>
          </w:tcPr>
          <w:p w14:paraId="547D2287" w14:textId="77777777" w:rsidR="005A2F54" w:rsidRPr="000C4180" w:rsidRDefault="005A2F54" w:rsidP="00712BCD">
            <w:pPr>
              <w:pStyle w:val="NoSpacing"/>
              <w:spacing w:line="240" w:lineRule="auto"/>
              <w:rPr>
                <w:lang w:val="en-US"/>
              </w:rPr>
            </w:pPr>
          </w:p>
        </w:tc>
        <w:tc>
          <w:tcPr>
            <w:tcW w:w="1039" w:type="dxa"/>
            <w:noWrap/>
            <w:hideMark/>
          </w:tcPr>
          <w:p w14:paraId="5FA278C5" w14:textId="77777777" w:rsidR="005A2F54" w:rsidRPr="000C4180" w:rsidRDefault="005A2F54" w:rsidP="00712BCD">
            <w:pPr>
              <w:pStyle w:val="NoSpacing"/>
              <w:spacing w:line="240" w:lineRule="auto"/>
              <w:rPr>
                <w:lang w:val="en-US"/>
              </w:rPr>
            </w:pPr>
          </w:p>
        </w:tc>
      </w:tr>
      <w:tr w:rsidR="005A2F54" w:rsidRPr="000C4180" w14:paraId="32C77DC6" w14:textId="77777777" w:rsidTr="00712BCD">
        <w:trPr>
          <w:trHeight w:val="279"/>
        </w:trPr>
        <w:tc>
          <w:tcPr>
            <w:tcW w:w="3292" w:type="dxa"/>
            <w:gridSpan w:val="3"/>
            <w:noWrap/>
            <w:hideMark/>
          </w:tcPr>
          <w:p w14:paraId="59270FE3" w14:textId="77777777" w:rsidR="005A2F54" w:rsidRPr="000C4180" w:rsidRDefault="005A2F54" w:rsidP="00712BCD">
            <w:pPr>
              <w:pStyle w:val="NoSpacing"/>
              <w:spacing w:line="240" w:lineRule="auto"/>
              <w:jc w:val="center"/>
              <w:rPr>
                <w:b/>
                <w:bCs/>
                <w:lang w:val="en-US"/>
              </w:rPr>
            </w:pPr>
            <w:r w:rsidRPr="000C4180">
              <w:rPr>
                <w:b/>
                <w:bCs/>
                <w:lang w:val="en-US"/>
              </w:rPr>
              <w:t>CAS at IRR (0%)</w:t>
            </w:r>
          </w:p>
        </w:tc>
        <w:tc>
          <w:tcPr>
            <w:tcW w:w="1051" w:type="dxa"/>
            <w:noWrap/>
            <w:hideMark/>
          </w:tcPr>
          <w:p w14:paraId="4A9950DB" w14:textId="77777777" w:rsidR="005A2F54" w:rsidRPr="000C4180" w:rsidRDefault="005A2F54" w:rsidP="00712BCD">
            <w:pPr>
              <w:pStyle w:val="NoSpacing"/>
              <w:spacing w:line="240" w:lineRule="auto"/>
              <w:rPr>
                <w:b/>
                <w:bCs/>
                <w:lang w:val="en-US"/>
              </w:rPr>
            </w:pPr>
          </w:p>
        </w:tc>
        <w:tc>
          <w:tcPr>
            <w:tcW w:w="4851" w:type="dxa"/>
            <w:gridSpan w:val="4"/>
            <w:noWrap/>
            <w:hideMark/>
          </w:tcPr>
          <w:p w14:paraId="76BFAFC8" w14:textId="77777777" w:rsidR="005A2F54" w:rsidRPr="000C4180" w:rsidRDefault="005A2F54" w:rsidP="00712BCD">
            <w:pPr>
              <w:pStyle w:val="NoSpacing"/>
              <w:spacing w:line="240" w:lineRule="auto"/>
              <w:jc w:val="center"/>
              <w:rPr>
                <w:lang w:val="en-US"/>
              </w:rPr>
            </w:pPr>
            <w:r w:rsidRPr="000C4180">
              <w:rPr>
                <w:b/>
                <w:bCs/>
                <w:lang w:val="en-US"/>
              </w:rPr>
              <w:t>CAS at AIRR (-27.27%)</w:t>
            </w:r>
          </w:p>
        </w:tc>
      </w:tr>
      <w:tr w:rsidR="005A2F54" w:rsidRPr="000C4180" w14:paraId="1E094D11" w14:textId="77777777" w:rsidTr="00712BCD">
        <w:trPr>
          <w:trHeight w:val="291"/>
        </w:trPr>
        <w:tc>
          <w:tcPr>
            <w:tcW w:w="1869" w:type="dxa"/>
            <w:gridSpan w:val="2"/>
            <w:noWrap/>
            <w:hideMark/>
          </w:tcPr>
          <w:p w14:paraId="2A30E0FC" w14:textId="77777777" w:rsidR="005A2F54" w:rsidRPr="000C4180" w:rsidRDefault="005A2F54" w:rsidP="00712BCD">
            <w:pPr>
              <w:pStyle w:val="NoSpacing"/>
              <w:spacing w:line="240" w:lineRule="auto"/>
              <w:rPr>
                <w:lang w:val="en-US"/>
              </w:rPr>
            </w:pPr>
            <w:r w:rsidRPr="000C4180">
              <w:rPr>
                <w:lang w:val="en-US"/>
              </w:rPr>
              <w:t>Opening Capital</w:t>
            </w:r>
          </w:p>
        </w:tc>
        <w:tc>
          <w:tcPr>
            <w:tcW w:w="1422" w:type="dxa"/>
            <w:noWrap/>
            <w:hideMark/>
          </w:tcPr>
          <w:p w14:paraId="3033E509" w14:textId="77777777" w:rsidR="005A2F54" w:rsidRPr="000C4180" w:rsidRDefault="005A2F54" w:rsidP="00712BCD">
            <w:pPr>
              <w:pStyle w:val="NoSpacing"/>
              <w:spacing w:line="240" w:lineRule="auto"/>
              <w:jc w:val="right"/>
              <w:rPr>
                <w:lang w:val="en-US"/>
              </w:rPr>
            </w:pPr>
            <w:r w:rsidRPr="000C4180">
              <w:rPr>
                <w:lang w:val="en-US"/>
              </w:rPr>
              <w:t>-10</w:t>
            </w:r>
          </w:p>
        </w:tc>
        <w:tc>
          <w:tcPr>
            <w:tcW w:w="1051" w:type="dxa"/>
            <w:noWrap/>
            <w:hideMark/>
          </w:tcPr>
          <w:p w14:paraId="51E65AAB" w14:textId="77777777" w:rsidR="005A2F54" w:rsidRPr="000C4180" w:rsidRDefault="005A2F54" w:rsidP="00712BCD">
            <w:pPr>
              <w:pStyle w:val="NoSpacing"/>
              <w:spacing w:line="240" w:lineRule="auto"/>
              <w:jc w:val="right"/>
              <w:rPr>
                <w:lang w:val="en-US"/>
              </w:rPr>
            </w:pPr>
            <w:r w:rsidRPr="000C4180">
              <w:rPr>
                <w:lang w:val="en-US"/>
              </w:rPr>
              <w:t>20.0</w:t>
            </w:r>
          </w:p>
        </w:tc>
        <w:tc>
          <w:tcPr>
            <w:tcW w:w="2342" w:type="dxa"/>
            <w:gridSpan w:val="2"/>
            <w:noWrap/>
            <w:hideMark/>
          </w:tcPr>
          <w:p w14:paraId="0D312824" w14:textId="77777777" w:rsidR="005A2F54" w:rsidRPr="000C4180" w:rsidRDefault="005A2F54" w:rsidP="00712BCD">
            <w:pPr>
              <w:pStyle w:val="NoSpacing"/>
              <w:spacing w:line="240" w:lineRule="auto"/>
              <w:rPr>
                <w:lang w:val="en-US"/>
              </w:rPr>
            </w:pPr>
            <w:r w:rsidRPr="000C4180">
              <w:rPr>
                <w:lang w:val="en-US"/>
              </w:rPr>
              <w:t>Opening Capital</w:t>
            </w:r>
          </w:p>
        </w:tc>
        <w:tc>
          <w:tcPr>
            <w:tcW w:w="1468" w:type="dxa"/>
            <w:noWrap/>
            <w:hideMark/>
          </w:tcPr>
          <w:p w14:paraId="31DDB4A3" w14:textId="77777777" w:rsidR="005A2F54" w:rsidRPr="000C4180" w:rsidRDefault="005A2F54" w:rsidP="00712BCD">
            <w:pPr>
              <w:pStyle w:val="NoSpacing"/>
              <w:spacing w:line="240" w:lineRule="auto"/>
              <w:jc w:val="right"/>
              <w:rPr>
                <w:lang w:val="en-US"/>
              </w:rPr>
            </w:pPr>
            <w:r w:rsidRPr="000C4180">
              <w:rPr>
                <w:lang w:val="en-US"/>
              </w:rPr>
              <w:t>-10</w:t>
            </w:r>
          </w:p>
        </w:tc>
        <w:tc>
          <w:tcPr>
            <w:tcW w:w="1039" w:type="dxa"/>
            <w:noWrap/>
            <w:hideMark/>
          </w:tcPr>
          <w:p w14:paraId="2167969A" w14:textId="77777777" w:rsidR="005A2F54" w:rsidRPr="000C4180" w:rsidRDefault="005A2F54" w:rsidP="00712BCD">
            <w:pPr>
              <w:pStyle w:val="NoSpacing"/>
              <w:spacing w:line="240" w:lineRule="auto"/>
              <w:jc w:val="right"/>
              <w:rPr>
                <w:lang w:val="en-US"/>
              </w:rPr>
            </w:pPr>
            <w:r w:rsidRPr="000C4180">
              <w:rPr>
                <w:lang w:val="en-US"/>
              </w:rPr>
              <w:t>22.7</w:t>
            </w:r>
          </w:p>
        </w:tc>
      </w:tr>
      <w:tr w:rsidR="005A2F54" w:rsidRPr="000C4180" w14:paraId="175E1980" w14:textId="77777777" w:rsidTr="00712BCD">
        <w:trPr>
          <w:trHeight w:val="279"/>
        </w:trPr>
        <w:tc>
          <w:tcPr>
            <w:tcW w:w="1869" w:type="dxa"/>
            <w:gridSpan w:val="2"/>
            <w:noWrap/>
            <w:hideMark/>
          </w:tcPr>
          <w:p w14:paraId="65DE44B7" w14:textId="77777777" w:rsidR="005A2F54" w:rsidRPr="000C4180" w:rsidRDefault="005A2F54" w:rsidP="00712BCD">
            <w:pPr>
              <w:pStyle w:val="NoSpacing"/>
              <w:spacing w:line="240" w:lineRule="auto"/>
              <w:rPr>
                <w:lang w:val="en-US"/>
              </w:rPr>
            </w:pPr>
            <w:r w:rsidRPr="000C4180">
              <w:rPr>
                <w:lang w:val="en-US"/>
              </w:rPr>
              <w:t>Interest - 0%</w:t>
            </w:r>
          </w:p>
        </w:tc>
        <w:tc>
          <w:tcPr>
            <w:tcW w:w="1422" w:type="dxa"/>
            <w:noWrap/>
            <w:hideMark/>
          </w:tcPr>
          <w:p w14:paraId="1AFEFB85" w14:textId="77777777" w:rsidR="005A2F54" w:rsidRPr="000C4180" w:rsidRDefault="005A2F54" w:rsidP="00712BCD">
            <w:pPr>
              <w:pStyle w:val="NoSpacing"/>
              <w:spacing w:line="240" w:lineRule="auto"/>
              <w:jc w:val="right"/>
              <w:rPr>
                <w:lang w:val="en-US"/>
              </w:rPr>
            </w:pPr>
            <w:r w:rsidRPr="000C4180">
              <w:rPr>
                <w:lang w:val="en-US"/>
              </w:rPr>
              <w:t>0.0</w:t>
            </w:r>
          </w:p>
        </w:tc>
        <w:tc>
          <w:tcPr>
            <w:tcW w:w="1051" w:type="dxa"/>
            <w:noWrap/>
            <w:hideMark/>
          </w:tcPr>
          <w:p w14:paraId="4303EB64" w14:textId="77777777" w:rsidR="005A2F54" w:rsidRPr="000C4180" w:rsidRDefault="005A2F54" w:rsidP="00712BCD">
            <w:pPr>
              <w:pStyle w:val="NoSpacing"/>
              <w:spacing w:line="240" w:lineRule="auto"/>
              <w:jc w:val="right"/>
              <w:rPr>
                <w:lang w:val="en-US"/>
              </w:rPr>
            </w:pPr>
            <w:r w:rsidRPr="000C4180">
              <w:rPr>
                <w:lang w:val="en-US"/>
              </w:rPr>
              <w:t>0.0</w:t>
            </w:r>
          </w:p>
        </w:tc>
        <w:tc>
          <w:tcPr>
            <w:tcW w:w="2342" w:type="dxa"/>
            <w:gridSpan w:val="2"/>
            <w:noWrap/>
            <w:hideMark/>
          </w:tcPr>
          <w:p w14:paraId="086A3F83" w14:textId="77777777" w:rsidR="005A2F54" w:rsidRPr="000C4180" w:rsidRDefault="005A2F54" w:rsidP="00712BCD">
            <w:pPr>
              <w:pStyle w:val="NoSpacing"/>
              <w:spacing w:line="240" w:lineRule="auto"/>
              <w:rPr>
                <w:lang w:val="en-US"/>
              </w:rPr>
            </w:pPr>
            <w:r w:rsidRPr="000C4180">
              <w:rPr>
                <w:lang w:val="en-US"/>
              </w:rPr>
              <w:t>Interest - 27.27%</w:t>
            </w:r>
          </w:p>
        </w:tc>
        <w:tc>
          <w:tcPr>
            <w:tcW w:w="1468" w:type="dxa"/>
            <w:noWrap/>
            <w:hideMark/>
          </w:tcPr>
          <w:p w14:paraId="6F133272" w14:textId="77777777" w:rsidR="005A2F54" w:rsidRPr="000C4180" w:rsidRDefault="005A2F54" w:rsidP="00712BCD">
            <w:pPr>
              <w:pStyle w:val="NoSpacing"/>
              <w:spacing w:line="240" w:lineRule="auto"/>
              <w:jc w:val="right"/>
              <w:rPr>
                <w:lang w:val="en-US"/>
              </w:rPr>
            </w:pPr>
            <w:r w:rsidRPr="000C4180">
              <w:rPr>
                <w:lang w:val="en-US"/>
              </w:rPr>
              <w:t>2.7</w:t>
            </w:r>
          </w:p>
        </w:tc>
        <w:tc>
          <w:tcPr>
            <w:tcW w:w="1039" w:type="dxa"/>
            <w:noWrap/>
            <w:hideMark/>
          </w:tcPr>
          <w:p w14:paraId="4E831F8C" w14:textId="77777777" w:rsidR="005A2F54" w:rsidRPr="000C4180" w:rsidRDefault="005A2F54" w:rsidP="00712BCD">
            <w:pPr>
              <w:pStyle w:val="NoSpacing"/>
              <w:spacing w:line="240" w:lineRule="auto"/>
              <w:jc w:val="right"/>
              <w:rPr>
                <w:lang w:val="en-US"/>
              </w:rPr>
            </w:pPr>
            <w:r w:rsidRPr="000C4180">
              <w:rPr>
                <w:lang w:val="en-US"/>
              </w:rPr>
              <w:t>-6.2</w:t>
            </w:r>
          </w:p>
        </w:tc>
      </w:tr>
      <w:tr w:rsidR="005A2F54" w:rsidRPr="000C4180" w14:paraId="5BF09251" w14:textId="77777777" w:rsidTr="00712BCD">
        <w:trPr>
          <w:trHeight w:val="279"/>
        </w:trPr>
        <w:tc>
          <w:tcPr>
            <w:tcW w:w="1869" w:type="dxa"/>
            <w:gridSpan w:val="2"/>
            <w:noWrap/>
            <w:hideMark/>
          </w:tcPr>
          <w:p w14:paraId="1004FC99" w14:textId="77777777" w:rsidR="005A2F54" w:rsidRPr="000C4180" w:rsidRDefault="005A2F54" w:rsidP="00712BCD">
            <w:pPr>
              <w:pStyle w:val="NoSpacing"/>
              <w:spacing w:line="240" w:lineRule="auto"/>
              <w:rPr>
                <w:lang w:val="en-US"/>
              </w:rPr>
            </w:pPr>
            <w:r w:rsidRPr="000C4180">
              <w:rPr>
                <w:lang w:val="en-US"/>
              </w:rPr>
              <w:t>Income</w:t>
            </w:r>
          </w:p>
        </w:tc>
        <w:tc>
          <w:tcPr>
            <w:tcW w:w="1422" w:type="dxa"/>
            <w:noWrap/>
            <w:hideMark/>
          </w:tcPr>
          <w:p w14:paraId="2A5B3CCB" w14:textId="77777777" w:rsidR="005A2F54" w:rsidRPr="000C4180" w:rsidRDefault="005A2F54" w:rsidP="00712BCD">
            <w:pPr>
              <w:pStyle w:val="NoSpacing"/>
              <w:spacing w:line="240" w:lineRule="auto"/>
              <w:jc w:val="right"/>
              <w:rPr>
                <w:lang w:val="en-US"/>
              </w:rPr>
            </w:pPr>
            <w:r w:rsidRPr="000C4180">
              <w:rPr>
                <w:lang w:val="en-US"/>
              </w:rPr>
              <w:t>30.0</w:t>
            </w:r>
          </w:p>
        </w:tc>
        <w:tc>
          <w:tcPr>
            <w:tcW w:w="1051" w:type="dxa"/>
            <w:noWrap/>
            <w:hideMark/>
          </w:tcPr>
          <w:p w14:paraId="09380EF7" w14:textId="77777777" w:rsidR="005A2F54" w:rsidRPr="000C4180" w:rsidRDefault="005A2F54" w:rsidP="00712BCD">
            <w:pPr>
              <w:pStyle w:val="NoSpacing"/>
              <w:spacing w:line="240" w:lineRule="auto"/>
              <w:jc w:val="right"/>
              <w:rPr>
                <w:lang w:val="en-US"/>
              </w:rPr>
            </w:pPr>
            <w:r w:rsidRPr="000C4180">
              <w:rPr>
                <w:lang w:val="en-US"/>
              </w:rPr>
              <w:t>-25.0</w:t>
            </w:r>
          </w:p>
        </w:tc>
        <w:tc>
          <w:tcPr>
            <w:tcW w:w="2342" w:type="dxa"/>
            <w:gridSpan w:val="2"/>
            <w:noWrap/>
            <w:hideMark/>
          </w:tcPr>
          <w:p w14:paraId="46A2DDB1" w14:textId="77777777" w:rsidR="005A2F54" w:rsidRPr="000C4180" w:rsidRDefault="005A2F54" w:rsidP="00712BCD">
            <w:pPr>
              <w:pStyle w:val="NoSpacing"/>
              <w:spacing w:line="240" w:lineRule="auto"/>
              <w:rPr>
                <w:lang w:val="en-US"/>
              </w:rPr>
            </w:pPr>
            <w:r w:rsidRPr="000C4180">
              <w:rPr>
                <w:lang w:val="en-US"/>
              </w:rPr>
              <w:t>Income</w:t>
            </w:r>
          </w:p>
        </w:tc>
        <w:tc>
          <w:tcPr>
            <w:tcW w:w="1468" w:type="dxa"/>
            <w:noWrap/>
            <w:hideMark/>
          </w:tcPr>
          <w:p w14:paraId="711F9F79" w14:textId="77777777" w:rsidR="005A2F54" w:rsidRPr="000C4180" w:rsidRDefault="005A2F54" w:rsidP="00712BCD">
            <w:pPr>
              <w:pStyle w:val="NoSpacing"/>
              <w:spacing w:line="240" w:lineRule="auto"/>
              <w:jc w:val="right"/>
              <w:rPr>
                <w:lang w:val="en-US"/>
              </w:rPr>
            </w:pPr>
            <w:r w:rsidRPr="000C4180">
              <w:rPr>
                <w:lang w:val="en-US"/>
              </w:rPr>
              <w:t>30.0</w:t>
            </w:r>
          </w:p>
        </w:tc>
        <w:tc>
          <w:tcPr>
            <w:tcW w:w="1039" w:type="dxa"/>
            <w:noWrap/>
            <w:hideMark/>
          </w:tcPr>
          <w:p w14:paraId="6535CC6E" w14:textId="77777777" w:rsidR="005A2F54" w:rsidRPr="000C4180" w:rsidRDefault="005A2F54" w:rsidP="00712BCD">
            <w:pPr>
              <w:pStyle w:val="NoSpacing"/>
              <w:spacing w:line="240" w:lineRule="auto"/>
              <w:jc w:val="right"/>
              <w:rPr>
                <w:lang w:val="en-US"/>
              </w:rPr>
            </w:pPr>
            <w:r w:rsidRPr="000C4180">
              <w:rPr>
                <w:lang w:val="en-US"/>
              </w:rPr>
              <w:t>-25.0</w:t>
            </w:r>
          </w:p>
        </w:tc>
      </w:tr>
      <w:tr w:rsidR="005A2F54" w:rsidRPr="000C4180" w14:paraId="02216FBF" w14:textId="77777777" w:rsidTr="00712BCD">
        <w:trPr>
          <w:trHeight w:val="279"/>
        </w:trPr>
        <w:tc>
          <w:tcPr>
            <w:tcW w:w="1869" w:type="dxa"/>
            <w:gridSpan w:val="2"/>
            <w:noWrap/>
            <w:hideMark/>
          </w:tcPr>
          <w:p w14:paraId="372A1F05" w14:textId="77777777" w:rsidR="005A2F54" w:rsidRPr="000C4180" w:rsidRDefault="005A2F54" w:rsidP="00712BCD">
            <w:pPr>
              <w:pStyle w:val="NoSpacing"/>
              <w:spacing w:line="240" w:lineRule="auto"/>
              <w:rPr>
                <w:lang w:val="en-US"/>
              </w:rPr>
            </w:pPr>
            <w:r w:rsidRPr="000C4180">
              <w:rPr>
                <w:lang w:val="en-US"/>
              </w:rPr>
              <w:t>Closing Balance</w:t>
            </w:r>
          </w:p>
        </w:tc>
        <w:tc>
          <w:tcPr>
            <w:tcW w:w="1422" w:type="dxa"/>
            <w:noWrap/>
            <w:hideMark/>
          </w:tcPr>
          <w:p w14:paraId="65F4C460" w14:textId="77777777" w:rsidR="005A2F54" w:rsidRPr="000C4180" w:rsidRDefault="005A2F54" w:rsidP="00712BCD">
            <w:pPr>
              <w:pStyle w:val="NoSpacing"/>
              <w:spacing w:line="240" w:lineRule="auto"/>
              <w:jc w:val="right"/>
              <w:rPr>
                <w:lang w:val="en-US"/>
              </w:rPr>
            </w:pPr>
            <w:r w:rsidRPr="000C4180">
              <w:rPr>
                <w:lang w:val="en-US"/>
              </w:rPr>
              <w:t>20.0</w:t>
            </w:r>
          </w:p>
        </w:tc>
        <w:tc>
          <w:tcPr>
            <w:tcW w:w="1051" w:type="dxa"/>
            <w:noWrap/>
            <w:hideMark/>
          </w:tcPr>
          <w:p w14:paraId="7A1E949A" w14:textId="77777777" w:rsidR="005A2F54" w:rsidRPr="000C4180" w:rsidRDefault="005A2F54" w:rsidP="00712BCD">
            <w:pPr>
              <w:pStyle w:val="NoSpacing"/>
              <w:spacing w:line="240" w:lineRule="auto"/>
              <w:jc w:val="right"/>
              <w:rPr>
                <w:lang w:val="en-US"/>
              </w:rPr>
            </w:pPr>
            <w:r w:rsidRPr="000C4180">
              <w:rPr>
                <w:lang w:val="en-US"/>
              </w:rPr>
              <w:t>-5.0</w:t>
            </w:r>
          </w:p>
        </w:tc>
        <w:tc>
          <w:tcPr>
            <w:tcW w:w="2342" w:type="dxa"/>
            <w:gridSpan w:val="2"/>
            <w:noWrap/>
            <w:hideMark/>
          </w:tcPr>
          <w:p w14:paraId="0237D036" w14:textId="77777777" w:rsidR="005A2F54" w:rsidRPr="000C4180" w:rsidRDefault="005A2F54" w:rsidP="00712BCD">
            <w:pPr>
              <w:pStyle w:val="NoSpacing"/>
              <w:spacing w:line="240" w:lineRule="auto"/>
              <w:rPr>
                <w:lang w:val="en-US"/>
              </w:rPr>
            </w:pPr>
            <w:r w:rsidRPr="000C4180">
              <w:rPr>
                <w:lang w:val="en-US"/>
              </w:rPr>
              <w:t>Closing Balance</w:t>
            </w:r>
          </w:p>
        </w:tc>
        <w:tc>
          <w:tcPr>
            <w:tcW w:w="1468" w:type="dxa"/>
            <w:noWrap/>
            <w:hideMark/>
          </w:tcPr>
          <w:p w14:paraId="323B4943" w14:textId="77777777" w:rsidR="005A2F54" w:rsidRPr="000C4180" w:rsidRDefault="005A2F54" w:rsidP="00712BCD">
            <w:pPr>
              <w:pStyle w:val="NoSpacing"/>
              <w:spacing w:line="240" w:lineRule="auto"/>
              <w:jc w:val="right"/>
              <w:rPr>
                <w:lang w:val="en-US"/>
              </w:rPr>
            </w:pPr>
            <w:r w:rsidRPr="000C4180">
              <w:rPr>
                <w:lang w:val="en-US"/>
              </w:rPr>
              <w:t>22.7</w:t>
            </w:r>
          </w:p>
        </w:tc>
        <w:tc>
          <w:tcPr>
            <w:tcW w:w="1039" w:type="dxa"/>
            <w:noWrap/>
            <w:hideMark/>
          </w:tcPr>
          <w:p w14:paraId="2776582D" w14:textId="77777777" w:rsidR="005A2F54" w:rsidRPr="000C4180" w:rsidRDefault="005A2F54" w:rsidP="00712BCD">
            <w:pPr>
              <w:pStyle w:val="NoSpacing"/>
              <w:spacing w:line="240" w:lineRule="auto"/>
              <w:jc w:val="right"/>
              <w:rPr>
                <w:lang w:val="en-US"/>
              </w:rPr>
            </w:pPr>
            <w:r w:rsidRPr="000C4180">
              <w:rPr>
                <w:lang w:val="en-US"/>
              </w:rPr>
              <w:t>-8.5</w:t>
            </w:r>
          </w:p>
        </w:tc>
      </w:tr>
      <w:tr w:rsidR="005A2F54" w:rsidRPr="000C4180" w14:paraId="1CF6FBBF" w14:textId="77777777" w:rsidTr="00712BCD">
        <w:trPr>
          <w:trHeight w:val="342"/>
        </w:trPr>
        <w:tc>
          <w:tcPr>
            <w:tcW w:w="4344" w:type="dxa"/>
            <w:gridSpan w:val="4"/>
            <w:noWrap/>
            <w:hideMark/>
          </w:tcPr>
          <w:p w14:paraId="57C8AB1B" w14:textId="77777777" w:rsidR="005A2F54" w:rsidRPr="000C4180" w:rsidRDefault="005A2F54" w:rsidP="00712BCD">
            <w:pPr>
              <w:pStyle w:val="NoSpacing"/>
              <w:spacing w:line="240" w:lineRule="auto"/>
              <w:jc w:val="center"/>
              <w:rPr>
                <w:b/>
                <w:bCs/>
                <w:lang w:val="en-US"/>
              </w:rPr>
            </w:pPr>
            <w:r w:rsidRPr="000C4180">
              <w:rPr>
                <w:b/>
                <w:bCs/>
                <w:lang w:val="en-US"/>
              </w:rPr>
              <w:t>MCAS at AIRR (-27.27%)</w:t>
            </w:r>
          </w:p>
        </w:tc>
        <w:tc>
          <w:tcPr>
            <w:tcW w:w="4851" w:type="dxa"/>
            <w:gridSpan w:val="4"/>
            <w:noWrap/>
            <w:hideMark/>
          </w:tcPr>
          <w:p w14:paraId="485917E8" w14:textId="77777777" w:rsidR="005A2F54" w:rsidRPr="000C4180" w:rsidRDefault="005A2F54" w:rsidP="00712BCD">
            <w:pPr>
              <w:pStyle w:val="NoSpacing"/>
              <w:spacing w:line="240" w:lineRule="auto"/>
              <w:jc w:val="center"/>
              <w:rPr>
                <w:b/>
                <w:bCs/>
                <w:lang w:val="en-US"/>
              </w:rPr>
            </w:pPr>
            <w:r w:rsidRPr="000C4180">
              <w:rPr>
                <w:b/>
                <w:bCs/>
                <w:lang w:val="en-US"/>
              </w:rPr>
              <w:t>MCAS at IRR (-50%)</w:t>
            </w:r>
          </w:p>
        </w:tc>
      </w:tr>
      <w:tr w:rsidR="005A2F54" w:rsidRPr="000C4180" w14:paraId="3E042276" w14:textId="77777777" w:rsidTr="00712BCD">
        <w:trPr>
          <w:trHeight w:val="279"/>
        </w:trPr>
        <w:tc>
          <w:tcPr>
            <w:tcW w:w="1869" w:type="dxa"/>
            <w:gridSpan w:val="2"/>
            <w:noWrap/>
            <w:hideMark/>
          </w:tcPr>
          <w:p w14:paraId="4A248768" w14:textId="77777777" w:rsidR="005A2F54" w:rsidRPr="000C4180" w:rsidRDefault="005A2F54" w:rsidP="00712BCD">
            <w:pPr>
              <w:pStyle w:val="NoSpacing"/>
              <w:spacing w:line="240" w:lineRule="auto"/>
              <w:rPr>
                <w:lang w:val="en-US"/>
              </w:rPr>
            </w:pPr>
            <w:r w:rsidRPr="000C4180">
              <w:rPr>
                <w:lang w:val="en-US"/>
              </w:rPr>
              <w:t>Opening Capital</w:t>
            </w:r>
          </w:p>
        </w:tc>
        <w:tc>
          <w:tcPr>
            <w:tcW w:w="1422" w:type="dxa"/>
            <w:noWrap/>
            <w:hideMark/>
          </w:tcPr>
          <w:p w14:paraId="766B8362" w14:textId="77777777" w:rsidR="005A2F54" w:rsidRPr="000C4180" w:rsidRDefault="005A2F54" w:rsidP="00712BCD">
            <w:pPr>
              <w:pStyle w:val="NoSpacing"/>
              <w:spacing w:line="240" w:lineRule="auto"/>
              <w:jc w:val="right"/>
              <w:rPr>
                <w:lang w:val="en-US"/>
              </w:rPr>
            </w:pPr>
            <w:r w:rsidRPr="000C4180">
              <w:rPr>
                <w:lang w:val="en-US"/>
              </w:rPr>
              <w:t>-10</w:t>
            </w:r>
          </w:p>
        </w:tc>
        <w:tc>
          <w:tcPr>
            <w:tcW w:w="1051" w:type="dxa"/>
            <w:noWrap/>
            <w:hideMark/>
          </w:tcPr>
          <w:p w14:paraId="159C484E" w14:textId="77777777" w:rsidR="005A2F54" w:rsidRPr="000C4180" w:rsidRDefault="005A2F54" w:rsidP="00712BCD">
            <w:pPr>
              <w:pStyle w:val="NoSpacing"/>
              <w:spacing w:line="240" w:lineRule="auto"/>
              <w:jc w:val="right"/>
              <w:rPr>
                <w:lang w:val="en-US"/>
              </w:rPr>
            </w:pPr>
            <w:r w:rsidRPr="000C4180">
              <w:rPr>
                <w:lang w:val="en-US"/>
              </w:rPr>
              <w:t>22.7</w:t>
            </w:r>
          </w:p>
        </w:tc>
        <w:tc>
          <w:tcPr>
            <w:tcW w:w="2342" w:type="dxa"/>
            <w:gridSpan w:val="2"/>
            <w:noWrap/>
            <w:hideMark/>
          </w:tcPr>
          <w:p w14:paraId="278E9BFF" w14:textId="77777777" w:rsidR="005A2F54" w:rsidRPr="000C4180" w:rsidRDefault="005A2F54" w:rsidP="00712BCD">
            <w:pPr>
              <w:pStyle w:val="NoSpacing"/>
              <w:spacing w:line="240" w:lineRule="auto"/>
              <w:rPr>
                <w:lang w:val="en-US"/>
              </w:rPr>
            </w:pPr>
            <w:r w:rsidRPr="000C4180">
              <w:rPr>
                <w:lang w:val="en-US"/>
              </w:rPr>
              <w:t>Opening Capital</w:t>
            </w:r>
          </w:p>
        </w:tc>
        <w:tc>
          <w:tcPr>
            <w:tcW w:w="1468" w:type="dxa"/>
            <w:noWrap/>
            <w:hideMark/>
          </w:tcPr>
          <w:p w14:paraId="2503604D" w14:textId="77777777" w:rsidR="005A2F54" w:rsidRPr="000C4180" w:rsidRDefault="005A2F54" w:rsidP="00712BCD">
            <w:pPr>
              <w:pStyle w:val="NoSpacing"/>
              <w:spacing w:line="240" w:lineRule="auto"/>
              <w:jc w:val="right"/>
              <w:rPr>
                <w:lang w:val="en-US"/>
              </w:rPr>
            </w:pPr>
            <w:r w:rsidRPr="000C4180">
              <w:rPr>
                <w:lang w:val="en-US"/>
              </w:rPr>
              <w:t>-10</w:t>
            </w:r>
          </w:p>
        </w:tc>
        <w:tc>
          <w:tcPr>
            <w:tcW w:w="1039" w:type="dxa"/>
            <w:noWrap/>
            <w:hideMark/>
          </w:tcPr>
          <w:p w14:paraId="0D923B93" w14:textId="77777777" w:rsidR="005A2F54" w:rsidRPr="000C4180" w:rsidRDefault="005A2F54" w:rsidP="00712BCD">
            <w:pPr>
              <w:pStyle w:val="NoSpacing"/>
              <w:spacing w:line="240" w:lineRule="auto"/>
              <w:jc w:val="right"/>
              <w:rPr>
                <w:lang w:val="en-US"/>
              </w:rPr>
            </w:pPr>
            <w:r w:rsidRPr="000C4180">
              <w:rPr>
                <w:lang w:val="en-US"/>
              </w:rPr>
              <w:t>25.0</w:t>
            </w:r>
          </w:p>
        </w:tc>
      </w:tr>
      <w:tr w:rsidR="005A2F54" w:rsidRPr="000C4180" w14:paraId="2BA42CA1" w14:textId="77777777" w:rsidTr="00712BCD">
        <w:trPr>
          <w:trHeight w:val="373"/>
        </w:trPr>
        <w:tc>
          <w:tcPr>
            <w:tcW w:w="1869" w:type="dxa"/>
            <w:gridSpan w:val="2"/>
            <w:noWrap/>
            <w:hideMark/>
          </w:tcPr>
          <w:p w14:paraId="3FAADB37" w14:textId="77777777" w:rsidR="005A2F54" w:rsidRPr="000C4180" w:rsidRDefault="005A2F54" w:rsidP="00712BCD">
            <w:pPr>
              <w:pStyle w:val="NoSpacing"/>
              <w:spacing w:line="240" w:lineRule="auto"/>
              <w:rPr>
                <w:lang w:val="en-US"/>
              </w:rPr>
            </w:pPr>
            <w:r w:rsidRPr="000C4180">
              <w:rPr>
                <w:lang w:val="en-US"/>
              </w:rPr>
              <w:t>Interest at -27.27%</w:t>
            </w:r>
          </w:p>
        </w:tc>
        <w:tc>
          <w:tcPr>
            <w:tcW w:w="1422" w:type="dxa"/>
            <w:noWrap/>
            <w:hideMark/>
          </w:tcPr>
          <w:p w14:paraId="18A8985C" w14:textId="77777777" w:rsidR="005A2F54" w:rsidRPr="000C4180" w:rsidRDefault="005A2F54" w:rsidP="00712BCD">
            <w:pPr>
              <w:pStyle w:val="NoSpacing"/>
              <w:spacing w:line="240" w:lineRule="auto"/>
              <w:jc w:val="right"/>
              <w:rPr>
                <w:lang w:val="en-US"/>
              </w:rPr>
            </w:pPr>
            <w:r w:rsidRPr="000C4180">
              <w:rPr>
                <w:lang w:val="en-US"/>
              </w:rPr>
              <w:t>2.7</w:t>
            </w:r>
          </w:p>
        </w:tc>
        <w:tc>
          <w:tcPr>
            <w:tcW w:w="1051" w:type="dxa"/>
            <w:noWrap/>
            <w:hideMark/>
          </w:tcPr>
          <w:p w14:paraId="16E9D0EC" w14:textId="77777777" w:rsidR="005A2F54" w:rsidRPr="000C4180" w:rsidRDefault="005A2F54" w:rsidP="00712BCD">
            <w:pPr>
              <w:pStyle w:val="NoSpacing"/>
              <w:spacing w:line="240" w:lineRule="auto"/>
              <w:jc w:val="right"/>
              <w:rPr>
                <w:lang w:val="en-US"/>
              </w:rPr>
            </w:pPr>
            <w:r w:rsidRPr="000C4180">
              <w:rPr>
                <w:lang w:val="en-US"/>
              </w:rPr>
              <w:t>0.0</w:t>
            </w:r>
          </w:p>
        </w:tc>
        <w:tc>
          <w:tcPr>
            <w:tcW w:w="2342" w:type="dxa"/>
            <w:gridSpan w:val="2"/>
            <w:noWrap/>
            <w:hideMark/>
          </w:tcPr>
          <w:p w14:paraId="2300BCDC" w14:textId="77777777" w:rsidR="005A2F54" w:rsidRPr="000C4180" w:rsidRDefault="005A2F54" w:rsidP="00712BCD">
            <w:pPr>
              <w:pStyle w:val="NoSpacing"/>
              <w:spacing w:line="240" w:lineRule="auto"/>
              <w:rPr>
                <w:lang w:val="en-US"/>
              </w:rPr>
            </w:pPr>
            <w:r w:rsidRPr="000C4180">
              <w:rPr>
                <w:lang w:val="en-US"/>
              </w:rPr>
              <w:t>Interest at -50%</w:t>
            </w:r>
          </w:p>
        </w:tc>
        <w:tc>
          <w:tcPr>
            <w:tcW w:w="1468" w:type="dxa"/>
            <w:noWrap/>
            <w:hideMark/>
          </w:tcPr>
          <w:p w14:paraId="6E5A1691" w14:textId="77777777" w:rsidR="005A2F54" w:rsidRPr="000C4180" w:rsidRDefault="005A2F54" w:rsidP="00712BCD">
            <w:pPr>
              <w:pStyle w:val="NoSpacing"/>
              <w:spacing w:line="240" w:lineRule="auto"/>
              <w:jc w:val="right"/>
              <w:rPr>
                <w:lang w:val="en-US"/>
              </w:rPr>
            </w:pPr>
            <w:r w:rsidRPr="000C4180">
              <w:rPr>
                <w:lang w:val="en-US"/>
              </w:rPr>
              <w:t>5.0</w:t>
            </w:r>
          </w:p>
        </w:tc>
        <w:tc>
          <w:tcPr>
            <w:tcW w:w="1039" w:type="dxa"/>
            <w:noWrap/>
            <w:hideMark/>
          </w:tcPr>
          <w:p w14:paraId="11209FEE" w14:textId="77777777" w:rsidR="005A2F54" w:rsidRPr="000C4180" w:rsidRDefault="005A2F54" w:rsidP="00712BCD">
            <w:pPr>
              <w:pStyle w:val="NoSpacing"/>
              <w:spacing w:line="240" w:lineRule="auto"/>
              <w:jc w:val="right"/>
              <w:rPr>
                <w:lang w:val="en-US"/>
              </w:rPr>
            </w:pPr>
            <w:r w:rsidRPr="000C4180">
              <w:rPr>
                <w:lang w:val="en-US"/>
              </w:rPr>
              <w:t>0.0</w:t>
            </w:r>
          </w:p>
        </w:tc>
      </w:tr>
      <w:tr w:rsidR="005A2F54" w:rsidRPr="000C4180" w14:paraId="3A1E5119" w14:textId="77777777" w:rsidTr="00712BCD">
        <w:trPr>
          <w:trHeight w:val="209"/>
        </w:trPr>
        <w:tc>
          <w:tcPr>
            <w:tcW w:w="1869" w:type="dxa"/>
            <w:gridSpan w:val="2"/>
            <w:noWrap/>
            <w:hideMark/>
          </w:tcPr>
          <w:p w14:paraId="5450D4AF" w14:textId="77777777" w:rsidR="005A2F54" w:rsidRPr="000C4180" w:rsidRDefault="005A2F54" w:rsidP="00712BCD">
            <w:pPr>
              <w:pStyle w:val="NoSpacing"/>
              <w:spacing w:line="240" w:lineRule="auto"/>
              <w:rPr>
                <w:lang w:val="en-US"/>
              </w:rPr>
            </w:pPr>
            <w:r w:rsidRPr="000C4180">
              <w:rPr>
                <w:lang w:val="en-US"/>
              </w:rPr>
              <w:t>Income</w:t>
            </w:r>
          </w:p>
        </w:tc>
        <w:tc>
          <w:tcPr>
            <w:tcW w:w="1422" w:type="dxa"/>
            <w:noWrap/>
            <w:hideMark/>
          </w:tcPr>
          <w:p w14:paraId="3BFC2041" w14:textId="77777777" w:rsidR="005A2F54" w:rsidRPr="000C4180" w:rsidRDefault="005A2F54" w:rsidP="00712BCD">
            <w:pPr>
              <w:pStyle w:val="NoSpacing"/>
              <w:spacing w:line="240" w:lineRule="auto"/>
              <w:jc w:val="right"/>
              <w:rPr>
                <w:lang w:val="en-US"/>
              </w:rPr>
            </w:pPr>
            <w:r w:rsidRPr="000C4180">
              <w:rPr>
                <w:lang w:val="en-US"/>
              </w:rPr>
              <w:t>30.0</w:t>
            </w:r>
          </w:p>
        </w:tc>
        <w:tc>
          <w:tcPr>
            <w:tcW w:w="1051" w:type="dxa"/>
            <w:noWrap/>
            <w:hideMark/>
          </w:tcPr>
          <w:p w14:paraId="526E3FEB" w14:textId="77777777" w:rsidR="005A2F54" w:rsidRPr="000C4180" w:rsidRDefault="005A2F54" w:rsidP="00712BCD">
            <w:pPr>
              <w:pStyle w:val="NoSpacing"/>
              <w:spacing w:line="240" w:lineRule="auto"/>
              <w:jc w:val="right"/>
              <w:rPr>
                <w:lang w:val="en-US"/>
              </w:rPr>
            </w:pPr>
            <w:r w:rsidRPr="000C4180">
              <w:rPr>
                <w:lang w:val="en-US"/>
              </w:rPr>
              <w:t>-25.0</w:t>
            </w:r>
          </w:p>
        </w:tc>
        <w:tc>
          <w:tcPr>
            <w:tcW w:w="2342" w:type="dxa"/>
            <w:gridSpan w:val="2"/>
            <w:noWrap/>
            <w:hideMark/>
          </w:tcPr>
          <w:p w14:paraId="6A970032" w14:textId="77777777" w:rsidR="005A2F54" w:rsidRPr="000C4180" w:rsidRDefault="005A2F54" w:rsidP="00712BCD">
            <w:pPr>
              <w:pStyle w:val="NoSpacing"/>
              <w:spacing w:line="240" w:lineRule="auto"/>
              <w:rPr>
                <w:lang w:val="en-US"/>
              </w:rPr>
            </w:pPr>
            <w:r w:rsidRPr="000C4180">
              <w:rPr>
                <w:lang w:val="en-US"/>
              </w:rPr>
              <w:t>Income</w:t>
            </w:r>
          </w:p>
        </w:tc>
        <w:tc>
          <w:tcPr>
            <w:tcW w:w="1468" w:type="dxa"/>
            <w:noWrap/>
            <w:hideMark/>
          </w:tcPr>
          <w:p w14:paraId="3DEF7899" w14:textId="77777777" w:rsidR="005A2F54" w:rsidRPr="000C4180" w:rsidRDefault="005A2F54" w:rsidP="00712BCD">
            <w:pPr>
              <w:pStyle w:val="NoSpacing"/>
              <w:spacing w:line="240" w:lineRule="auto"/>
              <w:jc w:val="right"/>
              <w:rPr>
                <w:lang w:val="en-US"/>
              </w:rPr>
            </w:pPr>
            <w:r w:rsidRPr="000C4180">
              <w:rPr>
                <w:lang w:val="en-US"/>
              </w:rPr>
              <w:t>30.0</w:t>
            </w:r>
          </w:p>
        </w:tc>
        <w:tc>
          <w:tcPr>
            <w:tcW w:w="1039" w:type="dxa"/>
            <w:noWrap/>
            <w:hideMark/>
          </w:tcPr>
          <w:p w14:paraId="26F257C8" w14:textId="77777777" w:rsidR="005A2F54" w:rsidRPr="000C4180" w:rsidRDefault="005A2F54" w:rsidP="00712BCD">
            <w:pPr>
              <w:pStyle w:val="NoSpacing"/>
              <w:spacing w:line="240" w:lineRule="auto"/>
              <w:jc w:val="right"/>
              <w:rPr>
                <w:lang w:val="en-US"/>
              </w:rPr>
            </w:pPr>
            <w:r w:rsidRPr="000C4180">
              <w:rPr>
                <w:lang w:val="en-US"/>
              </w:rPr>
              <w:t>-25.0</w:t>
            </w:r>
          </w:p>
        </w:tc>
      </w:tr>
      <w:tr w:rsidR="005A2F54" w:rsidRPr="000C4180" w14:paraId="7884581D" w14:textId="77777777" w:rsidTr="00712BCD">
        <w:trPr>
          <w:trHeight w:val="279"/>
        </w:trPr>
        <w:tc>
          <w:tcPr>
            <w:tcW w:w="1869" w:type="dxa"/>
            <w:gridSpan w:val="2"/>
            <w:noWrap/>
            <w:hideMark/>
          </w:tcPr>
          <w:p w14:paraId="381A03D3" w14:textId="77777777" w:rsidR="005A2F54" w:rsidRPr="000C4180" w:rsidRDefault="005A2F54" w:rsidP="00712BCD">
            <w:pPr>
              <w:pStyle w:val="NoSpacing"/>
              <w:spacing w:line="240" w:lineRule="auto"/>
              <w:rPr>
                <w:lang w:val="en-US"/>
              </w:rPr>
            </w:pPr>
            <w:r w:rsidRPr="000C4180">
              <w:rPr>
                <w:lang w:val="en-US"/>
              </w:rPr>
              <w:t>Closing Balance</w:t>
            </w:r>
          </w:p>
        </w:tc>
        <w:tc>
          <w:tcPr>
            <w:tcW w:w="1422" w:type="dxa"/>
            <w:noWrap/>
            <w:hideMark/>
          </w:tcPr>
          <w:p w14:paraId="59118407" w14:textId="77777777" w:rsidR="005A2F54" w:rsidRPr="000C4180" w:rsidRDefault="005A2F54" w:rsidP="00712BCD">
            <w:pPr>
              <w:pStyle w:val="NoSpacing"/>
              <w:spacing w:line="240" w:lineRule="auto"/>
              <w:jc w:val="right"/>
              <w:rPr>
                <w:lang w:val="en-US"/>
              </w:rPr>
            </w:pPr>
            <w:r w:rsidRPr="000C4180">
              <w:rPr>
                <w:lang w:val="en-US"/>
              </w:rPr>
              <w:t>22.7</w:t>
            </w:r>
          </w:p>
        </w:tc>
        <w:tc>
          <w:tcPr>
            <w:tcW w:w="1051" w:type="dxa"/>
            <w:noWrap/>
            <w:hideMark/>
          </w:tcPr>
          <w:p w14:paraId="1002DA3C" w14:textId="77777777" w:rsidR="005A2F54" w:rsidRPr="000C4180" w:rsidRDefault="005A2F54" w:rsidP="00712BCD">
            <w:pPr>
              <w:pStyle w:val="NoSpacing"/>
              <w:spacing w:line="240" w:lineRule="auto"/>
              <w:jc w:val="right"/>
              <w:rPr>
                <w:lang w:val="en-US"/>
              </w:rPr>
            </w:pPr>
            <w:r w:rsidRPr="000C4180">
              <w:rPr>
                <w:lang w:val="en-US"/>
              </w:rPr>
              <w:t>-2.3</w:t>
            </w:r>
          </w:p>
        </w:tc>
        <w:tc>
          <w:tcPr>
            <w:tcW w:w="2342" w:type="dxa"/>
            <w:gridSpan w:val="2"/>
            <w:noWrap/>
            <w:hideMark/>
          </w:tcPr>
          <w:p w14:paraId="587AF388" w14:textId="77777777" w:rsidR="005A2F54" w:rsidRPr="000C4180" w:rsidRDefault="005A2F54" w:rsidP="00712BCD">
            <w:pPr>
              <w:pStyle w:val="NoSpacing"/>
              <w:spacing w:line="240" w:lineRule="auto"/>
              <w:rPr>
                <w:lang w:val="en-US"/>
              </w:rPr>
            </w:pPr>
            <w:r w:rsidRPr="000C4180">
              <w:rPr>
                <w:lang w:val="en-US"/>
              </w:rPr>
              <w:t>Closing Balance</w:t>
            </w:r>
          </w:p>
        </w:tc>
        <w:tc>
          <w:tcPr>
            <w:tcW w:w="1468" w:type="dxa"/>
            <w:noWrap/>
            <w:hideMark/>
          </w:tcPr>
          <w:p w14:paraId="7FDD8A09" w14:textId="77777777" w:rsidR="005A2F54" w:rsidRPr="000C4180" w:rsidRDefault="005A2F54" w:rsidP="00712BCD">
            <w:pPr>
              <w:pStyle w:val="NoSpacing"/>
              <w:spacing w:line="240" w:lineRule="auto"/>
              <w:jc w:val="right"/>
              <w:rPr>
                <w:lang w:val="en-US"/>
              </w:rPr>
            </w:pPr>
            <w:r w:rsidRPr="000C4180">
              <w:rPr>
                <w:lang w:val="en-US"/>
              </w:rPr>
              <w:t>25.0</w:t>
            </w:r>
          </w:p>
        </w:tc>
        <w:tc>
          <w:tcPr>
            <w:tcW w:w="1039" w:type="dxa"/>
            <w:noWrap/>
            <w:hideMark/>
          </w:tcPr>
          <w:p w14:paraId="71056F1B" w14:textId="77777777" w:rsidR="005A2F54" w:rsidRPr="000C4180" w:rsidRDefault="005A2F54" w:rsidP="00712BCD">
            <w:pPr>
              <w:pStyle w:val="NoSpacing"/>
              <w:spacing w:line="240" w:lineRule="auto"/>
              <w:jc w:val="right"/>
              <w:rPr>
                <w:lang w:val="en-US"/>
              </w:rPr>
            </w:pPr>
            <w:r w:rsidRPr="000C4180">
              <w:rPr>
                <w:lang w:val="en-US"/>
              </w:rPr>
              <w:t>0.0</w:t>
            </w:r>
          </w:p>
        </w:tc>
      </w:tr>
    </w:tbl>
    <w:p w14:paraId="083553BD" w14:textId="263AFB4B" w:rsidR="005A2F54" w:rsidRPr="000C4180" w:rsidRDefault="005A2F54" w:rsidP="005A2F54">
      <w:pPr>
        <w:pStyle w:val="NoSpacing"/>
      </w:pPr>
    </w:p>
    <w:p w14:paraId="5609C903" w14:textId="77777777" w:rsidR="00A74765" w:rsidRPr="000C4180" w:rsidRDefault="00A74765" w:rsidP="00A74765">
      <w:pPr>
        <w:pStyle w:val="ListParagraph"/>
        <w:numPr>
          <w:ilvl w:val="0"/>
          <w:numId w:val="9"/>
        </w:numPr>
        <w:spacing w:line="360" w:lineRule="auto"/>
        <w:ind w:left="360"/>
        <w:jc w:val="both"/>
        <w:rPr>
          <w:color w:val="131516"/>
          <w:sz w:val="22"/>
          <w:szCs w:val="22"/>
        </w:rPr>
      </w:pPr>
      <w:r w:rsidRPr="000C4180">
        <w:rPr>
          <w:color w:val="131516"/>
          <w:sz w:val="22"/>
          <w:szCs w:val="22"/>
        </w:rPr>
        <w:t>As reported by Magni (2010), there is no IRR under the DCF and CAS method. When an assumed rate of return of 0% is used the CAS indicates that there is a closing balance of -5. This is reasonable when the rate of return is zero the SNCF of -5 is the closing balance.</w:t>
      </w:r>
    </w:p>
    <w:p w14:paraId="50715C91" w14:textId="77777777" w:rsidR="00A74765" w:rsidRPr="000C4180" w:rsidRDefault="00A74765" w:rsidP="00A74765">
      <w:pPr>
        <w:pStyle w:val="ListParagraph"/>
        <w:numPr>
          <w:ilvl w:val="0"/>
          <w:numId w:val="9"/>
        </w:numPr>
        <w:spacing w:line="360" w:lineRule="auto"/>
        <w:ind w:left="360"/>
        <w:jc w:val="both"/>
        <w:rPr>
          <w:color w:val="131516"/>
          <w:sz w:val="22"/>
          <w:szCs w:val="22"/>
        </w:rPr>
      </w:pPr>
      <w:r w:rsidRPr="000C4180">
        <w:rPr>
          <w:color w:val="131516"/>
          <w:sz w:val="22"/>
          <w:szCs w:val="22"/>
        </w:rPr>
        <w:t>Magni (2010) identified an AIRR of -27.27%. When a CAS is prepared using this AIRR, the closing balance is -8.5. This is the sum of SNCF of -5 and the net interest of -3.5% (ROIC). The CB indicates that at -27.27%, the ROIC is not fully covered.</w:t>
      </w:r>
    </w:p>
    <w:p w14:paraId="27F916C5" w14:textId="77777777" w:rsidR="00A74765" w:rsidRPr="000C4180" w:rsidRDefault="00A74765" w:rsidP="00A74765">
      <w:pPr>
        <w:pStyle w:val="ListParagraph"/>
        <w:numPr>
          <w:ilvl w:val="0"/>
          <w:numId w:val="9"/>
        </w:numPr>
        <w:spacing w:line="360" w:lineRule="auto"/>
        <w:ind w:left="360"/>
        <w:jc w:val="both"/>
        <w:rPr>
          <w:color w:val="131516"/>
          <w:sz w:val="22"/>
          <w:szCs w:val="22"/>
        </w:rPr>
      </w:pPr>
      <w:r w:rsidRPr="000C4180">
        <w:rPr>
          <w:color w:val="131516"/>
          <w:sz w:val="22"/>
          <w:szCs w:val="22"/>
        </w:rPr>
        <w:t xml:space="preserve">A MCAS prepared with AIRR of -27.27% ends up with a closing balance of -2.3 and not ‘0’.  A real root must lead to zero and therefore the AIRR is not the right rate of return. </w:t>
      </w:r>
    </w:p>
    <w:p w14:paraId="19EB5338" w14:textId="32C2D94B" w:rsidR="00A74765" w:rsidRPr="000C4180" w:rsidRDefault="00A74765" w:rsidP="00A74765">
      <w:pPr>
        <w:pStyle w:val="ListParagraph"/>
        <w:numPr>
          <w:ilvl w:val="0"/>
          <w:numId w:val="9"/>
        </w:numPr>
        <w:spacing w:line="360" w:lineRule="auto"/>
        <w:ind w:left="360"/>
        <w:jc w:val="both"/>
        <w:rPr>
          <w:color w:val="131516"/>
          <w:sz w:val="22"/>
          <w:szCs w:val="22"/>
        </w:rPr>
      </w:pPr>
      <w:r w:rsidRPr="000C4180">
        <w:rPr>
          <w:color w:val="131516"/>
          <w:sz w:val="22"/>
          <w:szCs w:val="22"/>
        </w:rPr>
        <w:t xml:space="preserve">The MCAS method estimated IRR is -50% for this data set and the NPV is zero at -50%. The SNCF is -5 which is 50% of the investment (-10). The investment is </w:t>
      </w:r>
      <w:r w:rsidR="00F506D1" w:rsidRPr="000C4180">
        <w:rPr>
          <w:color w:val="131516"/>
          <w:sz w:val="22"/>
          <w:szCs w:val="22"/>
        </w:rPr>
        <w:t>$10,</w:t>
      </w:r>
      <w:r w:rsidRPr="000C4180">
        <w:rPr>
          <w:color w:val="131516"/>
          <w:sz w:val="22"/>
          <w:szCs w:val="22"/>
        </w:rPr>
        <w:t xml:space="preserve"> </w:t>
      </w:r>
      <w:bookmarkStart w:id="11" w:name="_GoBack"/>
      <w:bookmarkEnd w:id="11"/>
      <w:r w:rsidRPr="000C4180">
        <w:rPr>
          <w:color w:val="131516"/>
          <w:sz w:val="22"/>
          <w:szCs w:val="22"/>
        </w:rPr>
        <w:t>and the net income is $5 ($30-25) and therefore capital loss of $5 works out to 50% ((5/10) *100). The IRR -50% (capital loss of 50%) looks realistic and consistent with NPV and NCF.</w:t>
      </w:r>
    </w:p>
    <w:p w14:paraId="53CB97D1" w14:textId="77777777" w:rsidR="005A2F54" w:rsidRPr="000C4180" w:rsidRDefault="005A2F54" w:rsidP="005A2F54">
      <w:pPr>
        <w:pStyle w:val="ListParagraph"/>
        <w:spacing w:line="360" w:lineRule="auto"/>
        <w:ind w:left="0"/>
        <w:jc w:val="both"/>
        <w:rPr>
          <w:color w:val="131516"/>
          <w:sz w:val="22"/>
          <w:szCs w:val="22"/>
        </w:rPr>
      </w:pPr>
      <w:r w:rsidRPr="000C4180">
        <w:rPr>
          <w:color w:val="131516"/>
          <w:sz w:val="22"/>
          <w:szCs w:val="22"/>
        </w:rPr>
        <w:t xml:space="preserve">The lesson learnt from the GIRR and AIRR analyses is that there may be multiple roots for the polynomial (NPV equation) but the root which is consistent with the NCF is real. Neither the GIRR nor the AIRR is real and </w:t>
      </w:r>
      <w:r w:rsidR="00CF1D58" w:rsidRPr="000C4180">
        <w:rPr>
          <w:color w:val="131516"/>
          <w:sz w:val="22"/>
          <w:szCs w:val="22"/>
        </w:rPr>
        <w:t>unreliable</w:t>
      </w:r>
      <w:r w:rsidRPr="000C4180">
        <w:rPr>
          <w:color w:val="131516"/>
          <w:sz w:val="22"/>
          <w:szCs w:val="22"/>
        </w:rPr>
        <w:t xml:space="preserve">. Ultimately IRR, estimated by MCAS method, is the best </w:t>
      </w:r>
      <w:r w:rsidR="00CF1D58" w:rsidRPr="000C4180">
        <w:rPr>
          <w:color w:val="131516"/>
          <w:sz w:val="22"/>
          <w:szCs w:val="22"/>
        </w:rPr>
        <w:t xml:space="preserve">outcome </w:t>
      </w:r>
      <w:r w:rsidRPr="000C4180">
        <w:rPr>
          <w:color w:val="131516"/>
          <w:sz w:val="22"/>
          <w:szCs w:val="22"/>
        </w:rPr>
        <w:t>available to investment, project and cost-benefit analysis.</w:t>
      </w:r>
    </w:p>
    <w:p w14:paraId="448C1B6F" w14:textId="48012179" w:rsidR="005A2F54" w:rsidRPr="000C4180" w:rsidRDefault="005A2F54" w:rsidP="005A2F54">
      <w:pPr>
        <w:pStyle w:val="ListParagraph"/>
        <w:spacing w:line="360" w:lineRule="auto"/>
        <w:ind w:left="0"/>
        <w:jc w:val="both"/>
        <w:rPr>
          <w:color w:val="131516"/>
          <w:sz w:val="22"/>
          <w:szCs w:val="22"/>
        </w:rPr>
      </w:pPr>
    </w:p>
    <w:p w14:paraId="4E05482A" w14:textId="77777777" w:rsidR="005A2F54" w:rsidRPr="000C4180" w:rsidRDefault="005A2F54" w:rsidP="009109B3">
      <w:pPr>
        <w:pStyle w:val="Heading3"/>
      </w:pPr>
      <w:r w:rsidRPr="000C4180">
        <w:t>5. Summary and Conclusions:</w:t>
      </w:r>
    </w:p>
    <w:p w14:paraId="2BD0073A" w14:textId="6730C336" w:rsidR="005A2F54" w:rsidRPr="000C4180" w:rsidRDefault="005A2F54" w:rsidP="005A2F54">
      <w:pPr>
        <w:pStyle w:val="NoSpacing"/>
      </w:pPr>
      <w:r w:rsidRPr="000C4180">
        <w:t>Th</w:t>
      </w:r>
      <w:r w:rsidR="00CF1D58" w:rsidRPr="000C4180">
        <w:t>e</w:t>
      </w:r>
      <w:r w:rsidRPr="000C4180">
        <w:t xml:space="preserve"> analysis</w:t>
      </w:r>
      <w:r w:rsidR="00CF1D58" w:rsidRPr="000C4180">
        <w:t xml:space="preserve"> in this paper</w:t>
      </w:r>
      <w:r w:rsidRPr="000C4180">
        <w:t xml:space="preserve"> addresses </w:t>
      </w:r>
      <w:r w:rsidR="00324C51" w:rsidRPr="000C4180">
        <w:t xml:space="preserve">the </w:t>
      </w:r>
      <w:r w:rsidRPr="000C4180">
        <w:t xml:space="preserve">important problem of multiple IRR that persisted for more than half a century. Several attempts were made to resolve this </w:t>
      </w:r>
      <w:r w:rsidR="009116C3" w:rsidRPr="000C4180">
        <w:t>problem,</w:t>
      </w:r>
      <w:r w:rsidRPr="000C4180">
        <w:t xml:space="preserve"> and some end up with recommendation to use NPV or MIRR. Neither of them </w:t>
      </w:r>
      <w:r w:rsidR="00CF1D58" w:rsidRPr="000C4180">
        <w:t>is</w:t>
      </w:r>
      <w:r w:rsidRPr="000C4180">
        <w:t xml:space="preserve"> the appropriate solution. There are several other indicators introduced in the recent past viz. GIRR, GERR, AIRR and others. None of these indicators is popular with practitioners. This paper introduces a modified CAS (MCAS) method that leads to a unique and real IRR and resolves the problem of multiple IRR.  Detailed analyses are </w:t>
      </w:r>
      <w:r w:rsidRPr="000C4180">
        <w:lastRenderedPageBreak/>
        <w:t>undertaken using some NNCF data, hypothetical or other published NNCF. Based on these analyses the following problems are identified:</w:t>
      </w:r>
    </w:p>
    <w:p w14:paraId="66B1FB4F" w14:textId="201AC18A" w:rsidR="005A2F54" w:rsidRPr="000C4180" w:rsidRDefault="005A2F54" w:rsidP="00C0740F">
      <w:pPr>
        <w:pStyle w:val="NoSpacing"/>
        <w:numPr>
          <w:ilvl w:val="0"/>
          <w:numId w:val="25"/>
        </w:numPr>
      </w:pPr>
      <w:r w:rsidRPr="000C4180">
        <w:t xml:space="preserve">The CAS developed using NNCF data reveals that there is positive opening balance (OB) in one or more years of cashflows with some of the NNCF. This problem is </w:t>
      </w:r>
      <w:r w:rsidR="00CF1D58" w:rsidRPr="000C4180">
        <w:t xml:space="preserve">not transparent </w:t>
      </w:r>
      <w:r w:rsidRPr="000C4180">
        <w:t xml:space="preserve">in DCF </w:t>
      </w:r>
      <w:r w:rsidR="0025466F" w:rsidRPr="000C4180">
        <w:t>method,</w:t>
      </w:r>
      <w:r w:rsidRPr="000C4180">
        <w:t xml:space="preserve"> but the CAS method is more transparent and reveals it.</w:t>
      </w:r>
    </w:p>
    <w:p w14:paraId="5502EB3A" w14:textId="68D68572" w:rsidR="005A2F54" w:rsidRPr="000C4180" w:rsidRDefault="005A2F54" w:rsidP="00C0740F">
      <w:pPr>
        <w:pStyle w:val="NoSpacing"/>
        <w:numPr>
          <w:ilvl w:val="0"/>
          <w:numId w:val="25"/>
        </w:numPr>
      </w:pPr>
      <w:r w:rsidRPr="000C4180">
        <w:t>Interest on the positive OBs is credited to the cash flow and included as income or benefit stream. This is the case with some NNCF.</w:t>
      </w:r>
    </w:p>
    <w:p w14:paraId="6C06EEA1" w14:textId="543D7632" w:rsidR="005A2F54" w:rsidRPr="000C4180" w:rsidRDefault="005A2F54" w:rsidP="00C0740F">
      <w:pPr>
        <w:pStyle w:val="NoSpacing"/>
        <w:numPr>
          <w:ilvl w:val="0"/>
          <w:numId w:val="25"/>
        </w:numPr>
      </w:pPr>
      <w:r w:rsidRPr="000C4180">
        <w:t xml:space="preserve">The positive OBs are in effect reinvestments and the interest on the </w:t>
      </w:r>
      <w:r w:rsidR="00CF1D58" w:rsidRPr="000C4180">
        <w:t xml:space="preserve">positive </w:t>
      </w:r>
      <w:r w:rsidRPr="000C4180">
        <w:t>OBs is an income on reinvestment. Inclusion of reinvestment income causes the problem of multiple IRR.</w:t>
      </w:r>
    </w:p>
    <w:p w14:paraId="60FD792B" w14:textId="05BB0C36" w:rsidR="005A2F54" w:rsidRPr="000C4180" w:rsidRDefault="005A2F54" w:rsidP="00C0740F">
      <w:pPr>
        <w:pStyle w:val="NoSpacing"/>
        <w:numPr>
          <w:ilvl w:val="0"/>
          <w:numId w:val="25"/>
        </w:numPr>
      </w:pPr>
      <w:r w:rsidRPr="000C4180">
        <w:t xml:space="preserve">The problem of multiple IRR has nothing to do with IRR or </w:t>
      </w:r>
      <w:r w:rsidR="0025466F" w:rsidRPr="000C4180">
        <w:t>NPV,</w:t>
      </w:r>
      <w:r w:rsidRPr="000C4180">
        <w:t xml:space="preserve"> but a problem associated with some NNCF data and the failure of DCF or CAS methods to handle those problems.</w:t>
      </w:r>
    </w:p>
    <w:p w14:paraId="771E4900" w14:textId="1275E108" w:rsidR="005A2F54" w:rsidRPr="000C4180" w:rsidRDefault="005A2F54" w:rsidP="00C0740F">
      <w:pPr>
        <w:pStyle w:val="NoSpacing"/>
        <w:numPr>
          <w:ilvl w:val="0"/>
          <w:numId w:val="25"/>
        </w:numPr>
      </w:pPr>
      <w:r w:rsidRPr="000C4180">
        <w:t xml:space="preserve">Six hypothetical NNCFs, with two or three changes of signs, are estimated using DCF and CAS methods. They all end up with unique IRR without the problem of multiple IRR. </w:t>
      </w:r>
    </w:p>
    <w:p w14:paraId="5FE371CB" w14:textId="67BC8CD1" w:rsidR="00324C51" w:rsidRPr="000C4180" w:rsidRDefault="005A2F54" w:rsidP="00C0740F">
      <w:pPr>
        <w:pStyle w:val="NoSpacing"/>
        <w:numPr>
          <w:ilvl w:val="0"/>
          <w:numId w:val="25"/>
        </w:numPr>
      </w:pPr>
      <w:r w:rsidRPr="000C4180">
        <w:t xml:space="preserve">These unique IRRs are zero or negative or positive corresponding to the zero or negative or positive SNCF, respectively. The results are consistent with </w:t>
      </w:r>
      <w:r w:rsidR="0025466F" w:rsidRPr="000C4180">
        <w:t>Descartes</w:t>
      </w:r>
      <w:r w:rsidRPr="000C4180">
        <w:t xml:space="preserve"> rule but reveals that the Nostrom criteria are not always true.</w:t>
      </w:r>
    </w:p>
    <w:p w14:paraId="33916F0F" w14:textId="4516CBB0" w:rsidR="00324C51" w:rsidRPr="000C4180" w:rsidRDefault="00324C51" w:rsidP="00C0740F">
      <w:pPr>
        <w:pStyle w:val="NoSpacing"/>
        <w:numPr>
          <w:ilvl w:val="0"/>
          <w:numId w:val="25"/>
        </w:numPr>
      </w:pPr>
      <w:r w:rsidRPr="000C4180">
        <w:t>A modified CAS (</w:t>
      </w:r>
      <w:r w:rsidR="005A2F54" w:rsidRPr="000C4180">
        <w:t>MCAS</w:t>
      </w:r>
      <w:r w:rsidRPr="000C4180">
        <w:t>) method</w:t>
      </w:r>
      <w:r w:rsidR="005A2F54" w:rsidRPr="000C4180">
        <w:t xml:space="preserve"> is </w:t>
      </w:r>
      <w:r w:rsidRPr="000C4180">
        <w:t>developed</w:t>
      </w:r>
      <w:r w:rsidR="005A2F54" w:rsidRPr="000C4180">
        <w:t xml:space="preserve"> </w:t>
      </w:r>
      <w:r w:rsidRPr="000C4180">
        <w:t xml:space="preserve">by eliminating the reinvestment of intermediate income from </w:t>
      </w:r>
      <w:r w:rsidR="005A2F54" w:rsidRPr="000C4180">
        <w:t xml:space="preserve">the CAS </w:t>
      </w:r>
      <w:r w:rsidRPr="000C4180">
        <w:t>method.</w:t>
      </w:r>
      <w:r w:rsidR="005A2F54" w:rsidRPr="000C4180">
        <w:t xml:space="preserve"> MCAS is used to conduct various analysis. </w:t>
      </w:r>
    </w:p>
    <w:p w14:paraId="6D5E6505" w14:textId="539ED0B6" w:rsidR="005A2F54" w:rsidRPr="000C4180" w:rsidRDefault="005A2F54" w:rsidP="00C0740F">
      <w:pPr>
        <w:pStyle w:val="NoSpacing"/>
        <w:numPr>
          <w:ilvl w:val="0"/>
          <w:numId w:val="25"/>
        </w:numPr>
      </w:pPr>
      <w:r w:rsidRPr="000C4180">
        <w:t xml:space="preserve">The MCAS </w:t>
      </w:r>
      <w:r w:rsidR="00324C51" w:rsidRPr="000C4180">
        <w:t>method resolve</w:t>
      </w:r>
      <w:r w:rsidR="00E61416" w:rsidRPr="000C4180">
        <w:t>s</w:t>
      </w:r>
      <w:r w:rsidR="00324C51" w:rsidRPr="000C4180">
        <w:t xml:space="preserve"> the</w:t>
      </w:r>
      <w:r w:rsidR="00E61416" w:rsidRPr="000C4180">
        <w:t xml:space="preserve"> problem of multiple IRR by eliminating reinvestment income. The</w:t>
      </w:r>
      <w:r w:rsidR="00324C51" w:rsidRPr="000C4180">
        <w:t xml:space="preserve"> </w:t>
      </w:r>
      <w:r w:rsidRPr="000C4180">
        <w:t xml:space="preserve">estimated IRR </w:t>
      </w:r>
      <w:r w:rsidR="00E61416" w:rsidRPr="000C4180">
        <w:t xml:space="preserve">under MCAS method </w:t>
      </w:r>
      <w:r w:rsidRPr="000C4180">
        <w:t>is NCF</w:t>
      </w:r>
      <w:r w:rsidR="00E61416" w:rsidRPr="000C4180">
        <w:t xml:space="preserve"> and NPV </w:t>
      </w:r>
      <w:r w:rsidRPr="000C4180">
        <w:t>consistent</w:t>
      </w:r>
      <w:r w:rsidR="00E61416" w:rsidRPr="000C4180">
        <w:t xml:space="preserve"> as the closing balance becomes zero, that means the NCF is fully utilised. </w:t>
      </w:r>
    </w:p>
    <w:p w14:paraId="59565119" w14:textId="4EE039FD" w:rsidR="008C008B" w:rsidRPr="000C4180" w:rsidRDefault="008C008B" w:rsidP="00C0740F">
      <w:pPr>
        <w:pStyle w:val="ListParagraph"/>
        <w:numPr>
          <w:ilvl w:val="0"/>
          <w:numId w:val="25"/>
        </w:numPr>
        <w:spacing w:after="450" w:line="360" w:lineRule="auto"/>
        <w:jc w:val="both"/>
      </w:pPr>
      <w:r w:rsidRPr="000C4180">
        <w:rPr>
          <w:color w:val="131516"/>
          <w:sz w:val="22"/>
          <w:szCs w:val="22"/>
        </w:rPr>
        <w:t>With NNCF</w:t>
      </w:r>
      <w:r w:rsidR="00BB041A" w:rsidRPr="000C4180">
        <w:rPr>
          <w:color w:val="131516"/>
          <w:sz w:val="22"/>
          <w:szCs w:val="22"/>
        </w:rPr>
        <w:t xml:space="preserve">, </w:t>
      </w:r>
      <w:r w:rsidRPr="000C4180">
        <w:rPr>
          <w:color w:val="131516"/>
          <w:sz w:val="22"/>
          <w:szCs w:val="22"/>
        </w:rPr>
        <w:t>involv</w:t>
      </w:r>
      <w:r w:rsidR="00BB041A" w:rsidRPr="000C4180">
        <w:rPr>
          <w:color w:val="131516"/>
          <w:sz w:val="22"/>
          <w:szCs w:val="22"/>
        </w:rPr>
        <w:t>ing</w:t>
      </w:r>
      <w:r w:rsidRPr="000C4180">
        <w:rPr>
          <w:color w:val="131516"/>
          <w:sz w:val="22"/>
          <w:szCs w:val="22"/>
        </w:rPr>
        <w:t xml:space="preserve"> reinvestment, the NPV estimate </w:t>
      </w:r>
      <w:r w:rsidR="00C85164" w:rsidRPr="000C4180">
        <w:rPr>
          <w:color w:val="131516"/>
          <w:lang w:eastAsia="en-AU"/>
        </w:rPr>
        <w:t>varies</w:t>
      </w:r>
      <w:r w:rsidRPr="000C4180">
        <w:rPr>
          <w:color w:val="131516"/>
          <w:sz w:val="22"/>
          <w:szCs w:val="22"/>
        </w:rPr>
        <w:t xml:space="preserve"> under the scenario of with and without reinvestment.</w:t>
      </w:r>
      <w:r w:rsidR="00E61416" w:rsidRPr="000C4180">
        <w:rPr>
          <w:color w:val="131516"/>
          <w:sz w:val="22"/>
          <w:szCs w:val="22"/>
        </w:rPr>
        <w:t xml:space="preserve"> With NNCF, t</w:t>
      </w:r>
      <w:r w:rsidRPr="000C4180">
        <w:rPr>
          <w:color w:val="131516"/>
          <w:sz w:val="22"/>
          <w:szCs w:val="22"/>
        </w:rPr>
        <w:t>he higher NPV under the DCF/CAS method is caused by the reinvestment income. These NPV results are not consistent with IRRs (at IRR, NPV = 0). The NPV rule is therefore invalid with NNCF investment.</w:t>
      </w:r>
    </w:p>
    <w:p w14:paraId="5F7215A8" w14:textId="3DEB2F3F" w:rsidR="00B66C89" w:rsidRPr="000C4180" w:rsidRDefault="00E61416" w:rsidP="00C0740F">
      <w:pPr>
        <w:pStyle w:val="ListParagraph"/>
        <w:numPr>
          <w:ilvl w:val="0"/>
          <w:numId w:val="25"/>
        </w:numPr>
        <w:spacing w:after="450" w:line="360" w:lineRule="auto"/>
        <w:jc w:val="both"/>
      </w:pPr>
      <w:r w:rsidRPr="000C4180">
        <w:t>The MCAS</w:t>
      </w:r>
      <w:r w:rsidR="00BB041A" w:rsidRPr="000C4180">
        <w:t xml:space="preserve"> estimate,</w:t>
      </w:r>
      <w:r w:rsidRPr="000C4180">
        <w:t xml:space="preserve"> using NNCF data</w:t>
      </w:r>
      <w:r w:rsidR="00B66C89" w:rsidRPr="000C4180">
        <w:t>,</w:t>
      </w:r>
      <w:r w:rsidRPr="000C4180">
        <w:t xml:space="preserve"> indicates that </w:t>
      </w:r>
      <w:r w:rsidR="00BB041A" w:rsidRPr="000C4180">
        <w:t xml:space="preserve">the MIRR by DCF/CAS method is not </w:t>
      </w:r>
      <w:r w:rsidR="00B66C89" w:rsidRPr="000C4180">
        <w:t xml:space="preserve">supported by the NNCF and therefore </w:t>
      </w:r>
      <w:r w:rsidR="00C0740F" w:rsidRPr="000C4180">
        <w:t xml:space="preserve">not </w:t>
      </w:r>
      <w:r w:rsidR="00BB041A" w:rsidRPr="000C4180">
        <w:t>NCF consistent. MCAS method</w:t>
      </w:r>
      <w:r w:rsidR="00B66C89" w:rsidRPr="000C4180">
        <w:t xml:space="preserve"> also reveals that MIRR is an </w:t>
      </w:r>
      <w:r w:rsidR="00C85164" w:rsidRPr="000C4180">
        <w:rPr>
          <w:color w:val="000000"/>
          <w:lang w:eastAsia="en-AU"/>
        </w:rPr>
        <w:t>overestimate</w:t>
      </w:r>
      <w:r w:rsidR="00B66C89" w:rsidRPr="000C4180">
        <w:t xml:space="preserve"> because of the reinvestment rate used in MIRR. </w:t>
      </w:r>
      <w:r w:rsidR="005A2F54" w:rsidRPr="000C4180">
        <w:t>MIRR is not an appropriate criterion.</w:t>
      </w:r>
    </w:p>
    <w:p w14:paraId="36B5A540" w14:textId="71472618" w:rsidR="00C0740F" w:rsidRPr="000C4180" w:rsidRDefault="00B66C89" w:rsidP="00C0740F">
      <w:pPr>
        <w:pStyle w:val="ListParagraph"/>
        <w:numPr>
          <w:ilvl w:val="0"/>
          <w:numId w:val="25"/>
        </w:numPr>
        <w:spacing w:after="450" w:line="360" w:lineRule="auto"/>
        <w:jc w:val="both"/>
      </w:pPr>
      <w:r w:rsidRPr="000C4180">
        <w:t>T</w:t>
      </w:r>
      <w:r w:rsidR="005A2F54" w:rsidRPr="000C4180">
        <w:t xml:space="preserve">he opportunity cost </w:t>
      </w:r>
      <w:r w:rsidRPr="000C4180">
        <w:t>of inter</w:t>
      </w:r>
      <w:r w:rsidR="00C0740F" w:rsidRPr="000C4180">
        <w:t xml:space="preserve">mediate income </w:t>
      </w:r>
      <w:r w:rsidRPr="000C4180">
        <w:t>w</w:t>
      </w:r>
      <w:r w:rsidR="00C0740F" w:rsidRPr="000C4180">
        <w:t>i</w:t>
      </w:r>
      <w:r w:rsidRPr="000C4180">
        <w:t xml:space="preserve">ll be taken care of </w:t>
      </w:r>
      <w:r w:rsidR="005A2F54" w:rsidRPr="000C4180">
        <w:t xml:space="preserve">by investment elsewhere with market rate of interest. This finding supports the view expressed by Ross et. al (2013) that reinvestment income should not be included as part of </w:t>
      </w:r>
      <w:r w:rsidR="00C85164" w:rsidRPr="000C4180">
        <w:rPr>
          <w:color w:val="000000"/>
          <w:lang w:eastAsia="en-AU"/>
        </w:rPr>
        <w:t xml:space="preserve">the </w:t>
      </w:r>
      <w:r w:rsidR="005A2F54" w:rsidRPr="000C4180">
        <w:t xml:space="preserve">benefit stream. The project or the investment need not assume reinvestment at IRR or hurdle rate. </w:t>
      </w:r>
    </w:p>
    <w:p w14:paraId="71914C35" w14:textId="109B85A0" w:rsidR="00C0740F" w:rsidRPr="000C4180" w:rsidRDefault="005A2F54" w:rsidP="00C0740F">
      <w:pPr>
        <w:pStyle w:val="ListParagraph"/>
        <w:numPr>
          <w:ilvl w:val="0"/>
          <w:numId w:val="25"/>
        </w:numPr>
        <w:spacing w:after="450" w:line="360" w:lineRule="auto"/>
        <w:jc w:val="both"/>
        <w:rPr>
          <w:color w:val="131516"/>
          <w:sz w:val="22"/>
          <w:szCs w:val="22"/>
        </w:rPr>
      </w:pPr>
      <w:r w:rsidRPr="000C4180">
        <w:t xml:space="preserve">Neither the NPV nor the MIRR is the appropriate criterion to resolve the multiple IRR problem as claimed by some authors (see Schmidt, 2015; Syd 2017; Kierulff 2008). MIRR assumes reinvestment under normal NCF which is inappropriate. </w:t>
      </w:r>
      <w:r w:rsidR="00C0740F" w:rsidRPr="000C4180">
        <w:t xml:space="preserve">MCAS method is </w:t>
      </w:r>
      <w:r w:rsidR="00C0740F" w:rsidRPr="000C4180">
        <w:lastRenderedPageBreak/>
        <w:t xml:space="preserve">appropriate for both </w:t>
      </w:r>
      <w:r w:rsidRPr="000C4180">
        <w:t xml:space="preserve">NCF and NNCF data. CAS method can be appropriate ONLY for the normal NCF. </w:t>
      </w:r>
    </w:p>
    <w:p w14:paraId="6E2583CA" w14:textId="01FAE566" w:rsidR="005A2F54" w:rsidRPr="00A74765" w:rsidRDefault="005A2F54" w:rsidP="00A74765">
      <w:pPr>
        <w:spacing w:after="450" w:line="360" w:lineRule="auto"/>
        <w:jc w:val="both"/>
        <w:rPr>
          <w:color w:val="131516"/>
          <w:sz w:val="22"/>
          <w:szCs w:val="22"/>
        </w:rPr>
      </w:pPr>
      <w:r w:rsidRPr="00A74765">
        <w:rPr>
          <w:color w:val="131516"/>
          <w:sz w:val="22"/>
          <w:szCs w:val="22"/>
        </w:rPr>
        <w:t>The main conclusions are:</w:t>
      </w:r>
    </w:p>
    <w:p w14:paraId="303DC403" w14:textId="45878712"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 xml:space="preserve">The problem of multiple IRR is caused by reinvestment income (at IRR or hurdle rate) included as benefit under some NNCF data (not </w:t>
      </w:r>
      <w:r w:rsidR="00C0740F" w:rsidRPr="000C4180">
        <w:rPr>
          <w:color w:val="131516"/>
          <w:sz w:val="22"/>
          <w:szCs w:val="22"/>
        </w:rPr>
        <w:t>all</w:t>
      </w:r>
      <w:r w:rsidRPr="000C4180">
        <w:rPr>
          <w:color w:val="131516"/>
          <w:sz w:val="22"/>
          <w:szCs w:val="22"/>
        </w:rPr>
        <w:t xml:space="preserve"> NCF and </w:t>
      </w:r>
      <w:r w:rsidR="00C0740F" w:rsidRPr="000C4180">
        <w:rPr>
          <w:color w:val="131516"/>
          <w:sz w:val="22"/>
          <w:szCs w:val="22"/>
        </w:rPr>
        <w:t>N</w:t>
      </w:r>
      <w:r w:rsidRPr="000C4180">
        <w:rPr>
          <w:color w:val="131516"/>
          <w:sz w:val="22"/>
          <w:szCs w:val="22"/>
        </w:rPr>
        <w:t>NCF). The DCF method and CAS methods need modification to eliminate the reinvestment income under the NNCF.</w:t>
      </w:r>
    </w:p>
    <w:p w14:paraId="4C9562A8" w14:textId="15C8DC68"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 xml:space="preserve">With normal NCF and some of the NNCF also, there is reinvestment at IRR </w:t>
      </w:r>
      <w:r w:rsidR="00C0740F" w:rsidRPr="000C4180">
        <w:rPr>
          <w:color w:val="131516"/>
          <w:sz w:val="22"/>
          <w:szCs w:val="22"/>
        </w:rPr>
        <w:t>or at</w:t>
      </w:r>
      <w:r w:rsidRPr="000C4180">
        <w:rPr>
          <w:color w:val="131516"/>
          <w:sz w:val="22"/>
          <w:szCs w:val="22"/>
        </w:rPr>
        <w:t xml:space="preserve"> hurdle rate as wrongly asserted in many published works.</w:t>
      </w:r>
    </w:p>
    <w:p w14:paraId="19F6B062" w14:textId="650A6EF5"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MCAS is an appropriate method to estimate the rate of return (IRR and NPV) for both normal NCF and NNCF. CAS method can be used only for normal NCF data.</w:t>
      </w:r>
    </w:p>
    <w:p w14:paraId="27D961EA" w14:textId="2BE67489"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 xml:space="preserve">The estimated IRR and NPV by MCAS method </w:t>
      </w:r>
      <w:r w:rsidR="009116C3" w:rsidRPr="000C4180">
        <w:rPr>
          <w:color w:val="131516"/>
          <w:sz w:val="22"/>
          <w:szCs w:val="22"/>
        </w:rPr>
        <w:t>are</w:t>
      </w:r>
      <w:r w:rsidRPr="000C4180">
        <w:rPr>
          <w:color w:val="131516"/>
          <w:sz w:val="22"/>
          <w:szCs w:val="22"/>
        </w:rPr>
        <w:t xml:space="preserve"> consistent with NCF.</w:t>
      </w:r>
    </w:p>
    <w:p w14:paraId="598E1E54" w14:textId="77A5ADA3"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The AIRR and GIRR criteria recently introduced are neither real rate of returns nor NCF and NPV consistent, and therefore not appropriate.</w:t>
      </w:r>
    </w:p>
    <w:p w14:paraId="3C2E71EE" w14:textId="296C4AC0" w:rsidR="005A2F54" w:rsidRPr="000C4180" w:rsidRDefault="005A2F54" w:rsidP="00A74765">
      <w:pPr>
        <w:pStyle w:val="ListParagraph"/>
        <w:numPr>
          <w:ilvl w:val="0"/>
          <w:numId w:val="37"/>
        </w:numPr>
        <w:spacing w:line="360" w:lineRule="auto"/>
        <w:jc w:val="both"/>
        <w:rPr>
          <w:color w:val="131516"/>
          <w:sz w:val="22"/>
          <w:szCs w:val="22"/>
        </w:rPr>
      </w:pPr>
      <w:r w:rsidRPr="000C4180">
        <w:rPr>
          <w:color w:val="131516"/>
          <w:sz w:val="22"/>
          <w:szCs w:val="22"/>
        </w:rPr>
        <w:t>Ultimately, IRR and NPV, estimated by MCAS, is the best criterion available to investment, project and cost-benefit analysis.</w:t>
      </w:r>
    </w:p>
    <w:p w14:paraId="5CD58323" w14:textId="77777777" w:rsidR="005A2F54" w:rsidRPr="000C4180" w:rsidRDefault="005A2F54" w:rsidP="005A2F54">
      <w:pPr>
        <w:pStyle w:val="NoSpacing"/>
      </w:pPr>
    </w:p>
    <w:p w14:paraId="0614C117" w14:textId="77777777" w:rsidR="00C0740F" w:rsidRPr="000C4180" w:rsidRDefault="00C0740F" w:rsidP="00C0740F">
      <w:pPr>
        <w:tabs>
          <w:tab w:val="left" w:pos="3660"/>
        </w:tabs>
        <w:spacing w:after="160" w:line="259" w:lineRule="auto"/>
      </w:pPr>
      <w:r w:rsidRPr="000C4180">
        <w:tab/>
      </w:r>
    </w:p>
    <w:p w14:paraId="65404DFE" w14:textId="56A472EA" w:rsidR="005A2F54" w:rsidRPr="000C4180" w:rsidRDefault="005A2F54" w:rsidP="00C0740F">
      <w:pPr>
        <w:tabs>
          <w:tab w:val="left" w:pos="3660"/>
        </w:tabs>
        <w:spacing w:after="160" w:line="259" w:lineRule="auto"/>
        <w:rPr>
          <w:rFonts w:eastAsiaTheme="majorEastAsia"/>
          <w:b/>
          <w:bCs/>
          <w:sz w:val="22"/>
          <w:szCs w:val="22"/>
        </w:rPr>
      </w:pPr>
      <w:r w:rsidRPr="000C4180">
        <w:br w:type="page"/>
      </w:r>
    </w:p>
    <w:p w14:paraId="6EFD03C7" w14:textId="77777777" w:rsidR="005A2F54" w:rsidRPr="000C4180" w:rsidRDefault="005A2F54" w:rsidP="009109B3">
      <w:pPr>
        <w:pStyle w:val="Heading3"/>
      </w:pPr>
      <w:r w:rsidRPr="000C4180">
        <w:lastRenderedPageBreak/>
        <w:t>Bibliography</w:t>
      </w:r>
    </w:p>
    <w:p w14:paraId="7B86E8D1" w14:textId="5D709D39" w:rsidR="005A2F54" w:rsidRPr="000C4180" w:rsidRDefault="005A2F54" w:rsidP="005A2F54">
      <w:pPr>
        <w:pStyle w:val="NoSpacing"/>
        <w:rPr>
          <w:bCs/>
          <w:color w:val="000000"/>
        </w:rPr>
      </w:pPr>
    </w:p>
    <w:p w14:paraId="019EA020" w14:textId="444C696D" w:rsidR="005A2F54" w:rsidRPr="000C4180" w:rsidRDefault="005A2F54" w:rsidP="005A2F54">
      <w:pPr>
        <w:pStyle w:val="NoSpacing"/>
        <w:numPr>
          <w:ilvl w:val="0"/>
          <w:numId w:val="14"/>
        </w:numPr>
      </w:pPr>
      <w:r w:rsidRPr="000C4180">
        <w:t xml:space="preserve">Arjunan, K. C. (2017a), A New Method to Estimate NPV and IRR from the Capital Amortization Schedule and an Insight into Why NPV is not the Appropriate Criterion for Capital Investment Decision (January 15, 2017). Available at SSRN: </w:t>
      </w:r>
      <w:hyperlink r:id="rId14" w:history="1">
        <w:r w:rsidRPr="000C4180">
          <w:rPr>
            <w:rStyle w:val="Hyperlink"/>
          </w:rPr>
          <w:t>http://dx.doi.org/10.2139/ssrn.2899648</w:t>
        </w:r>
      </w:hyperlink>
      <w:r w:rsidRPr="000C4180">
        <w:t>.</w:t>
      </w:r>
    </w:p>
    <w:p w14:paraId="3D71AB64" w14:textId="063F8430" w:rsidR="005A2F54" w:rsidRPr="000C4180" w:rsidRDefault="005A2F54" w:rsidP="005A2F54">
      <w:pPr>
        <w:pStyle w:val="NoSpacing"/>
        <w:numPr>
          <w:ilvl w:val="0"/>
          <w:numId w:val="14"/>
        </w:numPr>
      </w:pPr>
      <w:r w:rsidRPr="000C4180">
        <w:t xml:space="preserve">Arjunan, K.C. (2017b), IRR Performs Better than NPV: A Critical Analysis of Cases of Multiple IRR and Mutually Exclusive and Independent Investment Projects (February 8, 2017). Available at SSRN: </w:t>
      </w:r>
      <w:hyperlink r:id="rId15" w:history="1">
        <w:r w:rsidRPr="000C4180">
          <w:rPr>
            <w:rStyle w:val="Hyperlink"/>
          </w:rPr>
          <w:t>http://dx.doi.org/10.2139/ssrn.2913905</w:t>
        </w:r>
      </w:hyperlink>
      <w:r w:rsidRPr="000C4180">
        <w:t>.</w:t>
      </w:r>
    </w:p>
    <w:p w14:paraId="4CC8E4E9" w14:textId="7892326B" w:rsidR="005A2F54" w:rsidRPr="000C4180" w:rsidRDefault="005A2F54" w:rsidP="005A2F54">
      <w:pPr>
        <w:pStyle w:val="NoSpacing"/>
        <w:numPr>
          <w:ilvl w:val="0"/>
          <w:numId w:val="14"/>
        </w:numPr>
      </w:pPr>
      <w:r w:rsidRPr="000C4180">
        <w:t xml:space="preserve">Arjunan, K.C. (2017c), Modified IRR (MIRR) Is a Spurious Criterion and Should Not Be Used in Cost-Benefit Analysis (CBA) and Investment Analysis (March 28, 2017). Available at SSRN: </w:t>
      </w:r>
      <w:hyperlink r:id="rId16" w:history="1">
        <w:r w:rsidRPr="000C4180">
          <w:rPr>
            <w:rStyle w:val="Hyperlink"/>
          </w:rPr>
          <w:t>http://dx.doi.org/10.2139/ssrn.2942456</w:t>
        </w:r>
      </w:hyperlink>
      <w:r w:rsidRPr="000C4180">
        <w:t>.</w:t>
      </w:r>
    </w:p>
    <w:p w14:paraId="52028BD2" w14:textId="3E48E3C2" w:rsidR="005A2F54" w:rsidRPr="000C4180" w:rsidRDefault="005A2F54" w:rsidP="005A2F54">
      <w:pPr>
        <w:pStyle w:val="NoSpacing"/>
        <w:numPr>
          <w:ilvl w:val="0"/>
          <w:numId w:val="14"/>
        </w:numPr>
      </w:pPr>
      <w:r w:rsidRPr="000C4180">
        <w:t xml:space="preserve">Arjunan, K.C. and K. Kannapiran, (2017), The Controversial Reinvestment Assumption in IRR and NPV Estimates: New Evidence against Reinvestment Assumption (February 16, 2017). Economic Papers - Australia, Forthcoming. Available at SSRN: </w:t>
      </w:r>
      <w:hyperlink r:id="rId17" w:history="1">
        <w:r w:rsidRPr="000C4180">
          <w:rPr>
            <w:rStyle w:val="Hyperlink"/>
          </w:rPr>
          <w:t>http://dx.doi.org/10.2139/ssrn.2918744</w:t>
        </w:r>
      </w:hyperlink>
      <w:r w:rsidRPr="000C4180">
        <w:t>.</w:t>
      </w:r>
    </w:p>
    <w:p w14:paraId="46BAD493" w14:textId="46D96457" w:rsidR="005A2F54" w:rsidRPr="000C4180" w:rsidRDefault="005A2F54" w:rsidP="005A2F54">
      <w:pPr>
        <w:pStyle w:val="NoSpacing"/>
        <w:numPr>
          <w:ilvl w:val="0"/>
          <w:numId w:val="14"/>
        </w:numPr>
      </w:pPr>
      <w:r w:rsidRPr="000C4180">
        <w:t xml:space="preserve">Balyeat, B. And Julie Cagle, 2015, MIRR: The Means to an End? Reinforcing Optimal Investment Decisions Using the NPV Rule, Journal of Financial Education Vol. 41, No. 1 (SPRING 2015), pp. 90-102 </w:t>
      </w:r>
    </w:p>
    <w:p w14:paraId="0879EAB7" w14:textId="041A405A" w:rsidR="005A2F54" w:rsidRPr="000C4180" w:rsidRDefault="005A2F54" w:rsidP="005A2F54">
      <w:pPr>
        <w:pStyle w:val="NoSpacing"/>
        <w:numPr>
          <w:ilvl w:val="0"/>
          <w:numId w:val="14"/>
        </w:numPr>
      </w:pPr>
      <w:r w:rsidRPr="000C4180">
        <w:t>Balyeat, Julie Cagle, and Phil Glasgo, (2013), Teaching MIRR to Improve Comprehension of Investment Performance Evaluation Techniques, Journal of Economics and Finance Education ∙ Volume 12∙ Number 1 ∙Summer 2013.</w:t>
      </w:r>
    </w:p>
    <w:p w14:paraId="482E23C1" w14:textId="314B1161" w:rsidR="005A2F54" w:rsidRPr="000C4180" w:rsidRDefault="005A2F54" w:rsidP="005A2F54">
      <w:pPr>
        <w:pStyle w:val="NoSpacing"/>
        <w:numPr>
          <w:ilvl w:val="0"/>
          <w:numId w:val="14"/>
        </w:numPr>
        <w:rPr>
          <w:bCs/>
          <w:color w:val="000000"/>
        </w:rPr>
      </w:pPr>
      <w:r w:rsidRPr="000C4180">
        <w:rPr>
          <w:bCs/>
          <w:color w:val="000000"/>
        </w:rPr>
        <w:t>Brealey, R.A., Myers S.C. and Allen, P., 2006, Principles of Corporate Finance, 8th Edition, McGraw-Hill/Irwin, New York, 2006.</w:t>
      </w:r>
    </w:p>
    <w:p w14:paraId="2D1E8293" w14:textId="53DE992D" w:rsidR="005A2F54" w:rsidRPr="000C4180" w:rsidRDefault="005A2F54" w:rsidP="005A2F54">
      <w:pPr>
        <w:pStyle w:val="NoSpacing"/>
        <w:numPr>
          <w:ilvl w:val="0"/>
          <w:numId w:val="14"/>
        </w:numPr>
      </w:pPr>
      <w:r w:rsidRPr="000C4180">
        <w:rPr>
          <w:bCs/>
          <w:color w:val="000000"/>
        </w:rPr>
        <w:t>Brigham, E.F. and Houston, J.F. 2006. Fundamentals of Financial Management, Concise 5th Edition, Thomson South-Western, Ohio.</w:t>
      </w:r>
      <w:r w:rsidRPr="000C4180">
        <w:t xml:space="preserve"> </w:t>
      </w:r>
    </w:p>
    <w:p w14:paraId="0684049E" w14:textId="349C7828" w:rsidR="005A2F54" w:rsidRPr="000C4180" w:rsidRDefault="005A2F54" w:rsidP="005A2F54">
      <w:pPr>
        <w:pStyle w:val="NoSpacing"/>
        <w:numPr>
          <w:ilvl w:val="0"/>
          <w:numId w:val="14"/>
        </w:numPr>
      </w:pPr>
      <w:r w:rsidRPr="000C4180">
        <w:t>Brigham, E.F. and M.C. Ehrhardt, 2016. Financial Management: Theory &amp; Practice, Edition 15, Cengage Learning, 2016, p.428.</w:t>
      </w:r>
    </w:p>
    <w:p w14:paraId="11B1D241" w14:textId="192DB5E9" w:rsidR="005A2F54" w:rsidRPr="000C4180" w:rsidRDefault="005A2F54" w:rsidP="005A2F54">
      <w:pPr>
        <w:pStyle w:val="NoSpacing"/>
        <w:numPr>
          <w:ilvl w:val="0"/>
          <w:numId w:val="14"/>
        </w:numPr>
        <w:rPr>
          <w:bCs/>
          <w:color w:val="000000"/>
        </w:rPr>
      </w:pPr>
      <w:r w:rsidRPr="000C4180">
        <w:rPr>
          <w:bCs/>
          <w:color w:val="000000"/>
        </w:rPr>
        <w:t>Bussey, L.E. and Eschenbach, T.G. 1992. The Economic Analysis of Industrial Projects, Prentice–Hall, Englewood Cliffs, New Jersey.</w:t>
      </w:r>
    </w:p>
    <w:p w14:paraId="6DDBCB92" w14:textId="31371B5F" w:rsidR="005A2F54" w:rsidRPr="000C4180" w:rsidRDefault="005A2F54" w:rsidP="005A2F54">
      <w:pPr>
        <w:pStyle w:val="NoSpacing"/>
        <w:numPr>
          <w:ilvl w:val="0"/>
          <w:numId w:val="14"/>
        </w:numPr>
        <w:rPr>
          <w:bCs/>
          <w:color w:val="000000"/>
        </w:rPr>
      </w:pPr>
      <w:r w:rsidRPr="000C4180">
        <w:rPr>
          <w:bCs/>
        </w:rPr>
        <w:t>Butenko, S. 2017, Rate of Return Analysis, The University of Toledo, College of Engineering, Available at: </w:t>
      </w:r>
      <w:hyperlink r:id="rId18" w:history="1">
        <w:r w:rsidRPr="000C4180">
          <w:rPr>
            <w:rStyle w:val="Hyperlink"/>
            <w:color w:val="auto"/>
          </w:rPr>
          <w:t>http://www.eng.utoledo.edu/~nkissoff/lessons/Lesson7.html</w:t>
        </w:r>
      </w:hyperlink>
      <w:r w:rsidRPr="000C4180">
        <w:t xml:space="preserve">, </w:t>
      </w:r>
    </w:p>
    <w:p w14:paraId="241D9694" w14:textId="62858B8A" w:rsidR="005A2F54" w:rsidRPr="000C4180" w:rsidRDefault="005A2F54" w:rsidP="005A2F54">
      <w:pPr>
        <w:pStyle w:val="NoSpacing"/>
        <w:numPr>
          <w:ilvl w:val="0"/>
          <w:numId w:val="14"/>
        </w:numPr>
        <w:rPr>
          <w:bCs/>
          <w:color w:val="000000"/>
        </w:rPr>
      </w:pPr>
      <w:r w:rsidRPr="000C4180">
        <w:rPr>
          <w:bCs/>
          <w:color w:val="000000"/>
        </w:rPr>
        <w:t xml:space="preserve">C.S. PARK, 1997. Contemporary Engineering Economics, Addison–Wesley, Menlo Park, California.  </w:t>
      </w:r>
    </w:p>
    <w:p w14:paraId="1E266D08" w14:textId="082E853B" w:rsidR="005A2F54" w:rsidRPr="000C4180" w:rsidRDefault="005A2F54" w:rsidP="005A2F54">
      <w:pPr>
        <w:pStyle w:val="NoSpacing"/>
        <w:numPr>
          <w:ilvl w:val="0"/>
          <w:numId w:val="14"/>
        </w:numPr>
        <w:rPr>
          <w:bCs/>
          <w:color w:val="000000"/>
        </w:rPr>
      </w:pPr>
      <w:r w:rsidRPr="000C4180">
        <w:t xml:space="preserve">Campani, C.H. 2014. On the Rate of Return and Valuation of Non-Conventional Projects, Business and Management Review Vol. 3(12) pp.   </w:t>
      </w:r>
    </w:p>
    <w:p w14:paraId="43318766" w14:textId="260AD63D" w:rsidR="005A2F54" w:rsidRPr="000C4180" w:rsidRDefault="005A2F54" w:rsidP="005A2F54">
      <w:pPr>
        <w:pStyle w:val="NoSpacing"/>
        <w:numPr>
          <w:ilvl w:val="0"/>
          <w:numId w:val="14"/>
        </w:numPr>
        <w:rPr>
          <w:bCs/>
          <w:color w:val="000000"/>
        </w:rPr>
      </w:pPr>
      <w:r w:rsidRPr="000C4180">
        <w:rPr>
          <w:bCs/>
          <w:color w:val="000000"/>
        </w:rPr>
        <w:t xml:space="preserve">Eschenbach, T.G. 1995. Engineering Economy: Applying Theory to Practice, Irwin, Chicago. </w:t>
      </w:r>
    </w:p>
    <w:p w14:paraId="5E24366F" w14:textId="3B418013" w:rsidR="005A2F54" w:rsidRPr="000C4180" w:rsidRDefault="005A2F54" w:rsidP="005A2F54">
      <w:pPr>
        <w:pStyle w:val="NoSpacing"/>
        <w:numPr>
          <w:ilvl w:val="0"/>
          <w:numId w:val="14"/>
        </w:numPr>
        <w:rPr>
          <w:bCs/>
          <w:color w:val="000000"/>
        </w:rPr>
      </w:pPr>
      <w:r w:rsidRPr="000C4180">
        <w:rPr>
          <w:bCs/>
          <w:color w:val="000000"/>
        </w:rPr>
        <w:t>Fleischer, G.A. 1994 Introduction to Engineering Economy, PWS Publishing, Boston.</w:t>
      </w:r>
    </w:p>
    <w:p w14:paraId="2E492D1F" w14:textId="23B291AB" w:rsidR="005A2F54" w:rsidRPr="000C4180" w:rsidRDefault="005A2F54" w:rsidP="005A2F54">
      <w:pPr>
        <w:pStyle w:val="NoSpacing"/>
        <w:numPr>
          <w:ilvl w:val="0"/>
          <w:numId w:val="14"/>
        </w:numPr>
        <w:rPr>
          <w:u w:val="single"/>
        </w:rPr>
      </w:pPr>
      <w:r w:rsidRPr="000C4180">
        <w:lastRenderedPageBreak/>
        <w:t xml:space="preserve">Gronchi, S. 1986. On investment criteria based on the internal rate of return. Oxford Economic Papers, 1 (March), 174–180. </w:t>
      </w:r>
    </w:p>
    <w:p w14:paraId="4854CE36" w14:textId="33ED7BE4" w:rsidR="005A2F54" w:rsidRPr="000C4180" w:rsidRDefault="005A2F54" w:rsidP="005A2F54">
      <w:pPr>
        <w:pStyle w:val="NoSpacing"/>
        <w:numPr>
          <w:ilvl w:val="0"/>
          <w:numId w:val="14"/>
        </w:numPr>
      </w:pPr>
      <w:r w:rsidRPr="000C4180">
        <w:t>Hazen, G.B. 2003. Anewperspectiveonmultipleinternalratesofreturn.TheEngineeringEconomist, 48, 31–51.</w:t>
      </w:r>
    </w:p>
    <w:p w14:paraId="7877C02F" w14:textId="5536EBDC" w:rsidR="005A2F54" w:rsidRPr="000C4180" w:rsidRDefault="005A2F54" w:rsidP="005A2F54">
      <w:pPr>
        <w:pStyle w:val="NoSpacing"/>
        <w:numPr>
          <w:ilvl w:val="0"/>
          <w:numId w:val="14"/>
        </w:numPr>
      </w:pPr>
      <w:r w:rsidRPr="000C4180">
        <w:t xml:space="preserve">Ille’s, M. 2016. The Real Reinvestment Rate Assumption as a Hidden Pitfall, ‘Club of Economics in Miskolc' TMP Vol. 12., No. 1., pp. 47-60. </w:t>
      </w:r>
    </w:p>
    <w:p w14:paraId="2514D1B9" w14:textId="597AEB34" w:rsidR="005A2F54" w:rsidRPr="000C4180" w:rsidRDefault="005A2F54" w:rsidP="005A2F54">
      <w:pPr>
        <w:pStyle w:val="NoSpacing"/>
        <w:numPr>
          <w:ilvl w:val="0"/>
          <w:numId w:val="14"/>
        </w:numPr>
      </w:pPr>
      <w:bookmarkStart w:id="12" w:name="_Hlk501195008"/>
      <w:r w:rsidRPr="000C4180">
        <w:t xml:space="preserve">Kulakov, N. Yu. and Kastro, A.B. 2015. Evaluation of Nonconventional Projects: GIRR and GERR vs. MIRR, </w:t>
      </w:r>
      <w:r w:rsidRPr="000C4180">
        <w:rPr>
          <w:i/>
        </w:rPr>
        <w:t>The Engineering Economist</w:t>
      </w:r>
      <w:r w:rsidRPr="000C4180">
        <w:t>, 00:1–14.</w:t>
      </w:r>
    </w:p>
    <w:bookmarkEnd w:id="12"/>
    <w:p w14:paraId="2ABE696B" w14:textId="46B7F188" w:rsidR="005A2F54" w:rsidRPr="000C4180" w:rsidRDefault="005A2F54" w:rsidP="005A2F54">
      <w:pPr>
        <w:pStyle w:val="Heading1"/>
        <w:numPr>
          <w:ilvl w:val="0"/>
          <w:numId w:val="14"/>
        </w:numPr>
        <w:spacing w:before="0" w:after="0"/>
        <w:rPr>
          <w:rStyle w:val="Hyperlink"/>
          <w:b w:val="0"/>
          <w:sz w:val="22"/>
          <w:szCs w:val="22"/>
        </w:rPr>
      </w:pPr>
      <w:r w:rsidRPr="000C4180">
        <w:rPr>
          <w:b w:val="0"/>
          <w:sz w:val="22"/>
          <w:szCs w:val="22"/>
        </w:rPr>
        <w:t xml:space="preserve">Kyd, C. 2017, </w:t>
      </w:r>
      <w:r w:rsidRPr="000C4180">
        <w:rPr>
          <w:b w:val="0"/>
          <w:bCs/>
          <w:color w:val="222222"/>
          <w:sz w:val="22"/>
          <w:szCs w:val="22"/>
        </w:rPr>
        <w:t xml:space="preserve">How Excel's MIRR Function Can Fix the IRR Function, Accessed on 8 July 2017, </w:t>
      </w:r>
      <w:hyperlink r:id="rId19" w:history="1">
        <w:r w:rsidRPr="000C4180">
          <w:rPr>
            <w:rStyle w:val="Hyperlink"/>
            <w:b w:val="0"/>
            <w:sz w:val="22"/>
            <w:szCs w:val="22"/>
          </w:rPr>
          <w:t>http://www.exceluser.com/formulas/irr.htm</w:t>
        </w:r>
      </w:hyperlink>
    </w:p>
    <w:p w14:paraId="65DF0516" w14:textId="09DBECB0" w:rsidR="005A2F54" w:rsidRPr="000C4180" w:rsidRDefault="005A2F54" w:rsidP="005A2F54">
      <w:pPr>
        <w:pStyle w:val="NoSpacing"/>
        <w:numPr>
          <w:ilvl w:val="0"/>
          <w:numId w:val="14"/>
        </w:numPr>
        <w:rPr>
          <w:bCs/>
          <w:color w:val="000000"/>
        </w:rPr>
      </w:pPr>
      <w:r w:rsidRPr="000C4180">
        <w:rPr>
          <w:bCs/>
          <w:color w:val="000000"/>
        </w:rPr>
        <w:t>Lohmann, J.R. 1988. “The IRR, NPV and the Fallacy of the Reinvestment Rate Assumptions,” The Engineering Economist, Vol. 33, No. 4, pp. 303– 330.</w:t>
      </w:r>
    </w:p>
    <w:p w14:paraId="37D30751" w14:textId="7508BBAB" w:rsidR="005A2F54" w:rsidRPr="000C4180" w:rsidRDefault="005A2F54" w:rsidP="005A2F54">
      <w:pPr>
        <w:pStyle w:val="NoSpacing"/>
        <w:numPr>
          <w:ilvl w:val="0"/>
          <w:numId w:val="14"/>
        </w:numPr>
      </w:pPr>
      <w:r w:rsidRPr="000C4180">
        <w:t>Lorie, J.H. and Savage, L.J. (1955) Three problems in rationing capital. The Journal of Business, 28(4), 229–239</w:t>
      </w:r>
    </w:p>
    <w:p w14:paraId="35CC7E9A" w14:textId="0B80FADF" w:rsidR="005A2F54" w:rsidRPr="000C4180" w:rsidRDefault="005A2F54" w:rsidP="005A2F54">
      <w:pPr>
        <w:pStyle w:val="NoSpacing"/>
        <w:numPr>
          <w:ilvl w:val="0"/>
          <w:numId w:val="14"/>
        </w:numPr>
      </w:pPr>
      <w:r w:rsidRPr="000C4180">
        <w:t>Mackie, Peter; Nellthorp, John; Laird, James. 2005. Notes on the Economic Evaluation of Transport Projects: Fiscal Impacts. Transport Notes Series; No. TRN 8. World Bank, Washington, DC. Https://openknowledge.worldbank.org/handle/10986/11794 License: CC BY 3.0 Unported.”</w:t>
      </w:r>
    </w:p>
    <w:p w14:paraId="01219B10" w14:textId="192DC877" w:rsidR="005A2F54" w:rsidRPr="000C4180" w:rsidRDefault="005A2F54" w:rsidP="005A2F54">
      <w:pPr>
        <w:pStyle w:val="NoSpacing"/>
        <w:numPr>
          <w:ilvl w:val="0"/>
          <w:numId w:val="14"/>
        </w:numPr>
      </w:pPr>
      <w:r w:rsidRPr="000C4180">
        <w:t xml:space="preserve">Magni C.A. 2010. Average Internal Rate of Return and Investment Decisions: A New Perspective. </w:t>
      </w:r>
      <w:r w:rsidRPr="000C4180">
        <w:rPr>
          <w:i/>
        </w:rPr>
        <w:t>The Engineering Economist</w:t>
      </w:r>
      <w:r w:rsidRPr="000C4180">
        <w:t xml:space="preserve">, 55(2), 150-180”. </w:t>
      </w:r>
    </w:p>
    <w:p w14:paraId="01466260" w14:textId="4998C3F0" w:rsidR="005A2F54" w:rsidRPr="000C4180" w:rsidRDefault="005A2F54" w:rsidP="005A2F54">
      <w:pPr>
        <w:pStyle w:val="NoSpacing"/>
        <w:numPr>
          <w:ilvl w:val="0"/>
          <w:numId w:val="14"/>
        </w:numPr>
        <w:rPr>
          <w:bCs/>
          <w:color w:val="000000"/>
        </w:rPr>
      </w:pPr>
      <w:r w:rsidRPr="000C4180">
        <w:rPr>
          <w:bCs/>
          <w:color w:val="000000"/>
        </w:rPr>
        <w:t>Moshe Ben-Horin &amp; Yoram Kroll (2012): The Limited Relevance of the Multiple IRRs, The Engineering Economist, 7:2, 101-118.</w:t>
      </w:r>
    </w:p>
    <w:p w14:paraId="04389AC7" w14:textId="765BC829" w:rsidR="005A2F54" w:rsidRPr="000C4180" w:rsidRDefault="005A2F54" w:rsidP="005A2F54">
      <w:pPr>
        <w:pStyle w:val="NoSpacing"/>
        <w:numPr>
          <w:ilvl w:val="0"/>
          <w:numId w:val="14"/>
        </w:numPr>
      </w:pPr>
      <w:bookmarkStart w:id="13" w:name="_Hlk483805898"/>
      <w:r w:rsidRPr="000C4180">
        <w:t xml:space="preserve">Ng, E and Beruvides, M.G. 2014. </w:t>
      </w:r>
      <w:bookmarkEnd w:id="13"/>
      <w:r w:rsidRPr="000C4180">
        <w:t>Multiple internal rate of return revisited:  frequency of occurrences. The Engineering Economist, 59, 1–13.</w:t>
      </w:r>
    </w:p>
    <w:p w14:paraId="0A966F1E" w14:textId="4D792897" w:rsidR="005A2F54" w:rsidRPr="000C4180" w:rsidRDefault="005A2F54" w:rsidP="005A2F54">
      <w:pPr>
        <w:pStyle w:val="NoSpacing"/>
        <w:numPr>
          <w:ilvl w:val="0"/>
          <w:numId w:val="14"/>
        </w:numPr>
        <w:rPr>
          <w:color w:val="222222"/>
        </w:rPr>
      </w:pPr>
      <w:r w:rsidRPr="000C4180">
        <w:t xml:space="preserve">Norstrom, C.J. 1972. A Sufficient Condition for a Unique Nonnegative Internal Rate of Return, </w:t>
      </w:r>
      <w:r w:rsidRPr="000C4180">
        <w:rPr>
          <w:rStyle w:val="HTMLCite"/>
          <w:color w:val="222222"/>
        </w:rPr>
        <w:t>The Journal of Financial and Quantitative Analysis</w:t>
      </w:r>
      <w:r w:rsidRPr="000C4180">
        <w:rPr>
          <w:color w:val="222222"/>
        </w:rPr>
        <w:t xml:space="preserve">, Vol. 7, No. 3, pp. 1835-1839 </w:t>
      </w:r>
    </w:p>
    <w:p w14:paraId="48317A2E" w14:textId="591D005A" w:rsidR="005A2F54" w:rsidRPr="000C4180" w:rsidRDefault="005A2F54" w:rsidP="005A2F54">
      <w:pPr>
        <w:pStyle w:val="ListParagraph"/>
        <w:numPr>
          <w:ilvl w:val="0"/>
          <w:numId w:val="14"/>
        </w:numPr>
        <w:spacing w:line="360" w:lineRule="auto"/>
        <w:jc w:val="both"/>
        <w:rPr>
          <w:sz w:val="22"/>
          <w:szCs w:val="22"/>
        </w:rPr>
      </w:pPr>
      <w:bookmarkStart w:id="14" w:name="_Hlk484710411"/>
      <w:r w:rsidRPr="000C4180">
        <w:rPr>
          <w:sz w:val="22"/>
          <w:szCs w:val="22"/>
        </w:rPr>
        <w:t>Osborne, M. 2010, A resolution to the NPV-IRR debate? Quarterly Review of Economics and Finance, 50 (2). Pp. 234-239. ISSN 10629769.</w:t>
      </w:r>
    </w:p>
    <w:p w14:paraId="2D2924DE" w14:textId="40F5EC81" w:rsidR="005A2F54" w:rsidRPr="000C4180" w:rsidRDefault="005A2F54" w:rsidP="005A2F54">
      <w:pPr>
        <w:pStyle w:val="ListParagraph"/>
        <w:numPr>
          <w:ilvl w:val="0"/>
          <w:numId w:val="14"/>
        </w:numPr>
        <w:spacing w:line="360" w:lineRule="auto"/>
        <w:jc w:val="both"/>
        <w:rPr>
          <w:sz w:val="22"/>
          <w:szCs w:val="22"/>
        </w:rPr>
      </w:pPr>
      <w:r w:rsidRPr="000C4180">
        <w:rPr>
          <w:sz w:val="22"/>
          <w:szCs w:val="22"/>
        </w:rPr>
        <w:t>Osborne, M. 2011, On the meaning of internal rates of return, SSRN Id: 1634819.</w:t>
      </w:r>
    </w:p>
    <w:bookmarkEnd w:id="14"/>
    <w:p w14:paraId="1E781BDD" w14:textId="3A2BFEE8" w:rsidR="005A2F54" w:rsidRPr="000C4180" w:rsidRDefault="005A2F54" w:rsidP="005A2F54">
      <w:pPr>
        <w:pStyle w:val="NoSpacing"/>
        <w:numPr>
          <w:ilvl w:val="0"/>
          <w:numId w:val="14"/>
        </w:numPr>
      </w:pPr>
      <w:r w:rsidRPr="000C4180">
        <w:t>S. Ross, S., Westerfield, R. and Jordan, B. 2013. Fundamentals of Corporate Finance, New York, The McGraw-Hill, Irwin, p.290.</w:t>
      </w:r>
    </w:p>
    <w:p w14:paraId="00D19E25" w14:textId="41F11B68" w:rsidR="005A2F54" w:rsidRPr="000C4180" w:rsidRDefault="005A2F54" w:rsidP="005A2F54">
      <w:pPr>
        <w:pStyle w:val="NoSpacing"/>
        <w:numPr>
          <w:ilvl w:val="0"/>
          <w:numId w:val="14"/>
        </w:numPr>
      </w:pPr>
      <w:r w:rsidRPr="000C4180">
        <w:t xml:space="preserve">Schmidt, R. 2015. How to Use the Modified Internal Rate of Return (MIRR), propertymetrics, </w:t>
      </w:r>
      <w:hyperlink r:id="rId20" w:history="1">
        <w:r w:rsidRPr="000C4180">
          <w:rPr>
            <w:rStyle w:val="Hyperlink"/>
          </w:rPr>
          <w:t>https://www.propertymetrics.com/blog/2015/10/28/how-to-use-the-modified-internal-rate-of-return-mirr/</w:t>
        </w:r>
      </w:hyperlink>
    </w:p>
    <w:p w14:paraId="04AC8F0B" w14:textId="38A621AF" w:rsidR="005A2F54" w:rsidRPr="000C4180" w:rsidRDefault="005A2F54" w:rsidP="005A2F54">
      <w:pPr>
        <w:pStyle w:val="NoSpacing"/>
        <w:numPr>
          <w:ilvl w:val="0"/>
          <w:numId w:val="14"/>
        </w:numPr>
        <w:rPr>
          <w:bCs/>
          <w:color w:val="000000"/>
        </w:rPr>
      </w:pPr>
      <w:r w:rsidRPr="000C4180">
        <w:rPr>
          <w:bCs/>
          <w:color w:val="000000"/>
        </w:rPr>
        <w:t>Simon, B. 2006. Principles of Finance with Excel, Oxford University Press, New York.</w:t>
      </w:r>
    </w:p>
    <w:p w14:paraId="6AF842CE" w14:textId="05C51A7C" w:rsidR="005A2F54" w:rsidRPr="000C4180" w:rsidRDefault="005A2F54" w:rsidP="005A2F54">
      <w:pPr>
        <w:pStyle w:val="NoSpacing"/>
        <w:numPr>
          <w:ilvl w:val="0"/>
          <w:numId w:val="14"/>
        </w:numPr>
        <w:rPr>
          <w:bCs/>
          <w:color w:val="000000"/>
        </w:rPr>
      </w:pPr>
      <w:r w:rsidRPr="000C4180">
        <w:rPr>
          <w:bCs/>
          <w:color w:val="000000"/>
        </w:rPr>
        <w:t xml:space="preserve">Teichroew, D., Robichek, A.A. and Montalbano, M. 1965b. “Mathematical Analysis of Rates of Return under Certainty,” Management Science, Vol. 11, pp. 395–403. </w:t>
      </w:r>
    </w:p>
    <w:p w14:paraId="5127CBCF" w14:textId="677273FC" w:rsidR="005A2F54" w:rsidRPr="000C4180" w:rsidRDefault="005A2F54" w:rsidP="005A2F54">
      <w:pPr>
        <w:pStyle w:val="NoSpacing"/>
        <w:numPr>
          <w:ilvl w:val="0"/>
          <w:numId w:val="14"/>
        </w:numPr>
        <w:rPr>
          <w:bCs/>
          <w:color w:val="000000"/>
        </w:rPr>
      </w:pPr>
      <w:bookmarkStart w:id="15" w:name="_Hlk488285819"/>
      <w:r w:rsidRPr="000C4180">
        <w:rPr>
          <w:bCs/>
          <w:color w:val="000000"/>
        </w:rPr>
        <w:lastRenderedPageBreak/>
        <w:t>Teichroew</w:t>
      </w:r>
      <w:bookmarkEnd w:id="15"/>
      <w:r w:rsidRPr="000C4180">
        <w:rPr>
          <w:bCs/>
          <w:color w:val="000000"/>
        </w:rPr>
        <w:t xml:space="preserve">, D., Robichek, A.A. and Montalbano, M. 1965a. An Analysis of Criteria for Investment and Financing Decisions under Certainty, Management Science, Vol. 12, pp. 151–179. </w:t>
      </w:r>
    </w:p>
    <w:p w14:paraId="7EC29F3C" w14:textId="6F8D77ED" w:rsidR="005A2F54" w:rsidRPr="000C4180" w:rsidRDefault="005A2F54" w:rsidP="005A2F54">
      <w:pPr>
        <w:pStyle w:val="NoSpacing"/>
        <w:numPr>
          <w:ilvl w:val="0"/>
          <w:numId w:val="14"/>
        </w:numPr>
        <w:rPr>
          <w:bCs/>
          <w:color w:val="000000"/>
        </w:rPr>
      </w:pPr>
      <w:r w:rsidRPr="000C4180">
        <w:rPr>
          <w:bCs/>
          <w:color w:val="000000"/>
        </w:rPr>
        <w:t>Weber, T. A. 2014. On the (Non-)Equivalence of IRR and NPV, Journal of Mathematical Economics, Vol. 52, pp. 25--39, 2014.</w:t>
      </w:r>
    </w:p>
    <w:p w14:paraId="0B63B53D" w14:textId="77777777" w:rsidR="005A2F54" w:rsidRPr="000C4180" w:rsidRDefault="005A2F54" w:rsidP="005A2F54">
      <w:pPr>
        <w:pStyle w:val="NoSpacing"/>
        <w:rPr>
          <w:bCs/>
          <w:color w:val="000000"/>
        </w:rPr>
      </w:pPr>
    </w:p>
    <w:p w14:paraId="0B2CA321" w14:textId="77777777" w:rsidR="005A2F54" w:rsidRPr="000C4180" w:rsidRDefault="005A2F54" w:rsidP="005A2F54">
      <w:pPr>
        <w:pStyle w:val="NoSpacing"/>
      </w:pPr>
    </w:p>
    <w:p w14:paraId="4A7AE4C8" w14:textId="77777777" w:rsidR="005A2F54" w:rsidRPr="000C4180" w:rsidRDefault="005A2F54" w:rsidP="005A2F54">
      <w:pPr>
        <w:pStyle w:val="NoSpacing"/>
      </w:pPr>
    </w:p>
    <w:p w14:paraId="67A7A48C" w14:textId="77777777" w:rsidR="005A2F54" w:rsidRPr="000C4180" w:rsidRDefault="005A2F54" w:rsidP="005A2F54">
      <w:pPr>
        <w:pStyle w:val="NoSpacing"/>
      </w:pPr>
    </w:p>
    <w:p w14:paraId="25606B2C" w14:textId="77777777" w:rsidR="005A2F54" w:rsidRPr="000C4180" w:rsidRDefault="005A2F54" w:rsidP="005A2F54">
      <w:pPr>
        <w:pStyle w:val="NoSpacing"/>
      </w:pPr>
    </w:p>
    <w:bookmarkEnd w:id="1"/>
    <w:p w14:paraId="7EFC486E" w14:textId="77777777" w:rsidR="005A2F54" w:rsidRPr="000C4180" w:rsidRDefault="005A2F54" w:rsidP="005A2F54">
      <w:pPr>
        <w:pStyle w:val="NoSpacing"/>
      </w:pPr>
    </w:p>
    <w:sectPr w:rsidR="005A2F54" w:rsidRPr="000C4180" w:rsidSect="00F9087B">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C720" w14:textId="77777777" w:rsidR="00DA2DE6" w:rsidRDefault="00DA2DE6" w:rsidP="002A36B2">
      <w:r>
        <w:separator/>
      </w:r>
    </w:p>
  </w:endnote>
  <w:endnote w:type="continuationSeparator" w:id="0">
    <w:p w14:paraId="6817778C" w14:textId="77777777" w:rsidR="00DA2DE6" w:rsidRDefault="00DA2DE6" w:rsidP="002A36B2">
      <w:r>
        <w:continuationSeparator/>
      </w:r>
    </w:p>
  </w:endnote>
  <w:endnote w:type="continuationNotice" w:id="1">
    <w:p w14:paraId="553654E9" w14:textId="77777777" w:rsidR="00DA2DE6" w:rsidRDefault="00DA2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19065"/>
      <w:docPartObj>
        <w:docPartGallery w:val="Page Numbers (Bottom of Page)"/>
        <w:docPartUnique/>
      </w:docPartObj>
    </w:sdtPr>
    <w:sdtEndPr>
      <w:rPr>
        <w:noProof/>
      </w:rPr>
    </w:sdtEndPr>
    <w:sdtContent>
      <w:p w14:paraId="3347242F" w14:textId="0A941077" w:rsidR="0000505C" w:rsidRDefault="000050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186CF" w14:textId="77777777" w:rsidR="0000505C" w:rsidRDefault="0000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3F1A" w14:textId="77777777" w:rsidR="00DA2DE6" w:rsidRDefault="00DA2DE6" w:rsidP="002A36B2">
      <w:r>
        <w:separator/>
      </w:r>
    </w:p>
  </w:footnote>
  <w:footnote w:type="continuationSeparator" w:id="0">
    <w:p w14:paraId="776472A2" w14:textId="77777777" w:rsidR="00DA2DE6" w:rsidRDefault="00DA2DE6" w:rsidP="002A36B2">
      <w:r>
        <w:continuationSeparator/>
      </w:r>
    </w:p>
  </w:footnote>
  <w:footnote w:type="continuationNotice" w:id="1">
    <w:p w14:paraId="756489A9" w14:textId="77777777" w:rsidR="00DA2DE6" w:rsidRDefault="00DA2DE6"/>
  </w:footnote>
  <w:footnote w:id="2">
    <w:p w14:paraId="7D688DA1" w14:textId="77777777" w:rsidR="0000505C" w:rsidRPr="00847EA3" w:rsidRDefault="0000505C" w:rsidP="00255E34">
      <w:pPr>
        <w:pStyle w:val="FootnoteText"/>
        <w:rPr>
          <w:sz w:val="18"/>
          <w:szCs w:val="18"/>
        </w:rPr>
      </w:pPr>
      <w:r w:rsidRPr="00847EA3">
        <w:rPr>
          <w:rStyle w:val="FootnoteReference"/>
          <w:sz w:val="18"/>
          <w:szCs w:val="18"/>
        </w:rPr>
        <w:footnoteRef/>
      </w:r>
      <w:r w:rsidRPr="00847EA3">
        <w:rPr>
          <w:sz w:val="18"/>
          <w:szCs w:val="18"/>
        </w:rPr>
        <w:t xml:space="preserve">   Copyright © 2017 Kannapiran Chinna Arjunan. All rights reserved. Readers may make verbatim copies of this document for non-commercial purposes by any means, provided this copyright notice appears on all such copies.</w:t>
      </w:r>
    </w:p>
  </w:footnote>
  <w:footnote w:id="3">
    <w:p w14:paraId="2F0E52CC" w14:textId="77777777" w:rsidR="0000505C" w:rsidRPr="00847EA3" w:rsidRDefault="0000505C">
      <w:pPr>
        <w:pStyle w:val="FootnoteText"/>
        <w:rPr>
          <w:sz w:val="18"/>
          <w:szCs w:val="18"/>
        </w:rPr>
      </w:pPr>
      <w:r w:rsidRPr="00847EA3">
        <w:rPr>
          <w:rStyle w:val="FootnoteReference"/>
          <w:sz w:val="18"/>
          <w:szCs w:val="18"/>
        </w:rPr>
        <w:footnoteRef/>
      </w:r>
      <w:r w:rsidRPr="00847EA3">
        <w:rPr>
          <w:sz w:val="18"/>
          <w:szCs w:val="18"/>
        </w:rPr>
        <w:t xml:space="preserve"> The opinions expressed in this article are those of the author(s) based on private research, and they do not reflect in any way those of the institutions to which the author(s) is affiliated.</w:t>
      </w:r>
    </w:p>
  </w:footnote>
  <w:footnote w:id="4">
    <w:p w14:paraId="538B38F2" w14:textId="77777777" w:rsidR="0000505C" w:rsidRPr="00B81D74" w:rsidRDefault="0000505C" w:rsidP="007634B1">
      <w:pPr>
        <w:pStyle w:val="FootnoteText"/>
        <w:jc w:val="both"/>
        <w:rPr>
          <w:sz w:val="18"/>
          <w:szCs w:val="18"/>
        </w:rPr>
      </w:pPr>
      <w:r w:rsidRPr="00B81D74">
        <w:rPr>
          <w:rStyle w:val="FootnoteReference"/>
          <w:sz w:val="18"/>
          <w:szCs w:val="18"/>
        </w:rPr>
        <w:footnoteRef/>
      </w:r>
      <w:r w:rsidRPr="00B81D74">
        <w:rPr>
          <w:sz w:val="18"/>
          <w:szCs w:val="18"/>
        </w:rPr>
        <w:t xml:space="preserve"> Normal Net cash flow (NCF) change signs only once. It starts with negative cash flows during the first year or first few years (investment years) followed by only positive NCFs for all the subsequent years.  Non-normal NCF changes signs more than once with </w:t>
      </w:r>
      <w:r>
        <w:rPr>
          <w:sz w:val="18"/>
          <w:szCs w:val="18"/>
        </w:rPr>
        <w:t>negative intermediate cashflows.</w:t>
      </w:r>
    </w:p>
  </w:footnote>
  <w:footnote w:id="5">
    <w:p w14:paraId="1F1477C7" w14:textId="12C69D45" w:rsidR="0000505C" w:rsidRDefault="0000505C">
      <w:pPr>
        <w:pStyle w:val="FootnoteText"/>
      </w:pPr>
      <w:r>
        <w:rPr>
          <w:rStyle w:val="FootnoteReference"/>
        </w:rPr>
        <w:footnoteRef/>
      </w:r>
      <w:r>
        <w:t xml:space="preserve"> </w:t>
      </w:r>
      <w:r w:rsidRPr="0012692E">
        <w:rPr>
          <w:sz w:val="18"/>
          <w:szCs w:val="18"/>
          <w:lang w:val="en-AU"/>
        </w:rPr>
        <w:t xml:space="preserve">NCF-consistent means that </w:t>
      </w:r>
      <w:r>
        <w:rPr>
          <w:sz w:val="18"/>
          <w:szCs w:val="18"/>
          <w:lang w:val="en-AU"/>
        </w:rPr>
        <w:t xml:space="preserve">the rate of return fully utilizes the NCF or </w:t>
      </w:r>
      <w:r w:rsidRPr="0012692E">
        <w:rPr>
          <w:sz w:val="18"/>
          <w:szCs w:val="18"/>
          <w:lang w:val="en-AU"/>
        </w:rPr>
        <w:t xml:space="preserve">the NCF is just enough to support </w:t>
      </w:r>
      <w:r>
        <w:rPr>
          <w:sz w:val="18"/>
          <w:szCs w:val="18"/>
          <w:lang w:val="en-AU"/>
        </w:rPr>
        <w:t>that</w:t>
      </w:r>
      <w:r w:rsidRPr="0012692E">
        <w:rPr>
          <w:sz w:val="18"/>
          <w:szCs w:val="18"/>
          <w:lang w:val="en-AU"/>
        </w:rPr>
        <w:t xml:space="preserve"> rate of return (NCF = 0 at that return).</w:t>
      </w:r>
      <w:r>
        <w:rPr>
          <w:sz w:val="18"/>
          <w:szCs w:val="18"/>
          <w:lang w:val="en-AU"/>
        </w:rPr>
        <w:t xml:space="preserve"> </w:t>
      </w:r>
    </w:p>
  </w:footnote>
  <w:footnote w:id="6">
    <w:p w14:paraId="6F43DB4A" w14:textId="77777777" w:rsidR="0000505C" w:rsidRPr="009109B3" w:rsidRDefault="0000505C" w:rsidP="00110508">
      <w:pPr>
        <w:pStyle w:val="FootnoteText"/>
        <w:rPr>
          <w:sz w:val="18"/>
          <w:szCs w:val="18"/>
        </w:rPr>
      </w:pPr>
      <w:r w:rsidRPr="009109B3">
        <w:rPr>
          <w:rStyle w:val="FootnoteReference"/>
          <w:sz w:val="18"/>
          <w:szCs w:val="18"/>
        </w:rPr>
        <w:footnoteRef/>
      </w:r>
      <w:r w:rsidRPr="009109B3">
        <w:rPr>
          <w:sz w:val="18"/>
          <w:szCs w:val="18"/>
        </w:rPr>
        <w:t xml:space="preserve"> There is no IRR or NPV method. Both IRR and NPV are estimated by DCF or CAS methods. IRR and NPV are, inter-related, estimates and if one is wrong the other must be wrong too.</w:t>
      </w:r>
    </w:p>
  </w:footnote>
  <w:footnote w:id="7">
    <w:p w14:paraId="1940A976" w14:textId="77777777" w:rsidR="0000505C" w:rsidRDefault="0000505C">
      <w:pPr>
        <w:pStyle w:val="FootnoteText"/>
      </w:pPr>
      <w:r w:rsidRPr="009109B3">
        <w:rPr>
          <w:rStyle w:val="FootnoteReference"/>
          <w:sz w:val="18"/>
          <w:szCs w:val="18"/>
        </w:rPr>
        <w:footnoteRef/>
      </w:r>
      <w:r w:rsidRPr="009109B3">
        <w:rPr>
          <w:sz w:val="18"/>
          <w:szCs w:val="18"/>
        </w:rPr>
        <w:t xml:space="preserve"> Financial institutions do credit interest on credit balances in some form of loan accounts or alternatively transfer the credit balance to the customers’ other interest-bearing account.</w:t>
      </w:r>
    </w:p>
  </w:footnote>
  <w:footnote w:id="8">
    <w:p w14:paraId="1EFFCF3B" w14:textId="77777777" w:rsidR="0000505C" w:rsidRDefault="0000505C" w:rsidP="005A2F54">
      <w:pPr>
        <w:pStyle w:val="FootnoteText"/>
      </w:pPr>
      <w:r>
        <w:rPr>
          <w:rStyle w:val="FootnoteReference"/>
        </w:rPr>
        <w:footnoteRef/>
      </w:r>
      <w:r>
        <w:t xml:space="preserve"> </w:t>
      </w:r>
      <w:r w:rsidRPr="001B3A55">
        <w:rPr>
          <w:sz w:val="18"/>
          <w:szCs w:val="18"/>
        </w:rPr>
        <w:t>Estimated IRR and NPV by DCF or CAS method perfectly match and therefore throughout this paper DCF or CAS or DCF/CAS refers to the same method.</w:t>
      </w:r>
      <w:r>
        <w:t xml:space="preserve">  </w:t>
      </w:r>
    </w:p>
  </w:footnote>
  <w:footnote w:id="9">
    <w:p w14:paraId="56BDC327" w14:textId="77777777" w:rsidR="0000505C" w:rsidRDefault="0000505C" w:rsidP="005A5551">
      <w:pPr>
        <w:pStyle w:val="FootnoteText"/>
      </w:pPr>
      <w:r w:rsidRPr="0004675E">
        <w:rPr>
          <w:rStyle w:val="FootnoteReference"/>
        </w:rPr>
        <w:footnoteRef/>
      </w:r>
      <w:r w:rsidRPr="0004675E">
        <w:t xml:space="preserve"> </w:t>
      </w:r>
      <w:r w:rsidRPr="0004675E">
        <w:rPr>
          <w:sz w:val="18"/>
          <w:szCs w:val="18"/>
        </w:rPr>
        <w:t>N. Kulakov (personal communication by email dated 18 July 2017) communicated, after a review of this paper, that “for the project considered by Solomon: -1600, 10000, -10000, IRR1=25%, IRR2=400%, GIRR (0%)= -100%, GIRR (23%) = 16.9%, GIRR (25%)=25%, GIRR (27.7%)=35.6%. Accordingly, -100% is the GIRR that is “the highest interest rate resulting in a zero balance”. MCAS estimate exactly identified -100% as the unique IRR and not multiple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88E"/>
    <w:multiLevelType w:val="hybridMultilevel"/>
    <w:tmpl w:val="09EE73C2"/>
    <w:lvl w:ilvl="0" w:tplc="F04AF184">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44A58"/>
    <w:multiLevelType w:val="hybridMultilevel"/>
    <w:tmpl w:val="B5A86418"/>
    <w:lvl w:ilvl="0" w:tplc="8A2E799A">
      <w:start w:val="1"/>
      <w:numFmt w:val="lowerLetter"/>
      <w:lvlText w:val="%1."/>
      <w:lvlJc w:val="left"/>
      <w:pPr>
        <w:ind w:left="648" w:hanging="360"/>
      </w:pPr>
      <w:rPr>
        <w:rFonts w:ascii="Times New Roman" w:eastAsiaTheme="minorHAnsi" w:hAnsi="Times New Roman" w:cs="Times New Roman"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BE21D6C"/>
    <w:multiLevelType w:val="hybridMultilevel"/>
    <w:tmpl w:val="C4568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82F6F"/>
    <w:multiLevelType w:val="hybridMultilevel"/>
    <w:tmpl w:val="EDDEDB0E"/>
    <w:lvl w:ilvl="0" w:tplc="0C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82CEA"/>
    <w:multiLevelType w:val="multilevel"/>
    <w:tmpl w:val="7AA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645DC"/>
    <w:multiLevelType w:val="hybridMultilevel"/>
    <w:tmpl w:val="9FCCBFCA"/>
    <w:lvl w:ilvl="0" w:tplc="196A3FF6">
      <w:start w:val="1"/>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26A43"/>
    <w:multiLevelType w:val="hybridMultilevel"/>
    <w:tmpl w:val="E590656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737250"/>
    <w:multiLevelType w:val="hybridMultilevel"/>
    <w:tmpl w:val="564C337C"/>
    <w:lvl w:ilvl="0" w:tplc="0C090019">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8" w15:restartNumberingAfterBreak="0">
    <w:nsid w:val="1D602347"/>
    <w:multiLevelType w:val="hybridMultilevel"/>
    <w:tmpl w:val="E71A87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0E34BE"/>
    <w:multiLevelType w:val="hybridMultilevel"/>
    <w:tmpl w:val="4B2C37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136BE"/>
    <w:multiLevelType w:val="hybridMultilevel"/>
    <w:tmpl w:val="87D2F9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FC70D2"/>
    <w:multiLevelType w:val="hybridMultilevel"/>
    <w:tmpl w:val="07DE0EB0"/>
    <w:lvl w:ilvl="0" w:tplc="F04AF184">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50B10"/>
    <w:multiLevelType w:val="hybridMultilevel"/>
    <w:tmpl w:val="EE4A39B8"/>
    <w:lvl w:ilvl="0" w:tplc="0DB2DC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4861"/>
    <w:multiLevelType w:val="hybridMultilevel"/>
    <w:tmpl w:val="F752A24E"/>
    <w:lvl w:ilvl="0" w:tplc="0C090013">
      <w:start w:val="1"/>
      <w:numFmt w:val="upperRoman"/>
      <w:lvlText w:val="%1."/>
      <w:lvlJc w:val="righ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685515"/>
    <w:multiLevelType w:val="hybridMultilevel"/>
    <w:tmpl w:val="5588B7B4"/>
    <w:lvl w:ilvl="0" w:tplc="56068282">
      <w:start w:val="16"/>
      <w:numFmt w:val="bullet"/>
      <w:lvlText w:val=""/>
      <w:lvlJc w:val="left"/>
      <w:pPr>
        <w:ind w:left="468" w:hanging="360"/>
      </w:pPr>
      <w:rPr>
        <w:rFonts w:ascii="Symbol" w:eastAsiaTheme="minorHAnsi"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352625B7"/>
    <w:multiLevelType w:val="hybridMultilevel"/>
    <w:tmpl w:val="47C24612"/>
    <w:lvl w:ilvl="0" w:tplc="F04AF184">
      <w:start w:val="1"/>
      <w:numFmt w:val="lowerLetter"/>
      <w:lvlText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E6AD1"/>
    <w:multiLevelType w:val="hybridMultilevel"/>
    <w:tmpl w:val="6186B9EA"/>
    <w:lvl w:ilvl="0" w:tplc="9DE4AFC4">
      <w:start w:val="1"/>
      <w:numFmt w:val="lowerRoman"/>
      <w:lvlText w:val="%1."/>
      <w:lvlJc w:val="righ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C7227D"/>
    <w:multiLevelType w:val="hybridMultilevel"/>
    <w:tmpl w:val="A3F69D82"/>
    <w:lvl w:ilvl="0" w:tplc="0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3470C"/>
    <w:multiLevelType w:val="hybridMultilevel"/>
    <w:tmpl w:val="C680B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793EFB"/>
    <w:multiLevelType w:val="hybridMultilevel"/>
    <w:tmpl w:val="0D0AA4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8923C5"/>
    <w:multiLevelType w:val="hybridMultilevel"/>
    <w:tmpl w:val="068A5A6E"/>
    <w:lvl w:ilvl="0" w:tplc="DD42CD1A">
      <w:start w:val="16"/>
      <w:numFmt w:val="bullet"/>
      <w:lvlText w:val=""/>
      <w:lvlJc w:val="left"/>
      <w:pPr>
        <w:ind w:left="1188" w:hanging="360"/>
      </w:pPr>
      <w:rPr>
        <w:rFonts w:ascii="Symbol" w:eastAsiaTheme="minorHAnsi" w:hAnsi="Symbol"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1" w15:restartNumberingAfterBreak="0">
    <w:nsid w:val="461143DE"/>
    <w:multiLevelType w:val="hybridMultilevel"/>
    <w:tmpl w:val="9D5EC09E"/>
    <w:lvl w:ilvl="0" w:tplc="0DB2DC46">
      <w:start w:val="1"/>
      <w:numFmt w:val="bullet"/>
      <w:lvlText w:val="-"/>
      <w:lvlJc w:val="left"/>
      <w:pPr>
        <w:ind w:left="936" w:hanging="360"/>
      </w:pPr>
      <w:rPr>
        <w:rFonts w:ascii="Times New Roman" w:eastAsiaTheme="minorHAnsi" w:hAnsi="Times New Roman" w:cs="Times New Roman" w:hint="default"/>
      </w:rPr>
    </w:lvl>
    <w:lvl w:ilvl="1" w:tplc="0C090003">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2" w15:restartNumberingAfterBreak="0">
    <w:nsid w:val="479F6015"/>
    <w:multiLevelType w:val="hybridMultilevel"/>
    <w:tmpl w:val="2E2EEE10"/>
    <w:lvl w:ilvl="0" w:tplc="3C4A2CBA">
      <w:start w:val="16"/>
      <w:numFmt w:val="bullet"/>
      <w:lvlText w:val=""/>
      <w:lvlJc w:val="left"/>
      <w:pPr>
        <w:ind w:left="828" w:hanging="360"/>
      </w:pPr>
      <w:rPr>
        <w:rFonts w:ascii="Symbol" w:eastAsiaTheme="minorHAnsi"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4A3E6A90"/>
    <w:multiLevelType w:val="hybridMultilevel"/>
    <w:tmpl w:val="BAAAB66E"/>
    <w:lvl w:ilvl="0" w:tplc="0C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87600"/>
    <w:multiLevelType w:val="hybridMultilevel"/>
    <w:tmpl w:val="3474D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E2D3D"/>
    <w:multiLevelType w:val="hybridMultilevel"/>
    <w:tmpl w:val="4DF4E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03452"/>
    <w:multiLevelType w:val="hybridMultilevel"/>
    <w:tmpl w:val="B8C4AF30"/>
    <w:lvl w:ilvl="0" w:tplc="F04AF184">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0F205C"/>
    <w:multiLevelType w:val="hybridMultilevel"/>
    <w:tmpl w:val="728AB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DE7AD6"/>
    <w:multiLevelType w:val="hybridMultilevel"/>
    <w:tmpl w:val="67EE9444"/>
    <w:lvl w:ilvl="0" w:tplc="8A2E799A">
      <w:start w:val="1"/>
      <w:numFmt w:val="lowerLetter"/>
      <w:lvlText w:val="%1."/>
      <w:lvlJc w:val="left"/>
      <w:pPr>
        <w:ind w:left="360" w:hanging="360"/>
      </w:pPr>
      <w:rPr>
        <w:rFonts w:ascii="Times New Roman" w:eastAsiaTheme="minorHAnsi" w:hAnsi="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B80624"/>
    <w:multiLevelType w:val="hybridMultilevel"/>
    <w:tmpl w:val="6566810C"/>
    <w:lvl w:ilvl="0" w:tplc="F04AF184">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D285C"/>
    <w:multiLevelType w:val="hybridMultilevel"/>
    <w:tmpl w:val="CAF0E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64C07"/>
    <w:multiLevelType w:val="hybridMultilevel"/>
    <w:tmpl w:val="3CD411F6"/>
    <w:lvl w:ilvl="0" w:tplc="766EFEA8">
      <w:start w:val="1"/>
      <w:numFmt w:val="lowerLetter"/>
      <w:lvlText w:val="%1."/>
      <w:lvlJc w:val="left"/>
      <w:pPr>
        <w:ind w:left="840" w:hanging="48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8A1B36"/>
    <w:multiLevelType w:val="hybridMultilevel"/>
    <w:tmpl w:val="44D0551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822FC6"/>
    <w:multiLevelType w:val="hybridMultilevel"/>
    <w:tmpl w:val="02140D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F302F4"/>
    <w:multiLevelType w:val="hybridMultilevel"/>
    <w:tmpl w:val="E78EFAB0"/>
    <w:lvl w:ilvl="0" w:tplc="0DB2DC46">
      <w:start w:val="1"/>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AA4373"/>
    <w:multiLevelType w:val="hybridMultilevel"/>
    <w:tmpl w:val="C930AE1A"/>
    <w:lvl w:ilvl="0" w:tplc="0409000F">
      <w:start w:val="1"/>
      <w:numFmt w:val="decimal"/>
      <w:lvlText w:val="%1."/>
      <w:lvlJc w:val="left"/>
      <w:pPr>
        <w:ind w:left="360" w:hanging="360"/>
      </w:pPr>
      <w:rPr>
        <w:color w:val="auto"/>
      </w:rPr>
    </w:lvl>
    <w:lvl w:ilvl="1" w:tplc="6A8A8B8C">
      <w:start w:val="1"/>
      <w:numFmt w:val="upp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F831181"/>
    <w:multiLevelType w:val="hybridMultilevel"/>
    <w:tmpl w:val="D8467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7"/>
  </w:num>
  <w:num w:numId="4">
    <w:abstractNumId w:val="2"/>
  </w:num>
  <w:num w:numId="5">
    <w:abstractNumId w:val="8"/>
  </w:num>
  <w:num w:numId="6">
    <w:abstractNumId w:val="30"/>
  </w:num>
  <w:num w:numId="7">
    <w:abstractNumId w:val="12"/>
  </w:num>
  <w:num w:numId="8">
    <w:abstractNumId w:val="0"/>
  </w:num>
  <w:num w:numId="9">
    <w:abstractNumId w:val="29"/>
  </w:num>
  <w:num w:numId="10">
    <w:abstractNumId w:val="24"/>
  </w:num>
  <w:num w:numId="11">
    <w:abstractNumId w:val="33"/>
  </w:num>
  <w:num w:numId="12">
    <w:abstractNumId w:val="15"/>
  </w:num>
  <w:num w:numId="13">
    <w:abstractNumId w:val="25"/>
  </w:num>
  <w:num w:numId="14">
    <w:abstractNumId w:val="35"/>
  </w:num>
  <w:num w:numId="15">
    <w:abstractNumId w:val="14"/>
  </w:num>
  <w:num w:numId="16">
    <w:abstractNumId w:val="36"/>
  </w:num>
  <w:num w:numId="17">
    <w:abstractNumId w:val="22"/>
  </w:num>
  <w:num w:numId="18">
    <w:abstractNumId w:val="20"/>
  </w:num>
  <w:num w:numId="19">
    <w:abstractNumId w:val="4"/>
  </w:num>
  <w:num w:numId="20">
    <w:abstractNumId w:val="5"/>
  </w:num>
  <w:num w:numId="21">
    <w:abstractNumId w:val="7"/>
  </w:num>
  <w:num w:numId="22">
    <w:abstractNumId w:val="19"/>
  </w:num>
  <w:num w:numId="23">
    <w:abstractNumId w:val="6"/>
  </w:num>
  <w:num w:numId="24">
    <w:abstractNumId w:val="18"/>
  </w:num>
  <w:num w:numId="25">
    <w:abstractNumId w:val="10"/>
  </w:num>
  <w:num w:numId="26">
    <w:abstractNumId w:val="23"/>
  </w:num>
  <w:num w:numId="27">
    <w:abstractNumId w:val="17"/>
  </w:num>
  <w:num w:numId="28">
    <w:abstractNumId w:val="28"/>
  </w:num>
  <w:num w:numId="29">
    <w:abstractNumId w:val="31"/>
  </w:num>
  <w:num w:numId="30">
    <w:abstractNumId w:val="9"/>
  </w:num>
  <w:num w:numId="31">
    <w:abstractNumId w:val="21"/>
  </w:num>
  <w:num w:numId="32">
    <w:abstractNumId w:val="32"/>
  </w:num>
  <w:num w:numId="33">
    <w:abstractNumId w:val="13"/>
  </w:num>
  <w:num w:numId="34">
    <w:abstractNumId w:val="16"/>
  </w:num>
  <w:num w:numId="35">
    <w:abstractNumId w:val="3"/>
  </w:num>
  <w:num w:numId="36">
    <w:abstractNumId w:val="34"/>
  </w:num>
  <w:num w:numId="3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0F"/>
    <w:rsid w:val="00000D22"/>
    <w:rsid w:val="00002528"/>
    <w:rsid w:val="0000505C"/>
    <w:rsid w:val="000106B5"/>
    <w:rsid w:val="00010CB4"/>
    <w:rsid w:val="00014374"/>
    <w:rsid w:val="00020162"/>
    <w:rsid w:val="000204DD"/>
    <w:rsid w:val="00024311"/>
    <w:rsid w:val="00031540"/>
    <w:rsid w:val="00035ED7"/>
    <w:rsid w:val="00041B4E"/>
    <w:rsid w:val="0004323E"/>
    <w:rsid w:val="0004623C"/>
    <w:rsid w:val="00046374"/>
    <w:rsid w:val="00046383"/>
    <w:rsid w:val="0004675E"/>
    <w:rsid w:val="00050B93"/>
    <w:rsid w:val="00051586"/>
    <w:rsid w:val="00053A0E"/>
    <w:rsid w:val="00060227"/>
    <w:rsid w:val="000621D9"/>
    <w:rsid w:val="00064432"/>
    <w:rsid w:val="000649A5"/>
    <w:rsid w:val="000742A4"/>
    <w:rsid w:val="00075992"/>
    <w:rsid w:val="0007652B"/>
    <w:rsid w:val="0007670B"/>
    <w:rsid w:val="000819B2"/>
    <w:rsid w:val="00083391"/>
    <w:rsid w:val="0009311B"/>
    <w:rsid w:val="0009495D"/>
    <w:rsid w:val="00094971"/>
    <w:rsid w:val="00097798"/>
    <w:rsid w:val="000A1119"/>
    <w:rsid w:val="000A4881"/>
    <w:rsid w:val="000A6BD6"/>
    <w:rsid w:val="000A6DF1"/>
    <w:rsid w:val="000B34B0"/>
    <w:rsid w:val="000B442C"/>
    <w:rsid w:val="000B5F08"/>
    <w:rsid w:val="000C2BA8"/>
    <w:rsid w:val="000C4180"/>
    <w:rsid w:val="000C427E"/>
    <w:rsid w:val="000D0384"/>
    <w:rsid w:val="000D204C"/>
    <w:rsid w:val="000D2620"/>
    <w:rsid w:val="000D2EE2"/>
    <w:rsid w:val="000D48DF"/>
    <w:rsid w:val="000E147D"/>
    <w:rsid w:val="000E327B"/>
    <w:rsid w:val="000E44B6"/>
    <w:rsid w:val="000E7381"/>
    <w:rsid w:val="000E776A"/>
    <w:rsid w:val="000F0260"/>
    <w:rsid w:val="000F0F68"/>
    <w:rsid w:val="000F3055"/>
    <w:rsid w:val="000F79F7"/>
    <w:rsid w:val="00101352"/>
    <w:rsid w:val="00101A47"/>
    <w:rsid w:val="00102CC2"/>
    <w:rsid w:val="00102E33"/>
    <w:rsid w:val="0010494A"/>
    <w:rsid w:val="00110508"/>
    <w:rsid w:val="001119BB"/>
    <w:rsid w:val="00114FA4"/>
    <w:rsid w:val="00115349"/>
    <w:rsid w:val="00115566"/>
    <w:rsid w:val="00117046"/>
    <w:rsid w:val="001202B2"/>
    <w:rsid w:val="00121A01"/>
    <w:rsid w:val="00123590"/>
    <w:rsid w:val="00123637"/>
    <w:rsid w:val="00127293"/>
    <w:rsid w:val="001309DC"/>
    <w:rsid w:val="00131E6C"/>
    <w:rsid w:val="00144D97"/>
    <w:rsid w:val="00145664"/>
    <w:rsid w:val="0015422B"/>
    <w:rsid w:val="001543BF"/>
    <w:rsid w:val="00154DAC"/>
    <w:rsid w:val="00161466"/>
    <w:rsid w:val="00163146"/>
    <w:rsid w:val="0016379B"/>
    <w:rsid w:val="0016455C"/>
    <w:rsid w:val="00172329"/>
    <w:rsid w:val="00173BE9"/>
    <w:rsid w:val="001747F6"/>
    <w:rsid w:val="00175BA5"/>
    <w:rsid w:val="00175F1E"/>
    <w:rsid w:val="00177FFA"/>
    <w:rsid w:val="00182307"/>
    <w:rsid w:val="00190871"/>
    <w:rsid w:val="001939A1"/>
    <w:rsid w:val="001A5081"/>
    <w:rsid w:val="001A5AD3"/>
    <w:rsid w:val="001A5FC8"/>
    <w:rsid w:val="001A70FD"/>
    <w:rsid w:val="001B06A4"/>
    <w:rsid w:val="001B0F83"/>
    <w:rsid w:val="001B12B8"/>
    <w:rsid w:val="001B30B1"/>
    <w:rsid w:val="001B3A55"/>
    <w:rsid w:val="001B45D5"/>
    <w:rsid w:val="001B574A"/>
    <w:rsid w:val="001B6C9F"/>
    <w:rsid w:val="001B76EE"/>
    <w:rsid w:val="001C395F"/>
    <w:rsid w:val="001C52E5"/>
    <w:rsid w:val="001C547B"/>
    <w:rsid w:val="001C6F82"/>
    <w:rsid w:val="001D1CE5"/>
    <w:rsid w:val="001D243F"/>
    <w:rsid w:val="001D703A"/>
    <w:rsid w:val="001E0AA3"/>
    <w:rsid w:val="001E0E68"/>
    <w:rsid w:val="001F3D07"/>
    <w:rsid w:val="001F455B"/>
    <w:rsid w:val="001F6A4F"/>
    <w:rsid w:val="0020283F"/>
    <w:rsid w:val="00205E19"/>
    <w:rsid w:val="00205E1D"/>
    <w:rsid w:val="002072EE"/>
    <w:rsid w:val="00211313"/>
    <w:rsid w:val="00211B05"/>
    <w:rsid w:val="00213EF0"/>
    <w:rsid w:val="00220466"/>
    <w:rsid w:val="00221D34"/>
    <w:rsid w:val="00222997"/>
    <w:rsid w:val="00222E05"/>
    <w:rsid w:val="00224D05"/>
    <w:rsid w:val="00224D99"/>
    <w:rsid w:val="00230B83"/>
    <w:rsid w:val="00230F4C"/>
    <w:rsid w:val="002310B3"/>
    <w:rsid w:val="00231715"/>
    <w:rsid w:val="00232EBF"/>
    <w:rsid w:val="00236115"/>
    <w:rsid w:val="00237184"/>
    <w:rsid w:val="00240DD7"/>
    <w:rsid w:val="00241964"/>
    <w:rsid w:val="002423F9"/>
    <w:rsid w:val="0024286A"/>
    <w:rsid w:val="002429E8"/>
    <w:rsid w:val="00246146"/>
    <w:rsid w:val="00250B6B"/>
    <w:rsid w:val="0025466F"/>
    <w:rsid w:val="00255B1E"/>
    <w:rsid w:val="00255E34"/>
    <w:rsid w:val="002567A0"/>
    <w:rsid w:val="00260BB6"/>
    <w:rsid w:val="002616CF"/>
    <w:rsid w:val="00263116"/>
    <w:rsid w:val="00263803"/>
    <w:rsid w:val="002640C2"/>
    <w:rsid w:val="002673BF"/>
    <w:rsid w:val="00276C6E"/>
    <w:rsid w:val="00277D31"/>
    <w:rsid w:val="00277EE2"/>
    <w:rsid w:val="0028095D"/>
    <w:rsid w:val="0028211A"/>
    <w:rsid w:val="00283B97"/>
    <w:rsid w:val="002869DA"/>
    <w:rsid w:val="002902A3"/>
    <w:rsid w:val="002905DC"/>
    <w:rsid w:val="0029066F"/>
    <w:rsid w:val="00291500"/>
    <w:rsid w:val="00295A16"/>
    <w:rsid w:val="002A0774"/>
    <w:rsid w:val="002A1022"/>
    <w:rsid w:val="002A31AD"/>
    <w:rsid w:val="002A36B2"/>
    <w:rsid w:val="002A642D"/>
    <w:rsid w:val="002A72C1"/>
    <w:rsid w:val="002A787E"/>
    <w:rsid w:val="002B2E67"/>
    <w:rsid w:val="002B4750"/>
    <w:rsid w:val="002B6CC6"/>
    <w:rsid w:val="002C0135"/>
    <w:rsid w:val="002C035D"/>
    <w:rsid w:val="002C187B"/>
    <w:rsid w:val="002C6EDE"/>
    <w:rsid w:val="002D0791"/>
    <w:rsid w:val="002D415F"/>
    <w:rsid w:val="002D6D79"/>
    <w:rsid w:val="002E1543"/>
    <w:rsid w:val="002E1DFE"/>
    <w:rsid w:val="002E2FC7"/>
    <w:rsid w:val="002F1EDD"/>
    <w:rsid w:val="002F2018"/>
    <w:rsid w:val="002F2E69"/>
    <w:rsid w:val="002F389D"/>
    <w:rsid w:val="002F462C"/>
    <w:rsid w:val="0030232E"/>
    <w:rsid w:val="0030309B"/>
    <w:rsid w:val="00303731"/>
    <w:rsid w:val="00306E52"/>
    <w:rsid w:val="0031079E"/>
    <w:rsid w:val="003122ED"/>
    <w:rsid w:val="00321D4E"/>
    <w:rsid w:val="00324C51"/>
    <w:rsid w:val="00325750"/>
    <w:rsid w:val="00327AA4"/>
    <w:rsid w:val="00330535"/>
    <w:rsid w:val="00330E7C"/>
    <w:rsid w:val="003354F6"/>
    <w:rsid w:val="00335B2F"/>
    <w:rsid w:val="00335BCC"/>
    <w:rsid w:val="00342D0E"/>
    <w:rsid w:val="00344513"/>
    <w:rsid w:val="00344D73"/>
    <w:rsid w:val="003457A1"/>
    <w:rsid w:val="00351513"/>
    <w:rsid w:val="00351D43"/>
    <w:rsid w:val="003524C3"/>
    <w:rsid w:val="00353BCC"/>
    <w:rsid w:val="00360D4C"/>
    <w:rsid w:val="00363C0F"/>
    <w:rsid w:val="00365572"/>
    <w:rsid w:val="0037182F"/>
    <w:rsid w:val="00375B81"/>
    <w:rsid w:val="00381767"/>
    <w:rsid w:val="00384545"/>
    <w:rsid w:val="00385106"/>
    <w:rsid w:val="003879FE"/>
    <w:rsid w:val="00391300"/>
    <w:rsid w:val="003921F4"/>
    <w:rsid w:val="00394422"/>
    <w:rsid w:val="00395C78"/>
    <w:rsid w:val="00396683"/>
    <w:rsid w:val="00396D9F"/>
    <w:rsid w:val="00396E5F"/>
    <w:rsid w:val="003974E0"/>
    <w:rsid w:val="003A43F5"/>
    <w:rsid w:val="003A5EFE"/>
    <w:rsid w:val="003A6D2A"/>
    <w:rsid w:val="003C4338"/>
    <w:rsid w:val="003C7FCE"/>
    <w:rsid w:val="003D34DF"/>
    <w:rsid w:val="003D63C3"/>
    <w:rsid w:val="003D67FE"/>
    <w:rsid w:val="003D7DF3"/>
    <w:rsid w:val="003E038C"/>
    <w:rsid w:val="003E20EE"/>
    <w:rsid w:val="003E7937"/>
    <w:rsid w:val="003F0031"/>
    <w:rsid w:val="003F0417"/>
    <w:rsid w:val="003F1F1F"/>
    <w:rsid w:val="003F2E85"/>
    <w:rsid w:val="003F5926"/>
    <w:rsid w:val="003F6700"/>
    <w:rsid w:val="003F6E49"/>
    <w:rsid w:val="003F7D4D"/>
    <w:rsid w:val="00401DA6"/>
    <w:rsid w:val="0040350A"/>
    <w:rsid w:val="00405B73"/>
    <w:rsid w:val="00407F14"/>
    <w:rsid w:val="00411243"/>
    <w:rsid w:val="00414E70"/>
    <w:rsid w:val="00417008"/>
    <w:rsid w:val="004177F9"/>
    <w:rsid w:val="00417942"/>
    <w:rsid w:val="00423D08"/>
    <w:rsid w:val="00426E3C"/>
    <w:rsid w:val="0043202B"/>
    <w:rsid w:val="00433100"/>
    <w:rsid w:val="004334E9"/>
    <w:rsid w:val="00435854"/>
    <w:rsid w:val="00441BDA"/>
    <w:rsid w:val="004435D1"/>
    <w:rsid w:val="00445435"/>
    <w:rsid w:val="00445E21"/>
    <w:rsid w:val="00446BD8"/>
    <w:rsid w:val="00451469"/>
    <w:rsid w:val="0045250A"/>
    <w:rsid w:val="00453D64"/>
    <w:rsid w:val="00456E6F"/>
    <w:rsid w:val="0046159F"/>
    <w:rsid w:val="0046190C"/>
    <w:rsid w:val="00461ED7"/>
    <w:rsid w:val="00463E31"/>
    <w:rsid w:val="0046549C"/>
    <w:rsid w:val="004663F8"/>
    <w:rsid w:val="00475B42"/>
    <w:rsid w:val="004760B4"/>
    <w:rsid w:val="004777EE"/>
    <w:rsid w:val="00485B28"/>
    <w:rsid w:val="00486D32"/>
    <w:rsid w:val="00491E10"/>
    <w:rsid w:val="004A1599"/>
    <w:rsid w:val="004A3590"/>
    <w:rsid w:val="004A3F4A"/>
    <w:rsid w:val="004A46C5"/>
    <w:rsid w:val="004A7940"/>
    <w:rsid w:val="004A7BFA"/>
    <w:rsid w:val="004B37FB"/>
    <w:rsid w:val="004B6869"/>
    <w:rsid w:val="004C374F"/>
    <w:rsid w:val="004C513E"/>
    <w:rsid w:val="004D04FC"/>
    <w:rsid w:val="004D10DD"/>
    <w:rsid w:val="004D1405"/>
    <w:rsid w:val="004D1528"/>
    <w:rsid w:val="004D3519"/>
    <w:rsid w:val="004D4322"/>
    <w:rsid w:val="004D544E"/>
    <w:rsid w:val="004D54DB"/>
    <w:rsid w:val="004E03D9"/>
    <w:rsid w:val="004E28F9"/>
    <w:rsid w:val="004E3DE5"/>
    <w:rsid w:val="004E5968"/>
    <w:rsid w:val="004F0E2F"/>
    <w:rsid w:val="00500E0D"/>
    <w:rsid w:val="0050173B"/>
    <w:rsid w:val="00503948"/>
    <w:rsid w:val="005040FC"/>
    <w:rsid w:val="00506E92"/>
    <w:rsid w:val="00510F15"/>
    <w:rsid w:val="00511063"/>
    <w:rsid w:val="00514489"/>
    <w:rsid w:val="005156DA"/>
    <w:rsid w:val="00515C34"/>
    <w:rsid w:val="0052183B"/>
    <w:rsid w:val="005235D1"/>
    <w:rsid w:val="005273A7"/>
    <w:rsid w:val="00530BA8"/>
    <w:rsid w:val="00530E85"/>
    <w:rsid w:val="00533601"/>
    <w:rsid w:val="00540EF0"/>
    <w:rsid w:val="0054171F"/>
    <w:rsid w:val="005427D7"/>
    <w:rsid w:val="005444AD"/>
    <w:rsid w:val="00547360"/>
    <w:rsid w:val="005475D9"/>
    <w:rsid w:val="00547C10"/>
    <w:rsid w:val="00550FA9"/>
    <w:rsid w:val="00553F9C"/>
    <w:rsid w:val="00556E62"/>
    <w:rsid w:val="00557000"/>
    <w:rsid w:val="00557081"/>
    <w:rsid w:val="0055725A"/>
    <w:rsid w:val="00560287"/>
    <w:rsid w:val="00561E5E"/>
    <w:rsid w:val="005631FC"/>
    <w:rsid w:val="00563223"/>
    <w:rsid w:val="005635B5"/>
    <w:rsid w:val="005646B7"/>
    <w:rsid w:val="00566AF4"/>
    <w:rsid w:val="00570D51"/>
    <w:rsid w:val="00572693"/>
    <w:rsid w:val="00574A4D"/>
    <w:rsid w:val="00574B98"/>
    <w:rsid w:val="005752AD"/>
    <w:rsid w:val="00576AC3"/>
    <w:rsid w:val="005778BE"/>
    <w:rsid w:val="00580184"/>
    <w:rsid w:val="005802A7"/>
    <w:rsid w:val="00580FAF"/>
    <w:rsid w:val="00582A4E"/>
    <w:rsid w:val="005838B2"/>
    <w:rsid w:val="005871D6"/>
    <w:rsid w:val="00587CC3"/>
    <w:rsid w:val="00596D9B"/>
    <w:rsid w:val="005A0D10"/>
    <w:rsid w:val="005A2D97"/>
    <w:rsid w:val="005A2F54"/>
    <w:rsid w:val="005A54D1"/>
    <w:rsid w:val="005A5551"/>
    <w:rsid w:val="005A78AF"/>
    <w:rsid w:val="005B0550"/>
    <w:rsid w:val="005B342C"/>
    <w:rsid w:val="005B6342"/>
    <w:rsid w:val="005B73C2"/>
    <w:rsid w:val="005C1B75"/>
    <w:rsid w:val="005C4655"/>
    <w:rsid w:val="005C7AC8"/>
    <w:rsid w:val="005D43C6"/>
    <w:rsid w:val="005D49CA"/>
    <w:rsid w:val="005D7522"/>
    <w:rsid w:val="005E031E"/>
    <w:rsid w:val="005E376D"/>
    <w:rsid w:val="005E63B8"/>
    <w:rsid w:val="005E6720"/>
    <w:rsid w:val="005E71E7"/>
    <w:rsid w:val="005F4E4B"/>
    <w:rsid w:val="00600683"/>
    <w:rsid w:val="00601D2D"/>
    <w:rsid w:val="006064CE"/>
    <w:rsid w:val="0060679D"/>
    <w:rsid w:val="00606E81"/>
    <w:rsid w:val="006126D2"/>
    <w:rsid w:val="00612A21"/>
    <w:rsid w:val="006143CB"/>
    <w:rsid w:val="006155E0"/>
    <w:rsid w:val="0061566B"/>
    <w:rsid w:val="00615C9E"/>
    <w:rsid w:val="006160D6"/>
    <w:rsid w:val="00620716"/>
    <w:rsid w:val="00621B4C"/>
    <w:rsid w:val="00622E9C"/>
    <w:rsid w:val="0062507A"/>
    <w:rsid w:val="00625749"/>
    <w:rsid w:val="00626502"/>
    <w:rsid w:val="0062718E"/>
    <w:rsid w:val="00633772"/>
    <w:rsid w:val="00634B7F"/>
    <w:rsid w:val="006411FF"/>
    <w:rsid w:val="006414FC"/>
    <w:rsid w:val="00645AF6"/>
    <w:rsid w:val="00646A53"/>
    <w:rsid w:val="006526A4"/>
    <w:rsid w:val="006529FF"/>
    <w:rsid w:val="00652C07"/>
    <w:rsid w:val="00655D1C"/>
    <w:rsid w:val="00662B85"/>
    <w:rsid w:val="0066389C"/>
    <w:rsid w:val="00667D6B"/>
    <w:rsid w:val="006719EB"/>
    <w:rsid w:val="0067589D"/>
    <w:rsid w:val="006831FC"/>
    <w:rsid w:val="00684835"/>
    <w:rsid w:val="00685C8B"/>
    <w:rsid w:val="0068664F"/>
    <w:rsid w:val="0068744A"/>
    <w:rsid w:val="006903C1"/>
    <w:rsid w:val="00696373"/>
    <w:rsid w:val="00696430"/>
    <w:rsid w:val="006A40CD"/>
    <w:rsid w:val="006A4555"/>
    <w:rsid w:val="006A4B10"/>
    <w:rsid w:val="006A4CE7"/>
    <w:rsid w:val="006A5AE9"/>
    <w:rsid w:val="006B25C1"/>
    <w:rsid w:val="006B3638"/>
    <w:rsid w:val="006B39B1"/>
    <w:rsid w:val="006B3B9C"/>
    <w:rsid w:val="006B53DD"/>
    <w:rsid w:val="006B736F"/>
    <w:rsid w:val="006C5F5B"/>
    <w:rsid w:val="006C6849"/>
    <w:rsid w:val="006D4793"/>
    <w:rsid w:val="006D545F"/>
    <w:rsid w:val="006D71D2"/>
    <w:rsid w:val="006E68DC"/>
    <w:rsid w:val="006F0DF7"/>
    <w:rsid w:val="006F1C81"/>
    <w:rsid w:val="006F3CEF"/>
    <w:rsid w:val="006F3F35"/>
    <w:rsid w:val="006F46C3"/>
    <w:rsid w:val="006F4869"/>
    <w:rsid w:val="006F4C19"/>
    <w:rsid w:val="0070583C"/>
    <w:rsid w:val="00706646"/>
    <w:rsid w:val="00706DAA"/>
    <w:rsid w:val="0071103A"/>
    <w:rsid w:val="0071177E"/>
    <w:rsid w:val="007119F3"/>
    <w:rsid w:val="007120BD"/>
    <w:rsid w:val="00712BCD"/>
    <w:rsid w:val="007135D9"/>
    <w:rsid w:val="00717E6D"/>
    <w:rsid w:val="00720629"/>
    <w:rsid w:val="0072254F"/>
    <w:rsid w:val="00722712"/>
    <w:rsid w:val="0072388A"/>
    <w:rsid w:val="00724537"/>
    <w:rsid w:val="00733EF4"/>
    <w:rsid w:val="00736534"/>
    <w:rsid w:val="007403FE"/>
    <w:rsid w:val="0075112F"/>
    <w:rsid w:val="00752BEE"/>
    <w:rsid w:val="00756DCC"/>
    <w:rsid w:val="00760CA8"/>
    <w:rsid w:val="007614FF"/>
    <w:rsid w:val="007634B1"/>
    <w:rsid w:val="00764728"/>
    <w:rsid w:val="0076650D"/>
    <w:rsid w:val="00771192"/>
    <w:rsid w:val="007723D1"/>
    <w:rsid w:val="0077253C"/>
    <w:rsid w:val="00772569"/>
    <w:rsid w:val="00774A9C"/>
    <w:rsid w:val="00782DE2"/>
    <w:rsid w:val="00783548"/>
    <w:rsid w:val="00785347"/>
    <w:rsid w:val="00787B7C"/>
    <w:rsid w:val="007905E7"/>
    <w:rsid w:val="00793358"/>
    <w:rsid w:val="00795760"/>
    <w:rsid w:val="00795E52"/>
    <w:rsid w:val="00795FEB"/>
    <w:rsid w:val="007A2EC9"/>
    <w:rsid w:val="007A31B3"/>
    <w:rsid w:val="007A36AC"/>
    <w:rsid w:val="007C1A63"/>
    <w:rsid w:val="007C1CBB"/>
    <w:rsid w:val="007C294D"/>
    <w:rsid w:val="007C3A5F"/>
    <w:rsid w:val="007C5653"/>
    <w:rsid w:val="007D32F3"/>
    <w:rsid w:val="007D440F"/>
    <w:rsid w:val="007D50DF"/>
    <w:rsid w:val="007D7B23"/>
    <w:rsid w:val="007E2894"/>
    <w:rsid w:val="007E65BA"/>
    <w:rsid w:val="007F090E"/>
    <w:rsid w:val="007F1B5E"/>
    <w:rsid w:val="007F5813"/>
    <w:rsid w:val="00802E23"/>
    <w:rsid w:val="00803281"/>
    <w:rsid w:val="00805B89"/>
    <w:rsid w:val="008107FD"/>
    <w:rsid w:val="00817199"/>
    <w:rsid w:val="008177E3"/>
    <w:rsid w:val="00817FB7"/>
    <w:rsid w:val="00824394"/>
    <w:rsid w:val="00825B0B"/>
    <w:rsid w:val="00825B99"/>
    <w:rsid w:val="008269B3"/>
    <w:rsid w:val="00826A26"/>
    <w:rsid w:val="008279D2"/>
    <w:rsid w:val="00830E05"/>
    <w:rsid w:val="00830E95"/>
    <w:rsid w:val="00833863"/>
    <w:rsid w:val="008342AC"/>
    <w:rsid w:val="008425D3"/>
    <w:rsid w:val="00844A18"/>
    <w:rsid w:val="0084502E"/>
    <w:rsid w:val="00845C89"/>
    <w:rsid w:val="00847175"/>
    <w:rsid w:val="00847B03"/>
    <w:rsid w:val="00847EA3"/>
    <w:rsid w:val="00852188"/>
    <w:rsid w:val="00852CDA"/>
    <w:rsid w:val="0085429E"/>
    <w:rsid w:val="008565E3"/>
    <w:rsid w:val="00857F4D"/>
    <w:rsid w:val="008602D0"/>
    <w:rsid w:val="00862812"/>
    <w:rsid w:val="00862856"/>
    <w:rsid w:val="00871765"/>
    <w:rsid w:val="0087198B"/>
    <w:rsid w:val="00877856"/>
    <w:rsid w:val="00877E70"/>
    <w:rsid w:val="00880991"/>
    <w:rsid w:val="008826DC"/>
    <w:rsid w:val="00883BB4"/>
    <w:rsid w:val="00884229"/>
    <w:rsid w:val="00887448"/>
    <w:rsid w:val="00892137"/>
    <w:rsid w:val="00893639"/>
    <w:rsid w:val="00893D46"/>
    <w:rsid w:val="00894343"/>
    <w:rsid w:val="00895767"/>
    <w:rsid w:val="008A0A58"/>
    <w:rsid w:val="008A1E9F"/>
    <w:rsid w:val="008A21C6"/>
    <w:rsid w:val="008A321C"/>
    <w:rsid w:val="008B04A8"/>
    <w:rsid w:val="008B125E"/>
    <w:rsid w:val="008B195B"/>
    <w:rsid w:val="008B3FFD"/>
    <w:rsid w:val="008B5E3A"/>
    <w:rsid w:val="008B60B0"/>
    <w:rsid w:val="008B788D"/>
    <w:rsid w:val="008C008B"/>
    <w:rsid w:val="008C064D"/>
    <w:rsid w:val="008C663E"/>
    <w:rsid w:val="008C70EC"/>
    <w:rsid w:val="008C767F"/>
    <w:rsid w:val="008D1E49"/>
    <w:rsid w:val="008D2075"/>
    <w:rsid w:val="008E7E45"/>
    <w:rsid w:val="008E7F97"/>
    <w:rsid w:val="00902681"/>
    <w:rsid w:val="0090679D"/>
    <w:rsid w:val="009109B3"/>
    <w:rsid w:val="0091117A"/>
    <w:rsid w:val="009116C3"/>
    <w:rsid w:val="00912FD3"/>
    <w:rsid w:val="00916E8F"/>
    <w:rsid w:val="00916EC9"/>
    <w:rsid w:val="009212C2"/>
    <w:rsid w:val="00921AA5"/>
    <w:rsid w:val="00930B9E"/>
    <w:rsid w:val="00931A57"/>
    <w:rsid w:val="00933178"/>
    <w:rsid w:val="00935C14"/>
    <w:rsid w:val="009400B3"/>
    <w:rsid w:val="00940696"/>
    <w:rsid w:val="00941DF8"/>
    <w:rsid w:val="00941EE9"/>
    <w:rsid w:val="009449A6"/>
    <w:rsid w:val="009450B8"/>
    <w:rsid w:val="009479B8"/>
    <w:rsid w:val="00957402"/>
    <w:rsid w:val="009614AB"/>
    <w:rsid w:val="009662AB"/>
    <w:rsid w:val="00966767"/>
    <w:rsid w:val="00970F7B"/>
    <w:rsid w:val="00973AAD"/>
    <w:rsid w:val="00974300"/>
    <w:rsid w:val="00975343"/>
    <w:rsid w:val="009761F4"/>
    <w:rsid w:val="00976664"/>
    <w:rsid w:val="00984542"/>
    <w:rsid w:val="00984DE4"/>
    <w:rsid w:val="009900AB"/>
    <w:rsid w:val="0099012C"/>
    <w:rsid w:val="00990D55"/>
    <w:rsid w:val="009924E2"/>
    <w:rsid w:val="00995DFC"/>
    <w:rsid w:val="00996398"/>
    <w:rsid w:val="009A197A"/>
    <w:rsid w:val="009A2897"/>
    <w:rsid w:val="009A55BC"/>
    <w:rsid w:val="009B048F"/>
    <w:rsid w:val="009B27A8"/>
    <w:rsid w:val="009B2B9A"/>
    <w:rsid w:val="009B388D"/>
    <w:rsid w:val="009B4348"/>
    <w:rsid w:val="009B729C"/>
    <w:rsid w:val="009C1659"/>
    <w:rsid w:val="009C336D"/>
    <w:rsid w:val="009C6943"/>
    <w:rsid w:val="009C747D"/>
    <w:rsid w:val="009D166F"/>
    <w:rsid w:val="009D393F"/>
    <w:rsid w:val="009D4669"/>
    <w:rsid w:val="009D5B1B"/>
    <w:rsid w:val="009D69B8"/>
    <w:rsid w:val="009D6FDA"/>
    <w:rsid w:val="009E2783"/>
    <w:rsid w:val="009E2E22"/>
    <w:rsid w:val="009E2F80"/>
    <w:rsid w:val="009E5FEE"/>
    <w:rsid w:val="009F0C60"/>
    <w:rsid w:val="009F2258"/>
    <w:rsid w:val="009F45EB"/>
    <w:rsid w:val="009F6480"/>
    <w:rsid w:val="00A029D5"/>
    <w:rsid w:val="00A03B17"/>
    <w:rsid w:val="00A10E5A"/>
    <w:rsid w:val="00A133BF"/>
    <w:rsid w:val="00A1396D"/>
    <w:rsid w:val="00A15624"/>
    <w:rsid w:val="00A15A2F"/>
    <w:rsid w:val="00A169E0"/>
    <w:rsid w:val="00A22462"/>
    <w:rsid w:val="00A23D07"/>
    <w:rsid w:val="00A24A40"/>
    <w:rsid w:val="00A256C1"/>
    <w:rsid w:val="00A25EFD"/>
    <w:rsid w:val="00A266CF"/>
    <w:rsid w:val="00A30A15"/>
    <w:rsid w:val="00A3753B"/>
    <w:rsid w:val="00A37C83"/>
    <w:rsid w:val="00A37F80"/>
    <w:rsid w:val="00A41883"/>
    <w:rsid w:val="00A42C3F"/>
    <w:rsid w:val="00A45D73"/>
    <w:rsid w:val="00A51576"/>
    <w:rsid w:val="00A5207C"/>
    <w:rsid w:val="00A5519F"/>
    <w:rsid w:val="00A63583"/>
    <w:rsid w:val="00A63A61"/>
    <w:rsid w:val="00A70BA5"/>
    <w:rsid w:val="00A73F1E"/>
    <w:rsid w:val="00A74335"/>
    <w:rsid w:val="00A74765"/>
    <w:rsid w:val="00A77A0C"/>
    <w:rsid w:val="00A81CDF"/>
    <w:rsid w:val="00A84776"/>
    <w:rsid w:val="00A856FE"/>
    <w:rsid w:val="00A85962"/>
    <w:rsid w:val="00A85BD1"/>
    <w:rsid w:val="00A879AE"/>
    <w:rsid w:val="00A87B17"/>
    <w:rsid w:val="00A9191B"/>
    <w:rsid w:val="00A92845"/>
    <w:rsid w:val="00A939BB"/>
    <w:rsid w:val="00A943B6"/>
    <w:rsid w:val="00A97000"/>
    <w:rsid w:val="00AA09F8"/>
    <w:rsid w:val="00AA3EEE"/>
    <w:rsid w:val="00AA613A"/>
    <w:rsid w:val="00AB323B"/>
    <w:rsid w:val="00AB5F7B"/>
    <w:rsid w:val="00AB6FDF"/>
    <w:rsid w:val="00AB786B"/>
    <w:rsid w:val="00AC44C7"/>
    <w:rsid w:val="00AC7012"/>
    <w:rsid w:val="00AD0DB1"/>
    <w:rsid w:val="00AE2E65"/>
    <w:rsid w:val="00AE515E"/>
    <w:rsid w:val="00AE6621"/>
    <w:rsid w:val="00AF653F"/>
    <w:rsid w:val="00AF66B7"/>
    <w:rsid w:val="00AF6ADF"/>
    <w:rsid w:val="00AF76AB"/>
    <w:rsid w:val="00B030E1"/>
    <w:rsid w:val="00B05971"/>
    <w:rsid w:val="00B061D0"/>
    <w:rsid w:val="00B0637D"/>
    <w:rsid w:val="00B10489"/>
    <w:rsid w:val="00B133D0"/>
    <w:rsid w:val="00B20208"/>
    <w:rsid w:val="00B32582"/>
    <w:rsid w:val="00B3273C"/>
    <w:rsid w:val="00B33316"/>
    <w:rsid w:val="00B33580"/>
    <w:rsid w:val="00B335B6"/>
    <w:rsid w:val="00B355F8"/>
    <w:rsid w:val="00B415ED"/>
    <w:rsid w:val="00B436B6"/>
    <w:rsid w:val="00B5022A"/>
    <w:rsid w:val="00B50DC9"/>
    <w:rsid w:val="00B51581"/>
    <w:rsid w:val="00B5495C"/>
    <w:rsid w:val="00B56963"/>
    <w:rsid w:val="00B631B1"/>
    <w:rsid w:val="00B66C89"/>
    <w:rsid w:val="00B67378"/>
    <w:rsid w:val="00B709B6"/>
    <w:rsid w:val="00B71B41"/>
    <w:rsid w:val="00B77722"/>
    <w:rsid w:val="00B805FD"/>
    <w:rsid w:val="00B81A21"/>
    <w:rsid w:val="00B81D74"/>
    <w:rsid w:val="00B84F4D"/>
    <w:rsid w:val="00B86191"/>
    <w:rsid w:val="00B877B0"/>
    <w:rsid w:val="00B95154"/>
    <w:rsid w:val="00B9519C"/>
    <w:rsid w:val="00B96085"/>
    <w:rsid w:val="00BA0963"/>
    <w:rsid w:val="00BA2C7F"/>
    <w:rsid w:val="00BA2CA4"/>
    <w:rsid w:val="00BA5841"/>
    <w:rsid w:val="00BA6D51"/>
    <w:rsid w:val="00BB041A"/>
    <w:rsid w:val="00BB0E68"/>
    <w:rsid w:val="00BB250B"/>
    <w:rsid w:val="00BB2905"/>
    <w:rsid w:val="00BB38F9"/>
    <w:rsid w:val="00BC1A75"/>
    <w:rsid w:val="00BD202C"/>
    <w:rsid w:val="00BD4B11"/>
    <w:rsid w:val="00BD6AF1"/>
    <w:rsid w:val="00BE0C26"/>
    <w:rsid w:val="00BE26F3"/>
    <w:rsid w:val="00BE3861"/>
    <w:rsid w:val="00BF2708"/>
    <w:rsid w:val="00BF2AD7"/>
    <w:rsid w:val="00BF3B09"/>
    <w:rsid w:val="00BF4991"/>
    <w:rsid w:val="00C0335C"/>
    <w:rsid w:val="00C04BAF"/>
    <w:rsid w:val="00C05FD5"/>
    <w:rsid w:val="00C065A7"/>
    <w:rsid w:val="00C065B6"/>
    <w:rsid w:val="00C07088"/>
    <w:rsid w:val="00C0740F"/>
    <w:rsid w:val="00C11ECB"/>
    <w:rsid w:val="00C12942"/>
    <w:rsid w:val="00C129A1"/>
    <w:rsid w:val="00C15C51"/>
    <w:rsid w:val="00C16619"/>
    <w:rsid w:val="00C17879"/>
    <w:rsid w:val="00C2048E"/>
    <w:rsid w:val="00C21A78"/>
    <w:rsid w:val="00C22012"/>
    <w:rsid w:val="00C220C6"/>
    <w:rsid w:val="00C22D36"/>
    <w:rsid w:val="00C25286"/>
    <w:rsid w:val="00C2724C"/>
    <w:rsid w:val="00C27391"/>
    <w:rsid w:val="00C27F45"/>
    <w:rsid w:val="00C31D54"/>
    <w:rsid w:val="00C33C15"/>
    <w:rsid w:val="00C36760"/>
    <w:rsid w:val="00C379C0"/>
    <w:rsid w:val="00C37E1B"/>
    <w:rsid w:val="00C41061"/>
    <w:rsid w:val="00C41C57"/>
    <w:rsid w:val="00C437BF"/>
    <w:rsid w:val="00C43D96"/>
    <w:rsid w:val="00C44690"/>
    <w:rsid w:val="00C5281B"/>
    <w:rsid w:val="00C52BE3"/>
    <w:rsid w:val="00C54982"/>
    <w:rsid w:val="00C54BE2"/>
    <w:rsid w:val="00C571F8"/>
    <w:rsid w:val="00C6395E"/>
    <w:rsid w:val="00C66BC5"/>
    <w:rsid w:val="00C71382"/>
    <w:rsid w:val="00C73581"/>
    <w:rsid w:val="00C73880"/>
    <w:rsid w:val="00C74997"/>
    <w:rsid w:val="00C77B51"/>
    <w:rsid w:val="00C83062"/>
    <w:rsid w:val="00C84EA7"/>
    <w:rsid w:val="00C85164"/>
    <w:rsid w:val="00C87567"/>
    <w:rsid w:val="00C925E6"/>
    <w:rsid w:val="00C9304C"/>
    <w:rsid w:val="00C957BA"/>
    <w:rsid w:val="00C9672E"/>
    <w:rsid w:val="00C96F3A"/>
    <w:rsid w:val="00CA1EDF"/>
    <w:rsid w:val="00CA23C7"/>
    <w:rsid w:val="00CA500C"/>
    <w:rsid w:val="00CA7390"/>
    <w:rsid w:val="00CA79C5"/>
    <w:rsid w:val="00CB5B7D"/>
    <w:rsid w:val="00CB74AB"/>
    <w:rsid w:val="00CD02CD"/>
    <w:rsid w:val="00CD238F"/>
    <w:rsid w:val="00CD32BE"/>
    <w:rsid w:val="00CE04E0"/>
    <w:rsid w:val="00CE122E"/>
    <w:rsid w:val="00CE2D9B"/>
    <w:rsid w:val="00CE57F4"/>
    <w:rsid w:val="00CE5C36"/>
    <w:rsid w:val="00CE6249"/>
    <w:rsid w:val="00CF0DF7"/>
    <w:rsid w:val="00CF1D58"/>
    <w:rsid w:val="00CF1EF9"/>
    <w:rsid w:val="00CF316F"/>
    <w:rsid w:val="00CF602E"/>
    <w:rsid w:val="00D01962"/>
    <w:rsid w:val="00D02848"/>
    <w:rsid w:val="00D0513A"/>
    <w:rsid w:val="00D05D4F"/>
    <w:rsid w:val="00D1039E"/>
    <w:rsid w:val="00D13844"/>
    <w:rsid w:val="00D15870"/>
    <w:rsid w:val="00D161E4"/>
    <w:rsid w:val="00D20AD5"/>
    <w:rsid w:val="00D22575"/>
    <w:rsid w:val="00D2683E"/>
    <w:rsid w:val="00D27E01"/>
    <w:rsid w:val="00D32F2D"/>
    <w:rsid w:val="00D340D4"/>
    <w:rsid w:val="00D34D6C"/>
    <w:rsid w:val="00D3605B"/>
    <w:rsid w:val="00D43E9C"/>
    <w:rsid w:val="00D465C7"/>
    <w:rsid w:val="00D60983"/>
    <w:rsid w:val="00D6183D"/>
    <w:rsid w:val="00D65A81"/>
    <w:rsid w:val="00D66D3F"/>
    <w:rsid w:val="00D7707E"/>
    <w:rsid w:val="00D7789C"/>
    <w:rsid w:val="00D82FDD"/>
    <w:rsid w:val="00D841A8"/>
    <w:rsid w:val="00D86371"/>
    <w:rsid w:val="00D86AE3"/>
    <w:rsid w:val="00D9048F"/>
    <w:rsid w:val="00D916C9"/>
    <w:rsid w:val="00D91FB0"/>
    <w:rsid w:val="00D92D2B"/>
    <w:rsid w:val="00D95E66"/>
    <w:rsid w:val="00DA2837"/>
    <w:rsid w:val="00DA2DE6"/>
    <w:rsid w:val="00DA42EA"/>
    <w:rsid w:val="00DA4EBB"/>
    <w:rsid w:val="00DA53B5"/>
    <w:rsid w:val="00DA6C02"/>
    <w:rsid w:val="00DA740F"/>
    <w:rsid w:val="00DB2581"/>
    <w:rsid w:val="00DB2C22"/>
    <w:rsid w:val="00DB2EDE"/>
    <w:rsid w:val="00DB32A3"/>
    <w:rsid w:val="00DC1F7C"/>
    <w:rsid w:val="00DC2674"/>
    <w:rsid w:val="00DC5C31"/>
    <w:rsid w:val="00DD0F04"/>
    <w:rsid w:val="00DD3273"/>
    <w:rsid w:val="00DD37AB"/>
    <w:rsid w:val="00DD6BEB"/>
    <w:rsid w:val="00DE1FCE"/>
    <w:rsid w:val="00DE20E2"/>
    <w:rsid w:val="00DE4FB0"/>
    <w:rsid w:val="00DE571E"/>
    <w:rsid w:val="00DF0083"/>
    <w:rsid w:val="00DF07F2"/>
    <w:rsid w:val="00E0029D"/>
    <w:rsid w:val="00E03B6F"/>
    <w:rsid w:val="00E06F12"/>
    <w:rsid w:val="00E078C5"/>
    <w:rsid w:val="00E10FD3"/>
    <w:rsid w:val="00E111D8"/>
    <w:rsid w:val="00E1192C"/>
    <w:rsid w:val="00E121C0"/>
    <w:rsid w:val="00E12FF5"/>
    <w:rsid w:val="00E138BB"/>
    <w:rsid w:val="00E15C4B"/>
    <w:rsid w:val="00E215F0"/>
    <w:rsid w:val="00E21671"/>
    <w:rsid w:val="00E21DCE"/>
    <w:rsid w:val="00E242C9"/>
    <w:rsid w:val="00E279A8"/>
    <w:rsid w:val="00E3033C"/>
    <w:rsid w:val="00E31415"/>
    <w:rsid w:val="00E32026"/>
    <w:rsid w:val="00E32B06"/>
    <w:rsid w:val="00E33186"/>
    <w:rsid w:val="00E44D8E"/>
    <w:rsid w:val="00E53E00"/>
    <w:rsid w:val="00E558DE"/>
    <w:rsid w:val="00E61416"/>
    <w:rsid w:val="00E66AAF"/>
    <w:rsid w:val="00E72E09"/>
    <w:rsid w:val="00E74D9B"/>
    <w:rsid w:val="00E74FFC"/>
    <w:rsid w:val="00E76C1C"/>
    <w:rsid w:val="00E8261D"/>
    <w:rsid w:val="00E840EF"/>
    <w:rsid w:val="00E87134"/>
    <w:rsid w:val="00E87A39"/>
    <w:rsid w:val="00E913AC"/>
    <w:rsid w:val="00E92B31"/>
    <w:rsid w:val="00E9704E"/>
    <w:rsid w:val="00E97450"/>
    <w:rsid w:val="00E978B5"/>
    <w:rsid w:val="00EA3EC1"/>
    <w:rsid w:val="00EA574B"/>
    <w:rsid w:val="00EA6783"/>
    <w:rsid w:val="00EA71E7"/>
    <w:rsid w:val="00EB3EB6"/>
    <w:rsid w:val="00EB44DA"/>
    <w:rsid w:val="00EC0687"/>
    <w:rsid w:val="00EC4DEF"/>
    <w:rsid w:val="00ED17E3"/>
    <w:rsid w:val="00ED17EE"/>
    <w:rsid w:val="00ED3299"/>
    <w:rsid w:val="00ED5662"/>
    <w:rsid w:val="00EE0050"/>
    <w:rsid w:val="00EE32A7"/>
    <w:rsid w:val="00EE36C0"/>
    <w:rsid w:val="00EE4393"/>
    <w:rsid w:val="00EF2FBE"/>
    <w:rsid w:val="00EF3B5F"/>
    <w:rsid w:val="00EF439A"/>
    <w:rsid w:val="00EF6F02"/>
    <w:rsid w:val="00F00B5B"/>
    <w:rsid w:val="00F01BA5"/>
    <w:rsid w:val="00F03655"/>
    <w:rsid w:val="00F065ED"/>
    <w:rsid w:val="00F077A6"/>
    <w:rsid w:val="00F07F00"/>
    <w:rsid w:val="00F1183F"/>
    <w:rsid w:val="00F1626D"/>
    <w:rsid w:val="00F1743E"/>
    <w:rsid w:val="00F22C3B"/>
    <w:rsid w:val="00F23CD2"/>
    <w:rsid w:val="00F24217"/>
    <w:rsid w:val="00F31527"/>
    <w:rsid w:val="00F3329B"/>
    <w:rsid w:val="00F35BFA"/>
    <w:rsid w:val="00F35C21"/>
    <w:rsid w:val="00F4166E"/>
    <w:rsid w:val="00F42201"/>
    <w:rsid w:val="00F506D1"/>
    <w:rsid w:val="00F510C7"/>
    <w:rsid w:val="00F51DFE"/>
    <w:rsid w:val="00F52E27"/>
    <w:rsid w:val="00F6062D"/>
    <w:rsid w:val="00F63B04"/>
    <w:rsid w:val="00F6583E"/>
    <w:rsid w:val="00F67D34"/>
    <w:rsid w:val="00F7325A"/>
    <w:rsid w:val="00F75556"/>
    <w:rsid w:val="00F75EC9"/>
    <w:rsid w:val="00F766F5"/>
    <w:rsid w:val="00F82068"/>
    <w:rsid w:val="00F828B1"/>
    <w:rsid w:val="00F838C6"/>
    <w:rsid w:val="00F86655"/>
    <w:rsid w:val="00F9087B"/>
    <w:rsid w:val="00F925B0"/>
    <w:rsid w:val="00F928CC"/>
    <w:rsid w:val="00F93D67"/>
    <w:rsid w:val="00F94695"/>
    <w:rsid w:val="00F95006"/>
    <w:rsid w:val="00FA1221"/>
    <w:rsid w:val="00FA1E7E"/>
    <w:rsid w:val="00FA33C2"/>
    <w:rsid w:val="00FB3C0B"/>
    <w:rsid w:val="00FB4AB4"/>
    <w:rsid w:val="00FB596D"/>
    <w:rsid w:val="00FB5E84"/>
    <w:rsid w:val="00FB698F"/>
    <w:rsid w:val="00FB73CD"/>
    <w:rsid w:val="00FB7C2B"/>
    <w:rsid w:val="00FC035C"/>
    <w:rsid w:val="00FC2A93"/>
    <w:rsid w:val="00FC3DAC"/>
    <w:rsid w:val="00FC6220"/>
    <w:rsid w:val="00FD4AB8"/>
    <w:rsid w:val="00FE1DF7"/>
    <w:rsid w:val="00FE2816"/>
    <w:rsid w:val="00FE570F"/>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E759"/>
  <w15:docId w15:val="{C16A4E7B-137A-4756-A056-9AD64133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260"/>
    <w:pPr>
      <w:keepNext/>
      <w:keepLines/>
      <w:spacing w:before="120" w:after="240" w:line="360" w:lineRule="auto"/>
      <w:outlineLvl w:val="0"/>
    </w:pPr>
    <w:rPr>
      <w:rFonts w:eastAsiaTheme="majorEastAsia"/>
      <w:b/>
      <w:sz w:val="28"/>
      <w:szCs w:val="32"/>
    </w:rPr>
  </w:style>
  <w:style w:type="paragraph" w:styleId="Heading2">
    <w:name w:val="heading 2"/>
    <w:basedOn w:val="Normal"/>
    <w:next w:val="Normal"/>
    <w:link w:val="Heading2Char"/>
    <w:autoRedefine/>
    <w:uiPriority w:val="9"/>
    <w:unhideWhenUsed/>
    <w:qFormat/>
    <w:rsid w:val="009109B3"/>
    <w:pPr>
      <w:keepNext/>
      <w:keepLines/>
      <w:tabs>
        <w:tab w:val="left" w:pos="288"/>
        <w:tab w:val="left" w:pos="432"/>
        <w:tab w:val="left" w:pos="720"/>
        <w:tab w:val="left" w:pos="4320"/>
      </w:tabs>
      <w:spacing w:before="120" w:after="120" w:line="360" w:lineRule="auto"/>
      <w:jc w:val="both"/>
      <w:outlineLvl w:val="1"/>
    </w:pPr>
    <w:rPr>
      <w:rFonts w:eastAsiaTheme="minorHAnsi" w:cstheme="majorBidi"/>
      <w:bCs/>
      <w:sz w:val="22"/>
      <w:szCs w:val="22"/>
      <w:lang w:val="en"/>
    </w:rPr>
  </w:style>
  <w:style w:type="paragraph" w:styleId="Heading3">
    <w:name w:val="heading 3"/>
    <w:basedOn w:val="Normal"/>
    <w:link w:val="Heading3Char"/>
    <w:autoRedefine/>
    <w:uiPriority w:val="9"/>
    <w:qFormat/>
    <w:rsid w:val="009109B3"/>
    <w:pPr>
      <w:spacing w:before="120" w:after="120" w:line="360" w:lineRule="auto"/>
      <w:jc w:val="center"/>
      <w:outlineLvl w:val="2"/>
    </w:pPr>
    <w:rPr>
      <w:rFonts w:eastAsiaTheme="majorEastAsia"/>
      <w:b/>
      <w:bCs/>
      <w:sz w:val="22"/>
      <w:szCs w:val="22"/>
    </w:rPr>
  </w:style>
  <w:style w:type="paragraph" w:styleId="Heading4">
    <w:name w:val="heading 4"/>
    <w:basedOn w:val="Normal"/>
    <w:next w:val="Normal"/>
    <w:link w:val="Heading4Char"/>
    <w:uiPriority w:val="9"/>
    <w:unhideWhenUsed/>
    <w:qFormat/>
    <w:rsid w:val="002902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09B3"/>
    <w:rPr>
      <w:rFonts w:ascii="Times New Roman" w:eastAsiaTheme="majorEastAsia" w:hAnsi="Times New Roman" w:cs="Times New Roman"/>
      <w:b/>
      <w:bCs/>
    </w:rPr>
  </w:style>
  <w:style w:type="paragraph" w:styleId="NormalWeb">
    <w:name w:val="Normal (Web)"/>
    <w:basedOn w:val="Normal"/>
    <w:uiPriority w:val="99"/>
    <w:unhideWhenUsed/>
    <w:rsid w:val="00DA740F"/>
    <w:pPr>
      <w:spacing w:before="100" w:beforeAutospacing="1" w:after="100" w:afterAutospacing="1"/>
    </w:pPr>
  </w:style>
  <w:style w:type="character" w:styleId="Hyperlink">
    <w:name w:val="Hyperlink"/>
    <w:basedOn w:val="DefaultParagraphFont"/>
    <w:uiPriority w:val="99"/>
    <w:unhideWhenUsed/>
    <w:rsid w:val="00DA740F"/>
    <w:rPr>
      <w:color w:val="0000FF"/>
      <w:u w:val="single"/>
    </w:rPr>
  </w:style>
  <w:style w:type="character" w:customStyle="1" w:styleId="mw-headline">
    <w:name w:val="mw-headline"/>
    <w:basedOn w:val="DefaultParagraphFont"/>
    <w:rsid w:val="00DA740F"/>
  </w:style>
  <w:style w:type="character" w:customStyle="1" w:styleId="Mention1">
    <w:name w:val="Mention1"/>
    <w:basedOn w:val="DefaultParagraphFont"/>
    <w:uiPriority w:val="99"/>
    <w:semiHidden/>
    <w:unhideWhenUsed/>
    <w:rsid w:val="00DA740F"/>
    <w:rPr>
      <w:color w:val="2B579A"/>
      <w:shd w:val="clear" w:color="auto" w:fill="E6E6E6"/>
    </w:rPr>
  </w:style>
  <w:style w:type="character" w:customStyle="1" w:styleId="Heading2Char">
    <w:name w:val="Heading 2 Char"/>
    <w:basedOn w:val="DefaultParagraphFont"/>
    <w:link w:val="Heading2"/>
    <w:uiPriority w:val="9"/>
    <w:rsid w:val="009109B3"/>
    <w:rPr>
      <w:rFonts w:ascii="Times New Roman" w:hAnsi="Times New Roman" w:cstheme="majorBidi"/>
      <w:bCs/>
      <w:lang w:val="en"/>
    </w:rPr>
  </w:style>
  <w:style w:type="paragraph" w:styleId="ListParagraph">
    <w:name w:val="List Paragraph"/>
    <w:basedOn w:val="Normal"/>
    <w:uiPriority w:val="34"/>
    <w:qFormat/>
    <w:rsid w:val="00F9087B"/>
    <w:pPr>
      <w:ind w:left="720"/>
      <w:contextualSpacing/>
    </w:pPr>
  </w:style>
  <w:style w:type="paragraph" w:styleId="NoSpacing">
    <w:name w:val="No Spacing"/>
    <w:uiPriority w:val="1"/>
    <w:qFormat/>
    <w:rsid w:val="00407F14"/>
    <w:pPr>
      <w:spacing w:after="0" w:line="360" w:lineRule="auto"/>
      <w:jc w:val="both"/>
    </w:pPr>
    <w:rPr>
      <w:rFonts w:ascii="Times New Roman" w:hAnsi="Times New Roman" w:cs="Times New Roman"/>
      <w:lang w:val="en"/>
    </w:rPr>
  </w:style>
  <w:style w:type="character" w:customStyle="1" w:styleId="Heading1Char">
    <w:name w:val="Heading 1 Char"/>
    <w:basedOn w:val="DefaultParagraphFont"/>
    <w:link w:val="Heading1"/>
    <w:uiPriority w:val="9"/>
    <w:rsid w:val="000F0260"/>
    <w:rPr>
      <w:rFonts w:ascii="Times New Roman" w:eastAsiaTheme="majorEastAsia" w:hAnsi="Times New Roman" w:cs="Times New Roman"/>
      <w:b/>
      <w:sz w:val="28"/>
      <w:szCs w:val="32"/>
    </w:rPr>
  </w:style>
  <w:style w:type="paragraph" w:styleId="FootnoteText">
    <w:name w:val="footnote text"/>
    <w:basedOn w:val="Normal"/>
    <w:link w:val="FootnoteTextChar"/>
    <w:uiPriority w:val="99"/>
    <w:unhideWhenUsed/>
    <w:rsid w:val="002A36B2"/>
    <w:rPr>
      <w:sz w:val="20"/>
      <w:szCs w:val="20"/>
    </w:rPr>
  </w:style>
  <w:style w:type="character" w:customStyle="1" w:styleId="FootnoteTextChar">
    <w:name w:val="Footnote Text Char"/>
    <w:basedOn w:val="DefaultParagraphFont"/>
    <w:link w:val="FootnoteText"/>
    <w:uiPriority w:val="99"/>
    <w:rsid w:val="002A36B2"/>
    <w:rPr>
      <w:sz w:val="20"/>
      <w:szCs w:val="20"/>
    </w:rPr>
  </w:style>
  <w:style w:type="character" w:styleId="FootnoteReference">
    <w:name w:val="footnote reference"/>
    <w:basedOn w:val="DefaultParagraphFont"/>
    <w:uiPriority w:val="99"/>
    <w:semiHidden/>
    <w:unhideWhenUsed/>
    <w:rsid w:val="002A36B2"/>
    <w:rPr>
      <w:vertAlign w:val="superscript"/>
    </w:rPr>
  </w:style>
  <w:style w:type="character" w:customStyle="1" w:styleId="oneclick-link">
    <w:name w:val="oneclick-link"/>
    <w:basedOn w:val="DefaultParagraphFont"/>
    <w:rsid w:val="00F838C6"/>
  </w:style>
  <w:style w:type="character" w:customStyle="1" w:styleId="dbox-example">
    <w:name w:val="dbox-example"/>
    <w:basedOn w:val="DefaultParagraphFont"/>
    <w:rsid w:val="00F838C6"/>
  </w:style>
  <w:style w:type="paragraph" w:styleId="BalloonText">
    <w:name w:val="Balloon Text"/>
    <w:basedOn w:val="Normal"/>
    <w:link w:val="BalloonTextChar"/>
    <w:uiPriority w:val="99"/>
    <w:semiHidden/>
    <w:unhideWhenUsed/>
    <w:rsid w:val="002D6D79"/>
    <w:rPr>
      <w:rFonts w:ascii="Tahoma" w:hAnsi="Tahoma" w:cs="Tahoma"/>
      <w:sz w:val="16"/>
      <w:szCs w:val="16"/>
    </w:rPr>
  </w:style>
  <w:style w:type="character" w:customStyle="1" w:styleId="BalloonTextChar">
    <w:name w:val="Balloon Text Char"/>
    <w:basedOn w:val="DefaultParagraphFont"/>
    <w:link w:val="BalloonText"/>
    <w:uiPriority w:val="99"/>
    <w:semiHidden/>
    <w:rsid w:val="002D6D79"/>
    <w:rPr>
      <w:rFonts w:ascii="Tahoma" w:hAnsi="Tahoma" w:cs="Tahoma"/>
      <w:sz w:val="16"/>
      <w:szCs w:val="16"/>
    </w:rPr>
  </w:style>
  <w:style w:type="paragraph" w:customStyle="1" w:styleId="Default">
    <w:name w:val="Default"/>
    <w:rsid w:val="002D6D79"/>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Strong">
    <w:name w:val="Strong"/>
    <w:basedOn w:val="DefaultParagraphFont"/>
    <w:uiPriority w:val="22"/>
    <w:qFormat/>
    <w:rsid w:val="00550FA9"/>
    <w:rPr>
      <w:b/>
      <w:bCs/>
      <w:color w:val="000000"/>
    </w:rPr>
  </w:style>
  <w:style w:type="character" w:styleId="Mention">
    <w:name w:val="Mention"/>
    <w:basedOn w:val="DefaultParagraphFont"/>
    <w:uiPriority w:val="99"/>
    <w:semiHidden/>
    <w:unhideWhenUsed/>
    <w:rsid w:val="00550FA9"/>
    <w:rPr>
      <w:color w:val="2B579A"/>
      <w:shd w:val="clear" w:color="auto" w:fill="E6E6E6"/>
    </w:rPr>
  </w:style>
  <w:style w:type="character" w:customStyle="1" w:styleId="actu-news-source2">
    <w:name w:val="actu-news-source2"/>
    <w:basedOn w:val="DefaultParagraphFont"/>
    <w:rsid w:val="00550FA9"/>
  </w:style>
  <w:style w:type="character" w:customStyle="1" w:styleId="actu-news-footer-label2">
    <w:name w:val="actu-news-footer-label2"/>
    <w:basedOn w:val="DefaultParagraphFont"/>
    <w:rsid w:val="00550FA9"/>
  </w:style>
  <w:style w:type="character" w:customStyle="1" w:styleId="nlmarticle-title">
    <w:name w:val="nlm_article-title"/>
    <w:basedOn w:val="DefaultParagraphFont"/>
    <w:rsid w:val="00115349"/>
  </w:style>
  <w:style w:type="character" w:customStyle="1" w:styleId="contribdegrees">
    <w:name w:val="contribdegrees"/>
    <w:basedOn w:val="DefaultParagraphFont"/>
    <w:rsid w:val="00115349"/>
  </w:style>
  <w:style w:type="character" w:customStyle="1" w:styleId="overlay2">
    <w:name w:val="overlay2"/>
    <w:basedOn w:val="DefaultParagraphFont"/>
    <w:rsid w:val="00115349"/>
    <w:rPr>
      <w:vanish/>
      <w:webHidden w:val="0"/>
      <w:specVanish w:val="0"/>
    </w:rPr>
  </w:style>
  <w:style w:type="paragraph" w:customStyle="1" w:styleId="large">
    <w:name w:val="large"/>
    <w:basedOn w:val="Normal"/>
    <w:rsid w:val="006B736F"/>
    <w:pPr>
      <w:spacing w:before="100" w:beforeAutospacing="1" w:after="100" w:afterAutospacing="1"/>
    </w:pPr>
  </w:style>
  <w:style w:type="character" w:customStyle="1" w:styleId="larger">
    <w:name w:val="larger"/>
    <w:basedOn w:val="DefaultParagraphFont"/>
    <w:rsid w:val="006B736F"/>
  </w:style>
  <w:style w:type="paragraph" w:customStyle="1" w:styleId="larger1">
    <w:name w:val="larger1"/>
    <w:basedOn w:val="Normal"/>
    <w:rsid w:val="006B736F"/>
    <w:pPr>
      <w:spacing w:before="100" w:beforeAutospacing="1" w:after="100" w:afterAutospacing="1"/>
    </w:pPr>
  </w:style>
  <w:style w:type="character" w:styleId="HTMLCite">
    <w:name w:val="HTML Cite"/>
    <w:basedOn w:val="DefaultParagraphFont"/>
    <w:uiPriority w:val="99"/>
    <w:semiHidden/>
    <w:unhideWhenUsed/>
    <w:rsid w:val="00C0335C"/>
    <w:rPr>
      <w:i/>
      <w:iCs/>
    </w:rPr>
  </w:style>
  <w:style w:type="character" w:customStyle="1" w:styleId="titlesame">
    <w:name w:val="titlesame"/>
    <w:basedOn w:val="DefaultParagraphFont"/>
    <w:rsid w:val="00D60983"/>
  </w:style>
  <w:style w:type="character" w:customStyle="1" w:styleId="titlediff">
    <w:name w:val="titlediff"/>
    <w:basedOn w:val="DefaultParagraphFont"/>
    <w:rsid w:val="00D60983"/>
  </w:style>
  <w:style w:type="character" w:customStyle="1" w:styleId="edition">
    <w:name w:val="edition"/>
    <w:basedOn w:val="DefaultParagraphFont"/>
    <w:rsid w:val="00D60983"/>
  </w:style>
  <w:style w:type="character" w:styleId="FollowedHyperlink">
    <w:name w:val="FollowedHyperlink"/>
    <w:basedOn w:val="DefaultParagraphFont"/>
    <w:uiPriority w:val="99"/>
    <w:semiHidden/>
    <w:unhideWhenUsed/>
    <w:rsid w:val="00783548"/>
    <w:rPr>
      <w:color w:val="954F72" w:themeColor="followedHyperlink"/>
      <w:u w:val="single"/>
    </w:rPr>
  </w:style>
  <w:style w:type="table" w:styleId="TableGrid">
    <w:name w:val="Table Grid"/>
    <w:basedOn w:val="TableNormal"/>
    <w:uiPriority w:val="39"/>
    <w:rsid w:val="00D9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url-text">
    <w:name w:val="citation__url-text"/>
    <w:basedOn w:val="DefaultParagraphFont"/>
    <w:rsid w:val="005475D9"/>
  </w:style>
  <w:style w:type="character" w:styleId="CommentReference">
    <w:name w:val="annotation reference"/>
    <w:basedOn w:val="DefaultParagraphFont"/>
    <w:uiPriority w:val="99"/>
    <w:semiHidden/>
    <w:unhideWhenUsed/>
    <w:rsid w:val="00360D4C"/>
    <w:rPr>
      <w:sz w:val="16"/>
      <w:szCs w:val="16"/>
    </w:rPr>
  </w:style>
  <w:style w:type="paragraph" w:styleId="CommentText">
    <w:name w:val="annotation text"/>
    <w:basedOn w:val="Normal"/>
    <w:link w:val="CommentTextChar"/>
    <w:uiPriority w:val="99"/>
    <w:semiHidden/>
    <w:unhideWhenUsed/>
    <w:rsid w:val="00360D4C"/>
    <w:rPr>
      <w:sz w:val="20"/>
      <w:szCs w:val="20"/>
    </w:rPr>
  </w:style>
  <w:style w:type="character" w:customStyle="1" w:styleId="CommentTextChar">
    <w:name w:val="Comment Text Char"/>
    <w:basedOn w:val="DefaultParagraphFont"/>
    <w:link w:val="CommentText"/>
    <w:uiPriority w:val="99"/>
    <w:semiHidden/>
    <w:rsid w:val="00360D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D4C"/>
    <w:rPr>
      <w:b/>
      <w:bCs/>
    </w:rPr>
  </w:style>
  <w:style w:type="character" w:customStyle="1" w:styleId="CommentSubjectChar">
    <w:name w:val="Comment Subject Char"/>
    <w:basedOn w:val="CommentTextChar"/>
    <w:link w:val="CommentSubject"/>
    <w:uiPriority w:val="99"/>
    <w:semiHidden/>
    <w:rsid w:val="00360D4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129A1"/>
    <w:pPr>
      <w:tabs>
        <w:tab w:val="center" w:pos="4680"/>
        <w:tab w:val="right" w:pos="9360"/>
      </w:tabs>
    </w:pPr>
  </w:style>
  <w:style w:type="character" w:customStyle="1" w:styleId="HeaderChar">
    <w:name w:val="Header Char"/>
    <w:basedOn w:val="DefaultParagraphFont"/>
    <w:link w:val="Header"/>
    <w:uiPriority w:val="99"/>
    <w:rsid w:val="00C129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9A1"/>
    <w:pPr>
      <w:tabs>
        <w:tab w:val="center" w:pos="4680"/>
        <w:tab w:val="right" w:pos="9360"/>
      </w:tabs>
    </w:pPr>
  </w:style>
  <w:style w:type="character" w:customStyle="1" w:styleId="FooterChar">
    <w:name w:val="Footer Char"/>
    <w:basedOn w:val="DefaultParagraphFont"/>
    <w:link w:val="Footer"/>
    <w:uiPriority w:val="99"/>
    <w:rsid w:val="00C129A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4728"/>
    <w:rPr>
      <w:color w:val="808080"/>
      <w:shd w:val="clear" w:color="auto" w:fill="E6E6E6"/>
    </w:rPr>
  </w:style>
  <w:style w:type="character" w:customStyle="1" w:styleId="Heading4Char">
    <w:name w:val="Heading 4 Char"/>
    <w:basedOn w:val="DefaultParagraphFont"/>
    <w:link w:val="Heading4"/>
    <w:uiPriority w:val="9"/>
    <w:rsid w:val="002902A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17">
      <w:bodyDiv w:val="1"/>
      <w:marLeft w:val="0"/>
      <w:marRight w:val="0"/>
      <w:marTop w:val="0"/>
      <w:marBottom w:val="0"/>
      <w:divBdr>
        <w:top w:val="none" w:sz="0" w:space="0" w:color="auto"/>
        <w:left w:val="none" w:sz="0" w:space="0" w:color="auto"/>
        <w:bottom w:val="none" w:sz="0" w:space="0" w:color="auto"/>
        <w:right w:val="none" w:sz="0" w:space="0" w:color="auto"/>
      </w:divBdr>
    </w:div>
    <w:div w:id="14040549">
      <w:bodyDiv w:val="1"/>
      <w:marLeft w:val="0"/>
      <w:marRight w:val="0"/>
      <w:marTop w:val="0"/>
      <w:marBottom w:val="0"/>
      <w:divBdr>
        <w:top w:val="none" w:sz="0" w:space="0" w:color="auto"/>
        <w:left w:val="none" w:sz="0" w:space="0" w:color="auto"/>
        <w:bottom w:val="none" w:sz="0" w:space="0" w:color="auto"/>
        <w:right w:val="none" w:sz="0" w:space="0" w:color="auto"/>
      </w:divBdr>
    </w:div>
    <w:div w:id="25758461">
      <w:bodyDiv w:val="1"/>
      <w:marLeft w:val="0"/>
      <w:marRight w:val="0"/>
      <w:marTop w:val="0"/>
      <w:marBottom w:val="0"/>
      <w:divBdr>
        <w:top w:val="none" w:sz="0" w:space="0" w:color="auto"/>
        <w:left w:val="none" w:sz="0" w:space="0" w:color="auto"/>
        <w:bottom w:val="none" w:sz="0" w:space="0" w:color="auto"/>
        <w:right w:val="none" w:sz="0" w:space="0" w:color="auto"/>
      </w:divBdr>
      <w:divsChild>
        <w:div w:id="931938298">
          <w:marLeft w:val="0"/>
          <w:marRight w:val="0"/>
          <w:marTop w:val="0"/>
          <w:marBottom w:val="0"/>
          <w:divBdr>
            <w:top w:val="none" w:sz="0" w:space="0" w:color="auto"/>
            <w:left w:val="none" w:sz="0" w:space="0" w:color="auto"/>
            <w:bottom w:val="none" w:sz="0" w:space="0" w:color="auto"/>
            <w:right w:val="none" w:sz="0" w:space="0" w:color="auto"/>
          </w:divBdr>
          <w:divsChild>
            <w:div w:id="55052193">
              <w:marLeft w:val="0"/>
              <w:marRight w:val="0"/>
              <w:marTop w:val="0"/>
              <w:marBottom w:val="0"/>
              <w:divBdr>
                <w:top w:val="none" w:sz="0" w:space="0" w:color="auto"/>
                <w:left w:val="none" w:sz="0" w:space="0" w:color="auto"/>
                <w:bottom w:val="none" w:sz="0" w:space="0" w:color="auto"/>
                <w:right w:val="none" w:sz="0" w:space="0" w:color="auto"/>
              </w:divBdr>
              <w:divsChild>
                <w:div w:id="948700100">
                  <w:marLeft w:val="0"/>
                  <w:marRight w:val="0"/>
                  <w:marTop w:val="900"/>
                  <w:marBottom w:val="0"/>
                  <w:divBdr>
                    <w:top w:val="none" w:sz="0" w:space="0" w:color="auto"/>
                    <w:left w:val="none" w:sz="0" w:space="0" w:color="auto"/>
                    <w:bottom w:val="none" w:sz="0" w:space="0" w:color="auto"/>
                    <w:right w:val="none" w:sz="0" w:space="0" w:color="auto"/>
                  </w:divBdr>
                  <w:divsChild>
                    <w:div w:id="38821129">
                      <w:marLeft w:val="0"/>
                      <w:marRight w:val="0"/>
                      <w:marTop w:val="0"/>
                      <w:marBottom w:val="0"/>
                      <w:divBdr>
                        <w:top w:val="none" w:sz="0" w:space="0" w:color="auto"/>
                        <w:left w:val="none" w:sz="0" w:space="0" w:color="auto"/>
                        <w:bottom w:val="none" w:sz="0" w:space="0" w:color="auto"/>
                        <w:right w:val="none" w:sz="0" w:space="0" w:color="auto"/>
                      </w:divBdr>
                      <w:divsChild>
                        <w:div w:id="1265768043">
                          <w:marLeft w:val="0"/>
                          <w:marRight w:val="0"/>
                          <w:marTop w:val="0"/>
                          <w:marBottom w:val="0"/>
                          <w:divBdr>
                            <w:top w:val="none" w:sz="0" w:space="0" w:color="auto"/>
                            <w:left w:val="none" w:sz="0" w:space="0" w:color="auto"/>
                            <w:bottom w:val="none" w:sz="0" w:space="0" w:color="auto"/>
                            <w:right w:val="none" w:sz="0" w:space="0" w:color="auto"/>
                          </w:divBdr>
                          <w:divsChild>
                            <w:div w:id="1196384815">
                              <w:marLeft w:val="0"/>
                              <w:marRight w:val="0"/>
                              <w:marTop w:val="0"/>
                              <w:marBottom w:val="0"/>
                              <w:divBdr>
                                <w:top w:val="none" w:sz="0" w:space="0" w:color="auto"/>
                                <w:left w:val="none" w:sz="0" w:space="0" w:color="auto"/>
                                <w:bottom w:val="none" w:sz="0" w:space="0" w:color="auto"/>
                                <w:right w:val="none" w:sz="0" w:space="0" w:color="auto"/>
                              </w:divBdr>
                              <w:divsChild>
                                <w:div w:id="2131313447">
                                  <w:marLeft w:val="0"/>
                                  <w:marRight w:val="0"/>
                                  <w:marTop w:val="0"/>
                                  <w:marBottom w:val="600"/>
                                  <w:divBdr>
                                    <w:top w:val="none" w:sz="0" w:space="0" w:color="auto"/>
                                    <w:left w:val="none" w:sz="0" w:space="0" w:color="auto"/>
                                    <w:bottom w:val="none" w:sz="0" w:space="0" w:color="auto"/>
                                    <w:right w:val="none" w:sz="0" w:space="0" w:color="auto"/>
                                  </w:divBdr>
                                  <w:divsChild>
                                    <w:div w:id="1022049764">
                                      <w:marLeft w:val="0"/>
                                      <w:marRight w:val="0"/>
                                      <w:marTop w:val="0"/>
                                      <w:marBottom w:val="0"/>
                                      <w:divBdr>
                                        <w:top w:val="none" w:sz="0" w:space="0" w:color="auto"/>
                                        <w:left w:val="none" w:sz="0" w:space="0" w:color="auto"/>
                                        <w:bottom w:val="none" w:sz="0" w:space="0" w:color="auto"/>
                                        <w:right w:val="none" w:sz="0" w:space="0" w:color="auto"/>
                                      </w:divBdr>
                                      <w:divsChild>
                                        <w:div w:id="1693796085">
                                          <w:marLeft w:val="0"/>
                                          <w:marRight w:val="0"/>
                                          <w:marTop w:val="0"/>
                                          <w:marBottom w:val="0"/>
                                          <w:divBdr>
                                            <w:top w:val="none" w:sz="0" w:space="0" w:color="auto"/>
                                            <w:left w:val="none" w:sz="0" w:space="0" w:color="auto"/>
                                            <w:bottom w:val="none" w:sz="0" w:space="0" w:color="auto"/>
                                            <w:right w:val="none" w:sz="0" w:space="0" w:color="auto"/>
                                          </w:divBdr>
                                          <w:divsChild>
                                            <w:div w:id="2008366964">
                                              <w:marLeft w:val="0"/>
                                              <w:marRight w:val="0"/>
                                              <w:marTop w:val="0"/>
                                              <w:marBottom w:val="0"/>
                                              <w:divBdr>
                                                <w:top w:val="none" w:sz="0" w:space="0" w:color="auto"/>
                                                <w:left w:val="none" w:sz="0" w:space="0" w:color="auto"/>
                                                <w:bottom w:val="none" w:sz="0" w:space="0" w:color="auto"/>
                                                <w:right w:val="none" w:sz="0" w:space="0" w:color="auto"/>
                                              </w:divBdr>
                                              <w:divsChild>
                                                <w:div w:id="133719113">
                                                  <w:marLeft w:val="0"/>
                                                  <w:marRight w:val="0"/>
                                                  <w:marTop w:val="0"/>
                                                  <w:marBottom w:val="450"/>
                                                  <w:divBdr>
                                                    <w:top w:val="none" w:sz="0" w:space="0" w:color="auto"/>
                                                    <w:left w:val="none" w:sz="0" w:space="0" w:color="auto"/>
                                                    <w:bottom w:val="none" w:sz="0" w:space="0" w:color="auto"/>
                                                    <w:right w:val="none" w:sz="0" w:space="0" w:color="auto"/>
                                                  </w:divBdr>
                                                  <w:divsChild>
                                                    <w:div w:id="1671063896">
                                                      <w:marLeft w:val="0"/>
                                                      <w:marRight w:val="0"/>
                                                      <w:marTop w:val="0"/>
                                                      <w:marBottom w:val="0"/>
                                                      <w:divBdr>
                                                        <w:top w:val="none" w:sz="0" w:space="0" w:color="auto"/>
                                                        <w:left w:val="none" w:sz="0" w:space="0" w:color="auto"/>
                                                        <w:bottom w:val="none" w:sz="0" w:space="0" w:color="auto"/>
                                                        <w:right w:val="none" w:sz="0" w:space="0" w:color="auto"/>
                                                      </w:divBdr>
                                                      <w:divsChild>
                                                        <w:div w:id="1711494586">
                                                          <w:marLeft w:val="0"/>
                                                          <w:marRight w:val="0"/>
                                                          <w:marTop w:val="0"/>
                                                          <w:marBottom w:val="450"/>
                                                          <w:divBdr>
                                                            <w:top w:val="none" w:sz="0" w:space="0" w:color="auto"/>
                                                            <w:left w:val="none" w:sz="0" w:space="0" w:color="auto"/>
                                                            <w:bottom w:val="none" w:sz="0" w:space="0" w:color="auto"/>
                                                            <w:right w:val="none" w:sz="0" w:space="0" w:color="auto"/>
                                                          </w:divBdr>
                                                          <w:divsChild>
                                                            <w:div w:id="1801726391">
                                                              <w:marLeft w:val="0"/>
                                                              <w:marRight w:val="0"/>
                                                              <w:marTop w:val="0"/>
                                                              <w:marBottom w:val="0"/>
                                                              <w:divBdr>
                                                                <w:top w:val="none" w:sz="0" w:space="0" w:color="auto"/>
                                                                <w:left w:val="none" w:sz="0" w:space="0" w:color="auto"/>
                                                                <w:bottom w:val="none" w:sz="0" w:space="0" w:color="auto"/>
                                                                <w:right w:val="none" w:sz="0" w:space="0" w:color="auto"/>
                                                              </w:divBdr>
                                                              <w:divsChild>
                                                                <w:div w:id="35431324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94829">
      <w:bodyDiv w:val="1"/>
      <w:marLeft w:val="0"/>
      <w:marRight w:val="0"/>
      <w:marTop w:val="0"/>
      <w:marBottom w:val="0"/>
      <w:divBdr>
        <w:top w:val="none" w:sz="0" w:space="0" w:color="auto"/>
        <w:left w:val="none" w:sz="0" w:space="0" w:color="auto"/>
        <w:bottom w:val="none" w:sz="0" w:space="0" w:color="auto"/>
        <w:right w:val="none" w:sz="0" w:space="0" w:color="auto"/>
      </w:divBdr>
    </w:div>
    <w:div w:id="338508510">
      <w:bodyDiv w:val="1"/>
      <w:marLeft w:val="0"/>
      <w:marRight w:val="0"/>
      <w:marTop w:val="0"/>
      <w:marBottom w:val="0"/>
      <w:divBdr>
        <w:top w:val="none" w:sz="0" w:space="0" w:color="auto"/>
        <w:left w:val="none" w:sz="0" w:space="0" w:color="auto"/>
        <w:bottom w:val="none" w:sz="0" w:space="0" w:color="auto"/>
        <w:right w:val="none" w:sz="0" w:space="0" w:color="auto"/>
      </w:divBdr>
      <w:divsChild>
        <w:div w:id="1138256223">
          <w:marLeft w:val="0"/>
          <w:marRight w:val="0"/>
          <w:marTop w:val="0"/>
          <w:marBottom w:val="0"/>
          <w:divBdr>
            <w:top w:val="none" w:sz="0" w:space="0" w:color="auto"/>
            <w:left w:val="none" w:sz="0" w:space="0" w:color="auto"/>
            <w:bottom w:val="none" w:sz="0" w:space="0" w:color="auto"/>
            <w:right w:val="none" w:sz="0" w:space="0" w:color="auto"/>
          </w:divBdr>
          <w:divsChild>
            <w:div w:id="120421076">
              <w:marLeft w:val="0"/>
              <w:marRight w:val="0"/>
              <w:marTop w:val="0"/>
              <w:marBottom w:val="0"/>
              <w:divBdr>
                <w:top w:val="none" w:sz="0" w:space="0" w:color="auto"/>
                <w:left w:val="none" w:sz="0" w:space="0" w:color="auto"/>
                <w:bottom w:val="none" w:sz="0" w:space="0" w:color="auto"/>
                <w:right w:val="none" w:sz="0" w:space="0" w:color="auto"/>
              </w:divBdr>
              <w:divsChild>
                <w:div w:id="826557445">
                  <w:marLeft w:val="0"/>
                  <w:marRight w:val="0"/>
                  <w:marTop w:val="0"/>
                  <w:marBottom w:val="0"/>
                  <w:divBdr>
                    <w:top w:val="none" w:sz="0" w:space="0" w:color="auto"/>
                    <w:left w:val="none" w:sz="0" w:space="0" w:color="auto"/>
                    <w:bottom w:val="none" w:sz="0" w:space="0" w:color="auto"/>
                    <w:right w:val="none" w:sz="0" w:space="0" w:color="auto"/>
                  </w:divBdr>
                  <w:divsChild>
                    <w:div w:id="11246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40709">
      <w:bodyDiv w:val="1"/>
      <w:marLeft w:val="0"/>
      <w:marRight w:val="0"/>
      <w:marTop w:val="0"/>
      <w:marBottom w:val="0"/>
      <w:divBdr>
        <w:top w:val="none" w:sz="0" w:space="0" w:color="auto"/>
        <w:left w:val="none" w:sz="0" w:space="0" w:color="auto"/>
        <w:bottom w:val="none" w:sz="0" w:space="0" w:color="auto"/>
        <w:right w:val="none" w:sz="0" w:space="0" w:color="auto"/>
      </w:divBdr>
      <w:divsChild>
        <w:div w:id="711074555">
          <w:marLeft w:val="0"/>
          <w:marRight w:val="0"/>
          <w:marTop w:val="0"/>
          <w:marBottom w:val="0"/>
          <w:divBdr>
            <w:top w:val="none" w:sz="0" w:space="0" w:color="auto"/>
            <w:left w:val="none" w:sz="0" w:space="0" w:color="auto"/>
            <w:bottom w:val="none" w:sz="0" w:space="0" w:color="auto"/>
            <w:right w:val="none" w:sz="0" w:space="0" w:color="auto"/>
          </w:divBdr>
          <w:divsChild>
            <w:div w:id="430198107">
              <w:marLeft w:val="0"/>
              <w:marRight w:val="0"/>
              <w:marTop w:val="0"/>
              <w:marBottom w:val="0"/>
              <w:divBdr>
                <w:top w:val="none" w:sz="0" w:space="0" w:color="auto"/>
                <w:left w:val="none" w:sz="0" w:space="0" w:color="auto"/>
                <w:bottom w:val="none" w:sz="0" w:space="0" w:color="auto"/>
                <w:right w:val="none" w:sz="0" w:space="0" w:color="auto"/>
              </w:divBdr>
              <w:divsChild>
                <w:div w:id="1801806362">
                  <w:marLeft w:val="0"/>
                  <w:marRight w:val="0"/>
                  <w:marTop w:val="0"/>
                  <w:marBottom w:val="0"/>
                  <w:divBdr>
                    <w:top w:val="none" w:sz="0" w:space="0" w:color="auto"/>
                    <w:left w:val="none" w:sz="0" w:space="0" w:color="auto"/>
                    <w:bottom w:val="none" w:sz="0" w:space="0" w:color="auto"/>
                    <w:right w:val="none" w:sz="0" w:space="0" w:color="auto"/>
                  </w:divBdr>
                  <w:divsChild>
                    <w:div w:id="1452475288">
                      <w:marLeft w:val="0"/>
                      <w:marRight w:val="0"/>
                      <w:marTop w:val="0"/>
                      <w:marBottom w:val="0"/>
                      <w:divBdr>
                        <w:top w:val="none" w:sz="0" w:space="0" w:color="auto"/>
                        <w:left w:val="none" w:sz="0" w:space="0" w:color="auto"/>
                        <w:bottom w:val="none" w:sz="0" w:space="0" w:color="auto"/>
                        <w:right w:val="none" w:sz="0" w:space="0" w:color="auto"/>
                      </w:divBdr>
                      <w:divsChild>
                        <w:div w:id="492528152">
                          <w:marLeft w:val="0"/>
                          <w:marRight w:val="0"/>
                          <w:marTop w:val="0"/>
                          <w:marBottom w:val="0"/>
                          <w:divBdr>
                            <w:top w:val="none" w:sz="0" w:space="0" w:color="auto"/>
                            <w:left w:val="none" w:sz="0" w:space="0" w:color="auto"/>
                            <w:bottom w:val="none" w:sz="0" w:space="0" w:color="auto"/>
                            <w:right w:val="none" w:sz="0" w:space="0" w:color="auto"/>
                          </w:divBdr>
                        </w:div>
                        <w:div w:id="503326229">
                          <w:marLeft w:val="0"/>
                          <w:marRight w:val="0"/>
                          <w:marTop w:val="0"/>
                          <w:marBottom w:val="0"/>
                          <w:divBdr>
                            <w:top w:val="none" w:sz="0" w:space="0" w:color="auto"/>
                            <w:left w:val="none" w:sz="0" w:space="0" w:color="auto"/>
                            <w:bottom w:val="none" w:sz="0" w:space="0" w:color="auto"/>
                            <w:right w:val="none" w:sz="0" w:space="0" w:color="auto"/>
                          </w:divBdr>
                        </w:div>
                        <w:div w:id="2069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8838">
      <w:bodyDiv w:val="1"/>
      <w:marLeft w:val="0"/>
      <w:marRight w:val="0"/>
      <w:marTop w:val="0"/>
      <w:marBottom w:val="0"/>
      <w:divBdr>
        <w:top w:val="none" w:sz="0" w:space="0" w:color="auto"/>
        <w:left w:val="none" w:sz="0" w:space="0" w:color="auto"/>
        <w:bottom w:val="none" w:sz="0" w:space="0" w:color="auto"/>
        <w:right w:val="none" w:sz="0" w:space="0" w:color="auto"/>
      </w:divBdr>
    </w:div>
    <w:div w:id="578295490">
      <w:bodyDiv w:val="1"/>
      <w:marLeft w:val="0"/>
      <w:marRight w:val="0"/>
      <w:marTop w:val="0"/>
      <w:marBottom w:val="0"/>
      <w:divBdr>
        <w:top w:val="none" w:sz="0" w:space="0" w:color="auto"/>
        <w:left w:val="none" w:sz="0" w:space="0" w:color="auto"/>
        <w:bottom w:val="none" w:sz="0" w:space="0" w:color="auto"/>
        <w:right w:val="none" w:sz="0" w:space="0" w:color="auto"/>
      </w:divBdr>
    </w:div>
    <w:div w:id="632951232">
      <w:bodyDiv w:val="1"/>
      <w:marLeft w:val="0"/>
      <w:marRight w:val="0"/>
      <w:marTop w:val="0"/>
      <w:marBottom w:val="0"/>
      <w:divBdr>
        <w:top w:val="none" w:sz="0" w:space="0" w:color="auto"/>
        <w:left w:val="none" w:sz="0" w:space="0" w:color="auto"/>
        <w:bottom w:val="none" w:sz="0" w:space="0" w:color="auto"/>
        <w:right w:val="none" w:sz="0" w:space="0" w:color="auto"/>
      </w:divBdr>
    </w:div>
    <w:div w:id="659388873">
      <w:bodyDiv w:val="1"/>
      <w:marLeft w:val="0"/>
      <w:marRight w:val="0"/>
      <w:marTop w:val="0"/>
      <w:marBottom w:val="0"/>
      <w:divBdr>
        <w:top w:val="none" w:sz="0" w:space="0" w:color="auto"/>
        <w:left w:val="none" w:sz="0" w:space="0" w:color="auto"/>
        <w:bottom w:val="none" w:sz="0" w:space="0" w:color="auto"/>
        <w:right w:val="none" w:sz="0" w:space="0" w:color="auto"/>
      </w:divBdr>
      <w:divsChild>
        <w:div w:id="1531600450">
          <w:marLeft w:val="0"/>
          <w:marRight w:val="0"/>
          <w:marTop w:val="0"/>
          <w:marBottom w:val="0"/>
          <w:divBdr>
            <w:top w:val="none" w:sz="0" w:space="0" w:color="auto"/>
            <w:left w:val="none" w:sz="0" w:space="0" w:color="auto"/>
            <w:bottom w:val="none" w:sz="0" w:space="0" w:color="auto"/>
            <w:right w:val="none" w:sz="0" w:space="0" w:color="auto"/>
          </w:divBdr>
          <w:divsChild>
            <w:div w:id="19161908">
              <w:marLeft w:val="0"/>
              <w:marRight w:val="0"/>
              <w:marTop w:val="0"/>
              <w:marBottom w:val="0"/>
              <w:divBdr>
                <w:top w:val="none" w:sz="0" w:space="0" w:color="auto"/>
                <w:left w:val="none" w:sz="0" w:space="0" w:color="auto"/>
                <w:bottom w:val="none" w:sz="0" w:space="0" w:color="auto"/>
                <w:right w:val="none" w:sz="0" w:space="0" w:color="auto"/>
              </w:divBdr>
              <w:divsChild>
                <w:div w:id="5096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8771">
      <w:bodyDiv w:val="1"/>
      <w:marLeft w:val="0"/>
      <w:marRight w:val="0"/>
      <w:marTop w:val="0"/>
      <w:marBottom w:val="0"/>
      <w:divBdr>
        <w:top w:val="none" w:sz="0" w:space="0" w:color="auto"/>
        <w:left w:val="none" w:sz="0" w:space="0" w:color="auto"/>
        <w:bottom w:val="none" w:sz="0" w:space="0" w:color="auto"/>
        <w:right w:val="none" w:sz="0" w:space="0" w:color="auto"/>
      </w:divBdr>
      <w:divsChild>
        <w:div w:id="1180657382">
          <w:marLeft w:val="0"/>
          <w:marRight w:val="0"/>
          <w:marTop w:val="0"/>
          <w:marBottom w:val="0"/>
          <w:divBdr>
            <w:top w:val="none" w:sz="0" w:space="0" w:color="auto"/>
            <w:left w:val="none" w:sz="0" w:space="0" w:color="auto"/>
            <w:bottom w:val="none" w:sz="0" w:space="0" w:color="auto"/>
            <w:right w:val="none" w:sz="0" w:space="0" w:color="auto"/>
          </w:divBdr>
          <w:divsChild>
            <w:div w:id="768162148">
              <w:marLeft w:val="0"/>
              <w:marRight w:val="0"/>
              <w:marTop w:val="0"/>
              <w:marBottom w:val="0"/>
              <w:divBdr>
                <w:top w:val="none" w:sz="0" w:space="0" w:color="auto"/>
                <w:left w:val="none" w:sz="0" w:space="0" w:color="auto"/>
                <w:bottom w:val="none" w:sz="0" w:space="0" w:color="auto"/>
                <w:right w:val="none" w:sz="0" w:space="0" w:color="auto"/>
              </w:divBdr>
              <w:divsChild>
                <w:div w:id="486438685">
                  <w:marLeft w:val="0"/>
                  <w:marRight w:val="0"/>
                  <w:marTop w:val="900"/>
                  <w:marBottom w:val="0"/>
                  <w:divBdr>
                    <w:top w:val="none" w:sz="0" w:space="0" w:color="auto"/>
                    <w:left w:val="none" w:sz="0" w:space="0" w:color="auto"/>
                    <w:bottom w:val="none" w:sz="0" w:space="0" w:color="auto"/>
                    <w:right w:val="none" w:sz="0" w:space="0" w:color="auto"/>
                  </w:divBdr>
                  <w:divsChild>
                    <w:div w:id="586958146">
                      <w:marLeft w:val="0"/>
                      <w:marRight w:val="0"/>
                      <w:marTop w:val="0"/>
                      <w:marBottom w:val="0"/>
                      <w:divBdr>
                        <w:top w:val="none" w:sz="0" w:space="0" w:color="auto"/>
                        <w:left w:val="none" w:sz="0" w:space="0" w:color="auto"/>
                        <w:bottom w:val="none" w:sz="0" w:space="0" w:color="auto"/>
                        <w:right w:val="none" w:sz="0" w:space="0" w:color="auto"/>
                      </w:divBdr>
                      <w:divsChild>
                        <w:div w:id="656689111">
                          <w:marLeft w:val="0"/>
                          <w:marRight w:val="0"/>
                          <w:marTop w:val="0"/>
                          <w:marBottom w:val="0"/>
                          <w:divBdr>
                            <w:top w:val="none" w:sz="0" w:space="0" w:color="auto"/>
                            <w:left w:val="none" w:sz="0" w:space="0" w:color="auto"/>
                            <w:bottom w:val="none" w:sz="0" w:space="0" w:color="auto"/>
                            <w:right w:val="none" w:sz="0" w:space="0" w:color="auto"/>
                          </w:divBdr>
                          <w:divsChild>
                            <w:div w:id="584537165">
                              <w:marLeft w:val="0"/>
                              <w:marRight w:val="0"/>
                              <w:marTop w:val="0"/>
                              <w:marBottom w:val="0"/>
                              <w:divBdr>
                                <w:top w:val="none" w:sz="0" w:space="0" w:color="auto"/>
                                <w:left w:val="single" w:sz="6" w:space="0" w:color="BBBBBB"/>
                                <w:bottom w:val="none" w:sz="0" w:space="0" w:color="auto"/>
                                <w:right w:val="single" w:sz="6" w:space="0" w:color="BBBBBB"/>
                              </w:divBdr>
                              <w:divsChild>
                                <w:div w:id="1055396706">
                                  <w:marLeft w:val="0"/>
                                  <w:marRight w:val="0"/>
                                  <w:marTop w:val="0"/>
                                  <w:marBottom w:val="0"/>
                                  <w:divBdr>
                                    <w:top w:val="none" w:sz="0" w:space="0" w:color="auto"/>
                                    <w:left w:val="none" w:sz="0" w:space="0" w:color="auto"/>
                                    <w:bottom w:val="none" w:sz="0" w:space="0" w:color="auto"/>
                                    <w:right w:val="single" w:sz="6" w:space="15" w:color="BBBBBB"/>
                                  </w:divBdr>
                                  <w:divsChild>
                                    <w:div w:id="1329821129">
                                      <w:marLeft w:val="0"/>
                                      <w:marRight w:val="0"/>
                                      <w:marTop w:val="0"/>
                                      <w:marBottom w:val="0"/>
                                      <w:divBdr>
                                        <w:top w:val="none" w:sz="0" w:space="0" w:color="auto"/>
                                        <w:left w:val="none" w:sz="0" w:space="0" w:color="auto"/>
                                        <w:bottom w:val="none" w:sz="0" w:space="0" w:color="auto"/>
                                        <w:right w:val="none" w:sz="0" w:space="0" w:color="auto"/>
                                      </w:divBdr>
                                      <w:divsChild>
                                        <w:div w:id="2143837666">
                                          <w:marLeft w:val="0"/>
                                          <w:marRight w:val="0"/>
                                          <w:marTop w:val="0"/>
                                          <w:marBottom w:val="0"/>
                                          <w:divBdr>
                                            <w:top w:val="none" w:sz="0" w:space="0" w:color="auto"/>
                                            <w:left w:val="none" w:sz="0" w:space="0" w:color="auto"/>
                                            <w:bottom w:val="none" w:sz="0" w:space="0" w:color="auto"/>
                                            <w:right w:val="none" w:sz="0" w:space="0" w:color="auto"/>
                                          </w:divBdr>
                                          <w:divsChild>
                                            <w:div w:id="86466503">
                                              <w:marLeft w:val="0"/>
                                              <w:marRight w:val="0"/>
                                              <w:marTop w:val="0"/>
                                              <w:marBottom w:val="0"/>
                                              <w:divBdr>
                                                <w:top w:val="none" w:sz="0" w:space="0" w:color="auto"/>
                                                <w:left w:val="none" w:sz="0" w:space="0" w:color="auto"/>
                                                <w:bottom w:val="none" w:sz="0" w:space="0" w:color="auto"/>
                                                <w:right w:val="none" w:sz="0" w:space="0" w:color="auto"/>
                                              </w:divBdr>
                                              <w:divsChild>
                                                <w:div w:id="1220049478">
                                                  <w:marLeft w:val="0"/>
                                                  <w:marRight w:val="0"/>
                                                  <w:marTop w:val="0"/>
                                                  <w:marBottom w:val="0"/>
                                                  <w:divBdr>
                                                    <w:top w:val="none" w:sz="0" w:space="0" w:color="auto"/>
                                                    <w:left w:val="none" w:sz="0" w:space="0" w:color="auto"/>
                                                    <w:bottom w:val="none" w:sz="0" w:space="0" w:color="auto"/>
                                                    <w:right w:val="none" w:sz="0" w:space="0" w:color="auto"/>
                                                  </w:divBdr>
                                                  <w:divsChild>
                                                    <w:div w:id="1659334862">
                                                      <w:marLeft w:val="0"/>
                                                      <w:marRight w:val="0"/>
                                                      <w:marTop w:val="0"/>
                                                      <w:marBottom w:val="0"/>
                                                      <w:divBdr>
                                                        <w:top w:val="none" w:sz="0" w:space="0" w:color="auto"/>
                                                        <w:left w:val="none" w:sz="0" w:space="0" w:color="auto"/>
                                                        <w:bottom w:val="none" w:sz="0" w:space="0" w:color="auto"/>
                                                        <w:right w:val="none" w:sz="0" w:space="0" w:color="auto"/>
                                                      </w:divBdr>
                                                      <w:divsChild>
                                                        <w:div w:id="981621639">
                                                          <w:marLeft w:val="0"/>
                                                          <w:marRight w:val="0"/>
                                                          <w:marTop w:val="0"/>
                                                          <w:marBottom w:val="0"/>
                                                          <w:divBdr>
                                                            <w:top w:val="none" w:sz="0" w:space="0" w:color="auto"/>
                                                            <w:left w:val="none" w:sz="0" w:space="0" w:color="auto"/>
                                                            <w:bottom w:val="none" w:sz="0" w:space="0" w:color="auto"/>
                                                            <w:right w:val="none" w:sz="0" w:space="0" w:color="auto"/>
                                                          </w:divBdr>
                                                          <w:divsChild>
                                                            <w:div w:id="1779257965">
                                                              <w:marLeft w:val="0"/>
                                                              <w:marRight w:val="0"/>
                                                              <w:marTop w:val="0"/>
                                                              <w:marBottom w:val="0"/>
                                                              <w:divBdr>
                                                                <w:top w:val="none" w:sz="0" w:space="0" w:color="auto"/>
                                                                <w:left w:val="none" w:sz="0" w:space="0" w:color="auto"/>
                                                                <w:bottom w:val="none" w:sz="0" w:space="0" w:color="auto"/>
                                                                <w:right w:val="none" w:sz="0" w:space="0" w:color="auto"/>
                                                              </w:divBdr>
                                                              <w:divsChild>
                                                                <w:div w:id="2016035263">
                                                                  <w:marLeft w:val="0"/>
                                                                  <w:marRight w:val="0"/>
                                                                  <w:marTop w:val="0"/>
                                                                  <w:marBottom w:val="0"/>
                                                                  <w:divBdr>
                                                                    <w:top w:val="none" w:sz="0" w:space="0" w:color="auto"/>
                                                                    <w:left w:val="none" w:sz="0" w:space="0" w:color="auto"/>
                                                                    <w:bottom w:val="none" w:sz="0" w:space="0" w:color="auto"/>
                                                                    <w:right w:val="none" w:sz="0" w:space="0" w:color="auto"/>
                                                                  </w:divBdr>
                                                                  <w:divsChild>
                                                                    <w:div w:id="2032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9197760">
      <w:bodyDiv w:val="1"/>
      <w:marLeft w:val="0"/>
      <w:marRight w:val="0"/>
      <w:marTop w:val="0"/>
      <w:marBottom w:val="0"/>
      <w:divBdr>
        <w:top w:val="none" w:sz="0" w:space="0" w:color="auto"/>
        <w:left w:val="none" w:sz="0" w:space="0" w:color="auto"/>
        <w:bottom w:val="none" w:sz="0" w:space="0" w:color="auto"/>
        <w:right w:val="none" w:sz="0" w:space="0" w:color="auto"/>
      </w:divBdr>
      <w:divsChild>
        <w:div w:id="1398936779">
          <w:marLeft w:val="0"/>
          <w:marRight w:val="0"/>
          <w:marTop w:val="100"/>
          <w:marBottom w:val="100"/>
          <w:divBdr>
            <w:top w:val="none" w:sz="0" w:space="0" w:color="auto"/>
            <w:left w:val="none" w:sz="0" w:space="0" w:color="auto"/>
            <w:bottom w:val="none" w:sz="0" w:space="0" w:color="auto"/>
            <w:right w:val="none" w:sz="0" w:space="0" w:color="auto"/>
          </w:divBdr>
          <w:divsChild>
            <w:div w:id="1686858498">
              <w:marLeft w:val="0"/>
              <w:marRight w:val="0"/>
              <w:marTop w:val="0"/>
              <w:marBottom w:val="0"/>
              <w:divBdr>
                <w:top w:val="none" w:sz="0" w:space="0" w:color="auto"/>
                <w:left w:val="none" w:sz="0" w:space="0" w:color="auto"/>
                <w:bottom w:val="none" w:sz="0" w:space="0" w:color="auto"/>
                <w:right w:val="none" w:sz="0" w:space="0" w:color="auto"/>
              </w:divBdr>
              <w:divsChild>
                <w:div w:id="1585144024">
                  <w:marLeft w:val="105"/>
                  <w:marRight w:val="105"/>
                  <w:marTop w:val="105"/>
                  <w:marBottom w:val="105"/>
                  <w:divBdr>
                    <w:top w:val="none" w:sz="0" w:space="0" w:color="auto"/>
                    <w:left w:val="none" w:sz="0" w:space="0" w:color="auto"/>
                    <w:bottom w:val="none" w:sz="0" w:space="0" w:color="auto"/>
                    <w:right w:val="none" w:sz="0" w:space="0" w:color="auto"/>
                  </w:divBdr>
                  <w:divsChild>
                    <w:div w:id="581766724">
                      <w:marLeft w:val="0"/>
                      <w:marRight w:val="0"/>
                      <w:marTop w:val="0"/>
                      <w:marBottom w:val="0"/>
                      <w:divBdr>
                        <w:top w:val="none" w:sz="0" w:space="0" w:color="auto"/>
                        <w:left w:val="none" w:sz="0" w:space="0" w:color="auto"/>
                        <w:bottom w:val="none" w:sz="0" w:space="0" w:color="auto"/>
                        <w:right w:val="none" w:sz="0" w:space="0" w:color="auto"/>
                      </w:divBdr>
                      <w:divsChild>
                        <w:div w:id="810947683">
                          <w:marLeft w:val="0"/>
                          <w:marRight w:val="0"/>
                          <w:marTop w:val="0"/>
                          <w:marBottom w:val="0"/>
                          <w:divBdr>
                            <w:top w:val="none" w:sz="0" w:space="0" w:color="auto"/>
                            <w:left w:val="none" w:sz="0" w:space="0" w:color="auto"/>
                            <w:bottom w:val="none" w:sz="0" w:space="0" w:color="auto"/>
                            <w:right w:val="none" w:sz="0" w:space="0" w:color="auto"/>
                          </w:divBdr>
                          <w:divsChild>
                            <w:div w:id="374811375">
                              <w:marLeft w:val="0"/>
                              <w:marRight w:val="0"/>
                              <w:marTop w:val="0"/>
                              <w:marBottom w:val="0"/>
                              <w:divBdr>
                                <w:top w:val="none" w:sz="0" w:space="0" w:color="auto"/>
                                <w:left w:val="none" w:sz="0" w:space="0" w:color="auto"/>
                                <w:bottom w:val="none" w:sz="0" w:space="0" w:color="auto"/>
                                <w:right w:val="none" w:sz="0" w:space="0" w:color="auto"/>
                              </w:divBdr>
                              <w:divsChild>
                                <w:div w:id="2115326101">
                                  <w:marLeft w:val="0"/>
                                  <w:marRight w:val="0"/>
                                  <w:marTop w:val="0"/>
                                  <w:marBottom w:val="0"/>
                                  <w:divBdr>
                                    <w:top w:val="none" w:sz="0" w:space="0" w:color="auto"/>
                                    <w:left w:val="none" w:sz="0" w:space="0" w:color="auto"/>
                                    <w:bottom w:val="none" w:sz="0" w:space="0" w:color="auto"/>
                                    <w:right w:val="none" w:sz="0" w:space="0" w:color="auto"/>
                                  </w:divBdr>
                                  <w:divsChild>
                                    <w:div w:id="1506629965">
                                      <w:marLeft w:val="105"/>
                                      <w:marRight w:val="105"/>
                                      <w:marTop w:val="105"/>
                                      <w:marBottom w:val="105"/>
                                      <w:divBdr>
                                        <w:top w:val="none" w:sz="0" w:space="0" w:color="auto"/>
                                        <w:left w:val="none" w:sz="0" w:space="0" w:color="auto"/>
                                        <w:bottom w:val="none" w:sz="0" w:space="0" w:color="auto"/>
                                        <w:right w:val="none" w:sz="0" w:space="0" w:color="auto"/>
                                      </w:divBdr>
                                      <w:divsChild>
                                        <w:div w:id="13725179">
                                          <w:marLeft w:val="0"/>
                                          <w:marRight w:val="0"/>
                                          <w:marTop w:val="0"/>
                                          <w:marBottom w:val="0"/>
                                          <w:divBdr>
                                            <w:top w:val="none" w:sz="0" w:space="0" w:color="auto"/>
                                            <w:left w:val="none" w:sz="0" w:space="0" w:color="auto"/>
                                            <w:bottom w:val="none" w:sz="0" w:space="0" w:color="auto"/>
                                            <w:right w:val="none" w:sz="0" w:space="0" w:color="auto"/>
                                          </w:divBdr>
                                          <w:divsChild>
                                            <w:div w:id="737241332">
                                              <w:marLeft w:val="0"/>
                                              <w:marRight w:val="0"/>
                                              <w:marTop w:val="0"/>
                                              <w:marBottom w:val="0"/>
                                              <w:divBdr>
                                                <w:top w:val="none" w:sz="0" w:space="0" w:color="auto"/>
                                                <w:left w:val="none" w:sz="0" w:space="0" w:color="auto"/>
                                                <w:bottom w:val="none" w:sz="0" w:space="0" w:color="auto"/>
                                                <w:right w:val="none" w:sz="0" w:space="0" w:color="auto"/>
                                              </w:divBdr>
                                              <w:divsChild>
                                                <w:div w:id="452093693">
                                                  <w:marLeft w:val="0"/>
                                                  <w:marRight w:val="0"/>
                                                  <w:marTop w:val="0"/>
                                                  <w:marBottom w:val="0"/>
                                                  <w:divBdr>
                                                    <w:top w:val="none" w:sz="0" w:space="0" w:color="auto"/>
                                                    <w:left w:val="none" w:sz="0" w:space="0" w:color="auto"/>
                                                    <w:bottom w:val="none" w:sz="0" w:space="0" w:color="auto"/>
                                                    <w:right w:val="none" w:sz="0" w:space="0" w:color="auto"/>
                                                  </w:divBdr>
                                                  <w:divsChild>
                                                    <w:div w:id="611396758">
                                                      <w:marLeft w:val="0"/>
                                                      <w:marRight w:val="0"/>
                                                      <w:marTop w:val="0"/>
                                                      <w:marBottom w:val="0"/>
                                                      <w:divBdr>
                                                        <w:top w:val="none" w:sz="0" w:space="0" w:color="auto"/>
                                                        <w:left w:val="none" w:sz="0" w:space="0" w:color="auto"/>
                                                        <w:bottom w:val="none" w:sz="0" w:space="0" w:color="auto"/>
                                                        <w:right w:val="none" w:sz="0" w:space="0" w:color="auto"/>
                                                      </w:divBdr>
                                                      <w:divsChild>
                                                        <w:div w:id="974724689">
                                                          <w:marLeft w:val="0"/>
                                                          <w:marRight w:val="0"/>
                                                          <w:marTop w:val="0"/>
                                                          <w:marBottom w:val="0"/>
                                                          <w:divBdr>
                                                            <w:top w:val="none" w:sz="0" w:space="0" w:color="auto"/>
                                                            <w:left w:val="none" w:sz="0" w:space="0" w:color="auto"/>
                                                            <w:bottom w:val="none" w:sz="0" w:space="0" w:color="auto"/>
                                                            <w:right w:val="none" w:sz="0" w:space="0" w:color="auto"/>
                                                          </w:divBdr>
                                                          <w:divsChild>
                                                            <w:div w:id="1920485499">
                                                              <w:marLeft w:val="0"/>
                                                              <w:marRight w:val="0"/>
                                                              <w:marTop w:val="0"/>
                                                              <w:marBottom w:val="0"/>
                                                              <w:divBdr>
                                                                <w:top w:val="none" w:sz="0" w:space="0" w:color="auto"/>
                                                                <w:left w:val="none" w:sz="0" w:space="0" w:color="auto"/>
                                                                <w:bottom w:val="none" w:sz="0" w:space="0" w:color="auto"/>
                                                                <w:right w:val="none" w:sz="0" w:space="0" w:color="auto"/>
                                                              </w:divBdr>
                                                              <w:divsChild>
                                                                <w:div w:id="1937251887">
                                                                  <w:marLeft w:val="105"/>
                                                                  <w:marRight w:val="105"/>
                                                                  <w:marTop w:val="105"/>
                                                                  <w:marBottom w:val="105"/>
                                                                  <w:divBdr>
                                                                    <w:top w:val="none" w:sz="0" w:space="0" w:color="auto"/>
                                                                    <w:left w:val="none" w:sz="0" w:space="0" w:color="auto"/>
                                                                    <w:bottom w:val="none" w:sz="0" w:space="0" w:color="auto"/>
                                                                    <w:right w:val="none" w:sz="0" w:space="0" w:color="auto"/>
                                                                  </w:divBdr>
                                                                  <w:divsChild>
                                                                    <w:div w:id="1698189274">
                                                                      <w:marLeft w:val="0"/>
                                                                      <w:marRight w:val="0"/>
                                                                      <w:marTop w:val="0"/>
                                                                      <w:marBottom w:val="0"/>
                                                                      <w:divBdr>
                                                                        <w:top w:val="none" w:sz="0" w:space="0" w:color="auto"/>
                                                                        <w:left w:val="none" w:sz="0" w:space="0" w:color="auto"/>
                                                                        <w:bottom w:val="none" w:sz="0" w:space="0" w:color="auto"/>
                                                                        <w:right w:val="none" w:sz="0" w:space="0" w:color="auto"/>
                                                                      </w:divBdr>
                                                                      <w:divsChild>
                                                                        <w:div w:id="1541480806">
                                                                          <w:marLeft w:val="0"/>
                                                                          <w:marRight w:val="0"/>
                                                                          <w:marTop w:val="0"/>
                                                                          <w:marBottom w:val="0"/>
                                                                          <w:divBdr>
                                                                            <w:top w:val="none" w:sz="0" w:space="0" w:color="auto"/>
                                                                            <w:left w:val="none" w:sz="0" w:space="0" w:color="auto"/>
                                                                            <w:bottom w:val="none" w:sz="0" w:space="0" w:color="auto"/>
                                                                            <w:right w:val="none" w:sz="0" w:space="0" w:color="auto"/>
                                                                          </w:divBdr>
                                                                          <w:divsChild>
                                                                            <w:div w:id="1634435033">
                                                                              <w:marLeft w:val="0"/>
                                                                              <w:marRight w:val="0"/>
                                                                              <w:marTop w:val="0"/>
                                                                              <w:marBottom w:val="0"/>
                                                                              <w:divBdr>
                                                                                <w:top w:val="none" w:sz="0" w:space="0" w:color="auto"/>
                                                                                <w:left w:val="none" w:sz="0" w:space="0" w:color="auto"/>
                                                                                <w:bottom w:val="none" w:sz="0" w:space="0" w:color="auto"/>
                                                                                <w:right w:val="none" w:sz="0" w:space="0" w:color="auto"/>
                                                                              </w:divBdr>
                                                                              <w:divsChild>
                                                                                <w:div w:id="787820837">
                                                                                  <w:marLeft w:val="0"/>
                                                                                  <w:marRight w:val="0"/>
                                                                                  <w:marTop w:val="0"/>
                                                                                  <w:marBottom w:val="0"/>
                                                                                  <w:divBdr>
                                                                                    <w:top w:val="none" w:sz="0" w:space="0" w:color="auto"/>
                                                                                    <w:left w:val="none" w:sz="0" w:space="0" w:color="auto"/>
                                                                                    <w:bottom w:val="none" w:sz="0" w:space="0" w:color="auto"/>
                                                                                    <w:right w:val="none" w:sz="0" w:space="0" w:color="auto"/>
                                                                                  </w:divBdr>
                                                                                  <w:divsChild>
                                                                                    <w:div w:id="1714574493">
                                                                                      <w:marLeft w:val="0"/>
                                                                                      <w:marRight w:val="0"/>
                                                                                      <w:marTop w:val="0"/>
                                                                                      <w:marBottom w:val="0"/>
                                                                                      <w:divBdr>
                                                                                        <w:top w:val="none" w:sz="0" w:space="0" w:color="auto"/>
                                                                                        <w:left w:val="none" w:sz="0" w:space="0" w:color="auto"/>
                                                                                        <w:bottom w:val="none" w:sz="0" w:space="0" w:color="auto"/>
                                                                                        <w:right w:val="none" w:sz="0" w:space="0" w:color="auto"/>
                                                                                      </w:divBdr>
                                                                                      <w:divsChild>
                                                                                        <w:div w:id="1128741631">
                                                                                          <w:marLeft w:val="0"/>
                                                                                          <w:marRight w:val="0"/>
                                                                                          <w:marTop w:val="0"/>
                                                                                          <w:marBottom w:val="0"/>
                                                                                          <w:divBdr>
                                                                                            <w:top w:val="none" w:sz="0" w:space="0" w:color="auto"/>
                                                                                            <w:left w:val="none" w:sz="0" w:space="0" w:color="auto"/>
                                                                                            <w:bottom w:val="none" w:sz="0" w:space="0" w:color="auto"/>
                                                                                            <w:right w:val="none" w:sz="0" w:space="0" w:color="auto"/>
                                                                                          </w:divBdr>
                                                                                          <w:divsChild>
                                                                                            <w:div w:id="1121075716">
                                                                                              <w:marLeft w:val="105"/>
                                                                                              <w:marRight w:val="105"/>
                                                                                              <w:marTop w:val="105"/>
                                                                                              <w:marBottom w:val="105"/>
                                                                                              <w:divBdr>
                                                                                                <w:top w:val="none" w:sz="0" w:space="0" w:color="auto"/>
                                                                                                <w:left w:val="none" w:sz="0" w:space="0" w:color="auto"/>
                                                                                                <w:bottom w:val="none" w:sz="0" w:space="0" w:color="auto"/>
                                                                                                <w:right w:val="none" w:sz="0" w:space="0" w:color="auto"/>
                                                                                              </w:divBdr>
                                                                                              <w:divsChild>
                                                                                                <w:div w:id="1336767004">
                                                                                                  <w:marLeft w:val="0"/>
                                                                                                  <w:marRight w:val="0"/>
                                                                                                  <w:marTop w:val="0"/>
                                                                                                  <w:marBottom w:val="0"/>
                                                                                                  <w:divBdr>
                                                                                                    <w:top w:val="none" w:sz="0" w:space="0" w:color="auto"/>
                                                                                                    <w:left w:val="none" w:sz="0" w:space="0" w:color="auto"/>
                                                                                                    <w:bottom w:val="none" w:sz="0" w:space="0" w:color="auto"/>
                                                                                                    <w:right w:val="none" w:sz="0" w:space="0" w:color="auto"/>
                                                                                                  </w:divBdr>
                                                                                                  <w:divsChild>
                                                                                                    <w:div w:id="1278834391">
                                                                                                      <w:marLeft w:val="0"/>
                                                                                                      <w:marRight w:val="0"/>
                                                                                                      <w:marTop w:val="0"/>
                                                                                                      <w:marBottom w:val="0"/>
                                                                                                      <w:divBdr>
                                                                                                        <w:top w:val="none" w:sz="0" w:space="0" w:color="auto"/>
                                                                                                        <w:left w:val="none" w:sz="0" w:space="0" w:color="auto"/>
                                                                                                        <w:bottom w:val="none" w:sz="0" w:space="0" w:color="auto"/>
                                                                                                        <w:right w:val="none" w:sz="0" w:space="0" w:color="auto"/>
                                                                                                      </w:divBdr>
                                                                                                      <w:divsChild>
                                                                                                        <w:div w:id="897281974">
                                                                                                          <w:marLeft w:val="0"/>
                                                                                                          <w:marRight w:val="0"/>
                                                                                                          <w:marTop w:val="0"/>
                                                                                                          <w:marBottom w:val="0"/>
                                                                                                          <w:divBdr>
                                                                                                            <w:top w:val="none" w:sz="0" w:space="0" w:color="auto"/>
                                                                                                            <w:left w:val="none" w:sz="0" w:space="0" w:color="auto"/>
                                                                                                            <w:bottom w:val="none" w:sz="0" w:space="0" w:color="auto"/>
                                                                                                            <w:right w:val="none" w:sz="0" w:space="0" w:color="auto"/>
                                                                                                          </w:divBdr>
                                                                                                          <w:divsChild>
                                                                                                            <w:div w:id="1720739398">
                                                                                                              <w:marLeft w:val="0"/>
                                                                                                              <w:marRight w:val="0"/>
                                                                                                              <w:marTop w:val="0"/>
                                                                                                              <w:marBottom w:val="0"/>
                                                                                                              <w:divBdr>
                                                                                                                <w:top w:val="none" w:sz="0" w:space="0" w:color="auto"/>
                                                                                                                <w:left w:val="none" w:sz="0" w:space="0" w:color="auto"/>
                                                                                                                <w:bottom w:val="none" w:sz="0" w:space="0" w:color="auto"/>
                                                                                                                <w:right w:val="none" w:sz="0" w:space="0" w:color="auto"/>
                                                                                                              </w:divBdr>
                                                                                                              <w:divsChild>
                                                                                                                <w:div w:id="1586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07715">
                                                                                              <w:marLeft w:val="105"/>
                                                                                              <w:marRight w:val="105"/>
                                                                                              <w:marTop w:val="105"/>
                                                                                              <w:marBottom w:val="105"/>
                                                                                              <w:divBdr>
                                                                                                <w:top w:val="none" w:sz="0" w:space="0" w:color="auto"/>
                                                                                                <w:left w:val="none" w:sz="0" w:space="0" w:color="auto"/>
                                                                                                <w:bottom w:val="none" w:sz="0" w:space="0" w:color="auto"/>
                                                                                                <w:right w:val="none" w:sz="0" w:space="0" w:color="auto"/>
                                                                                              </w:divBdr>
                                                                                              <w:divsChild>
                                                                                                <w:div w:id="889346087">
                                                                                                  <w:marLeft w:val="0"/>
                                                                                                  <w:marRight w:val="0"/>
                                                                                                  <w:marTop w:val="0"/>
                                                                                                  <w:marBottom w:val="0"/>
                                                                                                  <w:divBdr>
                                                                                                    <w:top w:val="none" w:sz="0" w:space="0" w:color="auto"/>
                                                                                                    <w:left w:val="none" w:sz="0" w:space="0" w:color="auto"/>
                                                                                                    <w:bottom w:val="none" w:sz="0" w:space="0" w:color="auto"/>
                                                                                                    <w:right w:val="none" w:sz="0" w:space="0" w:color="auto"/>
                                                                                                  </w:divBdr>
                                                                                                  <w:divsChild>
                                                                                                    <w:div w:id="1994137323">
                                                                                                      <w:marLeft w:val="0"/>
                                                                                                      <w:marRight w:val="0"/>
                                                                                                      <w:marTop w:val="0"/>
                                                                                                      <w:marBottom w:val="0"/>
                                                                                                      <w:divBdr>
                                                                                                        <w:top w:val="none" w:sz="0" w:space="0" w:color="auto"/>
                                                                                                        <w:left w:val="none" w:sz="0" w:space="0" w:color="auto"/>
                                                                                                        <w:bottom w:val="none" w:sz="0" w:space="0" w:color="auto"/>
                                                                                                        <w:right w:val="none" w:sz="0" w:space="0" w:color="auto"/>
                                                                                                      </w:divBdr>
                                                                                                      <w:divsChild>
                                                                                                        <w:div w:id="2019500935">
                                                                                                          <w:marLeft w:val="0"/>
                                                                                                          <w:marRight w:val="0"/>
                                                                                                          <w:marTop w:val="0"/>
                                                                                                          <w:marBottom w:val="0"/>
                                                                                                          <w:divBdr>
                                                                                                            <w:top w:val="none" w:sz="0" w:space="0" w:color="auto"/>
                                                                                                            <w:left w:val="none" w:sz="0" w:space="0" w:color="auto"/>
                                                                                                            <w:bottom w:val="none" w:sz="0" w:space="0" w:color="auto"/>
                                                                                                            <w:right w:val="none" w:sz="0" w:space="0" w:color="auto"/>
                                                                                                          </w:divBdr>
                                                                                                          <w:divsChild>
                                                                                                            <w:div w:id="708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933346">
      <w:bodyDiv w:val="1"/>
      <w:marLeft w:val="0"/>
      <w:marRight w:val="0"/>
      <w:marTop w:val="0"/>
      <w:marBottom w:val="0"/>
      <w:divBdr>
        <w:top w:val="none" w:sz="0" w:space="0" w:color="auto"/>
        <w:left w:val="none" w:sz="0" w:space="0" w:color="auto"/>
        <w:bottom w:val="none" w:sz="0" w:space="0" w:color="auto"/>
        <w:right w:val="none" w:sz="0" w:space="0" w:color="auto"/>
      </w:divBdr>
    </w:div>
    <w:div w:id="838081115">
      <w:bodyDiv w:val="1"/>
      <w:marLeft w:val="0"/>
      <w:marRight w:val="0"/>
      <w:marTop w:val="0"/>
      <w:marBottom w:val="0"/>
      <w:divBdr>
        <w:top w:val="none" w:sz="0" w:space="0" w:color="auto"/>
        <w:left w:val="none" w:sz="0" w:space="0" w:color="auto"/>
        <w:bottom w:val="none" w:sz="0" w:space="0" w:color="auto"/>
        <w:right w:val="none" w:sz="0" w:space="0" w:color="auto"/>
      </w:divBdr>
      <w:divsChild>
        <w:div w:id="1292319286">
          <w:marLeft w:val="0"/>
          <w:marRight w:val="0"/>
          <w:marTop w:val="0"/>
          <w:marBottom w:val="0"/>
          <w:divBdr>
            <w:top w:val="none" w:sz="0" w:space="0" w:color="auto"/>
            <w:left w:val="none" w:sz="0" w:space="0" w:color="auto"/>
            <w:bottom w:val="none" w:sz="0" w:space="0" w:color="auto"/>
            <w:right w:val="none" w:sz="0" w:space="0" w:color="auto"/>
          </w:divBdr>
          <w:divsChild>
            <w:div w:id="1844540539">
              <w:marLeft w:val="0"/>
              <w:marRight w:val="0"/>
              <w:marTop w:val="0"/>
              <w:marBottom w:val="0"/>
              <w:divBdr>
                <w:top w:val="none" w:sz="0" w:space="0" w:color="auto"/>
                <w:left w:val="none" w:sz="0" w:space="0" w:color="auto"/>
                <w:bottom w:val="none" w:sz="0" w:space="0" w:color="auto"/>
                <w:right w:val="none" w:sz="0" w:space="0" w:color="auto"/>
              </w:divBdr>
              <w:divsChild>
                <w:div w:id="1110198974">
                  <w:marLeft w:val="0"/>
                  <w:marRight w:val="0"/>
                  <w:marTop w:val="450"/>
                  <w:marBottom w:val="0"/>
                  <w:divBdr>
                    <w:top w:val="none" w:sz="0" w:space="0" w:color="auto"/>
                    <w:left w:val="none" w:sz="0" w:space="0" w:color="auto"/>
                    <w:bottom w:val="none" w:sz="0" w:space="0" w:color="auto"/>
                    <w:right w:val="none" w:sz="0" w:space="0" w:color="auto"/>
                  </w:divBdr>
                  <w:divsChild>
                    <w:div w:id="1670712132">
                      <w:marLeft w:val="-225"/>
                      <w:marRight w:val="-225"/>
                      <w:marTop w:val="0"/>
                      <w:marBottom w:val="0"/>
                      <w:divBdr>
                        <w:top w:val="none" w:sz="0" w:space="0" w:color="auto"/>
                        <w:left w:val="none" w:sz="0" w:space="0" w:color="auto"/>
                        <w:bottom w:val="none" w:sz="0" w:space="0" w:color="auto"/>
                        <w:right w:val="none" w:sz="0" w:space="0" w:color="auto"/>
                      </w:divBdr>
                      <w:divsChild>
                        <w:div w:id="542447090">
                          <w:marLeft w:val="0"/>
                          <w:marRight w:val="0"/>
                          <w:marTop w:val="0"/>
                          <w:marBottom w:val="0"/>
                          <w:divBdr>
                            <w:top w:val="none" w:sz="0" w:space="0" w:color="auto"/>
                            <w:left w:val="none" w:sz="0" w:space="0" w:color="auto"/>
                            <w:bottom w:val="none" w:sz="0" w:space="0" w:color="auto"/>
                            <w:right w:val="none" w:sz="0" w:space="0" w:color="auto"/>
                          </w:divBdr>
                          <w:divsChild>
                            <w:div w:id="1927808598">
                              <w:marLeft w:val="0"/>
                              <w:marRight w:val="0"/>
                              <w:marTop w:val="0"/>
                              <w:marBottom w:val="0"/>
                              <w:divBdr>
                                <w:top w:val="none" w:sz="0" w:space="0" w:color="auto"/>
                                <w:left w:val="none" w:sz="0" w:space="0" w:color="auto"/>
                                <w:bottom w:val="none" w:sz="0" w:space="0" w:color="auto"/>
                                <w:right w:val="none" w:sz="0" w:space="0" w:color="auto"/>
                              </w:divBdr>
                              <w:divsChild>
                                <w:div w:id="1773015955">
                                  <w:marLeft w:val="-150"/>
                                  <w:marRight w:val="-150"/>
                                  <w:marTop w:val="0"/>
                                  <w:marBottom w:val="0"/>
                                  <w:divBdr>
                                    <w:top w:val="none" w:sz="0" w:space="0" w:color="auto"/>
                                    <w:left w:val="none" w:sz="0" w:space="0" w:color="auto"/>
                                    <w:bottom w:val="none" w:sz="0" w:space="0" w:color="auto"/>
                                    <w:right w:val="none" w:sz="0" w:space="0" w:color="auto"/>
                                  </w:divBdr>
                                  <w:divsChild>
                                    <w:div w:id="593441114">
                                      <w:marLeft w:val="0"/>
                                      <w:marRight w:val="0"/>
                                      <w:marTop w:val="0"/>
                                      <w:marBottom w:val="0"/>
                                      <w:divBdr>
                                        <w:top w:val="none" w:sz="0" w:space="0" w:color="auto"/>
                                        <w:left w:val="none" w:sz="0" w:space="0" w:color="auto"/>
                                        <w:bottom w:val="none" w:sz="0" w:space="0" w:color="auto"/>
                                        <w:right w:val="none" w:sz="0" w:space="0" w:color="auto"/>
                                      </w:divBdr>
                                      <w:divsChild>
                                        <w:div w:id="1263759882">
                                          <w:marLeft w:val="0"/>
                                          <w:marRight w:val="0"/>
                                          <w:marTop w:val="0"/>
                                          <w:marBottom w:val="0"/>
                                          <w:divBdr>
                                            <w:top w:val="none" w:sz="0" w:space="0" w:color="auto"/>
                                            <w:left w:val="none" w:sz="0" w:space="0" w:color="auto"/>
                                            <w:bottom w:val="none" w:sz="0" w:space="0" w:color="auto"/>
                                            <w:right w:val="none" w:sz="0" w:space="0" w:color="auto"/>
                                          </w:divBdr>
                                          <w:divsChild>
                                            <w:div w:id="1652908578">
                                              <w:marLeft w:val="0"/>
                                              <w:marRight w:val="0"/>
                                              <w:marTop w:val="0"/>
                                              <w:marBottom w:val="0"/>
                                              <w:divBdr>
                                                <w:top w:val="none" w:sz="0" w:space="0" w:color="auto"/>
                                                <w:left w:val="none" w:sz="0" w:space="0" w:color="auto"/>
                                                <w:bottom w:val="none" w:sz="0" w:space="0" w:color="auto"/>
                                                <w:right w:val="none" w:sz="0" w:space="0" w:color="auto"/>
                                              </w:divBdr>
                                              <w:divsChild>
                                                <w:div w:id="1910772359">
                                                  <w:marLeft w:val="0"/>
                                                  <w:marRight w:val="0"/>
                                                  <w:marTop w:val="0"/>
                                                  <w:marBottom w:val="0"/>
                                                  <w:divBdr>
                                                    <w:top w:val="none" w:sz="0" w:space="0" w:color="auto"/>
                                                    <w:left w:val="none" w:sz="0" w:space="0" w:color="auto"/>
                                                    <w:bottom w:val="none" w:sz="0" w:space="0" w:color="auto"/>
                                                    <w:right w:val="none" w:sz="0" w:space="0" w:color="auto"/>
                                                  </w:divBdr>
                                                  <w:divsChild>
                                                    <w:div w:id="1295331281">
                                                      <w:marLeft w:val="150"/>
                                                      <w:marRight w:val="150"/>
                                                      <w:marTop w:val="150"/>
                                                      <w:marBottom w:val="300"/>
                                                      <w:divBdr>
                                                        <w:top w:val="none" w:sz="0" w:space="0" w:color="auto"/>
                                                        <w:left w:val="none" w:sz="0" w:space="0" w:color="auto"/>
                                                        <w:bottom w:val="none" w:sz="0" w:space="0" w:color="auto"/>
                                                        <w:right w:val="none" w:sz="0" w:space="0" w:color="auto"/>
                                                      </w:divBdr>
                                                      <w:divsChild>
                                                        <w:div w:id="889389388">
                                                          <w:marLeft w:val="0"/>
                                                          <w:marRight w:val="0"/>
                                                          <w:marTop w:val="0"/>
                                                          <w:marBottom w:val="0"/>
                                                          <w:divBdr>
                                                            <w:top w:val="none" w:sz="0" w:space="0" w:color="auto"/>
                                                            <w:left w:val="none" w:sz="0" w:space="0" w:color="auto"/>
                                                            <w:bottom w:val="none" w:sz="0" w:space="0" w:color="auto"/>
                                                            <w:right w:val="none" w:sz="0" w:space="0" w:color="auto"/>
                                                          </w:divBdr>
                                                          <w:divsChild>
                                                            <w:div w:id="38752396">
                                                              <w:marLeft w:val="0"/>
                                                              <w:marRight w:val="0"/>
                                                              <w:marTop w:val="0"/>
                                                              <w:marBottom w:val="0"/>
                                                              <w:divBdr>
                                                                <w:top w:val="none" w:sz="0" w:space="0" w:color="auto"/>
                                                                <w:left w:val="none" w:sz="0" w:space="0" w:color="auto"/>
                                                                <w:bottom w:val="none" w:sz="0" w:space="0" w:color="auto"/>
                                                                <w:right w:val="none" w:sz="0" w:space="0" w:color="auto"/>
                                                              </w:divBdr>
                                                              <w:divsChild>
                                                                <w:div w:id="1122991063">
                                                                  <w:marLeft w:val="0"/>
                                                                  <w:marRight w:val="0"/>
                                                                  <w:marTop w:val="0"/>
                                                                  <w:marBottom w:val="0"/>
                                                                  <w:divBdr>
                                                                    <w:top w:val="none" w:sz="0" w:space="0" w:color="auto"/>
                                                                    <w:left w:val="none" w:sz="0" w:space="0" w:color="auto"/>
                                                                    <w:bottom w:val="none" w:sz="0" w:space="0" w:color="auto"/>
                                                                    <w:right w:val="none" w:sz="0" w:space="0" w:color="auto"/>
                                                                  </w:divBdr>
                                                                  <w:divsChild>
                                                                    <w:div w:id="261307736">
                                                                      <w:marLeft w:val="0"/>
                                                                      <w:marRight w:val="0"/>
                                                                      <w:marTop w:val="0"/>
                                                                      <w:marBottom w:val="0"/>
                                                                      <w:divBdr>
                                                                        <w:top w:val="none" w:sz="0" w:space="0" w:color="auto"/>
                                                                        <w:left w:val="none" w:sz="0" w:space="0" w:color="auto"/>
                                                                        <w:bottom w:val="none" w:sz="0" w:space="0" w:color="auto"/>
                                                                        <w:right w:val="none" w:sz="0" w:space="0" w:color="auto"/>
                                                                      </w:divBdr>
                                                                    </w:div>
                                                                    <w:div w:id="786850615">
                                                                      <w:marLeft w:val="0"/>
                                                                      <w:marRight w:val="0"/>
                                                                      <w:marTop w:val="0"/>
                                                                      <w:marBottom w:val="0"/>
                                                                      <w:divBdr>
                                                                        <w:top w:val="none" w:sz="0" w:space="0" w:color="auto"/>
                                                                        <w:left w:val="none" w:sz="0" w:space="0" w:color="auto"/>
                                                                        <w:bottom w:val="none" w:sz="0" w:space="0" w:color="auto"/>
                                                                        <w:right w:val="none" w:sz="0" w:space="0" w:color="auto"/>
                                                                      </w:divBdr>
                                                                    </w:div>
                                                                    <w:div w:id="803545048">
                                                                      <w:marLeft w:val="0"/>
                                                                      <w:marRight w:val="0"/>
                                                                      <w:marTop w:val="0"/>
                                                                      <w:marBottom w:val="0"/>
                                                                      <w:divBdr>
                                                                        <w:top w:val="none" w:sz="0" w:space="0" w:color="auto"/>
                                                                        <w:left w:val="none" w:sz="0" w:space="0" w:color="auto"/>
                                                                        <w:bottom w:val="none" w:sz="0" w:space="0" w:color="auto"/>
                                                                        <w:right w:val="none" w:sz="0" w:space="0" w:color="auto"/>
                                                                      </w:divBdr>
                                                                    </w:div>
                                                                    <w:div w:id="1800415290">
                                                                      <w:marLeft w:val="0"/>
                                                                      <w:marRight w:val="0"/>
                                                                      <w:marTop w:val="0"/>
                                                                      <w:marBottom w:val="0"/>
                                                                      <w:divBdr>
                                                                        <w:top w:val="none" w:sz="0" w:space="0" w:color="auto"/>
                                                                        <w:left w:val="none" w:sz="0" w:space="0" w:color="auto"/>
                                                                        <w:bottom w:val="none" w:sz="0" w:space="0" w:color="auto"/>
                                                                        <w:right w:val="none" w:sz="0" w:space="0" w:color="auto"/>
                                                                      </w:divBdr>
                                                                    </w:div>
                                                                    <w:div w:id="19944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8303235">
      <w:bodyDiv w:val="1"/>
      <w:marLeft w:val="0"/>
      <w:marRight w:val="0"/>
      <w:marTop w:val="0"/>
      <w:marBottom w:val="0"/>
      <w:divBdr>
        <w:top w:val="none" w:sz="0" w:space="0" w:color="auto"/>
        <w:left w:val="none" w:sz="0" w:space="0" w:color="auto"/>
        <w:bottom w:val="none" w:sz="0" w:space="0" w:color="auto"/>
        <w:right w:val="none" w:sz="0" w:space="0" w:color="auto"/>
      </w:divBdr>
    </w:div>
    <w:div w:id="950556162">
      <w:bodyDiv w:val="1"/>
      <w:marLeft w:val="0"/>
      <w:marRight w:val="0"/>
      <w:marTop w:val="0"/>
      <w:marBottom w:val="0"/>
      <w:divBdr>
        <w:top w:val="none" w:sz="0" w:space="0" w:color="auto"/>
        <w:left w:val="none" w:sz="0" w:space="0" w:color="auto"/>
        <w:bottom w:val="none" w:sz="0" w:space="0" w:color="auto"/>
        <w:right w:val="none" w:sz="0" w:space="0" w:color="auto"/>
      </w:divBdr>
      <w:divsChild>
        <w:div w:id="205531103">
          <w:marLeft w:val="0"/>
          <w:marRight w:val="0"/>
          <w:marTop w:val="0"/>
          <w:marBottom w:val="0"/>
          <w:divBdr>
            <w:top w:val="none" w:sz="0" w:space="0" w:color="auto"/>
            <w:left w:val="none" w:sz="0" w:space="0" w:color="auto"/>
            <w:bottom w:val="none" w:sz="0" w:space="0" w:color="auto"/>
            <w:right w:val="none" w:sz="0" w:space="0" w:color="auto"/>
          </w:divBdr>
          <w:divsChild>
            <w:div w:id="1003819286">
              <w:marLeft w:val="0"/>
              <w:marRight w:val="0"/>
              <w:marTop w:val="0"/>
              <w:marBottom w:val="0"/>
              <w:divBdr>
                <w:top w:val="none" w:sz="0" w:space="0" w:color="auto"/>
                <w:left w:val="none" w:sz="0" w:space="0" w:color="auto"/>
                <w:bottom w:val="none" w:sz="0" w:space="0" w:color="auto"/>
                <w:right w:val="none" w:sz="0" w:space="0" w:color="auto"/>
              </w:divBdr>
              <w:divsChild>
                <w:div w:id="85661676">
                  <w:marLeft w:val="0"/>
                  <w:marRight w:val="0"/>
                  <w:marTop w:val="0"/>
                  <w:marBottom w:val="0"/>
                  <w:divBdr>
                    <w:top w:val="none" w:sz="0" w:space="0" w:color="auto"/>
                    <w:left w:val="none" w:sz="0" w:space="0" w:color="auto"/>
                    <w:bottom w:val="none" w:sz="0" w:space="0" w:color="auto"/>
                    <w:right w:val="none" w:sz="0" w:space="0" w:color="auto"/>
                  </w:divBdr>
                  <w:divsChild>
                    <w:div w:id="1602106041">
                      <w:marLeft w:val="0"/>
                      <w:marRight w:val="0"/>
                      <w:marTop w:val="0"/>
                      <w:marBottom w:val="0"/>
                      <w:divBdr>
                        <w:top w:val="none" w:sz="0" w:space="0" w:color="auto"/>
                        <w:left w:val="none" w:sz="0" w:space="0" w:color="auto"/>
                        <w:bottom w:val="none" w:sz="0" w:space="0" w:color="auto"/>
                        <w:right w:val="none" w:sz="0" w:space="0" w:color="auto"/>
                      </w:divBdr>
                      <w:divsChild>
                        <w:div w:id="1019697905">
                          <w:marLeft w:val="0"/>
                          <w:marRight w:val="0"/>
                          <w:marTop w:val="0"/>
                          <w:marBottom w:val="0"/>
                          <w:divBdr>
                            <w:top w:val="none" w:sz="0" w:space="0" w:color="auto"/>
                            <w:left w:val="none" w:sz="0" w:space="0" w:color="auto"/>
                            <w:bottom w:val="none" w:sz="0" w:space="0" w:color="auto"/>
                            <w:right w:val="none" w:sz="0" w:space="0" w:color="auto"/>
                          </w:divBdr>
                          <w:divsChild>
                            <w:div w:id="1200124857">
                              <w:marLeft w:val="0"/>
                              <w:marRight w:val="0"/>
                              <w:marTop w:val="0"/>
                              <w:marBottom w:val="0"/>
                              <w:divBdr>
                                <w:top w:val="none" w:sz="0" w:space="0" w:color="auto"/>
                                <w:left w:val="none" w:sz="0" w:space="0" w:color="auto"/>
                                <w:bottom w:val="none" w:sz="0" w:space="0" w:color="auto"/>
                                <w:right w:val="none" w:sz="0" w:space="0" w:color="auto"/>
                              </w:divBdr>
                              <w:divsChild>
                                <w:div w:id="1098133319">
                                  <w:marLeft w:val="0"/>
                                  <w:marRight w:val="0"/>
                                  <w:marTop w:val="0"/>
                                  <w:marBottom w:val="0"/>
                                  <w:divBdr>
                                    <w:top w:val="none" w:sz="0" w:space="0" w:color="auto"/>
                                    <w:left w:val="none" w:sz="0" w:space="0" w:color="auto"/>
                                    <w:bottom w:val="none" w:sz="0" w:space="0" w:color="auto"/>
                                    <w:right w:val="none" w:sz="0" w:space="0" w:color="auto"/>
                                  </w:divBdr>
                                  <w:divsChild>
                                    <w:div w:id="679351542">
                                      <w:marLeft w:val="0"/>
                                      <w:marRight w:val="0"/>
                                      <w:marTop w:val="0"/>
                                      <w:marBottom w:val="0"/>
                                      <w:divBdr>
                                        <w:top w:val="none" w:sz="0" w:space="0" w:color="auto"/>
                                        <w:left w:val="none" w:sz="0" w:space="0" w:color="auto"/>
                                        <w:bottom w:val="none" w:sz="0" w:space="0" w:color="auto"/>
                                        <w:right w:val="none" w:sz="0" w:space="0" w:color="auto"/>
                                      </w:divBdr>
                                      <w:divsChild>
                                        <w:div w:id="17212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5179">
      <w:bodyDiv w:val="1"/>
      <w:marLeft w:val="0"/>
      <w:marRight w:val="0"/>
      <w:marTop w:val="0"/>
      <w:marBottom w:val="0"/>
      <w:divBdr>
        <w:top w:val="none" w:sz="0" w:space="0" w:color="auto"/>
        <w:left w:val="none" w:sz="0" w:space="0" w:color="auto"/>
        <w:bottom w:val="none" w:sz="0" w:space="0" w:color="auto"/>
        <w:right w:val="none" w:sz="0" w:space="0" w:color="auto"/>
      </w:divBdr>
    </w:div>
    <w:div w:id="991717924">
      <w:bodyDiv w:val="1"/>
      <w:marLeft w:val="0"/>
      <w:marRight w:val="0"/>
      <w:marTop w:val="0"/>
      <w:marBottom w:val="0"/>
      <w:divBdr>
        <w:top w:val="none" w:sz="0" w:space="0" w:color="auto"/>
        <w:left w:val="none" w:sz="0" w:space="0" w:color="auto"/>
        <w:bottom w:val="none" w:sz="0" w:space="0" w:color="auto"/>
        <w:right w:val="none" w:sz="0" w:space="0" w:color="auto"/>
      </w:divBdr>
      <w:divsChild>
        <w:div w:id="1472482080">
          <w:marLeft w:val="0"/>
          <w:marRight w:val="0"/>
          <w:marTop w:val="0"/>
          <w:marBottom w:val="0"/>
          <w:divBdr>
            <w:top w:val="single" w:sz="6" w:space="0" w:color="EBEBEB"/>
            <w:left w:val="none" w:sz="0" w:space="0" w:color="auto"/>
            <w:bottom w:val="none" w:sz="0" w:space="0" w:color="auto"/>
            <w:right w:val="none" w:sz="0" w:space="0" w:color="auto"/>
          </w:divBdr>
          <w:divsChild>
            <w:div w:id="214632174">
              <w:marLeft w:val="0"/>
              <w:marRight w:val="0"/>
              <w:marTop w:val="0"/>
              <w:marBottom w:val="0"/>
              <w:divBdr>
                <w:top w:val="none" w:sz="0" w:space="0" w:color="auto"/>
                <w:left w:val="none" w:sz="0" w:space="0" w:color="auto"/>
                <w:bottom w:val="none" w:sz="0" w:space="0" w:color="auto"/>
                <w:right w:val="none" w:sz="0" w:space="0" w:color="auto"/>
              </w:divBdr>
              <w:divsChild>
                <w:div w:id="521826239">
                  <w:marLeft w:val="0"/>
                  <w:marRight w:val="0"/>
                  <w:marTop w:val="0"/>
                  <w:marBottom w:val="0"/>
                  <w:divBdr>
                    <w:top w:val="none" w:sz="0" w:space="0" w:color="auto"/>
                    <w:left w:val="none" w:sz="0" w:space="0" w:color="auto"/>
                    <w:bottom w:val="none" w:sz="0" w:space="0" w:color="auto"/>
                    <w:right w:val="none" w:sz="0" w:space="0" w:color="auto"/>
                  </w:divBdr>
                  <w:divsChild>
                    <w:div w:id="1672832902">
                      <w:marLeft w:val="0"/>
                      <w:marRight w:val="0"/>
                      <w:marTop w:val="0"/>
                      <w:marBottom w:val="0"/>
                      <w:divBdr>
                        <w:top w:val="none" w:sz="0" w:space="0" w:color="auto"/>
                        <w:left w:val="none" w:sz="0" w:space="0" w:color="auto"/>
                        <w:bottom w:val="none" w:sz="0" w:space="0" w:color="auto"/>
                        <w:right w:val="none" w:sz="0" w:space="0" w:color="auto"/>
                      </w:divBdr>
                      <w:divsChild>
                        <w:div w:id="1038161240">
                          <w:marLeft w:val="0"/>
                          <w:marRight w:val="0"/>
                          <w:marTop w:val="0"/>
                          <w:marBottom w:val="0"/>
                          <w:divBdr>
                            <w:top w:val="none" w:sz="0" w:space="0" w:color="auto"/>
                            <w:left w:val="none" w:sz="0" w:space="0" w:color="auto"/>
                            <w:bottom w:val="none" w:sz="0" w:space="0" w:color="auto"/>
                            <w:right w:val="none" w:sz="0" w:space="0" w:color="auto"/>
                          </w:divBdr>
                          <w:divsChild>
                            <w:div w:id="729695508">
                              <w:marLeft w:val="0"/>
                              <w:marRight w:val="0"/>
                              <w:marTop w:val="0"/>
                              <w:marBottom w:val="0"/>
                              <w:divBdr>
                                <w:top w:val="none" w:sz="0" w:space="0" w:color="auto"/>
                                <w:left w:val="none" w:sz="0" w:space="0" w:color="auto"/>
                                <w:bottom w:val="none" w:sz="0" w:space="0" w:color="auto"/>
                                <w:right w:val="none" w:sz="0" w:space="0" w:color="auto"/>
                              </w:divBdr>
                              <w:divsChild>
                                <w:div w:id="1049955533">
                                  <w:marLeft w:val="0"/>
                                  <w:marRight w:val="0"/>
                                  <w:marTop w:val="0"/>
                                  <w:marBottom w:val="0"/>
                                  <w:divBdr>
                                    <w:top w:val="none" w:sz="0" w:space="0" w:color="auto"/>
                                    <w:left w:val="none" w:sz="0" w:space="0" w:color="auto"/>
                                    <w:bottom w:val="none" w:sz="0" w:space="0" w:color="auto"/>
                                    <w:right w:val="none" w:sz="0" w:space="0" w:color="auto"/>
                                  </w:divBdr>
                                  <w:divsChild>
                                    <w:div w:id="798645093">
                                      <w:marLeft w:val="0"/>
                                      <w:marRight w:val="180"/>
                                      <w:marTop w:val="0"/>
                                      <w:marBottom w:val="0"/>
                                      <w:divBdr>
                                        <w:top w:val="none" w:sz="0" w:space="0" w:color="auto"/>
                                        <w:left w:val="none" w:sz="0" w:space="0" w:color="auto"/>
                                        <w:bottom w:val="none" w:sz="0" w:space="0" w:color="auto"/>
                                        <w:right w:val="none" w:sz="0" w:space="0" w:color="auto"/>
                                      </w:divBdr>
                                    </w:div>
                                    <w:div w:id="1876850097">
                                      <w:marLeft w:val="0"/>
                                      <w:marRight w:val="0"/>
                                      <w:marTop w:val="0"/>
                                      <w:marBottom w:val="30"/>
                                      <w:divBdr>
                                        <w:top w:val="none" w:sz="0" w:space="0" w:color="auto"/>
                                        <w:left w:val="none" w:sz="0" w:space="0" w:color="auto"/>
                                        <w:bottom w:val="none" w:sz="0" w:space="0" w:color="auto"/>
                                        <w:right w:val="none" w:sz="0" w:space="0" w:color="auto"/>
                                      </w:divBdr>
                                      <w:divsChild>
                                        <w:div w:id="170625311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2978">
      <w:bodyDiv w:val="1"/>
      <w:marLeft w:val="0"/>
      <w:marRight w:val="0"/>
      <w:marTop w:val="0"/>
      <w:marBottom w:val="0"/>
      <w:divBdr>
        <w:top w:val="none" w:sz="0" w:space="0" w:color="auto"/>
        <w:left w:val="none" w:sz="0" w:space="0" w:color="auto"/>
        <w:bottom w:val="none" w:sz="0" w:space="0" w:color="auto"/>
        <w:right w:val="none" w:sz="0" w:space="0" w:color="auto"/>
      </w:divBdr>
    </w:div>
    <w:div w:id="1047487521">
      <w:bodyDiv w:val="1"/>
      <w:marLeft w:val="0"/>
      <w:marRight w:val="0"/>
      <w:marTop w:val="0"/>
      <w:marBottom w:val="0"/>
      <w:divBdr>
        <w:top w:val="none" w:sz="0" w:space="0" w:color="auto"/>
        <w:left w:val="none" w:sz="0" w:space="0" w:color="auto"/>
        <w:bottom w:val="none" w:sz="0" w:space="0" w:color="auto"/>
        <w:right w:val="none" w:sz="0" w:space="0" w:color="auto"/>
      </w:divBdr>
      <w:divsChild>
        <w:div w:id="955916048">
          <w:marLeft w:val="0"/>
          <w:marRight w:val="0"/>
          <w:marTop w:val="0"/>
          <w:marBottom w:val="0"/>
          <w:divBdr>
            <w:top w:val="none" w:sz="0" w:space="0" w:color="auto"/>
            <w:left w:val="none" w:sz="0" w:space="0" w:color="auto"/>
            <w:bottom w:val="none" w:sz="0" w:space="0" w:color="auto"/>
            <w:right w:val="none" w:sz="0" w:space="0" w:color="auto"/>
          </w:divBdr>
          <w:divsChild>
            <w:div w:id="833178741">
              <w:marLeft w:val="0"/>
              <w:marRight w:val="0"/>
              <w:marTop w:val="0"/>
              <w:marBottom w:val="0"/>
              <w:divBdr>
                <w:top w:val="none" w:sz="0" w:space="0" w:color="auto"/>
                <w:left w:val="none" w:sz="0" w:space="0" w:color="auto"/>
                <w:bottom w:val="none" w:sz="0" w:space="0" w:color="auto"/>
                <w:right w:val="none" w:sz="0" w:space="0" w:color="auto"/>
              </w:divBdr>
              <w:divsChild>
                <w:div w:id="25105724">
                  <w:marLeft w:val="0"/>
                  <w:marRight w:val="0"/>
                  <w:marTop w:val="0"/>
                  <w:marBottom w:val="0"/>
                  <w:divBdr>
                    <w:top w:val="none" w:sz="0" w:space="0" w:color="auto"/>
                    <w:left w:val="none" w:sz="0" w:space="0" w:color="auto"/>
                    <w:bottom w:val="none" w:sz="0" w:space="0" w:color="auto"/>
                    <w:right w:val="none" w:sz="0" w:space="0" w:color="auto"/>
                  </w:divBdr>
                  <w:divsChild>
                    <w:div w:id="483349747">
                      <w:marLeft w:val="0"/>
                      <w:marRight w:val="0"/>
                      <w:marTop w:val="0"/>
                      <w:marBottom w:val="0"/>
                      <w:divBdr>
                        <w:top w:val="none" w:sz="0" w:space="0" w:color="auto"/>
                        <w:left w:val="none" w:sz="0" w:space="0" w:color="auto"/>
                        <w:bottom w:val="none" w:sz="0" w:space="0" w:color="auto"/>
                        <w:right w:val="none" w:sz="0" w:space="0" w:color="auto"/>
                      </w:divBdr>
                      <w:divsChild>
                        <w:div w:id="274598983">
                          <w:marLeft w:val="0"/>
                          <w:marRight w:val="0"/>
                          <w:marTop w:val="0"/>
                          <w:marBottom w:val="0"/>
                          <w:divBdr>
                            <w:top w:val="none" w:sz="0" w:space="0" w:color="auto"/>
                            <w:left w:val="none" w:sz="0" w:space="0" w:color="auto"/>
                            <w:bottom w:val="none" w:sz="0" w:space="0" w:color="auto"/>
                            <w:right w:val="none" w:sz="0" w:space="0" w:color="auto"/>
                          </w:divBdr>
                          <w:divsChild>
                            <w:div w:id="1525286946">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sChild>
                                    <w:div w:id="1741633682">
                                      <w:marLeft w:val="0"/>
                                      <w:marRight w:val="0"/>
                                      <w:marTop w:val="0"/>
                                      <w:marBottom w:val="0"/>
                                      <w:divBdr>
                                        <w:top w:val="none" w:sz="0" w:space="0" w:color="auto"/>
                                        <w:left w:val="none" w:sz="0" w:space="0" w:color="auto"/>
                                        <w:bottom w:val="none" w:sz="0" w:space="0" w:color="auto"/>
                                        <w:right w:val="none" w:sz="0" w:space="0" w:color="auto"/>
                                      </w:divBdr>
                                      <w:divsChild>
                                        <w:div w:id="539974518">
                                          <w:marLeft w:val="0"/>
                                          <w:marRight w:val="0"/>
                                          <w:marTop w:val="0"/>
                                          <w:marBottom w:val="0"/>
                                          <w:divBdr>
                                            <w:top w:val="none" w:sz="0" w:space="0" w:color="auto"/>
                                            <w:left w:val="none" w:sz="0" w:space="0" w:color="auto"/>
                                            <w:bottom w:val="none" w:sz="0" w:space="0" w:color="auto"/>
                                            <w:right w:val="none" w:sz="0" w:space="0" w:color="auto"/>
                                          </w:divBdr>
                                          <w:divsChild>
                                            <w:div w:id="1821846962">
                                              <w:marLeft w:val="0"/>
                                              <w:marRight w:val="0"/>
                                              <w:marTop w:val="0"/>
                                              <w:marBottom w:val="0"/>
                                              <w:divBdr>
                                                <w:top w:val="none" w:sz="0" w:space="0" w:color="auto"/>
                                                <w:left w:val="none" w:sz="0" w:space="0" w:color="auto"/>
                                                <w:bottom w:val="none" w:sz="0" w:space="0" w:color="auto"/>
                                                <w:right w:val="none" w:sz="0" w:space="0" w:color="auto"/>
                                              </w:divBdr>
                                              <w:divsChild>
                                                <w:div w:id="1999115668">
                                                  <w:marLeft w:val="0"/>
                                                  <w:marRight w:val="0"/>
                                                  <w:marTop w:val="0"/>
                                                  <w:marBottom w:val="0"/>
                                                  <w:divBdr>
                                                    <w:top w:val="none" w:sz="0" w:space="0" w:color="auto"/>
                                                    <w:left w:val="none" w:sz="0" w:space="0" w:color="auto"/>
                                                    <w:bottom w:val="none" w:sz="0" w:space="0" w:color="auto"/>
                                                    <w:right w:val="none" w:sz="0" w:space="0" w:color="auto"/>
                                                  </w:divBdr>
                                                  <w:divsChild>
                                                    <w:div w:id="648093411">
                                                      <w:marLeft w:val="0"/>
                                                      <w:marRight w:val="0"/>
                                                      <w:marTop w:val="0"/>
                                                      <w:marBottom w:val="0"/>
                                                      <w:divBdr>
                                                        <w:top w:val="none" w:sz="0" w:space="0" w:color="auto"/>
                                                        <w:left w:val="none" w:sz="0" w:space="0" w:color="auto"/>
                                                        <w:bottom w:val="none" w:sz="0" w:space="0" w:color="auto"/>
                                                        <w:right w:val="none" w:sz="0" w:space="0" w:color="auto"/>
                                                      </w:divBdr>
                                                      <w:divsChild>
                                                        <w:div w:id="1701928524">
                                                          <w:marLeft w:val="0"/>
                                                          <w:marRight w:val="0"/>
                                                          <w:marTop w:val="0"/>
                                                          <w:marBottom w:val="0"/>
                                                          <w:divBdr>
                                                            <w:top w:val="none" w:sz="0" w:space="0" w:color="auto"/>
                                                            <w:left w:val="none" w:sz="0" w:space="0" w:color="auto"/>
                                                            <w:bottom w:val="none" w:sz="0" w:space="0" w:color="auto"/>
                                                            <w:right w:val="none" w:sz="0" w:space="0" w:color="auto"/>
                                                          </w:divBdr>
                                                          <w:divsChild>
                                                            <w:div w:id="566572842">
                                                              <w:marLeft w:val="0"/>
                                                              <w:marRight w:val="0"/>
                                                              <w:marTop w:val="0"/>
                                                              <w:marBottom w:val="0"/>
                                                              <w:divBdr>
                                                                <w:top w:val="none" w:sz="0" w:space="0" w:color="auto"/>
                                                                <w:left w:val="none" w:sz="0" w:space="0" w:color="auto"/>
                                                                <w:bottom w:val="none" w:sz="0" w:space="0" w:color="auto"/>
                                                                <w:right w:val="none" w:sz="0" w:space="0" w:color="auto"/>
                                                              </w:divBdr>
                                                              <w:divsChild>
                                                                <w:div w:id="670060887">
                                                                  <w:marLeft w:val="0"/>
                                                                  <w:marRight w:val="0"/>
                                                                  <w:marTop w:val="0"/>
                                                                  <w:marBottom w:val="0"/>
                                                                  <w:divBdr>
                                                                    <w:top w:val="none" w:sz="0" w:space="0" w:color="auto"/>
                                                                    <w:left w:val="none" w:sz="0" w:space="0" w:color="auto"/>
                                                                    <w:bottom w:val="none" w:sz="0" w:space="0" w:color="auto"/>
                                                                    <w:right w:val="none" w:sz="0" w:space="0" w:color="auto"/>
                                                                  </w:divBdr>
                                                                  <w:divsChild>
                                                                    <w:div w:id="191194123">
                                                                      <w:marLeft w:val="0"/>
                                                                      <w:marRight w:val="0"/>
                                                                      <w:marTop w:val="0"/>
                                                                      <w:marBottom w:val="0"/>
                                                                      <w:divBdr>
                                                                        <w:top w:val="none" w:sz="0" w:space="0" w:color="auto"/>
                                                                        <w:left w:val="none" w:sz="0" w:space="0" w:color="auto"/>
                                                                        <w:bottom w:val="none" w:sz="0" w:space="0" w:color="auto"/>
                                                                        <w:right w:val="none" w:sz="0" w:space="0" w:color="auto"/>
                                                                      </w:divBdr>
                                                                      <w:divsChild>
                                                                        <w:div w:id="551889658">
                                                                          <w:marLeft w:val="0"/>
                                                                          <w:marRight w:val="0"/>
                                                                          <w:marTop w:val="0"/>
                                                                          <w:marBottom w:val="0"/>
                                                                          <w:divBdr>
                                                                            <w:top w:val="none" w:sz="0" w:space="0" w:color="auto"/>
                                                                            <w:left w:val="none" w:sz="0" w:space="0" w:color="auto"/>
                                                                            <w:bottom w:val="none" w:sz="0" w:space="0" w:color="auto"/>
                                                                            <w:right w:val="none" w:sz="0" w:space="0" w:color="auto"/>
                                                                          </w:divBdr>
                                                                          <w:divsChild>
                                                                            <w:div w:id="1966345184">
                                                                              <w:marLeft w:val="0"/>
                                                                              <w:marRight w:val="0"/>
                                                                              <w:marTop w:val="0"/>
                                                                              <w:marBottom w:val="0"/>
                                                                              <w:divBdr>
                                                                                <w:top w:val="none" w:sz="0" w:space="0" w:color="auto"/>
                                                                                <w:left w:val="none" w:sz="0" w:space="0" w:color="auto"/>
                                                                                <w:bottom w:val="none" w:sz="0" w:space="0" w:color="auto"/>
                                                                                <w:right w:val="none" w:sz="0" w:space="0" w:color="auto"/>
                                                                              </w:divBdr>
                                                                              <w:divsChild>
                                                                                <w:div w:id="605498471">
                                                                                  <w:marLeft w:val="0"/>
                                                                                  <w:marRight w:val="0"/>
                                                                                  <w:marTop w:val="0"/>
                                                                                  <w:marBottom w:val="0"/>
                                                                                  <w:divBdr>
                                                                                    <w:top w:val="none" w:sz="0" w:space="0" w:color="auto"/>
                                                                                    <w:left w:val="none" w:sz="0" w:space="0" w:color="auto"/>
                                                                                    <w:bottom w:val="none" w:sz="0" w:space="0" w:color="auto"/>
                                                                                    <w:right w:val="none" w:sz="0" w:space="0" w:color="auto"/>
                                                                                  </w:divBdr>
                                                                                  <w:divsChild>
                                                                                    <w:div w:id="705370848">
                                                                                      <w:marLeft w:val="0"/>
                                                                                      <w:marRight w:val="0"/>
                                                                                      <w:marTop w:val="0"/>
                                                                                      <w:marBottom w:val="0"/>
                                                                                      <w:divBdr>
                                                                                        <w:top w:val="none" w:sz="0" w:space="0" w:color="auto"/>
                                                                                        <w:left w:val="none" w:sz="0" w:space="0" w:color="auto"/>
                                                                                        <w:bottom w:val="none" w:sz="0" w:space="0" w:color="auto"/>
                                                                                        <w:right w:val="none" w:sz="0" w:space="0" w:color="auto"/>
                                                                                      </w:divBdr>
                                                                                      <w:divsChild>
                                                                                        <w:div w:id="891383400">
                                                                                          <w:marLeft w:val="0"/>
                                                                                          <w:marRight w:val="0"/>
                                                                                          <w:marTop w:val="0"/>
                                                                                          <w:marBottom w:val="0"/>
                                                                                          <w:divBdr>
                                                                                            <w:top w:val="none" w:sz="0" w:space="0" w:color="auto"/>
                                                                                            <w:left w:val="none" w:sz="0" w:space="0" w:color="auto"/>
                                                                                            <w:bottom w:val="none" w:sz="0" w:space="0" w:color="auto"/>
                                                                                            <w:right w:val="none" w:sz="0" w:space="0" w:color="auto"/>
                                                                                          </w:divBdr>
                                                                                          <w:divsChild>
                                                                                            <w:div w:id="527959385">
                                                                                              <w:marLeft w:val="0"/>
                                                                                              <w:marRight w:val="120"/>
                                                                                              <w:marTop w:val="0"/>
                                                                                              <w:marBottom w:val="150"/>
                                                                                              <w:divBdr>
                                                                                                <w:top w:val="single" w:sz="2" w:space="0" w:color="EFEFEF"/>
                                                                                                <w:left w:val="single" w:sz="6" w:space="0" w:color="EFEFEF"/>
                                                                                                <w:bottom w:val="single" w:sz="6" w:space="0" w:color="E2E2E2"/>
                                                                                                <w:right w:val="single" w:sz="6" w:space="0" w:color="EFEFEF"/>
                                                                                              </w:divBdr>
                                                                                              <w:divsChild>
                                                                                                <w:div w:id="45416996">
                                                                                                  <w:marLeft w:val="0"/>
                                                                                                  <w:marRight w:val="0"/>
                                                                                                  <w:marTop w:val="0"/>
                                                                                                  <w:marBottom w:val="0"/>
                                                                                                  <w:divBdr>
                                                                                                    <w:top w:val="none" w:sz="0" w:space="0" w:color="auto"/>
                                                                                                    <w:left w:val="none" w:sz="0" w:space="0" w:color="auto"/>
                                                                                                    <w:bottom w:val="none" w:sz="0" w:space="0" w:color="auto"/>
                                                                                                    <w:right w:val="none" w:sz="0" w:space="0" w:color="auto"/>
                                                                                                  </w:divBdr>
                                                                                                  <w:divsChild>
                                                                                                    <w:div w:id="464928919">
                                                                                                      <w:marLeft w:val="0"/>
                                                                                                      <w:marRight w:val="0"/>
                                                                                                      <w:marTop w:val="0"/>
                                                                                                      <w:marBottom w:val="0"/>
                                                                                                      <w:divBdr>
                                                                                                        <w:top w:val="none" w:sz="0" w:space="0" w:color="auto"/>
                                                                                                        <w:left w:val="none" w:sz="0" w:space="0" w:color="auto"/>
                                                                                                        <w:bottom w:val="none" w:sz="0" w:space="0" w:color="auto"/>
                                                                                                        <w:right w:val="none" w:sz="0" w:space="0" w:color="auto"/>
                                                                                                      </w:divBdr>
                                                                                                      <w:divsChild>
                                                                                                        <w:div w:id="1210726565">
                                                                                                          <w:marLeft w:val="0"/>
                                                                                                          <w:marRight w:val="0"/>
                                                                                                          <w:marTop w:val="0"/>
                                                                                                          <w:marBottom w:val="0"/>
                                                                                                          <w:divBdr>
                                                                                                            <w:top w:val="none" w:sz="0" w:space="0" w:color="auto"/>
                                                                                                            <w:left w:val="none" w:sz="0" w:space="0" w:color="auto"/>
                                                                                                            <w:bottom w:val="none" w:sz="0" w:space="0" w:color="auto"/>
                                                                                                            <w:right w:val="none" w:sz="0" w:space="0" w:color="auto"/>
                                                                                                          </w:divBdr>
                                                                                                          <w:divsChild>
                                                                                                            <w:div w:id="860162894">
                                                                                                              <w:marLeft w:val="0"/>
                                                                                                              <w:marRight w:val="0"/>
                                                                                                              <w:marTop w:val="0"/>
                                                                                                              <w:marBottom w:val="0"/>
                                                                                                              <w:divBdr>
                                                                                                                <w:top w:val="none" w:sz="0" w:space="0" w:color="auto"/>
                                                                                                                <w:left w:val="none" w:sz="0" w:space="0" w:color="auto"/>
                                                                                                                <w:bottom w:val="none" w:sz="0" w:space="0" w:color="auto"/>
                                                                                                                <w:right w:val="none" w:sz="0" w:space="0" w:color="auto"/>
                                                                                                              </w:divBdr>
                                                                                                              <w:divsChild>
                                                                                                                <w:div w:id="114911007">
                                                                                                                  <w:marLeft w:val="0"/>
                                                                                                                  <w:marRight w:val="0"/>
                                                                                                                  <w:marTop w:val="0"/>
                                                                                                                  <w:marBottom w:val="0"/>
                                                                                                                  <w:divBdr>
                                                                                                                    <w:top w:val="single" w:sz="2" w:space="4" w:color="D8D8D8"/>
                                                                                                                    <w:left w:val="single" w:sz="2" w:space="0" w:color="D8D8D8"/>
                                                                                                                    <w:bottom w:val="single" w:sz="2" w:space="4" w:color="D8D8D8"/>
                                                                                                                    <w:right w:val="single" w:sz="2" w:space="0" w:color="D8D8D8"/>
                                                                                                                  </w:divBdr>
                                                                                                                  <w:divsChild>
                                                                                                                    <w:div w:id="1966040054">
                                                                                                                      <w:marLeft w:val="225"/>
                                                                                                                      <w:marRight w:val="225"/>
                                                                                                                      <w:marTop w:val="75"/>
                                                                                                                      <w:marBottom w:val="75"/>
                                                                                                                      <w:divBdr>
                                                                                                                        <w:top w:val="none" w:sz="0" w:space="0" w:color="auto"/>
                                                                                                                        <w:left w:val="none" w:sz="0" w:space="0" w:color="auto"/>
                                                                                                                        <w:bottom w:val="none" w:sz="0" w:space="0" w:color="auto"/>
                                                                                                                        <w:right w:val="none" w:sz="0" w:space="0" w:color="auto"/>
                                                                                                                      </w:divBdr>
                                                                                                                      <w:divsChild>
                                                                                                                        <w:div w:id="1601639839">
                                                                                                                          <w:marLeft w:val="0"/>
                                                                                                                          <w:marRight w:val="0"/>
                                                                                                                          <w:marTop w:val="0"/>
                                                                                                                          <w:marBottom w:val="0"/>
                                                                                                                          <w:divBdr>
                                                                                                                            <w:top w:val="single" w:sz="6" w:space="0" w:color="auto"/>
                                                                                                                            <w:left w:val="single" w:sz="6" w:space="0" w:color="auto"/>
                                                                                                                            <w:bottom w:val="single" w:sz="6" w:space="0" w:color="auto"/>
                                                                                                                            <w:right w:val="single" w:sz="6" w:space="0" w:color="auto"/>
                                                                                                                          </w:divBdr>
                                                                                                                          <w:divsChild>
                                                                                                                            <w:div w:id="1539469826">
                                                                                                                              <w:marLeft w:val="0"/>
                                                                                                                              <w:marRight w:val="0"/>
                                                                                                                              <w:marTop w:val="0"/>
                                                                                                                              <w:marBottom w:val="0"/>
                                                                                                                              <w:divBdr>
                                                                                                                                <w:top w:val="none" w:sz="0" w:space="0" w:color="auto"/>
                                                                                                                                <w:left w:val="none" w:sz="0" w:space="0" w:color="auto"/>
                                                                                                                                <w:bottom w:val="none" w:sz="0" w:space="0" w:color="auto"/>
                                                                                                                                <w:right w:val="none" w:sz="0" w:space="0" w:color="auto"/>
                                                                                                                              </w:divBdr>
                                                                                                                              <w:divsChild>
                                                                                                                                <w:div w:id="1001741548">
                                                                                                                                  <w:marLeft w:val="0"/>
                                                                                                                                  <w:marRight w:val="0"/>
                                                                                                                                  <w:marTop w:val="0"/>
                                                                                                                                  <w:marBottom w:val="0"/>
                                                                                                                                  <w:divBdr>
                                                                                                                                    <w:top w:val="none" w:sz="0" w:space="0" w:color="auto"/>
                                                                                                                                    <w:left w:val="none" w:sz="0" w:space="0" w:color="auto"/>
                                                                                                                                    <w:bottom w:val="none" w:sz="0" w:space="0" w:color="auto"/>
                                                                                                                                    <w:right w:val="none" w:sz="0" w:space="0" w:color="auto"/>
                                                                                                                                  </w:divBdr>
                                                                                                                                  <w:divsChild>
                                                                                                                                    <w:div w:id="181167512">
                                                                                                                                      <w:marLeft w:val="0"/>
                                                                                                                                      <w:marRight w:val="0"/>
                                                                                                                                      <w:marTop w:val="0"/>
                                                                                                                                      <w:marBottom w:val="0"/>
                                                                                                                                      <w:divBdr>
                                                                                                                                        <w:top w:val="none" w:sz="0" w:space="0" w:color="auto"/>
                                                                                                                                        <w:left w:val="none" w:sz="0" w:space="0" w:color="auto"/>
                                                                                                                                        <w:bottom w:val="none" w:sz="0" w:space="0" w:color="auto"/>
                                                                                                                                        <w:right w:val="none" w:sz="0" w:space="0" w:color="auto"/>
                                                                                                                                      </w:divBdr>
                                                                                                                                    </w:div>
                                                                                                                                    <w:div w:id="1396977724">
                                                                                                                                      <w:marLeft w:val="0"/>
                                                                                                                                      <w:marRight w:val="0"/>
                                                                                                                                      <w:marTop w:val="0"/>
                                                                                                                                      <w:marBottom w:val="0"/>
                                                                                                                                      <w:divBdr>
                                                                                                                                        <w:top w:val="none" w:sz="0" w:space="0" w:color="auto"/>
                                                                                                                                        <w:left w:val="none" w:sz="0" w:space="0" w:color="auto"/>
                                                                                                                                        <w:bottom w:val="none" w:sz="0" w:space="0" w:color="auto"/>
                                                                                                                                        <w:right w:val="none" w:sz="0" w:space="0" w:color="auto"/>
                                                                                                                                      </w:divBdr>
                                                                                                                                    </w:div>
                                                                                                                                  </w:divsChild>
                                                                                                                                </w:div>
                                                                                                                                <w:div w:id="142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500490">
      <w:bodyDiv w:val="1"/>
      <w:marLeft w:val="0"/>
      <w:marRight w:val="0"/>
      <w:marTop w:val="0"/>
      <w:marBottom w:val="0"/>
      <w:divBdr>
        <w:top w:val="none" w:sz="0" w:space="0" w:color="auto"/>
        <w:left w:val="none" w:sz="0" w:space="0" w:color="auto"/>
        <w:bottom w:val="none" w:sz="0" w:space="0" w:color="auto"/>
        <w:right w:val="none" w:sz="0" w:space="0" w:color="auto"/>
      </w:divBdr>
      <w:divsChild>
        <w:div w:id="1105270537">
          <w:marLeft w:val="0"/>
          <w:marRight w:val="0"/>
          <w:marTop w:val="0"/>
          <w:marBottom w:val="0"/>
          <w:divBdr>
            <w:top w:val="none" w:sz="0" w:space="0" w:color="auto"/>
            <w:left w:val="none" w:sz="0" w:space="0" w:color="auto"/>
            <w:bottom w:val="none" w:sz="0" w:space="0" w:color="auto"/>
            <w:right w:val="none" w:sz="0" w:space="0" w:color="auto"/>
          </w:divBdr>
          <w:divsChild>
            <w:div w:id="1949043791">
              <w:marLeft w:val="0"/>
              <w:marRight w:val="0"/>
              <w:marTop w:val="0"/>
              <w:marBottom w:val="0"/>
              <w:divBdr>
                <w:top w:val="none" w:sz="0" w:space="0" w:color="auto"/>
                <w:left w:val="none" w:sz="0" w:space="0" w:color="auto"/>
                <w:bottom w:val="none" w:sz="0" w:space="0" w:color="auto"/>
                <w:right w:val="none" w:sz="0" w:space="0" w:color="auto"/>
              </w:divBdr>
              <w:divsChild>
                <w:div w:id="864476">
                  <w:marLeft w:val="0"/>
                  <w:marRight w:val="0"/>
                  <w:marTop w:val="0"/>
                  <w:marBottom w:val="0"/>
                  <w:divBdr>
                    <w:top w:val="none" w:sz="0" w:space="0" w:color="auto"/>
                    <w:left w:val="none" w:sz="0" w:space="0" w:color="auto"/>
                    <w:bottom w:val="none" w:sz="0" w:space="0" w:color="auto"/>
                    <w:right w:val="none" w:sz="0" w:space="0" w:color="auto"/>
                  </w:divBdr>
                  <w:divsChild>
                    <w:div w:id="1593203408">
                      <w:marLeft w:val="0"/>
                      <w:marRight w:val="0"/>
                      <w:marTop w:val="0"/>
                      <w:marBottom w:val="0"/>
                      <w:divBdr>
                        <w:top w:val="none" w:sz="0" w:space="0" w:color="auto"/>
                        <w:left w:val="none" w:sz="0" w:space="0" w:color="auto"/>
                        <w:bottom w:val="none" w:sz="0" w:space="0" w:color="auto"/>
                        <w:right w:val="none" w:sz="0" w:space="0" w:color="auto"/>
                      </w:divBdr>
                      <w:divsChild>
                        <w:div w:id="278076143">
                          <w:marLeft w:val="0"/>
                          <w:marRight w:val="0"/>
                          <w:marTop w:val="0"/>
                          <w:marBottom w:val="0"/>
                          <w:divBdr>
                            <w:top w:val="none" w:sz="0" w:space="0" w:color="auto"/>
                            <w:left w:val="none" w:sz="0" w:space="0" w:color="auto"/>
                            <w:bottom w:val="none" w:sz="0" w:space="0" w:color="auto"/>
                            <w:right w:val="none" w:sz="0" w:space="0" w:color="auto"/>
                          </w:divBdr>
                          <w:divsChild>
                            <w:div w:id="1576815705">
                              <w:marLeft w:val="0"/>
                              <w:marRight w:val="0"/>
                              <w:marTop w:val="0"/>
                              <w:marBottom w:val="0"/>
                              <w:divBdr>
                                <w:top w:val="none" w:sz="0" w:space="0" w:color="auto"/>
                                <w:left w:val="none" w:sz="0" w:space="0" w:color="auto"/>
                                <w:bottom w:val="none" w:sz="0" w:space="0" w:color="auto"/>
                                <w:right w:val="none" w:sz="0" w:space="0" w:color="auto"/>
                              </w:divBdr>
                              <w:divsChild>
                                <w:div w:id="669672901">
                                  <w:marLeft w:val="0"/>
                                  <w:marRight w:val="0"/>
                                  <w:marTop w:val="0"/>
                                  <w:marBottom w:val="0"/>
                                  <w:divBdr>
                                    <w:top w:val="none" w:sz="0" w:space="0" w:color="auto"/>
                                    <w:left w:val="none" w:sz="0" w:space="0" w:color="auto"/>
                                    <w:bottom w:val="none" w:sz="0" w:space="0" w:color="auto"/>
                                    <w:right w:val="none" w:sz="0" w:space="0" w:color="auto"/>
                                  </w:divBdr>
                                  <w:divsChild>
                                    <w:div w:id="2136174788">
                                      <w:marLeft w:val="0"/>
                                      <w:marRight w:val="0"/>
                                      <w:marTop w:val="0"/>
                                      <w:marBottom w:val="0"/>
                                      <w:divBdr>
                                        <w:top w:val="none" w:sz="0" w:space="0" w:color="auto"/>
                                        <w:left w:val="none" w:sz="0" w:space="0" w:color="auto"/>
                                        <w:bottom w:val="none" w:sz="0" w:space="0" w:color="auto"/>
                                        <w:right w:val="none" w:sz="0" w:space="0" w:color="auto"/>
                                      </w:divBdr>
                                      <w:divsChild>
                                        <w:div w:id="523903231">
                                          <w:marLeft w:val="0"/>
                                          <w:marRight w:val="0"/>
                                          <w:marTop w:val="0"/>
                                          <w:marBottom w:val="0"/>
                                          <w:divBdr>
                                            <w:top w:val="none" w:sz="0" w:space="0" w:color="auto"/>
                                            <w:left w:val="none" w:sz="0" w:space="0" w:color="auto"/>
                                            <w:bottom w:val="none" w:sz="0" w:space="0" w:color="auto"/>
                                            <w:right w:val="none" w:sz="0" w:space="0" w:color="auto"/>
                                          </w:divBdr>
                                        </w:div>
                                        <w:div w:id="1942955294">
                                          <w:marLeft w:val="0"/>
                                          <w:marRight w:val="0"/>
                                          <w:marTop w:val="0"/>
                                          <w:marBottom w:val="0"/>
                                          <w:divBdr>
                                            <w:top w:val="none" w:sz="0" w:space="0" w:color="auto"/>
                                            <w:left w:val="none" w:sz="0" w:space="0" w:color="auto"/>
                                            <w:bottom w:val="none" w:sz="0" w:space="0" w:color="auto"/>
                                            <w:right w:val="none" w:sz="0" w:space="0" w:color="auto"/>
                                          </w:divBdr>
                                        </w:div>
                                        <w:div w:id="20022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280075">
      <w:bodyDiv w:val="1"/>
      <w:marLeft w:val="0"/>
      <w:marRight w:val="0"/>
      <w:marTop w:val="0"/>
      <w:marBottom w:val="0"/>
      <w:divBdr>
        <w:top w:val="none" w:sz="0" w:space="0" w:color="auto"/>
        <w:left w:val="none" w:sz="0" w:space="0" w:color="auto"/>
        <w:bottom w:val="none" w:sz="0" w:space="0" w:color="auto"/>
        <w:right w:val="none" w:sz="0" w:space="0" w:color="auto"/>
      </w:divBdr>
      <w:divsChild>
        <w:div w:id="1638028893">
          <w:marLeft w:val="0"/>
          <w:marRight w:val="0"/>
          <w:marTop w:val="0"/>
          <w:marBottom w:val="0"/>
          <w:divBdr>
            <w:top w:val="none" w:sz="0" w:space="0" w:color="auto"/>
            <w:left w:val="none" w:sz="0" w:space="0" w:color="auto"/>
            <w:bottom w:val="none" w:sz="0" w:space="0" w:color="auto"/>
            <w:right w:val="none" w:sz="0" w:space="0" w:color="auto"/>
          </w:divBdr>
          <w:divsChild>
            <w:div w:id="868765067">
              <w:marLeft w:val="0"/>
              <w:marRight w:val="0"/>
              <w:marTop w:val="0"/>
              <w:marBottom w:val="0"/>
              <w:divBdr>
                <w:top w:val="none" w:sz="0" w:space="0" w:color="auto"/>
                <w:left w:val="none" w:sz="0" w:space="0" w:color="auto"/>
                <w:bottom w:val="none" w:sz="0" w:space="0" w:color="auto"/>
                <w:right w:val="none" w:sz="0" w:space="0" w:color="auto"/>
              </w:divBdr>
              <w:divsChild>
                <w:div w:id="20442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347">
      <w:bodyDiv w:val="1"/>
      <w:marLeft w:val="0"/>
      <w:marRight w:val="0"/>
      <w:marTop w:val="0"/>
      <w:marBottom w:val="0"/>
      <w:divBdr>
        <w:top w:val="none" w:sz="0" w:space="0" w:color="auto"/>
        <w:left w:val="none" w:sz="0" w:space="0" w:color="auto"/>
        <w:bottom w:val="none" w:sz="0" w:space="0" w:color="auto"/>
        <w:right w:val="none" w:sz="0" w:space="0" w:color="auto"/>
      </w:divBdr>
    </w:div>
    <w:div w:id="1189298125">
      <w:bodyDiv w:val="1"/>
      <w:marLeft w:val="0"/>
      <w:marRight w:val="0"/>
      <w:marTop w:val="0"/>
      <w:marBottom w:val="0"/>
      <w:divBdr>
        <w:top w:val="none" w:sz="0" w:space="0" w:color="auto"/>
        <w:left w:val="none" w:sz="0" w:space="0" w:color="auto"/>
        <w:bottom w:val="none" w:sz="0" w:space="0" w:color="auto"/>
        <w:right w:val="none" w:sz="0" w:space="0" w:color="auto"/>
      </w:divBdr>
    </w:div>
    <w:div w:id="1249195385">
      <w:bodyDiv w:val="1"/>
      <w:marLeft w:val="0"/>
      <w:marRight w:val="0"/>
      <w:marTop w:val="0"/>
      <w:marBottom w:val="0"/>
      <w:divBdr>
        <w:top w:val="none" w:sz="0" w:space="0" w:color="auto"/>
        <w:left w:val="none" w:sz="0" w:space="0" w:color="auto"/>
        <w:bottom w:val="none" w:sz="0" w:space="0" w:color="auto"/>
        <w:right w:val="none" w:sz="0" w:space="0" w:color="auto"/>
      </w:divBdr>
    </w:div>
    <w:div w:id="1283731186">
      <w:bodyDiv w:val="1"/>
      <w:marLeft w:val="0"/>
      <w:marRight w:val="0"/>
      <w:marTop w:val="0"/>
      <w:marBottom w:val="0"/>
      <w:divBdr>
        <w:top w:val="none" w:sz="0" w:space="0" w:color="auto"/>
        <w:left w:val="none" w:sz="0" w:space="0" w:color="auto"/>
        <w:bottom w:val="none" w:sz="0" w:space="0" w:color="auto"/>
        <w:right w:val="none" w:sz="0" w:space="0" w:color="auto"/>
      </w:divBdr>
      <w:divsChild>
        <w:div w:id="2110661556">
          <w:marLeft w:val="0"/>
          <w:marRight w:val="0"/>
          <w:marTop w:val="0"/>
          <w:marBottom w:val="0"/>
          <w:divBdr>
            <w:top w:val="none" w:sz="0" w:space="0" w:color="auto"/>
            <w:left w:val="none" w:sz="0" w:space="0" w:color="auto"/>
            <w:bottom w:val="none" w:sz="0" w:space="0" w:color="auto"/>
            <w:right w:val="none" w:sz="0" w:space="0" w:color="auto"/>
          </w:divBdr>
          <w:divsChild>
            <w:div w:id="1873884013">
              <w:marLeft w:val="0"/>
              <w:marRight w:val="0"/>
              <w:marTop w:val="0"/>
              <w:marBottom w:val="0"/>
              <w:divBdr>
                <w:top w:val="none" w:sz="0" w:space="0" w:color="auto"/>
                <w:left w:val="none" w:sz="0" w:space="0" w:color="auto"/>
                <w:bottom w:val="none" w:sz="0" w:space="0" w:color="auto"/>
                <w:right w:val="none" w:sz="0" w:space="0" w:color="auto"/>
              </w:divBdr>
              <w:divsChild>
                <w:div w:id="1579710962">
                  <w:marLeft w:val="0"/>
                  <w:marRight w:val="0"/>
                  <w:marTop w:val="0"/>
                  <w:marBottom w:val="0"/>
                  <w:divBdr>
                    <w:top w:val="none" w:sz="0" w:space="0" w:color="auto"/>
                    <w:left w:val="none" w:sz="0" w:space="0" w:color="auto"/>
                    <w:bottom w:val="none" w:sz="0" w:space="0" w:color="auto"/>
                    <w:right w:val="none" w:sz="0" w:space="0" w:color="auto"/>
                  </w:divBdr>
                  <w:divsChild>
                    <w:div w:id="1645432470">
                      <w:marLeft w:val="0"/>
                      <w:marRight w:val="0"/>
                      <w:marTop w:val="0"/>
                      <w:marBottom w:val="0"/>
                      <w:divBdr>
                        <w:top w:val="none" w:sz="0" w:space="0" w:color="auto"/>
                        <w:left w:val="none" w:sz="0" w:space="0" w:color="auto"/>
                        <w:bottom w:val="none" w:sz="0" w:space="0" w:color="auto"/>
                        <w:right w:val="none" w:sz="0" w:space="0" w:color="auto"/>
                      </w:divBdr>
                      <w:divsChild>
                        <w:div w:id="1837383477">
                          <w:marLeft w:val="0"/>
                          <w:marRight w:val="0"/>
                          <w:marTop w:val="0"/>
                          <w:marBottom w:val="0"/>
                          <w:divBdr>
                            <w:top w:val="none" w:sz="0" w:space="0" w:color="auto"/>
                            <w:left w:val="none" w:sz="0" w:space="0" w:color="auto"/>
                            <w:bottom w:val="none" w:sz="0" w:space="0" w:color="auto"/>
                            <w:right w:val="none" w:sz="0" w:space="0" w:color="auto"/>
                          </w:divBdr>
                          <w:divsChild>
                            <w:div w:id="109279357">
                              <w:marLeft w:val="0"/>
                              <w:marRight w:val="0"/>
                              <w:marTop w:val="0"/>
                              <w:marBottom w:val="0"/>
                              <w:divBdr>
                                <w:top w:val="none" w:sz="0" w:space="0" w:color="auto"/>
                                <w:left w:val="none" w:sz="0" w:space="0" w:color="auto"/>
                                <w:bottom w:val="none" w:sz="0" w:space="0" w:color="auto"/>
                                <w:right w:val="none" w:sz="0" w:space="0" w:color="auto"/>
                              </w:divBdr>
                              <w:divsChild>
                                <w:div w:id="106699851">
                                  <w:marLeft w:val="0"/>
                                  <w:marRight w:val="0"/>
                                  <w:marTop w:val="0"/>
                                  <w:marBottom w:val="0"/>
                                  <w:divBdr>
                                    <w:top w:val="none" w:sz="0" w:space="0" w:color="auto"/>
                                    <w:left w:val="none" w:sz="0" w:space="0" w:color="auto"/>
                                    <w:bottom w:val="none" w:sz="0" w:space="0" w:color="auto"/>
                                    <w:right w:val="none" w:sz="0" w:space="0" w:color="auto"/>
                                  </w:divBdr>
                                  <w:divsChild>
                                    <w:div w:id="1784182495">
                                      <w:marLeft w:val="0"/>
                                      <w:marRight w:val="0"/>
                                      <w:marTop w:val="0"/>
                                      <w:marBottom w:val="0"/>
                                      <w:divBdr>
                                        <w:top w:val="none" w:sz="0" w:space="0" w:color="auto"/>
                                        <w:left w:val="none" w:sz="0" w:space="0" w:color="auto"/>
                                        <w:bottom w:val="none" w:sz="0" w:space="0" w:color="auto"/>
                                        <w:right w:val="none" w:sz="0" w:space="0" w:color="auto"/>
                                      </w:divBdr>
                                      <w:divsChild>
                                        <w:div w:id="1445346257">
                                          <w:marLeft w:val="0"/>
                                          <w:marRight w:val="0"/>
                                          <w:marTop w:val="0"/>
                                          <w:marBottom w:val="0"/>
                                          <w:divBdr>
                                            <w:top w:val="none" w:sz="0" w:space="0" w:color="auto"/>
                                            <w:left w:val="none" w:sz="0" w:space="0" w:color="auto"/>
                                            <w:bottom w:val="none" w:sz="0" w:space="0" w:color="auto"/>
                                            <w:right w:val="none" w:sz="0" w:space="0" w:color="auto"/>
                                          </w:divBdr>
                                          <w:divsChild>
                                            <w:div w:id="1510946608">
                                              <w:marLeft w:val="0"/>
                                              <w:marRight w:val="0"/>
                                              <w:marTop w:val="0"/>
                                              <w:marBottom w:val="0"/>
                                              <w:divBdr>
                                                <w:top w:val="none" w:sz="0" w:space="0" w:color="auto"/>
                                                <w:left w:val="none" w:sz="0" w:space="0" w:color="auto"/>
                                                <w:bottom w:val="none" w:sz="0" w:space="0" w:color="auto"/>
                                                <w:right w:val="none" w:sz="0" w:space="0" w:color="auto"/>
                                              </w:divBdr>
                                              <w:divsChild>
                                                <w:div w:id="16090065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2285204">
                                                      <w:marLeft w:val="0"/>
                                                      <w:marRight w:val="0"/>
                                                      <w:marTop w:val="0"/>
                                                      <w:marBottom w:val="0"/>
                                                      <w:divBdr>
                                                        <w:top w:val="none" w:sz="0" w:space="0" w:color="auto"/>
                                                        <w:left w:val="none" w:sz="0" w:space="0" w:color="auto"/>
                                                        <w:bottom w:val="none" w:sz="0" w:space="0" w:color="auto"/>
                                                        <w:right w:val="none" w:sz="0" w:space="0" w:color="auto"/>
                                                      </w:divBdr>
                                                      <w:divsChild>
                                                        <w:div w:id="567761574">
                                                          <w:marLeft w:val="0"/>
                                                          <w:marRight w:val="0"/>
                                                          <w:marTop w:val="0"/>
                                                          <w:marBottom w:val="0"/>
                                                          <w:divBdr>
                                                            <w:top w:val="none" w:sz="0" w:space="0" w:color="auto"/>
                                                            <w:left w:val="none" w:sz="0" w:space="0" w:color="auto"/>
                                                            <w:bottom w:val="none" w:sz="0" w:space="0" w:color="auto"/>
                                                            <w:right w:val="none" w:sz="0" w:space="0" w:color="auto"/>
                                                          </w:divBdr>
                                                          <w:divsChild>
                                                            <w:div w:id="1148782733">
                                                              <w:marLeft w:val="0"/>
                                                              <w:marRight w:val="0"/>
                                                              <w:marTop w:val="0"/>
                                                              <w:marBottom w:val="0"/>
                                                              <w:divBdr>
                                                                <w:top w:val="none" w:sz="0" w:space="0" w:color="auto"/>
                                                                <w:left w:val="none" w:sz="0" w:space="0" w:color="auto"/>
                                                                <w:bottom w:val="none" w:sz="0" w:space="0" w:color="auto"/>
                                                                <w:right w:val="none" w:sz="0" w:space="0" w:color="auto"/>
                                                              </w:divBdr>
                                                              <w:divsChild>
                                                                <w:div w:id="739523773">
                                                                  <w:marLeft w:val="0"/>
                                                                  <w:marRight w:val="0"/>
                                                                  <w:marTop w:val="0"/>
                                                                  <w:marBottom w:val="0"/>
                                                                  <w:divBdr>
                                                                    <w:top w:val="none" w:sz="0" w:space="0" w:color="auto"/>
                                                                    <w:left w:val="none" w:sz="0" w:space="0" w:color="auto"/>
                                                                    <w:bottom w:val="none" w:sz="0" w:space="0" w:color="auto"/>
                                                                    <w:right w:val="none" w:sz="0" w:space="0" w:color="auto"/>
                                                                  </w:divBdr>
                                                                  <w:divsChild>
                                                                    <w:div w:id="1351567206">
                                                                      <w:marLeft w:val="0"/>
                                                                      <w:marRight w:val="0"/>
                                                                      <w:marTop w:val="0"/>
                                                                      <w:marBottom w:val="0"/>
                                                                      <w:divBdr>
                                                                        <w:top w:val="none" w:sz="0" w:space="0" w:color="auto"/>
                                                                        <w:left w:val="none" w:sz="0" w:space="0" w:color="auto"/>
                                                                        <w:bottom w:val="none" w:sz="0" w:space="0" w:color="auto"/>
                                                                        <w:right w:val="none" w:sz="0" w:space="0" w:color="auto"/>
                                                                      </w:divBdr>
                                                                      <w:divsChild>
                                                                        <w:div w:id="1466391692">
                                                                          <w:marLeft w:val="0"/>
                                                                          <w:marRight w:val="0"/>
                                                                          <w:marTop w:val="0"/>
                                                                          <w:marBottom w:val="0"/>
                                                                          <w:divBdr>
                                                                            <w:top w:val="none" w:sz="0" w:space="0" w:color="auto"/>
                                                                            <w:left w:val="none" w:sz="0" w:space="0" w:color="auto"/>
                                                                            <w:bottom w:val="none" w:sz="0" w:space="0" w:color="auto"/>
                                                                            <w:right w:val="none" w:sz="0" w:space="0" w:color="auto"/>
                                                                          </w:divBdr>
                                                                          <w:divsChild>
                                                                            <w:div w:id="1266616983">
                                                                              <w:marLeft w:val="0"/>
                                                                              <w:marRight w:val="0"/>
                                                                              <w:marTop w:val="0"/>
                                                                              <w:marBottom w:val="0"/>
                                                                              <w:divBdr>
                                                                                <w:top w:val="none" w:sz="0" w:space="0" w:color="auto"/>
                                                                                <w:left w:val="none" w:sz="0" w:space="0" w:color="auto"/>
                                                                                <w:bottom w:val="none" w:sz="0" w:space="0" w:color="auto"/>
                                                                                <w:right w:val="none" w:sz="0" w:space="0" w:color="auto"/>
                                                                              </w:divBdr>
                                                                              <w:divsChild>
                                                                                <w:div w:id="1535078216">
                                                                                  <w:marLeft w:val="0"/>
                                                                                  <w:marRight w:val="0"/>
                                                                                  <w:marTop w:val="0"/>
                                                                                  <w:marBottom w:val="0"/>
                                                                                  <w:divBdr>
                                                                                    <w:top w:val="none" w:sz="0" w:space="0" w:color="auto"/>
                                                                                    <w:left w:val="none" w:sz="0" w:space="0" w:color="auto"/>
                                                                                    <w:bottom w:val="none" w:sz="0" w:space="0" w:color="auto"/>
                                                                                    <w:right w:val="none" w:sz="0" w:space="0" w:color="auto"/>
                                                                                  </w:divBdr>
                                                                                  <w:divsChild>
                                                                                    <w:div w:id="2061711443">
                                                                                      <w:marLeft w:val="0"/>
                                                                                      <w:marRight w:val="0"/>
                                                                                      <w:marTop w:val="0"/>
                                                                                      <w:marBottom w:val="0"/>
                                                                                      <w:divBdr>
                                                                                        <w:top w:val="none" w:sz="0" w:space="0" w:color="auto"/>
                                                                                        <w:left w:val="none" w:sz="0" w:space="0" w:color="auto"/>
                                                                                        <w:bottom w:val="none" w:sz="0" w:space="0" w:color="auto"/>
                                                                                        <w:right w:val="none" w:sz="0" w:space="0" w:color="auto"/>
                                                                                      </w:divBdr>
                                                                                      <w:divsChild>
                                                                                        <w:div w:id="1080981649">
                                                                                          <w:marLeft w:val="0"/>
                                                                                          <w:marRight w:val="0"/>
                                                                                          <w:marTop w:val="0"/>
                                                                                          <w:marBottom w:val="0"/>
                                                                                          <w:divBdr>
                                                                                            <w:top w:val="none" w:sz="0" w:space="0" w:color="auto"/>
                                                                                            <w:left w:val="none" w:sz="0" w:space="0" w:color="auto"/>
                                                                                            <w:bottom w:val="none" w:sz="0" w:space="0" w:color="auto"/>
                                                                                            <w:right w:val="none" w:sz="0" w:space="0" w:color="auto"/>
                                                                                          </w:divBdr>
                                                                                          <w:divsChild>
                                                                                            <w:div w:id="18630070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784134">
                                                                                                  <w:marLeft w:val="0"/>
                                                                                                  <w:marRight w:val="0"/>
                                                                                                  <w:marTop w:val="0"/>
                                                                                                  <w:marBottom w:val="0"/>
                                                                                                  <w:divBdr>
                                                                                                    <w:top w:val="none" w:sz="0" w:space="0" w:color="auto"/>
                                                                                                    <w:left w:val="none" w:sz="0" w:space="0" w:color="auto"/>
                                                                                                    <w:bottom w:val="none" w:sz="0" w:space="0" w:color="auto"/>
                                                                                                    <w:right w:val="none" w:sz="0" w:space="0" w:color="auto"/>
                                                                                                  </w:divBdr>
                                                                                                  <w:divsChild>
                                                                                                    <w:div w:id="1512135643">
                                                                                                      <w:marLeft w:val="0"/>
                                                                                                      <w:marRight w:val="0"/>
                                                                                                      <w:marTop w:val="0"/>
                                                                                                      <w:marBottom w:val="0"/>
                                                                                                      <w:divBdr>
                                                                                                        <w:top w:val="none" w:sz="0" w:space="0" w:color="auto"/>
                                                                                                        <w:left w:val="none" w:sz="0" w:space="0" w:color="auto"/>
                                                                                                        <w:bottom w:val="none" w:sz="0" w:space="0" w:color="auto"/>
                                                                                                        <w:right w:val="none" w:sz="0" w:space="0" w:color="auto"/>
                                                                                                      </w:divBdr>
                                                                                                      <w:divsChild>
                                                                                                        <w:div w:id="171996894">
                                                                                                          <w:marLeft w:val="0"/>
                                                                                                          <w:marRight w:val="0"/>
                                                                                                          <w:marTop w:val="0"/>
                                                                                                          <w:marBottom w:val="0"/>
                                                                                                          <w:divBdr>
                                                                                                            <w:top w:val="none" w:sz="0" w:space="0" w:color="auto"/>
                                                                                                            <w:left w:val="none" w:sz="0" w:space="0" w:color="auto"/>
                                                                                                            <w:bottom w:val="none" w:sz="0" w:space="0" w:color="auto"/>
                                                                                                            <w:right w:val="none" w:sz="0" w:space="0" w:color="auto"/>
                                                                                                          </w:divBdr>
                                                                                                          <w:divsChild>
                                                                                                            <w:div w:id="1625845598">
                                                                                                              <w:marLeft w:val="0"/>
                                                                                                              <w:marRight w:val="0"/>
                                                                                                              <w:marTop w:val="0"/>
                                                                                                              <w:marBottom w:val="0"/>
                                                                                                              <w:divBdr>
                                                                                                                <w:top w:val="none" w:sz="0" w:space="0" w:color="auto"/>
                                                                                                                <w:left w:val="none" w:sz="0" w:space="0" w:color="auto"/>
                                                                                                                <w:bottom w:val="none" w:sz="0" w:space="0" w:color="auto"/>
                                                                                                                <w:right w:val="none" w:sz="0" w:space="0" w:color="auto"/>
                                                                                                              </w:divBdr>
                                                                                                              <w:divsChild>
                                                                                                                <w:div w:id="4100048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9002575">
                                                                                                                      <w:marLeft w:val="225"/>
                                                                                                                      <w:marRight w:val="225"/>
                                                                                                                      <w:marTop w:val="75"/>
                                                                                                                      <w:marBottom w:val="75"/>
                                                                                                                      <w:divBdr>
                                                                                                                        <w:top w:val="none" w:sz="0" w:space="0" w:color="auto"/>
                                                                                                                        <w:left w:val="none" w:sz="0" w:space="0" w:color="auto"/>
                                                                                                                        <w:bottom w:val="none" w:sz="0" w:space="0" w:color="auto"/>
                                                                                                                        <w:right w:val="none" w:sz="0" w:space="0" w:color="auto"/>
                                                                                                                      </w:divBdr>
                                                                                                                      <w:divsChild>
                                                                                                                        <w:div w:id="2080133569">
                                                                                                                          <w:marLeft w:val="0"/>
                                                                                                                          <w:marRight w:val="0"/>
                                                                                                                          <w:marTop w:val="0"/>
                                                                                                                          <w:marBottom w:val="0"/>
                                                                                                                          <w:divBdr>
                                                                                                                            <w:top w:val="single" w:sz="6" w:space="0" w:color="auto"/>
                                                                                                                            <w:left w:val="single" w:sz="6" w:space="0" w:color="auto"/>
                                                                                                                            <w:bottom w:val="single" w:sz="6" w:space="0" w:color="auto"/>
                                                                                                                            <w:right w:val="single" w:sz="6" w:space="0" w:color="auto"/>
                                                                                                                          </w:divBdr>
                                                                                                                          <w:divsChild>
                                                                                                                            <w:div w:id="1409576127">
                                                                                                                              <w:marLeft w:val="0"/>
                                                                                                                              <w:marRight w:val="0"/>
                                                                                                                              <w:marTop w:val="0"/>
                                                                                                                              <w:marBottom w:val="0"/>
                                                                                                                              <w:divBdr>
                                                                                                                                <w:top w:val="none" w:sz="0" w:space="0" w:color="auto"/>
                                                                                                                                <w:left w:val="none" w:sz="0" w:space="0" w:color="auto"/>
                                                                                                                                <w:bottom w:val="none" w:sz="0" w:space="0" w:color="auto"/>
                                                                                                                                <w:right w:val="none" w:sz="0" w:space="0" w:color="auto"/>
                                                                                                                              </w:divBdr>
                                                                                                                              <w:divsChild>
                                                                                                                                <w:div w:id="18050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742821">
      <w:bodyDiv w:val="1"/>
      <w:marLeft w:val="0"/>
      <w:marRight w:val="0"/>
      <w:marTop w:val="0"/>
      <w:marBottom w:val="0"/>
      <w:divBdr>
        <w:top w:val="none" w:sz="0" w:space="0" w:color="auto"/>
        <w:left w:val="none" w:sz="0" w:space="0" w:color="auto"/>
        <w:bottom w:val="none" w:sz="0" w:space="0" w:color="auto"/>
        <w:right w:val="none" w:sz="0" w:space="0" w:color="auto"/>
      </w:divBdr>
      <w:divsChild>
        <w:div w:id="344480303">
          <w:marLeft w:val="0"/>
          <w:marRight w:val="0"/>
          <w:marTop w:val="0"/>
          <w:marBottom w:val="0"/>
          <w:divBdr>
            <w:top w:val="none" w:sz="0" w:space="0" w:color="auto"/>
            <w:left w:val="none" w:sz="0" w:space="0" w:color="auto"/>
            <w:bottom w:val="none" w:sz="0" w:space="0" w:color="auto"/>
            <w:right w:val="none" w:sz="0" w:space="0" w:color="auto"/>
          </w:divBdr>
          <w:divsChild>
            <w:div w:id="1274288197">
              <w:marLeft w:val="0"/>
              <w:marRight w:val="0"/>
              <w:marTop w:val="0"/>
              <w:marBottom w:val="0"/>
              <w:divBdr>
                <w:top w:val="none" w:sz="0" w:space="0" w:color="auto"/>
                <w:left w:val="none" w:sz="0" w:space="0" w:color="auto"/>
                <w:bottom w:val="none" w:sz="0" w:space="0" w:color="auto"/>
                <w:right w:val="none" w:sz="0" w:space="0" w:color="auto"/>
              </w:divBdr>
              <w:divsChild>
                <w:div w:id="443959493">
                  <w:marLeft w:val="0"/>
                  <w:marRight w:val="0"/>
                  <w:marTop w:val="900"/>
                  <w:marBottom w:val="0"/>
                  <w:divBdr>
                    <w:top w:val="none" w:sz="0" w:space="0" w:color="auto"/>
                    <w:left w:val="none" w:sz="0" w:space="0" w:color="auto"/>
                    <w:bottom w:val="none" w:sz="0" w:space="0" w:color="auto"/>
                    <w:right w:val="none" w:sz="0" w:space="0" w:color="auto"/>
                  </w:divBdr>
                  <w:divsChild>
                    <w:div w:id="967204071">
                      <w:marLeft w:val="0"/>
                      <w:marRight w:val="0"/>
                      <w:marTop w:val="0"/>
                      <w:marBottom w:val="0"/>
                      <w:divBdr>
                        <w:top w:val="none" w:sz="0" w:space="0" w:color="auto"/>
                        <w:left w:val="none" w:sz="0" w:space="0" w:color="auto"/>
                        <w:bottom w:val="none" w:sz="0" w:space="0" w:color="auto"/>
                        <w:right w:val="none" w:sz="0" w:space="0" w:color="auto"/>
                      </w:divBdr>
                      <w:divsChild>
                        <w:div w:id="1374650181">
                          <w:marLeft w:val="0"/>
                          <w:marRight w:val="0"/>
                          <w:marTop w:val="0"/>
                          <w:marBottom w:val="0"/>
                          <w:divBdr>
                            <w:top w:val="none" w:sz="0" w:space="0" w:color="auto"/>
                            <w:left w:val="none" w:sz="0" w:space="0" w:color="auto"/>
                            <w:bottom w:val="none" w:sz="0" w:space="0" w:color="auto"/>
                            <w:right w:val="none" w:sz="0" w:space="0" w:color="auto"/>
                          </w:divBdr>
                          <w:divsChild>
                            <w:div w:id="409040239">
                              <w:marLeft w:val="0"/>
                              <w:marRight w:val="0"/>
                              <w:marTop w:val="0"/>
                              <w:marBottom w:val="0"/>
                              <w:divBdr>
                                <w:top w:val="none" w:sz="0" w:space="0" w:color="auto"/>
                                <w:left w:val="none" w:sz="0" w:space="0" w:color="auto"/>
                                <w:bottom w:val="none" w:sz="0" w:space="0" w:color="auto"/>
                                <w:right w:val="none" w:sz="0" w:space="0" w:color="auto"/>
                              </w:divBdr>
                              <w:divsChild>
                                <w:div w:id="1573081962">
                                  <w:marLeft w:val="0"/>
                                  <w:marRight w:val="0"/>
                                  <w:marTop w:val="0"/>
                                  <w:marBottom w:val="600"/>
                                  <w:divBdr>
                                    <w:top w:val="none" w:sz="0" w:space="0" w:color="auto"/>
                                    <w:left w:val="none" w:sz="0" w:space="0" w:color="auto"/>
                                    <w:bottom w:val="none" w:sz="0" w:space="0" w:color="auto"/>
                                    <w:right w:val="none" w:sz="0" w:space="0" w:color="auto"/>
                                  </w:divBdr>
                                  <w:divsChild>
                                    <w:div w:id="17050799">
                                      <w:marLeft w:val="0"/>
                                      <w:marRight w:val="0"/>
                                      <w:marTop w:val="0"/>
                                      <w:marBottom w:val="0"/>
                                      <w:divBdr>
                                        <w:top w:val="none" w:sz="0" w:space="0" w:color="auto"/>
                                        <w:left w:val="none" w:sz="0" w:space="0" w:color="auto"/>
                                        <w:bottom w:val="none" w:sz="0" w:space="0" w:color="auto"/>
                                        <w:right w:val="none" w:sz="0" w:space="0" w:color="auto"/>
                                      </w:divBdr>
                                      <w:divsChild>
                                        <w:div w:id="459955650">
                                          <w:marLeft w:val="0"/>
                                          <w:marRight w:val="0"/>
                                          <w:marTop w:val="0"/>
                                          <w:marBottom w:val="0"/>
                                          <w:divBdr>
                                            <w:top w:val="none" w:sz="0" w:space="0" w:color="auto"/>
                                            <w:left w:val="none" w:sz="0" w:space="0" w:color="auto"/>
                                            <w:bottom w:val="none" w:sz="0" w:space="0" w:color="auto"/>
                                            <w:right w:val="none" w:sz="0" w:space="0" w:color="auto"/>
                                          </w:divBdr>
                                          <w:divsChild>
                                            <w:div w:id="2145001495">
                                              <w:marLeft w:val="0"/>
                                              <w:marRight w:val="0"/>
                                              <w:marTop w:val="0"/>
                                              <w:marBottom w:val="0"/>
                                              <w:divBdr>
                                                <w:top w:val="none" w:sz="0" w:space="0" w:color="auto"/>
                                                <w:left w:val="none" w:sz="0" w:space="0" w:color="auto"/>
                                                <w:bottom w:val="none" w:sz="0" w:space="0" w:color="auto"/>
                                                <w:right w:val="none" w:sz="0" w:space="0" w:color="auto"/>
                                              </w:divBdr>
                                              <w:divsChild>
                                                <w:div w:id="1351956113">
                                                  <w:marLeft w:val="0"/>
                                                  <w:marRight w:val="0"/>
                                                  <w:marTop w:val="0"/>
                                                  <w:marBottom w:val="450"/>
                                                  <w:divBdr>
                                                    <w:top w:val="none" w:sz="0" w:space="0" w:color="auto"/>
                                                    <w:left w:val="none" w:sz="0" w:space="0" w:color="auto"/>
                                                    <w:bottom w:val="none" w:sz="0" w:space="0" w:color="auto"/>
                                                    <w:right w:val="none" w:sz="0" w:space="0" w:color="auto"/>
                                                  </w:divBdr>
                                                  <w:divsChild>
                                                    <w:div w:id="1759448921">
                                                      <w:marLeft w:val="0"/>
                                                      <w:marRight w:val="0"/>
                                                      <w:marTop w:val="0"/>
                                                      <w:marBottom w:val="0"/>
                                                      <w:divBdr>
                                                        <w:top w:val="none" w:sz="0" w:space="0" w:color="auto"/>
                                                        <w:left w:val="none" w:sz="0" w:space="0" w:color="auto"/>
                                                        <w:bottom w:val="none" w:sz="0" w:space="0" w:color="auto"/>
                                                        <w:right w:val="none" w:sz="0" w:space="0" w:color="auto"/>
                                                      </w:divBdr>
                                                      <w:divsChild>
                                                        <w:div w:id="1267497008">
                                                          <w:marLeft w:val="0"/>
                                                          <w:marRight w:val="0"/>
                                                          <w:marTop w:val="0"/>
                                                          <w:marBottom w:val="450"/>
                                                          <w:divBdr>
                                                            <w:top w:val="none" w:sz="0" w:space="0" w:color="auto"/>
                                                            <w:left w:val="none" w:sz="0" w:space="0" w:color="auto"/>
                                                            <w:bottom w:val="none" w:sz="0" w:space="0" w:color="auto"/>
                                                            <w:right w:val="none" w:sz="0" w:space="0" w:color="auto"/>
                                                          </w:divBdr>
                                                          <w:divsChild>
                                                            <w:div w:id="2116320483">
                                                              <w:marLeft w:val="0"/>
                                                              <w:marRight w:val="0"/>
                                                              <w:marTop w:val="0"/>
                                                              <w:marBottom w:val="0"/>
                                                              <w:divBdr>
                                                                <w:top w:val="none" w:sz="0" w:space="0" w:color="auto"/>
                                                                <w:left w:val="none" w:sz="0" w:space="0" w:color="auto"/>
                                                                <w:bottom w:val="none" w:sz="0" w:space="0" w:color="auto"/>
                                                                <w:right w:val="none" w:sz="0" w:space="0" w:color="auto"/>
                                                              </w:divBdr>
                                                              <w:divsChild>
                                                                <w:div w:id="107454944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108117">
      <w:bodyDiv w:val="1"/>
      <w:marLeft w:val="0"/>
      <w:marRight w:val="0"/>
      <w:marTop w:val="0"/>
      <w:marBottom w:val="0"/>
      <w:divBdr>
        <w:top w:val="none" w:sz="0" w:space="0" w:color="auto"/>
        <w:left w:val="none" w:sz="0" w:space="0" w:color="auto"/>
        <w:bottom w:val="none" w:sz="0" w:space="0" w:color="auto"/>
        <w:right w:val="none" w:sz="0" w:space="0" w:color="auto"/>
      </w:divBdr>
    </w:div>
    <w:div w:id="1468859825">
      <w:bodyDiv w:val="1"/>
      <w:marLeft w:val="0"/>
      <w:marRight w:val="0"/>
      <w:marTop w:val="0"/>
      <w:marBottom w:val="0"/>
      <w:divBdr>
        <w:top w:val="none" w:sz="0" w:space="0" w:color="auto"/>
        <w:left w:val="none" w:sz="0" w:space="0" w:color="auto"/>
        <w:bottom w:val="none" w:sz="0" w:space="0" w:color="auto"/>
        <w:right w:val="none" w:sz="0" w:space="0" w:color="auto"/>
      </w:divBdr>
    </w:div>
    <w:div w:id="1510604906">
      <w:bodyDiv w:val="1"/>
      <w:marLeft w:val="0"/>
      <w:marRight w:val="0"/>
      <w:marTop w:val="0"/>
      <w:marBottom w:val="0"/>
      <w:divBdr>
        <w:top w:val="none" w:sz="0" w:space="0" w:color="auto"/>
        <w:left w:val="none" w:sz="0" w:space="0" w:color="auto"/>
        <w:bottom w:val="none" w:sz="0" w:space="0" w:color="auto"/>
        <w:right w:val="none" w:sz="0" w:space="0" w:color="auto"/>
      </w:divBdr>
      <w:divsChild>
        <w:div w:id="1318728383">
          <w:marLeft w:val="0"/>
          <w:marRight w:val="0"/>
          <w:marTop w:val="0"/>
          <w:marBottom w:val="0"/>
          <w:divBdr>
            <w:top w:val="single" w:sz="2" w:space="0" w:color="2E2E2E"/>
            <w:left w:val="single" w:sz="2" w:space="0" w:color="2E2E2E"/>
            <w:bottom w:val="single" w:sz="2" w:space="0" w:color="2E2E2E"/>
            <w:right w:val="single" w:sz="2" w:space="0" w:color="2E2E2E"/>
          </w:divBdr>
          <w:divsChild>
            <w:div w:id="713962735">
              <w:marLeft w:val="0"/>
              <w:marRight w:val="0"/>
              <w:marTop w:val="0"/>
              <w:marBottom w:val="0"/>
              <w:divBdr>
                <w:top w:val="single" w:sz="6" w:space="0" w:color="C9C9C9"/>
                <w:left w:val="none" w:sz="0" w:space="0" w:color="auto"/>
                <w:bottom w:val="none" w:sz="0" w:space="0" w:color="auto"/>
                <w:right w:val="none" w:sz="0" w:space="0" w:color="auto"/>
              </w:divBdr>
              <w:divsChild>
                <w:div w:id="1831211414">
                  <w:marLeft w:val="0"/>
                  <w:marRight w:val="0"/>
                  <w:marTop w:val="0"/>
                  <w:marBottom w:val="0"/>
                  <w:divBdr>
                    <w:top w:val="none" w:sz="0" w:space="0" w:color="auto"/>
                    <w:left w:val="none" w:sz="0" w:space="0" w:color="auto"/>
                    <w:bottom w:val="none" w:sz="0" w:space="0" w:color="auto"/>
                    <w:right w:val="none" w:sz="0" w:space="0" w:color="auto"/>
                  </w:divBdr>
                  <w:divsChild>
                    <w:div w:id="43143490">
                      <w:marLeft w:val="0"/>
                      <w:marRight w:val="0"/>
                      <w:marTop w:val="0"/>
                      <w:marBottom w:val="0"/>
                      <w:divBdr>
                        <w:top w:val="none" w:sz="0" w:space="0" w:color="auto"/>
                        <w:left w:val="none" w:sz="0" w:space="0" w:color="auto"/>
                        <w:bottom w:val="none" w:sz="0" w:space="0" w:color="auto"/>
                        <w:right w:val="none" w:sz="0" w:space="0" w:color="auto"/>
                      </w:divBdr>
                      <w:divsChild>
                        <w:div w:id="1299188243">
                          <w:marLeft w:val="0"/>
                          <w:marRight w:val="0"/>
                          <w:marTop w:val="0"/>
                          <w:marBottom w:val="0"/>
                          <w:divBdr>
                            <w:top w:val="none" w:sz="0" w:space="0" w:color="auto"/>
                            <w:left w:val="none" w:sz="0" w:space="0" w:color="auto"/>
                            <w:bottom w:val="none" w:sz="0" w:space="0" w:color="auto"/>
                            <w:right w:val="none" w:sz="0" w:space="0" w:color="auto"/>
                          </w:divBdr>
                          <w:divsChild>
                            <w:div w:id="181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73931">
      <w:bodyDiv w:val="1"/>
      <w:marLeft w:val="0"/>
      <w:marRight w:val="0"/>
      <w:marTop w:val="0"/>
      <w:marBottom w:val="0"/>
      <w:divBdr>
        <w:top w:val="none" w:sz="0" w:space="0" w:color="auto"/>
        <w:left w:val="none" w:sz="0" w:space="0" w:color="auto"/>
        <w:bottom w:val="none" w:sz="0" w:space="0" w:color="auto"/>
        <w:right w:val="none" w:sz="0" w:space="0" w:color="auto"/>
      </w:divBdr>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697537153">
          <w:marLeft w:val="0"/>
          <w:marRight w:val="0"/>
          <w:marTop w:val="0"/>
          <w:marBottom w:val="0"/>
          <w:divBdr>
            <w:top w:val="none" w:sz="0" w:space="0" w:color="auto"/>
            <w:left w:val="none" w:sz="0" w:space="0" w:color="auto"/>
            <w:bottom w:val="none" w:sz="0" w:space="0" w:color="auto"/>
            <w:right w:val="none" w:sz="0" w:space="0" w:color="auto"/>
          </w:divBdr>
          <w:divsChild>
            <w:div w:id="2138792406">
              <w:marLeft w:val="0"/>
              <w:marRight w:val="0"/>
              <w:marTop w:val="0"/>
              <w:marBottom w:val="0"/>
              <w:divBdr>
                <w:top w:val="none" w:sz="0" w:space="0" w:color="auto"/>
                <w:left w:val="none" w:sz="0" w:space="0" w:color="auto"/>
                <w:bottom w:val="none" w:sz="0" w:space="0" w:color="auto"/>
                <w:right w:val="none" w:sz="0" w:space="0" w:color="auto"/>
              </w:divBdr>
              <w:divsChild>
                <w:div w:id="51586014">
                  <w:marLeft w:val="0"/>
                  <w:marRight w:val="0"/>
                  <w:marTop w:val="0"/>
                  <w:marBottom w:val="0"/>
                  <w:divBdr>
                    <w:top w:val="none" w:sz="0" w:space="0" w:color="auto"/>
                    <w:left w:val="none" w:sz="0" w:space="0" w:color="auto"/>
                    <w:bottom w:val="none" w:sz="0" w:space="0" w:color="auto"/>
                    <w:right w:val="none" w:sz="0" w:space="0" w:color="auto"/>
                  </w:divBdr>
                  <w:divsChild>
                    <w:div w:id="2013798746">
                      <w:marLeft w:val="0"/>
                      <w:marRight w:val="0"/>
                      <w:marTop w:val="0"/>
                      <w:marBottom w:val="0"/>
                      <w:divBdr>
                        <w:top w:val="none" w:sz="0" w:space="0" w:color="auto"/>
                        <w:left w:val="none" w:sz="0" w:space="0" w:color="auto"/>
                        <w:bottom w:val="none" w:sz="0" w:space="0" w:color="auto"/>
                        <w:right w:val="none" w:sz="0" w:space="0" w:color="auto"/>
                      </w:divBdr>
                      <w:divsChild>
                        <w:div w:id="1762144933">
                          <w:marLeft w:val="0"/>
                          <w:marRight w:val="0"/>
                          <w:marTop w:val="0"/>
                          <w:marBottom w:val="0"/>
                          <w:divBdr>
                            <w:top w:val="none" w:sz="0" w:space="0" w:color="auto"/>
                            <w:left w:val="none" w:sz="0" w:space="0" w:color="auto"/>
                            <w:bottom w:val="none" w:sz="0" w:space="0" w:color="auto"/>
                            <w:right w:val="none" w:sz="0" w:space="0" w:color="auto"/>
                          </w:divBdr>
                          <w:divsChild>
                            <w:div w:id="580023247">
                              <w:marLeft w:val="0"/>
                              <w:marRight w:val="0"/>
                              <w:marTop w:val="0"/>
                              <w:marBottom w:val="0"/>
                              <w:divBdr>
                                <w:top w:val="none" w:sz="0" w:space="0" w:color="auto"/>
                                <w:left w:val="none" w:sz="0" w:space="0" w:color="auto"/>
                                <w:bottom w:val="none" w:sz="0" w:space="0" w:color="auto"/>
                                <w:right w:val="none" w:sz="0" w:space="0" w:color="auto"/>
                              </w:divBdr>
                              <w:divsChild>
                                <w:div w:id="801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264196">
      <w:bodyDiv w:val="1"/>
      <w:marLeft w:val="0"/>
      <w:marRight w:val="0"/>
      <w:marTop w:val="0"/>
      <w:marBottom w:val="0"/>
      <w:divBdr>
        <w:top w:val="none" w:sz="0" w:space="0" w:color="auto"/>
        <w:left w:val="none" w:sz="0" w:space="0" w:color="auto"/>
        <w:bottom w:val="none" w:sz="0" w:space="0" w:color="auto"/>
        <w:right w:val="none" w:sz="0" w:space="0" w:color="auto"/>
      </w:divBdr>
    </w:div>
    <w:div w:id="1653411201">
      <w:bodyDiv w:val="1"/>
      <w:marLeft w:val="0"/>
      <w:marRight w:val="0"/>
      <w:marTop w:val="0"/>
      <w:marBottom w:val="0"/>
      <w:divBdr>
        <w:top w:val="none" w:sz="0" w:space="0" w:color="auto"/>
        <w:left w:val="none" w:sz="0" w:space="0" w:color="auto"/>
        <w:bottom w:val="none" w:sz="0" w:space="0" w:color="auto"/>
        <w:right w:val="none" w:sz="0" w:space="0" w:color="auto"/>
      </w:divBdr>
    </w:div>
    <w:div w:id="1669863868">
      <w:bodyDiv w:val="1"/>
      <w:marLeft w:val="0"/>
      <w:marRight w:val="0"/>
      <w:marTop w:val="0"/>
      <w:marBottom w:val="0"/>
      <w:divBdr>
        <w:top w:val="none" w:sz="0" w:space="0" w:color="auto"/>
        <w:left w:val="none" w:sz="0" w:space="0" w:color="auto"/>
        <w:bottom w:val="none" w:sz="0" w:space="0" w:color="auto"/>
        <w:right w:val="none" w:sz="0" w:space="0" w:color="auto"/>
      </w:divBdr>
    </w:div>
    <w:div w:id="1680617660">
      <w:bodyDiv w:val="1"/>
      <w:marLeft w:val="0"/>
      <w:marRight w:val="0"/>
      <w:marTop w:val="0"/>
      <w:marBottom w:val="0"/>
      <w:divBdr>
        <w:top w:val="none" w:sz="0" w:space="0" w:color="auto"/>
        <w:left w:val="none" w:sz="0" w:space="0" w:color="auto"/>
        <w:bottom w:val="none" w:sz="0" w:space="0" w:color="auto"/>
        <w:right w:val="none" w:sz="0" w:space="0" w:color="auto"/>
      </w:divBdr>
      <w:divsChild>
        <w:div w:id="10104905">
          <w:marLeft w:val="0"/>
          <w:marRight w:val="0"/>
          <w:marTop w:val="0"/>
          <w:marBottom w:val="0"/>
          <w:divBdr>
            <w:top w:val="none" w:sz="0" w:space="0" w:color="auto"/>
            <w:left w:val="none" w:sz="0" w:space="0" w:color="auto"/>
            <w:bottom w:val="none" w:sz="0" w:space="0" w:color="auto"/>
            <w:right w:val="none" w:sz="0" w:space="0" w:color="auto"/>
          </w:divBdr>
          <w:divsChild>
            <w:div w:id="1635259316">
              <w:marLeft w:val="0"/>
              <w:marRight w:val="0"/>
              <w:marTop w:val="0"/>
              <w:marBottom w:val="0"/>
              <w:divBdr>
                <w:top w:val="none" w:sz="0" w:space="0" w:color="auto"/>
                <w:left w:val="none" w:sz="0" w:space="0" w:color="auto"/>
                <w:bottom w:val="none" w:sz="0" w:space="0" w:color="auto"/>
                <w:right w:val="none" w:sz="0" w:space="0" w:color="auto"/>
              </w:divBdr>
              <w:divsChild>
                <w:div w:id="6600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9982">
      <w:bodyDiv w:val="1"/>
      <w:marLeft w:val="0"/>
      <w:marRight w:val="0"/>
      <w:marTop w:val="0"/>
      <w:marBottom w:val="0"/>
      <w:divBdr>
        <w:top w:val="none" w:sz="0" w:space="0" w:color="auto"/>
        <w:left w:val="none" w:sz="0" w:space="0" w:color="auto"/>
        <w:bottom w:val="none" w:sz="0" w:space="0" w:color="auto"/>
        <w:right w:val="none" w:sz="0" w:space="0" w:color="auto"/>
      </w:divBdr>
    </w:div>
    <w:div w:id="1847279385">
      <w:bodyDiv w:val="1"/>
      <w:marLeft w:val="0"/>
      <w:marRight w:val="0"/>
      <w:marTop w:val="0"/>
      <w:marBottom w:val="0"/>
      <w:divBdr>
        <w:top w:val="none" w:sz="0" w:space="0" w:color="auto"/>
        <w:left w:val="none" w:sz="0" w:space="0" w:color="auto"/>
        <w:bottom w:val="none" w:sz="0" w:space="0" w:color="auto"/>
        <w:right w:val="none" w:sz="0" w:space="0" w:color="auto"/>
      </w:divBdr>
    </w:div>
    <w:div w:id="1853521162">
      <w:bodyDiv w:val="1"/>
      <w:marLeft w:val="0"/>
      <w:marRight w:val="0"/>
      <w:marTop w:val="0"/>
      <w:marBottom w:val="0"/>
      <w:divBdr>
        <w:top w:val="none" w:sz="0" w:space="0" w:color="auto"/>
        <w:left w:val="none" w:sz="0" w:space="0" w:color="auto"/>
        <w:bottom w:val="none" w:sz="0" w:space="0" w:color="auto"/>
        <w:right w:val="none" w:sz="0" w:space="0" w:color="auto"/>
      </w:divBdr>
    </w:div>
    <w:div w:id="1934580906">
      <w:bodyDiv w:val="1"/>
      <w:marLeft w:val="0"/>
      <w:marRight w:val="0"/>
      <w:marTop w:val="0"/>
      <w:marBottom w:val="0"/>
      <w:divBdr>
        <w:top w:val="none" w:sz="0" w:space="0" w:color="auto"/>
        <w:left w:val="none" w:sz="0" w:space="0" w:color="auto"/>
        <w:bottom w:val="none" w:sz="0" w:space="0" w:color="auto"/>
        <w:right w:val="none" w:sz="0" w:space="0" w:color="auto"/>
      </w:divBdr>
    </w:div>
    <w:div w:id="1953898319">
      <w:bodyDiv w:val="1"/>
      <w:marLeft w:val="0"/>
      <w:marRight w:val="0"/>
      <w:marTop w:val="0"/>
      <w:marBottom w:val="0"/>
      <w:divBdr>
        <w:top w:val="none" w:sz="0" w:space="0" w:color="auto"/>
        <w:left w:val="none" w:sz="0" w:space="0" w:color="auto"/>
        <w:bottom w:val="none" w:sz="0" w:space="0" w:color="auto"/>
        <w:right w:val="none" w:sz="0" w:space="0" w:color="auto"/>
      </w:divBdr>
      <w:divsChild>
        <w:div w:id="1131940844">
          <w:marLeft w:val="0"/>
          <w:marRight w:val="0"/>
          <w:marTop w:val="0"/>
          <w:marBottom w:val="0"/>
          <w:divBdr>
            <w:top w:val="none" w:sz="0" w:space="0" w:color="auto"/>
            <w:left w:val="none" w:sz="0" w:space="0" w:color="auto"/>
            <w:bottom w:val="none" w:sz="0" w:space="0" w:color="auto"/>
            <w:right w:val="none" w:sz="0" w:space="0" w:color="auto"/>
          </w:divBdr>
          <w:divsChild>
            <w:div w:id="1413743298">
              <w:marLeft w:val="0"/>
              <w:marRight w:val="0"/>
              <w:marTop w:val="0"/>
              <w:marBottom w:val="0"/>
              <w:divBdr>
                <w:top w:val="none" w:sz="0" w:space="0" w:color="auto"/>
                <w:left w:val="none" w:sz="0" w:space="0" w:color="auto"/>
                <w:bottom w:val="none" w:sz="0" w:space="0" w:color="auto"/>
                <w:right w:val="none" w:sz="0" w:space="0" w:color="auto"/>
              </w:divBdr>
              <w:divsChild>
                <w:div w:id="1369260712">
                  <w:marLeft w:val="0"/>
                  <w:marRight w:val="0"/>
                  <w:marTop w:val="480"/>
                  <w:marBottom w:val="1200"/>
                  <w:divBdr>
                    <w:top w:val="none" w:sz="0" w:space="0" w:color="auto"/>
                    <w:left w:val="none" w:sz="0" w:space="0" w:color="auto"/>
                    <w:bottom w:val="none" w:sz="0" w:space="0" w:color="auto"/>
                    <w:right w:val="none" w:sz="0" w:space="0" w:color="auto"/>
                  </w:divBdr>
                </w:div>
              </w:divsChild>
            </w:div>
          </w:divsChild>
        </w:div>
      </w:divsChild>
    </w:div>
    <w:div w:id="1967158403">
      <w:bodyDiv w:val="1"/>
      <w:marLeft w:val="0"/>
      <w:marRight w:val="0"/>
      <w:marTop w:val="0"/>
      <w:marBottom w:val="0"/>
      <w:divBdr>
        <w:top w:val="none" w:sz="0" w:space="0" w:color="auto"/>
        <w:left w:val="none" w:sz="0" w:space="0" w:color="auto"/>
        <w:bottom w:val="none" w:sz="0" w:space="0" w:color="auto"/>
        <w:right w:val="none" w:sz="0" w:space="0" w:color="auto"/>
      </w:divBdr>
    </w:div>
    <w:div w:id="2015262318">
      <w:bodyDiv w:val="1"/>
      <w:marLeft w:val="0"/>
      <w:marRight w:val="0"/>
      <w:marTop w:val="0"/>
      <w:marBottom w:val="0"/>
      <w:divBdr>
        <w:top w:val="none" w:sz="0" w:space="0" w:color="auto"/>
        <w:left w:val="none" w:sz="0" w:space="0" w:color="auto"/>
        <w:bottom w:val="none" w:sz="0" w:space="0" w:color="auto"/>
        <w:right w:val="none" w:sz="0" w:space="0" w:color="auto"/>
      </w:divBdr>
    </w:div>
    <w:div w:id="2052729493">
      <w:bodyDiv w:val="1"/>
      <w:marLeft w:val="0"/>
      <w:marRight w:val="0"/>
      <w:marTop w:val="0"/>
      <w:marBottom w:val="0"/>
      <w:divBdr>
        <w:top w:val="none" w:sz="0" w:space="0" w:color="auto"/>
        <w:left w:val="none" w:sz="0" w:space="0" w:color="auto"/>
        <w:bottom w:val="none" w:sz="0" w:space="0" w:color="auto"/>
        <w:right w:val="none" w:sz="0" w:space="0" w:color="auto"/>
      </w:divBdr>
    </w:div>
    <w:div w:id="2108453155">
      <w:bodyDiv w:val="1"/>
      <w:marLeft w:val="0"/>
      <w:marRight w:val="0"/>
      <w:marTop w:val="0"/>
      <w:marBottom w:val="0"/>
      <w:divBdr>
        <w:top w:val="none" w:sz="0" w:space="0" w:color="auto"/>
        <w:left w:val="none" w:sz="0" w:space="0" w:color="auto"/>
        <w:bottom w:val="none" w:sz="0" w:space="0" w:color="auto"/>
        <w:right w:val="none" w:sz="0" w:space="0" w:color="auto"/>
      </w:divBdr>
    </w:div>
    <w:div w:id="21340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xceluser.com/formulas/irr.htm" TargetMode="External"/><Relationship Id="rId18" Type="http://schemas.openxmlformats.org/officeDocument/2006/relationships/hyperlink" Target="http://www.eng.utoledo.edu/~nkissoff/lessons/Lesson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opertymetrics.com/blog/2015/10/28/how-to-use-the-modified-internal-rate-of-return-mirr/" TargetMode="External"/><Relationship Id="rId17" Type="http://schemas.openxmlformats.org/officeDocument/2006/relationships/hyperlink" Target="http://dx.doi.org/10.2139/ssrn.2918744" TargetMode="External"/><Relationship Id="rId2" Type="http://schemas.openxmlformats.org/officeDocument/2006/relationships/numbering" Target="numbering.xml"/><Relationship Id="rId16" Type="http://schemas.openxmlformats.org/officeDocument/2006/relationships/hyperlink" Target="http://dx.doi.org/10.2139/ssrn.2942456" TargetMode="External"/><Relationship Id="rId20" Type="http://schemas.openxmlformats.org/officeDocument/2006/relationships/hyperlink" Target="https://www.propertymetrics.com/blog/2015/10/28/how-to-use-the-modified-internal-rate-of-return-mi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dx.doi.org/10.2139/ssrn.2913905"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exceluser.com/formulas/irr.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x.doi.org/10.2139/ssrn.28996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7DC1-BBEE-40B1-993D-0B30D9B8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8714</Words>
  <Characters>49675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Planning</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kannapiran arjunan</dc:creator>
  <cp:keywords/>
  <dc:description/>
  <cp:lastModifiedBy>kannapiran arjunan</cp:lastModifiedBy>
  <cp:revision>2</cp:revision>
  <cp:lastPrinted>2018-03-02T06:07:00Z</cp:lastPrinted>
  <dcterms:created xsi:type="dcterms:W3CDTF">2020-03-08T09:56:00Z</dcterms:created>
  <dcterms:modified xsi:type="dcterms:W3CDTF">2020-03-08T09:56:00Z</dcterms:modified>
</cp:coreProperties>
</file>