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B1" w:rsidRPr="00445DCB" w:rsidRDefault="00CF43B1" w:rsidP="00AE78ED">
      <w:pPr>
        <w:pStyle w:val="KonuBal"/>
        <w:spacing w:before="0" w:after="0" w:line="360" w:lineRule="auto"/>
        <w:rPr>
          <w:rFonts w:ascii="Times New Roman" w:hAnsi="Times New Roman"/>
          <w:sz w:val="28"/>
          <w:szCs w:val="28"/>
        </w:rPr>
      </w:pPr>
      <w:r w:rsidRPr="00445DCB">
        <w:rPr>
          <w:rFonts w:ascii="Times New Roman" w:hAnsi="Times New Roman"/>
          <w:sz w:val="28"/>
          <w:szCs w:val="28"/>
        </w:rPr>
        <w:t>Relationship Between Financial Performance Of Banks and Stock Revenues: Panel Data Analysis</w:t>
      </w:r>
    </w:p>
    <w:p w:rsidR="00CF43B1" w:rsidRDefault="00CF43B1" w:rsidP="00A9376A">
      <w:pPr>
        <w:jc w:val="both"/>
      </w:pPr>
    </w:p>
    <w:p w:rsidR="00445DCB" w:rsidRPr="00445DCB" w:rsidRDefault="00445DCB" w:rsidP="008A2861">
      <w:pPr>
        <w:jc w:val="center"/>
        <w:rPr>
          <w:b/>
        </w:rPr>
      </w:pPr>
      <w:r w:rsidRPr="00445DCB">
        <w:rPr>
          <w:b/>
        </w:rPr>
        <w:t>Çağatay Başarır</w:t>
      </w:r>
      <w:r w:rsidR="008A2861">
        <w:rPr>
          <w:rStyle w:val="DipnotBavurusu"/>
          <w:b/>
        </w:rPr>
        <w:footnoteReference w:id="2"/>
      </w:r>
      <w:r w:rsidR="008A2861">
        <w:rPr>
          <w:b/>
        </w:rPr>
        <w:tab/>
      </w:r>
      <w:r w:rsidR="007B28D5">
        <w:rPr>
          <w:b/>
        </w:rPr>
        <w:t>Yakup Ülker</w:t>
      </w:r>
      <w:r w:rsidR="008A2861">
        <w:rPr>
          <w:rStyle w:val="DipnotBavurusu"/>
          <w:b/>
        </w:rPr>
        <w:footnoteReference w:id="3"/>
      </w:r>
    </w:p>
    <w:p w:rsidR="00CF43B1" w:rsidRPr="00A9376A" w:rsidRDefault="00CF43B1" w:rsidP="00A9376A">
      <w:pPr>
        <w:jc w:val="both"/>
      </w:pPr>
    </w:p>
    <w:p w:rsidR="00CF43B1" w:rsidRPr="00173ABA" w:rsidRDefault="00CF43B1" w:rsidP="00A9376A">
      <w:pPr>
        <w:jc w:val="both"/>
        <w:rPr>
          <w:b/>
          <w:bCs/>
          <w:lang w:val="en-US"/>
        </w:rPr>
      </w:pPr>
      <w:r w:rsidRPr="00173ABA">
        <w:rPr>
          <w:b/>
          <w:bCs/>
          <w:lang w:val="en-US"/>
        </w:rPr>
        <w:t>Abstract</w:t>
      </w:r>
    </w:p>
    <w:p w:rsidR="00AF0846" w:rsidRPr="0049586A" w:rsidRDefault="00AF0846" w:rsidP="00A9376A">
      <w:pPr>
        <w:jc w:val="both"/>
        <w:rPr>
          <w:lang w:val="en-US"/>
        </w:rPr>
      </w:pPr>
      <w:r w:rsidRPr="0049586A">
        <w:rPr>
          <w:lang w:val="en-US"/>
        </w:rPr>
        <w:t xml:space="preserve">This study aims to find whether there is a relationship between stock returns and financial </w:t>
      </w:r>
      <w:r w:rsidR="00C200F2" w:rsidRPr="0049586A">
        <w:rPr>
          <w:lang w:val="en-US"/>
        </w:rPr>
        <w:t>ratios</w:t>
      </w:r>
      <w:r w:rsidRPr="0049586A">
        <w:rPr>
          <w:lang w:val="en-US"/>
        </w:rPr>
        <w:t xml:space="preserve"> of banks traded in </w:t>
      </w:r>
      <w:r w:rsidRPr="00220CAC">
        <w:rPr>
          <w:lang w:val="en-US"/>
        </w:rPr>
        <w:t>Borsa Istanbul</w:t>
      </w:r>
      <w:r w:rsidRPr="0049586A">
        <w:rPr>
          <w:lang w:val="en-US"/>
        </w:rPr>
        <w:t>.</w:t>
      </w:r>
      <w:r w:rsidR="00220CAC">
        <w:rPr>
          <w:lang w:val="en-US"/>
        </w:rPr>
        <w:t xml:space="preserve"> </w:t>
      </w:r>
      <w:r w:rsidR="00FF65C9" w:rsidRPr="0049586A">
        <w:rPr>
          <w:lang w:val="en-US"/>
        </w:rPr>
        <w:t xml:space="preserve">It is important to introduce this relationship for investors to </w:t>
      </w:r>
      <w:r w:rsidR="00C200F2" w:rsidRPr="0049586A">
        <w:rPr>
          <w:lang w:val="en-US"/>
        </w:rPr>
        <w:t>make an investment decision and also to</w:t>
      </w:r>
      <w:r w:rsidR="00220CAC">
        <w:rPr>
          <w:lang w:val="en-US"/>
        </w:rPr>
        <w:t xml:space="preserve"> suggest which financial ratios are</w:t>
      </w:r>
      <w:r w:rsidR="00C200F2" w:rsidRPr="0049586A">
        <w:rPr>
          <w:lang w:val="en-US"/>
        </w:rPr>
        <w:t xml:space="preserve"> more important. For this purpose, </w:t>
      </w:r>
      <w:r w:rsidR="0049586A">
        <w:rPr>
          <w:lang w:val="en-US"/>
        </w:rPr>
        <w:t xml:space="preserve">quarterly financial ratio </w:t>
      </w:r>
      <w:r w:rsidR="0049586A" w:rsidRPr="0049586A">
        <w:rPr>
          <w:lang w:val="en-US"/>
        </w:rPr>
        <w:t xml:space="preserve">data of the </w:t>
      </w:r>
      <w:r w:rsidR="00E77F3E" w:rsidRPr="0049586A">
        <w:rPr>
          <w:lang w:val="en-US"/>
        </w:rPr>
        <w:t xml:space="preserve">selected banks </w:t>
      </w:r>
      <w:r w:rsidR="0049586A">
        <w:rPr>
          <w:lang w:val="en-US"/>
        </w:rPr>
        <w:t xml:space="preserve">and stock exchange data </w:t>
      </w:r>
      <w:r w:rsidR="0049586A" w:rsidRPr="0049586A">
        <w:rPr>
          <w:lang w:val="en-US"/>
        </w:rPr>
        <w:t xml:space="preserve">between 2002Q1-2013Q2 are </w:t>
      </w:r>
      <w:r w:rsidR="0049586A">
        <w:rPr>
          <w:lang w:val="en-US"/>
        </w:rPr>
        <w:t>analyzed</w:t>
      </w:r>
      <w:r w:rsidR="0049586A" w:rsidRPr="0049586A">
        <w:rPr>
          <w:lang w:val="en-US"/>
        </w:rPr>
        <w:t xml:space="preserve"> by </w:t>
      </w:r>
      <w:r w:rsidR="0049586A">
        <w:rPr>
          <w:lang w:val="en-US"/>
        </w:rPr>
        <w:t xml:space="preserve">Panel Data Method. As a result of the analysis, all the ratios except for the profitability measuring data show significant results at 5 % significance level. </w:t>
      </w:r>
      <w:r w:rsidR="00557E51">
        <w:rPr>
          <w:lang w:val="en-US"/>
        </w:rPr>
        <w:t>A negative relationship is seen between the r</w:t>
      </w:r>
      <w:r w:rsidR="0049586A">
        <w:rPr>
          <w:lang w:val="en-US"/>
        </w:rPr>
        <w:t xml:space="preserve">atio of total credits and ratio of assets to total assets </w:t>
      </w:r>
      <w:r w:rsidR="00557E51">
        <w:rPr>
          <w:lang w:val="en-US"/>
        </w:rPr>
        <w:t xml:space="preserve">measuring the asset quality and the ratio of liquid assets to total assets measuring liquidity position. </w:t>
      </w:r>
      <w:r w:rsidR="0049586A">
        <w:rPr>
          <w:lang w:val="en-US"/>
        </w:rPr>
        <w:t xml:space="preserve">   </w:t>
      </w:r>
    </w:p>
    <w:p w:rsidR="00AF0846" w:rsidRPr="0049586A" w:rsidRDefault="00AF0846" w:rsidP="00A9376A">
      <w:pPr>
        <w:jc w:val="both"/>
        <w:rPr>
          <w:lang w:val="en-US"/>
        </w:rPr>
      </w:pPr>
    </w:p>
    <w:p w:rsidR="00CF43B1" w:rsidRDefault="00B854B3" w:rsidP="00A9376A">
      <w:pPr>
        <w:jc w:val="both"/>
        <w:rPr>
          <w:b/>
          <w:bCs/>
        </w:rPr>
      </w:pPr>
      <w:r>
        <w:rPr>
          <w:b/>
          <w:bCs/>
        </w:rPr>
        <w:t>Jel Classification:</w:t>
      </w:r>
      <w:r w:rsidR="008A2861">
        <w:rPr>
          <w:b/>
          <w:bCs/>
        </w:rPr>
        <w:t xml:space="preserve"> </w:t>
      </w:r>
      <w:r w:rsidR="008A2861" w:rsidRPr="008A2861">
        <w:rPr>
          <w:bCs/>
        </w:rPr>
        <w:t>G21</w:t>
      </w:r>
      <w:r w:rsidR="008A2861">
        <w:rPr>
          <w:b/>
          <w:bCs/>
        </w:rPr>
        <w:t xml:space="preserve">, </w:t>
      </w:r>
      <w:r w:rsidR="008A2861" w:rsidRPr="008A2861">
        <w:rPr>
          <w:bCs/>
        </w:rPr>
        <w:t>C23</w:t>
      </w:r>
      <w:r w:rsidR="006E4F0B">
        <w:rPr>
          <w:bCs/>
        </w:rPr>
        <w:t>, M41,G32</w:t>
      </w:r>
    </w:p>
    <w:p w:rsidR="00B854B3" w:rsidRPr="00A9376A" w:rsidRDefault="00B854B3" w:rsidP="00A9376A">
      <w:pPr>
        <w:jc w:val="both"/>
        <w:rPr>
          <w:b/>
          <w:bCs/>
        </w:rPr>
      </w:pPr>
    </w:p>
    <w:p w:rsidR="00CF43B1" w:rsidRPr="00796E7C" w:rsidRDefault="000F5DE2" w:rsidP="00A9376A">
      <w:pPr>
        <w:jc w:val="both"/>
        <w:rPr>
          <w:b/>
          <w:bCs/>
          <w:lang w:val="en-US"/>
        </w:rPr>
      </w:pPr>
      <w:r>
        <w:rPr>
          <w:b/>
          <w:bCs/>
          <w:lang w:val="en-US"/>
        </w:rPr>
        <w:t xml:space="preserve">1. </w:t>
      </w:r>
      <w:r w:rsidR="00CF43B1" w:rsidRPr="00796E7C">
        <w:rPr>
          <w:b/>
          <w:bCs/>
          <w:lang w:val="en-US"/>
        </w:rPr>
        <w:t>Introduction</w:t>
      </w:r>
    </w:p>
    <w:p w:rsidR="00CF43B1" w:rsidRPr="00796E7C" w:rsidRDefault="00CF43B1" w:rsidP="00A9376A">
      <w:pPr>
        <w:jc w:val="both"/>
        <w:rPr>
          <w:b/>
          <w:bCs/>
          <w:lang w:val="en-US"/>
        </w:rPr>
      </w:pPr>
    </w:p>
    <w:p w:rsidR="00CF43B1" w:rsidRDefault="00796E7C" w:rsidP="00A9376A">
      <w:pPr>
        <w:jc w:val="both"/>
      </w:pPr>
      <w:r w:rsidRPr="00796E7C">
        <w:rPr>
          <w:lang w:val="en-US"/>
        </w:rPr>
        <w:t>Banks are the fundamental component o</w:t>
      </w:r>
      <w:r>
        <w:rPr>
          <w:lang w:val="en-US"/>
        </w:rPr>
        <w:t xml:space="preserve">f the economy. Turkish Banking </w:t>
      </w:r>
      <w:r w:rsidR="00363AE8">
        <w:rPr>
          <w:lang w:val="en-US"/>
        </w:rPr>
        <w:t>environment</w:t>
      </w:r>
      <w:r w:rsidR="00364E61">
        <w:rPr>
          <w:lang w:val="en-US"/>
        </w:rPr>
        <w:t xml:space="preserve"> is a </w:t>
      </w:r>
      <w:r w:rsidR="00364E61" w:rsidRPr="00363AE8">
        <w:rPr>
          <w:lang w:val="en-US"/>
        </w:rPr>
        <w:t>system</w:t>
      </w:r>
      <w:r w:rsidR="00364E61">
        <w:rPr>
          <w:lang w:val="en-US"/>
        </w:rPr>
        <w:t xml:space="preserve"> operating in mixed economy based on the Central Bank of Turkish Republic.</w:t>
      </w:r>
      <w:r w:rsidR="00363AE8">
        <w:rPr>
          <w:lang w:val="en-US"/>
        </w:rPr>
        <w:t xml:space="preserve"> Banks build up the fundamentals of the Banking System in Turkey by putting the individual savings and leading them to </w:t>
      </w:r>
      <w:r w:rsidR="005D1F74">
        <w:rPr>
          <w:lang w:val="en-US"/>
        </w:rPr>
        <w:t>required areas</w:t>
      </w:r>
      <w:r w:rsidR="00D96B54">
        <w:t>.</w:t>
      </w:r>
    </w:p>
    <w:p w:rsidR="00CF43B1" w:rsidRPr="00A9376A" w:rsidRDefault="00273863" w:rsidP="00A9376A">
      <w:pPr>
        <w:jc w:val="both"/>
      </w:pPr>
      <w:r w:rsidRPr="00273863">
        <w:rPr>
          <w:lang w:val="en-US"/>
        </w:rPr>
        <w:t>The relationship between the stock prices and the accounting income items are widely discussed in financial economics literature.</w:t>
      </w:r>
      <w:r>
        <w:rPr>
          <w:lang w:val="en-US"/>
        </w:rPr>
        <w:t xml:space="preserve"> Some of the studies about this relationship </w:t>
      </w:r>
      <w:r w:rsidR="00201AA3">
        <w:rPr>
          <w:lang w:val="en-US"/>
        </w:rPr>
        <w:t>address</w:t>
      </w:r>
      <w:r>
        <w:rPr>
          <w:lang w:val="en-US"/>
        </w:rPr>
        <w:t xml:space="preserve"> the effects of corporation yields on stock prices. Some other group of studies </w:t>
      </w:r>
      <w:r w:rsidR="000D6367">
        <w:rPr>
          <w:lang w:val="en-US"/>
        </w:rPr>
        <w:t>evaluates the changes of stock prices as a predictor of the future yields. These studies revealed that stock prices give precious information</w:t>
      </w:r>
      <w:r w:rsidR="000F5DE2">
        <w:rPr>
          <w:lang w:val="en-US"/>
        </w:rPr>
        <w:t xml:space="preserve"> about estimating future </w:t>
      </w:r>
      <w:r w:rsidR="005E666E">
        <w:rPr>
          <w:lang w:val="en-US"/>
        </w:rPr>
        <w:t>yields [</w:t>
      </w:r>
      <w:r w:rsidR="000F5DE2">
        <w:rPr>
          <w:lang w:val="en-US"/>
        </w:rPr>
        <w:t>1].</w:t>
      </w:r>
    </w:p>
    <w:p w:rsidR="00392E41" w:rsidRPr="00BD6089" w:rsidRDefault="00392E41" w:rsidP="00A9376A">
      <w:pPr>
        <w:jc w:val="both"/>
        <w:rPr>
          <w:lang w:val="en-US"/>
        </w:rPr>
      </w:pPr>
      <w:r w:rsidRPr="00BD6089">
        <w:rPr>
          <w:lang w:val="en-US"/>
        </w:rPr>
        <w:t xml:space="preserve">The aim of this study is to give effective information to the investors </w:t>
      </w:r>
      <w:r w:rsidR="00A950EF" w:rsidRPr="00BD6089">
        <w:rPr>
          <w:lang w:val="en-US"/>
        </w:rPr>
        <w:t xml:space="preserve">investing in banks stocks </w:t>
      </w:r>
      <w:r w:rsidR="0071799B" w:rsidRPr="00BD6089">
        <w:rPr>
          <w:lang w:val="en-US"/>
        </w:rPr>
        <w:t xml:space="preserve">in Borsa </w:t>
      </w:r>
      <w:r w:rsidR="00BF2F8D">
        <w:rPr>
          <w:lang w:val="en-US"/>
        </w:rPr>
        <w:t>I</w:t>
      </w:r>
      <w:r w:rsidR="0071799B" w:rsidRPr="00BD6089">
        <w:rPr>
          <w:lang w:val="en-US"/>
        </w:rPr>
        <w:t xml:space="preserve">stanbul </w:t>
      </w:r>
      <w:r w:rsidR="00A950EF" w:rsidRPr="00BD6089">
        <w:rPr>
          <w:lang w:val="en-US"/>
        </w:rPr>
        <w:t>to gain profit</w:t>
      </w:r>
      <w:r w:rsidR="0071799B" w:rsidRPr="00BD6089">
        <w:rPr>
          <w:lang w:val="en-US"/>
        </w:rPr>
        <w:t>. For this purpose, the relationship</w:t>
      </w:r>
      <w:r w:rsidR="002007A9" w:rsidRPr="00BD6089">
        <w:rPr>
          <w:lang w:val="en-US"/>
        </w:rPr>
        <w:t xml:space="preserve"> between 10 bank stock returns and financial </w:t>
      </w:r>
      <w:r w:rsidR="00BF2F8D">
        <w:rPr>
          <w:lang w:val="en-US"/>
        </w:rPr>
        <w:t>ratios of these banks in Borsa I</w:t>
      </w:r>
      <w:r w:rsidR="002007A9" w:rsidRPr="00BD6089">
        <w:rPr>
          <w:lang w:val="en-US"/>
        </w:rPr>
        <w:t>stanbul XU100.</w:t>
      </w:r>
      <w:r w:rsidR="00BD6089">
        <w:rPr>
          <w:lang w:val="en-US"/>
        </w:rPr>
        <w:t xml:space="preserve"> I</w:t>
      </w:r>
      <w:r w:rsidR="00BD6089" w:rsidRPr="00BD6089">
        <w:rPr>
          <w:lang w:val="en-US"/>
        </w:rPr>
        <w:t xml:space="preserve">n the </w:t>
      </w:r>
      <w:r w:rsidR="00BD6089">
        <w:rPr>
          <w:lang w:val="en-US"/>
        </w:rPr>
        <w:t>first part of the study, the framework of the study is shaped</w:t>
      </w:r>
      <w:r w:rsidR="001178DD">
        <w:rPr>
          <w:lang w:val="en-US"/>
        </w:rPr>
        <w:t xml:space="preserve"> and statistical data of the Turkish Banking System is analyzed</w:t>
      </w:r>
      <w:r w:rsidR="009B1B56">
        <w:rPr>
          <w:lang w:val="en-US"/>
        </w:rPr>
        <w:t xml:space="preserve">. In the second part, domestic and foreign literature </w:t>
      </w:r>
      <w:r w:rsidR="006A1FA6">
        <w:rPr>
          <w:lang w:val="en-US"/>
        </w:rPr>
        <w:t xml:space="preserve">investigating the relationship between stock returns and financial ratios </w:t>
      </w:r>
      <w:r w:rsidR="00130B2F">
        <w:rPr>
          <w:lang w:val="en-US"/>
        </w:rPr>
        <w:t xml:space="preserve">are </w:t>
      </w:r>
      <w:r w:rsidR="006A1FA6">
        <w:rPr>
          <w:lang w:val="en-US"/>
        </w:rPr>
        <w:t>included. In the third part, data set and model is explained. In the fourth part, empirical evidence is represented. In the fifth part of the study, empirical evidence is concluded in the direction of the results.</w:t>
      </w:r>
    </w:p>
    <w:p w:rsidR="00CF43B1" w:rsidRPr="00A9376A" w:rsidRDefault="00CF43B1" w:rsidP="00A9376A">
      <w:pPr>
        <w:jc w:val="both"/>
        <w:rPr>
          <w:b/>
          <w:bCs/>
        </w:rPr>
      </w:pPr>
    </w:p>
    <w:p w:rsidR="00CF43B1" w:rsidRPr="00A9376A" w:rsidRDefault="000F5DE2" w:rsidP="00A9376A">
      <w:pPr>
        <w:jc w:val="both"/>
        <w:rPr>
          <w:b/>
          <w:bCs/>
        </w:rPr>
      </w:pPr>
      <w:r>
        <w:rPr>
          <w:b/>
          <w:bCs/>
        </w:rPr>
        <w:t xml:space="preserve">2. </w:t>
      </w:r>
      <w:r w:rsidR="00BF18E1">
        <w:rPr>
          <w:b/>
          <w:bCs/>
        </w:rPr>
        <w:t>Overall Look of the Turkish Banking System and Financial Ratios</w:t>
      </w:r>
    </w:p>
    <w:p w:rsidR="00CF43B1" w:rsidRPr="00A9376A" w:rsidRDefault="00CF43B1" w:rsidP="00A9376A">
      <w:pPr>
        <w:jc w:val="both"/>
        <w:rPr>
          <w:b/>
          <w:bCs/>
        </w:rPr>
      </w:pPr>
    </w:p>
    <w:p w:rsidR="0076491C" w:rsidRPr="0081296C" w:rsidRDefault="0081296C" w:rsidP="00A9376A">
      <w:pPr>
        <w:jc w:val="both"/>
        <w:rPr>
          <w:lang w:val="en-US"/>
        </w:rPr>
      </w:pPr>
      <w:r w:rsidRPr="0081296C">
        <w:rPr>
          <w:lang w:val="en-US"/>
        </w:rPr>
        <w:t xml:space="preserve">Structure of the banking sector having an extensive dominance in the financial sector can be seen in Table 1 until the end of 2013. By 2013 December, there are 45 banks operating in Turkish Economy. These banks have 11.021 branches </w:t>
      </w:r>
      <w:r w:rsidR="009D6DA2">
        <w:rPr>
          <w:lang w:val="en-US"/>
        </w:rPr>
        <w:t>providing</w:t>
      </w:r>
      <w:r w:rsidRPr="0081296C">
        <w:rPr>
          <w:lang w:val="en-US"/>
        </w:rPr>
        <w:t xml:space="preserve"> 197.465</w:t>
      </w:r>
      <w:r w:rsidR="009D6DA2">
        <w:rPr>
          <w:lang w:val="en-US"/>
        </w:rPr>
        <w:t xml:space="preserve"> employees. Representing the 71% of the financial sector, deposit banks have the greatest part in the </w:t>
      </w:r>
      <w:r w:rsidR="009D6DA2">
        <w:rPr>
          <w:lang w:val="en-US"/>
        </w:rPr>
        <w:lastRenderedPageBreak/>
        <w:t>sector. Development Banks and Investment Banks create 29% of the sector. Among the d</w:t>
      </w:r>
      <w:r w:rsidR="00C30B61">
        <w:rPr>
          <w:lang w:val="en-US"/>
        </w:rPr>
        <w:t xml:space="preserve">eposit banks; </w:t>
      </w:r>
      <w:r w:rsidR="009D6DA2">
        <w:rPr>
          <w:lang w:val="en-US"/>
        </w:rPr>
        <w:t>53 % are foreign invested, 34 % is private investe</w:t>
      </w:r>
      <w:r w:rsidR="00C30B61">
        <w:rPr>
          <w:lang w:val="en-US"/>
        </w:rPr>
        <w:t>d, 9 % is state banks and 3 % are the banks transferred to</w:t>
      </w:r>
      <w:r w:rsidR="009D6DA2">
        <w:rPr>
          <w:lang w:val="en-US"/>
        </w:rPr>
        <w:t xml:space="preserve"> </w:t>
      </w:r>
      <w:r w:rsidR="00C30B61">
        <w:rPr>
          <w:lang w:val="en-US"/>
        </w:rPr>
        <w:t>the Saving Deposits Insurance Fund</w:t>
      </w:r>
      <w:r w:rsidR="00B608D7">
        <w:rPr>
          <w:lang w:val="en-US"/>
        </w:rPr>
        <w:t>.</w:t>
      </w:r>
    </w:p>
    <w:p w:rsidR="00CF43B1" w:rsidRPr="00A9376A" w:rsidRDefault="00CF43B1" w:rsidP="00A9376A">
      <w:pPr>
        <w:jc w:val="both"/>
      </w:pPr>
    </w:p>
    <w:p w:rsidR="00CF43B1" w:rsidRPr="00B608D7" w:rsidRDefault="00B608D7" w:rsidP="00A9376A">
      <w:pPr>
        <w:ind w:firstLine="708"/>
        <w:jc w:val="both"/>
        <w:rPr>
          <w:lang w:val="en-US"/>
        </w:rPr>
      </w:pPr>
      <w:r w:rsidRPr="00B608D7">
        <w:rPr>
          <w:lang w:val="en-US"/>
        </w:rPr>
        <w:t>Table</w:t>
      </w:r>
      <w:r w:rsidR="00CF43B1" w:rsidRPr="00B608D7">
        <w:rPr>
          <w:lang w:val="en-US"/>
        </w:rPr>
        <w:t xml:space="preserve"> 1. </w:t>
      </w:r>
      <w:r w:rsidRPr="00B608D7">
        <w:rPr>
          <w:lang w:val="en-US"/>
        </w:rPr>
        <w:t>Structure of the Banking Sector</w:t>
      </w:r>
    </w:p>
    <w:p w:rsidR="00B608D7" w:rsidRPr="00B608D7" w:rsidRDefault="00B608D7" w:rsidP="00A9376A">
      <w:pPr>
        <w:ind w:firstLine="708"/>
        <w:jc w:val="both"/>
        <w:rPr>
          <w:lang w:val="en-US"/>
        </w:rPr>
      </w:pPr>
    </w:p>
    <w:tbl>
      <w:tblPr>
        <w:tblW w:w="8391" w:type="dxa"/>
        <w:jc w:val="center"/>
        <w:tblBorders>
          <w:top w:val="single" w:sz="12" w:space="0" w:color="008080"/>
          <w:left w:val="single" w:sz="6" w:space="0" w:color="008080"/>
          <w:bottom w:val="single" w:sz="12" w:space="0" w:color="008080"/>
          <w:right w:val="single" w:sz="6" w:space="0" w:color="008080"/>
        </w:tblBorders>
        <w:tblLook w:val="01E0"/>
      </w:tblPr>
      <w:tblGrid>
        <w:gridCol w:w="3181"/>
        <w:gridCol w:w="1534"/>
        <w:gridCol w:w="1584"/>
        <w:gridCol w:w="2092"/>
      </w:tblGrid>
      <w:tr w:rsidR="00CF43B1" w:rsidRPr="00B608D7">
        <w:trPr>
          <w:trHeight w:val="294"/>
          <w:jc w:val="center"/>
        </w:trPr>
        <w:tc>
          <w:tcPr>
            <w:tcW w:w="8391" w:type="dxa"/>
            <w:gridSpan w:val="4"/>
            <w:tcBorders>
              <w:top w:val="single" w:sz="12" w:space="0" w:color="008080"/>
              <w:bottom w:val="single" w:sz="6" w:space="0" w:color="000000"/>
            </w:tcBorders>
            <w:shd w:val="solid" w:color="C0C0C0" w:fill="FFFFFF"/>
            <w:noWrap/>
          </w:tcPr>
          <w:p w:rsidR="00CF43B1" w:rsidRPr="00B608D7" w:rsidRDefault="00CF43B1" w:rsidP="00A9376A">
            <w:pPr>
              <w:jc w:val="both"/>
              <w:rPr>
                <w:b/>
                <w:bCs/>
                <w:i/>
                <w:iCs/>
                <w:lang w:val="en-US"/>
              </w:rPr>
            </w:pPr>
            <w:r w:rsidRPr="00B608D7">
              <w:rPr>
                <w:b/>
                <w:bCs/>
                <w:i/>
                <w:iCs/>
                <w:lang w:val="en-US"/>
              </w:rPr>
              <w:t>31.12.2013</w:t>
            </w:r>
          </w:p>
        </w:tc>
      </w:tr>
      <w:tr w:rsidR="00CF43B1" w:rsidRPr="00B608D7">
        <w:trPr>
          <w:trHeight w:val="278"/>
          <w:jc w:val="center"/>
        </w:trPr>
        <w:tc>
          <w:tcPr>
            <w:tcW w:w="3181" w:type="dxa"/>
            <w:shd w:val="solid" w:color="C0C0C0" w:fill="FFFFFF"/>
            <w:noWrap/>
          </w:tcPr>
          <w:p w:rsidR="00CF43B1" w:rsidRPr="00B608D7" w:rsidRDefault="00CF43B1" w:rsidP="00A9376A">
            <w:pPr>
              <w:jc w:val="both"/>
              <w:rPr>
                <w:b/>
                <w:bCs/>
                <w:lang w:val="en-US"/>
              </w:rPr>
            </w:pPr>
            <w:r w:rsidRPr="00B608D7">
              <w:rPr>
                <w:b/>
                <w:bCs/>
                <w:lang w:val="en-US"/>
              </w:rPr>
              <w:t> </w:t>
            </w:r>
          </w:p>
        </w:tc>
        <w:tc>
          <w:tcPr>
            <w:tcW w:w="1534" w:type="dxa"/>
            <w:shd w:val="solid" w:color="C0C0C0" w:fill="FFFFFF"/>
            <w:noWrap/>
          </w:tcPr>
          <w:p w:rsidR="00CF43B1" w:rsidRPr="00B608D7" w:rsidRDefault="00B608D7" w:rsidP="00A9376A">
            <w:pPr>
              <w:jc w:val="center"/>
              <w:rPr>
                <w:b/>
                <w:bCs/>
                <w:lang w:val="en-US"/>
              </w:rPr>
            </w:pPr>
            <w:r>
              <w:rPr>
                <w:b/>
                <w:bCs/>
                <w:lang w:val="en-US"/>
              </w:rPr>
              <w:t>No.of banks</w:t>
            </w:r>
          </w:p>
        </w:tc>
        <w:tc>
          <w:tcPr>
            <w:tcW w:w="1584" w:type="dxa"/>
            <w:shd w:val="solid" w:color="C0C0C0" w:fill="FFFFFF"/>
            <w:noWrap/>
          </w:tcPr>
          <w:p w:rsidR="00CF43B1" w:rsidRPr="00B608D7" w:rsidRDefault="00B608D7" w:rsidP="00A9376A">
            <w:pPr>
              <w:jc w:val="center"/>
              <w:rPr>
                <w:b/>
                <w:bCs/>
                <w:lang w:val="en-US"/>
              </w:rPr>
            </w:pPr>
            <w:r>
              <w:rPr>
                <w:b/>
                <w:bCs/>
                <w:lang w:val="en-US"/>
              </w:rPr>
              <w:t>No.of Branches</w:t>
            </w:r>
          </w:p>
        </w:tc>
        <w:tc>
          <w:tcPr>
            <w:tcW w:w="2092" w:type="dxa"/>
            <w:shd w:val="solid" w:color="C0C0C0" w:fill="FFFFFF"/>
            <w:noWrap/>
          </w:tcPr>
          <w:p w:rsidR="00CF43B1" w:rsidRPr="00B608D7" w:rsidRDefault="00B608D7" w:rsidP="00A9376A">
            <w:pPr>
              <w:jc w:val="center"/>
              <w:rPr>
                <w:b/>
                <w:bCs/>
                <w:lang w:val="en-US"/>
              </w:rPr>
            </w:pPr>
            <w:r>
              <w:rPr>
                <w:b/>
                <w:bCs/>
                <w:lang w:val="en-US"/>
              </w:rPr>
              <w:t>No.of Employees</w:t>
            </w:r>
          </w:p>
        </w:tc>
      </w:tr>
      <w:tr w:rsidR="00CF43B1" w:rsidRPr="00B608D7">
        <w:trPr>
          <w:trHeight w:val="343"/>
          <w:jc w:val="center"/>
        </w:trPr>
        <w:tc>
          <w:tcPr>
            <w:tcW w:w="3181" w:type="dxa"/>
            <w:noWrap/>
          </w:tcPr>
          <w:p w:rsidR="00CF43B1" w:rsidRPr="00B608D7" w:rsidRDefault="00B608D7" w:rsidP="00A9376A">
            <w:pPr>
              <w:jc w:val="both"/>
              <w:rPr>
                <w:b/>
                <w:bCs/>
                <w:lang w:val="en-US"/>
              </w:rPr>
            </w:pPr>
            <w:r>
              <w:rPr>
                <w:b/>
                <w:bCs/>
                <w:lang w:val="en-US"/>
              </w:rPr>
              <w:t>Deposit Banks</w:t>
            </w:r>
          </w:p>
        </w:tc>
        <w:tc>
          <w:tcPr>
            <w:tcW w:w="1534" w:type="dxa"/>
            <w:noWrap/>
          </w:tcPr>
          <w:p w:rsidR="00CF43B1" w:rsidRPr="00B608D7" w:rsidRDefault="00CF43B1" w:rsidP="00A9376A">
            <w:pPr>
              <w:jc w:val="center"/>
              <w:rPr>
                <w:lang w:val="en-US"/>
              </w:rPr>
            </w:pPr>
            <w:r w:rsidRPr="00B608D7">
              <w:rPr>
                <w:lang w:val="en-US"/>
              </w:rPr>
              <w:t>32</w:t>
            </w:r>
          </w:p>
        </w:tc>
        <w:tc>
          <w:tcPr>
            <w:tcW w:w="1584" w:type="dxa"/>
            <w:noWrap/>
          </w:tcPr>
          <w:p w:rsidR="00CF43B1" w:rsidRPr="00B608D7" w:rsidRDefault="00CF43B1" w:rsidP="00A9376A">
            <w:pPr>
              <w:jc w:val="center"/>
              <w:rPr>
                <w:lang w:val="en-US"/>
              </w:rPr>
            </w:pPr>
            <w:r w:rsidRPr="00B608D7">
              <w:rPr>
                <w:lang w:val="en-US"/>
              </w:rPr>
              <w:t>10.981</w:t>
            </w:r>
          </w:p>
        </w:tc>
        <w:tc>
          <w:tcPr>
            <w:tcW w:w="2092" w:type="dxa"/>
            <w:noWrap/>
          </w:tcPr>
          <w:p w:rsidR="00CF43B1" w:rsidRPr="00B608D7" w:rsidRDefault="00CF43B1" w:rsidP="00A9376A">
            <w:pPr>
              <w:jc w:val="center"/>
              <w:rPr>
                <w:lang w:val="en-US"/>
              </w:rPr>
            </w:pPr>
            <w:r w:rsidRPr="00B608D7">
              <w:rPr>
                <w:lang w:val="en-US"/>
              </w:rPr>
              <w:t>192.219</w:t>
            </w:r>
          </w:p>
        </w:tc>
      </w:tr>
      <w:tr w:rsidR="00CF43B1" w:rsidRPr="00B608D7">
        <w:trPr>
          <w:trHeight w:val="343"/>
          <w:jc w:val="center"/>
        </w:trPr>
        <w:tc>
          <w:tcPr>
            <w:tcW w:w="3181" w:type="dxa"/>
            <w:shd w:val="solid" w:color="C0C0C0" w:fill="FFFFFF"/>
            <w:noWrap/>
          </w:tcPr>
          <w:p w:rsidR="00CF43B1" w:rsidRPr="00B608D7" w:rsidRDefault="00B608D7" w:rsidP="00A9376A">
            <w:pPr>
              <w:jc w:val="both"/>
              <w:rPr>
                <w:b/>
                <w:bCs/>
                <w:lang w:val="en-US"/>
              </w:rPr>
            </w:pPr>
            <w:r>
              <w:rPr>
                <w:b/>
                <w:bCs/>
                <w:lang w:val="en-US"/>
              </w:rPr>
              <w:t>State Banks</w:t>
            </w:r>
          </w:p>
        </w:tc>
        <w:tc>
          <w:tcPr>
            <w:tcW w:w="1534" w:type="dxa"/>
            <w:shd w:val="solid" w:color="C0C0C0" w:fill="FFFFFF"/>
            <w:noWrap/>
          </w:tcPr>
          <w:p w:rsidR="00CF43B1" w:rsidRPr="00B608D7" w:rsidRDefault="00CF43B1" w:rsidP="00A9376A">
            <w:pPr>
              <w:jc w:val="center"/>
              <w:rPr>
                <w:lang w:val="en-US"/>
              </w:rPr>
            </w:pPr>
            <w:r w:rsidRPr="00B608D7">
              <w:rPr>
                <w:lang w:val="en-US"/>
              </w:rPr>
              <w:t>3</w:t>
            </w:r>
          </w:p>
        </w:tc>
        <w:tc>
          <w:tcPr>
            <w:tcW w:w="1584" w:type="dxa"/>
            <w:shd w:val="solid" w:color="C0C0C0" w:fill="FFFFFF"/>
            <w:noWrap/>
          </w:tcPr>
          <w:p w:rsidR="00CF43B1" w:rsidRPr="00B608D7" w:rsidRDefault="00CF43B1" w:rsidP="00A9376A">
            <w:pPr>
              <w:jc w:val="center"/>
              <w:rPr>
                <w:lang w:val="en-US"/>
              </w:rPr>
            </w:pPr>
            <w:r w:rsidRPr="00B608D7">
              <w:rPr>
                <w:lang w:val="en-US"/>
              </w:rPr>
              <w:t>3.397</w:t>
            </w:r>
          </w:p>
        </w:tc>
        <w:tc>
          <w:tcPr>
            <w:tcW w:w="2092" w:type="dxa"/>
            <w:shd w:val="solid" w:color="C0C0C0" w:fill="FFFFFF"/>
            <w:noWrap/>
          </w:tcPr>
          <w:p w:rsidR="00CF43B1" w:rsidRPr="00B608D7" w:rsidRDefault="00CF43B1" w:rsidP="00A9376A">
            <w:pPr>
              <w:jc w:val="center"/>
              <w:rPr>
                <w:lang w:val="en-US"/>
              </w:rPr>
            </w:pPr>
            <w:r w:rsidRPr="00B608D7">
              <w:rPr>
                <w:lang w:val="en-US"/>
              </w:rPr>
              <w:t>54.466</w:t>
            </w:r>
          </w:p>
        </w:tc>
      </w:tr>
      <w:tr w:rsidR="00CF43B1" w:rsidRPr="00B608D7">
        <w:trPr>
          <w:trHeight w:val="343"/>
          <w:jc w:val="center"/>
        </w:trPr>
        <w:tc>
          <w:tcPr>
            <w:tcW w:w="3181" w:type="dxa"/>
            <w:noWrap/>
          </w:tcPr>
          <w:p w:rsidR="00CF43B1" w:rsidRPr="00B608D7" w:rsidRDefault="00B608D7" w:rsidP="00A9376A">
            <w:pPr>
              <w:jc w:val="both"/>
              <w:rPr>
                <w:b/>
                <w:bCs/>
                <w:lang w:val="en-US"/>
              </w:rPr>
            </w:pPr>
            <w:r>
              <w:rPr>
                <w:b/>
                <w:bCs/>
                <w:lang w:val="en-US"/>
              </w:rPr>
              <w:t>Private Banks</w:t>
            </w:r>
          </w:p>
        </w:tc>
        <w:tc>
          <w:tcPr>
            <w:tcW w:w="1534" w:type="dxa"/>
            <w:noWrap/>
          </w:tcPr>
          <w:p w:rsidR="00CF43B1" w:rsidRPr="00B608D7" w:rsidRDefault="00CF43B1" w:rsidP="00A9376A">
            <w:pPr>
              <w:jc w:val="center"/>
              <w:rPr>
                <w:lang w:val="en-US"/>
              </w:rPr>
            </w:pPr>
            <w:r w:rsidRPr="00B608D7">
              <w:rPr>
                <w:lang w:val="en-US"/>
              </w:rPr>
              <w:t>11</w:t>
            </w:r>
          </w:p>
        </w:tc>
        <w:tc>
          <w:tcPr>
            <w:tcW w:w="1584" w:type="dxa"/>
            <w:noWrap/>
          </w:tcPr>
          <w:p w:rsidR="00CF43B1" w:rsidRPr="00B608D7" w:rsidRDefault="00CF43B1" w:rsidP="00A9376A">
            <w:pPr>
              <w:jc w:val="center"/>
              <w:rPr>
                <w:lang w:val="en-US"/>
              </w:rPr>
            </w:pPr>
            <w:r w:rsidRPr="00B608D7">
              <w:rPr>
                <w:lang w:val="en-US"/>
              </w:rPr>
              <w:t>5.339</w:t>
            </w:r>
          </w:p>
        </w:tc>
        <w:tc>
          <w:tcPr>
            <w:tcW w:w="2092" w:type="dxa"/>
            <w:noWrap/>
          </w:tcPr>
          <w:p w:rsidR="00CF43B1" w:rsidRPr="00B608D7" w:rsidRDefault="00CF43B1" w:rsidP="00A9376A">
            <w:pPr>
              <w:jc w:val="center"/>
              <w:rPr>
                <w:lang w:val="en-US"/>
              </w:rPr>
            </w:pPr>
            <w:r w:rsidRPr="00B608D7">
              <w:rPr>
                <w:lang w:val="en-US"/>
              </w:rPr>
              <w:t>93.365</w:t>
            </w:r>
          </w:p>
        </w:tc>
      </w:tr>
      <w:tr w:rsidR="00CF43B1" w:rsidRPr="00B608D7">
        <w:trPr>
          <w:trHeight w:val="343"/>
          <w:jc w:val="center"/>
        </w:trPr>
        <w:tc>
          <w:tcPr>
            <w:tcW w:w="3181" w:type="dxa"/>
            <w:shd w:val="solid" w:color="C0C0C0" w:fill="FFFFFF"/>
            <w:noWrap/>
          </w:tcPr>
          <w:p w:rsidR="00CF43B1" w:rsidRPr="00B608D7" w:rsidRDefault="00B608D7" w:rsidP="00A9376A">
            <w:pPr>
              <w:jc w:val="both"/>
              <w:rPr>
                <w:b/>
                <w:bCs/>
                <w:lang w:val="en-US"/>
              </w:rPr>
            </w:pPr>
            <w:r w:rsidRPr="00B608D7">
              <w:rPr>
                <w:b/>
                <w:bCs/>
                <w:lang w:val="en-US"/>
              </w:rPr>
              <w:t>Saving Deposits Insurance Fund</w:t>
            </w:r>
          </w:p>
        </w:tc>
        <w:tc>
          <w:tcPr>
            <w:tcW w:w="1534" w:type="dxa"/>
            <w:shd w:val="solid" w:color="C0C0C0" w:fill="FFFFFF"/>
            <w:noWrap/>
          </w:tcPr>
          <w:p w:rsidR="00CF43B1" w:rsidRPr="00B608D7" w:rsidRDefault="00CF43B1" w:rsidP="00A9376A">
            <w:pPr>
              <w:jc w:val="center"/>
              <w:rPr>
                <w:lang w:val="en-US"/>
              </w:rPr>
            </w:pPr>
            <w:r w:rsidRPr="00B608D7">
              <w:rPr>
                <w:lang w:val="en-US"/>
              </w:rPr>
              <w:t>1</w:t>
            </w:r>
          </w:p>
        </w:tc>
        <w:tc>
          <w:tcPr>
            <w:tcW w:w="1584" w:type="dxa"/>
            <w:shd w:val="solid" w:color="C0C0C0" w:fill="FFFFFF"/>
            <w:noWrap/>
          </w:tcPr>
          <w:p w:rsidR="00CF43B1" w:rsidRPr="00B608D7" w:rsidRDefault="00CF43B1" w:rsidP="00A9376A">
            <w:pPr>
              <w:jc w:val="center"/>
              <w:rPr>
                <w:lang w:val="en-US"/>
              </w:rPr>
            </w:pPr>
            <w:r w:rsidRPr="00B608D7">
              <w:rPr>
                <w:lang w:val="en-US"/>
              </w:rPr>
              <w:t>1</w:t>
            </w:r>
          </w:p>
        </w:tc>
        <w:tc>
          <w:tcPr>
            <w:tcW w:w="2092" w:type="dxa"/>
            <w:shd w:val="solid" w:color="C0C0C0" w:fill="FFFFFF"/>
            <w:noWrap/>
          </w:tcPr>
          <w:p w:rsidR="00CF43B1" w:rsidRPr="00B608D7" w:rsidRDefault="00CF43B1" w:rsidP="00A9376A">
            <w:pPr>
              <w:jc w:val="center"/>
              <w:rPr>
                <w:lang w:val="en-US"/>
              </w:rPr>
            </w:pPr>
            <w:r w:rsidRPr="00B608D7">
              <w:rPr>
                <w:lang w:val="en-US"/>
              </w:rPr>
              <w:t>229</w:t>
            </w:r>
          </w:p>
        </w:tc>
      </w:tr>
      <w:tr w:rsidR="00CF43B1" w:rsidRPr="00B608D7">
        <w:trPr>
          <w:trHeight w:val="343"/>
          <w:jc w:val="center"/>
        </w:trPr>
        <w:tc>
          <w:tcPr>
            <w:tcW w:w="3181" w:type="dxa"/>
            <w:noWrap/>
          </w:tcPr>
          <w:p w:rsidR="00CF43B1" w:rsidRPr="00B608D7" w:rsidRDefault="00A34208" w:rsidP="00A9376A">
            <w:pPr>
              <w:jc w:val="both"/>
              <w:rPr>
                <w:b/>
                <w:bCs/>
                <w:lang w:val="en-US"/>
              </w:rPr>
            </w:pPr>
            <w:r>
              <w:rPr>
                <w:b/>
                <w:bCs/>
                <w:lang w:val="en-US"/>
              </w:rPr>
              <w:t>Foreign Invested Banks</w:t>
            </w:r>
          </w:p>
        </w:tc>
        <w:tc>
          <w:tcPr>
            <w:tcW w:w="1534" w:type="dxa"/>
            <w:noWrap/>
          </w:tcPr>
          <w:p w:rsidR="00CF43B1" w:rsidRPr="00B608D7" w:rsidRDefault="00CF43B1" w:rsidP="00A9376A">
            <w:pPr>
              <w:jc w:val="center"/>
              <w:rPr>
                <w:lang w:val="en-US"/>
              </w:rPr>
            </w:pPr>
            <w:r w:rsidRPr="00B608D7">
              <w:rPr>
                <w:lang w:val="en-US"/>
              </w:rPr>
              <w:t>17</w:t>
            </w:r>
          </w:p>
        </w:tc>
        <w:tc>
          <w:tcPr>
            <w:tcW w:w="1584" w:type="dxa"/>
            <w:noWrap/>
          </w:tcPr>
          <w:p w:rsidR="00CF43B1" w:rsidRPr="00B608D7" w:rsidRDefault="00CF43B1" w:rsidP="00A9376A">
            <w:pPr>
              <w:jc w:val="center"/>
              <w:rPr>
                <w:lang w:val="en-US"/>
              </w:rPr>
            </w:pPr>
            <w:r w:rsidRPr="00B608D7">
              <w:rPr>
                <w:lang w:val="en-US"/>
              </w:rPr>
              <w:t>2.244</w:t>
            </w:r>
          </w:p>
        </w:tc>
        <w:tc>
          <w:tcPr>
            <w:tcW w:w="2092" w:type="dxa"/>
            <w:noWrap/>
          </w:tcPr>
          <w:p w:rsidR="00CF43B1" w:rsidRPr="00B608D7" w:rsidRDefault="00CF43B1" w:rsidP="00A9376A">
            <w:pPr>
              <w:jc w:val="center"/>
              <w:rPr>
                <w:lang w:val="en-US"/>
              </w:rPr>
            </w:pPr>
            <w:r w:rsidRPr="00B608D7">
              <w:rPr>
                <w:lang w:val="en-US"/>
              </w:rPr>
              <w:t>44.159</w:t>
            </w:r>
          </w:p>
        </w:tc>
      </w:tr>
      <w:tr w:rsidR="00CF43B1" w:rsidRPr="00B608D7">
        <w:trPr>
          <w:trHeight w:val="343"/>
          <w:jc w:val="center"/>
        </w:trPr>
        <w:tc>
          <w:tcPr>
            <w:tcW w:w="3181" w:type="dxa"/>
            <w:shd w:val="solid" w:color="C0C0C0" w:fill="FFFFFF"/>
            <w:noWrap/>
          </w:tcPr>
          <w:p w:rsidR="00CF43B1" w:rsidRPr="00B608D7" w:rsidRDefault="00B608D7" w:rsidP="00A9376A">
            <w:pPr>
              <w:jc w:val="both"/>
              <w:rPr>
                <w:b/>
                <w:bCs/>
                <w:lang w:val="en-US"/>
              </w:rPr>
            </w:pPr>
            <w:r>
              <w:rPr>
                <w:b/>
                <w:bCs/>
                <w:lang w:val="en-US"/>
              </w:rPr>
              <w:t>Development and Investment Banks</w:t>
            </w:r>
          </w:p>
        </w:tc>
        <w:tc>
          <w:tcPr>
            <w:tcW w:w="1534" w:type="dxa"/>
            <w:shd w:val="solid" w:color="C0C0C0" w:fill="FFFFFF"/>
            <w:noWrap/>
          </w:tcPr>
          <w:p w:rsidR="00CF43B1" w:rsidRPr="00B608D7" w:rsidRDefault="00CF43B1" w:rsidP="00A9376A">
            <w:pPr>
              <w:jc w:val="center"/>
              <w:rPr>
                <w:lang w:val="en-US"/>
              </w:rPr>
            </w:pPr>
            <w:r w:rsidRPr="00B608D7">
              <w:rPr>
                <w:lang w:val="en-US"/>
              </w:rPr>
              <w:t>13</w:t>
            </w:r>
          </w:p>
        </w:tc>
        <w:tc>
          <w:tcPr>
            <w:tcW w:w="1584" w:type="dxa"/>
            <w:shd w:val="solid" w:color="C0C0C0" w:fill="FFFFFF"/>
            <w:noWrap/>
          </w:tcPr>
          <w:p w:rsidR="00CF43B1" w:rsidRPr="00B608D7" w:rsidRDefault="00CF43B1" w:rsidP="00A9376A">
            <w:pPr>
              <w:jc w:val="center"/>
              <w:rPr>
                <w:lang w:val="en-US"/>
              </w:rPr>
            </w:pPr>
            <w:r w:rsidRPr="00B608D7">
              <w:rPr>
                <w:lang w:val="en-US"/>
              </w:rPr>
              <w:t>40</w:t>
            </w:r>
          </w:p>
        </w:tc>
        <w:tc>
          <w:tcPr>
            <w:tcW w:w="2092" w:type="dxa"/>
            <w:shd w:val="solid" w:color="C0C0C0" w:fill="FFFFFF"/>
            <w:noWrap/>
          </w:tcPr>
          <w:p w:rsidR="00CF43B1" w:rsidRPr="00B608D7" w:rsidRDefault="00CF43B1" w:rsidP="00A9376A">
            <w:pPr>
              <w:jc w:val="center"/>
              <w:rPr>
                <w:lang w:val="en-US"/>
              </w:rPr>
            </w:pPr>
            <w:r w:rsidRPr="00B608D7">
              <w:rPr>
                <w:lang w:val="en-US"/>
              </w:rPr>
              <w:t>5.246</w:t>
            </w:r>
          </w:p>
        </w:tc>
      </w:tr>
      <w:tr w:rsidR="00CF43B1" w:rsidRPr="00B608D7">
        <w:trPr>
          <w:trHeight w:val="358"/>
          <w:jc w:val="center"/>
        </w:trPr>
        <w:tc>
          <w:tcPr>
            <w:tcW w:w="3181" w:type="dxa"/>
            <w:tcBorders>
              <w:top w:val="single" w:sz="6" w:space="0" w:color="000000"/>
              <w:bottom w:val="single" w:sz="12" w:space="0" w:color="008080"/>
            </w:tcBorders>
            <w:noWrap/>
          </w:tcPr>
          <w:p w:rsidR="00CF43B1" w:rsidRPr="00B608D7" w:rsidRDefault="00B608D7" w:rsidP="00A9376A">
            <w:pPr>
              <w:jc w:val="both"/>
              <w:rPr>
                <w:b/>
                <w:bCs/>
                <w:lang w:val="en-US"/>
              </w:rPr>
            </w:pPr>
            <w:r>
              <w:rPr>
                <w:b/>
                <w:bCs/>
                <w:lang w:val="en-US"/>
              </w:rPr>
              <w:t>Total</w:t>
            </w:r>
            <w:r w:rsidR="00CF43B1" w:rsidRPr="00B608D7">
              <w:rPr>
                <w:b/>
                <w:bCs/>
                <w:lang w:val="en-US"/>
              </w:rPr>
              <w:t xml:space="preserve"> </w:t>
            </w:r>
          </w:p>
        </w:tc>
        <w:tc>
          <w:tcPr>
            <w:tcW w:w="1534" w:type="dxa"/>
            <w:tcBorders>
              <w:top w:val="single" w:sz="6" w:space="0" w:color="000000"/>
              <w:bottom w:val="single" w:sz="12" w:space="0" w:color="008080"/>
            </w:tcBorders>
            <w:noWrap/>
          </w:tcPr>
          <w:p w:rsidR="00CF43B1" w:rsidRPr="00B608D7" w:rsidRDefault="00CF43B1" w:rsidP="00A9376A">
            <w:pPr>
              <w:jc w:val="center"/>
              <w:rPr>
                <w:lang w:val="en-US"/>
              </w:rPr>
            </w:pPr>
            <w:r w:rsidRPr="00B608D7">
              <w:rPr>
                <w:lang w:val="en-US"/>
              </w:rPr>
              <w:t>45</w:t>
            </w:r>
          </w:p>
        </w:tc>
        <w:tc>
          <w:tcPr>
            <w:tcW w:w="1584" w:type="dxa"/>
            <w:tcBorders>
              <w:top w:val="single" w:sz="6" w:space="0" w:color="000000"/>
              <w:bottom w:val="single" w:sz="12" w:space="0" w:color="008080"/>
            </w:tcBorders>
            <w:noWrap/>
          </w:tcPr>
          <w:p w:rsidR="00CF43B1" w:rsidRPr="00B608D7" w:rsidRDefault="00CF43B1" w:rsidP="00A9376A">
            <w:pPr>
              <w:jc w:val="center"/>
              <w:rPr>
                <w:lang w:val="en-US"/>
              </w:rPr>
            </w:pPr>
            <w:r w:rsidRPr="00B608D7">
              <w:rPr>
                <w:lang w:val="en-US"/>
              </w:rPr>
              <w:t>11.021</w:t>
            </w:r>
          </w:p>
        </w:tc>
        <w:tc>
          <w:tcPr>
            <w:tcW w:w="2092" w:type="dxa"/>
            <w:tcBorders>
              <w:top w:val="single" w:sz="6" w:space="0" w:color="000000"/>
              <w:bottom w:val="single" w:sz="12" w:space="0" w:color="008080"/>
            </w:tcBorders>
            <w:noWrap/>
          </w:tcPr>
          <w:p w:rsidR="00CF43B1" w:rsidRPr="00B608D7" w:rsidRDefault="00CF43B1" w:rsidP="00A9376A">
            <w:pPr>
              <w:jc w:val="center"/>
              <w:rPr>
                <w:lang w:val="en-US"/>
              </w:rPr>
            </w:pPr>
            <w:r w:rsidRPr="00B608D7">
              <w:rPr>
                <w:lang w:val="en-US"/>
              </w:rPr>
              <w:t>197.465</w:t>
            </w:r>
          </w:p>
        </w:tc>
      </w:tr>
    </w:tbl>
    <w:p w:rsidR="00B14DF5" w:rsidRPr="00B608D7" w:rsidRDefault="00CF5723" w:rsidP="00BF2F8D">
      <w:pPr>
        <w:ind w:left="300"/>
        <w:rPr>
          <w:lang w:val="en-US"/>
        </w:rPr>
      </w:pPr>
      <w:r w:rsidRPr="00B608D7">
        <w:rPr>
          <w:lang w:val="en-US"/>
        </w:rPr>
        <w:t>Source:</w:t>
      </w:r>
      <w:r w:rsidR="00CE4A44" w:rsidRPr="00B608D7">
        <w:rPr>
          <w:lang w:val="en-US"/>
        </w:rPr>
        <w:t xml:space="preserve"> </w:t>
      </w:r>
      <w:r w:rsidR="00C56F41">
        <w:rPr>
          <w:lang w:val="en-US"/>
        </w:rPr>
        <w:t>[2</w:t>
      </w:r>
      <w:r w:rsidR="00BF2F8D">
        <w:rPr>
          <w:lang w:val="en-US"/>
        </w:rPr>
        <w:t>]</w:t>
      </w:r>
    </w:p>
    <w:p w:rsidR="00CF43B1" w:rsidRPr="00B608D7" w:rsidRDefault="00CF43B1" w:rsidP="00CF5723">
      <w:pPr>
        <w:ind w:left="300"/>
        <w:jc w:val="both"/>
        <w:rPr>
          <w:lang w:val="en-US"/>
        </w:rPr>
      </w:pPr>
    </w:p>
    <w:p w:rsidR="00A34208" w:rsidRPr="005F501F" w:rsidRDefault="00A34208" w:rsidP="00A9376A">
      <w:pPr>
        <w:jc w:val="both"/>
        <w:rPr>
          <w:lang w:val="en-US"/>
        </w:rPr>
      </w:pPr>
      <w:r w:rsidRPr="005F501F">
        <w:rPr>
          <w:lang w:val="en-US"/>
        </w:rPr>
        <w:t xml:space="preserve">When we look at the number of branches, we can see that 99.63% are the branches of </w:t>
      </w:r>
      <w:r w:rsidR="00980F8C" w:rsidRPr="005F501F">
        <w:rPr>
          <w:lang w:val="en-US"/>
        </w:rPr>
        <w:t xml:space="preserve">the deposit banks and only 0.36 % of the total is the branches of </w:t>
      </w:r>
      <w:r w:rsidR="005F501F" w:rsidRPr="005F501F">
        <w:rPr>
          <w:lang w:val="en-US"/>
        </w:rPr>
        <w:t>development</w:t>
      </w:r>
      <w:r w:rsidR="00980F8C" w:rsidRPr="005F501F">
        <w:rPr>
          <w:lang w:val="en-US"/>
        </w:rPr>
        <w:t xml:space="preserve"> and investment banks</w:t>
      </w:r>
      <w:r w:rsidR="00A06FC3" w:rsidRPr="005F501F">
        <w:rPr>
          <w:lang w:val="en-US"/>
        </w:rPr>
        <w:t xml:space="preserve">. In the deposit banks, 48.60 % </w:t>
      </w:r>
      <w:r w:rsidR="005F501F" w:rsidRPr="005F501F">
        <w:rPr>
          <w:lang w:val="en-US"/>
        </w:rPr>
        <w:t>of the branches are owned by private banks. Even there are 3 state owned banks, 30.93 % of the branches are the branches of state banks. The rest of 20.43 % is the branches of the foreign invested banks.</w:t>
      </w:r>
    </w:p>
    <w:p w:rsidR="00980F8C" w:rsidRPr="001514B6" w:rsidRDefault="00BA4B2F" w:rsidP="00A9376A">
      <w:pPr>
        <w:jc w:val="both"/>
        <w:rPr>
          <w:lang w:val="en-US"/>
        </w:rPr>
      </w:pPr>
      <w:r w:rsidRPr="001514B6">
        <w:rPr>
          <w:lang w:val="en-US"/>
        </w:rPr>
        <w:t>In terms of employee numbers, deposit banks are (97%) are again more widespread than development and investment banks</w:t>
      </w:r>
      <w:r w:rsidR="00B43540" w:rsidRPr="001514B6">
        <w:rPr>
          <w:lang w:val="en-US"/>
        </w:rPr>
        <w:t xml:space="preserve"> (3%)</w:t>
      </w:r>
      <w:r w:rsidRPr="001514B6">
        <w:rPr>
          <w:lang w:val="en-US"/>
        </w:rPr>
        <w:t xml:space="preserve">. </w:t>
      </w:r>
      <w:r w:rsidR="001514B6" w:rsidRPr="001514B6">
        <w:rPr>
          <w:lang w:val="en-US"/>
        </w:rPr>
        <w:t xml:space="preserve">Among the deposit banks, private banks have the largest part of the employees (48.57 %), state banks have the second (28.33%) and foreign invested banks have the </w:t>
      </w:r>
      <w:r w:rsidR="00F67BDD">
        <w:rPr>
          <w:lang w:val="en-US"/>
        </w:rPr>
        <w:t>least</w:t>
      </w:r>
      <w:r w:rsidR="001514B6" w:rsidRPr="001514B6">
        <w:rPr>
          <w:lang w:val="en-US"/>
        </w:rPr>
        <w:t xml:space="preserve"> (22.36%) </w:t>
      </w:r>
      <w:r w:rsidR="00F67BDD">
        <w:rPr>
          <w:lang w:val="en-US"/>
        </w:rPr>
        <w:t>number of employees.</w:t>
      </w:r>
      <w:r w:rsidR="009B6784">
        <w:rPr>
          <w:lang w:val="en-US"/>
        </w:rPr>
        <w:t xml:space="preserve"> Even the </w:t>
      </w:r>
      <w:r w:rsidR="007F3C93">
        <w:rPr>
          <w:lang w:val="en-US"/>
        </w:rPr>
        <w:t>number of state banks is</w:t>
      </w:r>
      <w:r w:rsidR="009B6784">
        <w:rPr>
          <w:lang w:val="en-US"/>
        </w:rPr>
        <w:t xml:space="preserve"> less than foreign invested </w:t>
      </w:r>
      <w:r w:rsidR="007F3C93">
        <w:rPr>
          <w:lang w:val="en-US"/>
        </w:rPr>
        <w:t>banks;</w:t>
      </w:r>
      <w:r w:rsidR="009B6784">
        <w:rPr>
          <w:lang w:val="en-US"/>
        </w:rPr>
        <w:t xml:space="preserve"> </w:t>
      </w:r>
      <w:r w:rsidR="007F3C93">
        <w:rPr>
          <w:lang w:val="en-US"/>
        </w:rPr>
        <w:t>state banks have more branches and more employees than foreign invested banks.</w:t>
      </w:r>
    </w:p>
    <w:p w:rsidR="00BA4B2F" w:rsidRPr="00D31BB2" w:rsidRDefault="00D31BB2" w:rsidP="00A9376A">
      <w:pPr>
        <w:jc w:val="both"/>
        <w:rPr>
          <w:lang w:val="en-US"/>
        </w:rPr>
      </w:pPr>
      <w:r w:rsidRPr="00D31BB2">
        <w:rPr>
          <w:lang w:val="en-US"/>
        </w:rPr>
        <w:t xml:space="preserve">Asset </w:t>
      </w:r>
      <w:r w:rsidR="00B14DF5" w:rsidRPr="00D31BB2">
        <w:rPr>
          <w:lang w:val="en-US"/>
        </w:rPr>
        <w:t>size of the banks</w:t>
      </w:r>
      <w:r w:rsidR="00B14DF5">
        <w:rPr>
          <w:lang w:val="en-US"/>
        </w:rPr>
        <w:t xml:space="preserve"> in its group and in banking sector is</w:t>
      </w:r>
      <w:r>
        <w:rPr>
          <w:lang w:val="en-US"/>
        </w:rPr>
        <w:t xml:space="preserve"> given in Table 2. </w:t>
      </w:r>
    </w:p>
    <w:p w:rsidR="00163F0F" w:rsidRPr="00D31BB2" w:rsidRDefault="00163F0F" w:rsidP="00A9376A">
      <w:pPr>
        <w:jc w:val="both"/>
        <w:rPr>
          <w:lang w:val="en-US"/>
        </w:rPr>
      </w:pPr>
    </w:p>
    <w:p w:rsidR="00D31BB2" w:rsidRDefault="00D31BB2" w:rsidP="00A9376A">
      <w:pPr>
        <w:jc w:val="both"/>
        <w:rPr>
          <w:lang w:val="en-US"/>
        </w:rPr>
      </w:pPr>
      <w:r w:rsidRPr="00D31BB2">
        <w:rPr>
          <w:lang w:val="en-US"/>
        </w:rPr>
        <w:t>Table</w:t>
      </w:r>
      <w:r w:rsidR="00CF43B1" w:rsidRPr="00D31BB2">
        <w:rPr>
          <w:lang w:val="en-US"/>
        </w:rPr>
        <w:t xml:space="preserve"> 2. </w:t>
      </w:r>
      <w:bookmarkStart w:id="0" w:name="OLE_LINK2"/>
      <w:bookmarkStart w:id="1" w:name="OLE_LINK3"/>
      <w:r w:rsidRPr="00D31BB2">
        <w:rPr>
          <w:lang w:val="en-US"/>
        </w:rPr>
        <w:t>Asset, Credit and Dep</w:t>
      </w:r>
      <w:r w:rsidR="00780978">
        <w:rPr>
          <w:lang w:val="en-US"/>
        </w:rPr>
        <w:t>osit Distribution of the Banking</w:t>
      </w:r>
      <w:r w:rsidRPr="00D31BB2">
        <w:rPr>
          <w:lang w:val="en-US"/>
        </w:rPr>
        <w:t xml:space="preserve"> Sector</w:t>
      </w:r>
    </w:p>
    <w:p w:rsidR="005E666E" w:rsidRPr="00D31BB2" w:rsidRDefault="005E666E" w:rsidP="00A9376A">
      <w:pPr>
        <w:jc w:val="both"/>
        <w:rPr>
          <w:lang w:val="en-US"/>
        </w:rPr>
      </w:pPr>
    </w:p>
    <w:tbl>
      <w:tblPr>
        <w:tblW w:w="8800" w:type="dxa"/>
        <w:tblInd w:w="-68" w:type="dxa"/>
        <w:tblCellMar>
          <w:left w:w="70" w:type="dxa"/>
          <w:right w:w="70" w:type="dxa"/>
        </w:tblCellMar>
        <w:tblLook w:val="0000"/>
      </w:tblPr>
      <w:tblGrid>
        <w:gridCol w:w="2720"/>
        <w:gridCol w:w="960"/>
        <w:gridCol w:w="1020"/>
        <w:gridCol w:w="1060"/>
        <w:gridCol w:w="960"/>
        <w:gridCol w:w="1020"/>
        <w:gridCol w:w="1060"/>
      </w:tblGrid>
      <w:tr w:rsidR="00CF43B1" w:rsidRPr="00D31BB2" w:rsidTr="00D31BB2">
        <w:trPr>
          <w:trHeight w:val="255"/>
        </w:trPr>
        <w:tc>
          <w:tcPr>
            <w:tcW w:w="2720" w:type="dxa"/>
            <w:tcBorders>
              <w:top w:val="single" w:sz="8" w:space="0" w:color="auto"/>
              <w:left w:val="single" w:sz="8" w:space="0" w:color="auto"/>
              <w:bottom w:val="single" w:sz="4" w:space="0" w:color="auto"/>
              <w:right w:val="single" w:sz="4" w:space="0" w:color="auto"/>
            </w:tcBorders>
            <w:shd w:val="clear" w:color="auto" w:fill="C0C0C0"/>
            <w:vAlign w:val="bottom"/>
          </w:tcPr>
          <w:bookmarkEnd w:id="0"/>
          <w:bookmarkEnd w:id="1"/>
          <w:p w:rsidR="00CF43B1" w:rsidRPr="00D31BB2" w:rsidRDefault="00CF43B1" w:rsidP="00A9376A">
            <w:pPr>
              <w:jc w:val="both"/>
              <w:rPr>
                <w:b/>
                <w:bCs/>
                <w:lang w:val="en-US"/>
              </w:rPr>
            </w:pPr>
            <w:r w:rsidRPr="00D31BB2">
              <w:rPr>
                <w:b/>
                <w:bCs/>
                <w:lang w:val="en-US"/>
              </w:rPr>
              <w:t> </w:t>
            </w:r>
          </w:p>
        </w:tc>
        <w:tc>
          <w:tcPr>
            <w:tcW w:w="3040" w:type="dxa"/>
            <w:gridSpan w:val="3"/>
            <w:tcBorders>
              <w:top w:val="single" w:sz="8" w:space="0" w:color="auto"/>
              <w:left w:val="nil"/>
              <w:bottom w:val="single" w:sz="4" w:space="0" w:color="auto"/>
              <w:right w:val="single" w:sz="4" w:space="0" w:color="auto"/>
            </w:tcBorders>
            <w:shd w:val="clear" w:color="auto" w:fill="C0C0C0"/>
            <w:vAlign w:val="bottom"/>
          </w:tcPr>
          <w:p w:rsidR="00CF43B1" w:rsidRPr="00D31BB2" w:rsidRDefault="00D31BB2" w:rsidP="00A9376A">
            <w:pPr>
              <w:jc w:val="both"/>
              <w:rPr>
                <w:b/>
                <w:bCs/>
                <w:lang w:val="en-US"/>
              </w:rPr>
            </w:pPr>
            <w:r w:rsidRPr="00D31BB2">
              <w:rPr>
                <w:b/>
                <w:bCs/>
                <w:lang w:val="en-US"/>
              </w:rPr>
              <w:t>Share in group</w:t>
            </w:r>
          </w:p>
        </w:tc>
        <w:tc>
          <w:tcPr>
            <w:tcW w:w="3040" w:type="dxa"/>
            <w:gridSpan w:val="3"/>
            <w:tcBorders>
              <w:top w:val="single" w:sz="8" w:space="0" w:color="auto"/>
              <w:left w:val="nil"/>
              <w:bottom w:val="single" w:sz="4" w:space="0" w:color="auto"/>
              <w:right w:val="single" w:sz="8" w:space="0" w:color="000000"/>
            </w:tcBorders>
            <w:shd w:val="clear" w:color="auto" w:fill="C0C0C0"/>
            <w:vAlign w:val="bottom"/>
          </w:tcPr>
          <w:p w:rsidR="00CF43B1" w:rsidRPr="00D31BB2" w:rsidRDefault="00D31BB2" w:rsidP="00A9376A">
            <w:pPr>
              <w:jc w:val="both"/>
              <w:rPr>
                <w:b/>
                <w:bCs/>
                <w:lang w:val="en-US"/>
              </w:rPr>
            </w:pPr>
            <w:r w:rsidRPr="00D31BB2">
              <w:rPr>
                <w:b/>
                <w:bCs/>
                <w:lang w:val="en-US"/>
              </w:rPr>
              <w:t>Share in Sector</w:t>
            </w:r>
          </w:p>
        </w:tc>
      </w:tr>
      <w:tr w:rsidR="00D31BB2" w:rsidRPr="00D31BB2" w:rsidTr="00D31BB2">
        <w:trPr>
          <w:trHeight w:val="375"/>
        </w:trPr>
        <w:tc>
          <w:tcPr>
            <w:tcW w:w="2720" w:type="dxa"/>
            <w:tcBorders>
              <w:top w:val="nil"/>
              <w:left w:val="single" w:sz="8" w:space="0" w:color="auto"/>
              <w:bottom w:val="single" w:sz="4" w:space="0" w:color="auto"/>
              <w:right w:val="single" w:sz="4" w:space="0" w:color="auto"/>
            </w:tcBorders>
            <w:shd w:val="clear" w:color="auto" w:fill="C0C0C0"/>
            <w:vAlign w:val="bottom"/>
          </w:tcPr>
          <w:p w:rsidR="00D31BB2" w:rsidRPr="00D31BB2" w:rsidRDefault="00D31BB2" w:rsidP="00A9376A">
            <w:pPr>
              <w:jc w:val="both"/>
              <w:rPr>
                <w:b/>
                <w:bCs/>
                <w:lang w:val="en-US"/>
              </w:rPr>
            </w:pPr>
            <w:r w:rsidRPr="00D31BB2">
              <w:rPr>
                <w:b/>
                <w:bCs/>
                <w:lang w:val="en-US"/>
              </w:rPr>
              <w:t>Banks</w:t>
            </w:r>
          </w:p>
        </w:tc>
        <w:tc>
          <w:tcPr>
            <w:tcW w:w="960" w:type="dxa"/>
            <w:tcBorders>
              <w:top w:val="nil"/>
              <w:left w:val="nil"/>
              <w:bottom w:val="single" w:sz="4" w:space="0" w:color="auto"/>
              <w:right w:val="single" w:sz="4" w:space="0" w:color="auto"/>
            </w:tcBorders>
            <w:shd w:val="clear" w:color="auto" w:fill="C0C0C0"/>
            <w:vAlign w:val="bottom"/>
          </w:tcPr>
          <w:p w:rsidR="00D31BB2" w:rsidRPr="00D31BB2" w:rsidRDefault="00D31BB2" w:rsidP="00A9376A">
            <w:pPr>
              <w:jc w:val="both"/>
              <w:rPr>
                <w:b/>
                <w:bCs/>
                <w:lang w:val="en-US"/>
              </w:rPr>
            </w:pPr>
            <w:r w:rsidRPr="00D31BB2">
              <w:rPr>
                <w:b/>
                <w:bCs/>
                <w:lang w:val="en-US"/>
              </w:rPr>
              <w:t>Total Assets</w:t>
            </w:r>
          </w:p>
        </w:tc>
        <w:tc>
          <w:tcPr>
            <w:tcW w:w="1020" w:type="dxa"/>
            <w:tcBorders>
              <w:top w:val="nil"/>
              <w:left w:val="nil"/>
              <w:bottom w:val="single" w:sz="4" w:space="0" w:color="auto"/>
              <w:right w:val="single" w:sz="4" w:space="0" w:color="auto"/>
            </w:tcBorders>
            <w:shd w:val="clear" w:color="auto" w:fill="C0C0C0"/>
            <w:vAlign w:val="bottom"/>
          </w:tcPr>
          <w:p w:rsidR="00D31BB2" w:rsidRPr="00D31BB2" w:rsidRDefault="00D31BB2" w:rsidP="00A9376A">
            <w:pPr>
              <w:jc w:val="both"/>
              <w:rPr>
                <w:b/>
                <w:bCs/>
                <w:lang w:val="en-US"/>
              </w:rPr>
            </w:pPr>
            <w:r w:rsidRPr="00D31BB2">
              <w:rPr>
                <w:b/>
                <w:bCs/>
                <w:lang w:val="en-US"/>
              </w:rPr>
              <w:t>Total Credits</w:t>
            </w:r>
          </w:p>
        </w:tc>
        <w:tc>
          <w:tcPr>
            <w:tcW w:w="1060" w:type="dxa"/>
            <w:tcBorders>
              <w:top w:val="nil"/>
              <w:left w:val="nil"/>
              <w:bottom w:val="single" w:sz="4" w:space="0" w:color="auto"/>
              <w:right w:val="single" w:sz="4" w:space="0" w:color="auto"/>
            </w:tcBorders>
            <w:shd w:val="clear" w:color="auto" w:fill="C0C0C0"/>
            <w:vAlign w:val="bottom"/>
          </w:tcPr>
          <w:p w:rsidR="00D31BB2" w:rsidRPr="00D31BB2" w:rsidRDefault="00D31BB2" w:rsidP="00A9376A">
            <w:pPr>
              <w:jc w:val="both"/>
              <w:rPr>
                <w:b/>
                <w:bCs/>
                <w:lang w:val="en-US"/>
              </w:rPr>
            </w:pPr>
            <w:r w:rsidRPr="00D31BB2">
              <w:rPr>
                <w:b/>
                <w:bCs/>
                <w:lang w:val="en-US"/>
              </w:rPr>
              <w:t>Total Deposit</w:t>
            </w:r>
          </w:p>
        </w:tc>
        <w:tc>
          <w:tcPr>
            <w:tcW w:w="960" w:type="dxa"/>
            <w:tcBorders>
              <w:top w:val="nil"/>
              <w:left w:val="nil"/>
              <w:bottom w:val="single" w:sz="4" w:space="0" w:color="auto"/>
              <w:right w:val="single" w:sz="4" w:space="0" w:color="auto"/>
            </w:tcBorders>
            <w:shd w:val="clear" w:color="auto" w:fill="C0C0C0"/>
            <w:vAlign w:val="bottom"/>
          </w:tcPr>
          <w:p w:rsidR="00D31BB2" w:rsidRPr="00D31BB2" w:rsidRDefault="00D31BB2" w:rsidP="004C1EA7">
            <w:pPr>
              <w:jc w:val="both"/>
              <w:rPr>
                <w:b/>
                <w:bCs/>
                <w:lang w:val="en-US"/>
              </w:rPr>
            </w:pPr>
            <w:r w:rsidRPr="00D31BB2">
              <w:rPr>
                <w:b/>
                <w:bCs/>
                <w:lang w:val="en-US"/>
              </w:rPr>
              <w:t>Total Assets</w:t>
            </w:r>
          </w:p>
        </w:tc>
        <w:tc>
          <w:tcPr>
            <w:tcW w:w="1020" w:type="dxa"/>
            <w:tcBorders>
              <w:top w:val="nil"/>
              <w:left w:val="nil"/>
              <w:bottom w:val="single" w:sz="4" w:space="0" w:color="auto"/>
              <w:right w:val="single" w:sz="4" w:space="0" w:color="auto"/>
            </w:tcBorders>
            <w:shd w:val="clear" w:color="auto" w:fill="C0C0C0"/>
            <w:vAlign w:val="bottom"/>
          </w:tcPr>
          <w:p w:rsidR="00D31BB2" w:rsidRPr="00D31BB2" w:rsidRDefault="00D31BB2" w:rsidP="004C1EA7">
            <w:pPr>
              <w:jc w:val="both"/>
              <w:rPr>
                <w:b/>
                <w:bCs/>
                <w:lang w:val="en-US"/>
              </w:rPr>
            </w:pPr>
            <w:r w:rsidRPr="00D31BB2">
              <w:rPr>
                <w:b/>
                <w:bCs/>
                <w:lang w:val="en-US"/>
              </w:rPr>
              <w:t>Total Credits</w:t>
            </w:r>
          </w:p>
        </w:tc>
        <w:tc>
          <w:tcPr>
            <w:tcW w:w="1060" w:type="dxa"/>
            <w:tcBorders>
              <w:top w:val="nil"/>
              <w:left w:val="nil"/>
              <w:bottom w:val="single" w:sz="4" w:space="0" w:color="auto"/>
              <w:right w:val="single" w:sz="8" w:space="0" w:color="auto"/>
            </w:tcBorders>
            <w:shd w:val="clear" w:color="auto" w:fill="C0C0C0"/>
            <w:vAlign w:val="bottom"/>
          </w:tcPr>
          <w:p w:rsidR="00D31BB2" w:rsidRPr="00D31BB2" w:rsidRDefault="00D31BB2" w:rsidP="004C1EA7">
            <w:pPr>
              <w:jc w:val="both"/>
              <w:rPr>
                <w:b/>
                <w:bCs/>
                <w:lang w:val="en-US"/>
              </w:rPr>
            </w:pPr>
            <w:r w:rsidRPr="00D31BB2">
              <w:rPr>
                <w:b/>
                <w:bCs/>
                <w:lang w:val="en-US"/>
              </w:rPr>
              <w:t>Total Deposit</w:t>
            </w:r>
          </w:p>
        </w:tc>
      </w:tr>
      <w:tr w:rsidR="00CF43B1" w:rsidRPr="00D31BB2" w:rsidTr="00D31BB2">
        <w:trPr>
          <w:trHeight w:val="255"/>
        </w:trPr>
        <w:tc>
          <w:tcPr>
            <w:tcW w:w="2720" w:type="dxa"/>
            <w:tcBorders>
              <w:top w:val="nil"/>
              <w:left w:val="single" w:sz="8" w:space="0" w:color="auto"/>
              <w:bottom w:val="single" w:sz="4" w:space="0" w:color="auto"/>
              <w:right w:val="single" w:sz="4" w:space="0" w:color="auto"/>
            </w:tcBorders>
            <w:shd w:val="clear" w:color="auto" w:fill="FFFFFF"/>
            <w:noWrap/>
            <w:vAlign w:val="bottom"/>
          </w:tcPr>
          <w:p w:rsidR="00CF43B1" w:rsidRPr="00D31BB2" w:rsidRDefault="00D31BB2" w:rsidP="00A9376A">
            <w:pPr>
              <w:jc w:val="both"/>
              <w:rPr>
                <w:b/>
                <w:bCs/>
                <w:lang w:val="en-US"/>
              </w:rPr>
            </w:pPr>
            <w:r w:rsidRPr="00D31BB2">
              <w:rPr>
                <w:b/>
                <w:bCs/>
                <w:lang w:val="en-US"/>
              </w:rPr>
              <w:t>Deposit Banks</w:t>
            </w:r>
          </w:p>
        </w:tc>
        <w:tc>
          <w:tcPr>
            <w:tcW w:w="9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100,0</w:t>
            </w:r>
          </w:p>
        </w:tc>
        <w:tc>
          <w:tcPr>
            <w:tcW w:w="102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100,0</w:t>
            </w:r>
          </w:p>
        </w:tc>
        <w:tc>
          <w:tcPr>
            <w:tcW w:w="10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100,0</w:t>
            </w:r>
          </w:p>
        </w:tc>
        <w:tc>
          <w:tcPr>
            <w:tcW w:w="9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95,7</w:t>
            </w:r>
          </w:p>
        </w:tc>
        <w:tc>
          <w:tcPr>
            <w:tcW w:w="102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94,9</w:t>
            </w:r>
          </w:p>
        </w:tc>
        <w:tc>
          <w:tcPr>
            <w:tcW w:w="1060" w:type="dxa"/>
            <w:tcBorders>
              <w:top w:val="nil"/>
              <w:left w:val="nil"/>
              <w:bottom w:val="single" w:sz="4" w:space="0" w:color="auto"/>
              <w:right w:val="single" w:sz="8"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100,0</w:t>
            </w:r>
          </w:p>
        </w:tc>
      </w:tr>
      <w:tr w:rsidR="00CF43B1" w:rsidRPr="00D31BB2" w:rsidTr="00D31BB2">
        <w:trPr>
          <w:trHeight w:val="255"/>
        </w:trPr>
        <w:tc>
          <w:tcPr>
            <w:tcW w:w="2720" w:type="dxa"/>
            <w:tcBorders>
              <w:top w:val="nil"/>
              <w:left w:val="single" w:sz="8" w:space="0" w:color="auto"/>
              <w:bottom w:val="single" w:sz="4" w:space="0" w:color="auto"/>
              <w:right w:val="single" w:sz="4" w:space="0" w:color="auto"/>
            </w:tcBorders>
            <w:shd w:val="clear" w:color="auto" w:fill="FFFFFF"/>
            <w:noWrap/>
            <w:vAlign w:val="bottom"/>
          </w:tcPr>
          <w:p w:rsidR="00CF43B1" w:rsidRPr="00D31BB2" w:rsidRDefault="00D31BB2" w:rsidP="00A9376A">
            <w:pPr>
              <w:jc w:val="both"/>
              <w:rPr>
                <w:b/>
                <w:bCs/>
                <w:lang w:val="en-US"/>
              </w:rPr>
            </w:pPr>
            <w:r w:rsidRPr="00D31BB2">
              <w:rPr>
                <w:b/>
                <w:bCs/>
                <w:lang w:val="en-US"/>
              </w:rPr>
              <w:t>State Banks</w:t>
            </w:r>
          </w:p>
        </w:tc>
        <w:tc>
          <w:tcPr>
            <w:tcW w:w="9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30,9</w:t>
            </w:r>
          </w:p>
        </w:tc>
        <w:tc>
          <w:tcPr>
            <w:tcW w:w="102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29,3</w:t>
            </w:r>
          </w:p>
        </w:tc>
        <w:tc>
          <w:tcPr>
            <w:tcW w:w="10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34,3</w:t>
            </w:r>
          </w:p>
        </w:tc>
        <w:tc>
          <w:tcPr>
            <w:tcW w:w="9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29,5</w:t>
            </w:r>
          </w:p>
        </w:tc>
        <w:tc>
          <w:tcPr>
            <w:tcW w:w="102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27,8</w:t>
            </w:r>
          </w:p>
        </w:tc>
        <w:tc>
          <w:tcPr>
            <w:tcW w:w="1060" w:type="dxa"/>
            <w:tcBorders>
              <w:top w:val="nil"/>
              <w:left w:val="nil"/>
              <w:bottom w:val="single" w:sz="4" w:space="0" w:color="auto"/>
              <w:right w:val="single" w:sz="8"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34,3</w:t>
            </w:r>
          </w:p>
        </w:tc>
      </w:tr>
      <w:tr w:rsidR="00CF43B1" w:rsidRPr="00D31BB2" w:rsidTr="00D31BB2">
        <w:trPr>
          <w:trHeight w:val="255"/>
        </w:trPr>
        <w:tc>
          <w:tcPr>
            <w:tcW w:w="2720" w:type="dxa"/>
            <w:tcBorders>
              <w:top w:val="nil"/>
              <w:left w:val="single" w:sz="8" w:space="0" w:color="auto"/>
              <w:bottom w:val="single" w:sz="4" w:space="0" w:color="auto"/>
              <w:right w:val="single" w:sz="4" w:space="0" w:color="auto"/>
            </w:tcBorders>
            <w:shd w:val="clear" w:color="auto" w:fill="FFFFFF"/>
            <w:noWrap/>
            <w:vAlign w:val="bottom"/>
          </w:tcPr>
          <w:p w:rsidR="00CF43B1" w:rsidRPr="00D31BB2" w:rsidRDefault="00D31BB2" w:rsidP="00A9376A">
            <w:pPr>
              <w:jc w:val="both"/>
              <w:rPr>
                <w:b/>
                <w:bCs/>
                <w:lang w:val="en-US"/>
              </w:rPr>
            </w:pPr>
            <w:r w:rsidRPr="00D31BB2">
              <w:rPr>
                <w:b/>
                <w:bCs/>
                <w:lang w:val="en-US"/>
              </w:rPr>
              <w:t>Private Banks</w:t>
            </w:r>
          </w:p>
        </w:tc>
        <w:tc>
          <w:tcPr>
            <w:tcW w:w="9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53,1</w:t>
            </w:r>
          </w:p>
        </w:tc>
        <w:tc>
          <w:tcPr>
            <w:tcW w:w="102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54,6</w:t>
            </w:r>
          </w:p>
        </w:tc>
        <w:tc>
          <w:tcPr>
            <w:tcW w:w="10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50,7</w:t>
            </w:r>
          </w:p>
        </w:tc>
        <w:tc>
          <w:tcPr>
            <w:tcW w:w="9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50,8</w:t>
            </w:r>
          </w:p>
        </w:tc>
        <w:tc>
          <w:tcPr>
            <w:tcW w:w="102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51,8</w:t>
            </w:r>
          </w:p>
        </w:tc>
        <w:tc>
          <w:tcPr>
            <w:tcW w:w="1060" w:type="dxa"/>
            <w:tcBorders>
              <w:top w:val="nil"/>
              <w:left w:val="nil"/>
              <w:bottom w:val="single" w:sz="4" w:space="0" w:color="auto"/>
              <w:right w:val="single" w:sz="8"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50,7</w:t>
            </w:r>
          </w:p>
        </w:tc>
      </w:tr>
      <w:tr w:rsidR="00CF43B1" w:rsidRPr="00D31BB2" w:rsidTr="00D31BB2">
        <w:trPr>
          <w:trHeight w:val="255"/>
        </w:trPr>
        <w:tc>
          <w:tcPr>
            <w:tcW w:w="2720" w:type="dxa"/>
            <w:tcBorders>
              <w:top w:val="nil"/>
              <w:left w:val="single" w:sz="8" w:space="0" w:color="auto"/>
              <w:bottom w:val="single" w:sz="4" w:space="0" w:color="auto"/>
              <w:right w:val="single" w:sz="4" w:space="0" w:color="auto"/>
            </w:tcBorders>
            <w:shd w:val="clear" w:color="auto" w:fill="FFFFFF"/>
            <w:noWrap/>
            <w:vAlign w:val="bottom"/>
          </w:tcPr>
          <w:p w:rsidR="00CF43B1" w:rsidRPr="00D31BB2" w:rsidRDefault="00D31BB2" w:rsidP="00A9376A">
            <w:pPr>
              <w:jc w:val="both"/>
              <w:rPr>
                <w:b/>
                <w:bCs/>
                <w:lang w:val="en-US"/>
              </w:rPr>
            </w:pPr>
            <w:r w:rsidRPr="00D31BB2">
              <w:rPr>
                <w:b/>
                <w:bCs/>
                <w:lang w:val="en-US"/>
              </w:rPr>
              <w:t>Foreign Invested Banks</w:t>
            </w:r>
          </w:p>
        </w:tc>
        <w:tc>
          <w:tcPr>
            <w:tcW w:w="9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16,0</w:t>
            </w:r>
          </w:p>
        </w:tc>
        <w:tc>
          <w:tcPr>
            <w:tcW w:w="102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16,1</w:t>
            </w:r>
          </w:p>
        </w:tc>
        <w:tc>
          <w:tcPr>
            <w:tcW w:w="10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14,9</w:t>
            </w:r>
          </w:p>
        </w:tc>
        <w:tc>
          <w:tcPr>
            <w:tcW w:w="96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15,3</w:t>
            </w:r>
          </w:p>
        </w:tc>
        <w:tc>
          <w:tcPr>
            <w:tcW w:w="1020" w:type="dxa"/>
            <w:tcBorders>
              <w:top w:val="nil"/>
              <w:left w:val="nil"/>
              <w:bottom w:val="single" w:sz="4"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15,2</w:t>
            </w:r>
          </w:p>
        </w:tc>
        <w:tc>
          <w:tcPr>
            <w:tcW w:w="1060" w:type="dxa"/>
            <w:tcBorders>
              <w:top w:val="nil"/>
              <w:left w:val="nil"/>
              <w:bottom w:val="single" w:sz="4" w:space="0" w:color="auto"/>
              <w:right w:val="single" w:sz="8"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14,9</w:t>
            </w:r>
          </w:p>
        </w:tc>
      </w:tr>
      <w:tr w:rsidR="00CF43B1" w:rsidRPr="00D31BB2" w:rsidTr="00D31BB2">
        <w:trPr>
          <w:trHeight w:val="270"/>
        </w:trPr>
        <w:tc>
          <w:tcPr>
            <w:tcW w:w="2720" w:type="dxa"/>
            <w:tcBorders>
              <w:top w:val="nil"/>
              <w:left w:val="single" w:sz="8" w:space="0" w:color="auto"/>
              <w:bottom w:val="single" w:sz="8" w:space="0" w:color="auto"/>
              <w:right w:val="single" w:sz="4" w:space="0" w:color="auto"/>
            </w:tcBorders>
            <w:shd w:val="clear" w:color="auto" w:fill="FFFFFF"/>
            <w:noWrap/>
            <w:vAlign w:val="bottom"/>
          </w:tcPr>
          <w:p w:rsidR="00CF43B1" w:rsidRPr="00D31BB2" w:rsidRDefault="00D31BB2" w:rsidP="00A9376A">
            <w:pPr>
              <w:jc w:val="both"/>
              <w:rPr>
                <w:b/>
                <w:bCs/>
                <w:lang w:val="en-US"/>
              </w:rPr>
            </w:pPr>
            <w:r w:rsidRPr="00D31BB2">
              <w:rPr>
                <w:b/>
                <w:bCs/>
                <w:lang w:val="en-US"/>
              </w:rPr>
              <w:t>Development and Investment Banks</w:t>
            </w:r>
          </w:p>
        </w:tc>
        <w:tc>
          <w:tcPr>
            <w:tcW w:w="960" w:type="dxa"/>
            <w:tcBorders>
              <w:top w:val="nil"/>
              <w:left w:val="nil"/>
              <w:bottom w:val="single" w:sz="8"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100,0</w:t>
            </w:r>
          </w:p>
        </w:tc>
        <w:tc>
          <w:tcPr>
            <w:tcW w:w="1020" w:type="dxa"/>
            <w:tcBorders>
              <w:top w:val="nil"/>
              <w:left w:val="nil"/>
              <w:bottom w:val="single" w:sz="8"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100,0</w:t>
            </w:r>
          </w:p>
        </w:tc>
        <w:tc>
          <w:tcPr>
            <w:tcW w:w="1060" w:type="dxa"/>
            <w:tcBorders>
              <w:top w:val="nil"/>
              <w:left w:val="nil"/>
              <w:bottom w:val="single" w:sz="8"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w:t>
            </w:r>
          </w:p>
        </w:tc>
        <w:tc>
          <w:tcPr>
            <w:tcW w:w="960" w:type="dxa"/>
            <w:tcBorders>
              <w:top w:val="nil"/>
              <w:left w:val="nil"/>
              <w:bottom w:val="single" w:sz="8"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4,3</w:t>
            </w:r>
          </w:p>
        </w:tc>
        <w:tc>
          <w:tcPr>
            <w:tcW w:w="1020" w:type="dxa"/>
            <w:tcBorders>
              <w:top w:val="nil"/>
              <w:left w:val="nil"/>
              <w:bottom w:val="single" w:sz="8" w:space="0" w:color="auto"/>
              <w:right w:val="single" w:sz="4"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5,1</w:t>
            </w:r>
          </w:p>
        </w:tc>
        <w:tc>
          <w:tcPr>
            <w:tcW w:w="1060" w:type="dxa"/>
            <w:tcBorders>
              <w:top w:val="nil"/>
              <w:left w:val="nil"/>
              <w:bottom w:val="single" w:sz="8" w:space="0" w:color="auto"/>
              <w:right w:val="single" w:sz="8" w:space="0" w:color="auto"/>
            </w:tcBorders>
            <w:shd w:val="clear" w:color="auto" w:fill="FFFFFF"/>
            <w:noWrap/>
            <w:vAlign w:val="bottom"/>
          </w:tcPr>
          <w:p w:rsidR="00CF43B1" w:rsidRPr="00D31BB2" w:rsidRDefault="00CF43B1" w:rsidP="00A9376A">
            <w:pPr>
              <w:jc w:val="both"/>
              <w:rPr>
                <w:b/>
                <w:bCs/>
                <w:lang w:val="en-US"/>
              </w:rPr>
            </w:pPr>
            <w:r w:rsidRPr="00D31BB2">
              <w:rPr>
                <w:b/>
                <w:bCs/>
                <w:lang w:val="en-US"/>
              </w:rPr>
              <w:t>-</w:t>
            </w:r>
          </w:p>
        </w:tc>
      </w:tr>
    </w:tbl>
    <w:p w:rsidR="00CF43B1" w:rsidRPr="00D31BB2" w:rsidRDefault="00706D8F" w:rsidP="00BF2F8D">
      <w:pPr>
        <w:rPr>
          <w:lang w:val="en-US"/>
        </w:rPr>
      </w:pPr>
      <w:r w:rsidRPr="00D31BB2">
        <w:rPr>
          <w:lang w:val="en-US"/>
        </w:rPr>
        <w:t>Source:</w:t>
      </w:r>
      <w:r w:rsidR="00BF2F8D">
        <w:rPr>
          <w:lang w:val="en-US"/>
        </w:rPr>
        <w:t xml:space="preserve"> </w:t>
      </w:r>
      <w:r w:rsidR="00C56F41">
        <w:rPr>
          <w:lang w:val="en-US"/>
        </w:rPr>
        <w:t>[3</w:t>
      </w:r>
      <w:r w:rsidR="00BF2F8D">
        <w:rPr>
          <w:lang w:val="en-US"/>
        </w:rPr>
        <w:t>]</w:t>
      </w:r>
    </w:p>
    <w:p w:rsidR="004969B1" w:rsidRDefault="004969B1" w:rsidP="00A9376A">
      <w:pPr>
        <w:jc w:val="both"/>
      </w:pPr>
    </w:p>
    <w:p w:rsidR="00B8590F" w:rsidRPr="0068227A" w:rsidRDefault="00BF2F8D" w:rsidP="00A9376A">
      <w:pPr>
        <w:jc w:val="both"/>
        <w:rPr>
          <w:lang w:val="en-US"/>
        </w:rPr>
      </w:pPr>
      <w:r>
        <w:rPr>
          <w:lang w:val="en-US"/>
        </w:rPr>
        <w:t>As it can be seen in Table</w:t>
      </w:r>
      <w:r w:rsidR="00B8590F" w:rsidRPr="003B78A8">
        <w:rPr>
          <w:lang w:val="en-US"/>
        </w:rPr>
        <w:t xml:space="preserve"> 3, 95.7% of the total assets are the assests of the deposit banks and </w:t>
      </w:r>
      <w:r w:rsidR="00B8590F" w:rsidRPr="000A1831">
        <w:rPr>
          <w:lang w:val="en-US"/>
        </w:rPr>
        <w:t>4.3% are the assets of development and investment banks.</w:t>
      </w:r>
      <w:r w:rsidR="00F64F28" w:rsidRPr="000A1831">
        <w:rPr>
          <w:lang w:val="en-US"/>
        </w:rPr>
        <w:t xml:space="preserve"> Among all the deposit banks, 30.9 </w:t>
      </w:r>
      <w:r w:rsidR="00F64F28" w:rsidRPr="000A1831">
        <w:rPr>
          <w:lang w:val="en-US"/>
        </w:rPr>
        <w:lastRenderedPageBreak/>
        <w:t>% of the total assets belong to state banks and 53.1 % of the total assets belong to private banks.</w:t>
      </w:r>
      <w:r w:rsidR="000A1831" w:rsidRPr="000A1831">
        <w:rPr>
          <w:lang w:val="en-US"/>
        </w:rPr>
        <w:t xml:space="preserve"> Foreign Invested Banks form 16 % of the total assets. In terms of credit extension, while 94.9 % of the total credits are provided by deposit banks</w:t>
      </w:r>
      <w:r w:rsidR="00544049">
        <w:rPr>
          <w:lang w:val="en-US"/>
        </w:rPr>
        <w:t xml:space="preserve">, only 5.1 % of the total credits </w:t>
      </w:r>
      <w:r w:rsidR="00544049" w:rsidRPr="0068227A">
        <w:rPr>
          <w:lang w:val="en-US"/>
        </w:rPr>
        <w:t xml:space="preserve">are provided by development and investment banks. </w:t>
      </w:r>
      <w:r w:rsidR="00B043BB" w:rsidRPr="0068227A">
        <w:rPr>
          <w:lang w:val="en-US"/>
        </w:rPr>
        <w:t xml:space="preserve">In deposit banks, private banks have a ratio of 54.6 % and state banks have a ratio of 29.3 %. </w:t>
      </w:r>
      <w:r w:rsidR="002E5BD9">
        <w:rPr>
          <w:lang w:val="en-US"/>
        </w:rPr>
        <w:t xml:space="preserve">Foreign banks provide 16.1 % of the total credits. </w:t>
      </w:r>
      <w:r w:rsidR="00682AE1">
        <w:rPr>
          <w:lang w:val="en-US"/>
        </w:rPr>
        <w:t>When we look at the deposit/share ratio, private banks have 50.7 % and state banks have 34.3 % of the total banks deposits.</w:t>
      </w:r>
      <w:r w:rsidR="00BA0AE9">
        <w:rPr>
          <w:lang w:val="en-US"/>
        </w:rPr>
        <w:t xml:space="preserve"> Deposit ratio of the foreign banks is 14.9 %.</w:t>
      </w:r>
    </w:p>
    <w:p w:rsidR="002E5BD9" w:rsidRPr="00BA0AE9" w:rsidRDefault="00BA0AE9" w:rsidP="00A9376A">
      <w:pPr>
        <w:jc w:val="both"/>
        <w:rPr>
          <w:lang w:val="en-US"/>
        </w:rPr>
      </w:pPr>
      <w:r w:rsidRPr="00BA0AE9">
        <w:rPr>
          <w:lang w:val="en-US"/>
        </w:rPr>
        <w:t xml:space="preserve">When table 1 and table 2 are evaluated together, </w:t>
      </w:r>
      <w:r>
        <w:rPr>
          <w:lang w:val="en-US"/>
        </w:rPr>
        <w:t xml:space="preserve">it can be concluded that the banking sector has an important part in the financial system. For this reason, operating results of the banking sector should be monitored regularly and closely. </w:t>
      </w:r>
    </w:p>
    <w:p w:rsidR="00BA0AE9" w:rsidRPr="003679F0" w:rsidRDefault="003679F0" w:rsidP="00A9376A">
      <w:pPr>
        <w:jc w:val="both"/>
        <w:rPr>
          <w:lang w:val="en-US"/>
        </w:rPr>
      </w:pPr>
      <w:r w:rsidRPr="00BF18E1">
        <w:rPr>
          <w:lang w:val="en-US"/>
        </w:rPr>
        <w:t xml:space="preserve">12 of the 45 operating banks are traded in Borsa Istanbul. Two of them are state banks </w:t>
      </w:r>
      <w:r w:rsidR="00220CAC" w:rsidRPr="00BF18E1">
        <w:rPr>
          <w:lang w:val="en-US"/>
        </w:rPr>
        <w:t>(Vakıflar and Halk</w:t>
      </w:r>
      <w:r w:rsidRPr="00BF18E1">
        <w:rPr>
          <w:lang w:val="en-US"/>
        </w:rPr>
        <w:t xml:space="preserve">), seven of them are private banks </w:t>
      </w:r>
      <w:r w:rsidRPr="00BF18E1">
        <w:t>(Akbank, Şekerbank, Tekstil Bank, TEB</w:t>
      </w:r>
      <w:r w:rsidR="00220CAC" w:rsidRPr="00BF18E1">
        <w:t>, Garanti, İş Bank and Yapı Kredi</w:t>
      </w:r>
      <w:r w:rsidRPr="00BF18E1">
        <w:t xml:space="preserve">), </w:t>
      </w:r>
      <w:r w:rsidR="00F51D0A" w:rsidRPr="00BF18E1">
        <w:t>three of them are foreign invested banks (</w:t>
      </w:r>
      <w:r w:rsidR="00220CAC" w:rsidRPr="00BF18E1">
        <w:t>Denizbank, Finans Bank and</w:t>
      </w:r>
      <w:r w:rsidR="00F51D0A" w:rsidRPr="00BF18E1">
        <w:t xml:space="preserve"> Alternatif Bank) and two of them are development and investment bank </w:t>
      </w:r>
      <w:r w:rsidR="00220CAC" w:rsidRPr="00BF18E1">
        <w:t>(Türkiye Sınai Kalkınma and Türkiye Kalkınma</w:t>
      </w:r>
      <w:r w:rsidR="00F51D0A" w:rsidRPr="00BF18E1">
        <w:t>).</w:t>
      </w:r>
    </w:p>
    <w:p w:rsidR="007C1C5D" w:rsidRDefault="007C1C5D" w:rsidP="00A9376A">
      <w:pPr>
        <w:jc w:val="both"/>
        <w:rPr>
          <w:lang w:val="en-US"/>
        </w:rPr>
      </w:pPr>
      <w:r w:rsidRPr="007C1C5D">
        <w:rPr>
          <w:lang w:val="en-US"/>
        </w:rPr>
        <w:t>Investors willing to make investment in banking sectors stocks can benefit from the financial tables of these banks. Balance sheet items and income table items can be evaluated for</w:t>
      </w:r>
      <w:r>
        <w:rPr>
          <w:lang w:val="en-US"/>
        </w:rPr>
        <w:t xml:space="preserve"> t</w:t>
      </w:r>
      <w:r w:rsidRPr="007C1C5D">
        <w:rPr>
          <w:lang w:val="en-US"/>
        </w:rPr>
        <w:t>his purpose.</w:t>
      </w:r>
      <w:r w:rsidR="00D840DD">
        <w:rPr>
          <w:lang w:val="en-US"/>
        </w:rPr>
        <w:t xml:space="preserve"> One of the purposes of financial tables is to determine the value of a company. Financial tables derived from the balance sheet and income table can be classified and analyzed in five groups: liquidity ratio, financial structure or liability, operation or activ</w:t>
      </w:r>
      <w:r w:rsidR="00E51B52">
        <w:rPr>
          <w:lang w:val="en-US"/>
        </w:rPr>
        <w:t>ity, profitability, stock market</w:t>
      </w:r>
      <w:r w:rsidR="00D840DD">
        <w:rPr>
          <w:lang w:val="en-US"/>
        </w:rPr>
        <w:t xml:space="preserve"> performance ratios. </w:t>
      </w:r>
    </w:p>
    <w:p w:rsidR="00CF43B1" w:rsidRPr="00A9376A" w:rsidRDefault="00CF43B1" w:rsidP="00A9376A">
      <w:pPr>
        <w:jc w:val="both"/>
      </w:pPr>
    </w:p>
    <w:p w:rsidR="00CF43B1" w:rsidRPr="00A9376A" w:rsidRDefault="000F5DE2" w:rsidP="00A9376A">
      <w:pPr>
        <w:jc w:val="both"/>
        <w:rPr>
          <w:b/>
          <w:bCs/>
        </w:rPr>
      </w:pPr>
      <w:r>
        <w:rPr>
          <w:b/>
          <w:bCs/>
        </w:rPr>
        <w:t xml:space="preserve">3. </w:t>
      </w:r>
      <w:r w:rsidR="00CF43B1" w:rsidRPr="00A9376A">
        <w:rPr>
          <w:b/>
          <w:bCs/>
        </w:rPr>
        <w:t>Literature Review</w:t>
      </w:r>
    </w:p>
    <w:p w:rsidR="00CF43B1" w:rsidRDefault="00CF43B1" w:rsidP="00A9376A">
      <w:pPr>
        <w:jc w:val="both"/>
        <w:rPr>
          <w:b/>
          <w:bCs/>
        </w:rPr>
      </w:pPr>
    </w:p>
    <w:p w:rsidR="0063390D" w:rsidRPr="008D0F35" w:rsidRDefault="008D0F35" w:rsidP="00A9376A">
      <w:pPr>
        <w:jc w:val="both"/>
        <w:rPr>
          <w:bCs/>
          <w:lang w:val="en-US"/>
        </w:rPr>
      </w:pPr>
      <w:r w:rsidRPr="008D0F35">
        <w:rPr>
          <w:bCs/>
          <w:lang w:val="en-US"/>
        </w:rPr>
        <w:t>The factor</w:t>
      </w:r>
      <w:r>
        <w:rPr>
          <w:bCs/>
          <w:lang w:val="en-US"/>
        </w:rPr>
        <w:t>s</w:t>
      </w:r>
      <w:r w:rsidRPr="008D0F35">
        <w:rPr>
          <w:bCs/>
          <w:lang w:val="en-US"/>
        </w:rPr>
        <w:t xml:space="preserve"> affecting</w:t>
      </w:r>
      <w:r>
        <w:rPr>
          <w:bCs/>
          <w:lang w:val="en-US"/>
        </w:rPr>
        <w:t xml:space="preserve"> the stock returns attracted the interest of many researchers in financial literature. </w:t>
      </w:r>
      <w:r w:rsidR="00E51B52">
        <w:rPr>
          <w:bCs/>
          <w:lang w:val="en-US"/>
        </w:rPr>
        <w:t xml:space="preserve">At the same time, </w:t>
      </w:r>
      <w:r w:rsidR="006D1DA2">
        <w:rPr>
          <w:bCs/>
          <w:lang w:val="en-US"/>
        </w:rPr>
        <w:t>detecting these factors is also important for the investors investing in stock markets.</w:t>
      </w:r>
      <w:r w:rsidR="00706634">
        <w:rPr>
          <w:bCs/>
          <w:lang w:val="en-US"/>
        </w:rPr>
        <w:t xml:space="preserve"> Most of the studies to estimate the stock returns highly focus on the relationship between the fundamental financial tables and stock returns. Following section </w:t>
      </w:r>
      <w:r w:rsidR="00B948AB">
        <w:rPr>
          <w:bCs/>
          <w:lang w:val="en-US"/>
        </w:rPr>
        <w:t xml:space="preserve">refers some of these studies. </w:t>
      </w:r>
    </w:p>
    <w:p w:rsidR="00807641" w:rsidRDefault="001A1A51" w:rsidP="008A29E1">
      <w:pPr>
        <w:autoSpaceDE w:val="0"/>
        <w:autoSpaceDN w:val="0"/>
        <w:adjustRightInd w:val="0"/>
        <w:jc w:val="both"/>
      </w:pPr>
      <w:r>
        <w:t xml:space="preserve">[4] </w:t>
      </w:r>
      <w:r w:rsidR="000D7470" w:rsidRPr="000D7470">
        <w:rPr>
          <w:lang w:val="en-US"/>
        </w:rPr>
        <w:t xml:space="preserve">states that investors </w:t>
      </w:r>
      <w:r w:rsidR="00657025">
        <w:rPr>
          <w:lang w:val="en-US"/>
        </w:rPr>
        <w:t>will</w:t>
      </w:r>
      <w:r w:rsidR="000D7470" w:rsidRPr="000D7470">
        <w:rPr>
          <w:lang w:val="en-US"/>
        </w:rPr>
        <w:t xml:space="preserve"> not have information about the future values of stock returns</w:t>
      </w:r>
      <w:r w:rsidR="00CF43B1" w:rsidRPr="000D7470">
        <w:rPr>
          <w:lang w:val="en-US"/>
        </w:rPr>
        <w:t xml:space="preserve"> </w:t>
      </w:r>
      <w:r w:rsidR="000D7470">
        <w:rPr>
          <w:lang w:val="en-US"/>
        </w:rPr>
        <w:t>by focusing on the past values of stock returns</w:t>
      </w:r>
      <w:r w:rsidR="00657025">
        <w:rPr>
          <w:lang w:val="en-US"/>
        </w:rPr>
        <w:t>,</w:t>
      </w:r>
      <w:r w:rsidR="000D7470">
        <w:rPr>
          <w:lang w:val="en-US"/>
        </w:rPr>
        <w:t xml:space="preserve"> according to efficient market hypothesis.</w:t>
      </w:r>
      <w:r w:rsidR="00657025">
        <w:rPr>
          <w:lang w:val="en-US"/>
        </w:rPr>
        <w:t xml:space="preserve"> This hypothesis that all the information which possibly affects the stock returns are reflected to the stock prices on advance.</w:t>
      </w:r>
      <w:r w:rsidR="00807641">
        <w:rPr>
          <w:lang w:val="en-US"/>
        </w:rPr>
        <w:t xml:space="preserve"> While there are many studies about the relationship between financial ratios and stock returns, limited number of studies are made for the developing economies</w:t>
      </w:r>
    </w:p>
    <w:p w:rsidR="00807641" w:rsidRPr="00AD02BF" w:rsidRDefault="001A1A51" w:rsidP="00A9376A">
      <w:pPr>
        <w:jc w:val="both"/>
        <w:rPr>
          <w:lang w:val="en-US"/>
        </w:rPr>
      </w:pPr>
      <w:r>
        <w:rPr>
          <w:lang w:val="en-US"/>
        </w:rPr>
        <w:t xml:space="preserve">[5] </w:t>
      </w:r>
      <w:r w:rsidR="009A386E" w:rsidRPr="00AD02BF">
        <w:rPr>
          <w:lang w:val="en-US"/>
        </w:rPr>
        <w:t>investigated the dynamic relationship between stock returns, accountng profit and cash flows for 21 Finlander Companies between 1977-1984.</w:t>
      </w:r>
      <w:r w:rsidR="00AD02BF" w:rsidRPr="00AD02BF">
        <w:rPr>
          <w:lang w:val="en-US"/>
        </w:rPr>
        <w:t xml:space="preserve"> A VEC(Vector Error Correction) model is build to </w:t>
      </w:r>
      <w:r w:rsidR="00D56FE8" w:rsidRPr="00AD02BF">
        <w:rPr>
          <w:lang w:val="en-US"/>
        </w:rPr>
        <w:t>analysis</w:t>
      </w:r>
      <w:r w:rsidR="00AD02BF" w:rsidRPr="00AD02BF">
        <w:rPr>
          <w:lang w:val="en-US"/>
        </w:rPr>
        <w:t xml:space="preserve"> short term and long term relationships of the variables.</w:t>
      </w:r>
      <w:r w:rsidR="00D56FE8">
        <w:rPr>
          <w:lang w:val="en-US"/>
        </w:rPr>
        <w:t xml:space="preserve"> A relationship from stock returns towards accounting profits is</w:t>
      </w:r>
      <w:r w:rsidR="00AD02BF">
        <w:rPr>
          <w:lang w:val="en-US"/>
        </w:rPr>
        <w:t xml:space="preserve"> </w:t>
      </w:r>
      <w:r w:rsidR="00D56FE8">
        <w:rPr>
          <w:lang w:val="en-US"/>
        </w:rPr>
        <w:t>revealed</w:t>
      </w:r>
      <w:r w:rsidR="00AD02BF">
        <w:rPr>
          <w:lang w:val="en-US"/>
        </w:rPr>
        <w:t xml:space="preserve"> a result.</w:t>
      </w:r>
      <w:r w:rsidR="00D56FE8">
        <w:rPr>
          <w:lang w:val="en-US"/>
        </w:rPr>
        <w:t xml:space="preserve"> It is concluded in the study that </w:t>
      </w:r>
      <w:r w:rsidR="00045B3F">
        <w:rPr>
          <w:lang w:val="en-US"/>
        </w:rPr>
        <w:t>stock returns can reveal some important information about the future ret</w:t>
      </w:r>
      <w:r w:rsidR="00C56F41">
        <w:rPr>
          <w:lang w:val="en-US"/>
        </w:rPr>
        <w:t>urns of the Finlander companies</w:t>
      </w:r>
      <w:r>
        <w:rPr>
          <w:lang w:val="en-US"/>
        </w:rPr>
        <w:t>.</w:t>
      </w:r>
    </w:p>
    <w:p w:rsidR="00807641" w:rsidRPr="00AD02BF" w:rsidRDefault="001A1A51" w:rsidP="00A9376A">
      <w:pPr>
        <w:jc w:val="both"/>
        <w:rPr>
          <w:lang w:val="en-US"/>
        </w:rPr>
      </w:pPr>
      <w:r>
        <w:rPr>
          <w:lang w:val="en-US"/>
        </w:rPr>
        <w:t xml:space="preserve">[6] </w:t>
      </w:r>
      <w:r w:rsidR="00045B3F">
        <w:rPr>
          <w:lang w:val="en-US"/>
        </w:rPr>
        <w:t>used the United States Banks data between 1982-1991 to make a cross section study of expectations and stock returns. It is concluded that the stock returns tend to increase when analysts have a growth expectations</w:t>
      </w:r>
      <w:r>
        <w:rPr>
          <w:lang w:val="en-US"/>
        </w:rPr>
        <w:t>.</w:t>
      </w:r>
      <w:r w:rsidR="00045B3F">
        <w:rPr>
          <w:lang w:val="en-US"/>
        </w:rPr>
        <w:t xml:space="preserve"> </w:t>
      </w:r>
    </w:p>
    <w:p w:rsidR="00AD02BF" w:rsidRDefault="001A1A51" w:rsidP="00A9376A">
      <w:pPr>
        <w:jc w:val="both"/>
        <w:rPr>
          <w:lang w:val="en-US"/>
        </w:rPr>
      </w:pPr>
      <w:r>
        <w:rPr>
          <w:lang w:val="en-US"/>
        </w:rPr>
        <w:t xml:space="preserve">[7] </w:t>
      </w:r>
      <w:r w:rsidR="00045B3F">
        <w:rPr>
          <w:lang w:val="en-US"/>
        </w:rPr>
        <w:t>analyzed the</w:t>
      </w:r>
      <w:r w:rsidR="00045B3F" w:rsidRPr="00045B3F">
        <w:rPr>
          <w:lang w:val="en-US"/>
        </w:rPr>
        <w:t xml:space="preserve"> </w:t>
      </w:r>
      <w:r w:rsidR="00045B3F">
        <w:rPr>
          <w:lang w:val="en-US"/>
        </w:rPr>
        <w:t>effects of banks characteristics, financial structure and some macroeconomic indicators on net interest margins and returns of the banks for the year from 1980 to 2000 in Tunisia Economy.</w:t>
      </w:r>
      <w:r w:rsidR="008305D0">
        <w:rPr>
          <w:lang w:val="en-US"/>
        </w:rPr>
        <w:t xml:space="preserve"> It is found that banks characteristics affect the net interest margins and profits of the banks but financial structure and macroeconomic variables h</w:t>
      </w:r>
      <w:r w:rsidR="00C56F41">
        <w:rPr>
          <w:lang w:val="en-US"/>
        </w:rPr>
        <w:t>ave no significant effect on it</w:t>
      </w:r>
      <w:r>
        <w:rPr>
          <w:lang w:val="en-US"/>
        </w:rPr>
        <w:t>.</w:t>
      </w:r>
    </w:p>
    <w:p w:rsidR="008305D0" w:rsidRDefault="001A1A51" w:rsidP="00A9376A">
      <w:pPr>
        <w:jc w:val="both"/>
        <w:rPr>
          <w:lang w:val="en-US"/>
        </w:rPr>
      </w:pPr>
      <w:r>
        <w:rPr>
          <w:lang w:val="en-US"/>
        </w:rPr>
        <w:lastRenderedPageBreak/>
        <w:t>[8]</w:t>
      </w:r>
      <w:r w:rsidR="008305D0">
        <w:rPr>
          <w:lang w:val="en-US"/>
        </w:rPr>
        <w:t xml:space="preserve"> </w:t>
      </w:r>
      <w:r w:rsidR="00282042">
        <w:rPr>
          <w:lang w:val="en-US"/>
        </w:rPr>
        <w:t>investigated whether some financial ratios such as dividend income affects the stock returns by using OLS (Ordinary Least Squares) model between the period 1963-2000. Book value and operating value of the companies is found to have effects on stock returns in the least</w:t>
      </w:r>
      <w:r>
        <w:rPr>
          <w:lang w:val="en-US"/>
        </w:rPr>
        <w:t>.</w:t>
      </w:r>
    </w:p>
    <w:p w:rsidR="008305D0" w:rsidRPr="00045B3F" w:rsidRDefault="001A1A51" w:rsidP="00A9376A">
      <w:pPr>
        <w:jc w:val="both"/>
        <w:rPr>
          <w:lang w:val="en-US"/>
        </w:rPr>
      </w:pPr>
      <w:r>
        <w:rPr>
          <w:lang w:val="en-US"/>
        </w:rPr>
        <w:t xml:space="preserve">[9] </w:t>
      </w:r>
      <w:r w:rsidR="00B4395A">
        <w:rPr>
          <w:lang w:val="en-US"/>
        </w:rPr>
        <w:t xml:space="preserve">made a time series analysis using the data of 53 banks in European Union Economy from 1991 to 2004. </w:t>
      </w:r>
      <w:r w:rsidR="008D68E3">
        <w:rPr>
          <w:lang w:val="en-US"/>
        </w:rPr>
        <w:t>Relationship between stock returns and equity dividend rate, book value, book debts, cash flow, interest rate variables are tested and a strong relationship between cash flows and stock returns. It is also found that expected return shocks has less importance for small scale banks</w:t>
      </w:r>
      <w:r>
        <w:rPr>
          <w:lang w:val="en-US"/>
        </w:rPr>
        <w:t>.</w:t>
      </w:r>
    </w:p>
    <w:p w:rsidR="00AD02BF" w:rsidRPr="00516E51" w:rsidRDefault="001A1A51" w:rsidP="00A9376A">
      <w:pPr>
        <w:jc w:val="both"/>
        <w:rPr>
          <w:lang w:val="en-US"/>
        </w:rPr>
      </w:pPr>
      <w:r>
        <w:rPr>
          <w:lang w:val="en-US"/>
        </w:rPr>
        <w:t xml:space="preserve">[10] </w:t>
      </w:r>
      <w:r w:rsidR="002B5411">
        <w:rPr>
          <w:lang w:val="en-US"/>
        </w:rPr>
        <w:t>explained the performance of Japanese stock returns in the light  of some financial variable such as the ratio of net income to average assets, ratio of non-interest income to average assets, total risk, credit risk, liquidity, interest rate.</w:t>
      </w:r>
      <w:r w:rsidR="00CB6260">
        <w:rPr>
          <w:lang w:val="en-US"/>
        </w:rPr>
        <w:t xml:space="preserve"> How to maximize the stock returns even the volatility is at high levels</w:t>
      </w:r>
      <w:r>
        <w:rPr>
          <w:lang w:val="en-US"/>
        </w:rPr>
        <w:t>.</w:t>
      </w:r>
    </w:p>
    <w:p w:rsidR="00DE4990" w:rsidRPr="00CB6260" w:rsidRDefault="001A1A51" w:rsidP="00A9376A">
      <w:pPr>
        <w:jc w:val="both"/>
        <w:rPr>
          <w:lang w:val="en-US"/>
        </w:rPr>
      </w:pPr>
      <w:r>
        <w:rPr>
          <w:lang w:val="en-US"/>
        </w:rPr>
        <w:t xml:space="preserve">[11] </w:t>
      </w:r>
      <w:r w:rsidR="00CB6260">
        <w:rPr>
          <w:lang w:val="en-US"/>
        </w:rPr>
        <w:t xml:space="preserve">analyzed the profitability ratio of 28 Croatia Commercial Banks for 2003-2008 period by a dynamic panel data analysis. </w:t>
      </w:r>
      <w:r w:rsidR="004C1EA7">
        <w:rPr>
          <w:lang w:val="en-US"/>
        </w:rPr>
        <w:t>The variables are asset return ratio, credit growth volume, ratio of loan loss provisions to total credits, ratio of equity capital to total assets</w:t>
      </w:r>
      <w:r w:rsidR="00165483">
        <w:rPr>
          <w:lang w:val="en-US"/>
        </w:rPr>
        <w:t xml:space="preserve">, ratio of charges and commissions to average assets, ratio of liquid assets to </w:t>
      </w:r>
      <w:r w:rsidR="003A7865">
        <w:rPr>
          <w:lang w:val="en-US"/>
        </w:rPr>
        <w:t>total assets, ratio of credits to deposits, ratio of fixed costs to average assets, ratio of net exchange rate difference to average assets. Extensive suggestions made for development of Croatia Banking System as the result of the study</w:t>
      </w:r>
      <w:r>
        <w:rPr>
          <w:lang w:val="en-US"/>
        </w:rPr>
        <w:t>.</w:t>
      </w:r>
    </w:p>
    <w:p w:rsidR="00B4395A" w:rsidRPr="003A7865" w:rsidRDefault="001A1A51" w:rsidP="00A9376A">
      <w:pPr>
        <w:autoSpaceDE w:val="0"/>
        <w:autoSpaceDN w:val="0"/>
        <w:adjustRightInd w:val="0"/>
        <w:jc w:val="both"/>
        <w:rPr>
          <w:lang w:val="en-US"/>
        </w:rPr>
      </w:pPr>
      <w:r>
        <w:rPr>
          <w:lang w:val="en-US"/>
        </w:rPr>
        <w:t>[12]</w:t>
      </w:r>
      <w:r w:rsidR="003A7865" w:rsidRPr="003A7865">
        <w:rPr>
          <w:lang w:val="en-US"/>
        </w:rPr>
        <w:t>built a multiple logit model to find whether the New Zealand Banks Financial data can reveal so</w:t>
      </w:r>
      <w:r w:rsidR="003A7865">
        <w:rPr>
          <w:lang w:val="en-US"/>
        </w:rPr>
        <w:t>m</w:t>
      </w:r>
      <w:r w:rsidR="003A7865" w:rsidRPr="003A7865">
        <w:rPr>
          <w:lang w:val="en-US"/>
        </w:rPr>
        <w:t>e information about the stock returns of these banks.</w:t>
      </w:r>
      <w:r w:rsidR="003A7865">
        <w:rPr>
          <w:lang w:val="en-US"/>
        </w:rPr>
        <w:t xml:space="preserve"> Profit based and return based strategies used to make decision of investors strategy</w:t>
      </w:r>
      <w:r>
        <w:rPr>
          <w:lang w:val="en-US"/>
        </w:rPr>
        <w:t>.</w:t>
      </w:r>
    </w:p>
    <w:p w:rsidR="003A7865" w:rsidRPr="00796BC9" w:rsidRDefault="001A1A51" w:rsidP="00A9376A">
      <w:pPr>
        <w:autoSpaceDE w:val="0"/>
        <w:autoSpaceDN w:val="0"/>
        <w:adjustRightInd w:val="0"/>
        <w:jc w:val="both"/>
        <w:rPr>
          <w:lang w:val="en-US"/>
        </w:rPr>
      </w:pPr>
      <w:r>
        <w:rPr>
          <w:lang w:val="en-US"/>
        </w:rPr>
        <w:t>[13]</w:t>
      </w:r>
      <w:r w:rsidR="00796BC9" w:rsidRPr="00796BC9">
        <w:rPr>
          <w:lang w:val="en-US"/>
        </w:rPr>
        <w:t xml:space="preserve">examined the fundamental analysis </w:t>
      </w:r>
      <w:r w:rsidR="00C8546F">
        <w:rPr>
          <w:lang w:val="en-US"/>
        </w:rPr>
        <w:t xml:space="preserve">data </w:t>
      </w:r>
      <w:r w:rsidR="00796BC9" w:rsidRPr="00796BC9">
        <w:rPr>
          <w:lang w:val="en-US"/>
        </w:rPr>
        <w:t xml:space="preserve">and stock returns </w:t>
      </w:r>
      <w:r w:rsidR="00C8546F">
        <w:rPr>
          <w:lang w:val="en-US"/>
        </w:rPr>
        <w:t>data of Indian economy for the period 2001-2010. Results show a relationship between typical conditions of the companies and future stock returns</w:t>
      </w:r>
      <w:r>
        <w:rPr>
          <w:lang w:val="en-US"/>
        </w:rPr>
        <w:t>.</w:t>
      </w:r>
    </w:p>
    <w:p w:rsidR="0034517D" w:rsidRPr="0034517D" w:rsidRDefault="001A1A51" w:rsidP="00A9376A">
      <w:pPr>
        <w:autoSpaceDE w:val="0"/>
        <w:autoSpaceDN w:val="0"/>
        <w:adjustRightInd w:val="0"/>
        <w:jc w:val="both"/>
        <w:rPr>
          <w:lang w:val="en-US"/>
        </w:rPr>
      </w:pPr>
      <w:r>
        <w:rPr>
          <w:lang w:val="en-US"/>
        </w:rPr>
        <w:t xml:space="preserve">[14] </w:t>
      </w:r>
      <w:r w:rsidR="0034517D" w:rsidRPr="0034517D">
        <w:rPr>
          <w:lang w:val="en-US"/>
        </w:rPr>
        <w:t xml:space="preserve">used </w:t>
      </w:r>
      <w:r w:rsidR="0034517D">
        <w:rPr>
          <w:lang w:val="en-US"/>
        </w:rPr>
        <w:t xml:space="preserve">Sri Lanka Commercial Bank data to determine the effects of capital </w:t>
      </w:r>
      <w:r w:rsidR="0034517D" w:rsidRPr="0034517D">
        <w:rPr>
          <w:lang w:val="en-US"/>
        </w:rPr>
        <w:t xml:space="preserve">ratio, </w:t>
      </w:r>
      <w:r w:rsidR="000709AB">
        <w:rPr>
          <w:lang w:val="en-US"/>
        </w:rPr>
        <w:t>activity mix</w:t>
      </w:r>
      <w:r w:rsidR="0034517D" w:rsidRPr="0034517D">
        <w:rPr>
          <w:lang w:val="en-US"/>
        </w:rPr>
        <w:t>, overhead expenses</w:t>
      </w:r>
      <w:r w:rsidR="0034517D">
        <w:rPr>
          <w:lang w:val="en-US"/>
        </w:rPr>
        <w:t xml:space="preserve"> and liquidity on </w:t>
      </w:r>
      <w:r w:rsidR="00D10E19">
        <w:rPr>
          <w:lang w:val="en-US"/>
        </w:rPr>
        <w:t>profitability of banks. Results of the study show that capital ratio and liquidity have a positive effect on profitability of banks</w:t>
      </w:r>
      <w:r w:rsidR="00C23558">
        <w:rPr>
          <w:lang w:val="en-US"/>
        </w:rPr>
        <w:t>. B</w:t>
      </w:r>
      <w:r w:rsidR="00D10E19">
        <w:rPr>
          <w:lang w:val="en-US"/>
        </w:rPr>
        <w:t xml:space="preserve">ut </w:t>
      </w:r>
      <w:r w:rsidR="000709AB">
        <w:rPr>
          <w:lang w:val="en-US"/>
        </w:rPr>
        <w:t>activity mix</w:t>
      </w:r>
      <w:r w:rsidR="00D10E19">
        <w:rPr>
          <w:lang w:val="en-US"/>
        </w:rPr>
        <w:t xml:space="preserve"> and </w:t>
      </w:r>
      <w:r w:rsidR="00D10E19" w:rsidRPr="0034517D">
        <w:rPr>
          <w:lang w:val="en-US"/>
        </w:rPr>
        <w:t>overhead expenses</w:t>
      </w:r>
      <w:r w:rsidR="00D10E19">
        <w:rPr>
          <w:lang w:val="en-US"/>
        </w:rPr>
        <w:t xml:space="preserve"> have a negative effect on profitability of banks.</w:t>
      </w:r>
    </w:p>
    <w:p w:rsidR="003A7865" w:rsidRPr="00C93672" w:rsidRDefault="001A1A51" w:rsidP="00A9376A">
      <w:pPr>
        <w:autoSpaceDE w:val="0"/>
        <w:autoSpaceDN w:val="0"/>
        <w:adjustRightInd w:val="0"/>
        <w:jc w:val="both"/>
        <w:rPr>
          <w:lang w:val="en-US"/>
        </w:rPr>
      </w:pPr>
      <w:r>
        <w:rPr>
          <w:lang w:val="en-US"/>
        </w:rPr>
        <w:t xml:space="preserve">[15] </w:t>
      </w:r>
      <w:r w:rsidR="00C93672" w:rsidRPr="00C93672">
        <w:rPr>
          <w:lang w:val="en-US"/>
        </w:rPr>
        <w:t>built a time series analysis by using a panel data method</w:t>
      </w:r>
      <w:r w:rsidR="00C93672">
        <w:rPr>
          <w:lang w:val="en-US"/>
        </w:rPr>
        <w:t xml:space="preserve"> to test the returns of Nigerian commercial banks.</w:t>
      </w:r>
      <w:r w:rsidR="00882115">
        <w:rPr>
          <w:lang w:val="en-US"/>
        </w:rPr>
        <w:t xml:space="preserve"> </w:t>
      </w:r>
      <w:r w:rsidR="00292108">
        <w:rPr>
          <w:lang w:val="en-US"/>
        </w:rPr>
        <w:t>Investigated e</w:t>
      </w:r>
      <w:r w:rsidR="00882115">
        <w:rPr>
          <w:lang w:val="en-US"/>
        </w:rPr>
        <w:t xml:space="preserve">conomic variables are </w:t>
      </w:r>
      <w:r w:rsidR="00292108">
        <w:rPr>
          <w:lang w:val="en-US"/>
        </w:rPr>
        <w:t>capital adequacy ratio, asset quality, managerial competence, liquidity ratio, inflation and economic growth.</w:t>
      </w:r>
      <w:r w:rsidR="00D66EA2">
        <w:rPr>
          <w:lang w:val="en-US"/>
        </w:rPr>
        <w:t xml:space="preserve"> Asset quality, managerial competence and economic growth act as fundamental variables in the study.</w:t>
      </w:r>
    </w:p>
    <w:p w:rsidR="00D10E19" w:rsidRPr="00F05BFD" w:rsidRDefault="001A1A51" w:rsidP="00A9376A">
      <w:pPr>
        <w:autoSpaceDE w:val="0"/>
        <w:autoSpaceDN w:val="0"/>
        <w:adjustRightInd w:val="0"/>
        <w:jc w:val="both"/>
        <w:rPr>
          <w:lang w:val="en-US"/>
        </w:rPr>
      </w:pPr>
      <w:r>
        <w:rPr>
          <w:lang w:val="en-US"/>
        </w:rPr>
        <w:t xml:space="preserve">[16] </w:t>
      </w:r>
      <w:r w:rsidR="00F05BFD" w:rsidRPr="00F05BFD">
        <w:rPr>
          <w:lang w:val="en-US"/>
        </w:rPr>
        <w:t>investigated</w:t>
      </w:r>
      <w:r w:rsidR="00F05BFD">
        <w:rPr>
          <w:lang w:val="en-US"/>
        </w:rPr>
        <w:t xml:space="preserve"> whether the sectoral differences of the industrial corporations cause any differences in some selected ratios in 2002.</w:t>
      </w:r>
      <w:r w:rsidR="00292980">
        <w:rPr>
          <w:lang w:val="en-US"/>
        </w:rPr>
        <w:t xml:space="preserve"> As a result of the multivariate analysis on variance method, it is found that </w:t>
      </w:r>
      <w:r w:rsidR="00696D61">
        <w:rPr>
          <w:lang w:val="en-US"/>
        </w:rPr>
        <w:t>sectoral differences have significant effect for 27 vari</w:t>
      </w:r>
      <w:r w:rsidR="009D61FB">
        <w:rPr>
          <w:lang w:val="en-US"/>
        </w:rPr>
        <w:t>a</w:t>
      </w:r>
      <w:r w:rsidR="00696D61">
        <w:rPr>
          <w:lang w:val="en-US"/>
        </w:rPr>
        <w:t>bles.</w:t>
      </w:r>
      <w:r w:rsidR="00292980">
        <w:rPr>
          <w:lang w:val="en-US"/>
        </w:rPr>
        <w:t xml:space="preserve"> </w:t>
      </w:r>
    </w:p>
    <w:p w:rsidR="00D10E19" w:rsidRPr="00D935DF" w:rsidRDefault="001A1A51" w:rsidP="00A9376A">
      <w:pPr>
        <w:autoSpaceDE w:val="0"/>
        <w:autoSpaceDN w:val="0"/>
        <w:adjustRightInd w:val="0"/>
        <w:jc w:val="both"/>
        <w:rPr>
          <w:lang w:val="en-US"/>
        </w:rPr>
      </w:pPr>
      <w:r>
        <w:rPr>
          <w:lang w:val="en-US"/>
        </w:rPr>
        <w:t xml:space="preserve">[17] </w:t>
      </w:r>
      <w:r w:rsidR="00D935DF" w:rsidRPr="00D935DF">
        <w:rPr>
          <w:lang w:val="en-US"/>
        </w:rPr>
        <w:t xml:space="preserve">examined the </w:t>
      </w:r>
      <w:r w:rsidR="00966C3A">
        <w:rPr>
          <w:lang w:val="en-US"/>
        </w:rPr>
        <w:t xml:space="preserve">financial ratios related with stock returns in Istanbul Stock Exchange. Data set includes the variables </w:t>
      </w:r>
      <w:r w:rsidR="00F05EE9">
        <w:rPr>
          <w:lang w:val="en-US"/>
        </w:rPr>
        <w:t>such as</w:t>
      </w:r>
      <w:r w:rsidR="00966C3A">
        <w:rPr>
          <w:lang w:val="en-US"/>
        </w:rPr>
        <w:t xml:space="preserve"> stock returns, acid test ratio, cash flow, equity capital,</w:t>
      </w:r>
      <w:r w:rsidR="00F05EE9">
        <w:rPr>
          <w:lang w:val="en-US"/>
        </w:rPr>
        <w:t xml:space="preserve"> ratio of gross returns on sales and net returns between the years 1995-1999 and 2003-1999. In the medium term, including 1995- 1999 period, a significant relationship is found between stock returns and acid test ratio, ratio of short term financial loans to sales, ratio of short term financial loans to total assets, return per share, ratio of net returns to sales, ratio of operational cash flow to equity, ratio of total cash flow to equity</w:t>
      </w:r>
      <w:r w:rsidR="00421DEC">
        <w:rPr>
          <w:lang w:val="en-US"/>
        </w:rPr>
        <w:t>, ratio of net profit to equity.</w:t>
      </w:r>
      <w:r w:rsidR="007B0957">
        <w:rPr>
          <w:lang w:val="en-US"/>
        </w:rPr>
        <w:t xml:space="preserve"> For the 2003-2006 period, a relationship is found between ratio of returns to interest, return per share, ratio of gross profit to sales, ratio of gross real operating profit to sales, ratio of net profit to sales, ratio of gross real operating pro</w:t>
      </w:r>
      <w:r>
        <w:rPr>
          <w:lang w:val="en-US"/>
        </w:rPr>
        <w:t>fit to equity and stock returns.</w:t>
      </w:r>
      <w:r w:rsidR="007B0957">
        <w:rPr>
          <w:lang w:val="en-US"/>
        </w:rPr>
        <w:t xml:space="preserve"> </w:t>
      </w:r>
    </w:p>
    <w:p w:rsidR="00696D61" w:rsidRPr="00BF7EDF" w:rsidRDefault="001A1A51" w:rsidP="00A9376A">
      <w:pPr>
        <w:autoSpaceDE w:val="0"/>
        <w:autoSpaceDN w:val="0"/>
        <w:adjustRightInd w:val="0"/>
        <w:jc w:val="both"/>
        <w:rPr>
          <w:lang w:val="en-US"/>
        </w:rPr>
      </w:pPr>
      <w:r>
        <w:rPr>
          <w:lang w:val="en-US"/>
        </w:rPr>
        <w:t xml:space="preserve">[18] </w:t>
      </w:r>
      <w:r w:rsidR="00BF7EDF" w:rsidRPr="00BF7EDF">
        <w:rPr>
          <w:lang w:val="en-US"/>
        </w:rPr>
        <w:t xml:space="preserve">investigated the </w:t>
      </w:r>
      <w:r w:rsidR="00BF7EDF">
        <w:rPr>
          <w:lang w:val="en-US"/>
        </w:rPr>
        <w:t xml:space="preserve">returns of </w:t>
      </w:r>
      <w:r w:rsidR="00BF7EDF" w:rsidRPr="00BF7EDF">
        <w:rPr>
          <w:lang w:val="en-US"/>
        </w:rPr>
        <w:t>publicly</w:t>
      </w:r>
      <w:r w:rsidR="000B0ACB">
        <w:rPr>
          <w:lang w:val="en-US"/>
        </w:rPr>
        <w:t xml:space="preserve"> traded companies and selected financial indicators by portfolio method. </w:t>
      </w:r>
      <w:r w:rsidR="003239B9">
        <w:rPr>
          <w:lang w:val="en-US"/>
        </w:rPr>
        <w:t xml:space="preserve">Active turnover rate, ratio of equity to total assets, profit capital ratio, sales volume, asset growth and ratio of market value to book value data of 60 companies between </w:t>
      </w:r>
      <w:r w:rsidR="003239B9">
        <w:rPr>
          <w:lang w:val="en-US"/>
        </w:rPr>
        <w:lastRenderedPageBreak/>
        <w:t xml:space="preserve">1997-2008 </w:t>
      </w:r>
      <w:r w:rsidR="0045039E">
        <w:rPr>
          <w:lang w:val="en-US"/>
        </w:rPr>
        <w:t>period. It is concluded in the study that active turnover rate,</w:t>
      </w:r>
      <w:r w:rsidR="0045039E" w:rsidRPr="0045039E">
        <w:rPr>
          <w:lang w:val="en-US"/>
        </w:rPr>
        <w:t xml:space="preserve"> </w:t>
      </w:r>
      <w:r w:rsidR="0045039E">
        <w:rPr>
          <w:lang w:val="en-US"/>
        </w:rPr>
        <w:t>sales volume, asset growth and ratio of market value to book value data can be used to estimate stock returns</w:t>
      </w:r>
    </w:p>
    <w:p w:rsidR="00D10E19" w:rsidRDefault="00E47ACA" w:rsidP="00A9376A">
      <w:pPr>
        <w:autoSpaceDE w:val="0"/>
        <w:autoSpaceDN w:val="0"/>
        <w:adjustRightInd w:val="0"/>
        <w:jc w:val="both"/>
        <w:rPr>
          <w:lang w:val="en-US"/>
        </w:rPr>
      </w:pPr>
      <w:r>
        <w:rPr>
          <w:lang w:val="en-US"/>
        </w:rPr>
        <w:t>[19]</w:t>
      </w:r>
      <w:r w:rsidR="007C2EF9">
        <w:rPr>
          <w:lang w:val="en-US"/>
        </w:rPr>
        <w:t xml:space="preserve"> analyz</w:t>
      </w:r>
      <w:r w:rsidR="007C2EF9" w:rsidRPr="007C2EF9">
        <w:rPr>
          <w:lang w:val="en-US"/>
        </w:rPr>
        <w:t>ed</w:t>
      </w:r>
      <w:r w:rsidR="007C2EF9">
        <w:rPr>
          <w:lang w:val="en-US"/>
        </w:rPr>
        <w:t xml:space="preserve"> the data of publicly traded companies stock returns by capital asset pricing model. Financial data of 82 companies from 1993 to 2007 traded in stock exchange market and treasury bill and treasury stock data are used in the study. Results show that capital asset pricing model can be useful tool in order to calculate the market risk premium</w:t>
      </w:r>
      <w:r>
        <w:rPr>
          <w:lang w:val="en-US"/>
        </w:rPr>
        <w:t>.</w:t>
      </w:r>
    </w:p>
    <w:p w:rsidR="007C2EF9" w:rsidRDefault="001A1A51" w:rsidP="00A9376A">
      <w:pPr>
        <w:autoSpaceDE w:val="0"/>
        <w:autoSpaceDN w:val="0"/>
        <w:adjustRightInd w:val="0"/>
        <w:jc w:val="both"/>
        <w:rPr>
          <w:lang w:val="en-US"/>
        </w:rPr>
      </w:pPr>
      <w:r>
        <w:rPr>
          <w:lang w:val="en-US"/>
        </w:rPr>
        <w:t xml:space="preserve">[20] </w:t>
      </w:r>
      <w:r w:rsidR="007C2EF9">
        <w:rPr>
          <w:lang w:val="en-US"/>
        </w:rPr>
        <w:t xml:space="preserve">tested the relationship between the financial ratios and stock returns with ten models in both linear and non linear forms. 20 different financial ratios such as liquidity, efficient use of assets, financial structure, profitability and stock performance condition are discussed. </w:t>
      </w:r>
      <w:r w:rsidR="00B1647D">
        <w:rPr>
          <w:lang w:val="en-US"/>
        </w:rPr>
        <w:t>Mostly non linear relationships are revealed from the results of the studies</w:t>
      </w:r>
    </w:p>
    <w:p w:rsidR="007C2EF9" w:rsidRPr="007C2EF9" w:rsidRDefault="001A1A51" w:rsidP="00A9376A">
      <w:pPr>
        <w:autoSpaceDE w:val="0"/>
        <w:autoSpaceDN w:val="0"/>
        <w:adjustRightInd w:val="0"/>
        <w:jc w:val="both"/>
        <w:rPr>
          <w:lang w:val="en-US"/>
        </w:rPr>
      </w:pPr>
      <w:r>
        <w:rPr>
          <w:lang w:val="en-US"/>
        </w:rPr>
        <w:t xml:space="preserve">[21] </w:t>
      </w:r>
      <w:r w:rsidR="009B283A">
        <w:rPr>
          <w:lang w:val="en-US"/>
        </w:rPr>
        <w:t>researched the specific macroeconomic determinants of Turkish Banks profitability between 2002-2010. A panel data anaylsis is made to reveal these determinants and it is concluded that asset volume and non interest incomes have positive and significant effect on stock returns besides credit portfolio volume and non-performing loans have negative and significant effect</w:t>
      </w:r>
      <w:r w:rsidR="009B283A" w:rsidRPr="009B283A">
        <w:rPr>
          <w:lang w:val="en-US"/>
        </w:rPr>
        <w:t xml:space="preserve"> </w:t>
      </w:r>
      <w:r w:rsidR="009B283A">
        <w:rPr>
          <w:lang w:val="en-US"/>
        </w:rPr>
        <w:t>on stock returns. In addition, only one macroeconomic factor, real interest rates, hav</w:t>
      </w:r>
      <w:r>
        <w:rPr>
          <w:lang w:val="en-US"/>
        </w:rPr>
        <w:t>e an effect on on stock returns</w:t>
      </w:r>
    </w:p>
    <w:p w:rsidR="00D10E19" w:rsidRPr="009B283A" w:rsidRDefault="00E47ACA" w:rsidP="00A9376A">
      <w:pPr>
        <w:autoSpaceDE w:val="0"/>
        <w:autoSpaceDN w:val="0"/>
        <w:adjustRightInd w:val="0"/>
        <w:jc w:val="both"/>
        <w:rPr>
          <w:lang w:val="en-US"/>
        </w:rPr>
      </w:pPr>
      <w:r>
        <w:rPr>
          <w:lang w:val="en-US"/>
        </w:rPr>
        <w:t xml:space="preserve">[22] </w:t>
      </w:r>
      <w:r w:rsidR="009B283A" w:rsidRPr="009B283A">
        <w:rPr>
          <w:lang w:val="en-US"/>
        </w:rPr>
        <w:t>tried to estimate the stock returns by using financ</w:t>
      </w:r>
      <w:r w:rsidR="009B283A">
        <w:rPr>
          <w:lang w:val="en-US"/>
        </w:rPr>
        <w:t xml:space="preserve">ial ratio data by a </w:t>
      </w:r>
      <w:r w:rsidR="009B283A" w:rsidRPr="009B283A">
        <w:rPr>
          <w:lang w:val="en-US"/>
        </w:rPr>
        <w:t>discriminant analy</w:t>
      </w:r>
      <w:r w:rsidR="009B283A">
        <w:rPr>
          <w:lang w:val="en-US"/>
        </w:rPr>
        <w:t>s</w:t>
      </w:r>
      <w:r w:rsidR="009B283A" w:rsidRPr="009B283A">
        <w:rPr>
          <w:lang w:val="en-US"/>
        </w:rPr>
        <w:t xml:space="preserve">is for </w:t>
      </w:r>
      <w:r w:rsidR="000709AB" w:rsidRPr="000709AB">
        <w:rPr>
          <w:lang w:val="en-US"/>
        </w:rPr>
        <w:t xml:space="preserve">BIST </w:t>
      </w:r>
      <w:r w:rsidR="009B283A" w:rsidRPr="000709AB">
        <w:rPr>
          <w:lang w:val="en-US"/>
        </w:rPr>
        <w:t>30</w:t>
      </w:r>
      <w:r w:rsidR="009B283A" w:rsidRPr="009B283A">
        <w:rPr>
          <w:lang w:val="en-US"/>
        </w:rPr>
        <w:t xml:space="preserve"> stocks.</w:t>
      </w:r>
      <w:r w:rsidR="009B283A">
        <w:rPr>
          <w:lang w:val="en-US"/>
        </w:rPr>
        <w:t xml:space="preserve"> One and two year estimation models are build in the model. In one year estimation model operation turnover speed and </w:t>
      </w:r>
      <w:r w:rsidR="00F8560A">
        <w:rPr>
          <w:lang w:val="en-US"/>
        </w:rPr>
        <w:t>leverage rate have effects on stock returns while in two years model operation turnover rate, leverage rate and liquidity data have effects on stock returns</w:t>
      </w:r>
      <w:r>
        <w:rPr>
          <w:lang w:val="en-US"/>
        </w:rPr>
        <w:t>.</w:t>
      </w:r>
    </w:p>
    <w:p w:rsidR="007B0957" w:rsidRPr="009B283A" w:rsidRDefault="00E47ACA" w:rsidP="00A9376A">
      <w:pPr>
        <w:autoSpaceDE w:val="0"/>
        <w:autoSpaceDN w:val="0"/>
        <w:adjustRightInd w:val="0"/>
        <w:jc w:val="both"/>
        <w:rPr>
          <w:lang w:val="en-US"/>
        </w:rPr>
      </w:pPr>
      <w:r>
        <w:rPr>
          <w:lang w:val="en-US"/>
        </w:rPr>
        <w:t>[23]</w:t>
      </w:r>
      <w:r w:rsidR="0042372C">
        <w:rPr>
          <w:lang w:val="en-US"/>
        </w:rPr>
        <w:t xml:space="preserve"> investigated the stock returns of Istanbul Stock Exchange by means of net profit margin, real operating profit margin, asset turnover rate, turnover rate of equity. A </w:t>
      </w:r>
      <w:r w:rsidR="006C0F3C">
        <w:rPr>
          <w:lang w:val="en-US"/>
        </w:rPr>
        <w:t xml:space="preserve">significant </w:t>
      </w:r>
      <w:r w:rsidR="0042372C">
        <w:rPr>
          <w:lang w:val="en-US"/>
        </w:rPr>
        <w:t>relationship is detected</w:t>
      </w:r>
      <w:r w:rsidR="006C0F3C">
        <w:rPr>
          <w:lang w:val="en-US"/>
        </w:rPr>
        <w:t xml:space="preserve"> between net profit margin and real operating profit.</w:t>
      </w:r>
    </w:p>
    <w:p w:rsidR="00F8560A" w:rsidRDefault="00E47ACA" w:rsidP="00A9376A">
      <w:pPr>
        <w:autoSpaceDE w:val="0"/>
        <w:autoSpaceDN w:val="0"/>
        <w:adjustRightInd w:val="0"/>
        <w:jc w:val="both"/>
        <w:rPr>
          <w:lang w:val="en-US"/>
        </w:rPr>
      </w:pPr>
      <w:r>
        <w:rPr>
          <w:lang w:val="en-US"/>
        </w:rPr>
        <w:t>[24]</w:t>
      </w:r>
      <w:r w:rsidR="00A917AF" w:rsidRPr="001D7A4D">
        <w:rPr>
          <w:lang w:val="en-US"/>
        </w:rPr>
        <w:t xml:space="preserve"> </w:t>
      </w:r>
      <w:r w:rsidR="001D7A4D" w:rsidRPr="001D7A4D">
        <w:rPr>
          <w:lang w:val="en-US"/>
        </w:rPr>
        <w:t>examined the performance of Turkish Banks from 1995 t</w:t>
      </w:r>
      <w:r w:rsidR="00357C69">
        <w:rPr>
          <w:lang w:val="en-US"/>
        </w:rPr>
        <w:t>o 2009 by a panel data analysis. The data set consists of return on assets, net interest margin and equity efficiency. The result of the study shows that factors affecting the Banks performance are mostly the micro factors such as net interest margin, foreign banks, ratio of total credits to assets, size of assets.</w:t>
      </w:r>
    </w:p>
    <w:p w:rsidR="00A917AF" w:rsidRPr="00BF52F1" w:rsidRDefault="00E47ACA" w:rsidP="00A9376A">
      <w:pPr>
        <w:autoSpaceDE w:val="0"/>
        <w:autoSpaceDN w:val="0"/>
        <w:adjustRightInd w:val="0"/>
        <w:jc w:val="both"/>
        <w:rPr>
          <w:lang w:val="en-US"/>
        </w:rPr>
      </w:pPr>
      <w:r>
        <w:rPr>
          <w:lang w:val="en-US"/>
        </w:rPr>
        <w:t>[25]</w:t>
      </w:r>
      <w:r w:rsidR="00357C69" w:rsidRPr="00BF52F1">
        <w:rPr>
          <w:lang w:val="en-US"/>
        </w:rPr>
        <w:t xml:space="preserve"> </w:t>
      </w:r>
      <w:r w:rsidR="00A611B9" w:rsidRPr="00BF52F1">
        <w:rPr>
          <w:lang w:val="en-US"/>
        </w:rPr>
        <w:t xml:space="preserve">used the return on assets and profit capital data of 26 Turkish Banks to find the determinants of profitability of banks. It is found that </w:t>
      </w:r>
      <w:r w:rsidR="00E968EF" w:rsidRPr="00BF52F1">
        <w:rPr>
          <w:lang w:val="en-US"/>
        </w:rPr>
        <w:t>the ratio of loan loss provision to gross credits, ratio of total expend</w:t>
      </w:r>
      <w:r w:rsidR="00BF52F1">
        <w:rPr>
          <w:lang w:val="en-US"/>
        </w:rPr>
        <w:t xml:space="preserve">itures to total revenues, </w:t>
      </w:r>
      <w:r w:rsidR="00BF52F1" w:rsidRPr="000709AB">
        <w:rPr>
          <w:lang w:val="en-US"/>
        </w:rPr>
        <w:t>Herfindahl–Hirschman</w:t>
      </w:r>
      <w:r w:rsidR="00BF52F1" w:rsidRPr="00BF52F1">
        <w:rPr>
          <w:lang w:val="en-US"/>
        </w:rPr>
        <w:t xml:space="preserve"> index and inflation</w:t>
      </w:r>
      <w:r w:rsidR="00A611B9" w:rsidRPr="00BF52F1">
        <w:rPr>
          <w:lang w:val="en-US"/>
        </w:rPr>
        <w:t xml:space="preserve"> is negatively and significantly important on </w:t>
      </w:r>
      <w:r w:rsidR="005533C2">
        <w:rPr>
          <w:lang w:val="en-US"/>
        </w:rPr>
        <w:t>return on assets.</w:t>
      </w:r>
    </w:p>
    <w:p w:rsidR="00F8560A" w:rsidRPr="00F74C83" w:rsidRDefault="00E47ACA" w:rsidP="00A9376A">
      <w:pPr>
        <w:autoSpaceDE w:val="0"/>
        <w:autoSpaceDN w:val="0"/>
        <w:adjustRightInd w:val="0"/>
        <w:jc w:val="both"/>
        <w:rPr>
          <w:lang w:val="en-US"/>
        </w:rPr>
      </w:pPr>
      <w:r>
        <w:rPr>
          <w:lang w:val="en-US"/>
        </w:rPr>
        <w:t>[26]</w:t>
      </w:r>
      <w:r w:rsidR="00AB2D69">
        <w:rPr>
          <w:lang w:val="en-US"/>
        </w:rPr>
        <w:t xml:space="preserve"> investigated 73 manufacturing companies between 1990 and 2009 by a panel data analysis in their study titled role of financial ratios determining the stock prices. It is found that profitability ratio and financial leverage ratio significantly and positively affect stock returns. On the other hand, operating ratios have no significant effect on stock returns. </w:t>
      </w:r>
    </w:p>
    <w:p w:rsidR="00357C69" w:rsidRPr="00AB2D69" w:rsidRDefault="00E47ACA" w:rsidP="00A9376A">
      <w:pPr>
        <w:autoSpaceDE w:val="0"/>
        <w:autoSpaceDN w:val="0"/>
        <w:adjustRightInd w:val="0"/>
        <w:jc w:val="both"/>
        <w:rPr>
          <w:lang w:val="en-US"/>
        </w:rPr>
      </w:pPr>
      <w:r>
        <w:rPr>
          <w:lang w:val="en-US"/>
        </w:rPr>
        <w:t>[27]</w:t>
      </w:r>
      <w:r w:rsidR="00AB2D69" w:rsidRPr="00AB2D69">
        <w:rPr>
          <w:lang w:val="en-US"/>
        </w:rPr>
        <w:t xml:space="preserve"> analyzed Turkish Banks operating Ratios and </w:t>
      </w:r>
      <w:r w:rsidR="00AB2D69">
        <w:rPr>
          <w:lang w:val="en-US"/>
        </w:rPr>
        <w:t xml:space="preserve">profitability </w:t>
      </w:r>
      <w:r w:rsidR="002612A2">
        <w:rPr>
          <w:lang w:val="en-US"/>
        </w:rPr>
        <w:t>tendency. Return</w:t>
      </w:r>
      <w:r w:rsidR="00AA1E15">
        <w:rPr>
          <w:lang w:val="en-US"/>
        </w:rPr>
        <w:t xml:space="preserve"> on assets, net profit margin, </w:t>
      </w:r>
      <w:r w:rsidR="002612A2">
        <w:rPr>
          <w:lang w:val="en-US"/>
        </w:rPr>
        <w:t>and return</w:t>
      </w:r>
      <w:r w:rsidR="00AA1E15">
        <w:rPr>
          <w:lang w:val="en-US"/>
        </w:rPr>
        <w:t xml:space="preserve"> on equity and ratio of other operating charges to total assets are investigated for 2002-2012 period. </w:t>
      </w:r>
      <w:r w:rsidR="00C05210">
        <w:rPr>
          <w:lang w:val="en-US"/>
        </w:rPr>
        <w:t>Panel data analysis showed a significant relationship between these variables and banks profitability ratios.</w:t>
      </w:r>
    </w:p>
    <w:p w:rsidR="005533C2" w:rsidRPr="00C05210" w:rsidRDefault="00E47ACA" w:rsidP="00A9376A">
      <w:pPr>
        <w:autoSpaceDE w:val="0"/>
        <w:autoSpaceDN w:val="0"/>
        <w:adjustRightInd w:val="0"/>
        <w:jc w:val="both"/>
        <w:rPr>
          <w:lang w:val="en-US"/>
        </w:rPr>
      </w:pPr>
      <w:r>
        <w:rPr>
          <w:lang w:val="en-US"/>
        </w:rPr>
        <w:t>[28]</w:t>
      </w:r>
      <w:r w:rsidR="00C05210" w:rsidRPr="00C05210">
        <w:rPr>
          <w:lang w:val="en-US"/>
        </w:rPr>
        <w:t xml:space="preserve"> examined </w:t>
      </w:r>
      <w:r w:rsidR="00C05210">
        <w:rPr>
          <w:lang w:val="en-US"/>
        </w:rPr>
        <w:t>capital adequacy ratios of Turkish Banks</w:t>
      </w:r>
      <w:r w:rsidR="009204ED">
        <w:rPr>
          <w:lang w:val="en-US"/>
        </w:rPr>
        <w:t xml:space="preserve"> using panel data from 2002 and 2012. A negative relationship is found between capital adequacy ratio, size, deposit ratio and credit ratio, and a positive relationship is found between economic growth and return on asset ratio.</w:t>
      </w:r>
    </w:p>
    <w:p w:rsidR="005533C2" w:rsidRPr="00C05210" w:rsidRDefault="00E47ACA" w:rsidP="00A9376A">
      <w:pPr>
        <w:autoSpaceDE w:val="0"/>
        <w:autoSpaceDN w:val="0"/>
        <w:adjustRightInd w:val="0"/>
        <w:jc w:val="both"/>
        <w:rPr>
          <w:lang w:val="en-US"/>
        </w:rPr>
      </w:pPr>
      <w:r>
        <w:rPr>
          <w:lang w:val="en-US"/>
        </w:rPr>
        <w:t>[29]</w:t>
      </w:r>
      <w:r w:rsidR="00E95776">
        <w:rPr>
          <w:lang w:val="en-US"/>
        </w:rPr>
        <w:t xml:space="preserve"> applied a canonical correlation analysis for deposit banks in Istanbul Stock Exchange using data set of 2011 to determine the movements of stock performance and financial ratios. It is concluded that investors should consider the ratio of net profit for the year to total assets and the ratio of market value to book value.</w:t>
      </w:r>
    </w:p>
    <w:p w:rsidR="00AB2D69" w:rsidRPr="00E95776" w:rsidRDefault="00E47ACA" w:rsidP="00A9376A">
      <w:pPr>
        <w:autoSpaceDE w:val="0"/>
        <w:autoSpaceDN w:val="0"/>
        <w:adjustRightInd w:val="0"/>
        <w:jc w:val="both"/>
        <w:rPr>
          <w:lang w:val="en-US"/>
        </w:rPr>
      </w:pPr>
      <w:r>
        <w:rPr>
          <w:lang w:val="en-US"/>
        </w:rPr>
        <w:t>[30]</w:t>
      </w:r>
      <w:r w:rsidR="00E95776" w:rsidRPr="00E95776">
        <w:rPr>
          <w:lang w:val="en-US"/>
        </w:rPr>
        <w:t xml:space="preserve"> used the Promethee method to analyze</w:t>
      </w:r>
      <w:r w:rsidR="00E95776">
        <w:rPr>
          <w:lang w:val="en-US"/>
        </w:rPr>
        <w:t xml:space="preserve"> the performance of deposit banks and stock returns by using 10 different ratios for 2007-2011 periods.</w:t>
      </w:r>
      <w:r w:rsidR="00E95776" w:rsidRPr="00E95776">
        <w:rPr>
          <w:lang w:val="en-US"/>
        </w:rPr>
        <w:t xml:space="preserve"> </w:t>
      </w:r>
      <w:r w:rsidR="00E95776">
        <w:rPr>
          <w:lang w:val="en-US"/>
        </w:rPr>
        <w:t xml:space="preserve">No significant relationship can be </w:t>
      </w:r>
      <w:r w:rsidR="00E95776">
        <w:rPr>
          <w:lang w:val="en-US"/>
        </w:rPr>
        <w:lastRenderedPageBreak/>
        <w:t>found between the financial performance and stock returns neither for</w:t>
      </w:r>
      <w:r w:rsidR="00B20A26">
        <w:rPr>
          <w:lang w:val="en-US"/>
        </w:rPr>
        <w:t xml:space="preserve"> individual banks nor for the sector.</w:t>
      </w:r>
    </w:p>
    <w:p w:rsidR="00AB2D69" w:rsidRPr="00B20A26" w:rsidRDefault="00E47ACA" w:rsidP="00A9376A">
      <w:pPr>
        <w:autoSpaceDE w:val="0"/>
        <w:autoSpaceDN w:val="0"/>
        <w:adjustRightInd w:val="0"/>
        <w:jc w:val="both"/>
        <w:rPr>
          <w:lang w:val="en-US"/>
        </w:rPr>
      </w:pPr>
      <w:r>
        <w:rPr>
          <w:lang w:val="en-US"/>
        </w:rPr>
        <w:t>[31]</w:t>
      </w:r>
      <w:r w:rsidR="00A26734">
        <w:rPr>
          <w:lang w:val="en-US"/>
        </w:rPr>
        <w:t xml:space="preserve"> examined the effect of country risk on stock prices by using data set of 12 banks</w:t>
      </w:r>
      <w:r w:rsidR="00D2429D">
        <w:rPr>
          <w:lang w:val="en-US"/>
        </w:rPr>
        <w:t xml:space="preserve"> in Borsa Istanbul. The study includes the data from 2003 to 2012. Results of the study reveals that economic risk, political risk, financial risk and country risk have a negative effect on stock returns. </w:t>
      </w:r>
    </w:p>
    <w:p w:rsidR="009204ED" w:rsidRPr="00D2429D" w:rsidRDefault="00E47ACA" w:rsidP="00A9376A">
      <w:pPr>
        <w:autoSpaceDE w:val="0"/>
        <w:autoSpaceDN w:val="0"/>
        <w:adjustRightInd w:val="0"/>
        <w:jc w:val="both"/>
        <w:rPr>
          <w:lang w:val="en-US"/>
        </w:rPr>
      </w:pPr>
      <w:r>
        <w:rPr>
          <w:lang w:val="en-US"/>
        </w:rPr>
        <w:t>[32]</w:t>
      </w:r>
      <w:r w:rsidR="00D2429D" w:rsidRPr="00D2429D">
        <w:rPr>
          <w:lang w:val="en-US"/>
        </w:rPr>
        <w:t xml:space="preserve"> tested the relationship between</w:t>
      </w:r>
      <w:r w:rsidR="00D2429D">
        <w:rPr>
          <w:lang w:val="en-US"/>
        </w:rPr>
        <w:t xml:space="preserve"> the financial ratios and financial value of the companies with the help of the acid test ratio, debt ratio, asset turnover rate, profitability ratio of the assets, </w:t>
      </w:r>
      <w:r w:rsidR="00E6521E">
        <w:rPr>
          <w:lang w:val="en-US"/>
        </w:rPr>
        <w:t>and the</w:t>
      </w:r>
      <w:r w:rsidR="00D2429D">
        <w:rPr>
          <w:lang w:val="en-US"/>
        </w:rPr>
        <w:t xml:space="preserve"> ratio of market rate to book value, financial leverage ratio</w:t>
      </w:r>
      <w:r w:rsidR="009E2AA5">
        <w:rPr>
          <w:lang w:val="en-US"/>
        </w:rPr>
        <w:t xml:space="preserve"> and net sales</w:t>
      </w:r>
      <w:r w:rsidR="00A95908">
        <w:rPr>
          <w:lang w:val="en-US"/>
        </w:rPr>
        <w:t>.</w:t>
      </w:r>
      <w:r w:rsidR="00E6521E">
        <w:rPr>
          <w:lang w:val="en-US"/>
        </w:rPr>
        <w:t xml:space="preserve"> 56 producing company between 2004 and 2011 in BIST are considered. The results shows that the most effective ratios are acid test ratio, asset turnover rate, </w:t>
      </w:r>
      <w:r w:rsidR="00F618CB">
        <w:rPr>
          <w:lang w:val="en-US"/>
        </w:rPr>
        <w:t xml:space="preserve">ratio of market value to book value and financial leverage ratio. </w:t>
      </w:r>
    </w:p>
    <w:p w:rsidR="009204ED" w:rsidRPr="001F53E9" w:rsidRDefault="001F53E9" w:rsidP="00A9376A">
      <w:pPr>
        <w:autoSpaceDE w:val="0"/>
        <w:autoSpaceDN w:val="0"/>
        <w:adjustRightInd w:val="0"/>
        <w:jc w:val="both"/>
        <w:rPr>
          <w:lang w:val="en-US"/>
        </w:rPr>
      </w:pPr>
      <w:r w:rsidRPr="001F53E9">
        <w:rPr>
          <w:lang w:val="en-US"/>
        </w:rPr>
        <w:t xml:space="preserve">This study introduces the panel data </w:t>
      </w:r>
      <w:r w:rsidR="00AA3609" w:rsidRPr="001F53E9">
        <w:rPr>
          <w:lang w:val="en-US"/>
        </w:rPr>
        <w:t>analysis</w:t>
      </w:r>
      <w:r w:rsidR="00AA3609">
        <w:rPr>
          <w:lang w:val="en-US"/>
        </w:rPr>
        <w:t xml:space="preserve"> for</w:t>
      </w:r>
      <w:r w:rsidRPr="001F53E9">
        <w:rPr>
          <w:lang w:val="en-US"/>
        </w:rPr>
        <w:t xml:space="preserve"> </w:t>
      </w:r>
      <w:r w:rsidR="00AA3609">
        <w:rPr>
          <w:lang w:val="en-US"/>
        </w:rPr>
        <w:t>t</w:t>
      </w:r>
      <w:r w:rsidRPr="001F53E9">
        <w:rPr>
          <w:lang w:val="en-US"/>
        </w:rPr>
        <w:t xml:space="preserve">he banking sector into the literature. The following part </w:t>
      </w:r>
      <w:r>
        <w:rPr>
          <w:lang w:val="en-US"/>
        </w:rPr>
        <w:t>emphasized the method and empirical results.</w:t>
      </w:r>
    </w:p>
    <w:p w:rsidR="001F53E9" w:rsidRDefault="001F53E9" w:rsidP="00A9376A">
      <w:pPr>
        <w:jc w:val="both"/>
      </w:pPr>
    </w:p>
    <w:p w:rsidR="00CF43B1" w:rsidRDefault="000F5DE2" w:rsidP="00A9376A">
      <w:pPr>
        <w:jc w:val="both"/>
        <w:rPr>
          <w:b/>
          <w:bCs/>
          <w:lang w:val="en-US"/>
        </w:rPr>
      </w:pPr>
      <w:r>
        <w:rPr>
          <w:b/>
          <w:bCs/>
          <w:lang w:val="en-US"/>
        </w:rPr>
        <w:t>4</w:t>
      </w:r>
      <w:r w:rsidR="00CF43B1" w:rsidRPr="0005403C">
        <w:rPr>
          <w:b/>
          <w:bCs/>
          <w:lang w:val="en-US"/>
        </w:rPr>
        <w:t xml:space="preserve">. Methodology and </w:t>
      </w:r>
      <w:r w:rsidR="00AA3609" w:rsidRPr="0005403C">
        <w:rPr>
          <w:b/>
          <w:bCs/>
          <w:lang w:val="en-US"/>
        </w:rPr>
        <w:t>Empirical</w:t>
      </w:r>
      <w:r w:rsidR="00CF43B1" w:rsidRPr="0005403C">
        <w:rPr>
          <w:b/>
          <w:bCs/>
          <w:lang w:val="en-US"/>
        </w:rPr>
        <w:t xml:space="preserve"> Results</w:t>
      </w:r>
    </w:p>
    <w:p w:rsidR="00445DCB" w:rsidRPr="0005403C" w:rsidRDefault="00445DCB" w:rsidP="00A9376A">
      <w:pPr>
        <w:jc w:val="both"/>
        <w:rPr>
          <w:b/>
          <w:bCs/>
          <w:lang w:val="en-US"/>
        </w:rPr>
      </w:pPr>
    </w:p>
    <w:p w:rsidR="00CF43B1" w:rsidRPr="0005403C" w:rsidRDefault="000F5DE2" w:rsidP="00A9376A">
      <w:pPr>
        <w:jc w:val="both"/>
        <w:rPr>
          <w:b/>
          <w:bCs/>
          <w:lang w:val="en-US"/>
        </w:rPr>
      </w:pPr>
      <w:r>
        <w:rPr>
          <w:b/>
          <w:bCs/>
          <w:lang w:val="en-US"/>
        </w:rPr>
        <w:t>4</w:t>
      </w:r>
      <w:r w:rsidR="00CF43B1" w:rsidRPr="0005403C">
        <w:rPr>
          <w:b/>
          <w:bCs/>
          <w:lang w:val="en-US"/>
        </w:rPr>
        <w:t>.1. Data Set and Variables</w:t>
      </w:r>
    </w:p>
    <w:p w:rsidR="0005403C" w:rsidRPr="000D4516" w:rsidRDefault="0005403C" w:rsidP="00A9376A">
      <w:pPr>
        <w:jc w:val="both"/>
        <w:rPr>
          <w:lang w:val="en-US"/>
        </w:rPr>
      </w:pPr>
      <w:r w:rsidRPr="0005403C">
        <w:rPr>
          <w:lang w:val="en-US"/>
        </w:rPr>
        <w:t xml:space="preserve">This study includes 7 private deposit banks and 2 </w:t>
      </w:r>
      <w:r w:rsidR="00AA3609" w:rsidRPr="0005403C">
        <w:rPr>
          <w:lang w:val="en-US"/>
        </w:rPr>
        <w:t>foreign</w:t>
      </w:r>
      <w:r w:rsidRPr="0005403C">
        <w:rPr>
          <w:lang w:val="en-US"/>
        </w:rPr>
        <w:t xml:space="preserve"> banks located in Turkey and 1 Development and Investment Bank.</w:t>
      </w:r>
      <w:r>
        <w:rPr>
          <w:lang w:val="en-US"/>
        </w:rPr>
        <w:t xml:space="preserve"> </w:t>
      </w:r>
      <w:r w:rsidR="008C2831">
        <w:rPr>
          <w:lang w:val="en-US"/>
        </w:rPr>
        <w:t>These banks represent</w:t>
      </w:r>
      <w:r>
        <w:rPr>
          <w:lang w:val="en-US"/>
        </w:rPr>
        <w:t xml:space="preserve"> the 54.8 % of the total assets of the banking sector.</w:t>
      </w:r>
      <w:r w:rsidR="008C2831">
        <w:rPr>
          <w:lang w:val="en-US"/>
        </w:rPr>
        <w:t xml:space="preserve"> Dependent variable is the stock returns of the banks. Financial ratios variables are the </w:t>
      </w:r>
      <w:r w:rsidR="008C2831" w:rsidRPr="00C777C0">
        <w:rPr>
          <w:i/>
          <w:lang w:val="en-US"/>
        </w:rPr>
        <w:t>ratio of credits to total assets</w:t>
      </w:r>
      <w:r w:rsidR="00C777C0">
        <w:rPr>
          <w:lang w:val="en-US"/>
        </w:rPr>
        <w:t xml:space="preserve"> to define balance sheet structure</w:t>
      </w:r>
      <w:r w:rsidR="008C2831">
        <w:rPr>
          <w:lang w:val="en-US"/>
        </w:rPr>
        <w:t>,</w:t>
      </w:r>
      <w:r w:rsidR="008C2831" w:rsidRPr="00C777C0">
        <w:rPr>
          <w:i/>
          <w:lang w:val="en-US"/>
        </w:rPr>
        <w:t xml:space="preserve"> ratio of total cr</w:t>
      </w:r>
      <w:r w:rsidR="00C777C0">
        <w:rPr>
          <w:i/>
          <w:lang w:val="en-US"/>
        </w:rPr>
        <w:t xml:space="preserve">edits and debts to total assets and the ratio of total </w:t>
      </w:r>
      <w:r w:rsidR="007E22BF">
        <w:rPr>
          <w:i/>
          <w:lang w:val="en-US"/>
        </w:rPr>
        <w:t>assets</w:t>
      </w:r>
      <w:r w:rsidR="00C777C0">
        <w:rPr>
          <w:i/>
          <w:lang w:val="en-US"/>
        </w:rPr>
        <w:t xml:space="preserve"> and debts </w:t>
      </w:r>
      <w:r w:rsidR="007E22BF">
        <w:rPr>
          <w:i/>
          <w:lang w:val="en-US"/>
        </w:rPr>
        <w:t xml:space="preserve">to </w:t>
      </w:r>
      <w:r w:rsidR="00C777C0">
        <w:rPr>
          <w:i/>
          <w:lang w:val="en-US"/>
        </w:rPr>
        <w:t>gross non-performing loans to</w:t>
      </w:r>
      <w:r w:rsidR="00C777C0">
        <w:rPr>
          <w:lang w:val="en-US"/>
        </w:rPr>
        <w:t xml:space="preserve"> determine asset quality, </w:t>
      </w:r>
      <w:r w:rsidR="008C2831" w:rsidRPr="00C777C0">
        <w:rPr>
          <w:i/>
          <w:lang w:val="en-US"/>
        </w:rPr>
        <w:t xml:space="preserve"> </w:t>
      </w:r>
      <w:r w:rsidR="00C777C0">
        <w:rPr>
          <w:i/>
          <w:lang w:val="en-US"/>
        </w:rPr>
        <w:t>the ratio of liquid assets to total assets</w:t>
      </w:r>
      <w:r w:rsidR="00C777C0">
        <w:rPr>
          <w:lang w:val="en-US"/>
        </w:rPr>
        <w:t xml:space="preserve"> to determine liquidity, </w:t>
      </w:r>
      <w:r w:rsidR="00C777C0" w:rsidRPr="00921E41">
        <w:rPr>
          <w:i/>
          <w:lang w:val="en-US"/>
        </w:rPr>
        <w:t>the</w:t>
      </w:r>
      <w:r w:rsidR="00C777C0" w:rsidRPr="00921E41">
        <w:rPr>
          <w:lang w:val="en-US"/>
        </w:rPr>
        <w:t xml:space="preserve"> </w:t>
      </w:r>
      <w:r w:rsidR="00C777C0" w:rsidRPr="00921E41">
        <w:rPr>
          <w:i/>
          <w:lang w:val="en-US"/>
        </w:rPr>
        <w:t>ratio of net profit of the year to the total assets</w:t>
      </w:r>
      <w:r w:rsidR="00C777C0" w:rsidRPr="00921E41">
        <w:rPr>
          <w:lang w:val="en-US"/>
        </w:rPr>
        <w:t xml:space="preserve"> to determine profitability, </w:t>
      </w:r>
      <w:r w:rsidR="000D4516" w:rsidRPr="00921E41">
        <w:rPr>
          <w:i/>
          <w:lang w:val="en-US"/>
        </w:rPr>
        <w:t>the</w:t>
      </w:r>
      <w:r w:rsidR="000D4516" w:rsidRPr="00921E41">
        <w:rPr>
          <w:lang w:val="en-US"/>
        </w:rPr>
        <w:t xml:space="preserve"> </w:t>
      </w:r>
      <w:r w:rsidR="000D4516" w:rsidRPr="00921E41">
        <w:rPr>
          <w:i/>
          <w:lang w:val="en-US"/>
        </w:rPr>
        <w:t xml:space="preserve">ratio of net </w:t>
      </w:r>
      <w:r w:rsidR="00921E41" w:rsidRPr="00921E41">
        <w:rPr>
          <w:i/>
          <w:lang w:val="en-US"/>
        </w:rPr>
        <w:t>interest income after provision</w:t>
      </w:r>
      <w:r w:rsidR="000D4516" w:rsidRPr="00921E41">
        <w:rPr>
          <w:i/>
          <w:lang w:val="en-US"/>
        </w:rPr>
        <w:t xml:space="preserve"> to the total assets</w:t>
      </w:r>
      <w:r w:rsidR="000D4516" w:rsidRPr="00921E41">
        <w:rPr>
          <w:lang w:val="en-US"/>
        </w:rPr>
        <w:t xml:space="preserve"> to</w:t>
      </w:r>
      <w:r w:rsidR="000D4516">
        <w:rPr>
          <w:lang w:val="en-US"/>
        </w:rPr>
        <w:t xml:space="preserve"> determine the income and expenditure structure.</w:t>
      </w:r>
      <w:r w:rsidR="00424D07">
        <w:rPr>
          <w:lang w:val="en-US"/>
        </w:rPr>
        <w:t xml:space="preserve"> All the ratios and calculations are shown in table 3.</w:t>
      </w:r>
    </w:p>
    <w:p w:rsidR="0005403C" w:rsidRDefault="0005403C" w:rsidP="00A9376A">
      <w:pPr>
        <w:jc w:val="both"/>
      </w:pPr>
    </w:p>
    <w:p w:rsidR="00CF43B1" w:rsidRDefault="00424D07" w:rsidP="00A9376A">
      <w:pPr>
        <w:jc w:val="both"/>
        <w:rPr>
          <w:bCs/>
        </w:rPr>
      </w:pPr>
      <w:r w:rsidRPr="00445DCB">
        <w:rPr>
          <w:bCs/>
        </w:rPr>
        <w:t>Table</w:t>
      </w:r>
      <w:r w:rsidR="00CF43B1" w:rsidRPr="00445DCB">
        <w:rPr>
          <w:bCs/>
        </w:rPr>
        <w:t xml:space="preserve"> 3. </w:t>
      </w:r>
      <w:r w:rsidRPr="00445DCB">
        <w:rPr>
          <w:bCs/>
        </w:rPr>
        <w:t>Financial Ratios</w:t>
      </w:r>
    </w:p>
    <w:p w:rsidR="00445DCB" w:rsidRPr="00445DCB" w:rsidRDefault="00445DCB" w:rsidP="00A9376A">
      <w:pPr>
        <w:jc w:val="both"/>
        <w:rPr>
          <w:bCs/>
        </w:rPr>
      </w:pPr>
    </w:p>
    <w:tbl>
      <w:tblPr>
        <w:tblW w:w="9116" w:type="dxa"/>
        <w:jc w:val="center"/>
        <w:tblInd w:w="2" w:type="dxa"/>
        <w:tblCellMar>
          <w:left w:w="70" w:type="dxa"/>
          <w:right w:w="70" w:type="dxa"/>
        </w:tblCellMar>
        <w:tblLook w:val="0000"/>
      </w:tblPr>
      <w:tblGrid>
        <w:gridCol w:w="5171"/>
        <w:gridCol w:w="2880"/>
        <w:gridCol w:w="1065"/>
      </w:tblGrid>
      <w:tr w:rsidR="00CF43B1" w:rsidRPr="00A9376A" w:rsidTr="00445DCB">
        <w:trPr>
          <w:trHeight w:val="320"/>
          <w:jc w:val="center"/>
        </w:trPr>
        <w:tc>
          <w:tcPr>
            <w:tcW w:w="5171" w:type="dxa"/>
            <w:tcBorders>
              <w:top w:val="single" w:sz="4" w:space="0" w:color="auto"/>
              <w:left w:val="single" w:sz="4" w:space="0" w:color="auto"/>
              <w:bottom w:val="single" w:sz="4" w:space="0" w:color="auto"/>
              <w:right w:val="single" w:sz="4" w:space="0" w:color="auto"/>
            </w:tcBorders>
            <w:noWrap/>
            <w:vAlign w:val="bottom"/>
          </w:tcPr>
          <w:p w:rsidR="00CF43B1" w:rsidRPr="00A9376A" w:rsidRDefault="00A421A5" w:rsidP="00A9376A">
            <w:pPr>
              <w:jc w:val="both"/>
              <w:rPr>
                <w:b/>
                <w:bCs/>
              </w:rPr>
            </w:pPr>
            <w:r>
              <w:rPr>
                <w:b/>
                <w:bCs/>
              </w:rPr>
              <w:t>Calculation</w:t>
            </w:r>
          </w:p>
        </w:tc>
        <w:tc>
          <w:tcPr>
            <w:tcW w:w="2880" w:type="dxa"/>
            <w:tcBorders>
              <w:top w:val="single" w:sz="4" w:space="0" w:color="auto"/>
              <w:left w:val="nil"/>
              <w:bottom w:val="single" w:sz="4" w:space="0" w:color="auto"/>
              <w:right w:val="single" w:sz="4" w:space="0" w:color="auto"/>
            </w:tcBorders>
            <w:noWrap/>
            <w:vAlign w:val="bottom"/>
          </w:tcPr>
          <w:p w:rsidR="00CF43B1" w:rsidRPr="00A9376A" w:rsidRDefault="00CF43B1" w:rsidP="00A9376A">
            <w:pPr>
              <w:jc w:val="both"/>
              <w:rPr>
                <w:b/>
                <w:bCs/>
              </w:rPr>
            </w:pPr>
            <w:r w:rsidRPr="00A9376A">
              <w:rPr>
                <w:b/>
                <w:bCs/>
              </w:rPr>
              <w:t>Açıklama</w:t>
            </w:r>
          </w:p>
        </w:tc>
        <w:tc>
          <w:tcPr>
            <w:tcW w:w="1065" w:type="dxa"/>
            <w:tcBorders>
              <w:top w:val="single" w:sz="4" w:space="0" w:color="auto"/>
              <w:left w:val="nil"/>
              <w:bottom w:val="single" w:sz="4" w:space="0" w:color="auto"/>
              <w:right w:val="single" w:sz="4" w:space="0" w:color="auto"/>
            </w:tcBorders>
            <w:noWrap/>
            <w:vAlign w:val="bottom"/>
          </w:tcPr>
          <w:p w:rsidR="00CF43B1" w:rsidRPr="00A9376A" w:rsidRDefault="00CF43B1" w:rsidP="00A9376A">
            <w:pPr>
              <w:jc w:val="both"/>
              <w:rPr>
                <w:b/>
                <w:bCs/>
              </w:rPr>
            </w:pPr>
            <w:r w:rsidRPr="00A9376A">
              <w:rPr>
                <w:b/>
                <w:bCs/>
              </w:rPr>
              <w:t>Sembol</w:t>
            </w:r>
          </w:p>
        </w:tc>
      </w:tr>
      <w:tr w:rsidR="00CF43B1" w:rsidRPr="00A9376A" w:rsidTr="00445DCB">
        <w:trPr>
          <w:trHeight w:val="324"/>
          <w:jc w:val="center"/>
        </w:trPr>
        <w:tc>
          <w:tcPr>
            <w:tcW w:w="5171" w:type="dxa"/>
            <w:tcBorders>
              <w:top w:val="nil"/>
              <w:left w:val="single" w:sz="4" w:space="0" w:color="auto"/>
              <w:bottom w:val="single" w:sz="4" w:space="0" w:color="auto"/>
              <w:right w:val="single" w:sz="4" w:space="0" w:color="auto"/>
            </w:tcBorders>
            <w:vAlign w:val="bottom"/>
          </w:tcPr>
          <w:p w:rsidR="00CF43B1" w:rsidRPr="00A9376A" w:rsidRDefault="007E22BF" w:rsidP="007E22BF">
            <w:pPr>
              <w:jc w:val="both"/>
            </w:pPr>
            <w:r>
              <w:t>Credits</w:t>
            </w:r>
            <w:r w:rsidR="00CF43B1" w:rsidRPr="00A9376A">
              <w:t xml:space="preserve"> / </w:t>
            </w:r>
            <w:r>
              <w:t>Total Assets</w:t>
            </w:r>
          </w:p>
        </w:tc>
        <w:tc>
          <w:tcPr>
            <w:tcW w:w="2880" w:type="dxa"/>
            <w:tcBorders>
              <w:top w:val="nil"/>
              <w:left w:val="nil"/>
              <w:bottom w:val="single" w:sz="4" w:space="0" w:color="auto"/>
              <w:right w:val="single" w:sz="4" w:space="0" w:color="auto"/>
            </w:tcBorders>
            <w:noWrap/>
            <w:vAlign w:val="bottom"/>
          </w:tcPr>
          <w:p w:rsidR="00CF43B1" w:rsidRPr="00A9376A" w:rsidRDefault="00921E41" w:rsidP="00A9376A">
            <w:pPr>
              <w:jc w:val="both"/>
            </w:pPr>
            <w:r>
              <w:t>B</w:t>
            </w:r>
            <w:r w:rsidR="00330CAA" w:rsidRPr="00330CAA">
              <w:t>alance sheet structure</w:t>
            </w:r>
          </w:p>
        </w:tc>
        <w:tc>
          <w:tcPr>
            <w:tcW w:w="1065" w:type="dxa"/>
            <w:tcBorders>
              <w:top w:val="nil"/>
              <w:left w:val="nil"/>
              <w:bottom w:val="single" w:sz="4" w:space="0" w:color="auto"/>
              <w:right w:val="single" w:sz="4" w:space="0" w:color="auto"/>
            </w:tcBorders>
            <w:noWrap/>
            <w:vAlign w:val="bottom"/>
          </w:tcPr>
          <w:p w:rsidR="00CF43B1" w:rsidRPr="00A9376A" w:rsidRDefault="00CF43B1" w:rsidP="00A9376A">
            <w:pPr>
              <w:jc w:val="both"/>
            </w:pPr>
            <w:r w:rsidRPr="00A9376A">
              <w:t>bal</w:t>
            </w:r>
          </w:p>
        </w:tc>
      </w:tr>
      <w:tr w:rsidR="00CF43B1" w:rsidRPr="00A9376A" w:rsidTr="00445DCB">
        <w:trPr>
          <w:trHeight w:val="324"/>
          <w:jc w:val="center"/>
        </w:trPr>
        <w:tc>
          <w:tcPr>
            <w:tcW w:w="5171" w:type="dxa"/>
            <w:tcBorders>
              <w:top w:val="nil"/>
              <w:left w:val="single" w:sz="4" w:space="0" w:color="auto"/>
              <w:bottom w:val="single" w:sz="4" w:space="0" w:color="auto"/>
              <w:right w:val="single" w:sz="4" w:space="0" w:color="auto"/>
            </w:tcBorders>
            <w:vAlign w:val="bottom"/>
          </w:tcPr>
          <w:p w:rsidR="00CF43B1" w:rsidRPr="00A9376A" w:rsidRDefault="000709AB" w:rsidP="00A9376A">
            <w:pPr>
              <w:jc w:val="both"/>
            </w:pPr>
            <w:r>
              <w:t>T</w:t>
            </w:r>
            <w:r w:rsidR="007E22BF" w:rsidRPr="007E22BF">
              <w:t xml:space="preserve">otal credits and debts </w:t>
            </w:r>
            <w:r w:rsidR="00CF43B1" w:rsidRPr="00A9376A">
              <w:t xml:space="preserve">/ </w:t>
            </w:r>
            <w:r w:rsidR="007E22BF">
              <w:t>Total Assets</w:t>
            </w:r>
          </w:p>
        </w:tc>
        <w:tc>
          <w:tcPr>
            <w:tcW w:w="2880" w:type="dxa"/>
            <w:tcBorders>
              <w:top w:val="nil"/>
              <w:left w:val="nil"/>
              <w:bottom w:val="single" w:sz="4" w:space="0" w:color="auto"/>
              <w:right w:val="single" w:sz="4" w:space="0" w:color="auto"/>
            </w:tcBorders>
            <w:noWrap/>
            <w:vAlign w:val="bottom"/>
          </w:tcPr>
          <w:p w:rsidR="00CF43B1" w:rsidRPr="00A9376A" w:rsidRDefault="00921E41" w:rsidP="00A9376A">
            <w:pPr>
              <w:jc w:val="both"/>
            </w:pPr>
            <w:r>
              <w:rPr>
                <w:lang w:val="en-US"/>
              </w:rPr>
              <w:t>A</w:t>
            </w:r>
            <w:r w:rsidR="00330CAA">
              <w:rPr>
                <w:lang w:val="en-US"/>
              </w:rPr>
              <w:t>sset quality</w:t>
            </w:r>
          </w:p>
        </w:tc>
        <w:tc>
          <w:tcPr>
            <w:tcW w:w="1065" w:type="dxa"/>
            <w:tcBorders>
              <w:top w:val="nil"/>
              <w:left w:val="nil"/>
              <w:bottom w:val="single" w:sz="4" w:space="0" w:color="auto"/>
              <w:right w:val="single" w:sz="4" w:space="0" w:color="auto"/>
            </w:tcBorders>
            <w:noWrap/>
            <w:vAlign w:val="bottom"/>
          </w:tcPr>
          <w:p w:rsidR="00CF43B1" w:rsidRPr="00A9376A" w:rsidRDefault="00CF43B1" w:rsidP="00A9376A">
            <w:pPr>
              <w:jc w:val="both"/>
            </w:pPr>
            <w:r w:rsidRPr="00A9376A">
              <w:t>credit</w:t>
            </w:r>
          </w:p>
        </w:tc>
      </w:tr>
      <w:tr w:rsidR="00CF43B1" w:rsidRPr="00A9376A" w:rsidTr="00445DCB">
        <w:trPr>
          <w:trHeight w:val="324"/>
          <w:jc w:val="center"/>
        </w:trPr>
        <w:tc>
          <w:tcPr>
            <w:tcW w:w="5171" w:type="dxa"/>
            <w:tcBorders>
              <w:top w:val="nil"/>
              <w:left w:val="single" w:sz="4" w:space="0" w:color="auto"/>
              <w:bottom w:val="single" w:sz="4" w:space="0" w:color="auto"/>
              <w:right w:val="single" w:sz="4" w:space="0" w:color="auto"/>
            </w:tcBorders>
            <w:vAlign w:val="bottom"/>
          </w:tcPr>
          <w:p w:rsidR="00CF43B1" w:rsidRPr="00A9376A" w:rsidRDefault="000709AB" w:rsidP="00A9376A">
            <w:pPr>
              <w:jc w:val="both"/>
            </w:pPr>
            <w:r>
              <w:t>G</w:t>
            </w:r>
            <w:r w:rsidR="007E22BF" w:rsidRPr="007E22BF">
              <w:t xml:space="preserve">ross non-performing loans </w:t>
            </w:r>
            <w:r w:rsidR="00CF43B1" w:rsidRPr="00A9376A">
              <w:t xml:space="preserve">/ </w:t>
            </w:r>
            <w:r w:rsidR="007E22BF" w:rsidRPr="007E22BF">
              <w:t>total assets and debts</w:t>
            </w:r>
          </w:p>
        </w:tc>
        <w:tc>
          <w:tcPr>
            <w:tcW w:w="2880" w:type="dxa"/>
            <w:tcBorders>
              <w:top w:val="nil"/>
              <w:left w:val="nil"/>
              <w:bottom w:val="single" w:sz="4" w:space="0" w:color="auto"/>
              <w:right w:val="single" w:sz="4" w:space="0" w:color="auto"/>
            </w:tcBorders>
            <w:noWrap/>
            <w:vAlign w:val="bottom"/>
          </w:tcPr>
          <w:p w:rsidR="00CF43B1" w:rsidRPr="00A9376A" w:rsidRDefault="00921E41" w:rsidP="00A9376A">
            <w:pPr>
              <w:jc w:val="both"/>
            </w:pPr>
            <w:r>
              <w:rPr>
                <w:lang w:val="en-US"/>
              </w:rPr>
              <w:t>A</w:t>
            </w:r>
            <w:r w:rsidR="00330CAA">
              <w:rPr>
                <w:lang w:val="en-US"/>
              </w:rPr>
              <w:t>sset quality</w:t>
            </w:r>
          </w:p>
        </w:tc>
        <w:tc>
          <w:tcPr>
            <w:tcW w:w="1065" w:type="dxa"/>
            <w:tcBorders>
              <w:top w:val="nil"/>
              <w:left w:val="nil"/>
              <w:bottom w:val="single" w:sz="4" w:space="0" w:color="auto"/>
              <w:right w:val="single" w:sz="4" w:space="0" w:color="auto"/>
            </w:tcBorders>
            <w:noWrap/>
            <w:vAlign w:val="bottom"/>
          </w:tcPr>
          <w:p w:rsidR="00CF43B1" w:rsidRPr="00A9376A" w:rsidRDefault="00CF43B1" w:rsidP="00A9376A">
            <w:pPr>
              <w:jc w:val="both"/>
            </w:pPr>
            <w:r w:rsidRPr="00A9376A">
              <w:t>nplr</w:t>
            </w:r>
          </w:p>
        </w:tc>
      </w:tr>
      <w:tr w:rsidR="00CF43B1" w:rsidRPr="00A9376A" w:rsidTr="00445DCB">
        <w:trPr>
          <w:trHeight w:val="324"/>
          <w:jc w:val="center"/>
        </w:trPr>
        <w:tc>
          <w:tcPr>
            <w:tcW w:w="5171" w:type="dxa"/>
            <w:tcBorders>
              <w:top w:val="nil"/>
              <w:left w:val="single" w:sz="4" w:space="0" w:color="auto"/>
              <w:bottom w:val="single" w:sz="4" w:space="0" w:color="auto"/>
              <w:right w:val="single" w:sz="4" w:space="0" w:color="auto"/>
            </w:tcBorders>
            <w:vAlign w:val="bottom"/>
          </w:tcPr>
          <w:p w:rsidR="00CF43B1" w:rsidRPr="00A9376A" w:rsidRDefault="000709AB" w:rsidP="00A9376A">
            <w:pPr>
              <w:jc w:val="both"/>
            </w:pPr>
            <w:r>
              <w:t>L</w:t>
            </w:r>
            <w:r w:rsidR="007E22BF" w:rsidRPr="007E22BF">
              <w:t xml:space="preserve">iquid assets </w:t>
            </w:r>
            <w:r w:rsidR="00CF43B1" w:rsidRPr="00A9376A">
              <w:t>/</w:t>
            </w:r>
            <w:r w:rsidR="007E22BF">
              <w:t xml:space="preserve"> Total Assets</w:t>
            </w:r>
          </w:p>
        </w:tc>
        <w:tc>
          <w:tcPr>
            <w:tcW w:w="2880" w:type="dxa"/>
            <w:tcBorders>
              <w:top w:val="nil"/>
              <w:left w:val="nil"/>
              <w:bottom w:val="single" w:sz="4" w:space="0" w:color="auto"/>
              <w:right w:val="single" w:sz="4" w:space="0" w:color="auto"/>
            </w:tcBorders>
            <w:noWrap/>
            <w:vAlign w:val="bottom"/>
          </w:tcPr>
          <w:p w:rsidR="00CF43B1" w:rsidRPr="00A9376A" w:rsidRDefault="00921E41" w:rsidP="00A9376A">
            <w:pPr>
              <w:jc w:val="both"/>
            </w:pPr>
            <w:r>
              <w:rPr>
                <w:lang w:val="en-US"/>
              </w:rPr>
              <w:t>L</w:t>
            </w:r>
            <w:r w:rsidR="00330CAA">
              <w:rPr>
                <w:lang w:val="en-US"/>
              </w:rPr>
              <w:t>iquidity</w:t>
            </w:r>
          </w:p>
        </w:tc>
        <w:tc>
          <w:tcPr>
            <w:tcW w:w="1065" w:type="dxa"/>
            <w:tcBorders>
              <w:top w:val="nil"/>
              <w:left w:val="nil"/>
              <w:bottom w:val="single" w:sz="4" w:space="0" w:color="auto"/>
              <w:right w:val="single" w:sz="4" w:space="0" w:color="auto"/>
            </w:tcBorders>
            <w:noWrap/>
            <w:vAlign w:val="bottom"/>
          </w:tcPr>
          <w:p w:rsidR="00CF43B1" w:rsidRPr="00A9376A" w:rsidRDefault="00CF43B1" w:rsidP="00A9376A">
            <w:pPr>
              <w:jc w:val="both"/>
            </w:pPr>
            <w:r w:rsidRPr="00A9376A">
              <w:t>liq</w:t>
            </w:r>
          </w:p>
        </w:tc>
      </w:tr>
      <w:tr w:rsidR="00CF43B1" w:rsidRPr="00A9376A" w:rsidTr="00445DCB">
        <w:trPr>
          <w:trHeight w:val="324"/>
          <w:jc w:val="center"/>
        </w:trPr>
        <w:tc>
          <w:tcPr>
            <w:tcW w:w="5171" w:type="dxa"/>
            <w:tcBorders>
              <w:top w:val="nil"/>
              <w:left w:val="single" w:sz="4" w:space="0" w:color="auto"/>
              <w:bottom w:val="single" w:sz="4" w:space="0" w:color="auto"/>
              <w:right w:val="single" w:sz="4" w:space="0" w:color="auto"/>
            </w:tcBorders>
            <w:vAlign w:val="bottom"/>
          </w:tcPr>
          <w:p w:rsidR="00CF43B1" w:rsidRPr="00A9376A" w:rsidRDefault="000709AB" w:rsidP="007E22BF">
            <w:pPr>
              <w:jc w:val="both"/>
            </w:pPr>
            <w:r>
              <w:t>N</w:t>
            </w:r>
            <w:r w:rsidR="007E22BF" w:rsidRPr="007E22BF">
              <w:t>et profit of the year</w:t>
            </w:r>
            <w:r w:rsidR="00CF43B1" w:rsidRPr="00A9376A">
              <w:t xml:space="preserve"> </w:t>
            </w:r>
            <w:r w:rsidR="007E22BF">
              <w:t>Total Assets</w:t>
            </w:r>
          </w:p>
        </w:tc>
        <w:tc>
          <w:tcPr>
            <w:tcW w:w="2880" w:type="dxa"/>
            <w:tcBorders>
              <w:top w:val="nil"/>
              <w:left w:val="nil"/>
              <w:bottom w:val="single" w:sz="4" w:space="0" w:color="auto"/>
              <w:right w:val="single" w:sz="4" w:space="0" w:color="auto"/>
            </w:tcBorders>
            <w:noWrap/>
            <w:vAlign w:val="bottom"/>
          </w:tcPr>
          <w:p w:rsidR="00CF43B1" w:rsidRPr="00A9376A" w:rsidRDefault="00921E41" w:rsidP="00A9376A">
            <w:pPr>
              <w:jc w:val="both"/>
            </w:pPr>
            <w:r>
              <w:rPr>
                <w:lang w:val="en-US"/>
              </w:rPr>
              <w:t>P</w:t>
            </w:r>
            <w:r w:rsidR="00330CAA">
              <w:rPr>
                <w:lang w:val="en-US"/>
              </w:rPr>
              <w:t>rofitability</w:t>
            </w:r>
          </w:p>
        </w:tc>
        <w:tc>
          <w:tcPr>
            <w:tcW w:w="1065" w:type="dxa"/>
            <w:tcBorders>
              <w:top w:val="nil"/>
              <w:left w:val="nil"/>
              <w:bottom w:val="single" w:sz="4" w:space="0" w:color="auto"/>
              <w:right w:val="single" w:sz="4" w:space="0" w:color="auto"/>
            </w:tcBorders>
            <w:noWrap/>
            <w:vAlign w:val="bottom"/>
          </w:tcPr>
          <w:p w:rsidR="00CF43B1" w:rsidRPr="00A9376A" w:rsidRDefault="00CF43B1" w:rsidP="00A9376A">
            <w:pPr>
              <w:jc w:val="both"/>
            </w:pPr>
            <w:r w:rsidRPr="00A9376A">
              <w:t>prof</w:t>
            </w:r>
          </w:p>
        </w:tc>
      </w:tr>
      <w:tr w:rsidR="00CF43B1" w:rsidRPr="00A9376A" w:rsidTr="00445DCB">
        <w:trPr>
          <w:trHeight w:val="324"/>
          <w:jc w:val="center"/>
        </w:trPr>
        <w:tc>
          <w:tcPr>
            <w:tcW w:w="5171" w:type="dxa"/>
            <w:tcBorders>
              <w:top w:val="nil"/>
              <w:left w:val="single" w:sz="4" w:space="0" w:color="auto"/>
              <w:bottom w:val="single" w:sz="4" w:space="0" w:color="auto"/>
              <w:right w:val="single" w:sz="4" w:space="0" w:color="auto"/>
            </w:tcBorders>
            <w:vAlign w:val="center"/>
          </w:tcPr>
          <w:p w:rsidR="00CF43B1" w:rsidRPr="00A9376A" w:rsidRDefault="00921E41" w:rsidP="00921E41">
            <w:r>
              <w:t>Net interest Income after provision</w:t>
            </w:r>
            <w:r w:rsidR="00CF43B1" w:rsidRPr="00A9376A">
              <w:t xml:space="preserve"> / </w:t>
            </w:r>
            <w:r w:rsidR="007E22BF">
              <w:t>Total Assets</w:t>
            </w:r>
          </w:p>
        </w:tc>
        <w:tc>
          <w:tcPr>
            <w:tcW w:w="2880" w:type="dxa"/>
            <w:tcBorders>
              <w:top w:val="nil"/>
              <w:left w:val="nil"/>
              <w:bottom w:val="single" w:sz="4" w:space="0" w:color="auto"/>
              <w:right w:val="single" w:sz="4" w:space="0" w:color="auto"/>
            </w:tcBorders>
            <w:noWrap/>
            <w:vAlign w:val="bottom"/>
          </w:tcPr>
          <w:p w:rsidR="00CF43B1" w:rsidRPr="00A9376A" w:rsidRDefault="00921E41" w:rsidP="00A9376A">
            <w:pPr>
              <w:jc w:val="both"/>
            </w:pPr>
            <w:r>
              <w:rPr>
                <w:lang w:val="en-US"/>
              </w:rPr>
              <w:t xml:space="preserve">Income </w:t>
            </w:r>
            <w:r w:rsidR="00330CAA">
              <w:rPr>
                <w:lang w:val="en-US"/>
              </w:rPr>
              <w:t>and expenditure structure</w:t>
            </w:r>
          </w:p>
        </w:tc>
        <w:tc>
          <w:tcPr>
            <w:tcW w:w="1065" w:type="dxa"/>
            <w:tcBorders>
              <w:top w:val="nil"/>
              <w:left w:val="nil"/>
              <w:bottom w:val="single" w:sz="4" w:space="0" w:color="auto"/>
              <w:right w:val="single" w:sz="4" w:space="0" w:color="auto"/>
            </w:tcBorders>
            <w:noWrap/>
            <w:vAlign w:val="bottom"/>
          </w:tcPr>
          <w:p w:rsidR="00CF43B1" w:rsidRPr="00A9376A" w:rsidRDefault="00CF43B1" w:rsidP="00A9376A">
            <w:pPr>
              <w:jc w:val="both"/>
            </w:pPr>
            <w:r w:rsidRPr="00A9376A">
              <w:t>int</w:t>
            </w:r>
          </w:p>
        </w:tc>
      </w:tr>
    </w:tbl>
    <w:p w:rsidR="00CF43B1" w:rsidRPr="00A9376A" w:rsidRDefault="00CF43B1" w:rsidP="00A9376A">
      <w:pPr>
        <w:jc w:val="both"/>
        <w:rPr>
          <w:b/>
          <w:bCs/>
        </w:rPr>
      </w:pPr>
    </w:p>
    <w:p w:rsidR="00806525" w:rsidRPr="00806525" w:rsidRDefault="00806525" w:rsidP="00A9376A">
      <w:pPr>
        <w:jc w:val="both"/>
        <w:rPr>
          <w:lang w:val="en-US"/>
        </w:rPr>
      </w:pPr>
      <w:r w:rsidRPr="00806525">
        <w:rPr>
          <w:lang w:val="en-US"/>
        </w:rPr>
        <w:t xml:space="preserve">The </w:t>
      </w:r>
      <w:r>
        <w:rPr>
          <w:lang w:val="en-US"/>
        </w:rPr>
        <w:t>stock</w:t>
      </w:r>
      <w:r w:rsidRPr="00806525">
        <w:rPr>
          <w:lang w:val="en-US"/>
        </w:rPr>
        <w:t xml:space="preserve"> returns of the banking sector stock</w:t>
      </w:r>
      <w:r>
        <w:rPr>
          <w:lang w:val="en-US"/>
        </w:rPr>
        <w:t>s and the above ratios are tested by a panel data analysis.</w:t>
      </w:r>
    </w:p>
    <w:p w:rsidR="00806525" w:rsidRDefault="00806525" w:rsidP="00A9376A">
      <w:pPr>
        <w:jc w:val="both"/>
      </w:pPr>
    </w:p>
    <w:p w:rsidR="00CF43B1" w:rsidRPr="00684303" w:rsidRDefault="000F5DE2" w:rsidP="00A9376A">
      <w:pPr>
        <w:jc w:val="both"/>
        <w:rPr>
          <w:b/>
          <w:bCs/>
          <w:lang w:val="en-US"/>
        </w:rPr>
      </w:pPr>
      <w:r>
        <w:rPr>
          <w:b/>
          <w:bCs/>
          <w:lang w:val="en-US"/>
        </w:rPr>
        <w:t>4</w:t>
      </w:r>
      <w:r w:rsidR="00CF43B1" w:rsidRPr="00684303">
        <w:rPr>
          <w:b/>
          <w:bCs/>
          <w:lang w:val="en-US"/>
        </w:rPr>
        <w:t>.2. The Model</w:t>
      </w:r>
    </w:p>
    <w:p w:rsidR="00684303" w:rsidRPr="00684303" w:rsidRDefault="00684303" w:rsidP="00A9376A">
      <w:pPr>
        <w:tabs>
          <w:tab w:val="left" w:pos="1770"/>
        </w:tabs>
        <w:jc w:val="both"/>
        <w:rPr>
          <w:lang w:val="en-US"/>
        </w:rPr>
      </w:pPr>
      <w:r w:rsidRPr="00684303">
        <w:rPr>
          <w:lang w:val="en-US"/>
        </w:rPr>
        <w:t>Panel data econometrics</w:t>
      </w:r>
      <w:r w:rsidR="00A36944">
        <w:rPr>
          <w:lang w:val="en-US"/>
        </w:rPr>
        <w:t xml:space="preserve"> discusses both the time dimension and the cross section dimension of the model and provided better results than the traditional time series analysis. </w:t>
      </w:r>
      <w:r w:rsidR="00775493">
        <w:rPr>
          <w:lang w:val="en-US"/>
        </w:rPr>
        <w:t>In this context the fundamental equation of the panel data model is as follows:</w:t>
      </w:r>
      <w:r w:rsidRPr="00684303">
        <w:rPr>
          <w:lang w:val="en-US"/>
        </w:rPr>
        <w:t xml:space="preserve">  </w:t>
      </w:r>
    </w:p>
    <w:p w:rsidR="00684303" w:rsidRDefault="00684303" w:rsidP="00A9376A">
      <w:pPr>
        <w:tabs>
          <w:tab w:val="left" w:pos="1770"/>
        </w:tabs>
        <w:jc w:val="both"/>
      </w:pPr>
    </w:p>
    <w:p w:rsidR="00CF43B1" w:rsidRPr="00A9376A" w:rsidRDefault="00CF43B1" w:rsidP="00A9376A">
      <w:pPr>
        <w:tabs>
          <w:tab w:val="left" w:pos="1770"/>
        </w:tabs>
        <w:jc w:val="both"/>
        <w:rPr>
          <w:lang w:val="sv-SE"/>
        </w:rPr>
      </w:pPr>
      <w:r w:rsidRPr="00A9376A">
        <w:rPr>
          <w:lang w:val="sv-SE"/>
        </w:rPr>
        <w:t xml:space="preserve">                                   </w:t>
      </w:r>
    </w:p>
    <w:p w:rsidR="00CF43B1" w:rsidRPr="00A9376A" w:rsidRDefault="00CF43B1" w:rsidP="00A9376A">
      <w:pPr>
        <w:tabs>
          <w:tab w:val="left" w:pos="1770"/>
        </w:tabs>
        <w:jc w:val="both"/>
        <w:rPr>
          <w:lang w:val="sv-SE"/>
        </w:rPr>
      </w:pPr>
      <w:r w:rsidRPr="00A9376A">
        <w:rPr>
          <w:lang w:val="sv-SE"/>
        </w:rPr>
        <w:lastRenderedPageBreak/>
        <w:t xml:space="preserve">                    </w:t>
      </w:r>
      <w:r w:rsidR="00D73267">
        <w:rPr>
          <w:noProof/>
        </w:rPr>
        <w:drawing>
          <wp:inline distT="0" distB="0" distL="0" distR="0">
            <wp:extent cx="1187450" cy="222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7450" cy="222250"/>
                    </a:xfrm>
                    <a:prstGeom prst="rect">
                      <a:avLst/>
                    </a:prstGeom>
                    <a:noFill/>
                    <a:ln w="9525">
                      <a:noFill/>
                      <a:miter lim="800000"/>
                      <a:headEnd/>
                      <a:tailEnd/>
                    </a:ln>
                  </pic:spPr>
                </pic:pic>
              </a:graphicData>
            </a:graphic>
          </wp:inline>
        </w:drawing>
      </w:r>
      <w:r w:rsidRPr="00A9376A">
        <w:t xml:space="preserve">    </w:t>
      </w:r>
      <w:r w:rsidRPr="00A9376A">
        <w:rPr>
          <w:lang w:val="sv-SE"/>
        </w:rPr>
        <w:t>i=1,2..</w:t>
      </w:r>
      <w:r w:rsidRPr="00A9376A">
        <w:rPr>
          <w:position w:val="-10"/>
          <w:lang w:val="sv-SE"/>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9" o:title=""/>
          </v:shape>
          <o:OLEObject Type="Embed" ProgID="Equation.3" ShapeID="_x0000_i1025" DrawAspect="Content" ObjectID="_1497974104" r:id="rId10"/>
        </w:object>
      </w:r>
      <w:r w:rsidRPr="00A9376A">
        <w:rPr>
          <w:lang w:val="sv-SE"/>
        </w:rPr>
        <w:t xml:space="preserve">...,N </w:t>
      </w:r>
      <w:r w:rsidR="00775493">
        <w:rPr>
          <w:lang w:val="sv-SE"/>
        </w:rPr>
        <w:t>and</w:t>
      </w:r>
      <w:r w:rsidRPr="00A9376A">
        <w:rPr>
          <w:lang w:val="sv-SE"/>
        </w:rPr>
        <w:t xml:space="preserve"> t=1,2,.....,T                                  (1)</w:t>
      </w:r>
    </w:p>
    <w:p w:rsidR="00CF43B1" w:rsidRPr="00A9376A" w:rsidRDefault="00CF43B1" w:rsidP="00A9376A">
      <w:pPr>
        <w:tabs>
          <w:tab w:val="left" w:pos="1770"/>
        </w:tabs>
        <w:jc w:val="both"/>
        <w:rPr>
          <w:lang w:val="sv-SE"/>
        </w:rPr>
      </w:pPr>
    </w:p>
    <w:p w:rsidR="00775493" w:rsidRPr="00775493" w:rsidRDefault="00775493" w:rsidP="00445DCB">
      <w:pPr>
        <w:tabs>
          <w:tab w:val="left" w:pos="1770"/>
        </w:tabs>
        <w:spacing w:line="20" w:lineRule="atLeast"/>
        <w:jc w:val="both"/>
        <w:rPr>
          <w:lang w:val="en-US"/>
        </w:rPr>
      </w:pPr>
      <w:r>
        <w:rPr>
          <w:lang w:val="en-US"/>
        </w:rPr>
        <w:t>In this equation  i defines the hous</w:t>
      </w:r>
      <w:r w:rsidR="00787C75">
        <w:rPr>
          <w:lang w:val="en-US"/>
        </w:rPr>
        <w:t xml:space="preserve">eholds, individuals, companies etc., t defines time. In the equation t subscript shows the cross section dimension, t subscript shows time dimension. </w:t>
      </w:r>
      <w:r w:rsidR="00787C75" w:rsidRPr="00787C75">
        <w:rPr>
          <w:noProof/>
        </w:rPr>
        <w:drawing>
          <wp:inline distT="0" distB="0" distL="0" distR="0">
            <wp:extent cx="120650" cy="1206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787C75">
        <w:rPr>
          <w:lang w:val="en-US"/>
        </w:rPr>
        <w:t xml:space="preserve"> </w:t>
      </w:r>
    </w:p>
    <w:p w:rsidR="00775493" w:rsidRDefault="00775493" w:rsidP="00445DCB">
      <w:pPr>
        <w:tabs>
          <w:tab w:val="left" w:pos="1770"/>
        </w:tabs>
        <w:spacing w:line="20" w:lineRule="atLeast"/>
        <w:jc w:val="both"/>
        <w:rPr>
          <w:lang w:val="sv-SE"/>
        </w:rPr>
      </w:pPr>
    </w:p>
    <w:p w:rsidR="00CF43B1" w:rsidRPr="00A9376A" w:rsidRDefault="00D73267" w:rsidP="00445DCB">
      <w:pPr>
        <w:tabs>
          <w:tab w:val="left" w:pos="1770"/>
        </w:tabs>
        <w:spacing w:line="20" w:lineRule="atLeast"/>
        <w:jc w:val="both"/>
      </w:pPr>
      <w:r w:rsidRPr="008B6534">
        <w:rPr>
          <w:noProof/>
        </w:rPr>
        <w:drawing>
          <wp:inline distT="0" distB="0" distL="0" distR="0">
            <wp:extent cx="120650" cy="1206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8B6534" w:rsidRPr="008B6534">
        <w:t xml:space="preserve"> is a scalar</w:t>
      </w:r>
      <w:r w:rsidR="00CF43B1" w:rsidRPr="008B6534">
        <w:t xml:space="preserve">, </w:t>
      </w:r>
      <w:r w:rsidRPr="008B6534">
        <w:rPr>
          <w:noProof/>
        </w:rPr>
        <w:drawing>
          <wp:inline distT="0" distB="0" distL="0" distR="0">
            <wp:extent cx="120650" cy="1587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20650" cy="158750"/>
                    </a:xfrm>
                    <a:prstGeom prst="rect">
                      <a:avLst/>
                    </a:prstGeom>
                    <a:noFill/>
                    <a:ln w="9525">
                      <a:noFill/>
                      <a:miter lim="800000"/>
                      <a:headEnd/>
                      <a:tailEnd/>
                    </a:ln>
                  </pic:spPr>
                </pic:pic>
              </a:graphicData>
            </a:graphic>
          </wp:inline>
        </w:drawing>
      </w:r>
      <w:r w:rsidR="008B6534" w:rsidRPr="008B6534">
        <w:t xml:space="preserve"> is Kx1 and </w:t>
      </w:r>
      <w:r w:rsidRPr="008B6534">
        <w:rPr>
          <w:noProof/>
        </w:rPr>
        <w:drawing>
          <wp:inline distT="0" distB="0" distL="0" distR="0">
            <wp:extent cx="247650" cy="1587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47650" cy="158750"/>
                    </a:xfrm>
                    <a:prstGeom prst="rect">
                      <a:avLst/>
                    </a:prstGeom>
                    <a:noFill/>
                    <a:ln w="9525">
                      <a:noFill/>
                      <a:miter lim="800000"/>
                      <a:headEnd/>
                      <a:tailEnd/>
                    </a:ln>
                  </pic:spPr>
                </pic:pic>
              </a:graphicData>
            </a:graphic>
          </wp:inline>
        </w:drawing>
      </w:r>
      <w:r w:rsidR="008B6534" w:rsidRPr="008B6534">
        <w:t xml:space="preserve"> is the</w:t>
      </w:r>
      <w:r w:rsidR="00CF43B1" w:rsidRPr="008B6534">
        <w:rPr>
          <w:i/>
        </w:rPr>
        <w:t xml:space="preserve"> </w:t>
      </w:r>
      <w:r w:rsidR="008B6534" w:rsidRPr="008B6534">
        <w:rPr>
          <w:i/>
        </w:rPr>
        <w:t>it</w:t>
      </w:r>
      <w:r w:rsidR="008B6534" w:rsidRPr="008B6534">
        <w:t xml:space="preserve"> th observation on K</w:t>
      </w:r>
      <w:r w:rsidR="00445DCB">
        <w:t xml:space="preserve"> explanatory variables[33]. </w:t>
      </w:r>
    </w:p>
    <w:p w:rsidR="00CF43B1" w:rsidRPr="00A9376A" w:rsidRDefault="00CF43B1" w:rsidP="00A9376A">
      <w:pPr>
        <w:jc w:val="both"/>
        <w:rPr>
          <w:b/>
          <w:bCs/>
          <w:lang w:val="en-US"/>
        </w:rPr>
      </w:pPr>
    </w:p>
    <w:p w:rsidR="00445DCB" w:rsidRDefault="00445DCB" w:rsidP="00A9376A">
      <w:pPr>
        <w:jc w:val="both"/>
        <w:rPr>
          <w:b/>
          <w:bCs/>
          <w:lang w:val="en-US"/>
        </w:rPr>
      </w:pPr>
    </w:p>
    <w:p w:rsidR="00CF43B1" w:rsidRPr="00A9376A" w:rsidRDefault="00CF43B1" w:rsidP="00A9376A">
      <w:pPr>
        <w:jc w:val="both"/>
        <w:rPr>
          <w:b/>
          <w:bCs/>
          <w:lang w:val="en-US"/>
        </w:rPr>
      </w:pPr>
      <w:r w:rsidRPr="00A9376A">
        <w:rPr>
          <w:b/>
          <w:bCs/>
          <w:lang w:val="en-US"/>
        </w:rPr>
        <w:t>4.2.1. Panel Unit Root Test</w:t>
      </w:r>
    </w:p>
    <w:p w:rsidR="00CF43B1" w:rsidRPr="002B1885" w:rsidRDefault="005E0B49" w:rsidP="005E0B49">
      <w:pPr>
        <w:jc w:val="both"/>
        <w:rPr>
          <w:lang w:val="en-US"/>
        </w:rPr>
      </w:pPr>
      <w:r w:rsidRPr="00EF2885">
        <w:rPr>
          <w:bCs/>
          <w:lang w:val="en-US"/>
        </w:rPr>
        <w:t xml:space="preserve">The first step of the </w:t>
      </w:r>
      <w:r w:rsidR="00EF2885" w:rsidRPr="00EF2885">
        <w:rPr>
          <w:bCs/>
          <w:lang w:val="en-US"/>
        </w:rPr>
        <w:t xml:space="preserve">time series analysis is the determination of the stability of the variables and integration levels. </w:t>
      </w:r>
      <w:r w:rsidR="00EF2885" w:rsidRPr="00EF2885">
        <w:rPr>
          <w:lang w:val="en-US"/>
        </w:rPr>
        <w:t xml:space="preserve">Levin, Lin and Chu test </w:t>
      </w:r>
      <w:r w:rsidR="00445DCB">
        <w:rPr>
          <w:lang w:val="en-US"/>
        </w:rPr>
        <w:t>[34]</w:t>
      </w:r>
      <w:r w:rsidR="00EF2885" w:rsidRPr="00EF2885">
        <w:rPr>
          <w:lang w:val="en-US"/>
        </w:rPr>
        <w:t xml:space="preserve"> and Im, Pesaran and Shin tests </w:t>
      </w:r>
      <w:r w:rsidR="00EF2885">
        <w:rPr>
          <w:lang w:val="en-US"/>
        </w:rPr>
        <w:t xml:space="preserve">are the tests for panel root tests. Both of these tests null </w:t>
      </w:r>
      <w:r w:rsidR="00EF2885" w:rsidRPr="002B1885">
        <w:rPr>
          <w:lang w:val="en-US"/>
        </w:rPr>
        <w:t>hypothesis is “</w:t>
      </w:r>
      <w:r w:rsidR="00EF2885" w:rsidRPr="002B1885">
        <w:rPr>
          <w:i/>
          <w:lang w:val="en-US"/>
        </w:rPr>
        <w:t>there is unit root in panel data”</w:t>
      </w:r>
      <w:r w:rsidR="00445DCB">
        <w:rPr>
          <w:lang w:val="en-US"/>
        </w:rPr>
        <w:t>[35].</w:t>
      </w:r>
      <w:r w:rsidR="00EF2885" w:rsidRPr="002B1885">
        <w:rPr>
          <w:lang w:val="en-US"/>
        </w:rPr>
        <w:t xml:space="preserve"> </w:t>
      </w:r>
      <w:r w:rsidR="00445DCB">
        <w:rPr>
          <w:lang w:val="en-US"/>
        </w:rPr>
        <w:t>[34]</w:t>
      </w:r>
      <w:r w:rsidR="002B1885" w:rsidRPr="002B1885">
        <w:rPr>
          <w:lang w:val="en-US"/>
        </w:rPr>
        <w:t xml:space="preserve"> assumes that the cross section units have a co</w:t>
      </w:r>
      <w:r w:rsidR="00445DCB">
        <w:rPr>
          <w:lang w:val="en-US"/>
        </w:rPr>
        <w:t>mmon unit root process, but [35]</w:t>
      </w:r>
      <w:r w:rsidR="002B1885" w:rsidRPr="002B1885">
        <w:rPr>
          <w:lang w:val="en-US"/>
        </w:rPr>
        <w:t xml:space="preserve"> assumes that the cross section units have their own unit root process.</w:t>
      </w:r>
    </w:p>
    <w:p w:rsidR="00CF43B1" w:rsidRPr="00A9376A" w:rsidRDefault="002B1885" w:rsidP="002B1885">
      <w:pPr>
        <w:jc w:val="both"/>
        <w:rPr>
          <w:color w:val="000000"/>
        </w:rPr>
      </w:pPr>
      <w:r>
        <w:rPr>
          <w:lang w:val="en-US"/>
        </w:rPr>
        <w:t xml:space="preserve">LLC (2002) estimates the following model for the unit root analysis </w:t>
      </w:r>
      <w:r w:rsidR="00445DCB">
        <w:rPr>
          <w:color w:val="000000"/>
        </w:rPr>
        <w:t>[36].</w:t>
      </w:r>
    </w:p>
    <w:p w:rsidR="00CF43B1" w:rsidRPr="00A9376A" w:rsidRDefault="00CF43B1" w:rsidP="00A9376A">
      <w:pPr>
        <w:autoSpaceDE w:val="0"/>
        <w:autoSpaceDN w:val="0"/>
        <w:adjustRightInd w:val="0"/>
        <w:jc w:val="both"/>
        <w:rPr>
          <w:color w:val="000000"/>
        </w:rPr>
      </w:pPr>
      <w:r w:rsidRPr="00A9376A">
        <w:rPr>
          <w:color w:val="000000"/>
        </w:rPr>
        <w:t xml:space="preserve">                                       </w:t>
      </w:r>
      <w:r w:rsidRPr="00A9376A">
        <w:rPr>
          <w:color w:val="000000"/>
          <w:position w:val="-30"/>
        </w:rPr>
        <w:object w:dxaOrig="4220" w:dyaOrig="700">
          <v:shape id="_x0000_i1026" type="#_x0000_t75" style="width:210pt;height:35.25pt" o:ole="">
            <v:imagedata r:id="rId14" o:title=""/>
          </v:shape>
          <o:OLEObject Type="Embed" ProgID="Equation.3" ShapeID="_x0000_i1026" DrawAspect="Content" ObjectID="_1497974105" r:id="rId15"/>
        </w:object>
      </w:r>
      <w:r w:rsidRPr="00A9376A">
        <w:rPr>
          <w:color w:val="000000"/>
        </w:rPr>
        <w:t xml:space="preserve">                                    (3)</w:t>
      </w:r>
    </w:p>
    <w:p w:rsidR="009933A9" w:rsidRPr="009933A9" w:rsidRDefault="009933A9" w:rsidP="009933A9">
      <w:pPr>
        <w:tabs>
          <w:tab w:val="left" w:pos="7103"/>
        </w:tabs>
        <w:autoSpaceDE w:val="0"/>
        <w:autoSpaceDN w:val="0"/>
        <w:adjustRightInd w:val="0"/>
        <w:jc w:val="both"/>
        <w:rPr>
          <w:vertAlign w:val="subscript"/>
          <w:lang w:val="en-US"/>
        </w:rPr>
      </w:pPr>
      <w:r w:rsidRPr="009933A9">
        <w:rPr>
          <w:lang w:val="en-US"/>
        </w:rPr>
        <w:t>In equation 3, Δ is the first d</w:t>
      </w:r>
      <w:r w:rsidR="00AA3609">
        <w:rPr>
          <w:lang w:val="en-US"/>
        </w:rPr>
        <w:t>ifference operator, k is the la</w:t>
      </w:r>
      <w:r w:rsidRPr="009933A9">
        <w:rPr>
          <w:lang w:val="en-US"/>
        </w:rPr>
        <w:t xml:space="preserve">g </w:t>
      </w:r>
      <w:r w:rsidR="00445DCB" w:rsidRPr="009933A9">
        <w:rPr>
          <w:lang w:val="en-US"/>
        </w:rPr>
        <w:t>length</w:t>
      </w:r>
      <w:r w:rsidRPr="00AA3609">
        <w:rPr>
          <w:lang w:val="en-US"/>
        </w:rPr>
        <w:t xml:space="preserve">, </w:t>
      </w:r>
      <w:r w:rsidR="00BF18E1" w:rsidRPr="00AA3609">
        <w:rPr>
          <w:lang w:val="en-US"/>
        </w:rPr>
        <w:t>μ</w:t>
      </w:r>
      <w:r w:rsidR="00BF18E1">
        <w:rPr>
          <w:vertAlign w:val="subscript"/>
          <w:lang w:val="en-US"/>
        </w:rPr>
        <w:t xml:space="preserve">i </w:t>
      </w:r>
      <w:r w:rsidR="00BF18E1" w:rsidRPr="00AA3609">
        <w:rPr>
          <w:vertAlign w:val="subscript"/>
          <w:lang w:val="en-US"/>
        </w:rPr>
        <w:t>unit</w:t>
      </w:r>
      <w:r w:rsidRPr="00AA3609">
        <w:rPr>
          <w:lang w:val="en-US"/>
        </w:rPr>
        <w:t xml:space="preserve"> </w:t>
      </w:r>
      <w:r w:rsidR="00AA3609" w:rsidRPr="00AA3609">
        <w:rPr>
          <w:lang w:val="en-US"/>
        </w:rPr>
        <w:t>specific</w:t>
      </w:r>
      <w:r w:rsidRPr="00AA3609">
        <w:rPr>
          <w:lang w:val="en-US"/>
        </w:rPr>
        <w:t xml:space="preserve"> </w:t>
      </w:r>
      <w:r w:rsidR="00AA3609" w:rsidRPr="00AA3609">
        <w:rPr>
          <w:lang w:val="en-US"/>
        </w:rPr>
        <w:t>fixed</w:t>
      </w:r>
      <w:r w:rsidRPr="00AA3609">
        <w:rPr>
          <w:lang w:val="en-US"/>
        </w:rPr>
        <w:t xml:space="preserve"> effects</w:t>
      </w:r>
      <w:r w:rsidR="00AA3609" w:rsidRPr="00AA3609">
        <w:rPr>
          <w:lang w:val="en-US"/>
        </w:rPr>
        <w:t xml:space="preserve"> and</w:t>
      </w:r>
      <w:r w:rsidRPr="00AA3609">
        <w:rPr>
          <w:lang w:val="en-US"/>
        </w:rPr>
        <w:t xml:space="preserve"> θ</w:t>
      </w:r>
      <w:r w:rsidRPr="00AA3609">
        <w:rPr>
          <w:vertAlign w:val="subscript"/>
          <w:lang w:val="en-US"/>
        </w:rPr>
        <w:t>t</w:t>
      </w:r>
      <w:r w:rsidRPr="00AA3609">
        <w:rPr>
          <w:lang w:val="en-US"/>
        </w:rPr>
        <w:t xml:space="preserve"> is the time effects. The null hypothesis is defined: </w:t>
      </w:r>
      <w:r w:rsidRPr="00AA3609">
        <w:rPr>
          <w:rFonts w:eastAsia="AdvTT94c8263f.I+03"/>
          <w:lang w:val="en-US"/>
        </w:rPr>
        <w:t>ρ</w:t>
      </w:r>
      <w:r w:rsidRPr="00AA3609">
        <w:rPr>
          <w:lang w:val="en-US"/>
        </w:rPr>
        <w:t>=0.ıf the null hypothesis is rejected, there is panel stationary. The main disadvantage of this method is the decreasing</w:t>
      </w:r>
      <w:r>
        <w:rPr>
          <w:lang w:val="en-US"/>
        </w:rPr>
        <w:t xml:space="preserve"> explanatory power if there is a trend in the series. </w:t>
      </w:r>
      <w:r w:rsidR="00FA6B48">
        <w:rPr>
          <w:lang w:val="en-US"/>
        </w:rPr>
        <w:t>For this reason, IPS (2003) is also used for the analysis</w:t>
      </w:r>
      <w:r w:rsidR="00445DCB">
        <w:rPr>
          <w:lang w:val="en-US"/>
        </w:rPr>
        <w:t>. I</w:t>
      </w:r>
      <w:r w:rsidR="00130124">
        <w:rPr>
          <w:lang w:val="en-US"/>
        </w:rPr>
        <w:t>PS (2003) can be defined as follows.</w:t>
      </w:r>
      <w:r w:rsidR="00FA6B48">
        <w:rPr>
          <w:lang w:val="en-US"/>
        </w:rPr>
        <w:t xml:space="preserve"> </w:t>
      </w:r>
    </w:p>
    <w:p w:rsidR="009933A9" w:rsidRPr="009933A9" w:rsidRDefault="009933A9" w:rsidP="009933A9">
      <w:pPr>
        <w:tabs>
          <w:tab w:val="left" w:pos="7103"/>
        </w:tabs>
        <w:autoSpaceDE w:val="0"/>
        <w:autoSpaceDN w:val="0"/>
        <w:adjustRightInd w:val="0"/>
        <w:jc w:val="both"/>
        <w:rPr>
          <w:vertAlign w:val="subscript"/>
          <w:lang w:val="en-US"/>
        </w:rPr>
      </w:pPr>
    </w:p>
    <w:p w:rsidR="00CF43B1" w:rsidRPr="00A9376A" w:rsidRDefault="00CF43B1" w:rsidP="00A9376A">
      <w:pPr>
        <w:autoSpaceDE w:val="0"/>
        <w:autoSpaceDN w:val="0"/>
        <w:adjustRightInd w:val="0"/>
        <w:jc w:val="both"/>
      </w:pPr>
      <w:r w:rsidRPr="00A9376A">
        <w:rPr>
          <w:color w:val="000000"/>
        </w:rPr>
        <w:t xml:space="preserve">                                     </w:t>
      </w:r>
      <w:r w:rsidRPr="00A9376A">
        <w:rPr>
          <w:color w:val="000000"/>
          <w:position w:val="-30"/>
        </w:rPr>
        <w:object w:dxaOrig="4300" w:dyaOrig="700">
          <v:shape id="_x0000_i1027" type="#_x0000_t75" style="width:215.25pt;height:35.25pt" o:ole="">
            <v:imagedata r:id="rId16" o:title=""/>
          </v:shape>
          <o:OLEObject Type="Embed" ProgID="Equation.3" ShapeID="_x0000_i1027" DrawAspect="Content" ObjectID="_1497974106" r:id="rId17"/>
        </w:object>
      </w:r>
      <w:r w:rsidRPr="00A9376A">
        <w:rPr>
          <w:color w:val="000000"/>
        </w:rPr>
        <w:t xml:space="preserve">                                    (4)</w:t>
      </w:r>
    </w:p>
    <w:p w:rsidR="00130124" w:rsidRPr="0070575C" w:rsidRDefault="0070575C" w:rsidP="00A9376A">
      <w:pPr>
        <w:autoSpaceDE w:val="0"/>
        <w:autoSpaceDN w:val="0"/>
        <w:adjustRightInd w:val="0"/>
        <w:jc w:val="both"/>
        <w:rPr>
          <w:lang w:val="en-US"/>
        </w:rPr>
      </w:pPr>
      <w:r w:rsidRPr="0070575C">
        <w:rPr>
          <w:lang w:val="en-US"/>
        </w:rPr>
        <w:t xml:space="preserve">The null hypothesis of </w:t>
      </w:r>
      <w:r w:rsidR="00445DCB" w:rsidRPr="0070575C">
        <w:rPr>
          <w:lang w:val="en-US"/>
        </w:rPr>
        <w:t>IPS (</w:t>
      </w:r>
      <w:r w:rsidRPr="0070575C">
        <w:rPr>
          <w:lang w:val="en-US"/>
        </w:rPr>
        <w:t>2003) is: there is unit root for all the countries data (</w:t>
      </w:r>
      <w:r w:rsidRPr="0070575C">
        <w:rPr>
          <w:rFonts w:eastAsia="AdvTT94c8263f.I+03"/>
          <w:lang w:val="en-US"/>
        </w:rPr>
        <w:t>ρ</w:t>
      </w:r>
      <w:r w:rsidRPr="0070575C">
        <w:rPr>
          <w:rFonts w:eastAsia="AdvTT94c8263f.I+03"/>
          <w:vertAlign w:val="subscript"/>
          <w:lang w:val="en-US"/>
        </w:rPr>
        <w:t>1</w:t>
      </w:r>
      <w:r w:rsidRPr="0070575C">
        <w:rPr>
          <w:rFonts w:eastAsia="AdvTT94c8263f.I+03"/>
          <w:lang w:val="en-US"/>
        </w:rPr>
        <w:t>= ρ</w:t>
      </w:r>
      <w:r w:rsidRPr="0070575C">
        <w:rPr>
          <w:rFonts w:eastAsia="AdvTT94c8263f.I+03"/>
          <w:vertAlign w:val="subscript"/>
          <w:lang w:val="en-US"/>
        </w:rPr>
        <w:t>2</w:t>
      </w:r>
      <w:r w:rsidRPr="0070575C">
        <w:rPr>
          <w:rFonts w:eastAsia="AdvTT94c8263f.I+03"/>
          <w:lang w:val="en-US"/>
        </w:rPr>
        <w:t>=……… ρ</w:t>
      </w:r>
      <w:r w:rsidRPr="0070575C">
        <w:rPr>
          <w:rFonts w:eastAsia="AdvTT94c8263f.I+03"/>
          <w:vertAlign w:val="subscript"/>
          <w:lang w:val="en-US"/>
        </w:rPr>
        <w:t>i</w:t>
      </w:r>
      <w:r w:rsidRPr="0070575C">
        <w:rPr>
          <w:rFonts w:eastAsia="AdvTT94c8263f.I+03"/>
          <w:lang w:val="en-US"/>
        </w:rPr>
        <w:t>=0) and the alternative hypothesis is there is unit root for some countries data and none fort he rest (ρ</w:t>
      </w:r>
      <w:r w:rsidRPr="0070575C">
        <w:rPr>
          <w:rFonts w:eastAsia="AdvTT94c8263f.I+03"/>
          <w:vertAlign w:val="subscript"/>
          <w:lang w:val="en-US"/>
        </w:rPr>
        <w:t>i</w:t>
      </w:r>
      <w:r w:rsidRPr="0070575C">
        <w:rPr>
          <w:rFonts w:eastAsia="AdvTT94c8263f.I+03"/>
          <w:lang w:val="en-US"/>
        </w:rPr>
        <w:t xml:space="preserve"> &lt;0 for some i). According to </w:t>
      </w:r>
      <w:r>
        <w:rPr>
          <w:rFonts w:eastAsia="AdvTT94c8263f.I+03"/>
          <w:lang w:val="en-US"/>
        </w:rPr>
        <w:t xml:space="preserve">these hypothesis, unit root tests can be seen in Table 4. </w:t>
      </w:r>
    </w:p>
    <w:p w:rsidR="0070575C" w:rsidRPr="008F21B0" w:rsidRDefault="008F21B0" w:rsidP="00A9376A">
      <w:pPr>
        <w:autoSpaceDE w:val="0"/>
        <w:autoSpaceDN w:val="0"/>
        <w:adjustRightInd w:val="0"/>
        <w:jc w:val="both"/>
        <w:rPr>
          <w:lang w:val="en-US"/>
        </w:rPr>
      </w:pPr>
      <w:r>
        <w:rPr>
          <w:lang w:val="en-US"/>
        </w:rPr>
        <w:t xml:space="preserve">Both the </w:t>
      </w:r>
      <w:r w:rsidRPr="008F21B0">
        <w:rPr>
          <w:lang w:val="en-US"/>
        </w:rPr>
        <w:t xml:space="preserve">Levin, Lin </w:t>
      </w:r>
      <w:r>
        <w:rPr>
          <w:lang w:val="en-US"/>
        </w:rPr>
        <w:t xml:space="preserve">and Chu test and </w:t>
      </w:r>
      <w:r w:rsidRPr="008F21B0">
        <w:rPr>
          <w:lang w:val="en-US"/>
        </w:rPr>
        <w:t xml:space="preserve">Im, Pesaran </w:t>
      </w:r>
      <w:r>
        <w:rPr>
          <w:lang w:val="en-US"/>
        </w:rPr>
        <w:t>and</w:t>
      </w:r>
      <w:r w:rsidRPr="008F21B0">
        <w:rPr>
          <w:lang w:val="en-US"/>
        </w:rPr>
        <w:t xml:space="preserve"> Shin</w:t>
      </w:r>
      <w:r>
        <w:rPr>
          <w:lang w:val="en-US"/>
        </w:rPr>
        <w:t xml:space="preserve"> test all the variables are stationary at 5 % and 10 % level. Test results can be seen in Table 4.</w:t>
      </w:r>
    </w:p>
    <w:p w:rsidR="0070575C" w:rsidRDefault="0070575C" w:rsidP="00A9376A">
      <w:pPr>
        <w:autoSpaceDE w:val="0"/>
        <w:autoSpaceDN w:val="0"/>
        <w:adjustRightInd w:val="0"/>
        <w:jc w:val="both"/>
      </w:pPr>
    </w:p>
    <w:p w:rsidR="00CF43B1" w:rsidRDefault="00CF43B1" w:rsidP="00A9376A">
      <w:pPr>
        <w:ind w:firstLine="708"/>
        <w:jc w:val="both"/>
      </w:pPr>
      <w:r w:rsidRPr="00A9376A">
        <w:t xml:space="preserve">Table 4. Panel </w:t>
      </w:r>
      <w:r w:rsidR="008F21B0">
        <w:t>Unit Root Tests</w:t>
      </w:r>
      <w:r w:rsidRPr="00A9376A">
        <w:t xml:space="preserve"> </w:t>
      </w:r>
    </w:p>
    <w:p w:rsidR="005E666E" w:rsidRPr="00A9376A" w:rsidRDefault="005E666E" w:rsidP="00A9376A">
      <w:pPr>
        <w:ind w:firstLine="708"/>
        <w:jc w:val="both"/>
      </w:pP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4"/>
        <w:gridCol w:w="3133"/>
        <w:gridCol w:w="3133"/>
      </w:tblGrid>
      <w:tr w:rsidR="00CF43B1" w:rsidRPr="00A9376A">
        <w:trPr>
          <w:trHeight w:val="289"/>
          <w:jc w:val="center"/>
        </w:trPr>
        <w:tc>
          <w:tcPr>
            <w:tcW w:w="1434" w:type="dxa"/>
            <w:noWrap/>
          </w:tcPr>
          <w:p w:rsidR="00CF43B1" w:rsidRPr="00A9376A" w:rsidRDefault="00CF43B1" w:rsidP="00A9376A">
            <w:pPr>
              <w:jc w:val="both"/>
            </w:pPr>
            <w:bookmarkStart w:id="2" w:name="RANGE_C4"/>
            <w:bookmarkStart w:id="3" w:name="OLE_LINK1" w:colFirst="0" w:colLast="-1"/>
            <w:r w:rsidRPr="00A9376A">
              <w:t> </w:t>
            </w:r>
            <w:bookmarkEnd w:id="2"/>
          </w:p>
        </w:tc>
        <w:tc>
          <w:tcPr>
            <w:tcW w:w="3133" w:type="dxa"/>
            <w:noWrap/>
          </w:tcPr>
          <w:p w:rsidR="00CF43B1" w:rsidRPr="00A9376A" w:rsidRDefault="00CF43B1" w:rsidP="00445DCB">
            <w:pPr>
              <w:jc w:val="center"/>
              <w:rPr>
                <w:b/>
                <w:bCs/>
              </w:rPr>
            </w:pPr>
            <w:r w:rsidRPr="00A9376A">
              <w:rPr>
                <w:b/>
                <w:bCs/>
              </w:rPr>
              <w:t>LLC</w:t>
            </w:r>
          </w:p>
        </w:tc>
        <w:tc>
          <w:tcPr>
            <w:tcW w:w="3133" w:type="dxa"/>
            <w:noWrap/>
          </w:tcPr>
          <w:p w:rsidR="00CF43B1" w:rsidRPr="00A9376A" w:rsidRDefault="00CF43B1" w:rsidP="00445DCB">
            <w:pPr>
              <w:jc w:val="center"/>
              <w:rPr>
                <w:b/>
                <w:bCs/>
              </w:rPr>
            </w:pPr>
            <w:r w:rsidRPr="00A9376A">
              <w:rPr>
                <w:b/>
                <w:bCs/>
              </w:rPr>
              <w:t>IPS</w:t>
            </w:r>
          </w:p>
        </w:tc>
      </w:tr>
      <w:tr w:rsidR="00CF43B1" w:rsidRPr="00A9376A">
        <w:trPr>
          <w:trHeight w:val="371"/>
          <w:jc w:val="center"/>
        </w:trPr>
        <w:tc>
          <w:tcPr>
            <w:tcW w:w="1434" w:type="dxa"/>
            <w:noWrap/>
          </w:tcPr>
          <w:p w:rsidR="00CF43B1" w:rsidRPr="00A9376A" w:rsidRDefault="00CF43B1" w:rsidP="00A9376A">
            <w:pPr>
              <w:jc w:val="both"/>
            </w:pPr>
            <w:r w:rsidRPr="00A9376A">
              <w:t>R</w:t>
            </w:r>
          </w:p>
        </w:tc>
        <w:tc>
          <w:tcPr>
            <w:tcW w:w="3133" w:type="dxa"/>
            <w:noWrap/>
          </w:tcPr>
          <w:p w:rsidR="00CF43B1" w:rsidRPr="00A9376A" w:rsidRDefault="00CF43B1" w:rsidP="00A9376A">
            <w:pPr>
              <w:jc w:val="both"/>
            </w:pPr>
            <w:r w:rsidRPr="00A9376A">
              <w:t>-16.78[0.0000]</w:t>
            </w:r>
          </w:p>
        </w:tc>
        <w:tc>
          <w:tcPr>
            <w:tcW w:w="3133" w:type="dxa"/>
            <w:noWrap/>
          </w:tcPr>
          <w:p w:rsidR="00CF43B1" w:rsidRPr="00A9376A" w:rsidRDefault="00CF43B1" w:rsidP="00A9376A">
            <w:pPr>
              <w:jc w:val="both"/>
            </w:pPr>
            <w:r w:rsidRPr="00A9376A">
              <w:t>-15.57 [0.0000]</w:t>
            </w:r>
          </w:p>
        </w:tc>
      </w:tr>
      <w:tr w:rsidR="00CF43B1" w:rsidRPr="00A9376A">
        <w:trPr>
          <w:trHeight w:val="371"/>
          <w:jc w:val="center"/>
        </w:trPr>
        <w:tc>
          <w:tcPr>
            <w:tcW w:w="1434" w:type="dxa"/>
            <w:noWrap/>
          </w:tcPr>
          <w:p w:rsidR="00CF43B1" w:rsidRPr="00A9376A" w:rsidRDefault="00CF43B1" w:rsidP="00A9376A">
            <w:pPr>
              <w:jc w:val="both"/>
            </w:pPr>
            <w:r w:rsidRPr="00A9376A">
              <w:t>bal</w:t>
            </w:r>
          </w:p>
        </w:tc>
        <w:tc>
          <w:tcPr>
            <w:tcW w:w="3133" w:type="dxa"/>
            <w:noWrap/>
          </w:tcPr>
          <w:p w:rsidR="00CF43B1" w:rsidRPr="00A9376A" w:rsidRDefault="00CF43B1" w:rsidP="00A9376A">
            <w:pPr>
              <w:jc w:val="both"/>
            </w:pPr>
            <w:r w:rsidRPr="00A9376A">
              <w:t>-2.00 [0.0225]</w:t>
            </w:r>
          </w:p>
        </w:tc>
        <w:tc>
          <w:tcPr>
            <w:tcW w:w="3133" w:type="dxa"/>
            <w:noWrap/>
          </w:tcPr>
          <w:p w:rsidR="00CF43B1" w:rsidRPr="00A9376A" w:rsidRDefault="00CF43B1" w:rsidP="00A9376A">
            <w:pPr>
              <w:jc w:val="both"/>
            </w:pPr>
            <w:r w:rsidRPr="00A9376A">
              <w:t>-2.97 [0.0014]</w:t>
            </w:r>
          </w:p>
        </w:tc>
      </w:tr>
      <w:tr w:rsidR="00CF43B1" w:rsidRPr="00A9376A">
        <w:trPr>
          <w:trHeight w:val="371"/>
          <w:jc w:val="center"/>
        </w:trPr>
        <w:tc>
          <w:tcPr>
            <w:tcW w:w="1434" w:type="dxa"/>
            <w:noWrap/>
          </w:tcPr>
          <w:p w:rsidR="00CF43B1" w:rsidRPr="00A9376A" w:rsidRDefault="00CF43B1" w:rsidP="00A9376A">
            <w:pPr>
              <w:jc w:val="both"/>
            </w:pPr>
            <w:r w:rsidRPr="00A9376A">
              <w:t>credit</w:t>
            </w:r>
          </w:p>
        </w:tc>
        <w:tc>
          <w:tcPr>
            <w:tcW w:w="3133" w:type="dxa"/>
            <w:noWrap/>
          </w:tcPr>
          <w:p w:rsidR="00CF43B1" w:rsidRPr="00A9376A" w:rsidRDefault="00CF43B1" w:rsidP="00A9376A">
            <w:pPr>
              <w:jc w:val="both"/>
            </w:pPr>
            <w:r w:rsidRPr="00A9376A">
              <w:t>-2.95 [0.0016]</w:t>
            </w:r>
          </w:p>
        </w:tc>
        <w:tc>
          <w:tcPr>
            <w:tcW w:w="3133" w:type="dxa"/>
            <w:noWrap/>
          </w:tcPr>
          <w:p w:rsidR="00CF43B1" w:rsidRPr="00A9376A" w:rsidRDefault="00CF43B1" w:rsidP="00A9376A">
            <w:pPr>
              <w:jc w:val="both"/>
            </w:pPr>
            <w:r w:rsidRPr="00A9376A">
              <w:t>-1.22 [0.1099]</w:t>
            </w:r>
          </w:p>
        </w:tc>
      </w:tr>
      <w:tr w:rsidR="00CF43B1" w:rsidRPr="00A9376A">
        <w:trPr>
          <w:trHeight w:val="371"/>
          <w:jc w:val="center"/>
        </w:trPr>
        <w:tc>
          <w:tcPr>
            <w:tcW w:w="1434" w:type="dxa"/>
            <w:noWrap/>
          </w:tcPr>
          <w:p w:rsidR="00CF43B1" w:rsidRPr="00A9376A" w:rsidRDefault="00CF43B1" w:rsidP="00A9376A">
            <w:pPr>
              <w:jc w:val="both"/>
            </w:pPr>
            <w:r w:rsidRPr="00A9376A">
              <w:t>nplr</w:t>
            </w:r>
          </w:p>
        </w:tc>
        <w:tc>
          <w:tcPr>
            <w:tcW w:w="3133" w:type="dxa"/>
            <w:noWrap/>
          </w:tcPr>
          <w:p w:rsidR="00CF43B1" w:rsidRPr="00A9376A" w:rsidRDefault="00CF43B1" w:rsidP="00A9376A">
            <w:pPr>
              <w:jc w:val="both"/>
            </w:pPr>
            <w:r w:rsidRPr="00A9376A">
              <w:t>-1.31 [0.0948]</w:t>
            </w:r>
          </w:p>
        </w:tc>
        <w:tc>
          <w:tcPr>
            <w:tcW w:w="3133" w:type="dxa"/>
            <w:noWrap/>
          </w:tcPr>
          <w:p w:rsidR="00CF43B1" w:rsidRPr="00A9376A" w:rsidRDefault="00CF43B1" w:rsidP="00A9376A">
            <w:pPr>
              <w:jc w:val="both"/>
            </w:pPr>
            <w:r w:rsidRPr="00A9376A">
              <w:t>-4.03 [0.0000]</w:t>
            </w:r>
          </w:p>
        </w:tc>
      </w:tr>
      <w:tr w:rsidR="00CF43B1" w:rsidRPr="00A9376A">
        <w:trPr>
          <w:trHeight w:val="371"/>
          <w:jc w:val="center"/>
        </w:trPr>
        <w:tc>
          <w:tcPr>
            <w:tcW w:w="1434" w:type="dxa"/>
            <w:noWrap/>
          </w:tcPr>
          <w:p w:rsidR="00CF43B1" w:rsidRPr="00A9376A" w:rsidRDefault="00CF43B1" w:rsidP="00A9376A">
            <w:pPr>
              <w:jc w:val="both"/>
            </w:pPr>
            <w:r w:rsidRPr="00A9376A">
              <w:t>liq</w:t>
            </w:r>
          </w:p>
        </w:tc>
        <w:tc>
          <w:tcPr>
            <w:tcW w:w="3133" w:type="dxa"/>
            <w:noWrap/>
          </w:tcPr>
          <w:p w:rsidR="00CF43B1" w:rsidRPr="00A9376A" w:rsidRDefault="00CF43B1" w:rsidP="00A9376A">
            <w:pPr>
              <w:jc w:val="both"/>
              <w:rPr>
                <w:color w:val="000000"/>
              </w:rPr>
            </w:pPr>
            <w:r w:rsidRPr="00A9376A">
              <w:rPr>
                <w:color w:val="000000"/>
              </w:rPr>
              <w:t>-2.61 [0.0045]</w:t>
            </w:r>
          </w:p>
        </w:tc>
        <w:tc>
          <w:tcPr>
            <w:tcW w:w="3133" w:type="dxa"/>
            <w:noWrap/>
          </w:tcPr>
          <w:p w:rsidR="00CF43B1" w:rsidRPr="00A9376A" w:rsidRDefault="00CF43B1" w:rsidP="00A9376A">
            <w:pPr>
              <w:jc w:val="both"/>
            </w:pPr>
            <w:r w:rsidRPr="00A9376A">
              <w:t>-3.47 [0.0003]</w:t>
            </w:r>
          </w:p>
        </w:tc>
      </w:tr>
      <w:tr w:rsidR="00CF43B1" w:rsidRPr="00A9376A">
        <w:trPr>
          <w:trHeight w:val="371"/>
          <w:jc w:val="center"/>
        </w:trPr>
        <w:tc>
          <w:tcPr>
            <w:tcW w:w="1434" w:type="dxa"/>
            <w:noWrap/>
          </w:tcPr>
          <w:p w:rsidR="00CF43B1" w:rsidRPr="00A9376A" w:rsidRDefault="00CF43B1" w:rsidP="00A9376A">
            <w:pPr>
              <w:jc w:val="both"/>
            </w:pPr>
            <w:r w:rsidRPr="00A9376A">
              <w:t>prof</w:t>
            </w:r>
          </w:p>
        </w:tc>
        <w:tc>
          <w:tcPr>
            <w:tcW w:w="3133" w:type="dxa"/>
            <w:noWrap/>
          </w:tcPr>
          <w:p w:rsidR="00CF43B1" w:rsidRPr="00A9376A" w:rsidRDefault="00CF43B1" w:rsidP="00A9376A">
            <w:pPr>
              <w:jc w:val="both"/>
            </w:pPr>
            <w:r w:rsidRPr="00A9376A">
              <w:t>-9.52 [0.0000]</w:t>
            </w:r>
          </w:p>
        </w:tc>
        <w:tc>
          <w:tcPr>
            <w:tcW w:w="3133" w:type="dxa"/>
            <w:noWrap/>
          </w:tcPr>
          <w:p w:rsidR="00CF43B1" w:rsidRPr="00A9376A" w:rsidRDefault="00CF43B1" w:rsidP="00A9376A">
            <w:pPr>
              <w:jc w:val="both"/>
            </w:pPr>
            <w:r w:rsidRPr="00A9376A">
              <w:t>-9.01 [0.0000]</w:t>
            </w:r>
          </w:p>
        </w:tc>
      </w:tr>
      <w:tr w:rsidR="00CF43B1" w:rsidRPr="00A9376A">
        <w:trPr>
          <w:trHeight w:val="371"/>
          <w:jc w:val="center"/>
        </w:trPr>
        <w:tc>
          <w:tcPr>
            <w:tcW w:w="1434" w:type="dxa"/>
            <w:noWrap/>
          </w:tcPr>
          <w:p w:rsidR="00CF43B1" w:rsidRPr="00A9376A" w:rsidRDefault="00CF43B1" w:rsidP="00A9376A">
            <w:pPr>
              <w:jc w:val="both"/>
            </w:pPr>
            <w:r w:rsidRPr="00A9376A">
              <w:t>int</w:t>
            </w:r>
          </w:p>
        </w:tc>
        <w:tc>
          <w:tcPr>
            <w:tcW w:w="3133" w:type="dxa"/>
            <w:noWrap/>
          </w:tcPr>
          <w:p w:rsidR="00CF43B1" w:rsidRPr="00A9376A" w:rsidRDefault="00CF43B1" w:rsidP="00A9376A">
            <w:pPr>
              <w:jc w:val="both"/>
            </w:pPr>
            <w:r w:rsidRPr="00A9376A">
              <w:t>-3.61 [0.0000]</w:t>
            </w:r>
          </w:p>
        </w:tc>
        <w:tc>
          <w:tcPr>
            <w:tcW w:w="3133" w:type="dxa"/>
            <w:noWrap/>
          </w:tcPr>
          <w:p w:rsidR="00CF43B1" w:rsidRPr="00A9376A" w:rsidRDefault="00CF43B1" w:rsidP="00A9376A">
            <w:pPr>
              <w:jc w:val="both"/>
            </w:pPr>
            <w:r w:rsidRPr="00A9376A">
              <w:t>-2.81[0.0002]</w:t>
            </w:r>
          </w:p>
        </w:tc>
      </w:tr>
      <w:tr w:rsidR="00CF43B1" w:rsidRPr="008F21B0">
        <w:trPr>
          <w:trHeight w:val="371"/>
          <w:jc w:val="center"/>
        </w:trPr>
        <w:tc>
          <w:tcPr>
            <w:tcW w:w="7700" w:type="dxa"/>
            <w:gridSpan w:val="3"/>
            <w:noWrap/>
          </w:tcPr>
          <w:p w:rsidR="00CF43B1" w:rsidRPr="008F21B0" w:rsidRDefault="00CF43B1" w:rsidP="008F21B0">
            <w:pPr>
              <w:jc w:val="both"/>
              <w:rPr>
                <w:sz w:val="16"/>
                <w:szCs w:val="16"/>
                <w:lang w:val="en-US"/>
              </w:rPr>
            </w:pPr>
            <w:r w:rsidRPr="008F21B0">
              <w:rPr>
                <w:sz w:val="16"/>
                <w:szCs w:val="16"/>
                <w:lang w:val="en-US"/>
              </w:rPr>
              <w:t>p-</w:t>
            </w:r>
            <w:r w:rsidR="008F21B0" w:rsidRPr="008F21B0">
              <w:rPr>
                <w:sz w:val="16"/>
                <w:szCs w:val="16"/>
                <w:lang w:val="en-US"/>
              </w:rPr>
              <w:t>values are in parenthesis</w:t>
            </w:r>
            <w:r w:rsidRPr="008F21B0">
              <w:rPr>
                <w:sz w:val="16"/>
                <w:szCs w:val="16"/>
                <w:lang w:val="en-US"/>
              </w:rPr>
              <w:t xml:space="preserve">. Newey–West bandwidth selection with Bartlett kernel was used for the LLC test. </w:t>
            </w:r>
          </w:p>
        </w:tc>
      </w:tr>
      <w:bookmarkEnd w:id="3"/>
    </w:tbl>
    <w:p w:rsidR="00CF43B1" w:rsidRPr="00A9376A" w:rsidRDefault="00CF43B1" w:rsidP="00A9376A">
      <w:pPr>
        <w:jc w:val="both"/>
        <w:rPr>
          <w:b/>
          <w:bCs/>
          <w:lang w:val="en-US"/>
        </w:rPr>
      </w:pPr>
    </w:p>
    <w:p w:rsidR="005E666E" w:rsidRDefault="005E666E" w:rsidP="00A9376A">
      <w:pPr>
        <w:jc w:val="both"/>
        <w:rPr>
          <w:b/>
          <w:bCs/>
          <w:lang w:val="en-US"/>
        </w:rPr>
      </w:pPr>
    </w:p>
    <w:p w:rsidR="00CF43B1" w:rsidRPr="008F21B0" w:rsidRDefault="00CF43B1" w:rsidP="00A9376A">
      <w:pPr>
        <w:jc w:val="both"/>
        <w:rPr>
          <w:b/>
          <w:bCs/>
          <w:lang w:val="en-US"/>
        </w:rPr>
      </w:pPr>
      <w:r w:rsidRPr="008F21B0">
        <w:rPr>
          <w:b/>
          <w:bCs/>
          <w:lang w:val="en-US"/>
        </w:rPr>
        <w:lastRenderedPageBreak/>
        <w:t xml:space="preserve">4.2.2. Panel </w:t>
      </w:r>
      <w:r w:rsidR="008F21B0" w:rsidRPr="008F21B0">
        <w:rPr>
          <w:b/>
          <w:bCs/>
          <w:lang w:val="en-US"/>
        </w:rPr>
        <w:t xml:space="preserve">Regression </w:t>
      </w:r>
      <w:r w:rsidR="008F21B0">
        <w:rPr>
          <w:b/>
          <w:bCs/>
          <w:lang w:val="en-US"/>
        </w:rPr>
        <w:t>A</w:t>
      </w:r>
      <w:r w:rsidR="008F21B0" w:rsidRPr="008F21B0">
        <w:rPr>
          <w:b/>
          <w:bCs/>
          <w:lang w:val="en-US"/>
        </w:rPr>
        <w:t>nalysis</w:t>
      </w:r>
    </w:p>
    <w:p w:rsidR="008F21B0" w:rsidRPr="008F21B0" w:rsidRDefault="008F21B0" w:rsidP="00A9376A">
      <w:pPr>
        <w:jc w:val="both"/>
        <w:rPr>
          <w:b/>
          <w:bCs/>
          <w:lang w:val="en-US"/>
        </w:rPr>
      </w:pPr>
    </w:p>
    <w:p w:rsidR="008F21B0" w:rsidRPr="008F21B0" w:rsidRDefault="008F21B0" w:rsidP="00A9376A">
      <w:pPr>
        <w:jc w:val="both"/>
        <w:rPr>
          <w:bCs/>
          <w:lang w:val="en-US"/>
        </w:rPr>
      </w:pPr>
      <w:r w:rsidRPr="008F21B0">
        <w:rPr>
          <w:bCs/>
          <w:lang w:val="en-US"/>
        </w:rPr>
        <w:t xml:space="preserve">There </w:t>
      </w:r>
      <w:r>
        <w:rPr>
          <w:bCs/>
          <w:lang w:val="en-US"/>
        </w:rPr>
        <w:t xml:space="preserve">are mainly three methods: pooled least squares method, constant effects method and random effects method. </w:t>
      </w:r>
    </w:p>
    <w:p w:rsidR="00CF43B1" w:rsidRPr="000F662B" w:rsidRDefault="000F662B" w:rsidP="00A9376A">
      <w:pPr>
        <w:pStyle w:val="Default"/>
        <w:jc w:val="both"/>
        <w:rPr>
          <w:color w:val="auto"/>
          <w:lang w:val="en-US"/>
        </w:rPr>
      </w:pPr>
      <w:r w:rsidRPr="000F662B">
        <w:rPr>
          <w:bCs/>
          <w:color w:val="auto"/>
          <w:lang w:val="en-US"/>
        </w:rPr>
        <w:t>Some tests should be performed in order to</w:t>
      </w:r>
      <w:r w:rsidR="00D23F62">
        <w:rPr>
          <w:color w:val="auto"/>
          <w:lang w:val="en-US"/>
        </w:rPr>
        <w:t xml:space="preserve"> determine which model to select. </w:t>
      </w:r>
      <w:r w:rsidRPr="000F662B">
        <w:rPr>
          <w:color w:val="auto"/>
          <w:lang w:val="en-US"/>
        </w:rPr>
        <w:t xml:space="preserve"> </w:t>
      </w:r>
      <w:r w:rsidR="00D23F62">
        <w:rPr>
          <w:color w:val="auto"/>
          <w:lang w:val="en-US"/>
        </w:rPr>
        <w:t>The selection between pooled least squares method and constant effect model is m</w:t>
      </w:r>
      <w:r w:rsidR="00957657">
        <w:rPr>
          <w:color w:val="auto"/>
          <w:lang w:val="en-US"/>
        </w:rPr>
        <w:t>ade by F (Fisher Test), the selection between pooled least square and random effects model is made by LM (Lagrange Multiplayer) and Honda Tests, the selection between random effects model and constant effects model is made by Hausmann test. The selection of the tests can be summarized in Table 5.</w:t>
      </w:r>
    </w:p>
    <w:p w:rsidR="000F662B" w:rsidRDefault="000F662B" w:rsidP="00A9376A">
      <w:pPr>
        <w:jc w:val="both"/>
        <w:rPr>
          <w:lang w:val="en-US"/>
        </w:rPr>
      </w:pPr>
    </w:p>
    <w:p w:rsidR="00CF43B1" w:rsidRDefault="00BF18E1" w:rsidP="00A9376A">
      <w:pPr>
        <w:jc w:val="both"/>
        <w:rPr>
          <w:bCs/>
          <w:lang w:val="en-US"/>
        </w:rPr>
      </w:pPr>
      <w:r w:rsidRPr="00445DCB">
        <w:rPr>
          <w:bCs/>
          <w:lang w:val="en-US"/>
        </w:rPr>
        <w:tab/>
        <w:t>Table</w:t>
      </w:r>
      <w:r w:rsidR="00CF43B1" w:rsidRPr="00445DCB">
        <w:rPr>
          <w:bCs/>
          <w:lang w:val="en-US"/>
        </w:rPr>
        <w:t xml:space="preserve"> 5. </w:t>
      </w:r>
      <w:r w:rsidR="00E27B5D" w:rsidRPr="00445DCB">
        <w:rPr>
          <w:bCs/>
          <w:lang w:val="en-US"/>
        </w:rPr>
        <w:t>Specification Tests</w:t>
      </w:r>
    </w:p>
    <w:p w:rsidR="005E666E" w:rsidRPr="00445DCB" w:rsidRDefault="005E666E" w:rsidP="00A9376A">
      <w:pPr>
        <w:jc w:val="both"/>
        <w:rPr>
          <w:bCs/>
          <w:lang w:val="en-US"/>
        </w:rPr>
      </w:pPr>
    </w:p>
    <w:tbl>
      <w:tblPr>
        <w:tblW w:w="8131" w:type="dxa"/>
        <w:jc w:val="center"/>
        <w:tblInd w:w="2" w:type="dxa"/>
        <w:tblCellMar>
          <w:left w:w="70" w:type="dxa"/>
          <w:right w:w="70" w:type="dxa"/>
        </w:tblCellMar>
        <w:tblLook w:val="0000"/>
      </w:tblPr>
      <w:tblGrid>
        <w:gridCol w:w="2963"/>
        <w:gridCol w:w="1942"/>
        <w:gridCol w:w="1613"/>
        <w:gridCol w:w="1613"/>
      </w:tblGrid>
      <w:tr w:rsidR="00CF43B1" w:rsidRPr="00A9376A" w:rsidTr="005E666E">
        <w:trPr>
          <w:trHeight w:val="330"/>
          <w:jc w:val="center"/>
        </w:trPr>
        <w:tc>
          <w:tcPr>
            <w:tcW w:w="2963" w:type="dxa"/>
            <w:tcBorders>
              <w:top w:val="single" w:sz="4" w:space="0" w:color="auto"/>
              <w:left w:val="single" w:sz="4" w:space="0" w:color="auto"/>
              <w:bottom w:val="single" w:sz="4" w:space="0" w:color="auto"/>
              <w:right w:val="single" w:sz="4" w:space="0" w:color="auto"/>
            </w:tcBorders>
            <w:noWrap/>
            <w:vAlign w:val="bottom"/>
          </w:tcPr>
          <w:p w:rsidR="00CF43B1" w:rsidRPr="00A9376A" w:rsidRDefault="00CF43B1" w:rsidP="00A9376A">
            <w:pPr>
              <w:jc w:val="both"/>
              <w:rPr>
                <w:b/>
                <w:bCs/>
              </w:rPr>
            </w:pPr>
            <w:r w:rsidRPr="00A9376A">
              <w:rPr>
                <w:b/>
                <w:bCs/>
              </w:rPr>
              <w:t>Test</w:t>
            </w:r>
          </w:p>
        </w:tc>
        <w:tc>
          <w:tcPr>
            <w:tcW w:w="1942" w:type="dxa"/>
            <w:tcBorders>
              <w:top w:val="single" w:sz="4" w:space="0" w:color="auto"/>
              <w:left w:val="single" w:sz="4" w:space="0" w:color="auto"/>
              <w:bottom w:val="single" w:sz="4" w:space="0" w:color="auto"/>
              <w:right w:val="single" w:sz="4" w:space="0" w:color="auto"/>
            </w:tcBorders>
            <w:noWrap/>
            <w:vAlign w:val="bottom"/>
          </w:tcPr>
          <w:p w:rsidR="00CF43B1" w:rsidRPr="00A9376A" w:rsidRDefault="00CF43B1" w:rsidP="00A9376A">
            <w:pPr>
              <w:jc w:val="both"/>
              <w:rPr>
                <w:b/>
                <w:bCs/>
              </w:rPr>
            </w:pPr>
            <w:r w:rsidRPr="00A9376A">
              <w:rPr>
                <w:b/>
                <w:bCs/>
              </w:rPr>
              <w:t>Statistics</w:t>
            </w:r>
          </w:p>
        </w:tc>
        <w:tc>
          <w:tcPr>
            <w:tcW w:w="1613" w:type="dxa"/>
            <w:tcBorders>
              <w:top w:val="single" w:sz="4" w:space="0" w:color="auto"/>
              <w:left w:val="single" w:sz="4" w:space="0" w:color="auto"/>
              <w:bottom w:val="single" w:sz="4" w:space="0" w:color="auto"/>
              <w:right w:val="single" w:sz="4" w:space="0" w:color="auto"/>
            </w:tcBorders>
            <w:noWrap/>
            <w:vAlign w:val="bottom"/>
          </w:tcPr>
          <w:p w:rsidR="00CF43B1" w:rsidRPr="00A9376A" w:rsidRDefault="00CF43B1" w:rsidP="00A9376A">
            <w:pPr>
              <w:jc w:val="both"/>
              <w:rPr>
                <w:b/>
                <w:bCs/>
              </w:rPr>
            </w:pPr>
            <w:r w:rsidRPr="00A9376A">
              <w:rPr>
                <w:b/>
                <w:bCs/>
              </w:rPr>
              <w:t>P Value</w:t>
            </w:r>
          </w:p>
        </w:tc>
        <w:tc>
          <w:tcPr>
            <w:tcW w:w="1613" w:type="dxa"/>
            <w:tcBorders>
              <w:top w:val="single" w:sz="4" w:space="0" w:color="auto"/>
              <w:left w:val="single" w:sz="4" w:space="0" w:color="auto"/>
              <w:bottom w:val="single" w:sz="4" w:space="0" w:color="auto"/>
              <w:right w:val="single" w:sz="4" w:space="0" w:color="auto"/>
            </w:tcBorders>
          </w:tcPr>
          <w:p w:rsidR="00CF43B1" w:rsidRPr="00A9376A" w:rsidRDefault="00CF43B1" w:rsidP="00A9376A">
            <w:pPr>
              <w:jc w:val="both"/>
              <w:rPr>
                <w:b/>
                <w:bCs/>
              </w:rPr>
            </w:pPr>
          </w:p>
        </w:tc>
      </w:tr>
      <w:tr w:rsidR="00CF43B1" w:rsidRPr="00A9376A" w:rsidTr="005E666E">
        <w:trPr>
          <w:trHeight w:val="315"/>
          <w:jc w:val="center"/>
        </w:trPr>
        <w:tc>
          <w:tcPr>
            <w:tcW w:w="2963" w:type="dxa"/>
            <w:tcBorders>
              <w:top w:val="single" w:sz="4" w:space="0" w:color="auto"/>
              <w:left w:val="single" w:sz="8" w:space="0" w:color="auto"/>
              <w:bottom w:val="nil"/>
              <w:right w:val="nil"/>
            </w:tcBorders>
            <w:noWrap/>
            <w:vAlign w:val="bottom"/>
          </w:tcPr>
          <w:p w:rsidR="00CF43B1" w:rsidRPr="00A9376A" w:rsidRDefault="00CF43B1" w:rsidP="00A9376A">
            <w:pPr>
              <w:jc w:val="both"/>
              <w:rPr>
                <w:b/>
                <w:bCs/>
              </w:rPr>
            </w:pPr>
            <w:r w:rsidRPr="00A9376A">
              <w:rPr>
                <w:b/>
                <w:bCs/>
              </w:rPr>
              <w:t>F-Test</w:t>
            </w:r>
          </w:p>
        </w:tc>
        <w:tc>
          <w:tcPr>
            <w:tcW w:w="1942" w:type="dxa"/>
            <w:tcBorders>
              <w:top w:val="single" w:sz="4" w:space="0" w:color="auto"/>
              <w:left w:val="nil"/>
              <w:bottom w:val="nil"/>
              <w:right w:val="nil"/>
            </w:tcBorders>
            <w:noWrap/>
            <w:vAlign w:val="bottom"/>
          </w:tcPr>
          <w:p w:rsidR="00CF43B1" w:rsidRPr="00A9376A" w:rsidRDefault="00CF43B1" w:rsidP="00A9376A">
            <w:pPr>
              <w:jc w:val="both"/>
            </w:pPr>
            <w:r w:rsidRPr="00A9376A">
              <w:t> </w:t>
            </w:r>
          </w:p>
        </w:tc>
        <w:tc>
          <w:tcPr>
            <w:tcW w:w="1613" w:type="dxa"/>
            <w:tcBorders>
              <w:top w:val="single" w:sz="4" w:space="0" w:color="auto"/>
              <w:left w:val="nil"/>
              <w:bottom w:val="nil"/>
              <w:right w:val="single" w:sz="8" w:space="0" w:color="auto"/>
            </w:tcBorders>
            <w:noWrap/>
            <w:vAlign w:val="bottom"/>
          </w:tcPr>
          <w:p w:rsidR="00CF43B1" w:rsidRPr="00A9376A" w:rsidRDefault="00CF43B1" w:rsidP="00A9376A">
            <w:pPr>
              <w:jc w:val="both"/>
            </w:pPr>
            <w:r w:rsidRPr="00A9376A">
              <w:t> </w:t>
            </w:r>
          </w:p>
        </w:tc>
        <w:tc>
          <w:tcPr>
            <w:tcW w:w="1613" w:type="dxa"/>
            <w:tcBorders>
              <w:top w:val="single" w:sz="4" w:space="0" w:color="auto"/>
              <w:left w:val="nil"/>
              <w:bottom w:val="nil"/>
              <w:right w:val="single" w:sz="8" w:space="0" w:color="auto"/>
            </w:tcBorders>
          </w:tcPr>
          <w:p w:rsidR="00CF43B1" w:rsidRPr="00A9376A" w:rsidRDefault="00CF43B1" w:rsidP="00A9376A">
            <w:pPr>
              <w:jc w:val="both"/>
            </w:pPr>
          </w:p>
        </w:tc>
      </w:tr>
      <w:tr w:rsidR="00CF43B1" w:rsidRPr="00A9376A" w:rsidTr="00BF18E1">
        <w:trPr>
          <w:trHeight w:val="315"/>
          <w:jc w:val="center"/>
        </w:trPr>
        <w:tc>
          <w:tcPr>
            <w:tcW w:w="2963" w:type="dxa"/>
            <w:tcBorders>
              <w:top w:val="nil"/>
              <w:left w:val="single" w:sz="8" w:space="0" w:color="auto"/>
              <w:bottom w:val="nil"/>
              <w:right w:val="nil"/>
            </w:tcBorders>
            <w:noWrap/>
            <w:vAlign w:val="bottom"/>
          </w:tcPr>
          <w:p w:rsidR="00CF43B1" w:rsidRPr="00A9376A" w:rsidRDefault="00CF43B1" w:rsidP="00A9376A">
            <w:pPr>
              <w:jc w:val="both"/>
            </w:pPr>
            <w:r w:rsidRPr="00A9376A">
              <w:t>Group</w:t>
            </w:r>
          </w:p>
        </w:tc>
        <w:tc>
          <w:tcPr>
            <w:tcW w:w="1942" w:type="dxa"/>
            <w:tcBorders>
              <w:top w:val="nil"/>
              <w:left w:val="nil"/>
              <w:bottom w:val="nil"/>
              <w:right w:val="nil"/>
            </w:tcBorders>
            <w:noWrap/>
            <w:vAlign w:val="bottom"/>
          </w:tcPr>
          <w:p w:rsidR="00CF43B1" w:rsidRPr="00A9376A" w:rsidRDefault="00CF43B1" w:rsidP="00A9376A">
            <w:pPr>
              <w:jc w:val="both"/>
            </w:pPr>
            <w:r w:rsidRPr="00A9376A">
              <w:t>0.537</w:t>
            </w:r>
          </w:p>
        </w:tc>
        <w:tc>
          <w:tcPr>
            <w:tcW w:w="1613" w:type="dxa"/>
            <w:tcBorders>
              <w:top w:val="nil"/>
              <w:left w:val="nil"/>
              <w:bottom w:val="nil"/>
              <w:right w:val="single" w:sz="8" w:space="0" w:color="auto"/>
            </w:tcBorders>
            <w:noWrap/>
            <w:vAlign w:val="bottom"/>
          </w:tcPr>
          <w:p w:rsidR="00CF43B1" w:rsidRPr="00A9376A" w:rsidRDefault="00CF43B1" w:rsidP="00A9376A">
            <w:pPr>
              <w:jc w:val="both"/>
            </w:pPr>
            <w:r w:rsidRPr="00A9376A">
              <w:t>0.846</w:t>
            </w:r>
          </w:p>
        </w:tc>
        <w:tc>
          <w:tcPr>
            <w:tcW w:w="1613" w:type="dxa"/>
            <w:tcBorders>
              <w:top w:val="nil"/>
              <w:left w:val="nil"/>
              <w:bottom w:val="nil"/>
              <w:right w:val="single" w:sz="8" w:space="0" w:color="auto"/>
            </w:tcBorders>
            <w:vAlign w:val="bottom"/>
          </w:tcPr>
          <w:p w:rsidR="00CF43B1" w:rsidRPr="00A9376A" w:rsidRDefault="00CF43B1" w:rsidP="00A9376A">
            <w:pPr>
              <w:jc w:val="both"/>
            </w:pPr>
            <w:r w:rsidRPr="00A9376A">
              <w:t>H</w:t>
            </w:r>
            <w:r w:rsidRPr="00A9376A">
              <w:rPr>
                <w:vertAlign w:val="subscript"/>
              </w:rPr>
              <w:t>0</w:t>
            </w:r>
            <w:r w:rsidRPr="00A9376A">
              <w:t xml:space="preserve"> </w:t>
            </w:r>
            <w:r w:rsidR="00E27B5D">
              <w:t>Accept</w:t>
            </w:r>
          </w:p>
        </w:tc>
      </w:tr>
      <w:tr w:rsidR="00CF43B1" w:rsidRPr="00A9376A" w:rsidTr="00BF18E1">
        <w:trPr>
          <w:trHeight w:val="315"/>
          <w:jc w:val="center"/>
        </w:trPr>
        <w:tc>
          <w:tcPr>
            <w:tcW w:w="2963" w:type="dxa"/>
            <w:tcBorders>
              <w:top w:val="nil"/>
              <w:left w:val="single" w:sz="8" w:space="0" w:color="auto"/>
              <w:bottom w:val="nil"/>
              <w:right w:val="nil"/>
            </w:tcBorders>
            <w:noWrap/>
            <w:vAlign w:val="bottom"/>
          </w:tcPr>
          <w:p w:rsidR="00CF43B1" w:rsidRPr="00A9376A" w:rsidRDefault="00CF43B1" w:rsidP="00A9376A">
            <w:pPr>
              <w:jc w:val="both"/>
            </w:pPr>
            <w:r w:rsidRPr="00A9376A">
              <w:t>Time</w:t>
            </w:r>
          </w:p>
        </w:tc>
        <w:tc>
          <w:tcPr>
            <w:tcW w:w="1942" w:type="dxa"/>
            <w:tcBorders>
              <w:top w:val="nil"/>
              <w:left w:val="nil"/>
              <w:bottom w:val="nil"/>
              <w:right w:val="nil"/>
            </w:tcBorders>
            <w:noWrap/>
            <w:vAlign w:val="bottom"/>
          </w:tcPr>
          <w:p w:rsidR="00CF43B1" w:rsidRPr="00A9376A" w:rsidRDefault="00CF43B1" w:rsidP="00A9376A">
            <w:pPr>
              <w:jc w:val="both"/>
            </w:pPr>
            <w:r w:rsidRPr="00A9376A">
              <w:t>11.747</w:t>
            </w:r>
          </w:p>
        </w:tc>
        <w:tc>
          <w:tcPr>
            <w:tcW w:w="1613" w:type="dxa"/>
            <w:tcBorders>
              <w:top w:val="nil"/>
              <w:left w:val="nil"/>
              <w:bottom w:val="nil"/>
              <w:right w:val="single" w:sz="8" w:space="0" w:color="auto"/>
            </w:tcBorders>
            <w:noWrap/>
            <w:vAlign w:val="bottom"/>
          </w:tcPr>
          <w:p w:rsidR="00CF43B1" w:rsidRPr="00A9376A" w:rsidRDefault="00CF43B1" w:rsidP="00A9376A">
            <w:pPr>
              <w:jc w:val="both"/>
            </w:pPr>
            <w:r w:rsidRPr="00A9376A">
              <w:t>0.000</w:t>
            </w:r>
          </w:p>
        </w:tc>
        <w:tc>
          <w:tcPr>
            <w:tcW w:w="1613" w:type="dxa"/>
            <w:tcBorders>
              <w:top w:val="nil"/>
              <w:left w:val="nil"/>
              <w:bottom w:val="nil"/>
              <w:right w:val="single" w:sz="8" w:space="0" w:color="auto"/>
            </w:tcBorders>
            <w:vAlign w:val="bottom"/>
          </w:tcPr>
          <w:p w:rsidR="00CF43B1" w:rsidRPr="00A9376A" w:rsidRDefault="00CF43B1" w:rsidP="00A9376A">
            <w:pPr>
              <w:jc w:val="both"/>
            </w:pPr>
            <w:r w:rsidRPr="00A9376A">
              <w:t>H</w:t>
            </w:r>
            <w:r w:rsidRPr="00A9376A">
              <w:rPr>
                <w:vertAlign w:val="subscript"/>
              </w:rPr>
              <w:t xml:space="preserve">0 </w:t>
            </w:r>
            <w:r w:rsidR="00E27B5D">
              <w:t>Reject</w:t>
            </w:r>
          </w:p>
        </w:tc>
      </w:tr>
      <w:tr w:rsidR="00CF43B1" w:rsidRPr="00A9376A" w:rsidTr="00BF18E1">
        <w:trPr>
          <w:trHeight w:val="330"/>
          <w:jc w:val="center"/>
        </w:trPr>
        <w:tc>
          <w:tcPr>
            <w:tcW w:w="2963" w:type="dxa"/>
            <w:tcBorders>
              <w:top w:val="nil"/>
              <w:left w:val="single" w:sz="8" w:space="0" w:color="auto"/>
              <w:bottom w:val="single" w:sz="8" w:space="0" w:color="auto"/>
              <w:right w:val="nil"/>
            </w:tcBorders>
            <w:noWrap/>
            <w:vAlign w:val="bottom"/>
          </w:tcPr>
          <w:p w:rsidR="00CF43B1" w:rsidRPr="00A9376A" w:rsidRDefault="00CF43B1" w:rsidP="00A9376A">
            <w:pPr>
              <w:jc w:val="both"/>
            </w:pPr>
            <w:r w:rsidRPr="00A9376A">
              <w:t>Group and Time</w:t>
            </w:r>
          </w:p>
        </w:tc>
        <w:tc>
          <w:tcPr>
            <w:tcW w:w="1942" w:type="dxa"/>
            <w:tcBorders>
              <w:top w:val="nil"/>
              <w:left w:val="nil"/>
              <w:bottom w:val="single" w:sz="8" w:space="0" w:color="auto"/>
              <w:right w:val="nil"/>
            </w:tcBorders>
            <w:noWrap/>
            <w:vAlign w:val="bottom"/>
          </w:tcPr>
          <w:p w:rsidR="00CF43B1" w:rsidRPr="00A9376A" w:rsidRDefault="00CF43B1" w:rsidP="00A9376A">
            <w:pPr>
              <w:jc w:val="both"/>
            </w:pPr>
            <w:r w:rsidRPr="00A9376A">
              <w:t>9.943</w:t>
            </w:r>
          </w:p>
        </w:tc>
        <w:tc>
          <w:tcPr>
            <w:tcW w:w="1613" w:type="dxa"/>
            <w:tcBorders>
              <w:top w:val="nil"/>
              <w:left w:val="nil"/>
              <w:bottom w:val="single" w:sz="8" w:space="0" w:color="auto"/>
              <w:right w:val="single" w:sz="8" w:space="0" w:color="auto"/>
            </w:tcBorders>
            <w:noWrap/>
            <w:vAlign w:val="bottom"/>
          </w:tcPr>
          <w:p w:rsidR="00CF43B1" w:rsidRPr="00A9376A" w:rsidRDefault="00CF43B1" w:rsidP="00A9376A">
            <w:pPr>
              <w:jc w:val="both"/>
            </w:pPr>
            <w:r w:rsidRPr="00A9376A">
              <w:t>0.000</w:t>
            </w:r>
          </w:p>
        </w:tc>
        <w:tc>
          <w:tcPr>
            <w:tcW w:w="1613" w:type="dxa"/>
            <w:tcBorders>
              <w:top w:val="nil"/>
              <w:left w:val="nil"/>
              <w:bottom w:val="single" w:sz="8" w:space="0" w:color="auto"/>
              <w:right w:val="single" w:sz="8" w:space="0" w:color="auto"/>
            </w:tcBorders>
            <w:vAlign w:val="bottom"/>
          </w:tcPr>
          <w:p w:rsidR="00CF43B1" w:rsidRPr="00A9376A" w:rsidRDefault="00CF43B1" w:rsidP="00A9376A">
            <w:pPr>
              <w:jc w:val="both"/>
            </w:pPr>
            <w:r w:rsidRPr="00A9376A">
              <w:t>H</w:t>
            </w:r>
            <w:r w:rsidRPr="00A9376A">
              <w:rPr>
                <w:vertAlign w:val="subscript"/>
              </w:rPr>
              <w:t xml:space="preserve">0 </w:t>
            </w:r>
            <w:r w:rsidR="00E27B5D">
              <w:t>Reject</w:t>
            </w:r>
          </w:p>
        </w:tc>
      </w:tr>
      <w:tr w:rsidR="00CF43B1" w:rsidRPr="00A9376A" w:rsidTr="00BF18E1">
        <w:trPr>
          <w:trHeight w:val="315"/>
          <w:jc w:val="center"/>
        </w:trPr>
        <w:tc>
          <w:tcPr>
            <w:tcW w:w="2963" w:type="dxa"/>
            <w:tcBorders>
              <w:top w:val="nil"/>
              <w:left w:val="single" w:sz="8" w:space="0" w:color="auto"/>
              <w:bottom w:val="nil"/>
              <w:right w:val="nil"/>
            </w:tcBorders>
            <w:noWrap/>
            <w:vAlign w:val="bottom"/>
          </w:tcPr>
          <w:p w:rsidR="00CF43B1" w:rsidRPr="00A9376A" w:rsidRDefault="00CF43B1" w:rsidP="00A9376A">
            <w:pPr>
              <w:jc w:val="both"/>
              <w:rPr>
                <w:b/>
                <w:bCs/>
              </w:rPr>
            </w:pPr>
            <w:r w:rsidRPr="00A9376A">
              <w:rPr>
                <w:b/>
                <w:bCs/>
              </w:rPr>
              <w:t>LM Test</w:t>
            </w:r>
          </w:p>
        </w:tc>
        <w:tc>
          <w:tcPr>
            <w:tcW w:w="1942" w:type="dxa"/>
            <w:tcBorders>
              <w:top w:val="nil"/>
              <w:left w:val="nil"/>
              <w:bottom w:val="nil"/>
              <w:right w:val="nil"/>
            </w:tcBorders>
            <w:noWrap/>
            <w:vAlign w:val="bottom"/>
          </w:tcPr>
          <w:p w:rsidR="00CF43B1" w:rsidRPr="00A9376A" w:rsidRDefault="00CF43B1" w:rsidP="00A9376A">
            <w:pPr>
              <w:jc w:val="both"/>
            </w:pPr>
            <w:r w:rsidRPr="00A9376A">
              <w:t> </w:t>
            </w:r>
          </w:p>
        </w:tc>
        <w:tc>
          <w:tcPr>
            <w:tcW w:w="1613" w:type="dxa"/>
            <w:tcBorders>
              <w:top w:val="nil"/>
              <w:left w:val="nil"/>
              <w:bottom w:val="nil"/>
              <w:right w:val="single" w:sz="8" w:space="0" w:color="auto"/>
            </w:tcBorders>
            <w:noWrap/>
            <w:vAlign w:val="bottom"/>
          </w:tcPr>
          <w:p w:rsidR="00CF43B1" w:rsidRPr="00A9376A" w:rsidRDefault="00CF43B1" w:rsidP="00A9376A">
            <w:pPr>
              <w:jc w:val="both"/>
            </w:pPr>
            <w:r w:rsidRPr="00A9376A">
              <w:t> </w:t>
            </w:r>
          </w:p>
        </w:tc>
        <w:tc>
          <w:tcPr>
            <w:tcW w:w="1613" w:type="dxa"/>
            <w:tcBorders>
              <w:top w:val="nil"/>
              <w:left w:val="nil"/>
              <w:bottom w:val="nil"/>
              <w:right w:val="single" w:sz="8" w:space="0" w:color="auto"/>
            </w:tcBorders>
            <w:vAlign w:val="bottom"/>
          </w:tcPr>
          <w:p w:rsidR="00CF43B1" w:rsidRPr="00A9376A" w:rsidRDefault="00CF43B1" w:rsidP="00A9376A">
            <w:pPr>
              <w:jc w:val="both"/>
            </w:pPr>
          </w:p>
        </w:tc>
      </w:tr>
      <w:tr w:rsidR="00E27B5D" w:rsidRPr="00A9376A" w:rsidTr="00BF18E1">
        <w:trPr>
          <w:trHeight w:val="315"/>
          <w:jc w:val="center"/>
        </w:trPr>
        <w:tc>
          <w:tcPr>
            <w:tcW w:w="2963" w:type="dxa"/>
            <w:tcBorders>
              <w:top w:val="nil"/>
              <w:left w:val="single" w:sz="8" w:space="0" w:color="auto"/>
              <w:bottom w:val="nil"/>
              <w:right w:val="nil"/>
            </w:tcBorders>
            <w:noWrap/>
            <w:vAlign w:val="bottom"/>
          </w:tcPr>
          <w:p w:rsidR="00E27B5D" w:rsidRPr="00A9376A" w:rsidRDefault="00E27B5D" w:rsidP="00A9376A">
            <w:pPr>
              <w:jc w:val="both"/>
            </w:pPr>
            <w:r w:rsidRPr="00A9376A">
              <w:t>Group</w:t>
            </w:r>
          </w:p>
        </w:tc>
        <w:tc>
          <w:tcPr>
            <w:tcW w:w="1942" w:type="dxa"/>
            <w:tcBorders>
              <w:top w:val="nil"/>
              <w:left w:val="nil"/>
              <w:bottom w:val="nil"/>
              <w:right w:val="nil"/>
            </w:tcBorders>
            <w:noWrap/>
            <w:vAlign w:val="bottom"/>
          </w:tcPr>
          <w:p w:rsidR="00E27B5D" w:rsidRPr="00A9376A" w:rsidRDefault="00E27B5D" w:rsidP="00A9376A">
            <w:pPr>
              <w:jc w:val="both"/>
            </w:pPr>
            <w:r w:rsidRPr="00A9376A">
              <w:t>1.109</w:t>
            </w:r>
          </w:p>
        </w:tc>
        <w:tc>
          <w:tcPr>
            <w:tcW w:w="1613" w:type="dxa"/>
            <w:tcBorders>
              <w:top w:val="nil"/>
              <w:left w:val="nil"/>
              <w:bottom w:val="nil"/>
              <w:right w:val="single" w:sz="8" w:space="0" w:color="auto"/>
            </w:tcBorders>
            <w:noWrap/>
            <w:vAlign w:val="bottom"/>
          </w:tcPr>
          <w:p w:rsidR="00E27B5D" w:rsidRPr="00A9376A" w:rsidRDefault="00E27B5D" w:rsidP="00A9376A">
            <w:pPr>
              <w:jc w:val="both"/>
            </w:pPr>
            <w:r w:rsidRPr="00A9376A">
              <w:t>0.292</w:t>
            </w:r>
          </w:p>
        </w:tc>
        <w:tc>
          <w:tcPr>
            <w:tcW w:w="1613" w:type="dxa"/>
            <w:tcBorders>
              <w:top w:val="nil"/>
              <w:left w:val="nil"/>
              <w:bottom w:val="nil"/>
              <w:right w:val="single" w:sz="8" w:space="0" w:color="auto"/>
            </w:tcBorders>
            <w:vAlign w:val="bottom"/>
          </w:tcPr>
          <w:p w:rsidR="00E27B5D" w:rsidRPr="00A9376A" w:rsidRDefault="00E27B5D" w:rsidP="00B14DF5">
            <w:pPr>
              <w:jc w:val="both"/>
            </w:pPr>
            <w:r w:rsidRPr="00A9376A">
              <w:t>H</w:t>
            </w:r>
            <w:r w:rsidRPr="00A9376A">
              <w:rPr>
                <w:vertAlign w:val="subscript"/>
              </w:rPr>
              <w:t>0</w:t>
            </w:r>
            <w:r w:rsidRPr="00A9376A">
              <w:t xml:space="preserve"> </w:t>
            </w:r>
            <w:r>
              <w:t>Accept</w:t>
            </w:r>
          </w:p>
        </w:tc>
      </w:tr>
      <w:tr w:rsidR="00E27B5D" w:rsidRPr="00A9376A" w:rsidTr="00BF18E1">
        <w:trPr>
          <w:trHeight w:val="315"/>
          <w:jc w:val="center"/>
        </w:trPr>
        <w:tc>
          <w:tcPr>
            <w:tcW w:w="2963" w:type="dxa"/>
            <w:tcBorders>
              <w:top w:val="nil"/>
              <w:left w:val="single" w:sz="8" w:space="0" w:color="auto"/>
              <w:bottom w:val="nil"/>
              <w:right w:val="nil"/>
            </w:tcBorders>
            <w:noWrap/>
            <w:vAlign w:val="bottom"/>
          </w:tcPr>
          <w:p w:rsidR="00E27B5D" w:rsidRPr="00A9376A" w:rsidRDefault="00E27B5D" w:rsidP="00A9376A">
            <w:pPr>
              <w:jc w:val="both"/>
            </w:pPr>
            <w:r w:rsidRPr="00A9376A">
              <w:t>Time</w:t>
            </w:r>
          </w:p>
        </w:tc>
        <w:tc>
          <w:tcPr>
            <w:tcW w:w="1942" w:type="dxa"/>
            <w:tcBorders>
              <w:top w:val="nil"/>
              <w:left w:val="nil"/>
              <w:bottom w:val="nil"/>
              <w:right w:val="nil"/>
            </w:tcBorders>
            <w:noWrap/>
            <w:vAlign w:val="bottom"/>
          </w:tcPr>
          <w:p w:rsidR="00E27B5D" w:rsidRPr="00A9376A" w:rsidRDefault="00E27B5D" w:rsidP="00A9376A">
            <w:pPr>
              <w:jc w:val="both"/>
            </w:pPr>
            <w:r w:rsidRPr="00A9376A">
              <w:t>476.93</w:t>
            </w:r>
          </w:p>
        </w:tc>
        <w:tc>
          <w:tcPr>
            <w:tcW w:w="1613" w:type="dxa"/>
            <w:tcBorders>
              <w:top w:val="nil"/>
              <w:left w:val="nil"/>
              <w:bottom w:val="nil"/>
              <w:right w:val="single" w:sz="8" w:space="0" w:color="auto"/>
            </w:tcBorders>
            <w:noWrap/>
            <w:vAlign w:val="bottom"/>
          </w:tcPr>
          <w:p w:rsidR="00E27B5D" w:rsidRPr="00A9376A" w:rsidRDefault="00E27B5D" w:rsidP="00A9376A">
            <w:pPr>
              <w:jc w:val="both"/>
            </w:pPr>
            <w:r w:rsidRPr="00A9376A">
              <w:t>0.000</w:t>
            </w:r>
          </w:p>
        </w:tc>
        <w:tc>
          <w:tcPr>
            <w:tcW w:w="1613" w:type="dxa"/>
            <w:tcBorders>
              <w:top w:val="nil"/>
              <w:left w:val="nil"/>
              <w:bottom w:val="nil"/>
              <w:right w:val="single" w:sz="8" w:space="0" w:color="auto"/>
            </w:tcBorders>
            <w:vAlign w:val="bottom"/>
          </w:tcPr>
          <w:p w:rsidR="00E27B5D" w:rsidRPr="00A9376A" w:rsidRDefault="00E27B5D" w:rsidP="00B14DF5">
            <w:pPr>
              <w:jc w:val="both"/>
            </w:pPr>
            <w:r w:rsidRPr="00A9376A">
              <w:t>H</w:t>
            </w:r>
            <w:r w:rsidRPr="00A9376A">
              <w:rPr>
                <w:vertAlign w:val="subscript"/>
              </w:rPr>
              <w:t xml:space="preserve">0 </w:t>
            </w:r>
            <w:r>
              <w:t>Reject</w:t>
            </w:r>
          </w:p>
        </w:tc>
      </w:tr>
      <w:tr w:rsidR="00E27B5D" w:rsidRPr="00A9376A" w:rsidTr="00BF18E1">
        <w:trPr>
          <w:trHeight w:val="330"/>
          <w:jc w:val="center"/>
        </w:trPr>
        <w:tc>
          <w:tcPr>
            <w:tcW w:w="2963" w:type="dxa"/>
            <w:tcBorders>
              <w:top w:val="nil"/>
              <w:left w:val="single" w:sz="8" w:space="0" w:color="auto"/>
              <w:bottom w:val="single" w:sz="8" w:space="0" w:color="auto"/>
              <w:right w:val="nil"/>
            </w:tcBorders>
            <w:noWrap/>
            <w:vAlign w:val="bottom"/>
          </w:tcPr>
          <w:p w:rsidR="00E27B5D" w:rsidRPr="00A9376A" w:rsidRDefault="00E27B5D" w:rsidP="00A9376A">
            <w:pPr>
              <w:jc w:val="both"/>
            </w:pPr>
            <w:r w:rsidRPr="00A9376A">
              <w:t>Group and Time</w:t>
            </w:r>
          </w:p>
        </w:tc>
        <w:tc>
          <w:tcPr>
            <w:tcW w:w="1942" w:type="dxa"/>
            <w:tcBorders>
              <w:top w:val="nil"/>
              <w:left w:val="nil"/>
              <w:bottom w:val="single" w:sz="8" w:space="0" w:color="auto"/>
              <w:right w:val="nil"/>
            </w:tcBorders>
            <w:noWrap/>
            <w:vAlign w:val="bottom"/>
          </w:tcPr>
          <w:p w:rsidR="00E27B5D" w:rsidRPr="00A9376A" w:rsidRDefault="00E27B5D" w:rsidP="00A9376A">
            <w:pPr>
              <w:jc w:val="both"/>
            </w:pPr>
            <w:r w:rsidRPr="00A9376A">
              <w:t>478.04</w:t>
            </w:r>
          </w:p>
        </w:tc>
        <w:tc>
          <w:tcPr>
            <w:tcW w:w="1613" w:type="dxa"/>
            <w:tcBorders>
              <w:top w:val="nil"/>
              <w:left w:val="nil"/>
              <w:bottom w:val="single" w:sz="8" w:space="0" w:color="auto"/>
              <w:right w:val="single" w:sz="8" w:space="0" w:color="auto"/>
            </w:tcBorders>
            <w:noWrap/>
            <w:vAlign w:val="bottom"/>
          </w:tcPr>
          <w:p w:rsidR="00E27B5D" w:rsidRPr="00A9376A" w:rsidRDefault="00E27B5D" w:rsidP="00A9376A">
            <w:pPr>
              <w:jc w:val="both"/>
            </w:pPr>
            <w:r w:rsidRPr="00A9376A">
              <w:t>0.000</w:t>
            </w:r>
          </w:p>
        </w:tc>
        <w:tc>
          <w:tcPr>
            <w:tcW w:w="1613" w:type="dxa"/>
            <w:tcBorders>
              <w:top w:val="nil"/>
              <w:left w:val="nil"/>
              <w:bottom w:val="single" w:sz="8" w:space="0" w:color="auto"/>
              <w:right w:val="single" w:sz="8" w:space="0" w:color="auto"/>
            </w:tcBorders>
            <w:vAlign w:val="bottom"/>
          </w:tcPr>
          <w:p w:rsidR="00E27B5D" w:rsidRPr="00A9376A" w:rsidRDefault="00E27B5D" w:rsidP="00B14DF5">
            <w:pPr>
              <w:jc w:val="both"/>
            </w:pPr>
            <w:r w:rsidRPr="00A9376A">
              <w:t>H</w:t>
            </w:r>
            <w:r w:rsidRPr="00A9376A">
              <w:rPr>
                <w:vertAlign w:val="subscript"/>
              </w:rPr>
              <w:t xml:space="preserve">0 </w:t>
            </w:r>
            <w:r>
              <w:t>Reject</w:t>
            </w:r>
          </w:p>
        </w:tc>
      </w:tr>
      <w:tr w:rsidR="00CF43B1" w:rsidRPr="00A9376A" w:rsidTr="00BF18E1">
        <w:trPr>
          <w:trHeight w:val="315"/>
          <w:jc w:val="center"/>
        </w:trPr>
        <w:tc>
          <w:tcPr>
            <w:tcW w:w="2963" w:type="dxa"/>
            <w:tcBorders>
              <w:top w:val="nil"/>
              <w:left w:val="single" w:sz="8" w:space="0" w:color="auto"/>
              <w:bottom w:val="nil"/>
              <w:right w:val="nil"/>
            </w:tcBorders>
            <w:noWrap/>
            <w:vAlign w:val="bottom"/>
          </w:tcPr>
          <w:p w:rsidR="00CF43B1" w:rsidRPr="00A9376A" w:rsidRDefault="00CF43B1" w:rsidP="00A9376A">
            <w:pPr>
              <w:jc w:val="both"/>
              <w:rPr>
                <w:b/>
                <w:bCs/>
              </w:rPr>
            </w:pPr>
            <w:r w:rsidRPr="00A9376A">
              <w:rPr>
                <w:b/>
                <w:bCs/>
              </w:rPr>
              <w:t>Honda Test</w:t>
            </w:r>
          </w:p>
        </w:tc>
        <w:tc>
          <w:tcPr>
            <w:tcW w:w="1942" w:type="dxa"/>
            <w:tcBorders>
              <w:top w:val="nil"/>
              <w:left w:val="nil"/>
              <w:bottom w:val="nil"/>
              <w:right w:val="nil"/>
            </w:tcBorders>
            <w:noWrap/>
            <w:vAlign w:val="bottom"/>
          </w:tcPr>
          <w:p w:rsidR="00CF43B1" w:rsidRPr="00A9376A" w:rsidRDefault="00CF43B1" w:rsidP="00A9376A">
            <w:pPr>
              <w:jc w:val="both"/>
            </w:pPr>
            <w:r w:rsidRPr="00A9376A">
              <w:t> </w:t>
            </w:r>
          </w:p>
        </w:tc>
        <w:tc>
          <w:tcPr>
            <w:tcW w:w="1613" w:type="dxa"/>
            <w:tcBorders>
              <w:top w:val="nil"/>
              <w:left w:val="nil"/>
              <w:bottom w:val="nil"/>
              <w:right w:val="single" w:sz="8" w:space="0" w:color="auto"/>
            </w:tcBorders>
            <w:noWrap/>
            <w:vAlign w:val="bottom"/>
          </w:tcPr>
          <w:p w:rsidR="00CF43B1" w:rsidRPr="00A9376A" w:rsidRDefault="00CF43B1" w:rsidP="00A9376A">
            <w:pPr>
              <w:jc w:val="both"/>
            </w:pPr>
            <w:r w:rsidRPr="00A9376A">
              <w:t> </w:t>
            </w:r>
          </w:p>
        </w:tc>
        <w:tc>
          <w:tcPr>
            <w:tcW w:w="1613" w:type="dxa"/>
            <w:tcBorders>
              <w:top w:val="nil"/>
              <w:left w:val="nil"/>
              <w:bottom w:val="nil"/>
              <w:right w:val="single" w:sz="8" w:space="0" w:color="auto"/>
            </w:tcBorders>
            <w:vAlign w:val="bottom"/>
          </w:tcPr>
          <w:p w:rsidR="00CF43B1" w:rsidRPr="00A9376A" w:rsidRDefault="00CF43B1" w:rsidP="00A9376A">
            <w:pPr>
              <w:jc w:val="both"/>
            </w:pPr>
          </w:p>
        </w:tc>
      </w:tr>
      <w:tr w:rsidR="00E27B5D" w:rsidRPr="00A9376A" w:rsidTr="00BF18E1">
        <w:trPr>
          <w:trHeight w:val="315"/>
          <w:jc w:val="center"/>
        </w:trPr>
        <w:tc>
          <w:tcPr>
            <w:tcW w:w="2963" w:type="dxa"/>
            <w:tcBorders>
              <w:top w:val="nil"/>
              <w:left w:val="single" w:sz="8" w:space="0" w:color="auto"/>
              <w:bottom w:val="nil"/>
              <w:right w:val="nil"/>
            </w:tcBorders>
            <w:noWrap/>
            <w:vAlign w:val="bottom"/>
          </w:tcPr>
          <w:p w:rsidR="00E27B5D" w:rsidRPr="00A9376A" w:rsidRDefault="00E27B5D" w:rsidP="00A9376A">
            <w:pPr>
              <w:jc w:val="both"/>
            </w:pPr>
            <w:r w:rsidRPr="00A9376A">
              <w:t>Group</w:t>
            </w:r>
          </w:p>
        </w:tc>
        <w:tc>
          <w:tcPr>
            <w:tcW w:w="1942" w:type="dxa"/>
            <w:tcBorders>
              <w:top w:val="nil"/>
              <w:left w:val="nil"/>
              <w:bottom w:val="nil"/>
              <w:right w:val="nil"/>
            </w:tcBorders>
            <w:noWrap/>
            <w:vAlign w:val="bottom"/>
          </w:tcPr>
          <w:p w:rsidR="00E27B5D" w:rsidRPr="00A9376A" w:rsidRDefault="00E27B5D" w:rsidP="00A9376A">
            <w:pPr>
              <w:jc w:val="both"/>
            </w:pPr>
            <w:r w:rsidRPr="00A9376A">
              <w:t>-1.053</w:t>
            </w:r>
          </w:p>
        </w:tc>
        <w:tc>
          <w:tcPr>
            <w:tcW w:w="1613" w:type="dxa"/>
            <w:tcBorders>
              <w:top w:val="nil"/>
              <w:left w:val="nil"/>
              <w:bottom w:val="nil"/>
              <w:right w:val="single" w:sz="8" w:space="0" w:color="auto"/>
            </w:tcBorders>
            <w:noWrap/>
            <w:vAlign w:val="bottom"/>
          </w:tcPr>
          <w:p w:rsidR="00E27B5D" w:rsidRPr="00A9376A" w:rsidRDefault="00E27B5D" w:rsidP="00A9376A">
            <w:pPr>
              <w:jc w:val="both"/>
            </w:pPr>
            <w:r w:rsidRPr="00A9376A">
              <w:t>0.853</w:t>
            </w:r>
          </w:p>
        </w:tc>
        <w:tc>
          <w:tcPr>
            <w:tcW w:w="1613" w:type="dxa"/>
            <w:tcBorders>
              <w:top w:val="nil"/>
              <w:left w:val="nil"/>
              <w:bottom w:val="nil"/>
              <w:right w:val="single" w:sz="8" w:space="0" w:color="auto"/>
            </w:tcBorders>
            <w:vAlign w:val="bottom"/>
          </w:tcPr>
          <w:p w:rsidR="00E27B5D" w:rsidRPr="00A9376A" w:rsidRDefault="00E27B5D" w:rsidP="00B14DF5">
            <w:pPr>
              <w:jc w:val="both"/>
            </w:pPr>
            <w:r w:rsidRPr="00A9376A">
              <w:t>H</w:t>
            </w:r>
            <w:r w:rsidRPr="00A9376A">
              <w:rPr>
                <w:vertAlign w:val="subscript"/>
              </w:rPr>
              <w:t>0</w:t>
            </w:r>
            <w:r w:rsidRPr="00A9376A">
              <w:t xml:space="preserve"> </w:t>
            </w:r>
            <w:r>
              <w:t>Accept</w:t>
            </w:r>
          </w:p>
        </w:tc>
      </w:tr>
      <w:tr w:rsidR="00E27B5D" w:rsidRPr="00A9376A" w:rsidTr="00BF18E1">
        <w:trPr>
          <w:trHeight w:val="315"/>
          <w:jc w:val="center"/>
        </w:trPr>
        <w:tc>
          <w:tcPr>
            <w:tcW w:w="2963" w:type="dxa"/>
            <w:tcBorders>
              <w:top w:val="nil"/>
              <w:left w:val="single" w:sz="8" w:space="0" w:color="auto"/>
              <w:bottom w:val="nil"/>
              <w:right w:val="nil"/>
            </w:tcBorders>
            <w:noWrap/>
            <w:vAlign w:val="bottom"/>
          </w:tcPr>
          <w:p w:rsidR="00E27B5D" w:rsidRPr="00A9376A" w:rsidRDefault="00E27B5D" w:rsidP="00A9376A">
            <w:pPr>
              <w:jc w:val="both"/>
            </w:pPr>
            <w:r w:rsidRPr="00A9376A">
              <w:t>Time</w:t>
            </w:r>
          </w:p>
        </w:tc>
        <w:tc>
          <w:tcPr>
            <w:tcW w:w="1942" w:type="dxa"/>
            <w:tcBorders>
              <w:top w:val="nil"/>
              <w:left w:val="nil"/>
              <w:bottom w:val="nil"/>
              <w:right w:val="nil"/>
            </w:tcBorders>
            <w:noWrap/>
            <w:vAlign w:val="bottom"/>
          </w:tcPr>
          <w:p w:rsidR="00E27B5D" w:rsidRPr="00A9376A" w:rsidRDefault="00E27B5D" w:rsidP="00A9376A">
            <w:pPr>
              <w:jc w:val="both"/>
            </w:pPr>
            <w:r w:rsidRPr="00A9376A">
              <w:t>21.838</w:t>
            </w:r>
          </w:p>
        </w:tc>
        <w:tc>
          <w:tcPr>
            <w:tcW w:w="1613" w:type="dxa"/>
            <w:tcBorders>
              <w:top w:val="nil"/>
              <w:left w:val="nil"/>
              <w:bottom w:val="nil"/>
              <w:right w:val="single" w:sz="8" w:space="0" w:color="auto"/>
            </w:tcBorders>
            <w:noWrap/>
            <w:vAlign w:val="bottom"/>
          </w:tcPr>
          <w:p w:rsidR="00E27B5D" w:rsidRPr="00A9376A" w:rsidRDefault="00E27B5D" w:rsidP="00A9376A">
            <w:pPr>
              <w:jc w:val="both"/>
            </w:pPr>
            <w:r w:rsidRPr="00A9376A">
              <w:t>0.000</w:t>
            </w:r>
          </w:p>
        </w:tc>
        <w:tc>
          <w:tcPr>
            <w:tcW w:w="1613" w:type="dxa"/>
            <w:tcBorders>
              <w:top w:val="nil"/>
              <w:left w:val="nil"/>
              <w:bottom w:val="nil"/>
              <w:right w:val="single" w:sz="8" w:space="0" w:color="auto"/>
            </w:tcBorders>
            <w:vAlign w:val="bottom"/>
          </w:tcPr>
          <w:p w:rsidR="00E27B5D" w:rsidRPr="00A9376A" w:rsidRDefault="00E27B5D" w:rsidP="00B14DF5">
            <w:pPr>
              <w:jc w:val="both"/>
            </w:pPr>
            <w:r w:rsidRPr="00A9376A">
              <w:t>H</w:t>
            </w:r>
            <w:r w:rsidRPr="00A9376A">
              <w:rPr>
                <w:vertAlign w:val="subscript"/>
              </w:rPr>
              <w:t xml:space="preserve">0 </w:t>
            </w:r>
            <w:r>
              <w:t>Reject</w:t>
            </w:r>
          </w:p>
        </w:tc>
      </w:tr>
      <w:tr w:rsidR="00E27B5D" w:rsidRPr="00A9376A" w:rsidTr="00BF18E1">
        <w:trPr>
          <w:trHeight w:val="330"/>
          <w:jc w:val="center"/>
        </w:trPr>
        <w:tc>
          <w:tcPr>
            <w:tcW w:w="2963" w:type="dxa"/>
            <w:tcBorders>
              <w:top w:val="nil"/>
              <w:left w:val="single" w:sz="8" w:space="0" w:color="auto"/>
              <w:bottom w:val="single" w:sz="8" w:space="0" w:color="auto"/>
              <w:right w:val="nil"/>
            </w:tcBorders>
            <w:noWrap/>
            <w:vAlign w:val="bottom"/>
          </w:tcPr>
          <w:p w:rsidR="00E27B5D" w:rsidRPr="00A9376A" w:rsidRDefault="00E27B5D" w:rsidP="00A9376A">
            <w:pPr>
              <w:jc w:val="both"/>
            </w:pPr>
            <w:r w:rsidRPr="00A9376A">
              <w:t>Group and Time</w:t>
            </w:r>
          </w:p>
        </w:tc>
        <w:tc>
          <w:tcPr>
            <w:tcW w:w="1942" w:type="dxa"/>
            <w:tcBorders>
              <w:top w:val="nil"/>
              <w:left w:val="nil"/>
              <w:bottom w:val="single" w:sz="8" w:space="0" w:color="auto"/>
              <w:right w:val="nil"/>
            </w:tcBorders>
            <w:noWrap/>
            <w:vAlign w:val="bottom"/>
          </w:tcPr>
          <w:p w:rsidR="00E27B5D" w:rsidRPr="00A9376A" w:rsidRDefault="00E27B5D" w:rsidP="00A9376A">
            <w:pPr>
              <w:jc w:val="both"/>
            </w:pPr>
            <w:r w:rsidRPr="00A9376A">
              <w:t>14.697</w:t>
            </w:r>
          </w:p>
        </w:tc>
        <w:tc>
          <w:tcPr>
            <w:tcW w:w="1613" w:type="dxa"/>
            <w:tcBorders>
              <w:top w:val="nil"/>
              <w:left w:val="nil"/>
              <w:bottom w:val="single" w:sz="8" w:space="0" w:color="auto"/>
              <w:right w:val="single" w:sz="8" w:space="0" w:color="auto"/>
            </w:tcBorders>
            <w:noWrap/>
            <w:vAlign w:val="bottom"/>
          </w:tcPr>
          <w:p w:rsidR="00E27B5D" w:rsidRPr="00A9376A" w:rsidRDefault="00E27B5D" w:rsidP="00A9376A">
            <w:pPr>
              <w:jc w:val="both"/>
            </w:pPr>
            <w:r w:rsidRPr="00A9376A">
              <w:t>0.000</w:t>
            </w:r>
          </w:p>
        </w:tc>
        <w:tc>
          <w:tcPr>
            <w:tcW w:w="1613" w:type="dxa"/>
            <w:tcBorders>
              <w:top w:val="nil"/>
              <w:left w:val="nil"/>
              <w:bottom w:val="single" w:sz="8" w:space="0" w:color="auto"/>
              <w:right w:val="single" w:sz="8" w:space="0" w:color="auto"/>
            </w:tcBorders>
            <w:vAlign w:val="bottom"/>
          </w:tcPr>
          <w:p w:rsidR="00E27B5D" w:rsidRPr="00A9376A" w:rsidRDefault="00E27B5D" w:rsidP="00B14DF5">
            <w:pPr>
              <w:jc w:val="both"/>
            </w:pPr>
            <w:r w:rsidRPr="00A9376A">
              <w:t>H</w:t>
            </w:r>
            <w:r w:rsidRPr="00A9376A">
              <w:rPr>
                <w:vertAlign w:val="subscript"/>
              </w:rPr>
              <w:t xml:space="preserve">0 </w:t>
            </w:r>
            <w:r>
              <w:t>Reject</w:t>
            </w:r>
          </w:p>
        </w:tc>
      </w:tr>
      <w:tr w:rsidR="00CF43B1" w:rsidRPr="00A9376A" w:rsidTr="00BF18E1">
        <w:trPr>
          <w:trHeight w:val="330"/>
          <w:jc w:val="center"/>
        </w:trPr>
        <w:tc>
          <w:tcPr>
            <w:tcW w:w="2963" w:type="dxa"/>
            <w:tcBorders>
              <w:top w:val="nil"/>
              <w:left w:val="single" w:sz="8" w:space="0" w:color="auto"/>
              <w:bottom w:val="single" w:sz="8" w:space="0" w:color="auto"/>
              <w:right w:val="nil"/>
            </w:tcBorders>
            <w:noWrap/>
            <w:vAlign w:val="bottom"/>
          </w:tcPr>
          <w:p w:rsidR="00CF43B1" w:rsidRPr="00A9376A" w:rsidRDefault="00CF43B1" w:rsidP="00A9376A">
            <w:pPr>
              <w:jc w:val="both"/>
              <w:rPr>
                <w:b/>
                <w:bCs/>
              </w:rPr>
            </w:pPr>
            <w:r w:rsidRPr="00A9376A">
              <w:rPr>
                <w:b/>
                <w:bCs/>
              </w:rPr>
              <w:t>Hausman Test</w:t>
            </w:r>
          </w:p>
        </w:tc>
        <w:tc>
          <w:tcPr>
            <w:tcW w:w="1942" w:type="dxa"/>
            <w:tcBorders>
              <w:top w:val="nil"/>
              <w:left w:val="nil"/>
              <w:bottom w:val="single" w:sz="8" w:space="0" w:color="auto"/>
              <w:right w:val="nil"/>
            </w:tcBorders>
            <w:noWrap/>
            <w:vAlign w:val="bottom"/>
          </w:tcPr>
          <w:p w:rsidR="00CF43B1" w:rsidRPr="00A9376A" w:rsidRDefault="00CF43B1" w:rsidP="00A9376A">
            <w:pPr>
              <w:jc w:val="both"/>
            </w:pPr>
            <w:r w:rsidRPr="00A9376A">
              <w:t>6.328</w:t>
            </w:r>
          </w:p>
        </w:tc>
        <w:tc>
          <w:tcPr>
            <w:tcW w:w="1613" w:type="dxa"/>
            <w:tcBorders>
              <w:top w:val="nil"/>
              <w:left w:val="nil"/>
              <w:bottom w:val="single" w:sz="8" w:space="0" w:color="auto"/>
              <w:right w:val="single" w:sz="8" w:space="0" w:color="auto"/>
            </w:tcBorders>
            <w:noWrap/>
            <w:vAlign w:val="bottom"/>
          </w:tcPr>
          <w:p w:rsidR="00CF43B1" w:rsidRPr="00A9376A" w:rsidRDefault="00CF43B1" w:rsidP="00A9376A">
            <w:pPr>
              <w:jc w:val="both"/>
            </w:pPr>
            <w:r w:rsidRPr="00A9376A">
              <w:t>0.3874</w:t>
            </w:r>
          </w:p>
        </w:tc>
        <w:tc>
          <w:tcPr>
            <w:tcW w:w="1613" w:type="dxa"/>
            <w:tcBorders>
              <w:top w:val="nil"/>
              <w:left w:val="nil"/>
              <w:bottom w:val="single" w:sz="8" w:space="0" w:color="auto"/>
              <w:right w:val="single" w:sz="8" w:space="0" w:color="auto"/>
            </w:tcBorders>
            <w:vAlign w:val="bottom"/>
          </w:tcPr>
          <w:p w:rsidR="00CF43B1" w:rsidRPr="00A9376A" w:rsidRDefault="00CF43B1" w:rsidP="00A9376A">
            <w:pPr>
              <w:jc w:val="both"/>
            </w:pPr>
            <w:r w:rsidRPr="00A9376A">
              <w:t>H</w:t>
            </w:r>
            <w:r w:rsidRPr="00A9376A">
              <w:rPr>
                <w:vertAlign w:val="subscript"/>
              </w:rPr>
              <w:t xml:space="preserve">0 </w:t>
            </w:r>
            <w:r w:rsidR="00E27B5D">
              <w:t>Accept</w:t>
            </w:r>
          </w:p>
        </w:tc>
      </w:tr>
    </w:tbl>
    <w:p w:rsidR="00CF43B1" w:rsidRPr="00A9376A" w:rsidRDefault="00CF43B1" w:rsidP="00A9376A">
      <w:pPr>
        <w:jc w:val="both"/>
        <w:rPr>
          <w:b/>
          <w:bCs/>
          <w:lang w:val="en-US"/>
        </w:rPr>
      </w:pPr>
    </w:p>
    <w:p w:rsidR="00947F4C" w:rsidRDefault="00947F4C" w:rsidP="00A9376A">
      <w:pPr>
        <w:jc w:val="both"/>
        <w:rPr>
          <w:lang w:val="en-US"/>
        </w:rPr>
      </w:pPr>
      <w:r>
        <w:rPr>
          <w:lang w:val="en-US"/>
        </w:rPr>
        <w:t xml:space="preserve">When we </w:t>
      </w:r>
      <w:r w:rsidR="0023586A">
        <w:rPr>
          <w:lang w:val="en-US"/>
        </w:rPr>
        <w:t>analyze</w:t>
      </w:r>
      <w:r>
        <w:rPr>
          <w:lang w:val="en-US"/>
        </w:rPr>
        <w:t xml:space="preserve"> the table above, we conclude that random effect model </w:t>
      </w:r>
      <w:r w:rsidR="0023586A">
        <w:rPr>
          <w:lang w:val="en-US"/>
        </w:rPr>
        <w:t xml:space="preserve">should be used for further study. </w:t>
      </w:r>
      <w:r w:rsidR="008B167C">
        <w:rPr>
          <w:lang w:val="en-US"/>
        </w:rPr>
        <w:t>The last step for the model determination is the autocorrelation and heteroscedasticty te</w:t>
      </w:r>
      <w:r w:rsidR="00100100">
        <w:rPr>
          <w:lang w:val="en-US"/>
        </w:rPr>
        <w:t>s</w:t>
      </w:r>
      <w:r w:rsidR="008B167C">
        <w:rPr>
          <w:lang w:val="en-US"/>
        </w:rPr>
        <w:t xml:space="preserve">ts. </w:t>
      </w:r>
      <w:r w:rsidR="00100100">
        <w:rPr>
          <w:lang w:val="en-US"/>
        </w:rPr>
        <w:t>These tests can be seen in Table 6.</w:t>
      </w:r>
    </w:p>
    <w:p w:rsidR="00CF43B1" w:rsidRDefault="00CF43B1" w:rsidP="00A9376A">
      <w:pPr>
        <w:jc w:val="both"/>
        <w:rPr>
          <w:b/>
          <w:bCs/>
          <w:lang w:val="en-US"/>
        </w:rPr>
      </w:pPr>
    </w:p>
    <w:p w:rsidR="00CF43B1" w:rsidRPr="00445DCB" w:rsidRDefault="00BF18E1" w:rsidP="00A9376A">
      <w:pPr>
        <w:jc w:val="both"/>
        <w:rPr>
          <w:bCs/>
          <w:lang w:val="en-US"/>
        </w:rPr>
      </w:pPr>
      <w:r w:rsidRPr="00445DCB">
        <w:rPr>
          <w:bCs/>
          <w:lang w:val="en-US"/>
        </w:rPr>
        <w:tab/>
      </w:r>
      <w:r w:rsidR="00100100" w:rsidRPr="00445DCB">
        <w:rPr>
          <w:bCs/>
          <w:lang w:val="en-US"/>
        </w:rPr>
        <w:t>Table</w:t>
      </w:r>
      <w:r w:rsidR="00CF43B1" w:rsidRPr="00445DCB">
        <w:rPr>
          <w:bCs/>
          <w:lang w:val="en-US"/>
        </w:rPr>
        <w:t xml:space="preserve"> 6. </w:t>
      </w:r>
      <w:r w:rsidR="00100100" w:rsidRPr="00445DCB">
        <w:rPr>
          <w:lang w:val="en-US"/>
        </w:rPr>
        <w:t xml:space="preserve">Autocorrelation </w:t>
      </w:r>
      <w:r w:rsidR="00100100" w:rsidRPr="00445DCB">
        <w:rPr>
          <w:bCs/>
          <w:lang w:val="en-US"/>
        </w:rPr>
        <w:t>and H</w:t>
      </w:r>
      <w:r w:rsidR="00100100" w:rsidRPr="00445DCB">
        <w:rPr>
          <w:lang w:val="en-US"/>
        </w:rPr>
        <w:t xml:space="preserve">eteroscedasticty </w:t>
      </w:r>
      <w:r w:rsidR="00CF43B1" w:rsidRPr="00445DCB">
        <w:rPr>
          <w:bCs/>
          <w:lang w:val="en-US"/>
        </w:rPr>
        <w:t xml:space="preserve">Test </w:t>
      </w:r>
      <w:r w:rsidR="00100100" w:rsidRPr="00445DCB">
        <w:rPr>
          <w:bCs/>
          <w:lang w:val="en-US"/>
        </w:rPr>
        <w:t>Results</w:t>
      </w:r>
    </w:p>
    <w:p w:rsidR="00CF43B1" w:rsidRPr="00A9376A" w:rsidRDefault="00CF43B1" w:rsidP="00A9376A">
      <w:pPr>
        <w:jc w:val="both"/>
        <w:rPr>
          <w:b/>
          <w:bCs/>
          <w:lang w:val="en-US"/>
        </w:rPr>
      </w:pPr>
    </w:p>
    <w:tbl>
      <w:tblPr>
        <w:tblW w:w="7040" w:type="dxa"/>
        <w:jc w:val="center"/>
        <w:tblInd w:w="2" w:type="dxa"/>
        <w:tblCellMar>
          <w:left w:w="70" w:type="dxa"/>
          <w:right w:w="70" w:type="dxa"/>
        </w:tblCellMar>
        <w:tblLook w:val="0000"/>
      </w:tblPr>
      <w:tblGrid>
        <w:gridCol w:w="5140"/>
        <w:gridCol w:w="1020"/>
        <w:gridCol w:w="880"/>
      </w:tblGrid>
      <w:tr w:rsidR="00CF43B1" w:rsidRPr="00A9376A" w:rsidTr="00BF18E1">
        <w:trPr>
          <w:trHeight w:val="315"/>
          <w:jc w:val="center"/>
        </w:trPr>
        <w:tc>
          <w:tcPr>
            <w:tcW w:w="5140" w:type="dxa"/>
            <w:tcBorders>
              <w:top w:val="single" w:sz="8" w:space="0" w:color="auto"/>
              <w:left w:val="single" w:sz="8" w:space="0" w:color="auto"/>
              <w:bottom w:val="nil"/>
              <w:right w:val="nil"/>
            </w:tcBorders>
            <w:noWrap/>
            <w:vAlign w:val="bottom"/>
          </w:tcPr>
          <w:p w:rsidR="00CF43B1" w:rsidRPr="00A9376A" w:rsidRDefault="00CF43B1" w:rsidP="00A9376A">
            <w:pPr>
              <w:jc w:val="both"/>
              <w:rPr>
                <w:b/>
                <w:bCs/>
              </w:rPr>
            </w:pPr>
            <w:r w:rsidRPr="00A9376A">
              <w:rPr>
                <w:b/>
                <w:bCs/>
              </w:rPr>
              <w:t xml:space="preserve">Heteroscedasticty Tests </w:t>
            </w:r>
          </w:p>
        </w:tc>
        <w:tc>
          <w:tcPr>
            <w:tcW w:w="1020" w:type="dxa"/>
            <w:tcBorders>
              <w:top w:val="single" w:sz="8" w:space="0" w:color="auto"/>
              <w:left w:val="nil"/>
              <w:bottom w:val="nil"/>
              <w:right w:val="nil"/>
            </w:tcBorders>
            <w:noWrap/>
            <w:vAlign w:val="bottom"/>
          </w:tcPr>
          <w:p w:rsidR="00CF43B1" w:rsidRPr="00A9376A" w:rsidRDefault="00CF43B1" w:rsidP="00A9376A">
            <w:pPr>
              <w:jc w:val="both"/>
            </w:pPr>
            <w:r w:rsidRPr="00A9376A">
              <w:t> </w:t>
            </w:r>
          </w:p>
        </w:tc>
        <w:tc>
          <w:tcPr>
            <w:tcW w:w="880" w:type="dxa"/>
            <w:tcBorders>
              <w:top w:val="single" w:sz="8" w:space="0" w:color="auto"/>
              <w:left w:val="nil"/>
              <w:bottom w:val="nil"/>
              <w:right w:val="single" w:sz="8" w:space="0" w:color="auto"/>
            </w:tcBorders>
            <w:noWrap/>
            <w:vAlign w:val="bottom"/>
          </w:tcPr>
          <w:p w:rsidR="00CF43B1" w:rsidRPr="00A9376A" w:rsidRDefault="00CF43B1" w:rsidP="00A9376A">
            <w:pPr>
              <w:jc w:val="both"/>
            </w:pPr>
            <w:r w:rsidRPr="00A9376A">
              <w:t> </w:t>
            </w:r>
          </w:p>
        </w:tc>
      </w:tr>
      <w:tr w:rsidR="00CF43B1" w:rsidRPr="00A9376A" w:rsidTr="00BF18E1">
        <w:trPr>
          <w:trHeight w:val="315"/>
          <w:jc w:val="center"/>
        </w:trPr>
        <w:tc>
          <w:tcPr>
            <w:tcW w:w="5140" w:type="dxa"/>
            <w:tcBorders>
              <w:top w:val="nil"/>
              <w:left w:val="single" w:sz="8" w:space="0" w:color="auto"/>
              <w:bottom w:val="nil"/>
              <w:right w:val="nil"/>
            </w:tcBorders>
            <w:noWrap/>
            <w:vAlign w:val="bottom"/>
          </w:tcPr>
          <w:p w:rsidR="00CF43B1" w:rsidRPr="00A9376A" w:rsidRDefault="00CF43B1" w:rsidP="00A9376A">
            <w:pPr>
              <w:jc w:val="both"/>
            </w:pPr>
            <w:r w:rsidRPr="00A9376A">
              <w:t>LMh_random</w:t>
            </w:r>
          </w:p>
        </w:tc>
        <w:tc>
          <w:tcPr>
            <w:tcW w:w="1020" w:type="dxa"/>
            <w:tcBorders>
              <w:top w:val="nil"/>
              <w:left w:val="nil"/>
              <w:bottom w:val="nil"/>
              <w:right w:val="nil"/>
            </w:tcBorders>
            <w:noWrap/>
            <w:vAlign w:val="bottom"/>
          </w:tcPr>
          <w:p w:rsidR="00CF43B1" w:rsidRPr="00A9376A" w:rsidRDefault="00CF43B1" w:rsidP="00A9376A">
            <w:pPr>
              <w:jc w:val="both"/>
            </w:pPr>
            <w:r w:rsidRPr="00A9376A">
              <w:t>22.510</w:t>
            </w:r>
          </w:p>
        </w:tc>
        <w:tc>
          <w:tcPr>
            <w:tcW w:w="880" w:type="dxa"/>
            <w:tcBorders>
              <w:top w:val="nil"/>
              <w:left w:val="nil"/>
              <w:bottom w:val="nil"/>
              <w:right w:val="single" w:sz="8" w:space="0" w:color="auto"/>
            </w:tcBorders>
            <w:noWrap/>
            <w:vAlign w:val="bottom"/>
          </w:tcPr>
          <w:p w:rsidR="00CF43B1" w:rsidRPr="00A9376A" w:rsidRDefault="00CF43B1" w:rsidP="00A9376A">
            <w:pPr>
              <w:jc w:val="both"/>
            </w:pPr>
            <w:r w:rsidRPr="00A9376A">
              <w:t>0.0073</w:t>
            </w:r>
          </w:p>
        </w:tc>
      </w:tr>
      <w:tr w:rsidR="00CF43B1" w:rsidRPr="00A9376A" w:rsidTr="00BF18E1">
        <w:trPr>
          <w:trHeight w:val="330"/>
          <w:jc w:val="center"/>
        </w:trPr>
        <w:tc>
          <w:tcPr>
            <w:tcW w:w="5140" w:type="dxa"/>
            <w:tcBorders>
              <w:top w:val="nil"/>
              <w:left w:val="single" w:sz="8" w:space="0" w:color="auto"/>
              <w:bottom w:val="single" w:sz="8" w:space="0" w:color="auto"/>
              <w:right w:val="nil"/>
            </w:tcBorders>
            <w:noWrap/>
            <w:vAlign w:val="bottom"/>
          </w:tcPr>
          <w:p w:rsidR="00CF43B1" w:rsidRPr="00A9376A" w:rsidRDefault="00CF43B1" w:rsidP="00A9376A">
            <w:pPr>
              <w:jc w:val="both"/>
            </w:pPr>
            <w:r w:rsidRPr="00A9376A">
              <w:t>LMh_fixed</w:t>
            </w:r>
          </w:p>
        </w:tc>
        <w:tc>
          <w:tcPr>
            <w:tcW w:w="1020" w:type="dxa"/>
            <w:tcBorders>
              <w:top w:val="nil"/>
              <w:left w:val="nil"/>
              <w:bottom w:val="single" w:sz="8" w:space="0" w:color="auto"/>
              <w:right w:val="nil"/>
            </w:tcBorders>
            <w:noWrap/>
            <w:vAlign w:val="bottom"/>
          </w:tcPr>
          <w:p w:rsidR="00CF43B1" w:rsidRPr="00A9376A" w:rsidRDefault="00CF43B1" w:rsidP="00A9376A">
            <w:pPr>
              <w:jc w:val="both"/>
            </w:pPr>
            <w:r w:rsidRPr="00A9376A">
              <w:t>22.423</w:t>
            </w:r>
          </w:p>
        </w:tc>
        <w:tc>
          <w:tcPr>
            <w:tcW w:w="880" w:type="dxa"/>
            <w:tcBorders>
              <w:top w:val="nil"/>
              <w:left w:val="nil"/>
              <w:bottom w:val="single" w:sz="8" w:space="0" w:color="auto"/>
              <w:right w:val="single" w:sz="8" w:space="0" w:color="auto"/>
            </w:tcBorders>
            <w:noWrap/>
            <w:vAlign w:val="bottom"/>
          </w:tcPr>
          <w:p w:rsidR="00CF43B1" w:rsidRPr="00A9376A" w:rsidRDefault="00CF43B1" w:rsidP="00A9376A">
            <w:pPr>
              <w:jc w:val="both"/>
            </w:pPr>
            <w:r w:rsidRPr="00A9376A">
              <w:t>0.0076</w:t>
            </w:r>
          </w:p>
        </w:tc>
      </w:tr>
      <w:tr w:rsidR="00CF43B1" w:rsidRPr="00A9376A" w:rsidTr="00BF18E1">
        <w:trPr>
          <w:trHeight w:val="315"/>
          <w:jc w:val="center"/>
        </w:trPr>
        <w:tc>
          <w:tcPr>
            <w:tcW w:w="5140" w:type="dxa"/>
            <w:tcBorders>
              <w:top w:val="nil"/>
              <w:left w:val="single" w:sz="8" w:space="0" w:color="auto"/>
              <w:bottom w:val="nil"/>
              <w:right w:val="nil"/>
            </w:tcBorders>
            <w:noWrap/>
            <w:vAlign w:val="bottom"/>
          </w:tcPr>
          <w:p w:rsidR="00CF43B1" w:rsidRPr="00A9376A" w:rsidRDefault="00CF43B1" w:rsidP="00A9376A">
            <w:pPr>
              <w:jc w:val="both"/>
              <w:rPr>
                <w:b/>
                <w:bCs/>
              </w:rPr>
            </w:pPr>
            <w:r w:rsidRPr="00A9376A">
              <w:rPr>
                <w:b/>
                <w:bCs/>
              </w:rPr>
              <w:t>Autocorrelation Tests for Random Effects Model</w:t>
            </w:r>
          </w:p>
        </w:tc>
        <w:tc>
          <w:tcPr>
            <w:tcW w:w="1020" w:type="dxa"/>
            <w:tcBorders>
              <w:top w:val="nil"/>
              <w:left w:val="nil"/>
              <w:bottom w:val="nil"/>
              <w:right w:val="nil"/>
            </w:tcBorders>
            <w:noWrap/>
            <w:vAlign w:val="bottom"/>
          </w:tcPr>
          <w:p w:rsidR="00CF43B1" w:rsidRPr="00A9376A" w:rsidRDefault="00CF43B1" w:rsidP="00A9376A">
            <w:pPr>
              <w:jc w:val="both"/>
            </w:pPr>
            <w:r w:rsidRPr="00A9376A">
              <w:t> </w:t>
            </w:r>
          </w:p>
        </w:tc>
        <w:tc>
          <w:tcPr>
            <w:tcW w:w="880" w:type="dxa"/>
            <w:tcBorders>
              <w:top w:val="nil"/>
              <w:left w:val="nil"/>
              <w:bottom w:val="nil"/>
              <w:right w:val="single" w:sz="8" w:space="0" w:color="auto"/>
            </w:tcBorders>
            <w:noWrap/>
            <w:vAlign w:val="bottom"/>
          </w:tcPr>
          <w:p w:rsidR="00CF43B1" w:rsidRPr="00A9376A" w:rsidRDefault="00CF43B1" w:rsidP="00A9376A">
            <w:pPr>
              <w:jc w:val="both"/>
            </w:pPr>
            <w:r w:rsidRPr="00A9376A">
              <w:t> </w:t>
            </w:r>
          </w:p>
        </w:tc>
      </w:tr>
      <w:tr w:rsidR="00CF43B1" w:rsidRPr="00A9376A" w:rsidTr="00BF18E1">
        <w:trPr>
          <w:trHeight w:val="315"/>
          <w:jc w:val="center"/>
        </w:trPr>
        <w:tc>
          <w:tcPr>
            <w:tcW w:w="5140" w:type="dxa"/>
            <w:tcBorders>
              <w:top w:val="nil"/>
              <w:left w:val="single" w:sz="8" w:space="0" w:color="auto"/>
              <w:bottom w:val="nil"/>
              <w:right w:val="nil"/>
            </w:tcBorders>
            <w:noWrap/>
            <w:vAlign w:val="bottom"/>
          </w:tcPr>
          <w:p w:rsidR="00CF43B1" w:rsidRPr="00A9376A" w:rsidRDefault="00CF43B1" w:rsidP="00A9376A">
            <w:pPr>
              <w:jc w:val="both"/>
            </w:pPr>
            <w:r w:rsidRPr="00A9376A">
              <w:t>Lmmurho-stat</w:t>
            </w:r>
          </w:p>
        </w:tc>
        <w:tc>
          <w:tcPr>
            <w:tcW w:w="1020" w:type="dxa"/>
            <w:tcBorders>
              <w:top w:val="nil"/>
              <w:left w:val="nil"/>
              <w:bottom w:val="nil"/>
              <w:right w:val="nil"/>
            </w:tcBorders>
            <w:noWrap/>
            <w:vAlign w:val="bottom"/>
          </w:tcPr>
          <w:p w:rsidR="00CF43B1" w:rsidRPr="00A9376A" w:rsidRDefault="00CF43B1" w:rsidP="00A9376A">
            <w:pPr>
              <w:jc w:val="both"/>
            </w:pPr>
            <w:r w:rsidRPr="00A9376A">
              <w:t>1.460</w:t>
            </w:r>
          </w:p>
        </w:tc>
        <w:tc>
          <w:tcPr>
            <w:tcW w:w="880" w:type="dxa"/>
            <w:tcBorders>
              <w:top w:val="nil"/>
              <w:left w:val="nil"/>
              <w:bottom w:val="nil"/>
              <w:right w:val="single" w:sz="8" w:space="0" w:color="auto"/>
            </w:tcBorders>
            <w:noWrap/>
            <w:vAlign w:val="bottom"/>
          </w:tcPr>
          <w:p w:rsidR="00CF43B1" w:rsidRPr="00A9376A" w:rsidRDefault="00CF43B1" w:rsidP="00A9376A">
            <w:pPr>
              <w:jc w:val="both"/>
            </w:pPr>
            <w:r w:rsidRPr="00A9376A">
              <w:t>0.481</w:t>
            </w:r>
          </w:p>
        </w:tc>
      </w:tr>
      <w:tr w:rsidR="00CF43B1" w:rsidRPr="00A9376A" w:rsidTr="00BF18E1">
        <w:trPr>
          <w:trHeight w:val="315"/>
          <w:jc w:val="center"/>
        </w:trPr>
        <w:tc>
          <w:tcPr>
            <w:tcW w:w="5140" w:type="dxa"/>
            <w:tcBorders>
              <w:top w:val="nil"/>
              <w:left w:val="single" w:sz="8" w:space="0" w:color="auto"/>
              <w:bottom w:val="nil"/>
              <w:right w:val="nil"/>
            </w:tcBorders>
            <w:noWrap/>
            <w:vAlign w:val="bottom"/>
          </w:tcPr>
          <w:p w:rsidR="00CF43B1" w:rsidRPr="00A9376A" w:rsidRDefault="00CF43B1" w:rsidP="00A9376A">
            <w:pPr>
              <w:jc w:val="both"/>
            </w:pPr>
            <w:r w:rsidRPr="00A9376A">
              <w:t>LMmuIrho-stat</w:t>
            </w:r>
          </w:p>
        </w:tc>
        <w:tc>
          <w:tcPr>
            <w:tcW w:w="1020" w:type="dxa"/>
            <w:tcBorders>
              <w:top w:val="nil"/>
              <w:left w:val="nil"/>
              <w:bottom w:val="nil"/>
              <w:right w:val="nil"/>
            </w:tcBorders>
            <w:noWrap/>
            <w:vAlign w:val="bottom"/>
          </w:tcPr>
          <w:p w:rsidR="00CF43B1" w:rsidRPr="00A9376A" w:rsidRDefault="00CF43B1" w:rsidP="00A9376A">
            <w:pPr>
              <w:jc w:val="both"/>
            </w:pPr>
            <w:r w:rsidRPr="00A9376A">
              <w:t>0.811</w:t>
            </w:r>
          </w:p>
        </w:tc>
        <w:tc>
          <w:tcPr>
            <w:tcW w:w="880" w:type="dxa"/>
            <w:tcBorders>
              <w:top w:val="nil"/>
              <w:left w:val="nil"/>
              <w:bottom w:val="nil"/>
              <w:right w:val="single" w:sz="8" w:space="0" w:color="auto"/>
            </w:tcBorders>
            <w:noWrap/>
            <w:vAlign w:val="bottom"/>
          </w:tcPr>
          <w:p w:rsidR="00CF43B1" w:rsidRPr="00A9376A" w:rsidRDefault="00CF43B1" w:rsidP="00A9376A">
            <w:pPr>
              <w:jc w:val="both"/>
            </w:pPr>
            <w:r w:rsidRPr="00A9376A">
              <w:t>0.367</w:t>
            </w:r>
          </w:p>
        </w:tc>
      </w:tr>
      <w:tr w:rsidR="00CF43B1" w:rsidRPr="00A9376A" w:rsidTr="00BF18E1">
        <w:trPr>
          <w:trHeight w:val="330"/>
          <w:jc w:val="center"/>
        </w:trPr>
        <w:tc>
          <w:tcPr>
            <w:tcW w:w="5140" w:type="dxa"/>
            <w:tcBorders>
              <w:top w:val="nil"/>
              <w:left w:val="single" w:sz="8" w:space="0" w:color="auto"/>
              <w:bottom w:val="single" w:sz="8" w:space="0" w:color="auto"/>
              <w:right w:val="nil"/>
            </w:tcBorders>
            <w:noWrap/>
            <w:vAlign w:val="bottom"/>
          </w:tcPr>
          <w:p w:rsidR="00CF43B1" w:rsidRPr="00A9376A" w:rsidRDefault="00CF43B1" w:rsidP="00A9376A">
            <w:pPr>
              <w:jc w:val="both"/>
            </w:pPr>
            <w:r w:rsidRPr="00A9376A">
              <w:t>LMrhoImu-stat</w:t>
            </w:r>
          </w:p>
        </w:tc>
        <w:tc>
          <w:tcPr>
            <w:tcW w:w="1020" w:type="dxa"/>
            <w:tcBorders>
              <w:top w:val="nil"/>
              <w:left w:val="nil"/>
              <w:bottom w:val="single" w:sz="8" w:space="0" w:color="auto"/>
              <w:right w:val="nil"/>
            </w:tcBorders>
            <w:noWrap/>
            <w:vAlign w:val="bottom"/>
          </w:tcPr>
          <w:p w:rsidR="00CF43B1" w:rsidRPr="00A9376A" w:rsidRDefault="00CF43B1" w:rsidP="00A9376A">
            <w:pPr>
              <w:jc w:val="both"/>
            </w:pPr>
            <w:r w:rsidRPr="00A9376A">
              <w:t>0.350</w:t>
            </w:r>
          </w:p>
        </w:tc>
        <w:tc>
          <w:tcPr>
            <w:tcW w:w="880" w:type="dxa"/>
            <w:tcBorders>
              <w:top w:val="nil"/>
              <w:left w:val="nil"/>
              <w:bottom w:val="single" w:sz="8" w:space="0" w:color="auto"/>
              <w:right w:val="single" w:sz="8" w:space="0" w:color="auto"/>
            </w:tcBorders>
            <w:noWrap/>
            <w:vAlign w:val="bottom"/>
          </w:tcPr>
          <w:p w:rsidR="00CF43B1" w:rsidRPr="00A9376A" w:rsidRDefault="00CF43B1" w:rsidP="00A9376A">
            <w:pPr>
              <w:jc w:val="both"/>
            </w:pPr>
            <w:r w:rsidRPr="00A9376A">
              <w:t>0.553</w:t>
            </w:r>
          </w:p>
        </w:tc>
      </w:tr>
    </w:tbl>
    <w:p w:rsidR="00CF43B1" w:rsidRPr="007411DE" w:rsidRDefault="00CF43B1" w:rsidP="00A9376A">
      <w:pPr>
        <w:jc w:val="both"/>
        <w:rPr>
          <w:b/>
          <w:bCs/>
          <w:lang w:val="en-US"/>
        </w:rPr>
      </w:pPr>
    </w:p>
    <w:p w:rsidR="00A70202" w:rsidRDefault="00A70202" w:rsidP="00A9376A">
      <w:pPr>
        <w:jc w:val="both"/>
        <w:rPr>
          <w:lang w:val="en-US"/>
        </w:rPr>
      </w:pPr>
      <w:r w:rsidRPr="007411DE">
        <w:rPr>
          <w:lang w:val="en-US"/>
        </w:rPr>
        <w:t xml:space="preserve">When we look at table 6, we can see that there is no autocorrelation problem in </w:t>
      </w:r>
      <w:r w:rsidR="001628DA" w:rsidRPr="007411DE">
        <w:rPr>
          <w:lang w:val="en-US"/>
        </w:rPr>
        <w:t xml:space="preserve">the data but there is heteroscedasticty in the data. </w:t>
      </w:r>
      <w:r w:rsidR="00A20302" w:rsidRPr="007411DE">
        <w:rPr>
          <w:lang w:val="en-US"/>
        </w:rPr>
        <w:t xml:space="preserve">In order to fix this problem Panel corrected standart </w:t>
      </w:r>
      <w:r w:rsidR="00A20302" w:rsidRPr="007411DE">
        <w:rPr>
          <w:lang w:val="en-US"/>
        </w:rPr>
        <w:lastRenderedPageBreak/>
        <w:t>Errors are used for</w:t>
      </w:r>
      <w:r w:rsidR="007411DE">
        <w:rPr>
          <w:lang w:val="en-US"/>
        </w:rPr>
        <w:t xml:space="preserve"> t</w:t>
      </w:r>
      <w:r w:rsidR="00A20302" w:rsidRPr="007411DE">
        <w:rPr>
          <w:lang w:val="en-US"/>
        </w:rPr>
        <w:t>he model.</w:t>
      </w:r>
      <w:r w:rsidR="007411DE">
        <w:rPr>
          <w:lang w:val="en-US"/>
        </w:rPr>
        <w:t xml:space="preserve"> </w:t>
      </w:r>
      <w:r w:rsidR="007411DE" w:rsidRPr="009B34BF">
        <w:rPr>
          <w:lang w:val="en-US"/>
        </w:rPr>
        <w:t xml:space="preserve">The estimated model is </w:t>
      </w:r>
      <w:r w:rsidR="009B34BF" w:rsidRPr="009B34BF">
        <w:rPr>
          <w:lang w:val="en-US"/>
        </w:rPr>
        <w:t>heteroskedasticity corrected one-way random effects model</w:t>
      </w:r>
      <w:r w:rsidR="009B34BF">
        <w:rPr>
          <w:lang w:val="en-US"/>
        </w:rPr>
        <w:t>.</w:t>
      </w:r>
      <w:r w:rsidR="00BF18E1">
        <w:rPr>
          <w:lang w:val="en-US"/>
        </w:rPr>
        <w:t xml:space="preserve"> </w:t>
      </w:r>
      <w:r w:rsidR="00445DCB">
        <w:rPr>
          <w:lang w:val="en-US"/>
        </w:rPr>
        <w:t>A result of the model is</w:t>
      </w:r>
      <w:r w:rsidR="007411DE">
        <w:rPr>
          <w:lang w:val="en-US"/>
        </w:rPr>
        <w:t xml:space="preserve"> given in the following section.</w:t>
      </w:r>
    </w:p>
    <w:p w:rsidR="00A70202" w:rsidRDefault="00A70202" w:rsidP="00A9376A">
      <w:pPr>
        <w:jc w:val="both"/>
        <w:rPr>
          <w:lang w:val="en-US"/>
        </w:rPr>
      </w:pPr>
    </w:p>
    <w:p w:rsidR="00CF43B1" w:rsidRPr="00BF18E1" w:rsidRDefault="00CF43B1" w:rsidP="00A9376A">
      <w:pPr>
        <w:jc w:val="both"/>
        <w:rPr>
          <w:b/>
          <w:bCs/>
        </w:rPr>
      </w:pPr>
      <w:r w:rsidRPr="00BF18E1">
        <w:rPr>
          <w:b/>
          <w:bCs/>
        </w:rPr>
        <w:t>4</w:t>
      </w:r>
      <w:r w:rsidR="000F5DE2">
        <w:rPr>
          <w:b/>
          <w:bCs/>
          <w:lang w:val="en-US"/>
        </w:rPr>
        <w:t>.2.3</w:t>
      </w:r>
      <w:r w:rsidRPr="00BF18E1">
        <w:rPr>
          <w:b/>
          <w:bCs/>
          <w:lang w:val="en-US"/>
        </w:rPr>
        <w:t>.</w:t>
      </w:r>
      <w:r w:rsidRPr="00BF18E1">
        <w:rPr>
          <w:b/>
          <w:lang w:val="en-US"/>
        </w:rPr>
        <w:t xml:space="preserve"> </w:t>
      </w:r>
      <w:r w:rsidR="00BF18E1" w:rsidRPr="00BF18E1">
        <w:rPr>
          <w:b/>
          <w:lang w:val="en-US"/>
        </w:rPr>
        <w:t>E</w:t>
      </w:r>
      <w:r w:rsidR="007411DE" w:rsidRPr="00BF18E1">
        <w:rPr>
          <w:b/>
          <w:bCs/>
          <w:lang w:val="en-US"/>
        </w:rPr>
        <w:t>mpirical results</w:t>
      </w:r>
    </w:p>
    <w:p w:rsidR="007411DE" w:rsidRPr="00A9376A" w:rsidRDefault="007411DE" w:rsidP="00A9376A">
      <w:pPr>
        <w:jc w:val="both"/>
        <w:rPr>
          <w:b/>
          <w:bCs/>
        </w:rPr>
      </w:pPr>
    </w:p>
    <w:p w:rsidR="00293A36" w:rsidRDefault="00B347E7" w:rsidP="00A9376A">
      <w:pPr>
        <w:jc w:val="both"/>
        <w:rPr>
          <w:lang w:val="en-US"/>
        </w:rPr>
      </w:pPr>
      <w:r w:rsidRPr="009B34BF">
        <w:t xml:space="preserve">Results of </w:t>
      </w:r>
      <w:r w:rsidR="009B34BF" w:rsidRPr="009B34BF">
        <w:rPr>
          <w:lang w:val="en-US"/>
        </w:rPr>
        <w:t>model</w:t>
      </w:r>
      <w:r w:rsidRPr="009B34BF">
        <w:rPr>
          <w:lang w:val="en-US"/>
        </w:rPr>
        <w:t xml:space="preserve"> is estimated in this section and</w:t>
      </w:r>
      <w:r>
        <w:rPr>
          <w:lang w:val="en-US"/>
        </w:rPr>
        <w:t xml:space="preserve"> summarized in table 7.</w:t>
      </w:r>
    </w:p>
    <w:p w:rsidR="00CF43B1" w:rsidRPr="00A9376A" w:rsidRDefault="00CF43B1" w:rsidP="00A9376A">
      <w:pPr>
        <w:jc w:val="both"/>
        <w:rPr>
          <w:b/>
          <w:bCs/>
        </w:rPr>
      </w:pPr>
    </w:p>
    <w:p w:rsidR="00CF43B1" w:rsidRPr="00445DCB" w:rsidRDefault="00BF18E1" w:rsidP="00A9376A">
      <w:pPr>
        <w:jc w:val="both"/>
        <w:rPr>
          <w:bCs/>
        </w:rPr>
      </w:pPr>
      <w:r w:rsidRPr="00445DCB">
        <w:rPr>
          <w:bCs/>
        </w:rPr>
        <w:tab/>
      </w:r>
      <w:r w:rsidR="00B347E7" w:rsidRPr="00445DCB">
        <w:rPr>
          <w:bCs/>
        </w:rPr>
        <w:t>Table</w:t>
      </w:r>
      <w:r w:rsidR="00CF43B1" w:rsidRPr="00445DCB">
        <w:rPr>
          <w:bCs/>
        </w:rPr>
        <w:t xml:space="preserve"> 7. Panel </w:t>
      </w:r>
      <w:r w:rsidR="00B347E7" w:rsidRPr="00445DCB">
        <w:rPr>
          <w:bCs/>
        </w:rPr>
        <w:t>Regression Results</w:t>
      </w:r>
    </w:p>
    <w:p w:rsidR="00B347E7" w:rsidRPr="00A9376A" w:rsidRDefault="00B347E7" w:rsidP="00A9376A">
      <w:pPr>
        <w:jc w:val="both"/>
        <w:rPr>
          <w:b/>
          <w:bCs/>
        </w:rPr>
      </w:pPr>
    </w:p>
    <w:tbl>
      <w:tblPr>
        <w:tblW w:w="8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2093"/>
        <w:gridCol w:w="2474"/>
        <w:gridCol w:w="1523"/>
      </w:tblGrid>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Variable</w:t>
            </w:r>
          </w:p>
        </w:tc>
        <w:tc>
          <w:tcPr>
            <w:tcW w:w="2093" w:type="dxa"/>
            <w:noWrap/>
          </w:tcPr>
          <w:p w:rsidR="00CF43B1" w:rsidRPr="00173ABA" w:rsidRDefault="00CF43B1" w:rsidP="00173ABA">
            <w:pPr>
              <w:jc w:val="both"/>
              <w:rPr>
                <w:b/>
                <w:bCs/>
              </w:rPr>
            </w:pPr>
            <w:r w:rsidRPr="00173ABA">
              <w:rPr>
                <w:b/>
                <w:bCs/>
              </w:rPr>
              <w:t>Coeff.</w:t>
            </w:r>
          </w:p>
        </w:tc>
        <w:tc>
          <w:tcPr>
            <w:tcW w:w="2474" w:type="dxa"/>
            <w:noWrap/>
          </w:tcPr>
          <w:p w:rsidR="00CF43B1" w:rsidRPr="00173ABA" w:rsidRDefault="00CF43B1" w:rsidP="00173ABA">
            <w:pPr>
              <w:jc w:val="both"/>
              <w:rPr>
                <w:b/>
                <w:bCs/>
              </w:rPr>
            </w:pPr>
            <w:r w:rsidRPr="00173ABA">
              <w:rPr>
                <w:b/>
                <w:bCs/>
              </w:rPr>
              <w:t>Statistics</w:t>
            </w:r>
          </w:p>
        </w:tc>
        <w:tc>
          <w:tcPr>
            <w:tcW w:w="1522" w:type="dxa"/>
            <w:noWrap/>
          </w:tcPr>
          <w:p w:rsidR="00CF43B1" w:rsidRPr="00173ABA" w:rsidRDefault="00CF43B1" w:rsidP="00173ABA">
            <w:pPr>
              <w:jc w:val="both"/>
              <w:rPr>
                <w:b/>
                <w:bCs/>
              </w:rPr>
            </w:pPr>
            <w:r w:rsidRPr="00173ABA">
              <w:rPr>
                <w:b/>
                <w:bCs/>
              </w:rPr>
              <w:t>Prob.</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BAL</w:t>
            </w:r>
          </w:p>
        </w:tc>
        <w:tc>
          <w:tcPr>
            <w:tcW w:w="2093" w:type="dxa"/>
            <w:noWrap/>
          </w:tcPr>
          <w:p w:rsidR="00CF43B1" w:rsidRPr="00A9376A" w:rsidRDefault="00CF43B1" w:rsidP="00173ABA">
            <w:pPr>
              <w:jc w:val="both"/>
            </w:pPr>
            <w:r w:rsidRPr="00A9376A">
              <w:t>0.043726</w:t>
            </w:r>
          </w:p>
        </w:tc>
        <w:tc>
          <w:tcPr>
            <w:tcW w:w="2474" w:type="dxa"/>
            <w:noWrap/>
          </w:tcPr>
          <w:p w:rsidR="00CF43B1" w:rsidRPr="00A9376A" w:rsidRDefault="00CF43B1" w:rsidP="00173ABA">
            <w:pPr>
              <w:jc w:val="both"/>
            </w:pPr>
            <w:r w:rsidRPr="00A9376A">
              <w:t>2.751.616</w:t>
            </w:r>
          </w:p>
        </w:tc>
        <w:tc>
          <w:tcPr>
            <w:tcW w:w="1522" w:type="dxa"/>
            <w:noWrap/>
          </w:tcPr>
          <w:p w:rsidR="00CF43B1" w:rsidRPr="00A9376A" w:rsidRDefault="00CF43B1" w:rsidP="00173ABA">
            <w:pPr>
              <w:jc w:val="both"/>
            </w:pPr>
            <w:r w:rsidRPr="00A9376A">
              <w:t>0.0062</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CREDIT</w:t>
            </w:r>
          </w:p>
        </w:tc>
        <w:tc>
          <w:tcPr>
            <w:tcW w:w="2093" w:type="dxa"/>
            <w:noWrap/>
          </w:tcPr>
          <w:p w:rsidR="00CF43B1" w:rsidRPr="00A9376A" w:rsidRDefault="00CF43B1" w:rsidP="00173ABA">
            <w:pPr>
              <w:jc w:val="both"/>
            </w:pPr>
            <w:r w:rsidRPr="00A9376A">
              <w:t>-0.133543</w:t>
            </w:r>
          </w:p>
        </w:tc>
        <w:tc>
          <w:tcPr>
            <w:tcW w:w="2474" w:type="dxa"/>
            <w:noWrap/>
          </w:tcPr>
          <w:p w:rsidR="00CF43B1" w:rsidRPr="00A9376A" w:rsidRDefault="00CF43B1" w:rsidP="00173ABA">
            <w:pPr>
              <w:jc w:val="both"/>
            </w:pPr>
            <w:r w:rsidRPr="00A9376A">
              <w:t>-3.878.867</w:t>
            </w:r>
          </w:p>
        </w:tc>
        <w:tc>
          <w:tcPr>
            <w:tcW w:w="1522" w:type="dxa"/>
            <w:noWrap/>
          </w:tcPr>
          <w:p w:rsidR="00CF43B1" w:rsidRPr="00A9376A" w:rsidRDefault="00CF43B1" w:rsidP="00173ABA">
            <w:pPr>
              <w:jc w:val="both"/>
            </w:pPr>
            <w:r w:rsidRPr="00A9376A">
              <w:t>0.0001</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INT</w:t>
            </w:r>
          </w:p>
        </w:tc>
        <w:tc>
          <w:tcPr>
            <w:tcW w:w="2093" w:type="dxa"/>
            <w:noWrap/>
          </w:tcPr>
          <w:p w:rsidR="00CF43B1" w:rsidRPr="00A9376A" w:rsidRDefault="00CF43B1" w:rsidP="00173ABA">
            <w:pPr>
              <w:jc w:val="both"/>
            </w:pPr>
            <w:r w:rsidRPr="00A9376A">
              <w:t>0.768886</w:t>
            </w:r>
          </w:p>
        </w:tc>
        <w:tc>
          <w:tcPr>
            <w:tcW w:w="2474" w:type="dxa"/>
            <w:noWrap/>
          </w:tcPr>
          <w:p w:rsidR="00CF43B1" w:rsidRPr="00A9376A" w:rsidRDefault="00CF43B1" w:rsidP="00173ABA">
            <w:pPr>
              <w:jc w:val="both"/>
            </w:pPr>
            <w:r w:rsidRPr="00A9376A">
              <w:t>3.451.229</w:t>
            </w:r>
          </w:p>
        </w:tc>
        <w:tc>
          <w:tcPr>
            <w:tcW w:w="1522" w:type="dxa"/>
            <w:noWrap/>
          </w:tcPr>
          <w:p w:rsidR="00CF43B1" w:rsidRPr="00A9376A" w:rsidRDefault="00CF43B1" w:rsidP="00173ABA">
            <w:pPr>
              <w:jc w:val="both"/>
            </w:pPr>
            <w:r w:rsidRPr="00A9376A">
              <w:t>0.0006</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LIQ</w:t>
            </w:r>
          </w:p>
        </w:tc>
        <w:tc>
          <w:tcPr>
            <w:tcW w:w="2093" w:type="dxa"/>
            <w:noWrap/>
          </w:tcPr>
          <w:p w:rsidR="00CF43B1" w:rsidRPr="00A9376A" w:rsidRDefault="00CF43B1" w:rsidP="00173ABA">
            <w:pPr>
              <w:jc w:val="both"/>
            </w:pPr>
            <w:r w:rsidRPr="00A9376A">
              <w:t>-0.084556</w:t>
            </w:r>
          </w:p>
        </w:tc>
        <w:tc>
          <w:tcPr>
            <w:tcW w:w="2474" w:type="dxa"/>
            <w:noWrap/>
          </w:tcPr>
          <w:p w:rsidR="00CF43B1" w:rsidRPr="00A9376A" w:rsidRDefault="00CF43B1" w:rsidP="00173ABA">
            <w:pPr>
              <w:jc w:val="both"/>
            </w:pPr>
            <w:r w:rsidRPr="00A9376A">
              <w:t>-2.214.906</w:t>
            </w:r>
          </w:p>
        </w:tc>
        <w:tc>
          <w:tcPr>
            <w:tcW w:w="1522" w:type="dxa"/>
            <w:noWrap/>
          </w:tcPr>
          <w:p w:rsidR="00CF43B1" w:rsidRPr="00A9376A" w:rsidRDefault="00CF43B1" w:rsidP="00173ABA">
            <w:pPr>
              <w:jc w:val="both"/>
            </w:pPr>
            <w:r w:rsidRPr="00A9376A">
              <w:t>0.0273</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NPLR</w:t>
            </w:r>
          </w:p>
        </w:tc>
        <w:tc>
          <w:tcPr>
            <w:tcW w:w="2093" w:type="dxa"/>
            <w:noWrap/>
          </w:tcPr>
          <w:p w:rsidR="00CF43B1" w:rsidRPr="00A9376A" w:rsidRDefault="00CF43B1" w:rsidP="00173ABA">
            <w:pPr>
              <w:jc w:val="both"/>
            </w:pPr>
            <w:r w:rsidRPr="00A9376A">
              <w:t>0.262091</w:t>
            </w:r>
          </w:p>
        </w:tc>
        <w:tc>
          <w:tcPr>
            <w:tcW w:w="2474" w:type="dxa"/>
            <w:noWrap/>
          </w:tcPr>
          <w:p w:rsidR="00CF43B1" w:rsidRPr="00A9376A" w:rsidRDefault="00CF43B1" w:rsidP="00173ABA">
            <w:pPr>
              <w:jc w:val="both"/>
            </w:pPr>
            <w:r w:rsidRPr="00A9376A">
              <w:t>2.313.341</w:t>
            </w:r>
          </w:p>
        </w:tc>
        <w:tc>
          <w:tcPr>
            <w:tcW w:w="1522" w:type="dxa"/>
            <w:noWrap/>
          </w:tcPr>
          <w:p w:rsidR="00CF43B1" w:rsidRPr="00A9376A" w:rsidRDefault="00CF43B1" w:rsidP="00173ABA">
            <w:pPr>
              <w:jc w:val="both"/>
            </w:pPr>
            <w:r w:rsidRPr="00A9376A">
              <w:t>0.0212</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PROF</w:t>
            </w:r>
          </w:p>
        </w:tc>
        <w:tc>
          <w:tcPr>
            <w:tcW w:w="2093" w:type="dxa"/>
            <w:noWrap/>
          </w:tcPr>
          <w:p w:rsidR="00CF43B1" w:rsidRPr="00A9376A" w:rsidRDefault="00CF43B1" w:rsidP="00173ABA">
            <w:pPr>
              <w:jc w:val="both"/>
            </w:pPr>
            <w:r w:rsidRPr="00A9376A">
              <w:t>0.612007</w:t>
            </w:r>
          </w:p>
        </w:tc>
        <w:tc>
          <w:tcPr>
            <w:tcW w:w="2474" w:type="dxa"/>
            <w:noWrap/>
          </w:tcPr>
          <w:p w:rsidR="00CF43B1" w:rsidRPr="00A9376A" w:rsidRDefault="00CF43B1" w:rsidP="00173ABA">
            <w:pPr>
              <w:jc w:val="both"/>
            </w:pPr>
            <w:r w:rsidRPr="00A9376A">
              <w:t>1.407.820</w:t>
            </w:r>
          </w:p>
        </w:tc>
        <w:tc>
          <w:tcPr>
            <w:tcW w:w="1522" w:type="dxa"/>
            <w:noWrap/>
          </w:tcPr>
          <w:p w:rsidR="00CF43B1" w:rsidRPr="00A9376A" w:rsidRDefault="00CF43B1" w:rsidP="00173ABA">
            <w:pPr>
              <w:jc w:val="both"/>
            </w:pPr>
            <w:r w:rsidRPr="00A9376A">
              <w:t>0.1599</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C</w:t>
            </w:r>
          </w:p>
        </w:tc>
        <w:tc>
          <w:tcPr>
            <w:tcW w:w="2093" w:type="dxa"/>
            <w:noWrap/>
          </w:tcPr>
          <w:p w:rsidR="00CF43B1" w:rsidRPr="00A9376A" w:rsidRDefault="00CF43B1" w:rsidP="00173ABA">
            <w:pPr>
              <w:jc w:val="both"/>
            </w:pPr>
            <w:r w:rsidRPr="00A9376A">
              <w:t>8.478.340</w:t>
            </w:r>
          </w:p>
        </w:tc>
        <w:tc>
          <w:tcPr>
            <w:tcW w:w="2474" w:type="dxa"/>
            <w:noWrap/>
          </w:tcPr>
          <w:p w:rsidR="00CF43B1" w:rsidRPr="00A9376A" w:rsidRDefault="00CF43B1" w:rsidP="00173ABA">
            <w:pPr>
              <w:jc w:val="both"/>
            </w:pPr>
            <w:r w:rsidRPr="00A9376A">
              <w:t>3.193.533</w:t>
            </w:r>
          </w:p>
        </w:tc>
        <w:tc>
          <w:tcPr>
            <w:tcW w:w="1522" w:type="dxa"/>
            <w:noWrap/>
          </w:tcPr>
          <w:p w:rsidR="00CF43B1" w:rsidRPr="00A9376A" w:rsidRDefault="00CF43B1" w:rsidP="00173ABA">
            <w:pPr>
              <w:jc w:val="both"/>
            </w:pPr>
            <w:r w:rsidRPr="00A9376A">
              <w:t>0.0015</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R</w:t>
            </w:r>
          </w:p>
        </w:tc>
        <w:tc>
          <w:tcPr>
            <w:tcW w:w="6090" w:type="dxa"/>
            <w:gridSpan w:val="3"/>
          </w:tcPr>
          <w:p w:rsidR="00CF43B1" w:rsidRPr="00A9376A" w:rsidRDefault="00CF43B1" w:rsidP="00173ABA">
            <w:pPr>
              <w:jc w:val="both"/>
            </w:pPr>
            <w:r w:rsidRPr="00A9376A">
              <w:t>0.086240</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 xml:space="preserve">Adj. R </w:t>
            </w:r>
          </w:p>
        </w:tc>
        <w:tc>
          <w:tcPr>
            <w:tcW w:w="6090" w:type="dxa"/>
            <w:gridSpan w:val="3"/>
          </w:tcPr>
          <w:p w:rsidR="00CF43B1" w:rsidRPr="00A9376A" w:rsidRDefault="00CF43B1" w:rsidP="00173ABA">
            <w:pPr>
              <w:jc w:val="both"/>
            </w:pPr>
            <w:r w:rsidRPr="00A9376A">
              <w:t>0.073279</w:t>
            </w:r>
          </w:p>
        </w:tc>
      </w:tr>
      <w:tr w:rsidR="00CF43B1" w:rsidRPr="00A9376A" w:rsidTr="00BF18E1">
        <w:trPr>
          <w:trHeight w:val="300"/>
          <w:jc w:val="center"/>
        </w:trPr>
        <w:tc>
          <w:tcPr>
            <w:tcW w:w="2044" w:type="dxa"/>
            <w:noWrap/>
          </w:tcPr>
          <w:p w:rsidR="00CF43B1" w:rsidRPr="00173ABA" w:rsidRDefault="00CF43B1" w:rsidP="00173ABA">
            <w:pPr>
              <w:jc w:val="both"/>
              <w:rPr>
                <w:b/>
                <w:bCs/>
              </w:rPr>
            </w:pPr>
            <w:r w:rsidRPr="00173ABA">
              <w:rPr>
                <w:b/>
                <w:bCs/>
              </w:rPr>
              <w:t>F Tests</w:t>
            </w:r>
          </w:p>
        </w:tc>
        <w:tc>
          <w:tcPr>
            <w:tcW w:w="6090" w:type="dxa"/>
            <w:gridSpan w:val="3"/>
          </w:tcPr>
          <w:p w:rsidR="00CF43B1" w:rsidRPr="00A9376A" w:rsidRDefault="00CF43B1" w:rsidP="00173ABA">
            <w:pPr>
              <w:jc w:val="both"/>
            </w:pPr>
            <w:r w:rsidRPr="00A9376A">
              <w:t>6.653723</w:t>
            </w:r>
          </w:p>
        </w:tc>
      </w:tr>
    </w:tbl>
    <w:p w:rsidR="00CF43B1" w:rsidRPr="00A9376A" w:rsidRDefault="00CF43B1" w:rsidP="00A9376A">
      <w:pPr>
        <w:jc w:val="both"/>
        <w:rPr>
          <w:b/>
          <w:bCs/>
        </w:rPr>
      </w:pPr>
    </w:p>
    <w:p w:rsidR="00820BCD" w:rsidRPr="00AE78ED" w:rsidRDefault="00820BCD" w:rsidP="00A9376A">
      <w:pPr>
        <w:jc w:val="both"/>
        <w:rPr>
          <w:lang w:val="en-US"/>
        </w:rPr>
      </w:pPr>
      <w:r w:rsidRPr="00AE78ED">
        <w:t xml:space="preserve">When we look at table 7, we can see that </w:t>
      </w:r>
      <w:r w:rsidR="003B7CA5" w:rsidRPr="00AE78ED">
        <w:t>BAL (</w:t>
      </w:r>
      <w:r w:rsidR="003B7CA5" w:rsidRPr="00AE78ED">
        <w:rPr>
          <w:lang w:val="en-US"/>
        </w:rPr>
        <w:t xml:space="preserve">ratio of credits to total assets), </w:t>
      </w:r>
      <w:r w:rsidR="003B7CA5" w:rsidRPr="00AE78ED">
        <w:t>CREDIT (</w:t>
      </w:r>
      <w:r w:rsidR="003B7CA5" w:rsidRPr="00AE78ED">
        <w:rPr>
          <w:lang w:val="en-US"/>
        </w:rPr>
        <w:t>total credits and debts to total assets)</w:t>
      </w:r>
      <w:r w:rsidR="006F0D09" w:rsidRPr="00AE78ED">
        <w:rPr>
          <w:lang w:val="en-US"/>
        </w:rPr>
        <w:t>,</w:t>
      </w:r>
      <w:r w:rsidR="006F0D09" w:rsidRPr="00AE78ED">
        <w:t xml:space="preserve"> INT (</w:t>
      </w:r>
      <w:r w:rsidR="006F0D09" w:rsidRPr="00AE78ED">
        <w:rPr>
          <w:lang w:val="en-US"/>
        </w:rPr>
        <w:t>ratio of net profit of the year to the total assets) and the constant term is significant at 1 % significance level.</w:t>
      </w:r>
      <w:r w:rsidR="0058320A" w:rsidRPr="00AE78ED">
        <w:rPr>
          <w:lang w:val="en-US"/>
        </w:rPr>
        <w:t xml:space="preserve"> At 5 % signifince level</w:t>
      </w:r>
      <w:r w:rsidR="00AE78ED" w:rsidRPr="00AE78ED">
        <w:rPr>
          <w:lang w:val="en-US"/>
        </w:rPr>
        <w:t>, in</w:t>
      </w:r>
      <w:r w:rsidR="00A73EA6" w:rsidRPr="00AE78ED">
        <w:rPr>
          <w:lang w:val="en-US"/>
        </w:rPr>
        <w:t xml:space="preserve"> addition to these variables,</w:t>
      </w:r>
      <w:r w:rsidR="0058320A" w:rsidRPr="00AE78ED">
        <w:rPr>
          <w:lang w:val="en-US"/>
        </w:rPr>
        <w:t xml:space="preserve"> LIQ (liquid assets to total assets), NPLR (debts to gross non-performing loans</w:t>
      </w:r>
      <w:r w:rsidR="00A73EA6" w:rsidRPr="00AE78ED">
        <w:rPr>
          <w:lang w:val="en-US"/>
        </w:rPr>
        <w:t>) are also significant.</w:t>
      </w:r>
      <w:r w:rsidR="00C67F76" w:rsidRPr="00AE78ED">
        <w:rPr>
          <w:lang w:val="en-US"/>
        </w:rPr>
        <w:t xml:space="preserve"> Only PROF </w:t>
      </w:r>
      <w:r w:rsidR="00915744" w:rsidRPr="00AE78ED">
        <w:rPr>
          <w:lang w:val="en-US"/>
        </w:rPr>
        <w:t>(ratio of net profit of the year to the total assets) is no significance. All the variables other than CREDIT and LIQ</w:t>
      </w:r>
      <w:r w:rsidR="00D92161" w:rsidRPr="00AE78ED">
        <w:rPr>
          <w:lang w:val="en-US"/>
        </w:rPr>
        <w:t xml:space="preserve"> variables have a positive relationship with stock returns. On the contrary, CREDIT and LIQ variables have a negative relationship with stock returns.</w:t>
      </w:r>
      <w:r w:rsidR="00310CB1" w:rsidRPr="00AE78ED">
        <w:rPr>
          <w:lang w:val="en-US"/>
        </w:rPr>
        <w:t xml:space="preserve"> R</w:t>
      </w:r>
      <w:r w:rsidR="00310CB1" w:rsidRPr="00AE78ED">
        <w:rPr>
          <w:vertAlign w:val="superscript"/>
          <w:lang w:val="en-US"/>
        </w:rPr>
        <w:t xml:space="preserve">2 </w:t>
      </w:r>
      <w:r w:rsidR="00310CB1" w:rsidRPr="00AE78ED">
        <w:rPr>
          <w:lang w:val="en-US"/>
        </w:rPr>
        <w:t>value of the model is 0,073 which shows that there are some other variables affecting the stock returns. Overall F value of the model shows that the model is significant in general.</w:t>
      </w:r>
    </w:p>
    <w:p w:rsidR="006F0D09" w:rsidRDefault="006F0D09" w:rsidP="00A9376A">
      <w:pPr>
        <w:jc w:val="both"/>
        <w:rPr>
          <w:lang w:val="en-US"/>
        </w:rPr>
      </w:pPr>
    </w:p>
    <w:p w:rsidR="00CF43B1" w:rsidRPr="00A9376A" w:rsidRDefault="000F5DE2" w:rsidP="00A9376A">
      <w:pPr>
        <w:jc w:val="both"/>
        <w:rPr>
          <w:b/>
          <w:bCs/>
        </w:rPr>
      </w:pPr>
      <w:r>
        <w:rPr>
          <w:b/>
          <w:bCs/>
        </w:rPr>
        <w:t>5</w:t>
      </w:r>
      <w:r w:rsidR="00CF43B1" w:rsidRPr="00A9376A">
        <w:rPr>
          <w:b/>
          <w:bCs/>
        </w:rPr>
        <w:t xml:space="preserve">. </w:t>
      </w:r>
      <w:r>
        <w:rPr>
          <w:b/>
          <w:bCs/>
        </w:rPr>
        <w:t>Results and Suggestions</w:t>
      </w:r>
    </w:p>
    <w:p w:rsidR="00CF43B1" w:rsidRPr="00A9376A" w:rsidRDefault="00CF43B1" w:rsidP="00A9376A">
      <w:pPr>
        <w:jc w:val="both"/>
      </w:pPr>
    </w:p>
    <w:p w:rsidR="00A653E7" w:rsidRPr="0007041E" w:rsidRDefault="00A653E7" w:rsidP="00A9376A">
      <w:pPr>
        <w:jc w:val="both"/>
        <w:rPr>
          <w:lang w:val="en-US"/>
        </w:rPr>
      </w:pPr>
      <w:r w:rsidRPr="0007041E">
        <w:rPr>
          <w:lang w:val="en-US"/>
        </w:rPr>
        <w:t xml:space="preserve">The relationship between the stock returns and </w:t>
      </w:r>
      <w:r w:rsidR="00586311">
        <w:rPr>
          <w:lang w:val="en-US"/>
        </w:rPr>
        <w:t xml:space="preserve">economic variables is widely discussed. Different studies investigating this relationship </w:t>
      </w:r>
      <w:r w:rsidR="00A722A6">
        <w:rPr>
          <w:lang w:val="en-US"/>
        </w:rPr>
        <w:t>have</w:t>
      </w:r>
      <w:r w:rsidR="00586311">
        <w:rPr>
          <w:lang w:val="en-US"/>
        </w:rPr>
        <w:t xml:space="preserve"> given different results</w:t>
      </w:r>
      <w:r w:rsidR="00A722A6">
        <w:rPr>
          <w:lang w:val="en-US"/>
        </w:rPr>
        <w:t xml:space="preserve"> considering various countries and also for </w:t>
      </w:r>
      <w:r w:rsidR="001A10A7">
        <w:rPr>
          <w:lang w:val="en-US"/>
        </w:rPr>
        <w:t>various</w:t>
      </w:r>
      <w:r w:rsidR="00A722A6">
        <w:rPr>
          <w:lang w:val="en-US"/>
        </w:rPr>
        <w:t xml:space="preserve"> time periods</w:t>
      </w:r>
      <w:r w:rsidR="00CE5F4F">
        <w:rPr>
          <w:lang w:val="en-US"/>
        </w:rPr>
        <w:t xml:space="preserve"> therefore this subjects is argued both in economics literature and financial literature.</w:t>
      </w:r>
    </w:p>
    <w:p w:rsidR="00CE5F4F" w:rsidRPr="00CE5F4F" w:rsidRDefault="00CE5F4F" w:rsidP="00A9376A">
      <w:pPr>
        <w:jc w:val="both"/>
        <w:rPr>
          <w:lang w:val="en-US"/>
        </w:rPr>
      </w:pPr>
      <w:r w:rsidRPr="00CE5F4F">
        <w:rPr>
          <w:lang w:val="en-US"/>
        </w:rPr>
        <w:t>In the study,</w:t>
      </w:r>
      <w:r w:rsidR="00607BAC">
        <w:rPr>
          <w:lang w:val="en-US"/>
        </w:rPr>
        <w:t xml:space="preserve"> </w:t>
      </w:r>
      <w:r w:rsidR="00173582">
        <w:rPr>
          <w:lang w:val="en-US"/>
        </w:rPr>
        <w:t>t</w:t>
      </w:r>
      <w:r w:rsidR="00173582" w:rsidRPr="0007041E">
        <w:rPr>
          <w:lang w:val="en-US"/>
        </w:rPr>
        <w:t xml:space="preserve">he relationship between the stock returns and </w:t>
      </w:r>
      <w:r w:rsidR="00173582">
        <w:rPr>
          <w:lang w:val="en-US"/>
        </w:rPr>
        <w:t xml:space="preserve">some financial variables </w:t>
      </w:r>
      <w:r w:rsidR="00D22647">
        <w:rPr>
          <w:lang w:val="en-US"/>
        </w:rPr>
        <w:t xml:space="preserve">of the banks traded in Borsa Istanbul </w:t>
      </w:r>
      <w:r w:rsidR="00173582">
        <w:rPr>
          <w:lang w:val="en-US"/>
        </w:rPr>
        <w:t xml:space="preserve">between 2002-2013 </w:t>
      </w:r>
      <w:r w:rsidR="00D22647">
        <w:rPr>
          <w:lang w:val="en-US"/>
        </w:rPr>
        <w:t>is anayslized. A pane</w:t>
      </w:r>
      <w:r w:rsidR="003138E4">
        <w:rPr>
          <w:lang w:val="en-US"/>
        </w:rPr>
        <w:t>l data analysis is made in order to reveal this relationship. Thereby, investors may use the results in the decision making process.</w:t>
      </w:r>
      <w:r w:rsidR="0012592C">
        <w:rPr>
          <w:lang w:val="en-US"/>
        </w:rPr>
        <w:t xml:space="preserve"> The results of the study show significantly important results for all the variables and </w:t>
      </w:r>
      <w:r w:rsidR="0087349F">
        <w:rPr>
          <w:lang w:val="en-US"/>
        </w:rPr>
        <w:t xml:space="preserve">periods except for stock returns data and bank profitability data. </w:t>
      </w:r>
    </w:p>
    <w:p w:rsidR="00314F95" w:rsidRPr="00314F95" w:rsidRDefault="00314F95" w:rsidP="00A9376A">
      <w:pPr>
        <w:jc w:val="both"/>
        <w:rPr>
          <w:lang w:val="en-US"/>
        </w:rPr>
      </w:pPr>
      <w:r w:rsidRPr="00314F95">
        <w:rPr>
          <w:lang w:val="en-US"/>
        </w:rPr>
        <w:t>In the study,</w:t>
      </w:r>
      <w:r w:rsidR="004954C9">
        <w:rPr>
          <w:lang w:val="en-US"/>
        </w:rPr>
        <w:t xml:space="preserve"> the results show </w:t>
      </w:r>
      <w:r w:rsidR="00C67202">
        <w:rPr>
          <w:lang w:val="en-US"/>
        </w:rPr>
        <w:t>that the variables</w:t>
      </w:r>
      <w:r w:rsidR="004954C9">
        <w:rPr>
          <w:lang w:val="en-US"/>
        </w:rPr>
        <w:t xml:space="preserve"> indicating</w:t>
      </w:r>
      <w:r>
        <w:rPr>
          <w:lang w:val="en-US"/>
        </w:rPr>
        <w:t xml:space="preserve"> </w:t>
      </w:r>
      <w:r w:rsidR="00C67202">
        <w:rPr>
          <w:lang w:val="en-US"/>
        </w:rPr>
        <w:t>stock returns and balance sheet</w:t>
      </w:r>
      <w:r w:rsidR="00A75549">
        <w:rPr>
          <w:lang w:val="en-US"/>
        </w:rPr>
        <w:t xml:space="preserve"> quality (credits/total assets), asset quality (total credits and assets /total assets and non performing loans /total assets and credits), income and expenditure structure (net profit of the year/total assets),</w:t>
      </w:r>
      <w:r w:rsidR="00304A87">
        <w:rPr>
          <w:lang w:val="en-US"/>
        </w:rPr>
        <w:t xml:space="preserve"> </w:t>
      </w:r>
      <w:r w:rsidR="00A75549">
        <w:rPr>
          <w:lang w:val="en-US"/>
        </w:rPr>
        <w:t>liquidity (liquidity/ total assets) are statistically significant.</w:t>
      </w:r>
    </w:p>
    <w:p w:rsidR="00314F95" w:rsidRPr="00CD1F66" w:rsidRDefault="00CD1F66" w:rsidP="00A9376A">
      <w:pPr>
        <w:jc w:val="both"/>
        <w:rPr>
          <w:lang w:val="en-US"/>
        </w:rPr>
      </w:pPr>
      <w:r w:rsidRPr="00CD1F66">
        <w:rPr>
          <w:lang w:val="en-US"/>
        </w:rPr>
        <w:t xml:space="preserve">Secondly, </w:t>
      </w:r>
      <w:r w:rsidR="00363CF5">
        <w:rPr>
          <w:lang w:val="en-US"/>
        </w:rPr>
        <w:t xml:space="preserve">a negative relationship is found between stock returns and total credits, </w:t>
      </w:r>
      <w:r w:rsidR="00003DFD">
        <w:rPr>
          <w:lang w:val="en-US"/>
        </w:rPr>
        <w:t>credits/total assets and a positive relationship between the other variables.</w:t>
      </w:r>
    </w:p>
    <w:p w:rsidR="00DF1DE5" w:rsidRPr="003C5C5C" w:rsidRDefault="003C5C5C" w:rsidP="00A9376A">
      <w:pPr>
        <w:jc w:val="both"/>
        <w:rPr>
          <w:lang w:val="en-US"/>
        </w:rPr>
      </w:pPr>
      <w:r w:rsidRPr="003C5C5C">
        <w:rPr>
          <w:lang w:val="en-US"/>
        </w:rPr>
        <w:lastRenderedPageBreak/>
        <w:t xml:space="preserve">Investors planning to make </w:t>
      </w:r>
      <w:r>
        <w:rPr>
          <w:lang w:val="en-US"/>
        </w:rPr>
        <w:t>investment on banking sector may consider these results of the model.</w:t>
      </w:r>
    </w:p>
    <w:p w:rsidR="003C5C5C" w:rsidRPr="00FA1A34" w:rsidRDefault="00FA1A34" w:rsidP="00A9376A">
      <w:pPr>
        <w:jc w:val="both"/>
        <w:rPr>
          <w:lang w:val="en-US"/>
        </w:rPr>
      </w:pPr>
      <w:r w:rsidRPr="00FA1A34">
        <w:rPr>
          <w:lang w:val="en-US"/>
        </w:rPr>
        <w:t xml:space="preserve">The most important </w:t>
      </w:r>
      <w:r>
        <w:rPr>
          <w:lang w:val="en-US"/>
        </w:rPr>
        <w:t>constraint of the study is data set. It is obvious that more effective results can be found with an extensive data set. However, studies can be made for different sectors and different ratios of the same sectors can be made. Moreover, data of different countries can be added to extent the study.</w:t>
      </w:r>
    </w:p>
    <w:p w:rsidR="00FA1A34" w:rsidRPr="00FA1A34" w:rsidRDefault="00FA1A34" w:rsidP="00A9376A">
      <w:pPr>
        <w:jc w:val="both"/>
        <w:rPr>
          <w:lang w:val="en-US"/>
        </w:rPr>
      </w:pPr>
    </w:p>
    <w:p w:rsidR="008B6534" w:rsidRDefault="008B6534" w:rsidP="008B6534">
      <w:pPr>
        <w:spacing w:line="276" w:lineRule="auto"/>
        <w:jc w:val="center"/>
        <w:rPr>
          <w:rFonts w:eastAsia="Calibri"/>
          <w:b/>
          <w:lang w:eastAsia="en-US"/>
        </w:rPr>
      </w:pPr>
      <w:r w:rsidRPr="008B6534">
        <w:rPr>
          <w:rFonts w:eastAsia="Calibri"/>
          <w:b/>
          <w:lang w:eastAsia="en-US"/>
        </w:rPr>
        <w:t>REFERENCES</w:t>
      </w:r>
    </w:p>
    <w:p w:rsidR="00AE78ED" w:rsidRDefault="00AE78ED" w:rsidP="008B6534">
      <w:pPr>
        <w:spacing w:line="276" w:lineRule="auto"/>
        <w:jc w:val="center"/>
        <w:rPr>
          <w:rFonts w:eastAsia="Calibri"/>
          <w:b/>
          <w:lang w:eastAsia="en-US"/>
        </w:rPr>
      </w:pPr>
    </w:p>
    <w:p w:rsidR="00C56F41" w:rsidRPr="00562888" w:rsidRDefault="00C56F41" w:rsidP="00C56F41">
      <w:pPr>
        <w:pStyle w:val="ListeParagraf"/>
        <w:numPr>
          <w:ilvl w:val="0"/>
          <w:numId w:val="2"/>
        </w:numPr>
        <w:spacing w:after="100" w:afterAutospacing="1"/>
        <w:jc w:val="both"/>
        <w:rPr>
          <w:rFonts w:eastAsia="Calibri"/>
          <w:bCs/>
          <w:lang w:eastAsia="en-US"/>
        </w:rPr>
      </w:pPr>
      <w:r w:rsidRPr="00562888">
        <w:rPr>
          <w:rFonts w:eastAsia="Calibri"/>
          <w:lang w:eastAsia="en-US"/>
        </w:rPr>
        <w:t>T. Martikainen and V. Puttonen, “</w:t>
      </w:r>
      <w:r w:rsidRPr="00562888">
        <w:rPr>
          <w:rFonts w:eastAsia="Calibri"/>
          <w:bCs/>
          <w:lang w:eastAsia="en-US"/>
        </w:rPr>
        <w:t>Dynamic Linkages Between Stock Prices, Accrual Earnings</w:t>
      </w:r>
      <w:r>
        <w:rPr>
          <w:rFonts w:eastAsia="Calibri"/>
          <w:bCs/>
          <w:lang w:eastAsia="en-US"/>
        </w:rPr>
        <w:t xml:space="preserve"> </w:t>
      </w:r>
      <w:r w:rsidRPr="00562888">
        <w:rPr>
          <w:rFonts w:eastAsia="Calibri"/>
          <w:bCs/>
          <w:lang w:eastAsia="en-US"/>
        </w:rPr>
        <w:t>and Cash Flows: A Cointegration Analysis,”</w:t>
      </w:r>
      <w:r w:rsidRPr="00562888">
        <w:rPr>
          <w:rFonts w:eastAsia="Calibri"/>
          <w:color w:val="FFFFFF"/>
          <w:lang w:eastAsia="en-US"/>
        </w:rPr>
        <w:t xml:space="preserve"> </w:t>
      </w:r>
      <w:r w:rsidRPr="00562888">
        <w:rPr>
          <w:rFonts w:eastAsia="Calibri"/>
          <w:bCs/>
          <w:lang w:eastAsia="en-US"/>
        </w:rPr>
        <w:t>Annals of Operations Research, no.45, 1993, pp. 319-332.</w:t>
      </w:r>
    </w:p>
    <w:p w:rsidR="00BF2F8D" w:rsidRPr="00562888" w:rsidRDefault="00630EDF" w:rsidP="00BF2F8D">
      <w:pPr>
        <w:pStyle w:val="ListeParagraf"/>
        <w:numPr>
          <w:ilvl w:val="0"/>
          <w:numId w:val="2"/>
        </w:numPr>
        <w:spacing w:after="100" w:afterAutospacing="1"/>
        <w:jc w:val="both"/>
        <w:rPr>
          <w:rFonts w:eastAsia="Calibri"/>
          <w:lang w:eastAsia="en-US"/>
        </w:rPr>
      </w:pPr>
      <w:hyperlink r:id="rId18" w:history="1">
        <w:r w:rsidR="00BF2F8D" w:rsidRPr="00562888">
          <w:rPr>
            <w:rFonts w:eastAsia="Calibri"/>
            <w:color w:val="0000FF"/>
            <w:u w:val="single"/>
            <w:lang w:val="en-US" w:eastAsia="en-US"/>
          </w:rPr>
          <w:t>http://www.tbb.org.tr/tr/banka-ve-sektor-bilgileri/istatistiki-raporlar/aralik--2013---banka,-sube-ve-personel-bilgileri-/1309. Date</w:t>
        </w:r>
      </w:hyperlink>
      <w:r w:rsidR="00BF2F8D" w:rsidRPr="00562888">
        <w:rPr>
          <w:rFonts w:eastAsia="Calibri"/>
          <w:lang w:val="en-US" w:eastAsia="en-US"/>
        </w:rPr>
        <w:t xml:space="preserve"> of Access: 04.01.2015</w:t>
      </w:r>
    </w:p>
    <w:p w:rsidR="00BF2F8D" w:rsidRDefault="00630EDF" w:rsidP="00BF2F8D">
      <w:pPr>
        <w:pStyle w:val="ListeParagraf"/>
        <w:numPr>
          <w:ilvl w:val="0"/>
          <w:numId w:val="2"/>
        </w:numPr>
        <w:spacing w:after="100" w:afterAutospacing="1"/>
        <w:jc w:val="both"/>
        <w:rPr>
          <w:rFonts w:eastAsia="Calibri"/>
          <w:lang w:val="en-US" w:eastAsia="en-US"/>
        </w:rPr>
      </w:pPr>
      <w:hyperlink r:id="rId19" w:history="1">
        <w:r w:rsidR="00BF2F8D" w:rsidRPr="00562888">
          <w:rPr>
            <w:rFonts w:eastAsia="Calibri"/>
            <w:color w:val="0000FF"/>
            <w:u w:val="single"/>
            <w:lang w:val="en-US" w:eastAsia="en-US"/>
          </w:rPr>
          <w:t>http://www.tbb.org.tr/tr/banka-ve-sektor-bilgileri/istatistiki-raporlar/--2013---secilmis-rasyolar/1359</w:t>
        </w:r>
      </w:hyperlink>
      <w:r w:rsidR="00BF2F8D" w:rsidRPr="00562888">
        <w:rPr>
          <w:rFonts w:eastAsia="Calibri"/>
          <w:lang w:val="en-US" w:eastAsia="en-US"/>
        </w:rPr>
        <w:t>. Date of Access: 05.02.2015</w:t>
      </w:r>
    </w:p>
    <w:p w:rsidR="00C56F41" w:rsidRPr="00562888" w:rsidRDefault="00C56F41" w:rsidP="00C56F41">
      <w:pPr>
        <w:pStyle w:val="ListeParagraf"/>
        <w:numPr>
          <w:ilvl w:val="0"/>
          <w:numId w:val="2"/>
        </w:numPr>
        <w:spacing w:after="100" w:afterAutospacing="1"/>
        <w:jc w:val="both"/>
        <w:rPr>
          <w:rFonts w:eastAsia="Calibri"/>
          <w:lang w:eastAsia="en-US"/>
        </w:rPr>
      </w:pPr>
      <w:r w:rsidRPr="00562888">
        <w:rPr>
          <w:rFonts w:eastAsia="Calibri"/>
          <w:lang w:val="en-US" w:eastAsia="en-US"/>
        </w:rPr>
        <w:t>F. Fama, “</w:t>
      </w:r>
      <w:r w:rsidRPr="00562888">
        <w:rPr>
          <w:rFonts w:eastAsia="Calibri"/>
          <w:lang w:eastAsia="en-US"/>
        </w:rPr>
        <w:t>Efficient Capital Markets: A Review of Theory and Empirical Work,” The Journal of Finance, vol. 25, no. 2, May 1970, pp. 383-417.</w:t>
      </w:r>
    </w:p>
    <w:p w:rsidR="00C56F41" w:rsidRPr="00562888" w:rsidRDefault="00C56F41" w:rsidP="00C56F41">
      <w:pPr>
        <w:pStyle w:val="ListeParagraf"/>
        <w:numPr>
          <w:ilvl w:val="0"/>
          <w:numId w:val="2"/>
        </w:numPr>
        <w:spacing w:after="100" w:afterAutospacing="1"/>
        <w:jc w:val="both"/>
        <w:rPr>
          <w:rFonts w:eastAsia="Calibri"/>
          <w:lang w:eastAsia="en-US"/>
        </w:rPr>
      </w:pPr>
      <w:r w:rsidRPr="00562888">
        <w:rPr>
          <w:rFonts w:eastAsia="Calibri"/>
          <w:lang w:eastAsia="en-US"/>
        </w:rPr>
        <w:t xml:space="preserve">T. Martikainen, “Modelling Stock Price Behaviour By Financial Ratios”, Rivista di Matematica per le Scienze Economiche e Sociali - Anno 12, Fascicolo 1, Decisions in Economics and Finance, vol.12, no.1, 1989, pp. 119-138. </w:t>
      </w:r>
    </w:p>
    <w:p w:rsidR="00C56F41" w:rsidRPr="00562888" w:rsidRDefault="00C56F41" w:rsidP="00C56F41">
      <w:pPr>
        <w:pStyle w:val="ListeParagraf"/>
        <w:numPr>
          <w:ilvl w:val="0"/>
          <w:numId w:val="2"/>
        </w:numPr>
        <w:spacing w:after="100" w:afterAutospacing="1"/>
        <w:jc w:val="both"/>
        <w:rPr>
          <w:rFonts w:eastAsia="Calibri"/>
          <w:lang w:eastAsia="en-US"/>
        </w:rPr>
      </w:pPr>
      <w:r w:rsidRPr="00562888">
        <w:rPr>
          <w:rFonts w:eastAsia="Calibri"/>
          <w:lang w:eastAsia="en-US"/>
        </w:rPr>
        <w:t xml:space="preserve">R.L. Porta, “Expectations and the Cross-Section of Stock Returns”, The Journal of Finance, vol. 51 no. 5,1996, pp. 1715-1742. </w:t>
      </w:r>
    </w:p>
    <w:p w:rsidR="00C56F41" w:rsidRPr="00562888" w:rsidRDefault="00C56F41" w:rsidP="00C56F41">
      <w:pPr>
        <w:pStyle w:val="ListeParagraf"/>
        <w:numPr>
          <w:ilvl w:val="0"/>
          <w:numId w:val="2"/>
        </w:numPr>
        <w:spacing w:after="100" w:afterAutospacing="1"/>
        <w:jc w:val="both"/>
        <w:rPr>
          <w:rFonts w:eastAsia="Calibri"/>
          <w:lang w:eastAsia="en-US"/>
        </w:rPr>
      </w:pPr>
      <w:r w:rsidRPr="00562888">
        <w:rPr>
          <w:rFonts w:eastAsia="Calibri"/>
          <w:lang w:eastAsia="en-US"/>
        </w:rPr>
        <w:t>S. B. Naceur, “The Determinants of the Tunisian Banking Industry Profitability: Panel Evidence,” </w:t>
      </w:r>
      <w:r w:rsidRPr="00562888">
        <w:rPr>
          <w:rFonts w:eastAsia="Calibri"/>
          <w:iCs/>
          <w:lang w:eastAsia="en-US"/>
        </w:rPr>
        <w:t>Universite Libre de Tunis working papers</w:t>
      </w:r>
      <w:r w:rsidRPr="00562888">
        <w:rPr>
          <w:rFonts w:eastAsia="Calibri"/>
          <w:lang w:eastAsia="en-US"/>
        </w:rPr>
        <w:t>, 2003.</w:t>
      </w:r>
    </w:p>
    <w:p w:rsidR="00C56F41" w:rsidRPr="00562888" w:rsidRDefault="00C56F41" w:rsidP="00C56F41">
      <w:pPr>
        <w:pStyle w:val="ListeParagraf"/>
        <w:numPr>
          <w:ilvl w:val="0"/>
          <w:numId w:val="2"/>
        </w:numPr>
        <w:spacing w:after="100" w:afterAutospacing="1"/>
        <w:jc w:val="both"/>
        <w:rPr>
          <w:rFonts w:eastAsia="Calibri"/>
          <w:lang w:eastAsia="en-US"/>
        </w:rPr>
      </w:pPr>
      <w:r w:rsidRPr="00562888">
        <w:rPr>
          <w:rFonts w:eastAsia="Calibri"/>
          <w:lang w:val="en-US" w:eastAsia="en-US"/>
        </w:rPr>
        <w:t>J. Lewellen, “</w:t>
      </w:r>
      <w:r w:rsidRPr="00562888">
        <w:rPr>
          <w:rFonts w:eastAsia="Calibri"/>
          <w:lang w:eastAsia="en-US"/>
        </w:rPr>
        <w:t>Predicting Returns with Financial Ratios,” Journal of Financial Economics, no.74, 2004, pp. 209–235.</w:t>
      </w:r>
    </w:p>
    <w:p w:rsidR="00C56F41" w:rsidRPr="00562888" w:rsidRDefault="00C56F41" w:rsidP="00C56F41">
      <w:pPr>
        <w:pStyle w:val="ListeParagraf"/>
        <w:numPr>
          <w:ilvl w:val="0"/>
          <w:numId w:val="2"/>
        </w:numPr>
        <w:spacing w:after="100" w:afterAutospacing="1"/>
        <w:jc w:val="both"/>
        <w:rPr>
          <w:rFonts w:eastAsia="Calibri"/>
          <w:lang w:eastAsia="en-US"/>
        </w:rPr>
      </w:pPr>
      <w:r w:rsidRPr="00562888">
        <w:rPr>
          <w:rFonts w:eastAsia="Calibri"/>
          <w:color w:val="222222"/>
          <w:shd w:val="clear" w:color="auto" w:fill="FFFFFF"/>
          <w:lang w:eastAsia="en-US"/>
        </w:rPr>
        <w:t>O. Castrén, T. Fitzpatrick, M. Sydow, “What Drives EU Banks' Stock Returns? Bank-Level Evidence using the Dynamic Dividend-Discount Model,”</w:t>
      </w:r>
      <w:r w:rsidRPr="00562888">
        <w:rPr>
          <w:color w:val="000000"/>
        </w:rPr>
        <w:t xml:space="preserve"> </w:t>
      </w:r>
      <w:r w:rsidRPr="00562888">
        <w:rPr>
          <w:rFonts w:eastAsia="Calibri"/>
          <w:color w:val="222222"/>
          <w:shd w:val="clear" w:color="auto" w:fill="FFFFFF"/>
          <w:lang w:eastAsia="en-US"/>
        </w:rPr>
        <w:t>ECB Working Paper. 2006.</w:t>
      </w:r>
      <w:r w:rsidRPr="00562888">
        <w:rPr>
          <w:rFonts w:eastAsia="Calibri"/>
          <w:lang w:val="en-US" w:eastAsia="en-US"/>
        </w:rPr>
        <w:t xml:space="preserve"> </w:t>
      </w:r>
    </w:p>
    <w:p w:rsidR="00C56F41" w:rsidRPr="00562888" w:rsidRDefault="00C56F41" w:rsidP="00C56F41">
      <w:pPr>
        <w:pStyle w:val="ListeParagraf"/>
        <w:numPr>
          <w:ilvl w:val="0"/>
          <w:numId w:val="2"/>
        </w:numPr>
        <w:autoSpaceDE w:val="0"/>
        <w:autoSpaceDN w:val="0"/>
        <w:adjustRightInd w:val="0"/>
        <w:spacing w:after="100" w:afterAutospacing="1"/>
        <w:jc w:val="both"/>
        <w:rPr>
          <w:rFonts w:eastAsia="Calibri"/>
          <w:color w:val="231F20"/>
          <w:lang w:eastAsia="en-US"/>
        </w:rPr>
      </w:pPr>
      <w:r w:rsidRPr="00562888">
        <w:rPr>
          <w:rFonts w:eastAsia="Calibri"/>
          <w:lang w:val="en-US" w:eastAsia="en-US"/>
        </w:rPr>
        <w:t>N. Avkiran and H. Morita, “</w:t>
      </w:r>
      <w:r w:rsidRPr="00562888">
        <w:rPr>
          <w:rFonts w:eastAsia="Calibri"/>
          <w:color w:val="231F20"/>
          <w:lang w:eastAsia="en-US"/>
        </w:rPr>
        <w:t>Predicting Japanese Bank Stock Performance with a Composite Relative Efficiency Metric: A New Investment Tool,” Pacific-Basin Finance Journal, n. 18, 2010, pp. 254–271.</w:t>
      </w:r>
    </w:p>
    <w:p w:rsidR="00C56F41" w:rsidRPr="00562888" w:rsidRDefault="00C56F41" w:rsidP="00C56F41">
      <w:pPr>
        <w:pStyle w:val="ListeParagraf"/>
        <w:numPr>
          <w:ilvl w:val="0"/>
          <w:numId w:val="2"/>
        </w:numPr>
        <w:spacing w:after="100" w:afterAutospacing="1"/>
        <w:jc w:val="both"/>
        <w:rPr>
          <w:rFonts w:eastAsia="Calibri"/>
          <w:lang w:val="en-US" w:eastAsia="en-US"/>
        </w:rPr>
      </w:pPr>
      <w:r w:rsidRPr="00562888">
        <w:rPr>
          <w:rFonts w:eastAsia="Calibri"/>
          <w:lang w:val="en-US" w:eastAsia="en-US"/>
        </w:rPr>
        <w:t xml:space="preserve">K. Ana, S. Blanka and E. Roberto, “Determinants of Bank Profitability in Croatia,” </w:t>
      </w:r>
      <w:r w:rsidRPr="00562888">
        <w:rPr>
          <w:rFonts w:eastAsia="Calibri"/>
          <w:iCs/>
          <w:lang w:eastAsia="en-US"/>
        </w:rPr>
        <w:t>Croatian Operational Research Review</w:t>
      </w:r>
      <w:r w:rsidRPr="00562888">
        <w:rPr>
          <w:rFonts w:eastAsia="Calibri"/>
          <w:lang w:val="en-US" w:eastAsia="en-US"/>
        </w:rPr>
        <w:t xml:space="preserve">, vol. 2, 2011, pp.168-182. </w:t>
      </w:r>
    </w:p>
    <w:p w:rsidR="00C56F41" w:rsidRPr="00562888" w:rsidRDefault="00C56F41" w:rsidP="00C56F41">
      <w:pPr>
        <w:pStyle w:val="ListeParagraf"/>
        <w:numPr>
          <w:ilvl w:val="0"/>
          <w:numId w:val="2"/>
        </w:numPr>
        <w:spacing w:after="100" w:afterAutospacing="1"/>
        <w:jc w:val="both"/>
        <w:rPr>
          <w:rFonts w:eastAsia="Calibri"/>
          <w:bCs/>
          <w:lang w:eastAsia="en-US"/>
        </w:rPr>
      </w:pPr>
      <w:r w:rsidRPr="00562888">
        <w:rPr>
          <w:rFonts w:eastAsia="Calibri"/>
          <w:lang w:val="en-US" w:eastAsia="en-US"/>
        </w:rPr>
        <w:t>J. Goslin, D. Chai and A. Gunasekarage, “</w:t>
      </w:r>
      <w:r w:rsidRPr="00562888">
        <w:rPr>
          <w:rFonts w:eastAsia="Calibri"/>
          <w:lang w:eastAsia="en-US"/>
        </w:rPr>
        <w:t>The Usefulness of Financial Statement Information in Predicting Stock Returns: New Zealand Evidence,”</w:t>
      </w:r>
      <w:r w:rsidRPr="00562888">
        <w:rPr>
          <w:rFonts w:eastAsia="Calibri"/>
          <w:bCs/>
          <w:color w:val="316192"/>
          <w:lang w:eastAsia="en-US"/>
        </w:rPr>
        <w:t xml:space="preserve"> </w:t>
      </w:r>
      <w:r w:rsidRPr="00562888">
        <w:rPr>
          <w:rFonts w:eastAsia="Calibri"/>
          <w:bCs/>
          <w:lang w:eastAsia="en-US"/>
        </w:rPr>
        <w:t>Australasian Accounting, Business and Finance Journal, vol.6, no.2, 2012, pp. 51-70.</w:t>
      </w:r>
    </w:p>
    <w:p w:rsidR="00C56F41" w:rsidRPr="00562888" w:rsidRDefault="00C56F41" w:rsidP="00C56F41">
      <w:pPr>
        <w:pStyle w:val="ListeParagraf"/>
        <w:numPr>
          <w:ilvl w:val="0"/>
          <w:numId w:val="2"/>
        </w:numPr>
        <w:spacing w:after="100" w:afterAutospacing="1"/>
        <w:jc w:val="both"/>
        <w:rPr>
          <w:rFonts w:eastAsia="Calibri"/>
          <w:lang w:val="en-US" w:eastAsia="en-US"/>
        </w:rPr>
      </w:pPr>
      <w:r w:rsidRPr="00562888">
        <w:rPr>
          <w:rFonts w:eastAsia="Calibri"/>
          <w:lang w:eastAsia="en-US"/>
        </w:rPr>
        <w:t>C.K. Venkates , M. Tyag, L. Ganesh , “Fundamental Analysis and Stock Returns: An Indian Evidence,” Global Advanced Research Journal of Economics, Accounting and Finance, vol. 1, no. 2, 2012, pp. 33-39.</w:t>
      </w:r>
      <w:r w:rsidRPr="00562888">
        <w:rPr>
          <w:rFonts w:eastAsia="Calibri"/>
          <w:lang w:val="en-US" w:eastAsia="en-US"/>
        </w:rPr>
        <w:t xml:space="preserve"> </w:t>
      </w:r>
    </w:p>
    <w:p w:rsidR="00C56F41" w:rsidRPr="00562888" w:rsidRDefault="00C56F41" w:rsidP="00C56F41">
      <w:pPr>
        <w:pStyle w:val="ListeParagraf"/>
        <w:numPr>
          <w:ilvl w:val="0"/>
          <w:numId w:val="2"/>
        </w:numPr>
        <w:spacing w:after="100" w:afterAutospacing="1"/>
        <w:jc w:val="both"/>
        <w:rPr>
          <w:rFonts w:eastAsia="Calibri"/>
          <w:bCs/>
          <w:lang w:eastAsia="en-US"/>
        </w:rPr>
      </w:pPr>
      <w:r w:rsidRPr="00562888">
        <w:rPr>
          <w:rFonts w:eastAsia="Calibri"/>
          <w:lang w:val="en-US" w:eastAsia="en-US"/>
        </w:rPr>
        <w:t>S. Yamuna, “</w:t>
      </w:r>
      <w:r w:rsidRPr="00562888">
        <w:rPr>
          <w:rFonts w:eastAsia="Calibri"/>
          <w:bCs/>
          <w:lang w:eastAsia="en-US"/>
        </w:rPr>
        <w:t>Determinants of Profitability in the Banking Sector: A study with special reference to Private Commercial Banks in Sri Lanka,” Proceedings of the Third International Symposium, SEUSL: 6-7 July 2013, Oluvil, Sri Lanka, 19-24.</w:t>
      </w:r>
    </w:p>
    <w:p w:rsidR="00C56F41" w:rsidRPr="00562888" w:rsidRDefault="00C56F41" w:rsidP="00C56F41">
      <w:pPr>
        <w:pStyle w:val="ListeParagraf"/>
        <w:numPr>
          <w:ilvl w:val="0"/>
          <w:numId w:val="2"/>
        </w:numPr>
        <w:spacing w:after="100" w:afterAutospacing="1"/>
        <w:jc w:val="both"/>
        <w:rPr>
          <w:rFonts w:eastAsia="Calibri"/>
          <w:lang w:eastAsia="en-US"/>
        </w:rPr>
      </w:pPr>
      <w:r w:rsidRPr="00562888">
        <w:rPr>
          <w:rFonts w:eastAsia="Calibri"/>
          <w:lang w:val="en-US" w:eastAsia="en-US"/>
        </w:rPr>
        <w:t>S.O. Adeusi, F.T. Kolapo and A.O. Aluka, “</w:t>
      </w:r>
      <w:r w:rsidRPr="00562888">
        <w:rPr>
          <w:rFonts w:eastAsia="Calibri"/>
          <w:bCs/>
          <w:lang w:eastAsia="en-US"/>
        </w:rPr>
        <w:t>Determinants of Commercial Banks’ Profitability Panel Evidence From Nigeria,”</w:t>
      </w:r>
      <w:r w:rsidRPr="00562888">
        <w:rPr>
          <w:rFonts w:eastAsia="Calibri"/>
          <w:bCs/>
          <w:color w:val="000000"/>
          <w:lang w:eastAsia="en-US"/>
        </w:rPr>
        <w:t xml:space="preserve"> </w:t>
      </w:r>
      <w:r w:rsidRPr="00562888">
        <w:rPr>
          <w:rFonts w:eastAsia="Calibri"/>
          <w:bCs/>
          <w:lang w:eastAsia="en-US"/>
        </w:rPr>
        <w:t>International Journal of Economics, Commerce and Management, vol.2, no.12, Dec 2014, pp. 1-18.</w:t>
      </w:r>
    </w:p>
    <w:p w:rsidR="00C56F41" w:rsidRPr="00562888" w:rsidRDefault="00C56F41" w:rsidP="00C56F41">
      <w:pPr>
        <w:pStyle w:val="ListeParagraf"/>
        <w:numPr>
          <w:ilvl w:val="0"/>
          <w:numId w:val="2"/>
        </w:numPr>
        <w:spacing w:after="100" w:afterAutospacing="1"/>
        <w:jc w:val="both"/>
        <w:rPr>
          <w:rFonts w:eastAsia="Calibri"/>
          <w:bCs/>
          <w:lang w:eastAsia="en-US"/>
        </w:rPr>
      </w:pPr>
      <w:r w:rsidRPr="00562888">
        <w:rPr>
          <w:rFonts w:eastAsia="Calibri"/>
          <w:lang w:val="en-US" w:eastAsia="en-US"/>
        </w:rPr>
        <w:t>Y.K. Benli, “</w:t>
      </w:r>
      <w:r w:rsidRPr="00562888">
        <w:rPr>
          <w:rFonts w:eastAsia="Calibri"/>
          <w:lang w:eastAsia="en-US"/>
        </w:rPr>
        <w:t>S</w:t>
      </w:r>
      <w:r w:rsidRPr="00562888">
        <w:rPr>
          <w:rFonts w:eastAsia="Calibri"/>
          <w:bCs/>
          <w:lang w:eastAsia="en-US"/>
        </w:rPr>
        <w:t>ektörel Farklılıkların Oranlar Üzerine Etkisi: Ampirik Bir Çalışma,”</w:t>
      </w:r>
      <w:r w:rsidRPr="00562888">
        <w:rPr>
          <w:rFonts w:eastAsia="Calibri"/>
          <w:color w:val="000000"/>
          <w:lang w:eastAsia="en-US"/>
        </w:rPr>
        <w:t xml:space="preserve"> </w:t>
      </w:r>
      <w:r w:rsidRPr="00562888">
        <w:rPr>
          <w:rFonts w:eastAsia="Calibri"/>
          <w:bCs/>
          <w:lang w:eastAsia="en-US"/>
        </w:rPr>
        <w:t>Gazi Üniversitesi Endüstriyel Sanatlar Eğitim Fakültesi Dergisi, no.16, 2005, pp.14-30.</w:t>
      </w:r>
    </w:p>
    <w:p w:rsidR="008B6534" w:rsidRPr="00C56F41" w:rsidRDefault="008B6534" w:rsidP="00C56F41">
      <w:pPr>
        <w:pStyle w:val="ListeParagraf"/>
        <w:numPr>
          <w:ilvl w:val="0"/>
          <w:numId w:val="2"/>
        </w:numPr>
        <w:spacing w:after="100" w:afterAutospacing="1"/>
        <w:jc w:val="both"/>
        <w:rPr>
          <w:rFonts w:eastAsia="Calibri"/>
          <w:lang w:val="en-US" w:eastAsia="en-US"/>
        </w:rPr>
      </w:pPr>
      <w:r w:rsidRPr="00C56F41">
        <w:rPr>
          <w:rFonts w:eastAsia="Calibri"/>
          <w:bCs/>
          <w:lang w:eastAsia="en-US"/>
        </w:rPr>
        <w:lastRenderedPageBreak/>
        <w:t>M. Aktaş, “İstanbul Menkul Kıymetler Borsasında Hisse Senedi Getirileri ile İlişkili Olan Finansal Oranların Araştırılması,” vol. 37, no. 2, 2008, pp.137-150.</w:t>
      </w:r>
    </w:p>
    <w:p w:rsidR="008B6534" w:rsidRPr="00562888" w:rsidRDefault="008B6534" w:rsidP="00B14DF5">
      <w:pPr>
        <w:pStyle w:val="ListeParagraf"/>
        <w:numPr>
          <w:ilvl w:val="0"/>
          <w:numId w:val="2"/>
        </w:numPr>
        <w:spacing w:after="100" w:afterAutospacing="1"/>
        <w:jc w:val="both"/>
        <w:rPr>
          <w:rFonts w:eastAsia="Calibri"/>
          <w:lang w:eastAsia="en-US"/>
        </w:rPr>
      </w:pPr>
      <w:r w:rsidRPr="00562888">
        <w:rPr>
          <w:rFonts w:eastAsia="Calibri"/>
          <w:lang w:val="en-US" w:eastAsia="en-US"/>
        </w:rPr>
        <w:t>E. Oruç, “İMKB’de işlem gören işletmelerin hisse senedi getirileri ile çeşitli finansal göstergeleri arasındaki ilişki,” Hitit Üniversitesi Sosyal Bilimler Enstitüsü Dergisi, vol.3, no.1-2, June-December 2010, pp.33-43.</w:t>
      </w:r>
    </w:p>
    <w:p w:rsidR="00562888" w:rsidRPr="00562888" w:rsidRDefault="008B6534" w:rsidP="00562888">
      <w:pPr>
        <w:pStyle w:val="ListeParagraf"/>
        <w:numPr>
          <w:ilvl w:val="0"/>
          <w:numId w:val="2"/>
        </w:numPr>
        <w:spacing w:after="100" w:afterAutospacing="1"/>
        <w:jc w:val="both"/>
        <w:rPr>
          <w:rFonts w:eastAsia="Calibri"/>
          <w:lang w:eastAsia="en-US"/>
        </w:rPr>
      </w:pPr>
      <w:r w:rsidRPr="00562888">
        <w:rPr>
          <w:rFonts w:eastAsia="Calibri"/>
          <w:lang w:val="en-US" w:eastAsia="en-US"/>
        </w:rPr>
        <w:t>T. Korkmaz, B. Yıldız and R.İ. Gökbulut, “</w:t>
      </w:r>
      <w:r w:rsidRPr="00562888">
        <w:rPr>
          <w:rFonts w:eastAsia="Calibri"/>
          <w:bCs/>
          <w:lang w:eastAsia="en-US"/>
        </w:rPr>
        <w:t>FVFM’nin İMKB Ulusal 100 Endeksindeki Geçerliliğinin Panel Veri Analizi ile Test Edilmesi”</w:t>
      </w:r>
      <w:r w:rsidRPr="00562888">
        <w:rPr>
          <w:rFonts w:eastAsia="Calibri"/>
          <w:color w:val="000000"/>
          <w:lang w:eastAsia="en-US"/>
        </w:rPr>
        <w:t xml:space="preserve"> </w:t>
      </w:r>
      <w:r w:rsidRPr="00562888">
        <w:rPr>
          <w:rFonts w:eastAsia="Calibri"/>
          <w:bCs/>
          <w:lang w:eastAsia="en-US"/>
        </w:rPr>
        <w:t>Istanbul University Journal of the School of Business Administration, vol.39, no.1, 2010, pp. 95-105.</w:t>
      </w:r>
    </w:p>
    <w:p w:rsidR="008B6534" w:rsidRPr="00562888" w:rsidRDefault="008B6534" w:rsidP="00562888">
      <w:pPr>
        <w:pStyle w:val="ListeParagraf"/>
        <w:numPr>
          <w:ilvl w:val="0"/>
          <w:numId w:val="2"/>
        </w:numPr>
        <w:spacing w:after="100" w:afterAutospacing="1"/>
        <w:jc w:val="both"/>
        <w:rPr>
          <w:rFonts w:eastAsia="Calibri"/>
          <w:lang w:eastAsia="en-US"/>
        </w:rPr>
      </w:pPr>
      <w:r w:rsidRPr="00562888">
        <w:rPr>
          <w:rFonts w:eastAsia="Calibri"/>
          <w:lang w:val="en-US" w:eastAsia="en-US"/>
        </w:rPr>
        <w:t>Büyükşalvarcı, “</w:t>
      </w:r>
      <w:r w:rsidRPr="00562888">
        <w:rPr>
          <w:rFonts w:eastAsia="Calibri"/>
          <w:bCs/>
          <w:lang w:eastAsia="en-US"/>
        </w:rPr>
        <w:t>Finansal Oranlar İle Hisse Senedi Getirileri Arasındaki İlişkinin Analizi: İMKB İmalat Sektörü Üzerine Bir Araştırma,” MUFAD Journal, no.48, 2010, pp.130-141.</w:t>
      </w:r>
    </w:p>
    <w:p w:rsidR="008B6534" w:rsidRPr="00562888" w:rsidRDefault="008B6534" w:rsidP="00B14DF5">
      <w:pPr>
        <w:pStyle w:val="ListeParagraf"/>
        <w:numPr>
          <w:ilvl w:val="0"/>
          <w:numId w:val="2"/>
        </w:numPr>
        <w:spacing w:after="100" w:afterAutospacing="1"/>
        <w:jc w:val="both"/>
        <w:rPr>
          <w:rFonts w:eastAsia="Calibri"/>
          <w:lang w:eastAsia="en-US"/>
        </w:rPr>
      </w:pPr>
      <w:r w:rsidRPr="00562888">
        <w:rPr>
          <w:rFonts w:eastAsia="Calibri"/>
          <w:lang w:val="en-US" w:eastAsia="en-US"/>
        </w:rPr>
        <w:t>D. Alper and A. Anbar, “</w:t>
      </w:r>
      <w:r w:rsidRPr="00562888">
        <w:rPr>
          <w:rFonts w:eastAsia="Calibri"/>
          <w:lang w:eastAsia="en-US"/>
        </w:rPr>
        <w:t>Bank Specific and Macroeconomic Determinants of Commercial Bank Profitability: Empirical Evidence from Turkey,” Business and Economics Research Journal, vol.2, no.2, 2011, pp.139-152.</w:t>
      </w:r>
    </w:p>
    <w:p w:rsidR="008B6534" w:rsidRPr="00562888" w:rsidRDefault="008B6534" w:rsidP="00B14DF5">
      <w:pPr>
        <w:pStyle w:val="ListeParagraf"/>
        <w:numPr>
          <w:ilvl w:val="0"/>
          <w:numId w:val="2"/>
        </w:numPr>
        <w:spacing w:after="100" w:afterAutospacing="1"/>
        <w:jc w:val="both"/>
        <w:rPr>
          <w:rFonts w:eastAsia="Calibri"/>
          <w:lang w:eastAsia="en-US"/>
        </w:rPr>
      </w:pPr>
      <w:r w:rsidRPr="00562888">
        <w:rPr>
          <w:rFonts w:eastAsia="Calibri"/>
          <w:lang w:eastAsia="en-US"/>
        </w:rPr>
        <w:t xml:space="preserve">B. Öz, Y. Ayrıçay and G. Kalkan, “Finansal Oranlarla Hisse Senedi Getirilerinin Tahmini: İMKB 30 Endeksi Hisse Senetleri Üzerine Diskriminant Analizi İle Bir Uygulama,”Anadolu Üniversitesi Sosyal Bilimler Dergisi, vol. 11 no.3, 2011, pp. 51–64. </w:t>
      </w:r>
    </w:p>
    <w:p w:rsidR="008B6534" w:rsidRPr="00562888" w:rsidRDefault="008B6534" w:rsidP="00B14DF5">
      <w:pPr>
        <w:pStyle w:val="ListeParagraf"/>
        <w:numPr>
          <w:ilvl w:val="0"/>
          <w:numId w:val="2"/>
        </w:numPr>
        <w:spacing w:after="100" w:afterAutospacing="1"/>
        <w:jc w:val="both"/>
        <w:rPr>
          <w:rFonts w:eastAsia="Calibri"/>
          <w:lang w:eastAsia="en-US"/>
        </w:rPr>
      </w:pPr>
      <w:r w:rsidRPr="00562888">
        <w:rPr>
          <w:rFonts w:eastAsia="Calibri"/>
          <w:lang w:eastAsia="en-US"/>
        </w:rPr>
        <w:t xml:space="preserve">S.S. Karaca, and E.S Başçı, “Hisse Senedi Performansını Etkileyen Rasyolar ve İMKB 30 Endeksinde 2001-2009 Dönemi Panel Veri Analizi,”Süleyman Demirel Üniversitesi İktisadi ve İdari Bilimler Fakültesi Dergisi, vol. 16 no. 3, 2011, pp. 337-347. </w:t>
      </w:r>
    </w:p>
    <w:p w:rsidR="008B6534" w:rsidRPr="00562888" w:rsidRDefault="008B6534" w:rsidP="00B14DF5">
      <w:pPr>
        <w:pStyle w:val="ListeParagraf"/>
        <w:numPr>
          <w:ilvl w:val="0"/>
          <w:numId w:val="2"/>
        </w:numPr>
        <w:spacing w:after="100" w:afterAutospacing="1"/>
        <w:jc w:val="both"/>
        <w:rPr>
          <w:rFonts w:eastAsia="Calibri"/>
          <w:bCs/>
          <w:lang w:eastAsia="en-US"/>
        </w:rPr>
      </w:pPr>
      <w:r w:rsidRPr="00562888">
        <w:rPr>
          <w:rFonts w:eastAsia="Calibri"/>
          <w:bCs/>
          <w:lang w:eastAsia="en-US"/>
        </w:rPr>
        <w:t>F.D. Taşkın,“Türkiye’de Ticari Bankaların Performansını Etkileyen Faktörler,” Ege Akademik Bakış, vol. 11, no 2, 2011, pp. 289-298.</w:t>
      </w:r>
    </w:p>
    <w:p w:rsidR="008B6534" w:rsidRPr="00562888" w:rsidRDefault="008B6534" w:rsidP="00B14DF5">
      <w:pPr>
        <w:pStyle w:val="ListeParagraf"/>
        <w:numPr>
          <w:ilvl w:val="0"/>
          <w:numId w:val="2"/>
        </w:numPr>
        <w:spacing w:after="100" w:afterAutospacing="1"/>
        <w:jc w:val="both"/>
        <w:rPr>
          <w:rFonts w:eastAsia="Calibri"/>
          <w:lang w:eastAsia="en-US"/>
        </w:rPr>
      </w:pPr>
      <w:r w:rsidRPr="00562888">
        <w:rPr>
          <w:rFonts w:eastAsia="Calibri" w:hint="eastAsia"/>
          <w:lang w:eastAsia="en-US"/>
        </w:rPr>
        <w:t>H.E. Akba</w:t>
      </w:r>
      <w:r w:rsidRPr="00562888">
        <w:rPr>
          <w:rFonts w:eastAsia="Calibri"/>
          <w:lang w:eastAsia="en-US"/>
        </w:rPr>
        <w:t xml:space="preserve">ş, “ </w:t>
      </w:r>
      <w:r w:rsidRPr="00562888">
        <w:rPr>
          <w:rFonts w:eastAsia="Calibri" w:hint="eastAsia"/>
          <w:bCs/>
          <w:lang w:eastAsia="en-US"/>
        </w:rPr>
        <w:t>Determinants of Bank Profitability: An Investigation on Turkish Banking Sector</w:t>
      </w:r>
      <w:r w:rsidRPr="00562888">
        <w:rPr>
          <w:rFonts w:eastAsia="Calibri"/>
          <w:bCs/>
          <w:lang w:eastAsia="en-US"/>
        </w:rPr>
        <w:t xml:space="preserve">,” </w:t>
      </w:r>
      <w:r w:rsidRPr="00562888">
        <w:rPr>
          <w:rFonts w:eastAsia="Calibri" w:hint="eastAsia"/>
          <w:lang w:eastAsia="en-US"/>
        </w:rPr>
        <w:t xml:space="preserve">Öneri Dergisi, </w:t>
      </w:r>
      <w:r w:rsidRPr="00562888">
        <w:rPr>
          <w:rFonts w:eastAsia="Calibri"/>
          <w:lang w:eastAsia="en-US"/>
        </w:rPr>
        <w:t xml:space="preserve">vol. </w:t>
      </w:r>
      <w:r w:rsidRPr="00562888">
        <w:rPr>
          <w:rFonts w:eastAsia="Calibri" w:hint="eastAsia"/>
          <w:lang w:eastAsia="en-US"/>
        </w:rPr>
        <w:t>10</w:t>
      </w:r>
      <w:r w:rsidRPr="00562888">
        <w:rPr>
          <w:rFonts w:eastAsia="Calibri"/>
          <w:lang w:eastAsia="en-US"/>
        </w:rPr>
        <w:t>,</w:t>
      </w:r>
      <w:r w:rsidRPr="00562888">
        <w:rPr>
          <w:rFonts w:eastAsia="Calibri" w:hint="eastAsia"/>
          <w:lang w:eastAsia="en-US"/>
        </w:rPr>
        <w:t xml:space="preserve"> </w:t>
      </w:r>
      <w:r w:rsidRPr="00562888">
        <w:rPr>
          <w:rFonts w:eastAsia="Calibri"/>
          <w:lang w:eastAsia="en-US"/>
        </w:rPr>
        <w:t>no.</w:t>
      </w:r>
      <w:r w:rsidRPr="00562888">
        <w:rPr>
          <w:rFonts w:eastAsia="Calibri" w:hint="eastAsia"/>
          <w:lang w:eastAsia="en-US"/>
        </w:rPr>
        <w:t>37</w:t>
      </w:r>
      <w:r w:rsidRPr="00562888">
        <w:rPr>
          <w:rFonts w:eastAsia="Calibri"/>
          <w:lang w:eastAsia="en-US"/>
        </w:rPr>
        <w:t xml:space="preserve">, </w:t>
      </w:r>
      <w:r w:rsidRPr="00562888">
        <w:rPr>
          <w:rFonts w:eastAsia="Calibri" w:hint="eastAsia"/>
          <w:lang w:eastAsia="en-US"/>
        </w:rPr>
        <w:t>2012, pp. 103</w:t>
      </w:r>
      <w:r w:rsidRPr="00562888">
        <w:rPr>
          <w:rFonts w:eastAsia="Calibri" w:hint="eastAsia"/>
          <w:lang w:eastAsia="en-US"/>
        </w:rPr>
        <w:t>–</w:t>
      </w:r>
      <w:r w:rsidRPr="00562888">
        <w:rPr>
          <w:rFonts w:eastAsia="Calibri" w:hint="eastAsia"/>
          <w:lang w:eastAsia="en-US"/>
        </w:rPr>
        <w:t>110</w:t>
      </w:r>
      <w:r w:rsidRPr="00562888">
        <w:rPr>
          <w:rFonts w:eastAsia="Calibri"/>
          <w:lang w:eastAsia="en-US"/>
        </w:rPr>
        <w:t>.</w:t>
      </w:r>
    </w:p>
    <w:p w:rsidR="008B6534" w:rsidRPr="00562888" w:rsidRDefault="008B6534" w:rsidP="00B14DF5">
      <w:pPr>
        <w:pStyle w:val="ListeParagraf"/>
        <w:numPr>
          <w:ilvl w:val="0"/>
          <w:numId w:val="2"/>
        </w:numPr>
        <w:spacing w:after="100" w:afterAutospacing="1"/>
        <w:jc w:val="both"/>
        <w:rPr>
          <w:rFonts w:eastAsia="Calibri"/>
          <w:lang w:eastAsia="en-US"/>
        </w:rPr>
      </w:pPr>
      <w:r w:rsidRPr="00562888">
        <w:rPr>
          <w:rFonts w:eastAsia="Calibri"/>
          <w:lang w:val="en-US" w:eastAsia="en-US"/>
        </w:rPr>
        <w:t>O. Aydemir, S. Ögel and G. Demirtas, “</w:t>
      </w:r>
      <w:r w:rsidRPr="00562888">
        <w:rPr>
          <w:rFonts w:eastAsia="Calibri"/>
          <w:lang w:eastAsia="en-US"/>
        </w:rPr>
        <w:t xml:space="preserve"> </w:t>
      </w:r>
      <w:r w:rsidRPr="00562888">
        <w:rPr>
          <w:rFonts w:eastAsia="Calibri"/>
          <w:bCs/>
          <w:lang w:eastAsia="en-US"/>
        </w:rPr>
        <w:t>Hisse Senetleri Fiyatlarının Belirlenmesinde Finansal Oran</w:t>
      </w:r>
      <w:r w:rsidR="00B14DF5" w:rsidRPr="00562888">
        <w:rPr>
          <w:rFonts w:eastAsia="Calibri"/>
          <w:bCs/>
          <w:lang w:eastAsia="en-US"/>
        </w:rPr>
        <w:t>l</w:t>
      </w:r>
      <w:r w:rsidRPr="00562888">
        <w:rPr>
          <w:rFonts w:eastAsia="Calibri"/>
          <w:bCs/>
          <w:lang w:eastAsia="en-US"/>
        </w:rPr>
        <w:t>arın Rolü,” Yönetim ve Ekonomi, vol.19, no.2, 2012, pp. 277-288.</w:t>
      </w:r>
    </w:p>
    <w:p w:rsidR="008B6534" w:rsidRPr="00562888" w:rsidRDefault="008B6534" w:rsidP="00B14DF5">
      <w:pPr>
        <w:pStyle w:val="ListeParagraf"/>
        <w:numPr>
          <w:ilvl w:val="0"/>
          <w:numId w:val="2"/>
        </w:numPr>
        <w:spacing w:after="100" w:afterAutospacing="1"/>
        <w:jc w:val="both"/>
        <w:rPr>
          <w:rFonts w:eastAsia="Calibri"/>
          <w:bCs/>
          <w:lang w:eastAsia="en-US"/>
        </w:rPr>
      </w:pPr>
      <w:r w:rsidRPr="00562888">
        <w:rPr>
          <w:rFonts w:eastAsia="Calibri"/>
          <w:lang w:val="en-US" w:eastAsia="en-US"/>
        </w:rPr>
        <w:t>E. Demirel, A. Atakişi and S. Abacıoğlu, “</w:t>
      </w:r>
      <w:r w:rsidRPr="00562888">
        <w:rPr>
          <w:rFonts w:eastAsia="Calibri"/>
          <w:bCs/>
          <w:lang w:eastAsia="en-US"/>
        </w:rPr>
        <w:t>Bankac</w:t>
      </w:r>
      <w:r w:rsidRPr="00562888">
        <w:rPr>
          <w:rFonts w:eastAsia="Calibri" w:hint="eastAsia"/>
          <w:bCs/>
          <w:lang w:eastAsia="en-US"/>
        </w:rPr>
        <w:t>ı</w:t>
      </w:r>
      <w:r w:rsidRPr="00562888">
        <w:rPr>
          <w:rFonts w:eastAsia="Calibri"/>
          <w:bCs/>
          <w:lang w:eastAsia="en-US"/>
        </w:rPr>
        <w:t>l</w:t>
      </w:r>
      <w:r w:rsidRPr="00562888">
        <w:rPr>
          <w:rFonts w:eastAsia="Calibri" w:hint="eastAsia"/>
          <w:bCs/>
          <w:lang w:eastAsia="en-US"/>
        </w:rPr>
        <w:t>ı</w:t>
      </w:r>
      <w:r w:rsidRPr="00562888">
        <w:rPr>
          <w:rFonts w:eastAsia="Calibri"/>
          <w:bCs/>
          <w:lang w:eastAsia="en-US"/>
        </w:rPr>
        <w:t>k Faaliyet Oranlar</w:t>
      </w:r>
      <w:r w:rsidRPr="00562888">
        <w:rPr>
          <w:rFonts w:eastAsia="Calibri" w:hint="eastAsia"/>
          <w:bCs/>
          <w:lang w:eastAsia="en-US"/>
        </w:rPr>
        <w:t>ı</w:t>
      </w:r>
      <w:r w:rsidRPr="00562888">
        <w:rPr>
          <w:rFonts w:eastAsia="Calibri"/>
          <w:bCs/>
          <w:lang w:eastAsia="en-US"/>
        </w:rPr>
        <w:t>n</w:t>
      </w:r>
      <w:r w:rsidRPr="00562888">
        <w:rPr>
          <w:rFonts w:eastAsia="Calibri" w:hint="eastAsia"/>
          <w:bCs/>
          <w:lang w:eastAsia="en-US"/>
        </w:rPr>
        <w:t>ı</w:t>
      </w:r>
      <w:r w:rsidRPr="00562888">
        <w:rPr>
          <w:rFonts w:eastAsia="Calibri"/>
          <w:bCs/>
          <w:lang w:eastAsia="en-US"/>
        </w:rPr>
        <w:t>n Panel Veri Analizi: T</w:t>
      </w:r>
      <w:r w:rsidRPr="00562888">
        <w:rPr>
          <w:rFonts w:eastAsia="Calibri" w:hint="eastAsia"/>
          <w:bCs/>
          <w:lang w:eastAsia="en-US"/>
        </w:rPr>
        <w:t>ü</w:t>
      </w:r>
      <w:r w:rsidRPr="00562888">
        <w:rPr>
          <w:rFonts w:eastAsia="Calibri"/>
          <w:bCs/>
          <w:lang w:eastAsia="en-US"/>
        </w:rPr>
        <w:t>rkiye</w:t>
      </w:r>
      <w:r w:rsidRPr="00562888">
        <w:rPr>
          <w:rFonts w:eastAsia="Calibri" w:hint="eastAsia"/>
          <w:bCs/>
          <w:lang w:eastAsia="en-US"/>
        </w:rPr>
        <w:t>’</w:t>
      </w:r>
      <w:r w:rsidRPr="00562888">
        <w:rPr>
          <w:rFonts w:eastAsia="Calibri"/>
          <w:bCs/>
          <w:lang w:eastAsia="en-US"/>
        </w:rPr>
        <w:t xml:space="preserve">deki Kamu, </w:t>
      </w:r>
      <w:r w:rsidRPr="00562888">
        <w:rPr>
          <w:rFonts w:eastAsia="Calibri" w:hint="eastAsia"/>
          <w:bCs/>
          <w:lang w:eastAsia="en-US"/>
        </w:rPr>
        <w:t>Ö</w:t>
      </w:r>
      <w:r w:rsidRPr="00562888">
        <w:rPr>
          <w:rFonts w:eastAsia="Calibri"/>
          <w:bCs/>
          <w:lang w:eastAsia="en-US"/>
        </w:rPr>
        <w:t>zel Ve Yabanc</w:t>
      </w:r>
      <w:r w:rsidRPr="00562888">
        <w:rPr>
          <w:rFonts w:eastAsia="Calibri" w:hint="eastAsia"/>
          <w:bCs/>
          <w:lang w:eastAsia="en-US"/>
        </w:rPr>
        <w:t>ı</w:t>
      </w:r>
      <w:r w:rsidRPr="00562888">
        <w:rPr>
          <w:rFonts w:eastAsia="Calibri"/>
          <w:bCs/>
          <w:lang w:eastAsia="en-US"/>
        </w:rPr>
        <w:t xml:space="preserve"> Sermayeli Bankalar</w:t>
      </w:r>
      <w:r w:rsidRPr="00562888">
        <w:rPr>
          <w:rFonts w:eastAsia="Calibri" w:hint="eastAsia"/>
          <w:bCs/>
          <w:lang w:eastAsia="en-US"/>
        </w:rPr>
        <w:t>ı</w:t>
      </w:r>
      <w:r w:rsidRPr="00562888">
        <w:rPr>
          <w:rFonts w:eastAsia="Calibri"/>
          <w:bCs/>
          <w:lang w:eastAsia="en-US"/>
        </w:rPr>
        <w:t>n Durumu,” The Journal of Accounting and Finance, no. 59, 2013, pp.101-112.</w:t>
      </w:r>
    </w:p>
    <w:p w:rsidR="008B6534" w:rsidRPr="00562888" w:rsidRDefault="008B6534" w:rsidP="00B14DF5">
      <w:pPr>
        <w:pStyle w:val="ListeParagraf"/>
        <w:numPr>
          <w:ilvl w:val="0"/>
          <w:numId w:val="2"/>
        </w:numPr>
        <w:spacing w:after="100" w:afterAutospacing="1"/>
        <w:jc w:val="both"/>
        <w:rPr>
          <w:rFonts w:eastAsia="Calibri"/>
          <w:lang w:eastAsia="en-US"/>
        </w:rPr>
      </w:pPr>
      <w:r w:rsidRPr="00562888">
        <w:rPr>
          <w:rFonts w:eastAsia="Calibri"/>
          <w:lang w:val="en-US" w:eastAsia="en-US"/>
        </w:rPr>
        <w:t>H.A. Okuyan, “Türk Bankacılık Sektöründe Sermaye Yapısı,”Ege Akademik Bakış, vol. 13, no.3, 2013, pp.295-302.</w:t>
      </w:r>
    </w:p>
    <w:p w:rsidR="008B6534" w:rsidRPr="00562888" w:rsidRDefault="008B6534" w:rsidP="00B14DF5">
      <w:pPr>
        <w:pStyle w:val="ListeParagraf"/>
        <w:numPr>
          <w:ilvl w:val="0"/>
          <w:numId w:val="2"/>
        </w:numPr>
        <w:spacing w:after="100" w:afterAutospacing="1"/>
        <w:jc w:val="both"/>
        <w:rPr>
          <w:rFonts w:eastAsia="Calibri"/>
          <w:bCs/>
          <w:lang w:eastAsia="en-US"/>
        </w:rPr>
      </w:pPr>
      <w:r w:rsidRPr="00562888">
        <w:rPr>
          <w:rFonts w:eastAsia="Calibri"/>
          <w:lang w:val="en-US" w:eastAsia="en-US"/>
        </w:rPr>
        <w:t>H. Bektas and M. Tekin, “</w:t>
      </w:r>
      <w:r w:rsidRPr="00562888">
        <w:rPr>
          <w:rFonts w:eastAsia="Calibri"/>
          <w:bCs/>
          <w:lang w:eastAsia="en-US"/>
        </w:rPr>
        <w:t>Finansal Oranlar ve Borsa Performans Oranları İlişkisi: İMKB’ de İşlem Gören Bankaların Kanonik Korelasyon analizi,” Marmara Üniversitesi İ.İ.B.F Dergisi, vol.34, no.1, 2013, pp. 317-329.</w:t>
      </w:r>
      <w:r w:rsidRPr="00562888">
        <w:rPr>
          <w:rFonts w:eastAsia="Calibri"/>
          <w:lang w:val="en-US" w:eastAsia="en-US"/>
        </w:rPr>
        <w:t xml:space="preserve"> </w:t>
      </w:r>
    </w:p>
    <w:p w:rsidR="008B6534" w:rsidRPr="00562888" w:rsidRDefault="008B6534" w:rsidP="00B14DF5">
      <w:pPr>
        <w:pStyle w:val="ListeParagraf"/>
        <w:numPr>
          <w:ilvl w:val="0"/>
          <w:numId w:val="2"/>
        </w:numPr>
        <w:spacing w:after="100" w:afterAutospacing="1"/>
        <w:jc w:val="both"/>
        <w:rPr>
          <w:rFonts w:eastAsia="Calibri"/>
          <w:bCs/>
          <w:lang w:eastAsia="en-US"/>
        </w:rPr>
      </w:pPr>
      <w:r w:rsidRPr="00562888">
        <w:rPr>
          <w:rFonts w:eastAsia="Calibri"/>
          <w:lang w:val="en-US" w:eastAsia="en-US"/>
        </w:rPr>
        <w:t>Ş. Sakarya and S. Aytekin, “</w:t>
      </w:r>
      <w:r w:rsidRPr="00562888">
        <w:rPr>
          <w:rFonts w:eastAsia="Calibri"/>
          <w:bCs/>
          <w:lang w:eastAsia="en-US"/>
        </w:rPr>
        <w:t>İMKB’de İşlem Gören Mevduat Bankalarının Performansları ile Hisse Senedi Getirileri Arasındaki İlişkinin Ölçülmesi: PROMETHEE Çok Kriterli Karar Verme Yöntemiyle Bir Uygulama,” International Journal of Alanya Faculty of Business, vol.5, no.2, 2013, pp. 99-109.</w:t>
      </w:r>
    </w:p>
    <w:p w:rsidR="008B6534" w:rsidRPr="00562888" w:rsidRDefault="008B6534" w:rsidP="00B14DF5">
      <w:pPr>
        <w:pStyle w:val="ListeParagraf"/>
        <w:numPr>
          <w:ilvl w:val="0"/>
          <w:numId w:val="2"/>
        </w:numPr>
        <w:spacing w:after="100" w:afterAutospacing="1"/>
        <w:jc w:val="both"/>
        <w:rPr>
          <w:rFonts w:eastAsia="Calibri"/>
          <w:lang w:eastAsia="en-US"/>
        </w:rPr>
      </w:pPr>
      <w:r w:rsidRPr="00562888">
        <w:rPr>
          <w:rFonts w:eastAsia="Calibri"/>
          <w:lang w:val="en-US" w:eastAsia="en-US"/>
        </w:rPr>
        <w:t>H. Ayaydın and İ. Karaaslan, “Ülke Riskinin Hisse Senedi Fiyatlarına Etkisi: Türk Bankacılık Sektöründe Bir Araştırma,”Gümüşhane Üniversitesi Sosyal Bilimler Elektronik Dergisi, no.10, June 2014, pp.1-28.</w:t>
      </w:r>
    </w:p>
    <w:p w:rsidR="00562888" w:rsidRDefault="008B6534" w:rsidP="00562888">
      <w:pPr>
        <w:pStyle w:val="ListeParagraf"/>
        <w:numPr>
          <w:ilvl w:val="0"/>
          <w:numId w:val="2"/>
        </w:numPr>
        <w:spacing w:after="100" w:afterAutospacing="1"/>
        <w:jc w:val="both"/>
        <w:rPr>
          <w:rFonts w:eastAsia="Calibri"/>
          <w:bCs/>
          <w:lang w:eastAsia="en-US"/>
        </w:rPr>
      </w:pPr>
      <w:r w:rsidRPr="00562888">
        <w:rPr>
          <w:rFonts w:eastAsia="Calibri"/>
          <w:lang w:val="en-US" w:eastAsia="en-US"/>
        </w:rPr>
        <w:t>Y. Ayrıcay and V.E. Turk, “</w:t>
      </w:r>
      <w:r w:rsidRPr="00562888">
        <w:rPr>
          <w:rFonts w:eastAsia="Calibri"/>
          <w:bCs/>
          <w:lang w:eastAsia="en-US"/>
        </w:rPr>
        <w:t>Finansal Oranlar ve Firma De</w:t>
      </w:r>
      <w:r w:rsidRPr="00562888">
        <w:rPr>
          <w:rFonts w:eastAsia="Calibri" w:hint="eastAsia"/>
          <w:bCs/>
          <w:lang w:eastAsia="en-US"/>
        </w:rPr>
        <w:t>ğ</w:t>
      </w:r>
      <w:r w:rsidRPr="00562888">
        <w:rPr>
          <w:rFonts w:eastAsia="Calibri"/>
          <w:bCs/>
          <w:lang w:eastAsia="en-US"/>
        </w:rPr>
        <w:t xml:space="preserve">eri </w:t>
      </w:r>
      <w:r w:rsidRPr="00562888">
        <w:rPr>
          <w:rFonts w:eastAsia="Calibri" w:hint="eastAsia"/>
          <w:bCs/>
          <w:lang w:eastAsia="en-US"/>
        </w:rPr>
        <w:t>İ</w:t>
      </w:r>
      <w:r w:rsidRPr="00562888">
        <w:rPr>
          <w:rFonts w:eastAsia="Calibri"/>
          <w:bCs/>
          <w:lang w:eastAsia="en-US"/>
        </w:rPr>
        <w:t>li</w:t>
      </w:r>
      <w:r w:rsidRPr="00562888">
        <w:rPr>
          <w:rFonts w:eastAsia="Calibri" w:hint="eastAsia"/>
          <w:bCs/>
          <w:lang w:eastAsia="en-US"/>
        </w:rPr>
        <w:t>ş</w:t>
      </w:r>
      <w:r w:rsidRPr="00562888">
        <w:rPr>
          <w:rFonts w:eastAsia="Calibri"/>
          <w:bCs/>
          <w:lang w:eastAsia="en-US"/>
        </w:rPr>
        <w:t>kisi: B</w:t>
      </w:r>
      <w:r w:rsidRPr="00562888">
        <w:rPr>
          <w:rFonts w:eastAsia="Calibri" w:hint="eastAsia"/>
          <w:bCs/>
          <w:lang w:eastAsia="en-US"/>
        </w:rPr>
        <w:t>İ</w:t>
      </w:r>
      <w:r w:rsidRPr="00562888">
        <w:rPr>
          <w:rFonts w:eastAsia="Calibri"/>
          <w:bCs/>
          <w:lang w:eastAsia="en-US"/>
        </w:rPr>
        <w:t>ST’de Bir Uygulama,” The Journal of Accounting and Finance, vol.64, 2014, pp.53-70.</w:t>
      </w:r>
    </w:p>
    <w:p w:rsidR="00445DCB" w:rsidRPr="00445DCB" w:rsidRDefault="00445DCB" w:rsidP="00445DCB">
      <w:pPr>
        <w:pStyle w:val="ListeParagraf"/>
        <w:numPr>
          <w:ilvl w:val="0"/>
          <w:numId w:val="2"/>
        </w:numPr>
        <w:spacing w:after="100" w:afterAutospacing="1"/>
        <w:jc w:val="both"/>
        <w:rPr>
          <w:rFonts w:eastAsia="Calibri"/>
          <w:color w:val="333333"/>
          <w:shd w:val="clear" w:color="auto" w:fill="FFFFFF"/>
          <w:lang w:eastAsia="en-US"/>
        </w:rPr>
      </w:pPr>
      <w:r w:rsidRPr="00562888">
        <w:rPr>
          <w:rFonts w:eastAsia="Calibri"/>
          <w:color w:val="333333"/>
          <w:shd w:val="clear" w:color="auto" w:fill="FFFFFF"/>
          <w:lang w:eastAsia="en-US"/>
        </w:rPr>
        <w:t xml:space="preserve">B. H. Baltagi, “Econometric Analysis of Panel Data,” John Wiley&amp;Sons, 2005. </w:t>
      </w:r>
    </w:p>
    <w:p w:rsidR="008B6534" w:rsidRPr="00562888" w:rsidRDefault="008B6534" w:rsidP="00562888">
      <w:pPr>
        <w:pStyle w:val="ListeParagraf"/>
        <w:numPr>
          <w:ilvl w:val="0"/>
          <w:numId w:val="2"/>
        </w:numPr>
        <w:spacing w:after="100" w:afterAutospacing="1"/>
        <w:jc w:val="both"/>
        <w:rPr>
          <w:rFonts w:eastAsia="Calibri"/>
          <w:bCs/>
          <w:lang w:eastAsia="en-US"/>
        </w:rPr>
      </w:pPr>
      <w:r w:rsidRPr="00562888">
        <w:rPr>
          <w:rFonts w:eastAsia="Calibri"/>
          <w:color w:val="222222"/>
          <w:shd w:val="clear" w:color="auto" w:fill="FFFFFF"/>
          <w:lang w:eastAsia="en-US"/>
        </w:rPr>
        <w:t>Levin, C.F. Lin and C. S. J. Chu. "Unit Root Tests in Panel Data: Asymptotic and Finite-Sample Properties,"</w:t>
      </w:r>
      <w:r w:rsidRPr="00562888">
        <w:rPr>
          <w:rFonts w:eastAsia="Calibri"/>
          <w:color w:val="222222"/>
          <w:lang w:eastAsia="en-US"/>
        </w:rPr>
        <w:t> </w:t>
      </w:r>
      <w:r w:rsidRPr="00562888">
        <w:rPr>
          <w:rFonts w:eastAsia="Calibri"/>
          <w:iCs/>
          <w:color w:val="222222"/>
          <w:shd w:val="clear" w:color="auto" w:fill="FFFFFF"/>
          <w:lang w:eastAsia="en-US"/>
        </w:rPr>
        <w:t xml:space="preserve">Journal of Econometrics, vol. </w:t>
      </w:r>
      <w:r w:rsidRPr="00562888">
        <w:rPr>
          <w:rFonts w:eastAsia="Calibri"/>
          <w:color w:val="222222"/>
          <w:shd w:val="clear" w:color="auto" w:fill="FFFFFF"/>
          <w:lang w:eastAsia="en-US"/>
        </w:rPr>
        <w:t>108, no. 1, 2002, pp. 1-24.</w:t>
      </w:r>
    </w:p>
    <w:p w:rsidR="008B6534" w:rsidRPr="00562888" w:rsidRDefault="008B6534" w:rsidP="00B14DF5">
      <w:pPr>
        <w:pStyle w:val="ListeParagraf"/>
        <w:numPr>
          <w:ilvl w:val="0"/>
          <w:numId w:val="2"/>
        </w:numPr>
        <w:spacing w:after="100" w:afterAutospacing="1"/>
        <w:jc w:val="both"/>
        <w:rPr>
          <w:rFonts w:eastAsia="Calibri"/>
          <w:color w:val="333333"/>
          <w:shd w:val="clear" w:color="auto" w:fill="FFFFFF"/>
          <w:lang w:eastAsia="en-US"/>
        </w:rPr>
      </w:pPr>
      <w:r w:rsidRPr="00562888">
        <w:rPr>
          <w:rFonts w:eastAsia="Calibri"/>
          <w:color w:val="333333"/>
          <w:shd w:val="clear" w:color="auto" w:fill="FFFFFF"/>
          <w:lang w:eastAsia="en-US"/>
        </w:rPr>
        <w:t>K. S. Im, M. H. Pesaran and Y. Shin, “Testing for Unit Roots in Heterogeneous Panels”, Journal of Econometrics, vol. 115, 2003, pp.53-74.</w:t>
      </w:r>
    </w:p>
    <w:p w:rsidR="00CF43B1" w:rsidRPr="00445DCB" w:rsidRDefault="008B6534" w:rsidP="00B14DF5">
      <w:pPr>
        <w:pStyle w:val="ListeParagraf"/>
        <w:numPr>
          <w:ilvl w:val="0"/>
          <w:numId w:val="2"/>
        </w:numPr>
        <w:spacing w:after="100" w:afterAutospacing="1"/>
        <w:jc w:val="both"/>
        <w:rPr>
          <w:rFonts w:eastAsia="Calibri"/>
          <w:lang w:eastAsia="en-US"/>
        </w:rPr>
      </w:pPr>
      <w:r w:rsidRPr="00562888">
        <w:rPr>
          <w:rFonts w:eastAsia="Calibri"/>
          <w:lang w:eastAsia="en-US"/>
        </w:rPr>
        <w:lastRenderedPageBreak/>
        <w:t>S. Nazlioglu, and U. Soytaş, “Oil Price, Agricultural Commodity Prices, and the Dollar: A Panel Cointegration and Causality Analysis,” Energy Economics, vol. 34 no.4, 2012, pp. 1098-1104.</w:t>
      </w:r>
    </w:p>
    <w:p w:rsidR="00CF43B1" w:rsidRPr="00562888" w:rsidRDefault="00CF43B1" w:rsidP="00B14DF5">
      <w:pPr>
        <w:spacing w:after="100" w:afterAutospacing="1"/>
        <w:jc w:val="both"/>
      </w:pPr>
    </w:p>
    <w:p w:rsidR="00CF43B1" w:rsidRDefault="00CF43B1" w:rsidP="00B14DF5">
      <w:pPr>
        <w:spacing w:after="100" w:afterAutospacing="1"/>
        <w:jc w:val="both"/>
      </w:pPr>
    </w:p>
    <w:p w:rsidR="00CF43B1" w:rsidRDefault="00CF43B1" w:rsidP="00B14DF5">
      <w:pPr>
        <w:spacing w:after="100" w:afterAutospacing="1"/>
        <w:jc w:val="both"/>
      </w:pPr>
    </w:p>
    <w:p w:rsidR="00CF43B1" w:rsidRPr="00A9376A" w:rsidRDefault="00CF43B1" w:rsidP="00B14DF5">
      <w:pPr>
        <w:spacing w:after="100" w:afterAutospacing="1"/>
        <w:jc w:val="both"/>
      </w:pPr>
    </w:p>
    <w:p w:rsidR="00CF43B1" w:rsidRPr="00A9376A" w:rsidRDefault="00CF43B1" w:rsidP="00B14DF5">
      <w:pPr>
        <w:spacing w:after="100" w:afterAutospacing="1"/>
        <w:jc w:val="both"/>
      </w:pPr>
    </w:p>
    <w:sectPr w:rsidR="00CF43B1" w:rsidRPr="00A9376A" w:rsidSect="00F30153">
      <w:footerReference w:type="defaul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C0" w:rsidRDefault="009A4CC0" w:rsidP="00B14DF5">
      <w:r>
        <w:separator/>
      </w:r>
    </w:p>
  </w:endnote>
  <w:endnote w:type="continuationSeparator" w:id="1">
    <w:p w:rsidR="009A4CC0" w:rsidRDefault="009A4CC0" w:rsidP="00B1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TT94c8263f.I+03">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61" w:rsidRDefault="008A28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C0" w:rsidRDefault="009A4CC0" w:rsidP="00B14DF5">
      <w:r>
        <w:separator/>
      </w:r>
    </w:p>
  </w:footnote>
  <w:footnote w:type="continuationSeparator" w:id="1">
    <w:p w:rsidR="009A4CC0" w:rsidRDefault="009A4CC0" w:rsidP="00B14DF5">
      <w:r>
        <w:continuationSeparator/>
      </w:r>
    </w:p>
  </w:footnote>
  <w:footnote w:id="2">
    <w:p w:rsidR="008A2861" w:rsidRDefault="008A2861">
      <w:pPr>
        <w:pStyle w:val="DipnotMetni"/>
      </w:pPr>
      <w:r>
        <w:rPr>
          <w:rStyle w:val="DipnotBavurusu"/>
        </w:rPr>
        <w:footnoteRef/>
      </w:r>
      <w:r>
        <w:t xml:space="preserve"> (Corresponding Author) Lecturer Dr.</w:t>
      </w:r>
      <w:r w:rsidRPr="008A2861">
        <w:t>Balikesir University Bandirma Vocational School Department of Economics and Administrative Sciences</w:t>
      </w:r>
      <w:r>
        <w:t>.</w:t>
      </w:r>
    </w:p>
  </w:footnote>
  <w:footnote w:id="3">
    <w:p w:rsidR="007B28D5" w:rsidRDefault="008A2861" w:rsidP="007B28D5">
      <w:pPr>
        <w:pStyle w:val="DipnotMetni"/>
      </w:pPr>
      <w:r>
        <w:rPr>
          <w:rStyle w:val="DipnotBavurusu"/>
        </w:rPr>
        <w:footnoteRef/>
      </w:r>
      <w:r>
        <w:t xml:space="preserve"> </w:t>
      </w:r>
      <w:r w:rsidR="007B28D5">
        <w:t>Yard</w:t>
      </w:r>
      <w:r w:rsidRPr="008A2861">
        <w:t>.</w:t>
      </w:r>
      <w:r w:rsidR="007B28D5">
        <w:t>Doc.</w:t>
      </w:r>
      <w:r w:rsidRPr="008A2861">
        <w:t xml:space="preserve"> Dr., Balikesir University, </w:t>
      </w:r>
      <w:r w:rsidR="007B28D5" w:rsidRPr="008A2861">
        <w:t>Bandirma Vocational School Department of Economics and Administrative Sciences</w:t>
      </w:r>
      <w:r w:rsidR="007B28D5">
        <w:t>.</w:t>
      </w:r>
    </w:p>
    <w:p w:rsidR="008A2861" w:rsidRDefault="008A2861">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2B51"/>
    <w:multiLevelType w:val="multilevel"/>
    <w:tmpl w:val="65F274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8D90B9E"/>
    <w:multiLevelType w:val="hybridMultilevel"/>
    <w:tmpl w:val="E10AD884"/>
    <w:lvl w:ilvl="0" w:tplc="95FA361A">
      <w:start w:val="1"/>
      <w:numFmt w:val="decimal"/>
      <w:lvlText w:val="[%1]"/>
      <w:lvlJc w:val="left"/>
      <w:pPr>
        <w:ind w:left="680" w:hanging="510"/>
      </w:pPr>
      <w:rPr>
        <w:rFonts w:hint="default"/>
      </w:rPr>
    </w:lvl>
    <w:lvl w:ilvl="1" w:tplc="A776E3E4">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DD09CA"/>
    <w:rsid w:val="00001220"/>
    <w:rsid w:val="00003DFD"/>
    <w:rsid w:val="00024E45"/>
    <w:rsid w:val="00024E87"/>
    <w:rsid w:val="00027C64"/>
    <w:rsid w:val="0003547F"/>
    <w:rsid w:val="00035B29"/>
    <w:rsid w:val="000436ED"/>
    <w:rsid w:val="00045B3F"/>
    <w:rsid w:val="00051F1D"/>
    <w:rsid w:val="0005403C"/>
    <w:rsid w:val="00061B42"/>
    <w:rsid w:val="00066967"/>
    <w:rsid w:val="000670CF"/>
    <w:rsid w:val="00067672"/>
    <w:rsid w:val="0006769E"/>
    <w:rsid w:val="0007041E"/>
    <w:rsid w:val="000709AB"/>
    <w:rsid w:val="000802C5"/>
    <w:rsid w:val="000A1831"/>
    <w:rsid w:val="000B0ACB"/>
    <w:rsid w:val="000C2604"/>
    <w:rsid w:val="000C360D"/>
    <w:rsid w:val="000C73EF"/>
    <w:rsid w:val="000D4516"/>
    <w:rsid w:val="000D4720"/>
    <w:rsid w:val="000D55AF"/>
    <w:rsid w:val="000D6367"/>
    <w:rsid w:val="000D7470"/>
    <w:rsid w:val="000E5CBE"/>
    <w:rsid w:val="000F2227"/>
    <w:rsid w:val="000F2F4D"/>
    <w:rsid w:val="000F4E19"/>
    <w:rsid w:val="000F5DE2"/>
    <w:rsid w:val="000F662B"/>
    <w:rsid w:val="00100100"/>
    <w:rsid w:val="00104DBC"/>
    <w:rsid w:val="00110BD4"/>
    <w:rsid w:val="001178DD"/>
    <w:rsid w:val="00117BCC"/>
    <w:rsid w:val="0012592C"/>
    <w:rsid w:val="00127DCC"/>
    <w:rsid w:val="00130124"/>
    <w:rsid w:val="00130B2F"/>
    <w:rsid w:val="00140C0D"/>
    <w:rsid w:val="001435B7"/>
    <w:rsid w:val="00143702"/>
    <w:rsid w:val="00145AF7"/>
    <w:rsid w:val="0014690E"/>
    <w:rsid w:val="001514B6"/>
    <w:rsid w:val="00151A39"/>
    <w:rsid w:val="00157FD9"/>
    <w:rsid w:val="00160839"/>
    <w:rsid w:val="001628DA"/>
    <w:rsid w:val="00163F0F"/>
    <w:rsid w:val="00165418"/>
    <w:rsid w:val="00165483"/>
    <w:rsid w:val="00165EBB"/>
    <w:rsid w:val="00166AE6"/>
    <w:rsid w:val="00173582"/>
    <w:rsid w:val="00173ABA"/>
    <w:rsid w:val="00195157"/>
    <w:rsid w:val="001A10A7"/>
    <w:rsid w:val="001A1A51"/>
    <w:rsid w:val="001D7A4D"/>
    <w:rsid w:val="001F53E9"/>
    <w:rsid w:val="00200096"/>
    <w:rsid w:val="002007A9"/>
    <w:rsid w:val="00201AA3"/>
    <w:rsid w:val="00206968"/>
    <w:rsid w:val="002079CB"/>
    <w:rsid w:val="00220CAC"/>
    <w:rsid w:val="00225735"/>
    <w:rsid w:val="0023586A"/>
    <w:rsid w:val="002366E3"/>
    <w:rsid w:val="002612A2"/>
    <w:rsid w:val="00266C85"/>
    <w:rsid w:val="00273863"/>
    <w:rsid w:val="002752AC"/>
    <w:rsid w:val="00282042"/>
    <w:rsid w:val="00284098"/>
    <w:rsid w:val="00292108"/>
    <w:rsid w:val="00292980"/>
    <w:rsid w:val="00293A36"/>
    <w:rsid w:val="002A4872"/>
    <w:rsid w:val="002A6F23"/>
    <w:rsid w:val="002A7195"/>
    <w:rsid w:val="002B1885"/>
    <w:rsid w:val="002B5411"/>
    <w:rsid w:val="002C19A4"/>
    <w:rsid w:val="002C2172"/>
    <w:rsid w:val="002C7BB0"/>
    <w:rsid w:val="002D4815"/>
    <w:rsid w:val="002E1983"/>
    <w:rsid w:val="002E4926"/>
    <w:rsid w:val="002E5BD9"/>
    <w:rsid w:val="00301ABB"/>
    <w:rsid w:val="00304A87"/>
    <w:rsid w:val="00310CB1"/>
    <w:rsid w:val="003138E4"/>
    <w:rsid w:val="00314F95"/>
    <w:rsid w:val="00316DB7"/>
    <w:rsid w:val="00320976"/>
    <w:rsid w:val="00320F48"/>
    <w:rsid w:val="003239B9"/>
    <w:rsid w:val="00330CAA"/>
    <w:rsid w:val="0033363B"/>
    <w:rsid w:val="003364AC"/>
    <w:rsid w:val="00344829"/>
    <w:rsid w:val="0034517D"/>
    <w:rsid w:val="00352EE4"/>
    <w:rsid w:val="00357C69"/>
    <w:rsid w:val="00363AE8"/>
    <w:rsid w:val="00363CF5"/>
    <w:rsid w:val="00364E61"/>
    <w:rsid w:val="003653BD"/>
    <w:rsid w:val="003679F0"/>
    <w:rsid w:val="00371A1E"/>
    <w:rsid w:val="0037247A"/>
    <w:rsid w:val="00373028"/>
    <w:rsid w:val="00382692"/>
    <w:rsid w:val="00392E41"/>
    <w:rsid w:val="00396A83"/>
    <w:rsid w:val="003A21AF"/>
    <w:rsid w:val="003A7865"/>
    <w:rsid w:val="003B78A8"/>
    <w:rsid w:val="003B7CA5"/>
    <w:rsid w:val="003C0CDD"/>
    <w:rsid w:val="003C5C5C"/>
    <w:rsid w:val="003D3C3F"/>
    <w:rsid w:val="003D5702"/>
    <w:rsid w:val="003D6802"/>
    <w:rsid w:val="004064AE"/>
    <w:rsid w:val="00412E5C"/>
    <w:rsid w:val="00421DEC"/>
    <w:rsid w:val="0042372C"/>
    <w:rsid w:val="00424D07"/>
    <w:rsid w:val="00430245"/>
    <w:rsid w:val="00444475"/>
    <w:rsid w:val="004457EC"/>
    <w:rsid w:val="00445DCB"/>
    <w:rsid w:val="0045039E"/>
    <w:rsid w:val="00455470"/>
    <w:rsid w:val="00465F0E"/>
    <w:rsid w:val="00472261"/>
    <w:rsid w:val="00485EC2"/>
    <w:rsid w:val="004906EC"/>
    <w:rsid w:val="004954C9"/>
    <w:rsid w:val="0049586A"/>
    <w:rsid w:val="004969B1"/>
    <w:rsid w:val="00496E3D"/>
    <w:rsid w:val="004A1110"/>
    <w:rsid w:val="004C1EA7"/>
    <w:rsid w:val="004C418A"/>
    <w:rsid w:val="004C7F01"/>
    <w:rsid w:val="004D134A"/>
    <w:rsid w:val="004D17C8"/>
    <w:rsid w:val="004E04FA"/>
    <w:rsid w:val="004E6CFA"/>
    <w:rsid w:val="004F3AB7"/>
    <w:rsid w:val="00507A8E"/>
    <w:rsid w:val="00514128"/>
    <w:rsid w:val="00514C04"/>
    <w:rsid w:val="00515E58"/>
    <w:rsid w:val="00516E51"/>
    <w:rsid w:val="00525415"/>
    <w:rsid w:val="005368C4"/>
    <w:rsid w:val="00541366"/>
    <w:rsid w:val="00544049"/>
    <w:rsid w:val="005522F8"/>
    <w:rsid w:val="005533C2"/>
    <w:rsid w:val="005540B5"/>
    <w:rsid w:val="00557E51"/>
    <w:rsid w:val="00562888"/>
    <w:rsid w:val="00573903"/>
    <w:rsid w:val="00573DFE"/>
    <w:rsid w:val="00580B8C"/>
    <w:rsid w:val="00582726"/>
    <w:rsid w:val="0058320A"/>
    <w:rsid w:val="00583FE5"/>
    <w:rsid w:val="00586311"/>
    <w:rsid w:val="005B1004"/>
    <w:rsid w:val="005B35CE"/>
    <w:rsid w:val="005B6472"/>
    <w:rsid w:val="005C432F"/>
    <w:rsid w:val="005D1F74"/>
    <w:rsid w:val="005D2F53"/>
    <w:rsid w:val="005E0B49"/>
    <w:rsid w:val="005E0B99"/>
    <w:rsid w:val="005E666E"/>
    <w:rsid w:val="005E68D0"/>
    <w:rsid w:val="005F16A1"/>
    <w:rsid w:val="005F1BAD"/>
    <w:rsid w:val="005F501F"/>
    <w:rsid w:val="005F5CAA"/>
    <w:rsid w:val="00600B3F"/>
    <w:rsid w:val="006074FD"/>
    <w:rsid w:val="00607BAC"/>
    <w:rsid w:val="00630EDF"/>
    <w:rsid w:val="0063390D"/>
    <w:rsid w:val="00644859"/>
    <w:rsid w:val="00651CD4"/>
    <w:rsid w:val="00657025"/>
    <w:rsid w:val="00671332"/>
    <w:rsid w:val="0068227A"/>
    <w:rsid w:val="00682AE1"/>
    <w:rsid w:val="00684213"/>
    <w:rsid w:val="00684303"/>
    <w:rsid w:val="00692C75"/>
    <w:rsid w:val="00694D79"/>
    <w:rsid w:val="00696D61"/>
    <w:rsid w:val="006A1FA6"/>
    <w:rsid w:val="006A3C64"/>
    <w:rsid w:val="006B03F0"/>
    <w:rsid w:val="006C0F3C"/>
    <w:rsid w:val="006C2660"/>
    <w:rsid w:val="006C2CBC"/>
    <w:rsid w:val="006D1A4D"/>
    <w:rsid w:val="006D1DA2"/>
    <w:rsid w:val="006D721B"/>
    <w:rsid w:val="006D7B45"/>
    <w:rsid w:val="006E321B"/>
    <w:rsid w:val="006E4F0B"/>
    <w:rsid w:val="006F0D09"/>
    <w:rsid w:val="006F4B62"/>
    <w:rsid w:val="00702B06"/>
    <w:rsid w:val="0070575C"/>
    <w:rsid w:val="00706634"/>
    <w:rsid w:val="00706D8F"/>
    <w:rsid w:val="007127F4"/>
    <w:rsid w:val="00714086"/>
    <w:rsid w:val="00714BA2"/>
    <w:rsid w:val="0071799B"/>
    <w:rsid w:val="00721F56"/>
    <w:rsid w:val="007363AC"/>
    <w:rsid w:val="007411DE"/>
    <w:rsid w:val="007414DA"/>
    <w:rsid w:val="00745545"/>
    <w:rsid w:val="0076491C"/>
    <w:rsid w:val="00775152"/>
    <w:rsid w:val="00775493"/>
    <w:rsid w:val="007764E6"/>
    <w:rsid w:val="00780978"/>
    <w:rsid w:val="00787C75"/>
    <w:rsid w:val="007954CE"/>
    <w:rsid w:val="0079692C"/>
    <w:rsid w:val="00796BC9"/>
    <w:rsid w:val="00796E7C"/>
    <w:rsid w:val="007B0957"/>
    <w:rsid w:val="007B28D5"/>
    <w:rsid w:val="007C1C5D"/>
    <w:rsid w:val="007C2EF9"/>
    <w:rsid w:val="007D2956"/>
    <w:rsid w:val="007D70C7"/>
    <w:rsid w:val="007E0FB1"/>
    <w:rsid w:val="007E22BF"/>
    <w:rsid w:val="007F3C93"/>
    <w:rsid w:val="00804492"/>
    <w:rsid w:val="00805362"/>
    <w:rsid w:val="00806525"/>
    <w:rsid w:val="00807641"/>
    <w:rsid w:val="0081296C"/>
    <w:rsid w:val="00820BCD"/>
    <w:rsid w:val="008304CB"/>
    <w:rsid w:val="008305D0"/>
    <w:rsid w:val="00832385"/>
    <w:rsid w:val="00843C9D"/>
    <w:rsid w:val="008508FC"/>
    <w:rsid w:val="0087349F"/>
    <w:rsid w:val="00881883"/>
    <w:rsid w:val="00882115"/>
    <w:rsid w:val="00883044"/>
    <w:rsid w:val="0089443B"/>
    <w:rsid w:val="008A2861"/>
    <w:rsid w:val="008A29E1"/>
    <w:rsid w:val="008A389C"/>
    <w:rsid w:val="008A40AE"/>
    <w:rsid w:val="008A624B"/>
    <w:rsid w:val="008B167C"/>
    <w:rsid w:val="008B6534"/>
    <w:rsid w:val="008C19DB"/>
    <w:rsid w:val="008C2831"/>
    <w:rsid w:val="008C4B50"/>
    <w:rsid w:val="008C7F9B"/>
    <w:rsid w:val="008D0F35"/>
    <w:rsid w:val="008D29BD"/>
    <w:rsid w:val="008D68E3"/>
    <w:rsid w:val="008D6957"/>
    <w:rsid w:val="008F21B0"/>
    <w:rsid w:val="008F523E"/>
    <w:rsid w:val="008F55DB"/>
    <w:rsid w:val="008F69FE"/>
    <w:rsid w:val="00915744"/>
    <w:rsid w:val="009204ED"/>
    <w:rsid w:val="00920575"/>
    <w:rsid w:val="00921E41"/>
    <w:rsid w:val="00926038"/>
    <w:rsid w:val="00947F4C"/>
    <w:rsid w:val="00957657"/>
    <w:rsid w:val="00966C3A"/>
    <w:rsid w:val="00980C55"/>
    <w:rsid w:val="00980F8C"/>
    <w:rsid w:val="00991C52"/>
    <w:rsid w:val="009933A9"/>
    <w:rsid w:val="009A386E"/>
    <w:rsid w:val="009A4CC0"/>
    <w:rsid w:val="009B1B56"/>
    <w:rsid w:val="009B283A"/>
    <w:rsid w:val="009B34BF"/>
    <w:rsid w:val="009B4191"/>
    <w:rsid w:val="009B6784"/>
    <w:rsid w:val="009B735B"/>
    <w:rsid w:val="009C7F9B"/>
    <w:rsid w:val="009D61FB"/>
    <w:rsid w:val="009D6DA2"/>
    <w:rsid w:val="009E2AA5"/>
    <w:rsid w:val="00A00C8A"/>
    <w:rsid w:val="00A06374"/>
    <w:rsid w:val="00A06FC3"/>
    <w:rsid w:val="00A137E9"/>
    <w:rsid w:val="00A13C4A"/>
    <w:rsid w:val="00A150F3"/>
    <w:rsid w:val="00A17AED"/>
    <w:rsid w:val="00A20302"/>
    <w:rsid w:val="00A22336"/>
    <w:rsid w:val="00A26734"/>
    <w:rsid w:val="00A34208"/>
    <w:rsid w:val="00A36944"/>
    <w:rsid w:val="00A421A5"/>
    <w:rsid w:val="00A459D3"/>
    <w:rsid w:val="00A611B9"/>
    <w:rsid w:val="00A653E7"/>
    <w:rsid w:val="00A70202"/>
    <w:rsid w:val="00A72065"/>
    <w:rsid w:val="00A722A6"/>
    <w:rsid w:val="00A731F7"/>
    <w:rsid w:val="00A73EA6"/>
    <w:rsid w:val="00A75549"/>
    <w:rsid w:val="00A831BF"/>
    <w:rsid w:val="00A85B9E"/>
    <w:rsid w:val="00A912D9"/>
    <w:rsid w:val="00A917AF"/>
    <w:rsid w:val="00A92280"/>
    <w:rsid w:val="00A9376A"/>
    <w:rsid w:val="00A950EF"/>
    <w:rsid w:val="00A95908"/>
    <w:rsid w:val="00AA1E15"/>
    <w:rsid w:val="00AA3609"/>
    <w:rsid w:val="00AB2D69"/>
    <w:rsid w:val="00AB36D2"/>
    <w:rsid w:val="00AD02BF"/>
    <w:rsid w:val="00AD12CD"/>
    <w:rsid w:val="00AE4611"/>
    <w:rsid w:val="00AE5A71"/>
    <w:rsid w:val="00AE77EA"/>
    <w:rsid w:val="00AE78ED"/>
    <w:rsid w:val="00AF0846"/>
    <w:rsid w:val="00AF6EAE"/>
    <w:rsid w:val="00B0049A"/>
    <w:rsid w:val="00B043BB"/>
    <w:rsid w:val="00B14DF5"/>
    <w:rsid w:val="00B1647D"/>
    <w:rsid w:val="00B20A26"/>
    <w:rsid w:val="00B310EF"/>
    <w:rsid w:val="00B347E7"/>
    <w:rsid w:val="00B35A9B"/>
    <w:rsid w:val="00B43540"/>
    <w:rsid w:val="00B4395A"/>
    <w:rsid w:val="00B52544"/>
    <w:rsid w:val="00B56ECA"/>
    <w:rsid w:val="00B608D7"/>
    <w:rsid w:val="00B67EF9"/>
    <w:rsid w:val="00B76D7D"/>
    <w:rsid w:val="00B854B3"/>
    <w:rsid w:val="00B8590F"/>
    <w:rsid w:val="00B864AA"/>
    <w:rsid w:val="00B92748"/>
    <w:rsid w:val="00B948AB"/>
    <w:rsid w:val="00BA02D8"/>
    <w:rsid w:val="00BA0AE9"/>
    <w:rsid w:val="00BA4B2F"/>
    <w:rsid w:val="00BB165B"/>
    <w:rsid w:val="00BD6089"/>
    <w:rsid w:val="00BF0354"/>
    <w:rsid w:val="00BF18E1"/>
    <w:rsid w:val="00BF2F8D"/>
    <w:rsid w:val="00BF3613"/>
    <w:rsid w:val="00BF52F1"/>
    <w:rsid w:val="00BF7EDF"/>
    <w:rsid w:val="00C00B4A"/>
    <w:rsid w:val="00C05210"/>
    <w:rsid w:val="00C16627"/>
    <w:rsid w:val="00C200F2"/>
    <w:rsid w:val="00C23558"/>
    <w:rsid w:val="00C23E89"/>
    <w:rsid w:val="00C30B61"/>
    <w:rsid w:val="00C510B8"/>
    <w:rsid w:val="00C54AD7"/>
    <w:rsid w:val="00C56F41"/>
    <w:rsid w:val="00C649B2"/>
    <w:rsid w:val="00C67202"/>
    <w:rsid w:val="00C67F76"/>
    <w:rsid w:val="00C74E04"/>
    <w:rsid w:val="00C76539"/>
    <w:rsid w:val="00C777C0"/>
    <w:rsid w:val="00C8546F"/>
    <w:rsid w:val="00C93672"/>
    <w:rsid w:val="00CA0F31"/>
    <w:rsid w:val="00CA77F1"/>
    <w:rsid w:val="00CB6260"/>
    <w:rsid w:val="00CC55BF"/>
    <w:rsid w:val="00CD1F66"/>
    <w:rsid w:val="00CE4A44"/>
    <w:rsid w:val="00CE5F4F"/>
    <w:rsid w:val="00CF43B1"/>
    <w:rsid w:val="00CF5723"/>
    <w:rsid w:val="00CF78AD"/>
    <w:rsid w:val="00D018B1"/>
    <w:rsid w:val="00D02184"/>
    <w:rsid w:val="00D039E4"/>
    <w:rsid w:val="00D03D56"/>
    <w:rsid w:val="00D10E19"/>
    <w:rsid w:val="00D22647"/>
    <w:rsid w:val="00D22B5C"/>
    <w:rsid w:val="00D23F62"/>
    <w:rsid w:val="00D2429D"/>
    <w:rsid w:val="00D30996"/>
    <w:rsid w:val="00D31BB2"/>
    <w:rsid w:val="00D402F5"/>
    <w:rsid w:val="00D40C9B"/>
    <w:rsid w:val="00D56FE8"/>
    <w:rsid w:val="00D64BDE"/>
    <w:rsid w:val="00D66EA2"/>
    <w:rsid w:val="00D71CEB"/>
    <w:rsid w:val="00D73267"/>
    <w:rsid w:val="00D81516"/>
    <w:rsid w:val="00D840DD"/>
    <w:rsid w:val="00D846D7"/>
    <w:rsid w:val="00D92161"/>
    <w:rsid w:val="00D935DF"/>
    <w:rsid w:val="00D95140"/>
    <w:rsid w:val="00D96B54"/>
    <w:rsid w:val="00DA604D"/>
    <w:rsid w:val="00DB7DA3"/>
    <w:rsid w:val="00DC5631"/>
    <w:rsid w:val="00DD09CA"/>
    <w:rsid w:val="00DE4990"/>
    <w:rsid w:val="00DF1DE5"/>
    <w:rsid w:val="00E20919"/>
    <w:rsid w:val="00E27B5D"/>
    <w:rsid w:val="00E3323C"/>
    <w:rsid w:val="00E401BF"/>
    <w:rsid w:val="00E47ACA"/>
    <w:rsid w:val="00E47E4D"/>
    <w:rsid w:val="00E51B52"/>
    <w:rsid w:val="00E61A2D"/>
    <w:rsid w:val="00E637FD"/>
    <w:rsid w:val="00E6521E"/>
    <w:rsid w:val="00E70379"/>
    <w:rsid w:val="00E70C7A"/>
    <w:rsid w:val="00E750A7"/>
    <w:rsid w:val="00E77F3E"/>
    <w:rsid w:val="00E81184"/>
    <w:rsid w:val="00E95776"/>
    <w:rsid w:val="00E968EF"/>
    <w:rsid w:val="00EA3330"/>
    <w:rsid w:val="00EC2DDF"/>
    <w:rsid w:val="00EC4E65"/>
    <w:rsid w:val="00ED1E3A"/>
    <w:rsid w:val="00ED3A6C"/>
    <w:rsid w:val="00ED3F6B"/>
    <w:rsid w:val="00ED45B1"/>
    <w:rsid w:val="00ED5F0D"/>
    <w:rsid w:val="00ED72DE"/>
    <w:rsid w:val="00EE2D70"/>
    <w:rsid w:val="00EF2885"/>
    <w:rsid w:val="00F01256"/>
    <w:rsid w:val="00F05BFD"/>
    <w:rsid w:val="00F05EE9"/>
    <w:rsid w:val="00F15676"/>
    <w:rsid w:val="00F25A96"/>
    <w:rsid w:val="00F25D0E"/>
    <w:rsid w:val="00F30153"/>
    <w:rsid w:val="00F51D0A"/>
    <w:rsid w:val="00F618CB"/>
    <w:rsid w:val="00F64F28"/>
    <w:rsid w:val="00F666BB"/>
    <w:rsid w:val="00F67BDD"/>
    <w:rsid w:val="00F73032"/>
    <w:rsid w:val="00F74C83"/>
    <w:rsid w:val="00F76662"/>
    <w:rsid w:val="00F80419"/>
    <w:rsid w:val="00F8560A"/>
    <w:rsid w:val="00FA1A34"/>
    <w:rsid w:val="00FA5E86"/>
    <w:rsid w:val="00FA6B48"/>
    <w:rsid w:val="00FB2DDA"/>
    <w:rsid w:val="00FC62D1"/>
    <w:rsid w:val="00FE2E49"/>
    <w:rsid w:val="00FF65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4A"/>
    <w:rPr>
      <w:sz w:val="24"/>
      <w:szCs w:val="24"/>
    </w:rPr>
  </w:style>
  <w:style w:type="paragraph" w:styleId="Balk1">
    <w:name w:val="heading 1"/>
    <w:basedOn w:val="Normal"/>
    <w:next w:val="Normal"/>
    <w:link w:val="Balk1Char"/>
    <w:uiPriority w:val="9"/>
    <w:qFormat/>
    <w:locked/>
    <w:rsid w:val="00C200F2"/>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nhideWhenUsed/>
    <w:qFormat/>
    <w:locked/>
    <w:rsid w:val="00C200F2"/>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712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Liste1">
    <w:name w:val="Table List 1"/>
    <w:basedOn w:val="NormalTablo"/>
    <w:uiPriority w:val="99"/>
    <w:rsid w:val="00104DB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uiPriority w:val="99"/>
    <w:rsid w:val="00E61A2D"/>
    <w:pPr>
      <w:autoSpaceDE w:val="0"/>
      <w:autoSpaceDN w:val="0"/>
      <w:adjustRightInd w:val="0"/>
    </w:pPr>
    <w:rPr>
      <w:color w:val="000000"/>
      <w:sz w:val="24"/>
      <w:szCs w:val="24"/>
    </w:rPr>
  </w:style>
  <w:style w:type="character" w:styleId="Kpr">
    <w:name w:val="Hyperlink"/>
    <w:basedOn w:val="VarsaylanParagrafYazTipi"/>
    <w:uiPriority w:val="99"/>
    <w:unhideWhenUsed/>
    <w:rsid w:val="00CF5723"/>
    <w:rPr>
      <w:color w:val="0000FF"/>
      <w:u w:val="single"/>
    </w:rPr>
  </w:style>
  <w:style w:type="paragraph" w:styleId="KonuBal">
    <w:name w:val="Title"/>
    <w:basedOn w:val="Normal"/>
    <w:next w:val="Normal"/>
    <w:link w:val="KonuBalChar"/>
    <w:qFormat/>
    <w:locked/>
    <w:rsid w:val="00C200F2"/>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C200F2"/>
    <w:rPr>
      <w:rFonts w:ascii="Cambria" w:eastAsia="Times New Roman" w:hAnsi="Cambria" w:cs="Times New Roman"/>
      <w:b/>
      <w:bCs/>
      <w:kern w:val="28"/>
      <w:sz w:val="32"/>
      <w:szCs w:val="32"/>
    </w:rPr>
  </w:style>
  <w:style w:type="character" w:styleId="Gl">
    <w:name w:val="Strong"/>
    <w:basedOn w:val="VarsaylanParagrafYazTipi"/>
    <w:qFormat/>
    <w:locked/>
    <w:rsid w:val="00C200F2"/>
    <w:rPr>
      <w:b/>
      <w:bCs/>
    </w:rPr>
  </w:style>
  <w:style w:type="character" w:customStyle="1" w:styleId="Balk2Char">
    <w:name w:val="Başlık 2 Char"/>
    <w:basedOn w:val="VarsaylanParagrafYazTipi"/>
    <w:link w:val="Balk2"/>
    <w:rsid w:val="00C200F2"/>
    <w:rPr>
      <w:rFonts w:ascii="Cambria" w:eastAsia="Times New Roman" w:hAnsi="Cambria" w:cs="Times New Roman"/>
      <w:b/>
      <w:bCs/>
      <w:i/>
      <w:iCs/>
      <w:sz w:val="28"/>
      <w:szCs w:val="28"/>
    </w:rPr>
  </w:style>
  <w:style w:type="character" w:customStyle="1" w:styleId="Balk1Char">
    <w:name w:val="Başlık 1 Char"/>
    <w:basedOn w:val="VarsaylanParagrafYazTipi"/>
    <w:link w:val="Balk1"/>
    <w:uiPriority w:val="9"/>
    <w:rsid w:val="00C200F2"/>
    <w:rPr>
      <w:rFonts w:ascii="Cambria" w:eastAsia="Times New Roman" w:hAnsi="Cambria" w:cs="Times New Roman"/>
      <w:b/>
      <w:bCs/>
      <w:kern w:val="32"/>
      <w:sz w:val="32"/>
      <w:szCs w:val="32"/>
    </w:rPr>
  </w:style>
  <w:style w:type="paragraph" w:styleId="AltKonuBal">
    <w:name w:val="Subtitle"/>
    <w:basedOn w:val="Normal"/>
    <w:next w:val="Normal"/>
    <w:link w:val="AltKonuBalChar"/>
    <w:qFormat/>
    <w:locked/>
    <w:rsid w:val="00C200F2"/>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C200F2"/>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3D6802"/>
    <w:rPr>
      <w:rFonts w:ascii="Tahoma" w:hAnsi="Tahoma" w:cs="Tahoma"/>
      <w:sz w:val="16"/>
      <w:szCs w:val="16"/>
    </w:rPr>
  </w:style>
  <w:style w:type="character" w:customStyle="1" w:styleId="BalonMetniChar">
    <w:name w:val="Balon Metni Char"/>
    <w:basedOn w:val="VarsaylanParagrafYazTipi"/>
    <w:link w:val="BalonMetni"/>
    <w:uiPriority w:val="99"/>
    <w:semiHidden/>
    <w:rsid w:val="003D6802"/>
    <w:rPr>
      <w:rFonts w:ascii="Tahoma" w:hAnsi="Tahoma" w:cs="Tahoma"/>
      <w:sz w:val="16"/>
      <w:szCs w:val="16"/>
    </w:rPr>
  </w:style>
  <w:style w:type="paragraph" w:styleId="SonnotMetni">
    <w:name w:val="endnote text"/>
    <w:basedOn w:val="Normal"/>
    <w:link w:val="SonnotMetniChar"/>
    <w:uiPriority w:val="99"/>
    <w:semiHidden/>
    <w:unhideWhenUsed/>
    <w:rsid w:val="00B14DF5"/>
    <w:rPr>
      <w:sz w:val="20"/>
      <w:szCs w:val="20"/>
    </w:rPr>
  </w:style>
  <w:style w:type="character" w:customStyle="1" w:styleId="SonnotMetniChar">
    <w:name w:val="Sonnot Metni Char"/>
    <w:basedOn w:val="VarsaylanParagrafYazTipi"/>
    <w:link w:val="SonnotMetni"/>
    <w:uiPriority w:val="99"/>
    <w:semiHidden/>
    <w:rsid w:val="00B14DF5"/>
  </w:style>
  <w:style w:type="character" w:styleId="SonnotBavurusu">
    <w:name w:val="endnote reference"/>
    <w:basedOn w:val="VarsaylanParagrafYazTipi"/>
    <w:uiPriority w:val="99"/>
    <w:semiHidden/>
    <w:unhideWhenUsed/>
    <w:rsid w:val="00B14DF5"/>
    <w:rPr>
      <w:vertAlign w:val="superscript"/>
    </w:rPr>
  </w:style>
  <w:style w:type="paragraph" w:styleId="ListeParagraf">
    <w:name w:val="List Paragraph"/>
    <w:basedOn w:val="Normal"/>
    <w:uiPriority w:val="34"/>
    <w:qFormat/>
    <w:rsid w:val="00B14DF5"/>
    <w:pPr>
      <w:ind w:left="720"/>
      <w:contextualSpacing/>
    </w:pPr>
  </w:style>
  <w:style w:type="paragraph" w:styleId="stbilgi">
    <w:name w:val="header"/>
    <w:basedOn w:val="Normal"/>
    <w:link w:val="stbilgiChar"/>
    <w:uiPriority w:val="99"/>
    <w:semiHidden/>
    <w:unhideWhenUsed/>
    <w:rsid w:val="008A2861"/>
    <w:pPr>
      <w:tabs>
        <w:tab w:val="center" w:pos="4536"/>
        <w:tab w:val="right" w:pos="9072"/>
      </w:tabs>
    </w:pPr>
  </w:style>
  <w:style w:type="character" w:customStyle="1" w:styleId="stbilgiChar">
    <w:name w:val="Üstbilgi Char"/>
    <w:basedOn w:val="VarsaylanParagrafYazTipi"/>
    <w:link w:val="stbilgi"/>
    <w:uiPriority w:val="99"/>
    <w:semiHidden/>
    <w:rsid w:val="008A2861"/>
    <w:rPr>
      <w:sz w:val="24"/>
      <w:szCs w:val="24"/>
    </w:rPr>
  </w:style>
  <w:style w:type="paragraph" w:styleId="Altbilgi">
    <w:name w:val="footer"/>
    <w:basedOn w:val="Normal"/>
    <w:link w:val="AltbilgiChar"/>
    <w:uiPriority w:val="99"/>
    <w:unhideWhenUsed/>
    <w:rsid w:val="008A2861"/>
    <w:pPr>
      <w:tabs>
        <w:tab w:val="center" w:pos="4536"/>
        <w:tab w:val="right" w:pos="9072"/>
      </w:tabs>
    </w:pPr>
  </w:style>
  <w:style w:type="character" w:customStyle="1" w:styleId="AltbilgiChar">
    <w:name w:val="Altbilgi Char"/>
    <w:basedOn w:val="VarsaylanParagrafYazTipi"/>
    <w:link w:val="Altbilgi"/>
    <w:uiPriority w:val="99"/>
    <w:rsid w:val="008A2861"/>
    <w:rPr>
      <w:sz w:val="24"/>
      <w:szCs w:val="24"/>
    </w:rPr>
  </w:style>
  <w:style w:type="paragraph" w:styleId="DipnotMetni">
    <w:name w:val="footnote text"/>
    <w:basedOn w:val="Normal"/>
    <w:link w:val="DipnotMetniChar"/>
    <w:uiPriority w:val="99"/>
    <w:semiHidden/>
    <w:unhideWhenUsed/>
    <w:rsid w:val="008A2861"/>
    <w:rPr>
      <w:sz w:val="20"/>
      <w:szCs w:val="20"/>
    </w:rPr>
  </w:style>
  <w:style w:type="character" w:customStyle="1" w:styleId="DipnotMetniChar">
    <w:name w:val="Dipnot Metni Char"/>
    <w:basedOn w:val="VarsaylanParagrafYazTipi"/>
    <w:link w:val="DipnotMetni"/>
    <w:uiPriority w:val="99"/>
    <w:semiHidden/>
    <w:rsid w:val="008A2861"/>
  </w:style>
  <w:style w:type="character" w:styleId="DipnotBavurusu">
    <w:name w:val="footnote reference"/>
    <w:basedOn w:val="VarsaylanParagrafYazTipi"/>
    <w:uiPriority w:val="99"/>
    <w:semiHidden/>
    <w:unhideWhenUsed/>
    <w:rsid w:val="008A2861"/>
    <w:rPr>
      <w:vertAlign w:val="superscript"/>
    </w:rPr>
  </w:style>
</w:styles>
</file>

<file path=word/webSettings.xml><?xml version="1.0" encoding="utf-8"?>
<w:webSettings xmlns:r="http://schemas.openxmlformats.org/officeDocument/2006/relationships" xmlns:w="http://schemas.openxmlformats.org/wordprocessingml/2006/main">
  <w:divs>
    <w:div w:id="1542936665">
      <w:marLeft w:val="0"/>
      <w:marRight w:val="0"/>
      <w:marTop w:val="0"/>
      <w:marBottom w:val="0"/>
      <w:divBdr>
        <w:top w:val="none" w:sz="0" w:space="0" w:color="auto"/>
        <w:left w:val="none" w:sz="0" w:space="0" w:color="auto"/>
        <w:bottom w:val="none" w:sz="0" w:space="0" w:color="auto"/>
        <w:right w:val="none" w:sz="0" w:space="0" w:color="auto"/>
      </w:divBdr>
    </w:div>
    <w:div w:id="1542936666">
      <w:marLeft w:val="0"/>
      <w:marRight w:val="0"/>
      <w:marTop w:val="0"/>
      <w:marBottom w:val="0"/>
      <w:divBdr>
        <w:top w:val="none" w:sz="0" w:space="0" w:color="auto"/>
        <w:left w:val="none" w:sz="0" w:space="0" w:color="auto"/>
        <w:bottom w:val="none" w:sz="0" w:space="0" w:color="auto"/>
        <w:right w:val="none" w:sz="0" w:space="0" w:color="auto"/>
      </w:divBdr>
    </w:div>
    <w:div w:id="1542936667">
      <w:marLeft w:val="0"/>
      <w:marRight w:val="0"/>
      <w:marTop w:val="0"/>
      <w:marBottom w:val="0"/>
      <w:divBdr>
        <w:top w:val="none" w:sz="0" w:space="0" w:color="auto"/>
        <w:left w:val="none" w:sz="0" w:space="0" w:color="auto"/>
        <w:bottom w:val="none" w:sz="0" w:space="0" w:color="auto"/>
        <w:right w:val="none" w:sz="0" w:space="0" w:color="auto"/>
      </w:divBdr>
    </w:div>
    <w:div w:id="1542936668">
      <w:marLeft w:val="0"/>
      <w:marRight w:val="0"/>
      <w:marTop w:val="0"/>
      <w:marBottom w:val="0"/>
      <w:divBdr>
        <w:top w:val="none" w:sz="0" w:space="0" w:color="auto"/>
        <w:left w:val="none" w:sz="0" w:space="0" w:color="auto"/>
        <w:bottom w:val="none" w:sz="0" w:space="0" w:color="auto"/>
        <w:right w:val="none" w:sz="0" w:space="0" w:color="auto"/>
      </w:divBdr>
    </w:div>
    <w:div w:id="1542936669">
      <w:marLeft w:val="0"/>
      <w:marRight w:val="0"/>
      <w:marTop w:val="0"/>
      <w:marBottom w:val="0"/>
      <w:divBdr>
        <w:top w:val="none" w:sz="0" w:space="0" w:color="auto"/>
        <w:left w:val="none" w:sz="0" w:space="0" w:color="auto"/>
        <w:bottom w:val="none" w:sz="0" w:space="0" w:color="auto"/>
        <w:right w:val="none" w:sz="0" w:space="0" w:color="auto"/>
      </w:divBdr>
    </w:div>
    <w:div w:id="1542936670">
      <w:marLeft w:val="0"/>
      <w:marRight w:val="0"/>
      <w:marTop w:val="0"/>
      <w:marBottom w:val="0"/>
      <w:divBdr>
        <w:top w:val="none" w:sz="0" w:space="0" w:color="auto"/>
        <w:left w:val="none" w:sz="0" w:space="0" w:color="auto"/>
        <w:bottom w:val="none" w:sz="0" w:space="0" w:color="auto"/>
        <w:right w:val="none" w:sz="0" w:space="0" w:color="auto"/>
      </w:divBdr>
    </w:div>
    <w:div w:id="1542936671">
      <w:marLeft w:val="0"/>
      <w:marRight w:val="0"/>
      <w:marTop w:val="0"/>
      <w:marBottom w:val="0"/>
      <w:divBdr>
        <w:top w:val="none" w:sz="0" w:space="0" w:color="auto"/>
        <w:left w:val="none" w:sz="0" w:space="0" w:color="auto"/>
        <w:bottom w:val="none" w:sz="0" w:space="0" w:color="auto"/>
        <w:right w:val="none" w:sz="0" w:space="0" w:color="auto"/>
      </w:divBdr>
    </w:div>
    <w:div w:id="1542936672">
      <w:marLeft w:val="0"/>
      <w:marRight w:val="0"/>
      <w:marTop w:val="0"/>
      <w:marBottom w:val="0"/>
      <w:divBdr>
        <w:top w:val="none" w:sz="0" w:space="0" w:color="auto"/>
        <w:left w:val="none" w:sz="0" w:space="0" w:color="auto"/>
        <w:bottom w:val="none" w:sz="0" w:space="0" w:color="auto"/>
        <w:right w:val="none" w:sz="0" w:space="0" w:color="auto"/>
      </w:divBdr>
    </w:div>
    <w:div w:id="1542936673">
      <w:marLeft w:val="0"/>
      <w:marRight w:val="0"/>
      <w:marTop w:val="0"/>
      <w:marBottom w:val="0"/>
      <w:divBdr>
        <w:top w:val="none" w:sz="0" w:space="0" w:color="auto"/>
        <w:left w:val="none" w:sz="0" w:space="0" w:color="auto"/>
        <w:bottom w:val="none" w:sz="0" w:space="0" w:color="auto"/>
        <w:right w:val="none" w:sz="0" w:space="0" w:color="auto"/>
      </w:divBdr>
    </w:div>
    <w:div w:id="1542936674">
      <w:marLeft w:val="0"/>
      <w:marRight w:val="0"/>
      <w:marTop w:val="0"/>
      <w:marBottom w:val="0"/>
      <w:divBdr>
        <w:top w:val="none" w:sz="0" w:space="0" w:color="auto"/>
        <w:left w:val="none" w:sz="0" w:space="0" w:color="auto"/>
        <w:bottom w:val="none" w:sz="0" w:space="0" w:color="auto"/>
        <w:right w:val="none" w:sz="0" w:space="0" w:color="auto"/>
      </w:divBdr>
    </w:div>
    <w:div w:id="1542936675">
      <w:marLeft w:val="0"/>
      <w:marRight w:val="0"/>
      <w:marTop w:val="0"/>
      <w:marBottom w:val="0"/>
      <w:divBdr>
        <w:top w:val="none" w:sz="0" w:space="0" w:color="auto"/>
        <w:left w:val="none" w:sz="0" w:space="0" w:color="auto"/>
        <w:bottom w:val="none" w:sz="0" w:space="0" w:color="auto"/>
        <w:right w:val="none" w:sz="0" w:space="0" w:color="auto"/>
      </w:divBdr>
    </w:div>
    <w:div w:id="1542936676">
      <w:marLeft w:val="0"/>
      <w:marRight w:val="0"/>
      <w:marTop w:val="0"/>
      <w:marBottom w:val="0"/>
      <w:divBdr>
        <w:top w:val="none" w:sz="0" w:space="0" w:color="auto"/>
        <w:left w:val="none" w:sz="0" w:space="0" w:color="auto"/>
        <w:bottom w:val="none" w:sz="0" w:space="0" w:color="auto"/>
        <w:right w:val="none" w:sz="0" w:space="0" w:color="auto"/>
      </w:divBdr>
    </w:div>
    <w:div w:id="1542936677">
      <w:marLeft w:val="0"/>
      <w:marRight w:val="0"/>
      <w:marTop w:val="0"/>
      <w:marBottom w:val="0"/>
      <w:divBdr>
        <w:top w:val="none" w:sz="0" w:space="0" w:color="auto"/>
        <w:left w:val="none" w:sz="0" w:space="0" w:color="auto"/>
        <w:bottom w:val="none" w:sz="0" w:space="0" w:color="auto"/>
        <w:right w:val="none" w:sz="0" w:space="0" w:color="auto"/>
      </w:divBdr>
    </w:div>
    <w:div w:id="1542936678">
      <w:marLeft w:val="0"/>
      <w:marRight w:val="0"/>
      <w:marTop w:val="0"/>
      <w:marBottom w:val="0"/>
      <w:divBdr>
        <w:top w:val="none" w:sz="0" w:space="0" w:color="auto"/>
        <w:left w:val="none" w:sz="0" w:space="0" w:color="auto"/>
        <w:bottom w:val="none" w:sz="0" w:space="0" w:color="auto"/>
        <w:right w:val="none" w:sz="0" w:space="0" w:color="auto"/>
      </w:divBdr>
    </w:div>
    <w:div w:id="1542936679">
      <w:marLeft w:val="0"/>
      <w:marRight w:val="0"/>
      <w:marTop w:val="0"/>
      <w:marBottom w:val="0"/>
      <w:divBdr>
        <w:top w:val="none" w:sz="0" w:space="0" w:color="auto"/>
        <w:left w:val="none" w:sz="0" w:space="0" w:color="auto"/>
        <w:bottom w:val="none" w:sz="0" w:space="0" w:color="auto"/>
        <w:right w:val="none" w:sz="0" w:space="0" w:color="auto"/>
      </w:divBdr>
    </w:div>
    <w:div w:id="1542936680">
      <w:marLeft w:val="0"/>
      <w:marRight w:val="0"/>
      <w:marTop w:val="0"/>
      <w:marBottom w:val="0"/>
      <w:divBdr>
        <w:top w:val="none" w:sz="0" w:space="0" w:color="auto"/>
        <w:left w:val="none" w:sz="0" w:space="0" w:color="auto"/>
        <w:bottom w:val="none" w:sz="0" w:space="0" w:color="auto"/>
        <w:right w:val="none" w:sz="0" w:space="0" w:color="auto"/>
      </w:divBdr>
    </w:div>
    <w:div w:id="1542936681">
      <w:marLeft w:val="0"/>
      <w:marRight w:val="0"/>
      <w:marTop w:val="0"/>
      <w:marBottom w:val="0"/>
      <w:divBdr>
        <w:top w:val="none" w:sz="0" w:space="0" w:color="auto"/>
        <w:left w:val="none" w:sz="0" w:space="0" w:color="auto"/>
        <w:bottom w:val="none" w:sz="0" w:space="0" w:color="auto"/>
        <w:right w:val="none" w:sz="0" w:space="0" w:color="auto"/>
      </w:divBdr>
    </w:div>
    <w:div w:id="1542936682">
      <w:marLeft w:val="0"/>
      <w:marRight w:val="0"/>
      <w:marTop w:val="0"/>
      <w:marBottom w:val="0"/>
      <w:divBdr>
        <w:top w:val="none" w:sz="0" w:space="0" w:color="auto"/>
        <w:left w:val="none" w:sz="0" w:space="0" w:color="auto"/>
        <w:bottom w:val="none" w:sz="0" w:space="0" w:color="auto"/>
        <w:right w:val="none" w:sz="0" w:space="0" w:color="auto"/>
      </w:divBdr>
    </w:div>
    <w:div w:id="1542936683">
      <w:marLeft w:val="0"/>
      <w:marRight w:val="0"/>
      <w:marTop w:val="0"/>
      <w:marBottom w:val="0"/>
      <w:divBdr>
        <w:top w:val="none" w:sz="0" w:space="0" w:color="auto"/>
        <w:left w:val="none" w:sz="0" w:space="0" w:color="auto"/>
        <w:bottom w:val="none" w:sz="0" w:space="0" w:color="auto"/>
        <w:right w:val="none" w:sz="0" w:space="0" w:color="auto"/>
      </w:divBdr>
    </w:div>
    <w:div w:id="1542936684">
      <w:marLeft w:val="0"/>
      <w:marRight w:val="0"/>
      <w:marTop w:val="0"/>
      <w:marBottom w:val="0"/>
      <w:divBdr>
        <w:top w:val="none" w:sz="0" w:space="0" w:color="auto"/>
        <w:left w:val="none" w:sz="0" w:space="0" w:color="auto"/>
        <w:bottom w:val="none" w:sz="0" w:space="0" w:color="auto"/>
        <w:right w:val="none" w:sz="0" w:space="0" w:color="auto"/>
      </w:divBdr>
    </w:div>
    <w:div w:id="1542936685">
      <w:marLeft w:val="0"/>
      <w:marRight w:val="0"/>
      <w:marTop w:val="0"/>
      <w:marBottom w:val="0"/>
      <w:divBdr>
        <w:top w:val="none" w:sz="0" w:space="0" w:color="auto"/>
        <w:left w:val="none" w:sz="0" w:space="0" w:color="auto"/>
        <w:bottom w:val="none" w:sz="0" w:space="0" w:color="auto"/>
        <w:right w:val="none" w:sz="0" w:space="0" w:color="auto"/>
      </w:divBdr>
    </w:div>
    <w:div w:id="1542936686">
      <w:marLeft w:val="0"/>
      <w:marRight w:val="0"/>
      <w:marTop w:val="0"/>
      <w:marBottom w:val="0"/>
      <w:divBdr>
        <w:top w:val="none" w:sz="0" w:space="0" w:color="auto"/>
        <w:left w:val="none" w:sz="0" w:space="0" w:color="auto"/>
        <w:bottom w:val="none" w:sz="0" w:space="0" w:color="auto"/>
        <w:right w:val="none" w:sz="0" w:space="0" w:color="auto"/>
      </w:divBdr>
    </w:div>
    <w:div w:id="1542936687">
      <w:marLeft w:val="0"/>
      <w:marRight w:val="0"/>
      <w:marTop w:val="0"/>
      <w:marBottom w:val="0"/>
      <w:divBdr>
        <w:top w:val="none" w:sz="0" w:space="0" w:color="auto"/>
        <w:left w:val="none" w:sz="0" w:space="0" w:color="auto"/>
        <w:bottom w:val="none" w:sz="0" w:space="0" w:color="auto"/>
        <w:right w:val="none" w:sz="0" w:space="0" w:color="auto"/>
      </w:divBdr>
    </w:div>
    <w:div w:id="1542936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yperlink" Target="http://www.tbb.org.tr/tr/banka-ve-sektor-bilgileri/istatistiki-raporlar/aralik--2013---banka,-sube-ve-personel-bilgileri-/1309.%20Da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hyperlink" Target="http://www.tbb.org.tr/tr/banka-ve-sektor-bilgileri/istatistiki-raporlar/--2013---secilmis-rasyolar/1359"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29BA-FE40-4588-BD04-203A4A4F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5129</Words>
  <Characters>29238</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Financial Performance Of Banks and Stock Revenues: A Granger Casuality Test Using Panel Data</vt:lpstr>
    </vt:vector>
  </TitlesOfParts>
  <Company>K@ylü</Company>
  <LinksUpToDate>false</LinksUpToDate>
  <CharactersWithSpaces>34299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Of Banks and Stock Revenues: A Granger Casuality Test Using Panel Data</dc:title>
  <dc:creator>Windows Xp Sp3</dc:creator>
  <cp:lastModifiedBy>CAGATAY</cp:lastModifiedBy>
  <cp:revision>2</cp:revision>
  <cp:lastPrinted>2015-06-26T12:00:00Z</cp:lastPrinted>
  <dcterms:created xsi:type="dcterms:W3CDTF">2015-07-09T16:09:00Z</dcterms:created>
  <dcterms:modified xsi:type="dcterms:W3CDTF">2015-07-09T16:09:00Z</dcterms:modified>
</cp:coreProperties>
</file>